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28" w:rsidRDefault="006E599C" w:rsidP="00CA4C97">
      <w:pPr>
        <w:jc w:val="center"/>
        <w:rPr>
          <w:rFonts w:ascii="Times New Roman" w:hAnsi="Times New Roman" w:cs="Times New Roman"/>
          <w:b/>
          <w:sz w:val="28"/>
        </w:rPr>
      </w:pPr>
      <w:r>
        <w:rPr>
          <w:rFonts w:ascii="Times New Roman" w:hAnsi="Times New Roman" w:cs="Times New Roman"/>
          <w:b/>
          <w:sz w:val="28"/>
        </w:rPr>
        <w:t xml:space="preserve">Taxonomic re-description and Molecular characterization </w:t>
      </w:r>
      <w:r w:rsidR="00CA4C97">
        <w:rPr>
          <w:rFonts w:ascii="Times New Roman" w:hAnsi="Times New Roman" w:cs="Times New Roman"/>
          <w:b/>
          <w:sz w:val="28"/>
        </w:rPr>
        <w:t xml:space="preserve">of </w:t>
      </w:r>
      <w:r w:rsidR="00CA4C97" w:rsidRPr="007041C3">
        <w:rPr>
          <w:rFonts w:ascii="Times New Roman" w:hAnsi="Times New Roman" w:cs="Times New Roman"/>
          <w:b/>
          <w:i/>
          <w:sz w:val="28"/>
        </w:rPr>
        <w:t xml:space="preserve">Thelohanellus </w:t>
      </w:r>
      <w:r w:rsidR="007041C3" w:rsidRPr="007041C3">
        <w:rPr>
          <w:rFonts w:ascii="Times New Roman" w:hAnsi="Times New Roman" w:cs="Times New Roman"/>
          <w:b/>
          <w:i/>
          <w:sz w:val="28"/>
        </w:rPr>
        <w:t>bifurcata</w:t>
      </w:r>
      <w:r w:rsidR="007041C3">
        <w:rPr>
          <w:rFonts w:ascii="Times New Roman" w:hAnsi="Times New Roman" w:cs="Times New Roman"/>
          <w:b/>
          <w:sz w:val="28"/>
        </w:rPr>
        <w:t xml:space="preserve"> Basu and Haldar, 1999 (Myxosporea: Myxobolidae) using 18S rRNA gene sequences</w:t>
      </w:r>
      <w:r w:rsidR="00C1000E">
        <w:rPr>
          <w:rFonts w:ascii="Times New Roman" w:hAnsi="Times New Roman" w:cs="Times New Roman"/>
          <w:b/>
          <w:sz w:val="28"/>
        </w:rPr>
        <w:t>,</w:t>
      </w:r>
      <w:r w:rsidR="007041C3">
        <w:rPr>
          <w:rFonts w:ascii="Times New Roman" w:hAnsi="Times New Roman" w:cs="Times New Roman"/>
          <w:b/>
          <w:sz w:val="28"/>
        </w:rPr>
        <w:t xml:space="preserve"> infecting the </w:t>
      </w:r>
      <w:r w:rsidR="00C1000E">
        <w:rPr>
          <w:rFonts w:ascii="Times New Roman" w:hAnsi="Times New Roman" w:cs="Times New Roman"/>
          <w:b/>
          <w:sz w:val="28"/>
        </w:rPr>
        <w:t xml:space="preserve">gill lamellae of </w:t>
      </w:r>
      <w:r w:rsidR="00C1000E" w:rsidRPr="00C1000E">
        <w:rPr>
          <w:rFonts w:ascii="Times New Roman" w:hAnsi="Times New Roman" w:cs="Times New Roman"/>
          <w:b/>
          <w:i/>
          <w:sz w:val="28"/>
        </w:rPr>
        <w:t>Labeo rohita</w:t>
      </w:r>
      <w:r w:rsidR="00C1000E">
        <w:rPr>
          <w:rFonts w:ascii="Times New Roman" w:hAnsi="Times New Roman" w:cs="Times New Roman"/>
          <w:b/>
          <w:sz w:val="28"/>
        </w:rPr>
        <w:t xml:space="preserve"> (Hamilton, 1822) from Ranaghat, West Bengal, India</w:t>
      </w:r>
    </w:p>
    <w:p w:rsidR="00616AAC" w:rsidRPr="00616AAC" w:rsidRDefault="00616AAC" w:rsidP="00616AAC">
      <w:pPr>
        <w:rPr>
          <w:rFonts w:ascii="Times New Roman" w:hAnsi="Times New Roman" w:cs="Times New Roman"/>
          <w:sz w:val="24"/>
        </w:rPr>
      </w:pPr>
      <w:r>
        <w:rPr>
          <w:rFonts w:ascii="Times New Roman" w:hAnsi="Times New Roman" w:cs="Times New Roman"/>
          <w:sz w:val="24"/>
        </w:rPr>
        <w:t>(Original Research Article)</w:t>
      </w:r>
    </w:p>
    <w:p w:rsidR="004720AE" w:rsidRDefault="004720AE" w:rsidP="00CA4C97">
      <w:pPr>
        <w:jc w:val="center"/>
        <w:rPr>
          <w:rFonts w:ascii="Times New Roman" w:hAnsi="Times New Roman" w:cs="Times New Roman"/>
          <w:b/>
          <w:sz w:val="28"/>
        </w:rPr>
      </w:pPr>
    </w:p>
    <w:p w:rsidR="009A15D6" w:rsidRPr="00B4680E" w:rsidRDefault="009A15D6" w:rsidP="00C1000E">
      <w:pPr>
        <w:jc w:val="both"/>
        <w:rPr>
          <w:rFonts w:ascii="Times New Roman" w:hAnsi="Times New Roman" w:cs="Times New Roman"/>
          <w:b/>
        </w:rPr>
      </w:pPr>
    </w:p>
    <w:p w:rsidR="00C1000E" w:rsidRPr="00ED5E07" w:rsidRDefault="00C1000E" w:rsidP="00C1000E">
      <w:pPr>
        <w:jc w:val="both"/>
        <w:rPr>
          <w:rFonts w:ascii="Times New Roman" w:hAnsi="Times New Roman" w:cs="Times New Roman"/>
          <w:b/>
          <w:sz w:val="24"/>
          <w:szCs w:val="24"/>
        </w:rPr>
      </w:pPr>
      <w:r w:rsidRPr="00ED5E07">
        <w:rPr>
          <w:rFonts w:ascii="Times New Roman" w:hAnsi="Times New Roman" w:cs="Times New Roman"/>
          <w:b/>
          <w:sz w:val="24"/>
          <w:szCs w:val="24"/>
        </w:rPr>
        <w:t>ABSTRACT:</w:t>
      </w:r>
    </w:p>
    <w:p w:rsidR="00317FE2" w:rsidRPr="00ED5E07" w:rsidRDefault="005B4AA9" w:rsidP="00E2311D">
      <w:pPr>
        <w:spacing w:before="240"/>
        <w:jc w:val="both"/>
        <w:rPr>
          <w:rFonts w:ascii="Times New Roman" w:hAnsi="Times New Roman" w:cs="Times New Roman"/>
          <w:sz w:val="24"/>
          <w:szCs w:val="24"/>
        </w:rPr>
      </w:pPr>
      <w:r w:rsidRPr="00ED5E07">
        <w:rPr>
          <w:rFonts w:ascii="Times New Roman" w:hAnsi="Times New Roman" w:cs="Times New Roman"/>
          <w:sz w:val="24"/>
          <w:szCs w:val="24"/>
        </w:rPr>
        <w:t>Myxozoans have been classified into 62 genera having more than 2600 species</w:t>
      </w:r>
      <w:r w:rsidR="005F6723" w:rsidRPr="00ED5E07">
        <w:rPr>
          <w:rFonts w:ascii="Times New Roman" w:hAnsi="Times New Roman" w:cs="Times New Roman"/>
          <w:sz w:val="24"/>
          <w:szCs w:val="24"/>
        </w:rPr>
        <w:t xml:space="preserve"> all over the world. Among these genus </w:t>
      </w:r>
      <w:r w:rsidR="005F6723" w:rsidRPr="00ED5E07">
        <w:rPr>
          <w:rFonts w:ascii="Times New Roman" w:hAnsi="Times New Roman" w:cs="Times New Roman"/>
          <w:i/>
          <w:sz w:val="24"/>
          <w:szCs w:val="24"/>
        </w:rPr>
        <w:t xml:space="preserve">Thelohanellus </w:t>
      </w:r>
      <w:r w:rsidR="005F6723" w:rsidRPr="00ED5E07">
        <w:rPr>
          <w:rFonts w:ascii="Times New Roman" w:hAnsi="Times New Roman" w:cs="Times New Roman"/>
          <w:sz w:val="24"/>
          <w:szCs w:val="24"/>
        </w:rPr>
        <w:t>Kudo, 1933</w:t>
      </w:r>
      <w:r w:rsidR="004516BB" w:rsidRPr="00ED5E07">
        <w:rPr>
          <w:rFonts w:ascii="Times New Roman" w:hAnsi="Times New Roman" w:cs="Times New Roman"/>
          <w:sz w:val="24"/>
          <w:szCs w:val="24"/>
        </w:rPr>
        <w:t xml:space="preserve"> is the second largest genus after </w:t>
      </w:r>
      <w:r w:rsidR="004516BB" w:rsidRPr="00ED5E07">
        <w:rPr>
          <w:rFonts w:ascii="Times New Roman" w:hAnsi="Times New Roman" w:cs="Times New Roman"/>
          <w:i/>
          <w:sz w:val="24"/>
          <w:szCs w:val="24"/>
        </w:rPr>
        <w:t>Myxobolus</w:t>
      </w:r>
      <w:r w:rsidR="004516BB" w:rsidRPr="00ED5E07">
        <w:rPr>
          <w:rFonts w:ascii="Times New Roman" w:hAnsi="Times New Roman" w:cs="Times New Roman"/>
          <w:sz w:val="24"/>
          <w:szCs w:val="24"/>
        </w:rPr>
        <w:t>.</w:t>
      </w:r>
      <w:r w:rsidR="007D546C">
        <w:rPr>
          <w:rFonts w:ascii="Times New Roman" w:hAnsi="Times New Roman" w:cs="Times New Roman"/>
          <w:sz w:val="24"/>
          <w:szCs w:val="24"/>
        </w:rPr>
        <w:t xml:space="preserve"> </w:t>
      </w:r>
      <w:r w:rsidR="007D546C" w:rsidRPr="007D546C">
        <w:rPr>
          <w:rFonts w:ascii="Times New Roman" w:hAnsi="Times New Roman" w:cs="Times New Roman"/>
          <w:sz w:val="24"/>
          <w:szCs w:val="24"/>
          <w:highlight w:val="yellow"/>
        </w:rPr>
        <w:t>During the survey of myxozoan parasites in fresh water fishes</w:t>
      </w:r>
      <w:r w:rsidR="007D546C">
        <w:rPr>
          <w:rFonts w:ascii="Times New Roman" w:hAnsi="Times New Roman" w:cs="Times New Roman"/>
          <w:sz w:val="24"/>
          <w:szCs w:val="24"/>
        </w:rPr>
        <w:t>, t</w:t>
      </w:r>
      <w:r w:rsidR="004516BB" w:rsidRPr="00ED5E07">
        <w:rPr>
          <w:rFonts w:ascii="Times New Roman" w:hAnsi="Times New Roman" w:cs="Times New Roman"/>
          <w:sz w:val="24"/>
          <w:szCs w:val="24"/>
        </w:rPr>
        <w:t xml:space="preserve">he species </w:t>
      </w:r>
      <w:r w:rsidR="004516BB" w:rsidRPr="00ED5E07">
        <w:rPr>
          <w:rFonts w:ascii="Times New Roman" w:hAnsi="Times New Roman" w:cs="Times New Roman"/>
          <w:i/>
          <w:sz w:val="24"/>
          <w:szCs w:val="24"/>
        </w:rPr>
        <w:t xml:space="preserve">Thelohanellus bifurcata </w:t>
      </w:r>
      <w:r w:rsidR="004516BB" w:rsidRPr="00ED5E07">
        <w:rPr>
          <w:rFonts w:ascii="Times New Roman" w:hAnsi="Times New Roman" w:cs="Times New Roman"/>
          <w:sz w:val="24"/>
          <w:szCs w:val="24"/>
        </w:rPr>
        <w:t xml:space="preserve">Basu and Haldar, 1999 under genus </w:t>
      </w:r>
      <w:r w:rsidR="004516BB" w:rsidRPr="00ED5E07">
        <w:rPr>
          <w:rFonts w:ascii="Times New Roman" w:hAnsi="Times New Roman" w:cs="Times New Roman"/>
          <w:i/>
          <w:sz w:val="24"/>
          <w:szCs w:val="24"/>
        </w:rPr>
        <w:t xml:space="preserve">Thelohanellus </w:t>
      </w:r>
      <w:r w:rsidR="004516BB" w:rsidRPr="00ED5E07">
        <w:rPr>
          <w:rFonts w:ascii="Times New Roman" w:hAnsi="Times New Roman" w:cs="Times New Roman"/>
          <w:sz w:val="24"/>
          <w:szCs w:val="24"/>
        </w:rPr>
        <w:t xml:space="preserve">Kudo, 1933 </w:t>
      </w:r>
      <w:r w:rsidR="0083506C" w:rsidRPr="00ED5E07">
        <w:rPr>
          <w:rFonts w:ascii="Times New Roman" w:hAnsi="Times New Roman" w:cs="Times New Roman"/>
          <w:sz w:val="24"/>
          <w:szCs w:val="24"/>
        </w:rPr>
        <w:t xml:space="preserve">was found to infect the gills of Indian major carp, </w:t>
      </w:r>
      <w:r w:rsidR="0083506C" w:rsidRPr="00097387">
        <w:rPr>
          <w:rFonts w:ascii="Times New Roman" w:hAnsi="Times New Roman" w:cs="Times New Roman"/>
          <w:i/>
          <w:sz w:val="24"/>
          <w:szCs w:val="24"/>
        </w:rPr>
        <w:t>Labeo rohita</w:t>
      </w:r>
      <w:r w:rsidR="0083506C" w:rsidRPr="00ED5E07">
        <w:rPr>
          <w:rFonts w:ascii="Times New Roman" w:hAnsi="Times New Roman" w:cs="Times New Roman"/>
          <w:sz w:val="24"/>
          <w:szCs w:val="24"/>
        </w:rPr>
        <w:t xml:space="preserve"> Hamilton, 1822 collected from Ranaghat fish markets (Latitude: 23.1793º N, Longitude: 88.5758º E), West Benagl, India. A total number of 67 </w:t>
      </w:r>
      <w:r w:rsidR="00572F05" w:rsidRPr="00ED5E07">
        <w:rPr>
          <w:rFonts w:ascii="Times New Roman" w:hAnsi="Times New Roman" w:cs="Times New Roman"/>
          <w:sz w:val="24"/>
          <w:szCs w:val="24"/>
        </w:rPr>
        <w:t xml:space="preserve">fish were collected during the period of January, 2025 to October, 2025 and among them 6 fishes were found to be infected with the parasite. The rate of infection was 8.95%. The plasmodia were visible with naked eye and were large and elongated in shape. </w:t>
      </w:r>
      <w:r w:rsidR="00317FE2" w:rsidRPr="00ED5E07">
        <w:rPr>
          <w:rFonts w:ascii="Times New Roman" w:hAnsi="Times New Roman" w:cs="Times New Roman"/>
          <w:sz w:val="24"/>
          <w:szCs w:val="24"/>
        </w:rPr>
        <w:t>T</w:t>
      </w:r>
      <w:r w:rsidR="000448A6" w:rsidRPr="00ED5E07">
        <w:rPr>
          <w:rFonts w:ascii="Times New Roman" w:hAnsi="Times New Roman" w:cs="Times New Roman"/>
          <w:sz w:val="24"/>
          <w:szCs w:val="24"/>
        </w:rPr>
        <w:t>he present</w:t>
      </w:r>
      <w:r w:rsidR="00317FE2" w:rsidRPr="00ED5E07">
        <w:rPr>
          <w:rFonts w:ascii="Times New Roman" w:hAnsi="Times New Roman" w:cs="Times New Roman"/>
          <w:sz w:val="24"/>
          <w:szCs w:val="24"/>
        </w:rPr>
        <w:t xml:space="preserve"> paper deals</w:t>
      </w:r>
      <w:r w:rsidR="000448A6" w:rsidRPr="00ED5E07">
        <w:rPr>
          <w:rFonts w:ascii="Times New Roman" w:hAnsi="Times New Roman" w:cs="Times New Roman"/>
          <w:sz w:val="24"/>
          <w:szCs w:val="24"/>
        </w:rPr>
        <w:t xml:space="preserve"> with the morphological re-description </w:t>
      </w:r>
      <w:r w:rsidR="00317FE2" w:rsidRPr="00ED5E07">
        <w:rPr>
          <w:rFonts w:ascii="Times New Roman" w:hAnsi="Times New Roman" w:cs="Times New Roman"/>
          <w:sz w:val="24"/>
          <w:szCs w:val="24"/>
        </w:rPr>
        <w:t>and molecular characterization of the parasite. The</w:t>
      </w:r>
      <w:r w:rsidR="000448A6" w:rsidRPr="00ED5E07">
        <w:rPr>
          <w:rFonts w:ascii="Times New Roman" w:hAnsi="Times New Roman" w:cs="Times New Roman"/>
          <w:sz w:val="24"/>
          <w:szCs w:val="24"/>
        </w:rPr>
        <w:t xml:space="preserve"> phylogenetic analysis was also done using the 18s rRNA gene sequences which ju</w:t>
      </w:r>
      <w:r w:rsidR="00540AAE">
        <w:rPr>
          <w:rFonts w:ascii="Times New Roman" w:hAnsi="Times New Roman" w:cs="Times New Roman"/>
          <w:sz w:val="24"/>
          <w:szCs w:val="24"/>
        </w:rPr>
        <w:t xml:space="preserve">stifies its taxonomic position </w:t>
      </w:r>
      <w:r w:rsidR="00540AAE" w:rsidRPr="00540AAE">
        <w:rPr>
          <w:rFonts w:ascii="Times New Roman" w:hAnsi="Times New Roman" w:cs="Times New Roman"/>
          <w:sz w:val="24"/>
          <w:szCs w:val="24"/>
          <w:highlight w:val="yellow"/>
        </w:rPr>
        <w:t>and resolves the ambiguities regarding the species identification</w:t>
      </w:r>
      <w:r w:rsidR="00540AAE">
        <w:rPr>
          <w:rFonts w:ascii="Times New Roman" w:hAnsi="Times New Roman" w:cs="Times New Roman"/>
          <w:sz w:val="24"/>
          <w:szCs w:val="24"/>
        </w:rPr>
        <w:t>.</w:t>
      </w:r>
      <w:r w:rsidR="00E2311D" w:rsidRPr="00ED5E07">
        <w:rPr>
          <w:rFonts w:ascii="Times New Roman" w:hAnsi="Times New Roman" w:cs="Times New Roman"/>
          <w:sz w:val="24"/>
          <w:szCs w:val="24"/>
        </w:rPr>
        <w:t xml:space="preserve"> </w:t>
      </w:r>
      <w:r w:rsidR="00540AAE">
        <w:rPr>
          <w:rFonts w:ascii="Times New Roman" w:hAnsi="Times New Roman" w:cs="Times New Roman"/>
          <w:sz w:val="24"/>
          <w:szCs w:val="24"/>
        </w:rPr>
        <w:t xml:space="preserve">This study </w:t>
      </w:r>
      <w:r w:rsidR="00E2311D" w:rsidRPr="00ED5E07">
        <w:rPr>
          <w:rFonts w:ascii="Times New Roman" w:hAnsi="Times New Roman" w:cs="Times New Roman"/>
          <w:sz w:val="24"/>
          <w:szCs w:val="24"/>
        </w:rPr>
        <w:t xml:space="preserve">also presents the molecular analysis of </w:t>
      </w:r>
      <w:r w:rsidR="00E2311D" w:rsidRPr="00ED5E07">
        <w:rPr>
          <w:rFonts w:ascii="Times New Roman" w:hAnsi="Times New Roman" w:cs="Times New Roman"/>
          <w:i/>
          <w:sz w:val="24"/>
          <w:szCs w:val="24"/>
        </w:rPr>
        <w:t xml:space="preserve">Thelohanellus bifurcata </w:t>
      </w:r>
      <w:r w:rsidR="00E2311D" w:rsidRPr="00ED5E07">
        <w:rPr>
          <w:rFonts w:ascii="Times New Roman" w:hAnsi="Times New Roman" w:cs="Times New Roman"/>
          <w:sz w:val="24"/>
          <w:szCs w:val="24"/>
        </w:rPr>
        <w:t xml:space="preserve">Basu and Haldar, 1999 for the second time from Indian sub-continent and for the first time from West Bengal. </w:t>
      </w:r>
    </w:p>
    <w:p w:rsidR="000844D5" w:rsidRPr="00ED5E07" w:rsidRDefault="000844D5" w:rsidP="00E2311D">
      <w:pPr>
        <w:spacing w:before="240"/>
        <w:jc w:val="both"/>
        <w:rPr>
          <w:rFonts w:ascii="Times New Roman" w:hAnsi="Times New Roman" w:cs="Times New Roman"/>
          <w:sz w:val="24"/>
          <w:szCs w:val="24"/>
        </w:rPr>
      </w:pPr>
      <w:r w:rsidRPr="00ED5E07">
        <w:rPr>
          <w:rFonts w:ascii="Times New Roman" w:hAnsi="Times New Roman" w:cs="Times New Roman"/>
          <w:b/>
          <w:sz w:val="24"/>
          <w:szCs w:val="24"/>
        </w:rPr>
        <w:t xml:space="preserve">Keywords: </w:t>
      </w:r>
      <w:r w:rsidRPr="00ED5E07">
        <w:rPr>
          <w:rFonts w:ascii="Times New Roman" w:hAnsi="Times New Roman" w:cs="Times New Roman"/>
          <w:sz w:val="24"/>
          <w:szCs w:val="24"/>
        </w:rPr>
        <w:t xml:space="preserve">Myxozoa, </w:t>
      </w:r>
      <w:r w:rsidRPr="00ED5E07">
        <w:rPr>
          <w:rFonts w:ascii="Times New Roman" w:hAnsi="Times New Roman" w:cs="Times New Roman"/>
          <w:i/>
          <w:sz w:val="24"/>
          <w:szCs w:val="24"/>
        </w:rPr>
        <w:t>Thelohanellus bifurcata</w:t>
      </w:r>
      <w:r w:rsidRPr="00ED5E07">
        <w:rPr>
          <w:rFonts w:ascii="Times New Roman" w:hAnsi="Times New Roman" w:cs="Times New Roman"/>
          <w:sz w:val="24"/>
          <w:szCs w:val="24"/>
        </w:rPr>
        <w:t xml:space="preserve">, 18s rRNA, Phylogeny, Major Carp, </w:t>
      </w:r>
      <w:r w:rsidRPr="00ED5E07">
        <w:rPr>
          <w:rFonts w:ascii="Times New Roman" w:hAnsi="Times New Roman" w:cs="Times New Roman"/>
          <w:i/>
          <w:sz w:val="24"/>
          <w:szCs w:val="24"/>
        </w:rPr>
        <w:t>Labeo rohita</w:t>
      </w:r>
    </w:p>
    <w:p w:rsidR="00485F80" w:rsidRDefault="00485F80" w:rsidP="00C1000E">
      <w:pPr>
        <w:jc w:val="both"/>
        <w:rPr>
          <w:rFonts w:ascii="Times New Roman" w:hAnsi="Times New Roman" w:cs="Times New Roman"/>
          <w:b/>
          <w:sz w:val="24"/>
        </w:rPr>
      </w:pPr>
    </w:p>
    <w:p w:rsidR="00E40296" w:rsidRDefault="00E40296" w:rsidP="00C1000E">
      <w:pPr>
        <w:jc w:val="both"/>
        <w:rPr>
          <w:rFonts w:ascii="Times New Roman" w:hAnsi="Times New Roman" w:cs="Times New Roman"/>
          <w:b/>
          <w:sz w:val="24"/>
        </w:rPr>
      </w:pPr>
    </w:p>
    <w:p w:rsidR="00C1000E" w:rsidRPr="00ED5E07" w:rsidRDefault="00C1000E" w:rsidP="00C1000E">
      <w:pPr>
        <w:jc w:val="both"/>
        <w:rPr>
          <w:rFonts w:ascii="Times New Roman" w:hAnsi="Times New Roman" w:cs="Times New Roman"/>
          <w:b/>
          <w:sz w:val="24"/>
        </w:rPr>
      </w:pPr>
      <w:r w:rsidRPr="00ED5E07">
        <w:rPr>
          <w:rFonts w:ascii="Times New Roman" w:hAnsi="Times New Roman" w:cs="Times New Roman"/>
          <w:b/>
          <w:sz w:val="24"/>
        </w:rPr>
        <w:t>INTRODUCTION:</w:t>
      </w:r>
    </w:p>
    <w:p w:rsidR="007C7C05" w:rsidRPr="00ED5E07" w:rsidRDefault="007C7C05" w:rsidP="00C1000E">
      <w:pPr>
        <w:jc w:val="both"/>
        <w:rPr>
          <w:rFonts w:ascii="Times New Roman" w:hAnsi="Times New Roman" w:cs="Times New Roman"/>
          <w:sz w:val="24"/>
        </w:rPr>
      </w:pPr>
      <w:r w:rsidRPr="00ED5E07">
        <w:rPr>
          <w:rFonts w:ascii="Times New Roman" w:hAnsi="Times New Roman" w:cs="Times New Roman"/>
          <w:sz w:val="24"/>
        </w:rPr>
        <w:t>Myxozoans are the spore forming organisms which parasitize both freshwater and marine fishes obligatorily (Lom and Dykova, 1995) (Lom and Dyk</w:t>
      </w:r>
      <w:r w:rsidR="00117CC5" w:rsidRPr="00ED5E07">
        <w:rPr>
          <w:rFonts w:ascii="Times New Roman" w:hAnsi="Times New Roman" w:cs="Times New Roman"/>
          <w:sz w:val="24"/>
        </w:rPr>
        <w:t>ova, 2006) (Kaur and Singh, 2012</w:t>
      </w:r>
      <w:r w:rsidRPr="00ED5E07">
        <w:rPr>
          <w:rFonts w:ascii="Times New Roman" w:hAnsi="Times New Roman" w:cs="Times New Roman"/>
          <w:sz w:val="24"/>
        </w:rPr>
        <w:t xml:space="preserve">) (Abraham et al., 2015). They possess a complex pattern of life cycle which involves an invertebrate host (mainly Oligochaetes or Polychaetes) and a vertebrate host (mainly fish). Most of them act as endoparasite inside the vertebrate host tissue and exhibits a world-wide distribution pattern (Kaur, Gupta and Attri, 2021). Myxozoans are divided into two classes- Myxosporea and Malacosporea which altogether have been classified into 62 genera having more than 2600 species throughout the world (Nissa et al., 2024) (Lom and Dykova, 2006) </w:t>
      </w:r>
      <w:r w:rsidRPr="00ED5E07">
        <w:rPr>
          <w:rFonts w:ascii="Times New Roman" w:hAnsi="Times New Roman" w:cs="Times New Roman"/>
          <w:sz w:val="24"/>
        </w:rPr>
        <w:lastRenderedPageBreak/>
        <w:t xml:space="preserve">(Fiala et al., 2015) (Okamura et al., 2018). Due to the huge diversity among the myxozoan species, the traditional method of species identification such as morphological </w:t>
      </w:r>
      <w:r w:rsidR="007F28B6" w:rsidRPr="00ED5E07">
        <w:rPr>
          <w:rFonts w:ascii="Times New Roman" w:hAnsi="Times New Roman" w:cs="Times New Roman"/>
          <w:sz w:val="24"/>
        </w:rPr>
        <w:t>analysis is not sufficient for proper identification up to species level (Atkinson et al., 2015) (Struck et al., 2018) (Nissa et al., 2024). The morphological characterization is mainly based on the number of polar capsule present in the spore, the arrangement of polar capsule, spore dimens</w:t>
      </w:r>
      <w:r w:rsidR="00C44F1A" w:rsidRPr="00ED5E07">
        <w:rPr>
          <w:rFonts w:ascii="Times New Roman" w:hAnsi="Times New Roman" w:cs="Times New Roman"/>
          <w:sz w:val="24"/>
        </w:rPr>
        <w:t>ions etc. (Yokoyama et al., 1998</w:t>
      </w:r>
      <w:r w:rsidR="007F28B6" w:rsidRPr="00ED5E07">
        <w:rPr>
          <w:rFonts w:ascii="Times New Roman" w:hAnsi="Times New Roman" w:cs="Times New Roman"/>
          <w:sz w:val="24"/>
        </w:rPr>
        <w:t>). However, for effective species identification</w:t>
      </w:r>
      <w:r w:rsidR="00782E74" w:rsidRPr="00ED5E07">
        <w:rPr>
          <w:rFonts w:ascii="Times New Roman" w:hAnsi="Times New Roman" w:cs="Times New Roman"/>
          <w:sz w:val="24"/>
        </w:rPr>
        <w:t>,</w:t>
      </w:r>
      <w:r w:rsidR="007F28B6" w:rsidRPr="00ED5E07">
        <w:rPr>
          <w:rFonts w:ascii="Times New Roman" w:hAnsi="Times New Roman" w:cs="Times New Roman"/>
          <w:sz w:val="24"/>
        </w:rPr>
        <w:t xml:space="preserve"> the DNA-based molecular phylogen</w:t>
      </w:r>
      <w:r w:rsidR="00782E74" w:rsidRPr="00ED5E07">
        <w:rPr>
          <w:rFonts w:ascii="Times New Roman" w:hAnsi="Times New Roman" w:cs="Times New Roman"/>
          <w:sz w:val="24"/>
        </w:rPr>
        <w:t xml:space="preserve">etic studies of the parasites are required. Smothers et al., 1994 were first to use the small sub-unit of ribosomal RNA gene sequence for the analysis of the phylogeny and identification of the myxozoan species. </w:t>
      </w:r>
      <w:r w:rsidR="00613B26" w:rsidRPr="00ED5E07">
        <w:rPr>
          <w:rFonts w:ascii="Times New Roman" w:hAnsi="Times New Roman" w:cs="Times New Roman"/>
          <w:sz w:val="24"/>
        </w:rPr>
        <w:t xml:space="preserve">Now it becomes mandatory to include the molecular analysis for the characterization of myxozoan species. Moreover, the proper identification of myxozoan species is also necessary for the detection of fish </w:t>
      </w:r>
      <w:r w:rsidR="00D355BF" w:rsidRPr="00ED5E07">
        <w:rPr>
          <w:rFonts w:ascii="Times New Roman" w:hAnsi="Times New Roman" w:cs="Times New Roman"/>
          <w:sz w:val="24"/>
        </w:rPr>
        <w:t xml:space="preserve">diseases caused by them and for the management of the diseases in economically important fishes (Kaur and Singh, 2012) (Abraham et al., 2015). </w:t>
      </w:r>
    </w:p>
    <w:p w:rsidR="008A5FD3" w:rsidRPr="00ED5E07" w:rsidRDefault="008A5FD3" w:rsidP="00C1000E">
      <w:pPr>
        <w:jc w:val="both"/>
        <w:rPr>
          <w:rFonts w:ascii="Times New Roman" w:hAnsi="Times New Roman" w:cs="Times New Roman"/>
          <w:sz w:val="24"/>
        </w:rPr>
      </w:pPr>
      <w:r w:rsidRPr="00ED5E07">
        <w:rPr>
          <w:rFonts w:ascii="Times New Roman" w:hAnsi="Times New Roman" w:cs="Times New Roman"/>
          <w:sz w:val="24"/>
        </w:rPr>
        <w:t xml:space="preserve">The genus </w:t>
      </w:r>
      <w:r w:rsidRPr="00ED5E07">
        <w:rPr>
          <w:rFonts w:ascii="Times New Roman" w:hAnsi="Times New Roman" w:cs="Times New Roman"/>
          <w:i/>
          <w:sz w:val="24"/>
        </w:rPr>
        <w:t>Thelohanellus</w:t>
      </w:r>
      <w:r w:rsidR="00334E9E">
        <w:rPr>
          <w:rFonts w:ascii="Times New Roman" w:hAnsi="Times New Roman" w:cs="Times New Roman"/>
          <w:i/>
          <w:sz w:val="24"/>
        </w:rPr>
        <w:t xml:space="preserve"> </w:t>
      </w:r>
      <w:r w:rsidR="005F6723" w:rsidRPr="00ED5E07">
        <w:rPr>
          <w:rFonts w:ascii="Times New Roman" w:hAnsi="Times New Roman" w:cs="Times New Roman"/>
          <w:sz w:val="24"/>
        </w:rPr>
        <w:t xml:space="preserve">Kudo, 1933 </w:t>
      </w:r>
      <w:r w:rsidRPr="00ED5E07">
        <w:rPr>
          <w:rFonts w:ascii="Times New Roman" w:hAnsi="Times New Roman" w:cs="Times New Roman"/>
          <w:sz w:val="24"/>
        </w:rPr>
        <w:t>belonging to class Myxosporea</w:t>
      </w:r>
      <w:r w:rsidR="004F2387" w:rsidRPr="00ED5E07">
        <w:rPr>
          <w:rFonts w:ascii="Times New Roman" w:hAnsi="Times New Roman" w:cs="Times New Roman"/>
          <w:sz w:val="24"/>
        </w:rPr>
        <w:t xml:space="preserve">, family Myxobolidae </w:t>
      </w:r>
      <w:r w:rsidR="00D733D1" w:rsidRPr="00ED5E07">
        <w:rPr>
          <w:rFonts w:ascii="Times New Roman" w:hAnsi="Times New Roman" w:cs="Times New Roman"/>
          <w:sz w:val="24"/>
        </w:rPr>
        <w:t xml:space="preserve">is the second largest genus after the genus </w:t>
      </w:r>
      <w:r w:rsidR="00D733D1" w:rsidRPr="00ED5E07">
        <w:rPr>
          <w:rFonts w:ascii="Times New Roman" w:hAnsi="Times New Roman" w:cs="Times New Roman"/>
          <w:i/>
          <w:sz w:val="24"/>
        </w:rPr>
        <w:t>Myxobolus</w:t>
      </w:r>
      <w:r w:rsidR="00D733D1" w:rsidRPr="00ED5E07">
        <w:rPr>
          <w:rFonts w:ascii="Times New Roman" w:hAnsi="Times New Roman" w:cs="Times New Roman"/>
          <w:sz w:val="24"/>
        </w:rPr>
        <w:t xml:space="preserve"> (Eiras et al., 2023). Several species of genus </w:t>
      </w:r>
      <w:r w:rsidR="00D733D1" w:rsidRPr="00ED5E07">
        <w:rPr>
          <w:rFonts w:ascii="Times New Roman" w:hAnsi="Times New Roman" w:cs="Times New Roman"/>
          <w:i/>
          <w:sz w:val="24"/>
        </w:rPr>
        <w:t>Thelohanellus</w:t>
      </w:r>
      <w:r w:rsidR="00D733D1" w:rsidRPr="00ED5E07">
        <w:rPr>
          <w:rFonts w:ascii="Times New Roman" w:hAnsi="Times New Roman" w:cs="Times New Roman"/>
          <w:sz w:val="24"/>
        </w:rPr>
        <w:t xml:space="preserve"> have been reported from different freshwater fishes all over the world (Basu and Haldar, 1999) (Kaur and Gupta, 2017). A synopsis by Kaur et al. (2017) provides the compiled information</w:t>
      </w:r>
      <w:r w:rsidR="008C4E2E" w:rsidRPr="00ED5E07">
        <w:rPr>
          <w:rFonts w:ascii="Times New Roman" w:hAnsi="Times New Roman" w:cs="Times New Roman"/>
          <w:sz w:val="24"/>
        </w:rPr>
        <w:t xml:space="preserve"> describing 52 species belonging to genus </w:t>
      </w:r>
      <w:r w:rsidR="008C4E2E" w:rsidRPr="00ED5E07">
        <w:rPr>
          <w:rFonts w:ascii="Times New Roman" w:hAnsi="Times New Roman" w:cs="Times New Roman"/>
          <w:i/>
          <w:sz w:val="24"/>
        </w:rPr>
        <w:t xml:space="preserve">Thelohanellus </w:t>
      </w:r>
      <w:r w:rsidR="008C4E2E" w:rsidRPr="00ED5E07">
        <w:rPr>
          <w:rFonts w:ascii="Times New Roman" w:hAnsi="Times New Roman" w:cs="Times New Roman"/>
          <w:sz w:val="24"/>
        </w:rPr>
        <w:t xml:space="preserve">from Indian subcontinent. Among </w:t>
      </w:r>
      <w:r w:rsidR="00D924E5" w:rsidRPr="00ED5E07">
        <w:rPr>
          <w:rFonts w:ascii="Times New Roman" w:hAnsi="Times New Roman" w:cs="Times New Roman"/>
          <w:sz w:val="24"/>
        </w:rPr>
        <w:t xml:space="preserve">several species belonging to genus </w:t>
      </w:r>
      <w:r w:rsidR="00D924E5" w:rsidRPr="00ED5E07">
        <w:rPr>
          <w:rFonts w:ascii="Times New Roman" w:hAnsi="Times New Roman" w:cs="Times New Roman"/>
          <w:i/>
          <w:sz w:val="24"/>
        </w:rPr>
        <w:t>Thelohanellus</w:t>
      </w:r>
      <w:r w:rsidR="008A4DB4" w:rsidRPr="00ED5E07">
        <w:rPr>
          <w:rFonts w:ascii="Times New Roman" w:hAnsi="Times New Roman" w:cs="Times New Roman"/>
          <w:sz w:val="24"/>
        </w:rPr>
        <w:t xml:space="preserve">, the species </w:t>
      </w:r>
      <w:r w:rsidR="008A4DB4" w:rsidRPr="00ED5E07">
        <w:rPr>
          <w:rFonts w:ascii="Times New Roman" w:hAnsi="Times New Roman" w:cs="Times New Roman"/>
          <w:i/>
          <w:sz w:val="24"/>
        </w:rPr>
        <w:t xml:space="preserve">Thelohanellus bifurcata </w:t>
      </w:r>
      <w:r w:rsidR="008A4DB4" w:rsidRPr="00ED5E07">
        <w:rPr>
          <w:rFonts w:ascii="Times New Roman" w:hAnsi="Times New Roman" w:cs="Times New Roman"/>
          <w:sz w:val="24"/>
        </w:rPr>
        <w:t xml:space="preserve">Basu and Haldar, 1999 has been reported to cause gill haemorrhagic disease in the Indian major carps (Kaur and Katoch, 2014) (Nissa et al., 2024). This species was first recorded from the gills of </w:t>
      </w:r>
      <w:r w:rsidR="008A4DB4" w:rsidRPr="00ED5E07">
        <w:rPr>
          <w:rFonts w:ascii="Times New Roman" w:hAnsi="Times New Roman" w:cs="Times New Roman"/>
          <w:i/>
          <w:sz w:val="24"/>
        </w:rPr>
        <w:t>Labeo rohita</w:t>
      </w:r>
      <w:r w:rsidR="008A4DB4" w:rsidRPr="00ED5E07">
        <w:rPr>
          <w:rFonts w:ascii="Times New Roman" w:hAnsi="Times New Roman" w:cs="Times New Roman"/>
          <w:sz w:val="24"/>
        </w:rPr>
        <w:t xml:space="preserve"> (Hamilton, 1822) by Basu and Haldar in 1999 from Ranaghat, West Bengal, India. </w:t>
      </w:r>
      <w:r w:rsidR="00ED63CF" w:rsidRPr="00ED5E07">
        <w:rPr>
          <w:rFonts w:ascii="Times New Roman" w:hAnsi="Times New Roman" w:cs="Times New Roman"/>
          <w:sz w:val="24"/>
        </w:rPr>
        <w:t xml:space="preserve">Then, the species was reported from Punjab, India from the same host fish, </w:t>
      </w:r>
      <w:r w:rsidR="00ED63CF" w:rsidRPr="00ED5E07">
        <w:rPr>
          <w:rFonts w:ascii="Times New Roman" w:hAnsi="Times New Roman" w:cs="Times New Roman"/>
          <w:i/>
          <w:sz w:val="24"/>
        </w:rPr>
        <w:t>Labeo rohita</w:t>
      </w:r>
      <w:r w:rsidR="00ED63CF" w:rsidRPr="00ED5E07">
        <w:rPr>
          <w:rFonts w:ascii="Times New Roman" w:hAnsi="Times New Roman" w:cs="Times New Roman"/>
          <w:sz w:val="24"/>
        </w:rPr>
        <w:t xml:space="preserve"> by Kaur and Katoch (2014). In both the above mentioned studies, only the morphological descriptions were provided by the authors. In 2024, </w:t>
      </w:r>
      <w:r w:rsidR="004F2387" w:rsidRPr="00ED5E07">
        <w:rPr>
          <w:rFonts w:ascii="Times New Roman" w:hAnsi="Times New Roman" w:cs="Times New Roman"/>
          <w:sz w:val="24"/>
        </w:rPr>
        <w:t xml:space="preserve">Nissa et al. were first to provide the molecular studies of the species </w:t>
      </w:r>
      <w:r w:rsidR="004F2387" w:rsidRPr="00ED5E07">
        <w:rPr>
          <w:rFonts w:ascii="Times New Roman" w:hAnsi="Times New Roman" w:cs="Times New Roman"/>
          <w:i/>
          <w:sz w:val="24"/>
        </w:rPr>
        <w:t xml:space="preserve">Thelohanellus bifurcata </w:t>
      </w:r>
      <w:r w:rsidR="004F2387" w:rsidRPr="00ED5E07">
        <w:rPr>
          <w:rFonts w:ascii="Times New Roman" w:hAnsi="Times New Roman" w:cs="Times New Roman"/>
          <w:sz w:val="24"/>
        </w:rPr>
        <w:t xml:space="preserve">Basu and Haldar, 1999 based on 18s rRNA gene sequence, infecting the host fish </w:t>
      </w:r>
      <w:r w:rsidR="004F2387" w:rsidRPr="00ED5E07">
        <w:rPr>
          <w:rFonts w:ascii="Times New Roman" w:hAnsi="Times New Roman" w:cs="Times New Roman"/>
          <w:i/>
          <w:sz w:val="24"/>
        </w:rPr>
        <w:t xml:space="preserve">Labeo rohita </w:t>
      </w:r>
      <w:r w:rsidR="004F2387" w:rsidRPr="00ED5E07">
        <w:rPr>
          <w:rFonts w:ascii="Times New Roman" w:hAnsi="Times New Roman" w:cs="Times New Roman"/>
          <w:sz w:val="24"/>
        </w:rPr>
        <w:t xml:space="preserve">from Punjab, India. The present study reports the presence of the species </w:t>
      </w:r>
      <w:r w:rsidR="004F2387" w:rsidRPr="00ED5E07">
        <w:rPr>
          <w:rFonts w:ascii="Times New Roman" w:hAnsi="Times New Roman" w:cs="Times New Roman"/>
          <w:i/>
          <w:sz w:val="24"/>
        </w:rPr>
        <w:t xml:space="preserve">Thelohanellus bifurcata </w:t>
      </w:r>
      <w:r w:rsidR="004F2387" w:rsidRPr="00ED5E07">
        <w:rPr>
          <w:rFonts w:ascii="Times New Roman" w:hAnsi="Times New Roman" w:cs="Times New Roman"/>
          <w:sz w:val="24"/>
        </w:rPr>
        <w:t>Basu and Haldar, 1999 for the second time from Ranaghat, West Bengal infecting</w:t>
      </w:r>
      <w:r w:rsidR="00187275" w:rsidRPr="00ED5E07">
        <w:rPr>
          <w:rFonts w:ascii="Times New Roman" w:hAnsi="Times New Roman" w:cs="Times New Roman"/>
          <w:sz w:val="24"/>
        </w:rPr>
        <w:t xml:space="preserve"> the host fish </w:t>
      </w:r>
      <w:r w:rsidR="00187275" w:rsidRPr="00ED5E07">
        <w:rPr>
          <w:rFonts w:ascii="Times New Roman" w:hAnsi="Times New Roman" w:cs="Times New Roman"/>
          <w:i/>
          <w:sz w:val="24"/>
        </w:rPr>
        <w:t>Labeo rohita</w:t>
      </w:r>
      <w:r w:rsidR="00187275" w:rsidRPr="00ED5E07">
        <w:rPr>
          <w:rFonts w:ascii="Times New Roman" w:hAnsi="Times New Roman" w:cs="Times New Roman"/>
          <w:sz w:val="24"/>
        </w:rPr>
        <w:t xml:space="preserve">. </w:t>
      </w:r>
      <w:r w:rsidR="00187275" w:rsidRPr="00C000F9">
        <w:rPr>
          <w:rFonts w:ascii="Times New Roman" w:hAnsi="Times New Roman" w:cs="Times New Roman"/>
          <w:sz w:val="24"/>
          <w:highlight w:val="yellow"/>
        </w:rPr>
        <w:t>This study prov</w:t>
      </w:r>
      <w:r w:rsidR="00A67C52" w:rsidRPr="00C000F9">
        <w:rPr>
          <w:rFonts w:ascii="Times New Roman" w:hAnsi="Times New Roman" w:cs="Times New Roman"/>
          <w:sz w:val="24"/>
          <w:highlight w:val="yellow"/>
        </w:rPr>
        <w:t xml:space="preserve">ides </w:t>
      </w:r>
      <w:r w:rsidR="00187275" w:rsidRPr="00C000F9">
        <w:rPr>
          <w:rFonts w:ascii="Times New Roman" w:hAnsi="Times New Roman" w:cs="Times New Roman"/>
          <w:sz w:val="24"/>
          <w:highlight w:val="yellow"/>
        </w:rPr>
        <w:t xml:space="preserve">the molecular characterization for the second time from </w:t>
      </w:r>
      <w:r w:rsidR="00B94086" w:rsidRPr="00C000F9">
        <w:rPr>
          <w:rFonts w:ascii="Times New Roman" w:hAnsi="Times New Roman" w:cs="Times New Roman"/>
          <w:sz w:val="24"/>
          <w:highlight w:val="yellow"/>
        </w:rPr>
        <w:t>India and for the first time from West Bengal</w:t>
      </w:r>
      <w:r w:rsidR="00A67C52" w:rsidRPr="00C000F9">
        <w:rPr>
          <w:rFonts w:ascii="Times New Roman" w:hAnsi="Times New Roman" w:cs="Times New Roman"/>
          <w:sz w:val="24"/>
          <w:highlight w:val="yellow"/>
        </w:rPr>
        <w:t>,</w:t>
      </w:r>
      <w:r w:rsidR="00B94086" w:rsidRPr="00C000F9">
        <w:rPr>
          <w:rFonts w:ascii="Times New Roman" w:hAnsi="Times New Roman" w:cs="Times New Roman"/>
          <w:sz w:val="24"/>
          <w:highlight w:val="yellow"/>
        </w:rPr>
        <w:t xml:space="preserve"> India, based on 18s rRNA gene sequences</w:t>
      </w:r>
      <w:r w:rsidR="00C000F9" w:rsidRPr="00C000F9">
        <w:rPr>
          <w:rFonts w:ascii="Times New Roman" w:hAnsi="Times New Roman" w:cs="Times New Roman"/>
          <w:sz w:val="24"/>
          <w:highlight w:val="yellow"/>
        </w:rPr>
        <w:t xml:space="preserve"> which will be helpful for its proper identification and understanding the geographical distribution of the parasite</w:t>
      </w:r>
      <w:r w:rsidR="00B94086" w:rsidRPr="00C000F9">
        <w:rPr>
          <w:rFonts w:ascii="Times New Roman" w:hAnsi="Times New Roman" w:cs="Times New Roman"/>
          <w:sz w:val="24"/>
          <w:highlight w:val="yellow"/>
        </w:rPr>
        <w:t>.</w:t>
      </w:r>
      <w:r w:rsidR="00B94086" w:rsidRPr="00ED5E07">
        <w:rPr>
          <w:rFonts w:ascii="Times New Roman" w:hAnsi="Times New Roman" w:cs="Times New Roman"/>
          <w:sz w:val="24"/>
        </w:rPr>
        <w:t xml:space="preserve"> </w:t>
      </w:r>
      <w:r w:rsidR="00A67C52" w:rsidRPr="00A67C52">
        <w:rPr>
          <w:rFonts w:ascii="Times New Roman" w:hAnsi="Times New Roman" w:cs="Times New Roman"/>
          <w:sz w:val="24"/>
          <w:highlight w:val="yellow"/>
        </w:rPr>
        <w:t xml:space="preserve">Previously identified morphological characteristics of the parasite are </w:t>
      </w:r>
      <w:r w:rsidR="00A67C52">
        <w:rPr>
          <w:rFonts w:ascii="Times New Roman" w:hAnsi="Times New Roman" w:cs="Times New Roman"/>
          <w:sz w:val="24"/>
          <w:highlight w:val="yellow"/>
        </w:rPr>
        <w:t xml:space="preserve">also </w:t>
      </w:r>
      <w:r w:rsidR="00A67C52" w:rsidRPr="00A67C52">
        <w:rPr>
          <w:rFonts w:ascii="Times New Roman" w:hAnsi="Times New Roman" w:cs="Times New Roman"/>
          <w:sz w:val="24"/>
          <w:highlight w:val="yellow"/>
        </w:rPr>
        <w:t>confirmed by providing comparative descriptions of the morphometry of the species</w:t>
      </w:r>
      <w:r w:rsidR="00A67C52">
        <w:rPr>
          <w:rFonts w:ascii="Times New Roman" w:hAnsi="Times New Roman" w:cs="Times New Roman"/>
          <w:sz w:val="24"/>
          <w:highlight w:val="yellow"/>
        </w:rPr>
        <w:t xml:space="preserve"> (Table 2)</w:t>
      </w:r>
      <w:r w:rsidR="00A67C52" w:rsidRPr="00A67C52">
        <w:rPr>
          <w:rFonts w:ascii="Times New Roman" w:hAnsi="Times New Roman" w:cs="Times New Roman"/>
          <w:sz w:val="24"/>
          <w:highlight w:val="yellow"/>
        </w:rPr>
        <w:t>.</w:t>
      </w:r>
    </w:p>
    <w:p w:rsidR="00875BE3" w:rsidRPr="00ED5E07" w:rsidRDefault="00875BE3" w:rsidP="00C1000E">
      <w:pPr>
        <w:jc w:val="both"/>
        <w:rPr>
          <w:rFonts w:ascii="Times New Roman" w:hAnsi="Times New Roman" w:cs="Times New Roman"/>
          <w:b/>
          <w:sz w:val="32"/>
        </w:rPr>
      </w:pPr>
    </w:p>
    <w:p w:rsidR="00C1000E" w:rsidRPr="00ED5E07" w:rsidRDefault="00C1000E" w:rsidP="00C1000E">
      <w:pPr>
        <w:jc w:val="both"/>
        <w:rPr>
          <w:rFonts w:ascii="Times New Roman" w:hAnsi="Times New Roman" w:cs="Times New Roman"/>
          <w:b/>
          <w:sz w:val="24"/>
        </w:rPr>
      </w:pPr>
      <w:r w:rsidRPr="00ED5E07">
        <w:rPr>
          <w:rFonts w:ascii="Times New Roman" w:hAnsi="Times New Roman" w:cs="Times New Roman"/>
          <w:b/>
          <w:sz w:val="24"/>
        </w:rPr>
        <w:t>MATERIALS AND METHODS:</w:t>
      </w:r>
    </w:p>
    <w:p w:rsidR="00067554" w:rsidRPr="00ED5E07" w:rsidRDefault="00C1000E" w:rsidP="00D11CA8">
      <w:pPr>
        <w:jc w:val="both"/>
        <w:rPr>
          <w:rFonts w:ascii="Times New Roman" w:hAnsi="Times New Roman" w:cs="Times New Roman"/>
          <w:sz w:val="24"/>
          <w:szCs w:val="20"/>
        </w:rPr>
      </w:pPr>
      <w:r w:rsidRPr="00ED5E07">
        <w:rPr>
          <w:rFonts w:ascii="Times New Roman" w:hAnsi="Times New Roman" w:cs="Times New Roman"/>
          <w:b/>
          <w:sz w:val="24"/>
        </w:rPr>
        <w:t xml:space="preserve">Sample collection and light microscopy: </w:t>
      </w:r>
      <w:r w:rsidR="00F743FF" w:rsidRPr="00ED5E07">
        <w:rPr>
          <w:rFonts w:ascii="Times New Roman" w:hAnsi="Times New Roman" w:cs="Times New Roman"/>
          <w:sz w:val="24"/>
        </w:rPr>
        <w:t xml:space="preserve">A total number of 96 live host fish </w:t>
      </w:r>
      <w:r w:rsidR="00F743FF" w:rsidRPr="00ED5E07">
        <w:rPr>
          <w:rFonts w:ascii="Times New Roman" w:hAnsi="Times New Roman" w:cs="Times New Roman"/>
          <w:i/>
          <w:sz w:val="24"/>
        </w:rPr>
        <w:t xml:space="preserve">Labeo rohita </w:t>
      </w:r>
      <w:r w:rsidR="00F743FF" w:rsidRPr="00ED5E07">
        <w:rPr>
          <w:rFonts w:ascii="Times New Roman" w:hAnsi="Times New Roman" w:cs="Times New Roman"/>
          <w:sz w:val="24"/>
        </w:rPr>
        <w:t>(Hamilton, 1822) were randomly collected between January, 2025 and October, 2025 from the fish markets of Ranaghat (</w:t>
      </w:r>
      <w:r w:rsidR="00F743FF" w:rsidRPr="00ED5E07">
        <w:rPr>
          <w:rFonts w:ascii="Times New Roman" w:hAnsi="Times New Roman" w:cs="Times New Roman"/>
          <w:sz w:val="24"/>
          <w:szCs w:val="20"/>
        </w:rPr>
        <w:t xml:space="preserve">Latitude: 23.1793º N, Longitude: 88.5758º E) of Dist. Nadia, West Bengal, </w:t>
      </w:r>
      <w:r w:rsidR="003646E8" w:rsidRPr="00ED5E07">
        <w:rPr>
          <w:rFonts w:ascii="Times New Roman" w:hAnsi="Times New Roman" w:cs="Times New Roman"/>
          <w:sz w:val="24"/>
          <w:szCs w:val="20"/>
        </w:rPr>
        <w:t xml:space="preserve">India. The live host fish were collected and </w:t>
      </w:r>
      <w:r w:rsidR="00B17E80" w:rsidRPr="00ED5E07">
        <w:rPr>
          <w:rFonts w:ascii="Times New Roman" w:hAnsi="Times New Roman" w:cs="Times New Roman"/>
          <w:sz w:val="24"/>
          <w:szCs w:val="20"/>
        </w:rPr>
        <w:t xml:space="preserve">immediately examined for the </w:t>
      </w:r>
      <w:r w:rsidR="00B17E80" w:rsidRPr="00ED5E07">
        <w:rPr>
          <w:rFonts w:ascii="Times New Roman" w:hAnsi="Times New Roman" w:cs="Times New Roman"/>
          <w:sz w:val="24"/>
          <w:szCs w:val="20"/>
        </w:rPr>
        <w:lastRenderedPageBreak/>
        <w:t>presence of the myxozoan parasites at the site of fish collection. Each fish was dissected and the gills and the internal organs like gut, ga</w:t>
      </w:r>
      <w:r w:rsidR="002E4291">
        <w:rPr>
          <w:rFonts w:ascii="Times New Roman" w:hAnsi="Times New Roman" w:cs="Times New Roman"/>
          <w:sz w:val="24"/>
          <w:szCs w:val="20"/>
        </w:rPr>
        <w:t>ll bladder, liver, kidney etc. we</w:t>
      </w:r>
      <w:r w:rsidR="00B17E80" w:rsidRPr="00ED5E07">
        <w:rPr>
          <w:rFonts w:ascii="Times New Roman" w:hAnsi="Times New Roman" w:cs="Times New Roman"/>
          <w:sz w:val="24"/>
          <w:szCs w:val="20"/>
        </w:rPr>
        <w:t xml:space="preserve">re examined for the presence of myxozoan infection. </w:t>
      </w:r>
      <w:r w:rsidR="00B17E80" w:rsidRPr="002E4291">
        <w:rPr>
          <w:rFonts w:ascii="Times New Roman" w:hAnsi="Times New Roman" w:cs="Times New Roman"/>
          <w:sz w:val="24"/>
          <w:szCs w:val="20"/>
          <w:highlight w:val="yellow"/>
        </w:rPr>
        <w:t>The infected fish were identified by observing the pres</w:t>
      </w:r>
      <w:r w:rsidR="002E4291" w:rsidRPr="002E4291">
        <w:rPr>
          <w:rFonts w:ascii="Times New Roman" w:hAnsi="Times New Roman" w:cs="Times New Roman"/>
          <w:sz w:val="24"/>
          <w:szCs w:val="20"/>
          <w:highlight w:val="yellow"/>
        </w:rPr>
        <w:t>ence of visible myxozoan cysts on the gill filaments. The cysts were</w:t>
      </w:r>
      <w:r w:rsidR="00B17E80" w:rsidRPr="002E4291">
        <w:rPr>
          <w:rFonts w:ascii="Times New Roman" w:hAnsi="Times New Roman" w:cs="Times New Roman"/>
          <w:sz w:val="24"/>
          <w:szCs w:val="20"/>
          <w:highlight w:val="yellow"/>
        </w:rPr>
        <w:t xml:space="preserve"> isolated from the fishes and were preserved in 70% ethanol for further studies.</w:t>
      </w:r>
      <w:r w:rsidR="00B17E80" w:rsidRPr="00ED5E07">
        <w:rPr>
          <w:rFonts w:ascii="Times New Roman" w:hAnsi="Times New Roman" w:cs="Times New Roman"/>
          <w:sz w:val="24"/>
          <w:szCs w:val="20"/>
        </w:rPr>
        <w:t xml:space="preserve"> </w:t>
      </w:r>
    </w:p>
    <w:p w:rsidR="00204A06" w:rsidRPr="00ED5E07" w:rsidRDefault="00204A06" w:rsidP="00C1000E">
      <w:pPr>
        <w:jc w:val="both"/>
        <w:rPr>
          <w:rFonts w:ascii="Times New Roman" w:hAnsi="Times New Roman" w:cs="Times New Roman"/>
          <w:sz w:val="24"/>
          <w:szCs w:val="20"/>
        </w:rPr>
      </w:pPr>
      <w:r>
        <w:rPr>
          <w:rFonts w:ascii="Times New Roman" w:hAnsi="Times New Roman" w:cs="Times New Roman"/>
          <w:sz w:val="24"/>
          <w:szCs w:val="20"/>
        </w:rPr>
        <w:tab/>
      </w:r>
      <w:r w:rsidRPr="00ED5E07">
        <w:rPr>
          <w:rFonts w:ascii="Times New Roman" w:hAnsi="Times New Roman" w:cs="Times New Roman"/>
          <w:sz w:val="24"/>
          <w:szCs w:val="20"/>
        </w:rPr>
        <w:t>Fresh myxozoan cyst</w:t>
      </w:r>
      <w:r w:rsidR="00391F56" w:rsidRPr="00ED5E07">
        <w:rPr>
          <w:rFonts w:ascii="Times New Roman" w:hAnsi="Times New Roman" w:cs="Times New Roman"/>
          <w:sz w:val="24"/>
          <w:szCs w:val="20"/>
        </w:rPr>
        <w:t>s were</w:t>
      </w:r>
      <w:r w:rsidRPr="00ED5E07">
        <w:rPr>
          <w:rFonts w:ascii="Times New Roman" w:hAnsi="Times New Roman" w:cs="Times New Roman"/>
          <w:sz w:val="24"/>
          <w:szCs w:val="20"/>
        </w:rPr>
        <w:t xml:space="preserve"> taken</w:t>
      </w:r>
      <w:r w:rsidR="00391F56" w:rsidRPr="00ED5E07">
        <w:rPr>
          <w:rFonts w:ascii="Times New Roman" w:hAnsi="Times New Roman" w:cs="Times New Roman"/>
          <w:sz w:val="24"/>
          <w:szCs w:val="20"/>
        </w:rPr>
        <w:t xml:space="preserve"> on grease-free glass slides with few drops of freshly prepared 0.5% NaCl solution and ruptured with the help of needle and then covered with clean cover slip. The slides were examined</w:t>
      </w:r>
      <w:r w:rsidR="00B7787E" w:rsidRPr="00ED5E07">
        <w:rPr>
          <w:rFonts w:ascii="Times New Roman" w:hAnsi="Times New Roman" w:cs="Times New Roman"/>
          <w:sz w:val="24"/>
          <w:szCs w:val="20"/>
        </w:rPr>
        <w:t xml:space="preserve"> under</w:t>
      </w:r>
      <w:r w:rsidR="00391F56" w:rsidRPr="00ED5E07">
        <w:rPr>
          <w:rFonts w:ascii="Times New Roman" w:hAnsi="Times New Roman" w:cs="Times New Roman"/>
          <w:sz w:val="24"/>
          <w:szCs w:val="20"/>
        </w:rPr>
        <w:t xml:space="preserve"> Olympus BX43 microscope</w:t>
      </w:r>
      <w:r w:rsidR="002E4291">
        <w:rPr>
          <w:rFonts w:ascii="Times New Roman" w:hAnsi="Times New Roman" w:cs="Times New Roman"/>
          <w:sz w:val="24"/>
          <w:szCs w:val="20"/>
        </w:rPr>
        <w:t xml:space="preserve"> at 10</w:t>
      </w:r>
      <w:r w:rsidR="00B7787E" w:rsidRPr="00ED5E07">
        <w:rPr>
          <w:rFonts w:ascii="Times New Roman" w:hAnsi="Times New Roman" w:cs="Times New Roman"/>
          <w:sz w:val="24"/>
          <w:szCs w:val="20"/>
        </w:rPr>
        <w:t xml:space="preserve">00X magnification with oil-immersion lens and photographs of the myxospores were taken with the help of Cellsense Software. </w:t>
      </w:r>
      <w:r w:rsidR="001A3F43" w:rsidRPr="00ED5E07">
        <w:rPr>
          <w:rFonts w:ascii="Times New Roman" w:hAnsi="Times New Roman" w:cs="Times New Roman"/>
          <w:sz w:val="24"/>
          <w:szCs w:val="20"/>
        </w:rPr>
        <w:t xml:space="preserve">The measurements of the myxospores were taken (in µm) according to Lom and Arthur, 1989. </w:t>
      </w:r>
    </w:p>
    <w:p w:rsidR="00883ADC" w:rsidRPr="00ED5E07" w:rsidRDefault="00883ADC" w:rsidP="00C1000E">
      <w:pPr>
        <w:jc w:val="both"/>
        <w:rPr>
          <w:rFonts w:ascii="Times New Roman" w:hAnsi="Times New Roman" w:cs="Times New Roman"/>
          <w:sz w:val="24"/>
          <w:szCs w:val="20"/>
        </w:rPr>
      </w:pPr>
      <w:r w:rsidRPr="00ED5E07">
        <w:rPr>
          <w:rFonts w:ascii="Times New Roman" w:hAnsi="Times New Roman" w:cs="Times New Roman"/>
          <w:b/>
          <w:sz w:val="24"/>
          <w:szCs w:val="20"/>
        </w:rPr>
        <w:t xml:space="preserve">Molecular analysis: </w:t>
      </w:r>
      <w:r w:rsidR="008D5342" w:rsidRPr="00ED5E07">
        <w:rPr>
          <w:rFonts w:ascii="Times New Roman" w:hAnsi="Times New Roman" w:cs="Times New Roman"/>
          <w:sz w:val="24"/>
          <w:szCs w:val="20"/>
        </w:rPr>
        <w:t>For molecular characterization, the myxozoan cyst isolated from the infected</w:t>
      </w:r>
      <w:r w:rsidR="00892E2F" w:rsidRPr="00ED5E07">
        <w:rPr>
          <w:rFonts w:ascii="Times New Roman" w:hAnsi="Times New Roman" w:cs="Times New Roman"/>
          <w:sz w:val="24"/>
          <w:szCs w:val="20"/>
        </w:rPr>
        <w:t xml:space="preserve"> gills of the host fishes and preserved in 70% ethanol w</w:t>
      </w:r>
      <w:r w:rsidR="000D2DFA" w:rsidRPr="00ED5E07">
        <w:rPr>
          <w:rFonts w:ascii="Times New Roman" w:hAnsi="Times New Roman" w:cs="Times New Roman"/>
          <w:sz w:val="24"/>
          <w:szCs w:val="20"/>
        </w:rPr>
        <w:t>as used.</w:t>
      </w:r>
      <w:r w:rsidR="00892E2F" w:rsidRPr="00ED5E07">
        <w:rPr>
          <w:rFonts w:ascii="Times New Roman" w:hAnsi="Times New Roman" w:cs="Times New Roman"/>
          <w:sz w:val="24"/>
          <w:szCs w:val="20"/>
        </w:rPr>
        <w:t xml:space="preserve"> DNA was extracted from the cys</w:t>
      </w:r>
      <w:r w:rsidR="000D2DFA" w:rsidRPr="00ED5E07">
        <w:rPr>
          <w:rFonts w:ascii="Times New Roman" w:hAnsi="Times New Roman" w:cs="Times New Roman"/>
          <w:sz w:val="24"/>
          <w:szCs w:val="20"/>
        </w:rPr>
        <w:t>t of the myxozoan parasite</w:t>
      </w:r>
      <w:r w:rsidR="00892E2F" w:rsidRPr="00ED5E07">
        <w:rPr>
          <w:rFonts w:ascii="Times New Roman" w:hAnsi="Times New Roman" w:cs="Times New Roman"/>
          <w:sz w:val="24"/>
          <w:szCs w:val="20"/>
        </w:rPr>
        <w:t>. Fragments of the myxospore 18S rRNA gene (18S ribosomal RNA gene) were amplified by nested PCR method by using the set of universal</w:t>
      </w:r>
      <w:r w:rsidR="003D259A" w:rsidRPr="00ED5E07">
        <w:rPr>
          <w:rFonts w:ascii="Times New Roman" w:hAnsi="Times New Roman" w:cs="Times New Roman"/>
          <w:sz w:val="24"/>
          <w:szCs w:val="20"/>
        </w:rPr>
        <w:t xml:space="preserve"> eukaryotic primers ERIB1 (5’- ACC TGG TTG ATC CTG CCA G -3’) and ERIB10 (5’- CTT CCG CAG GTT CAC CTA CGG 3’) (Barta et al. 1997) followed by Myxospore 18S rDNA primers, Myxospec-F (5’- TTC TGC CCT ATC AAC TWG TTG -3’) and Myxospec-R (5’- GGT TTC NCD GRG GGM CCA AC -3’) according to Barta et al. (1997), Fiala (2006)</w:t>
      </w:r>
      <w:r w:rsidR="00773BA8" w:rsidRPr="00ED5E07">
        <w:rPr>
          <w:rFonts w:ascii="Times New Roman" w:hAnsi="Times New Roman" w:cs="Times New Roman"/>
          <w:sz w:val="24"/>
          <w:szCs w:val="20"/>
        </w:rPr>
        <w:t xml:space="preserve"> and Emeish et al. (2022). In first step of PCR, the amplification was done by initial denaturation at 95°C for 5 min, followed by 35 cycles of denaturation at 95°C for 30 sec, annealing of primers was done at 51°C for 30 sec and extension at 72°C for 1 min. The final exte</w:t>
      </w:r>
      <w:r w:rsidR="000D2DFA" w:rsidRPr="00ED5E07">
        <w:rPr>
          <w:rFonts w:ascii="Times New Roman" w:hAnsi="Times New Roman" w:cs="Times New Roman"/>
          <w:sz w:val="24"/>
          <w:szCs w:val="20"/>
        </w:rPr>
        <w:t>nsion was at 72°C for 5 min (Barta et al., 1997</w:t>
      </w:r>
      <w:r w:rsidR="00773BA8" w:rsidRPr="00ED5E07">
        <w:rPr>
          <w:rFonts w:ascii="Times New Roman" w:hAnsi="Times New Roman" w:cs="Times New Roman"/>
          <w:sz w:val="24"/>
          <w:szCs w:val="20"/>
        </w:rPr>
        <w:t>)</w:t>
      </w:r>
      <w:r w:rsidR="000D2DFA" w:rsidRPr="00ED5E07">
        <w:rPr>
          <w:rFonts w:ascii="Times New Roman" w:hAnsi="Times New Roman" w:cs="Times New Roman"/>
          <w:sz w:val="24"/>
          <w:szCs w:val="20"/>
        </w:rPr>
        <w:t xml:space="preserve"> (Fiala, 2006)</w:t>
      </w:r>
      <w:r w:rsidR="00773BA8" w:rsidRPr="00ED5E07">
        <w:rPr>
          <w:rFonts w:ascii="Times New Roman" w:hAnsi="Times New Roman" w:cs="Times New Roman"/>
          <w:sz w:val="24"/>
          <w:szCs w:val="20"/>
        </w:rPr>
        <w:t>. In the second step of PCR, the amplification was done by initial denaturation at 95°C for 3 min, followed by 35 cycles of denaturation at 95°C for 1 min, annealin</w:t>
      </w:r>
      <w:r w:rsidR="00C942F2" w:rsidRPr="00ED5E07">
        <w:rPr>
          <w:rFonts w:ascii="Times New Roman" w:hAnsi="Times New Roman" w:cs="Times New Roman"/>
          <w:sz w:val="24"/>
          <w:szCs w:val="20"/>
        </w:rPr>
        <w:t>g of primers was done at 52</w:t>
      </w:r>
      <w:r w:rsidR="00773BA8" w:rsidRPr="00ED5E07">
        <w:rPr>
          <w:rFonts w:ascii="Times New Roman" w:hAnsi="Times New Roman" w:cs="Times New Roman"/>
          <w:sz w:val="24"/>
          <w:szCs w:val="20"/>
        </w:rPr>
        <w:t xml:space="preserve">°C for </w:t>
      </w:r>
      <w:r w:rsidR="00C942F2" w:rsidRPr="00ED5E07">
        <w:rPr>
          <w:rFonts w:ascii="Times New Roman" w:hAnsi="Times New Roman" w:cs="Times New Roman"/>
          <w:sz w:val="24"/>
          <w:szCs w:val="20"/>
        </w:rPr>
        <w:t>1 min</w:t>
      </w:r>
      <w:r w:rsidR="00773BA8" w:rsidRPr="00ED5E07">
        <w:rPr>
          <w:rFonts w:ascii="Times New Roman" w:hAnsi="Times New Roman" w:cs="Times New Roman"/>
          <w:sz w:val="24"/>
          <w:szCs w:val="20"/>
        </w:rPr>
        <w:t xml:space="preserve"> and extension at 72°C for </w:t>
      </w:r>
      <w:r w:rsidR="00C942F2" w:rsidRPr="00ED5E07">
        <w:rPr>
          <w:rFonts w:ascii="Times New Roman" w:hAnsi="Times New Roman" w:cs="Times New Roman"/>
          <w:sz w:val="24"/>
          <w:szCs w:val="20"/>
        </w:rPr>
        <w:t>2</w:t>
      </w:r>
      <w:r w:rsidR="00773BA8" w:rsidRPr="00ED5E07">
        <w:rPr>
          <w:rFonts w:ascii="Times New Roman" w:hAnsi="Times New Roman" w:cs="Times New Roman"/>
          <w:sz w:val="24"/>
          <w:szCs w:val="20"/>
        </w:rPr>
        <w:t xml:space="preserve"> min. The final extension was at 72°C for </w:t>
      </w:r>
      <w:r w:rsidR="00C942F2" w:rsidRPr="00ED5E07">
        <w:rPr>
          <w:rFonts w:ascii="Times New Roman" w:hAnsi="Times New Roman" w:cs="Times New Roman"/>
          <w:sz w:val="24"/>
          <w:szCs w:val="20"/>
        </w:rPr>
        <w:t>10</w:t>
      </w:r>
      <w:r w:rsidR="00773BA8" w:rsidRPr="00ED5E07">
        <w:rPr>
          <w:rFonts w:ascii="Times New Roman" w:hAnsi="Times New Roman" w:cs="Times New Roman"/>
          <w:sz w:val="24"/>
          <w:szCs w:val="20"/>
        </w:rPr>
        <w:t xml:space="preserve"> min</w:t>
      </w:r>
      <w:r w:rsidR="000D2DFA" w:rsidRPr="00ED5E07">
        <w:rPr>
          <w:rFonts w:ascii="Times New Roman" w:hAnsi="Times New Roman" w:cs="Times New Roman"/>
          <w:sz w:val="24"/>
          <w:szCs w:val="20"/>
        </w:rPr>
        <w:t xml:space="preserve"> (Emeish et al., 2022</w:t>
      </w:r>
      <w:r w:rsidR="00C942F2" w:rsidRPr="00ED5E07">
        <w:rPr>
          <w:rFonts w:ascii="Times New Roman" w:hAnsi="Times New Roman" w:cs="Times New Roman"/>
          <w:sz w:val="24"/>
          <w:szCs w:val="20"/>
        </w:rPr>
        <w:t xml:space="preserve">). </w:t>
      </w:r>
    </w:p>
    <w:p w:rsidR="00C942F2" w:rsidRPr="00ED5E07" w:rsidRDefault="00C942F2" w:rsidP="00C1000E">
      <w:pPr>
        <w:jc w:val="both"/>
        <w:rPr>
          <w:rFonts w:ascii="Times New Roman" w:hAnsi="Times New Roman" w:cs="Times New Roman"/>
          <w:sz w:val="24"/>
          <w:szCs w:val="20"/>
        </w:rPr>
      </w:pPr>
      <w:r w:rsidRPr="00ED5E07">
        <w:rPr>
          <w:rFonts w:ascii="Times New Roman" w:hAnsi="Times New Roman" w:cs="Times New Roman"/>
          <w:sz w:val="24"/>
          <w:szCs w:val="20"/>
        </w:rPr>
        <w:t>The PCR amplicons were evaluated on 1.0% agarose gel and visualized using UV transilluminators. A single discrete PCR amplicon band of ~1000 bp was observed. Forward and reverse DNA sequencing reaction of PCR amplicon was done by using 18Sf and 18Sr primers using BDT V3.1 cycle sequencing kit on ABI 3730xI Genetic Analyzer.</w:t>
      </w:r>
    </w:p>
    <w:p w:rsidR="00C942F2" w:rsidRPr="00ED5E07" w:rsidRDefault="00C942F2" w:rsidP="00C1000E">
      <w:pPr>
        <w:jc w:val="both"/>
        <w:rPr>
          <w:rFonts w:ascii="Times New Roman" w:hAnsi="Times New Roman" w:cs="Times New Roman"/>
          <w:sz w:val="24"/>
          <w:szCs w:val="20"/>
        </w:rPr>
      </w:pPr>
      <w:r w:rsidRPr="00ED5E07">
        <w:rPr>
          <w:rFonts w:ascii="Times New Roman" w:hAnsi="Times New Roman" w:cs="Times New Roman"/>
          <w:sz w:val="24"/>
          <w:szCs w:val="20"/>
        </w:rPr>
        <w:t>The forward and reverse sequences thus obtained were used to generate consensus sequence using aligner</w:t>
      </w:r>
      <w:r w:rsidR="000C4475" w:rsidRPr="00ED5E07">
        <w:rPr>
          <w:rFonts w:ascii="Times New Roman" w:hAnsi="Times New Roman" w:cs="Times New Roman"/>
          <w:sz w:val="24"/>
          <w:szCs w:val="20"/>
        </w:rPr>
        <w:t xml:space="preserve"> software. The sequence then was used to carry out BLAST with the ‘nr’ database of NCBI GenBank database to check for similarity of the sequence (Altschul et al. 1997). </w:t>
      </w:r>
      <w:r w:rsidR="00E243E3" w:rsidRPr="00ED5E07">
        <w:rPr>
          <w:rFonts w:ascii="Times New Roman" w:hAnsi="Times New Roman" w:cs="Times New Roman"/>
          <w:sz w:val="24"/>
          <w:szCs w:val="20"/>
        </w:rPr>
        <w:t>Based on maximum identity score first ten sequences were selected and aligned using multiple alignment software program Clustal W (Table-</w:t>
      </w:r>
      <w:r w:rsidR="003F18F6" w:rsidRPr="00ED5E07">
        <w:rPr>
          <w:rFonts w:ascii="Times New Roman" w:hAnsi="Times New Roman" w:cs="Times New Roman"/>
          <w:sz w:val="24"/>
          <w:szCs w:val="20"/>
        </w:rPr>
        <w:t>3</w:t>
      </w:r>
      <w:r w:rsidR="00E243E3" w:rsidRPr="00ED5E07">
        <w:rPr>
          <w:rFonts w:ascii="Times New Roman" w:hAnsi="Times New Roman" w:cs="Times New Roman"/>
          <w:sz w:val="24"/>
          <w:szCs w:val="20"/>
        </w:rPr>
        <w:t>). Based on the 18S rDNA gene sequences, a phylogenetic tree was constructed using maximum likelihood method and Tamura-Nei model (Tam</w:t>
      </w:r>
      <w:r w:rsidR="00C1007C" w:rsidRPr="00ED5E07">
        <w:rPr>
          <w:rFonts w:ascii="Times New Roman" w:hAnsi="Times New Roman" w:cs="Times New Roman"/>
          <w:sz w:val="24"/>
          <w:szCs w:val="20"/>
        </w:rPr>
        <w:t>ura-Nei, 1993) (Tamura et al.</w:t>
      </w:r>
      <w:r w:rsidR="00E243E3" w:rsidRPr="00ED5E07">
        <w:rPr>
          <w:rFonts w:ascii="Times New Roman" w:hAnsi="Times New Roman" w:cs="Times New Roman"/>
          <w:sz w:val="24"/>
          <w:szCs w:val="20"/>
        </w:rPr>
        <w:t>, 2004). Initial trees for the heuristic search were obtained automatically by applying Neighbor-Join and BioNJ algorithms to a matrix of pair wise distances estimated using the Tamura-Nei model</w:t>
      </w:r>
      <w:r w:rsidR="00167114" w:rsidRPr="00ED5E07">
        <w:rPr>
          <w:rFonts w:ascii="Times New Roman" w:hAnsi="Times New Roman" w:cs="Times New Roman"/>
          <w:sz w:val="24"/>
          <w:szCs w:val="20"/>
        </w:rPr>
        <w:t xml:space="preserve"> and then selecting the </w:t>
      </w:r>
      <w:r w:rsidR="00167114" w:rsidRPr="00ED5E07">
        <w:rPr>
          <w:rFonts w:ascii="Times New Roman" w:hAnsi="Times New Roman" w:cs="Times New Roman"/>
          <w:sz w:val="24"/>
          <w:szCs w:val="20"/>
        </w:rPr>
        <w:lastRenderedPageBreak/>
        <w:t xml:space="preserve">topology with superior log likelihood value. The analysis involved 11 nucleotide sequences. Evolutionary analyses and distance matrix </w:t>
      </w:r>
      <w:r w:rsidR="00993BFF" w:rsidRPr="00ED5E07">
        <w:rPr>
          <w:rFonts w:ascii="Times New Roman" w:hAnsi="Times New Roman" w:cs="Times New Roman"/>
          <w:sz w:val="24"/>
          <w:szCs w:val="20"/>
        </w:rPr>
        <w:t>were conducted in MEGA 11 (Kumar et al. 2018).</w:t>
      </w:r>
    </w:p>
    <w:p w:rsidR="00422B4D" w:rsidRPr="00ED5E07" w:rsidRDefault="00F01DA0" w:rsidP="00C1000E">
      <w:pPr>
        <w:jc w:val="both"/>
        <w:rPr>
          <w:rFonts w:ascii="Times New Roman" w:hAnsi="Times New Roman" w:cs="Times New Roman"/>
          <w:sz w:val="24"/>
        </w:rPr>
      </w:pPr>
      <w:r w:rsidRPr="00ED5E07">
        <w:rPr>
          <w:rFonts w:ascii="Times New Roman" w:hAnsi="Times New Roman" w:cs="Times New Roman"/>
          <w:b/>
          <w:sz w:val="24"/>
        </w:rPr>
        <w:t xml:space="preserve">RESULTS: </w:t>
      </w:r>
    </w:p>
    <w:p w:rsidR="00F01DA0" w:rsidRPr="00ED5E07" w:rsidRDefault="00F01DA0" w:rsidP="00C1000E">
      <w:pPr>
        <w:jc w:val="both"/>
        <w:rPr>
          <w:rFonts w:ascii="Times New Roman" w:hAnsi="Times New Roman" w:cs="Times New Roman"/>
          <w:sz w:val="24"/>
        </w:rPr>
      </w:pPr>
      <w:r w:rsidRPr="00ED5E07">
        <w:rPr>
          <w:rFonts w:ascii="Times New Roman" w:hAnsi="Times New Roman" w:cs="Times New Roman"/>
          <w:sz w:val="24"/>
        </w:rPr>
        <w:t xml:space="preserve">The cysts of </w:t>
      </w:r>
      <w:r w:rsidRPr="00ED5E07">
        <w:rPr>
          <w:rFonts w:ascii="Times New Roman" w:hAnsi="Times New Roman" w:cs="Times New Roman"/>
          <w:i/>
          <w:sz w:val="24"/>
        </w:rPr>
        <w:t xml:space="preserve">Thelohanellus bifurcata </w:t>
      </w:r>
      <w:r w:rsidRPr="00ED5E07">
        <w:rPr>
          <w:rFonts w:ascii="Times New Roman" w:hAnsi="Times New Roman" w:cs="Times New Roman"/>
          <w:sz w:val="24"/>
        </w:rPr>
        <w:t xml:space="preserve">Basu and Haldar, 1999 were observed with naked eye on the gills of the host fish, </w:t>
      </w:r>
      <w:r w:rsidR="00795AB7" w:rsidRPr="00ED5E07">
        <w:rPr>
          <w:rFonts w:ascii="Times New Roman" w:hAnsi="Times New Roman" w:cs="Times New Roman"/>
          <w:i/>
          <w:sz w:val="24"/>
        </w:rPr>
        <w:t xml:space="preserve">Labeo rohita </w:t>
      </w:r>
      <w:r w:rsidR="00795AB7" w:rsidRPr="00ED5E07">
        <w:rPr>
          <w:rFonts w:ascii="Times New Roman" w:hAnsi="Times New Roman" w:cs="Times New Roman"/>
          <w:sz w:val="24"/>
        </w:rPr>
        <w:t xml:space="preserve">collected from Ranaghat fish markets, West Bengal. Screening of 67 fish samples yields the myxozoan infection in 6 fish (rate of infection 8.95%). </w:t>
      </w:r>
      <w:r w:rsidR="007C1A63" w:rsidRPr="00ED5E07">
        <w:rPr>
          <w:rFonts w:ascii="Times New Roman" w:hAnsi="Times New Roman" w:cs="Times New Roman"/>
          <w:sz w:val="24"/>
        </w:rPr>
        <w:t>The cysts were somewhat elongated and oval in shape</w:t>
      </w:r>
      <w:r w:rsidR="00A44143" w:rsidRPr="00ED5E07">
        <w:rPr>
          <w:rFonts w:ascii="Times New Roman" w:hAnsi="Times New Roman" w:cs="Times New Roman"/>
          <w:sz w:val="24"/>
        </w:rPr>
        <w:t xml:space="preserve"> with yellowish creamy texture and firm in consistency. The mature </w:t>
      </w:r>
      <w:r w:rsidR="00A44143" w:rsidRPr="00ED5E07">
        <w:rPr>
          <w:rFonts w:ascii="Times New Roman" w:hAnsi="Times New Roman" w:cs="Times New Roman"/>
          <w:i/>
          <w:sz w:val="24"/>
        </w:rPr>
        <w:t xml:space="preserve">Thelohanellus bifurcata </w:t>
      </w:r>
      <w:r w:rsidR="00A44143" w:rsidRPr="00ED5E07">
        <w:rPr>
          <w:rFonts w:ascii="Times New Roman" w:hAnsi="Times New Roman" w:cs="Times New Roman"/>
          <w:sz w:val="24"/>
        </w:rPr>
        <w:t xml:space="preserve">Basu and Haldar, 1999 </w:t>
      </w:r>
      <w:r w:rsidR="007C4E4E" w:rsidRPr="00ED5E07">
        <w:rPr>
          <w:rFonts w:ascii="Times New Roman" w:hAnsi="Times New Roman" w:cs="Times New Roman"/>
          <w:sz w:val="24"/>
        </w:rPr>
        <w:t xml:space="preserve">spores, released after rupturing the cysts were measured as per the standard measurement protocol and have been </w:t>
      </w:r>
      <w:r w:rsidR="003F18F6" w:rsidRPr="00ED5E07">
        <w:rPr>
          <w:rFonts w:ascii="Times New Roman" w:hAnsi="Times New Roman" w:cs="Times New Roman"/>
          <w:sz w:val="24"/>
        </w:rPr>
        <w:t>provided in Table 1</w:t>
      </w:r>
      <w:r w:rsidR="00AD12B2" w:rsidRPr="00ED5E07">
        <w:rPr>
          <w:rFonts w:ascii="Times New Roman" w:hAnsi="Times New Roman" w:cs="Times New Roman"/>
          <w:sz w:val="24"/>
        </w:rPr>
        <w:t xml:space="preserve">. Each measurement has been taken in µm and provided with the mean </w:t>
      </w:r>
      <w:r w:rsidR="00D65E35">
        <w:rPr>
          <w:rFonts w:ascii="Times New Roman" w:hAnsi="Times New Roman" w:cs="Times New Roman"/>
          <w:sz w:val="24"/>
        </w:rPr>
        <w:t>value and standard deviation</w:t>
      </w:r>
      <w:r w:rsidR="00AD12B2" w:rsidRPr="00ED5E07">
        <w:rPr>
          <w:rFonts w:ascii="Times New Roman" w:hAnsi="Times New Roman" w:cs="Times New Roman"/>
          <w:sz w:val="24"/>
        </w:rPr>
        <w:t xml:space="preserve">. </w:t>
      </w:r>
    </w:p>
    <w:p w:rsidR="00AD12B2" w:rsidRPr="00ED5E07" w:rsidRDefault="00035AD2" w:rsidP="00707BBD">
      <w:pPr>
        <w:spacing w:after="0"/>
        <w:jc w:val="both"/>
        <w:rPr>
          <w:rFonts w:ascii="Times New Roman" w:hAnsi="Times New Roman" w:cs="Times New Roman"/>
          <w:b/>
          <w:sz w:val="24"/>
        </w:rPr>
      </w:pPr>
      <w:r w:rsidRPr="00ED5E07">
        <w:rPr>
          <w:rFonts w:ascii="Times New Roman" w:hAnsi="Times New Roman" w:cs="Times New Roman"/>
          <w:b/>
          <w:sz w:val="24"/>
        </w:rPr>
        <w:t>Description of Myxos</w:t>
      </w:r>
      <w:r w:rsidR="0078618C" w:rsidRPr="00ED5E07">
        <w:rPr>
          <w:rFonts w:ascii="Times New Roman" w:hAnsi="Times New Roman" w:cs="Times New Roman"/>
          <w:b/>
          <w:sz w:val="24"/>
        </w:rPr>
        <w:t>pore:</w:t>
      </w:r>
    </w:p>
    <w:p w:rsidR="0078618C" w:rsidRPr="00ED5E07" w:rsidRDefault="0078618C" w:rsidP="00707BBD">
      <w:pPr>
        <w:jc w:val="both"/>
        <w:rPr>
          <w:rFonts w:ascii="Times New Roman" w:hAnsi="Times New Roman" w:cs="Times New Roman"/>
          <w:sz w:val="24"/>
        </w:rPr>
      </w:pPr>
      <w:r w:rsidRPr="00ED5E07">
        <w:rPr>
          <w:rFonts w:ascii="Times New Roman" w:hAnsi="Times New Roman" w:cs="Times New Roman"/>
          <w:sz w:val="24"/>
        </w:rPr>
        <w:t>Mature spore is large, elongated in shape with somewhat bluntly p</w:t>
      </w:r>
      <w:r w:rsidR="00EB62A6" w:rsidRPr="00ED5E07">
        <w:rPr>
          <w:rFonts w:ascii="Times New Roman" w:hAnsi="Times New Roman" w:cs="Times New Roman"/>
          <w:sz w:val="24"/>
        </w:rPr>
        <w:t>ointed an</w:t>
      </w:r>
      <w:r w:rsidR="003F18F6" w:rsidRPr="00ED5E07">
        <w:rPr>
          <w:rFonts w:ascii="Times New Roman" w:hAnsi="Times New Roman" w:cs="Times New Roman"/>
          <w:sz w:val="24"/>
        </w:rPr>
        <w:t xml:space="preserve">terior end </w:t>
      </w:r>
      <w:r w:rsidR="00415032">
        <w:rPr>
          <w:rFonts w:ascii="Times New Roman" w:hAnsi="Times New Roman" w:cs="Times New Roman"/>
          <w:sz w:val="24"/>
        </w:rPr>
        <w:t>(Fig 1</w:t>
      </w:r>
      <w:r w:rsidR="00D52FE4" w:rsidRPr="00ED5E07">
        <w:rPr>
          <w:rFonts w:ascii="Times New Roman" w:hAnsi="Times New Roman" w:cs="Times New Roman"/>
          <w:sz w:val="24"/>
        </w:rPr>
        <w:t xml:space="preserve">A-D) </w:t>
      </w:r>
      <w:r w:rsidR="003F18F6" w:rsidRPr="00ED5E07">
        <w:rPr>
          <w:rFonts w:ascii="Times New Roman" w:hAnsi="Times New Roman" w:cs="Times New Roman"/>
          <w:sz w:val="24"/>
        </w:rPr>
        <w:t>measuring 30.9-34.0 (32.2±1.0)</w:t>
      </w:r>
      <w:r w:rsidR="00EB62A6" w:rsidRPr="00ED5E07">
        <w:rPr>
          <w:rFonts w:ascii="Times New Roman" w:hAnsi="Times New Roman" w:cs="Times New Roman"/>
          <w:sz w:val="24"/>
        </w:rPr>
        <w:t xml:space="preserve"> µm in length and </w:t>
      </w:r>
      <w:r w:rsidR="00EB62A6" w:rsidRPr="00ED5E07">
        <w:rPr>
          <w:rFonts w:ascii="Times New Roman" w:eastAsia="Times New Roman" w:hAnsi="Times New Roman" w:cs="Times New Roman"/>
          <w:color w:val="000000"/>
          <w:sz w:val="24"/>
          <w:szCs w:val="20"/>
        </w:rPr>
        <w:t>7.4-9.9</w:t>
      </w:r>
      <w:r w:rsidR="003F18F6" w:rsidRPr="00ED5E07">
        <w:rPr>
          <w:rFonts w:ascii="Times New Roman" w:eastAsia="Times New Roman" w:hAnsi="Times New Roman" w:cs="Times New Roman"/>
          <w:color w:val="000000"/>
          <w:sz w:val="24"/>
          <w:szCs w:val="20"/>
        </w:rPr>
        <w:t xml:space="preserve"> (8.9±0.7)</w:t>
      </w:r>
      <w:r w:rsidR="00415032">
        <w:rPr>
          <w:rFonts w:ascii="Times New Roman" w:eastAsia="Times New Roman" w:hAnsi="Times New Roman" w:cs="Times New Roman"/>
          <w:color w:val="000000"/>
          <w:sz w:val="24"/>
          <w:szCs w:val="20"/>
        </w:rPr>
        <w:t xml:space="preserve"> </w:t>
      </w:r>
      <w:r w:rsidRPr="00ED5E07">
        <w:rPr>
          <w:rFonts w:ascii="Times New Roman" w:hAnsi="Times New Roman" w:cs="Times New Roman"/>
          <w:sz w:val="24"/>
        </w:rPr>
        <w:t>µm in width</w:t>
      </w:r>
      <w:r w:rsidR="003F18F6" w:rsidRPr="00ED5E07">
        <w:rPr>
          <w:rFonts w:ascii="Times New Roman" w:hAnsi="Times New Roman" w:cs="Times New Roman"/>
          <w:sz w:val="24"/>
        </w:rPr>
        <w:t xml:space="preserve"> (Table 1</w:t>
      </w:r>
      <w:r w:rsidR="00EB62A6" w:rsidRPr="00ED5E07">
        <w:rPr>
          <w:rFonts w:ascii="Times New Roman" w:hAnsi="Times New Roman" w:cs="Times New Roman"/>
          <w:sz w:val="24"/>
        </w:rPr>
        <w:t>)</w:t>
      </w:r>
      <w:r w:rsidRPr="00ED5E07">
        <w:rPr>
          <w:rFonts w:ascii="Times New Roman" w:hAnsi="Times New Roman" w:cs="Times New Roman"/>
          <w:sz w:val="24"/>
        </w:rPr>
        <w:t>. The posterior end is broad and rounded. There is a notch-like constriction at the 3/4</w:t>
      </w:r>
      <w:r w:rsidRPr="00ED5E07">
        <w:rPr>
          <w:rFonts w:ascii="Times New Roman" w:hAnsi="Times New Roman" w:cs="Times New Roman"/>
          <w:sz w:val="24"/>
          <w:vertAlign w:val="superscript"/>
        </w:rPr>
        <w:t>th</w:t>
      </w:r>
      <w:r w:rsidRPr="00ED5E07">
        <w:rPr>
          <w:rFonts w:ascii="Times New Roman" w:hAnsi="Times New Roman" w:cs="Times New Roman"/>
          <w:sz w:val="24"/>
        </w:rPr>
        <w:t xml:space="preserve"> region of the body. Shell valves are thick and smooth with slightly curved suture line. </w:t>
      </w:r>
      <w:r w:rsidR="00707BBD" w:rsidRPr="00ED5E07">
        <w:rPr>
          <w:rFonts w:ascii="Times New Roman" w:hAnsi="Times New Roman" w:cs="Times New Roman"/>
          <w:sz w:val="24"/>
        </w:rPr>
        <w:t>The spore contains a single polar capsule which is somewhat elongated and pyriform in shape. Polar capsule is situated at the anterior portion of the body of the spore and occupied almost half of the spore</w:t>
      </w:r>
      <w:r w:rsidR="00DB0195" w:rsidRPr="00ED5E07">
        <w:rPr>
          <w:rFonts w:ascii="Times New Roman" w:hAnsi="Times New Roman" w:cs="Times New Roman"/>
          <w:sz w:val="24"/>
        </w:rPr>
        <w:t>’</w:t>
      </w:r>
      <w:r w:rsidR="00707BBD" w:rsidRPr="00ED5E07">
        <w:rPr>
          <w:rFonts w:ascii="Times New Roman" w:hAnsi="Times New Roman" w:cs="Times New Roman"/>
          <w:sz w:val="24"/>
        </w:rPr>
        <w:t>s body cavity</w:t>
      </w:r>
      <w:r w:rsidR="00983326" w:rsidRPr="00ED5E07">
        <w:rPr>
          <w:rFonts w:ascii="Times New Roman" w:hAnsi="Times New Roman" w:cs="Times New Roman"/>
          <w:sz w:val="24"/>
        </w:rPr>
        <w:t>.</w:t>
      </w:r>
      <w:r w:rsidR="00EB62A6" w:rsidRPr="00ED5E07">
        <w:rPr>
          <w:rFonts w:ascii="Times New Roman" w:hAnsi="Times New Roman" w:cs="Times New Roman"/>
          <w:sz w:val="24"/>
        </w:rPr>
        <w:t xml:space="preserve"> The polar filament is with 11-13</w:t>
      </w:r>
      <w:r w:rsidR="003F18F6" w:rsidRPr="00ED5E07">
        <w:rPr>
          <w:rFonts w:ascii="Times New Roman" w:hAnsi="Times New Roman" w:cs="Times New Roman"/>
          <w:sz w:val="24"/>
        </w:rPr>
        <w:t xml:space="preserve"> (11)</w:t>
      </w:r>
      <w:r w:rsidR="00DB0195" w:rsidRPr="00ED5E07">
        <w:rPr>
          <w:rFonts w:ascii="Times New Roman" w:hAnsi="Times New Roman" w:cs="Times New Roman"/>
          <w:sz w:val="24"/>
        </w:rPr>
        <w:t xml:space="preserve"> coils. The polar fil</w:t>
      </w:r>
      <w:r w:rsidR="00EB62A6" w:rsidRPr="00ED5E07">
        <w:rPr>
          <w:rFonts w:ascii="Times New Roman" w:hAnsi="Times New Roman" w:cs="Times New Roman"/>
          <w:sz w:val="24"/>
        </w:rPr>
        <w:t xml:space="preserve">aments are somewhat thick and </w:t>
      </w:r>
      <w:r w:rsidR="00EB62A6" w:rsidRPr="00ED5E07">
        <w:rPr>
          <w:rFonts w:ascii="Times New Roman" w:eastAsia="Times New Roman" w:hAnsi="Times New Roman" w:cs="Times New Roman"/>
          <w:color w:val="000000"/>
          <w:sz w:val="24"/>
          <w:szCs w:val="20"/>
        </w:rPr>
        <w:t>173.5-221.4</w:t>
      </w:r>
      <w:r w:rsidR="003F18F6" w:rsidRPr="00ED5E07">
        <w:rPr>
          <w:rFonts w:ascii="Times New Roman" w:hAnsi="Times New Roman" w:cs="Times New Roman"/>
          <w:sz w:val="24"/>
        </w:rPr>
        <w:t xml:space="preserve"> (197.6±15.3)</w:t>
      </w:r>
      <w:r w:rsidR="00DB0195" w:rsidRPr="00ED5E07">
        <w:rPr>
          <w:rFonts w:ascii="Times New Roman" w:hAnsi="Times New Roman" w:cs="Times New Roman"/>
          <w:sz w:val="24"/>
        </w:rPr>
        <w:t xml:space="preserve"> µm in length when extruded. Sporoplasm is granularin nature and present in the body cavity except in the capsular region.</w:t>
      </w:r>
    </w:p>
    <w:p w:rsidR="007D4C3A" w:rsidRPr="00ED5E07" w:rsidRDefault="007D4C3A" w:rsidP="00707BBD">
      <w:pPr>
        <w:jc w:val="both"/>
        <w:rPr>
          <w:rFonts w:ascii="Times New Roman" w:hAnsi="Times New Roman" w:cs="Times New Roman"/>
          <w:sz w:val="24"/>
        </w:rPr>
      </w:pPr>
      <w:r w:rsidRPr="00ED5E07">
        <w:rPr>
          <w:rFonts w:ascii="Times New Roman" w:hAnsi="Times New Roman" w:cs="Times New Roman"/>
          <w:b/>
          <w:sz w:val="24"/>
        </w:rPr>
        <w:t>Taxonomic Summary:</w:t>
      </w:r>
    </w:p>
    <w:p w:rsidR="007D4C3A" w:rsidRPr="00ED5E07" w:rsidRDefault="0075478F" w:rsidP="006526EF">
      <w:pPr>
        <w:spacing w:after="0"/>
        <w:jc w:val="both"/>
        <w:rPr>
          <w:rFonts w:ascii="Times New Roman" w:hAnsi="Times New Roman" w:cs="Times New Roman"/>
          <w:sz w:val="24"/>
        </w:rPr>
      </w:pPr>
      <w:r w:rsidRPr="00ED5E07">
        <w:rPr>
          <w:rFonts w:ascii="Times New Roman" w:hAnsi="Times New Roman" w:cs="Times New Roman"/>
          <w:b/>
          <w:sz w:val="24"/>
        </w:rPr>
        <w:t>Host:</w:t>
      </w:r>
      <w:r w:rsidR="000F4AD4" w:rsidRPr="00ED5E07">
        <w:rPr>
          <w:rFonts w:ascii="Times New Roman" w:hAnsi="Times New Roman" w:cs="Times New Roman"/>
          <w:i/>
          <w:sz w:val="24"/>
        </w:rPr>
        <w:t>Labeo rohita</w:t>
      </w:r>
      <w:r w:rsidR="000F4AD4" w:rsidRPr="00ED5E07">
        <w:rPr>
          <w:rFonts w:ascii="Times New Roman" w:hAnsi="Times New Roman" w:cs="Times New Roman"/>
          <w:sz w:val="24"/>
        </w:rPr>
        <w:t xml:space="preserve"> (Hamilton, 1822)</w:t>
      </w:r>
    </w:p>
    <w:p w:rsidR="000F4AD4" w:rsidRPr="00ED5E07" w:rsidRDefault="0075478F" w:rsidP="006526EF">
      <w:pPr>
        <w:spacing w:after="0"/>
        <w:jc w:val="both"/>
        <w:rPr>
          <w:rFonts w:ascii="Times New Roman" w:hAnsi="Times New Roman" w:cs="Times New Roman"/>
          <w:sz w:val="24"/>
          <w:szCs w:val="20"/>
        </w:rPr>
      </w:pPr>
      <w:r w:rsidRPr="00ED5E07">
        <w:rPr>
          <w:rFonts w:ascii="Times New Roman" w:hAnsi="Times New Roman" w:cs="Times New Roman"/>
          <w:b/>
          <w:sz w:val="24"/>
        </w:rPr>
        <w:t>Locality:</w:t>
      </w:r>
      <w:r w:rsidR="000F4AD4" w:rsidRPr="00ED5E07">
        <w:rPr>
          <w:rFonts w:ascii="Times New Roman" w:hAnsi="Times New Roman" w:cs="Times New Roman"/>
          <w:sz w:val="24"/>
        </w:rPr>
        <w:t xml:space="preserve"> Ranaghat fish market (</w:t>
      </w:r>
      <w:r w:rsidR="000F4AD4" w:rsidRPr="00ED5E07">
        <w:rPr>
          <w:rFonts w:ascii="Times New Roman" w:hAnsi="Times New Roman" w:cs="Times New Roman"/>
          <w:sz w:val="24"/>
          <w:szCs w:val="20"/>
        </w:rPr>
        <w:t>Latitude: 23.1793º N, Longitude: 88.5758º E)</w:t>
      </w:r>
    </w:p>
    <w:p w:rsidR="000F4AD4" w:rsidRPr="00ED5E07" w:rsidRDefault="000F4AD4" w:rsidP="006526EF">
      <w:pPr>
        <w:spacing w:after="0"/>
        <w:jc w:val="both"/>
        <w:rPr>
          <w:rFonts w:ascii="Times New Roman" w:hAnsi="Times New Roman" w:cs="Times New Roman"/>
          <w:sz w:val="24"/>
          <w:szCs w:val="20"/>
        </w:rPr>
      </w:pPr>
      <w:r w:rsidRPr="00ED5E07">
        <w:rPr>
          <w:rFonts w:ascii="Times New Roman" w:hAnsi="Times New Roman" w:cs="Times New Roman"/>
          <w:b/>
          <w:sz w:val="24"/>
          <w:szCs w:val="20"/>
        </w:rPr>
        <w:t xml:space="preserve">Site </w:t>
      </w:r>
      <w:r w:rsidR="0075478F" w:rsidRPr="00ED5E07">
        <w:rPr>
          <w:rFonts w:ascii="Times New Roman" w:hAnsi="Times New Roman" w:cs="Times New Roman"/>
          <w:b/>
          <w:sz w:val="24"/>
          <w:szCs w:val="20"/>
        </w:rPr>
        <w:t>of infection:</w:t>
      </w:r>
      <w:r w:rsidRPr="00ED5E07">
        <w:rPr>
          <w:rFonts w:ascii="Times New Roman" w:hAnsi="Times New Roman" w:cs="Times New Roman"/>
          <w:sz w:val="24"/>
          <w:szCs w:val="20"/>
        </w:rPr>
        <w:t xml:space="preserve"> Gill </w:t>
      </w:r>
      <w:r w:rsidR="0075478F" w:rsidRPr="00ED5E07">
        <w:rPr>
          <w:rFonts w:ascii="Times New Roman" w:hAnsi="Times New Roman" w:cs="Times New Roman"/>
          <w:sz w:val="24"/>
          <w:szCs w:val="20"/>
        </w:rPr>
        <w:t>filament</w:t>
      </w:r>
    </w:p>
    <w:p w:rsidR="0075478F" w:rsidRPr="00ED5E07" w:rsidRDefault="0075478F" w:rsidP="006526EF">
      <w:pPr>
        <w:spacing w:after="0"/>
        <w:jc w:val="both"/>
        <w:rPr>
          <w:rFonts w:ascii="Times New Roman" w:hAnsi="Times New Roman" w:cs="Times New Roman"/>
          <w:sz w:val="24"/>
          <w:szCs w:val="20"/>
        </w:rPr>
      </w:pPr>
      <w:r w:rsidRPr="00ED5E07">
        <w:rPr>
          <w:rFonts w:ascii="Times New Roman" w:hAnsi="Times New Roman" w:cs="Times New Roman"/>
          <w:b/>
          <w:sz w:val="24"/>
          <w:szCs w:val="20"/>
        </w:rPr>
        <w:t>Prevalence:</w:t>
      </w:r>
      <w:r w:rsidRPr="00ED5E07">
        <w:rPr>
          <w:rFonts w:ascii="Times New Roman" w:hAnsi="Times New Roman" w:cs="Times New Roman"/>
          <w:sz w:val="24"/>
          <w:szCs w:val="20"/>
        </w:rPr>
        <w:t xml:space="preserve"> 6/67 (8.95%)</w:t>
      </w:r>
    </w:p>
    <w:p w:rsidR="00570819" w:rsidRPr="00ED5E07" w:rsidRDefault="00570819" w:rsidP="006526EF">
      <w:pPr>
        <w:spacing w:after="0"/>
        <w:jc w:val="both"/>
        <w:rPr>
          <w:rFonts w:ascii="Times New Roman" w:hAnsi="Times New Roman" w:cs="Times New Roman"/>
          <w:sz w:val="24"/>
          <w:szCs w:val="20"/>
        </w:rPr>
      </w:pPr>
      <w:r w:rsidRPr="00ED5E07">
        <w:rPr>
          <w:rFonts w:ascii="Times New Roman" w:hAnsi="Times New Roman" w:cs="Times New Roman"/>
          <w:b/>
          <w:sz w:val="24"/>
          <w:szCs w:val="20"/>
        </w:rPr>
        <w:t>Symbiotype:</w:t>
      </w:r>
      <w:r w:rsidRPr="00ED5E07">
        <w:rPr>
          <w:rFonts w:ascii="Times New Roman" w:hAnsi="Times New Roman" w:cs="Times New Roman"/>
          <w:sz w:val="24"/>
          <w:szCs w:val="20"/>
        </w:rPr>
        <w:t xml:space="preserve"> LRW/01 is deposited in the museum of Department of Zoology, Diamond Harbour Women’s University, S</w:t>
      </w:r>
      <w:r w:rsidR="00DB0B4A" w:rsidRPr="00ED5E07">
        <w:rPr>
          <w:rFonts w:ascii="Times New Roman" w:hAnsi="Times New Roman" w:cs="Times New Roman"/>
          <w:sz w:val="24"/>
          <w:szCs w:val="20"/>
        </w:rPr>
        <w:t xml:space="preserve">arisha, Diamond Harbour 743368, </w:t>
      </w:r>
      <w:r w:rsidRPr="00ED5E07">
        <w:rPr>
          <w:rFonts w:ascii="Times New Roman" w:hAnsi="Times New Roman" w:cs="Times New Roman"/>
          <w:sz w:val="24"/>
          <w:szCs w:val="20"/>
        </w:rPr>
        <w:t>West Bengal, India.</w:t>
      </w:r>
    </w:p>
    <w:p w:rsidR="00570819" w:rsidRPr="00ED5E07" w:rsidRDefault="00570819" w:rsidP="006526EF">
      <w:pPr>
        <w:spacing w:after="0"/>
        <w:jc w:val="both"/>
        <w:rPr>
          <w:rFonts w:ascii="Times New Roman" w:hAnsi="Times New Roman" w:cs="Times New Roman"/>
          <w:sz w:val="24"/>
          <w:szCs w:val="20"/>
        </w:rPr>
      </w:pPr>
      <w:r w:rsidRPr="00ED5E07">
        <w:rPr>
          <w:rFonts w:ascii="Times New Roman" w:hAnsi="Times New Roman" w:cs="Times New Roman"/>
          <w:b/>
          <w:sz w:val="24"/>
          <w:szCs w:val="20"/>
        </w:rPr>
        <w:t>Holotype:</w:t>
      </w:r>
      <w:r w:rsidRPr="00ED5E07">
        <w:rPr>
          <w:rFonts w:ascii="Times New Roman" w:hAnsi="Times New Roman" w:cs="Times New Roman"/>
          <w:sz w:val="24"/>
          <w:szCs w:val="20"/>
        </w:rPr>
        <w:t xml:space="preserve"> LR/02 is deposited in the museum of Department of Zoology, Diamond Harbour Women’s University, S</w:t>
      </w:r>
      <w:r w:rsidR="00DB0B4A" w:rsidRPr="00ED5E07">
        <w:rPr>
          <w:rFonts w:ascii="Times New Roman" w:hAnsi="Times New Roman" w:cs="Times New Roman"/>
          <w:sz w:val="24"/>
          <w:szCs w:val="20"/>
        </w:rPr>
        <w:t>arisha, Diamond Harbour 743368, West</w:t>
      </w:r>
      <w:r w:rsidRPr="00ED5E07">
        <w:rPr>
          <w:rFonts w:ascii="Times New Roman" w:hAnsi="Times New Roman" w:cs="Times New Roman"/>
          <w:sz w:val="24"/>
          <w:szCs w:val="20"/>
        </w:rPr>
        <w:t xml:space="preserve"> Bengal, India.</w:t>
      </w:r>
    </w:p>
    <w:p w:rsidR="00570819" w:rsidRPr="00ED5E07" w:rsidRDefault="00570819" w:rsidP="006526EF">
      <w:pPr>
        <w:spacing w:after="0"/>
        <w:jc w:val="both"/>
        <w:rPr>
          <w:rFonts w:ascii="Times New Roman" w:hAnsi="Times New Roman" w:cs="Times New Roman"/>
          <w:sz w:val="24"/>
          <w:szCs w:val="20"/>
        </w:rPr>
      </w:pPr>
      <w:r w:rsidRPr="00ED5E07">
        <w:rPr>
          <w:rFonts w:ascii="Times New Roman" w:hAnsi="Times New Roman" w:cs="Times New Roman"/>
          <w:b/>
          <w:sz w:val="24"/>
          <w:szCs w:val="20"/>
        </w:rPr>
        <w:t>Paratype:</w:t>
      </w:r>
      <w:r w:rsidRPr="00ED5E07">
        <w:rPr>
          <w:rFonts w:ascii="Times New Roman" w:hAnsi="Times New Roman" w:cs="Times New Roman"/>
          <w:sz w:val="24"/>
          <w:szCs w:val="20"/>
        </w:rPr>
        <w:t xml:space="preserve"> LR/01 is deposited in the museum of Department of Zoology, Diamond Harbour Women’s University, Sarisha, Diamond Harbour 743368, West Bengal, India.</w:t>
      </w:r>
    </w:p>
    <w:p w:rsidR="002C14C1" w:rsidRDefault="002C14C1" w:rsidP="006526EF">
      <w:pPr>
        <w:spacing w:after="0"/>
        <w:jc w:val="both"/>
        <w:rPr>
          <w:rFonts w:ascii="Times New Roman" w:hAnsi="Times New Roman" w:cs="Times New Roman"/>
          <w:sz w:val="24"/>
          <w:szCs w:val="20"/>
        </w:rPr>
      </w:pPr>
    </w:p>
    <w:p w:rsidR="002C14C1" w:rsidRDefault="00703CB1" w:rsidP="002C14C1">
      <w:pPr>
        <w:spacing w:after="0"/>
        <w:jc w:val="center"/>
        <w:rPr>
          <w:rFonts w:ascii="Times New Roman" w:hAnsi="Times New Roman" w:cs="Times New Roman"/>
          <w:sz w:val="24"/>
          <w:szCs w:val="20"/>
        </w:rPr>
      </w:pPr>
      <w:r>
        <w:rPr>
          <w:rFonts w:ascii="Times New Roman" w:hAnsi="Times New Roman" w:cs="Times New Roman"/>
          <w:noProof/>
          <w:sz w:val="24"/>
          <w:szCs w:val="20"/>
        </w:rPr>
        <w:lastRenderedPageBreak/>
        <w:drawing>
          <wp:inline distT="0" distB="0" distL="0" distR="0">
            <wp:extent cx="4972050" cy="3728899"/>
            <wp:effectExtent l="19050" t="0" r="0" b="0"/>
            <wp:docPr id="1" name="Picture 0" descr="Thelohanellus bifurc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lohanellus bifurcata.jpg"/>
                    <pic:cNvPicPr/>
                  </pic:nvPicPr>
                  <pic:blipFill>
                    <a:blip r:embed="rId7"/>
                    <a:stretch>
                      <a:fillRect/>
                    </a:stretch>
                  </pic:blipFill>
                  <pic:spPr>
                    <a:xfrm>
                      <a:off x="0" y="0"/>
                      <a:ext cx="4975725" cy="3731655"/>
                    </a:xfrm>
                    <a:prstGeom prst="rect">
                      <a:avLst/>
                    </a:prstGeom>
                  </pic:spPr>
                </pic:pic>
              </a:graphicData>
            </a:graphic>
          </wp:inline>
        </w:drawing>
      </w:r>
    </w:p>
    <w:p w:rsidR="00035AD2" w:rsidRDefault="00415032" w:rsidP="002C14C1">
      <w:pPr>
        <w:spacing w:after="0"/>
        <w:jc w:val="center"/>
        <w:rPr>
          <w:rFonts w:ascii="Times New Roman" w:hAnsi="Times New Roman" w:cs="Times New Roman"/>
          <w:b/>
          <w:sz w:val="20"/>
          <w:szCs w:val="20"/>
        </w:rPr>
      </w:pPr>
      <w:r>
        <w:rPr>
          <w:rFonts w:ascii="Times New Roman" w:hAnsi="Times New Roman" w:cs="Times New Roman"/>
          <w:b/>
          <w:sz w:val="20"/>
          <w:szCs w:val="20"/>
        </w:rPr>
        <w:t>Fig 1</w:t>
      </w:r>
      <w:r w:rsidR="00703CB1">
        <w:rPr>
          <w:rFonts w:ascii="Times New Roman" w:hAnsi="Times New Roman" w:cs="Times New Roman"/>
          <w:b/>
          <w:sz w:val="20"/>
          <w:szCs w:val="20"/>
        </w:rPr>
        <w:t xml:space="preserve"> (a</w:t>
      </w:r>
      <w:r w:rsidR="00B0336F">
        <w:rPr>
          <w:rFonts w:ascii="Times New Roman" w:hAnsi="Times New Roman" w:cs="Times New Roman"/>
          <w:b/>
          <w:sz w:val="20"/>
          <w:szCs w:val="20"/>
        </w:rPr>
        <w:t>)</w:t>
      </w:r>
      <w:r w:rsidR="002C14C1" w:rsidRPr="002C14C1">
        <w:rPr>
          <w:rFonts w:ascii="Times New Roman" w:hAnsi="Times New Roman" w:cs="Times New Roman"/>
          <w:b/>
          <w:sz w:val="20"/>
          <w:szCs w:val="20"/>
        </w:rPr>
        <w:t xml:space="preserve"> gills of Labeo rohita showing plasmodium (arrow) of T. bif</w:t>
      </w:r>
      <w:r w:rsidR="00703CB1">
        <w:rPr>
          <w:rFonts w:ascii="Times New Roman" w:hAnsi="Times New Roman" w:cs="Times New Roman"/>
          <w:b/>
          <w:sz w:val="20"/>
          <w:szCs w:val="20"/>
        </w:rPr>
        <w:t>urcata Basu and haldar, 1999; (b-d</w:t>
      </w:r>
      <w:r w:rsidR="00B0336F">
        <w:rPr>
          <w:rFonts w:ascii="Times New Roman" w:hAnsi="Times New Roman" w:cs="Times New Roman"/>
          <w:b/>
          <w:sz w:val="20"/>
          <w:szCs w:val="20"/>
        </w:rPr>
        <w:t>)</w:t>
      </w:r>
      <w:r w:rsidR="002C14C1" w:rsidRPr="002C14C1">
        <w:rPr>
          <w:rFonts w:ascii="Times New Roman" w:hAnsi="Times New Roman" w:cs="Times New Roman"/>
          <w:b/>
          <w:sz w:val="20"/>
          <w:szCs w:val="20"/>
        </w:rPr>
        <w:t xml:space="preserve"> Mature Myxospores of T. bifurcata Basu and haldar, 1999 showing large polar capsule with polar filament coils under light microscopy at 400X magnification (Scale Bar: 20 µm)</w:t>
      </w:r>
    </w:p>
    <w:p w:rsidR="00ED5E07" w:rsidRDefault="00ED5E07" w:rsidP="00035AD2">
      <w:pPr>
        <w:spacing w:after="0"/>
        <w:jc w:val="both"/>
        <w:rPr>
          <w:rFonts w:ascii="Times New Roman" w:hAnsi="Times New Roman" w:cs="Times New Roman"/>
          <w:b/>
          <w:sz w:val="20"/>
          <w:szCs w:val="20"/>
        </w:rPr>
      </w:pPr>
    </w:p>
    <w:p w:rsidR="00ED5E07" w:rsidRDefault="00ED5E07" w:rsidP="00035AD2">
      <w:pPr>
        <w:spacing w:after="0"/>
        <w:jc w:val="both"/>
        <w:rPr>
          <w:rFonts w:ascii="Times New Roman" w:hAnsi="Times New Roman" w:cs="Times New Roman"/>
          <w:b/>
          <w:sz w:val="20"/>
          <w:szCs w:val="20"/>
        </w:rPr>
      </w:pPr>
    </w:p>
    <w:p w:rsidR="00ED5E07" w:rsidRDefault="00ED5E07" w:rsidP="00035AD2">
      <w:pPr>
        <w:spacing w:after="0"/>
        <w:jc w:val="both"/>
        <w:rPr>
          <w:rFonts w:ascii="Times New Roman" w:hAnsi="Times New Roman" w:cs="Times New Roman"/>
          <w:b/>
          <w:sz w:val="20"/>
          <w:szCs w:val="20"/>
        </w:rPr>
      </w:pPr>
    </w:p>
    <w:p w:rsidR="00035AD2" w:rsidRDefault="00035AD2" w:rsidP="00035AD2">
      <w:pPr>
        <w:spacing w:after="0"/>
        <w:jc w:val="both"/>
        <w:rPr>
          <w:rFonts w:ascii="Times New Roman" w:hAnsi="Times New Roman" w:cs="Times New Roman"/>
          <w:sz w:val="20"/>
          <w:szCs w:val="20"/>
        </w:rPr>
      </w:pPr>
      <w:r w:rsidRPr="00485F80">
        <w:rPr>
          <w:rFonts w:ascii="Times New Roman" w:hAnsi="Times New Roman" w:cs="Times New Roman"/>
          <w:b/>
          <w:sz w:val="20"/>
          <w:szCs w:val="20"/>
        </w:rPr>
        <w:t>Table 1:</w:t>
      </w:r>
      <w:r w:rsidRPr="00485F80">
        <w:rPr>
          <w:rFonts w:ascii="Times New Roman" w:hAnsi="Times New Roman" w:cs="Times New Roman"/>
          <w:sz w:val="20"/>
          <w:szCs w:val="20"/>
        </w:rPr>
        <w:t xml:space="preserve"> Measurements (µm) and ratios of </w:t>
      </w:r>
      <w:r w:rsidRPr="00485F80">
        <w:rPr>
          <w:rFonts w:ascii="Times New Roman" w:hAnsi="Times New Roman" w:cs="Times New Roman"/>
          <w:i/>
          <w:sz w:val="20"/>
          <w:szCs w:val="20"/>
        </w:rPr>
        <w:t xml:space="preserve">Thelohanellus bifurcata </w:t>
      </w:r>
      <w:r w:rsidRPr="00485F80">
        <w:rPr>
          <w:rFonts w:ascii="Times New Roman" w:hAnsi="Times New Roman" w:cs="Times New Roman"/>
          <w:sz w:val="20"/>
          <w:szCs w:val="20"/>
        </w:rPr>
        <w:t xml:space="preserve">Basu and Haldar, 1999  </w:t>
      </w:r>
    </w:p>
    <w:tbl>
      <w:tblPr>
        <w:tblW w:w="9096" w:type="dxa"/>
        <w:tblInd w:w="93" w:type="dxa"/>
        <w:tblLook w:val="04A0"/>
      </w:tblPr>
      <w:tblGrid>
        <w:gridCol w:w="2960"/>
        <w:gridCol w:w="2074"/>
        <w:gridCol w:w="2053"/>
        <w:gridCol w:w="2009"/>
      </w:tblGrid>
      <w:tr w:rsidR="00602575" w:rsidRPr="00E72C5E" w:rsidTr="006C0179">
        <w:trPr>
          <w:trHeight w:val="458"/>
        </w:trPr>
        <w:tc>
          <w:tcPr>
            <w:tcW w:w="2960" w:type="dxa"/>
            <w:tcBorders>
              <w:top w:val="single" w:sz="4" w:space="0" w:color="auto"/>
              <w:bottom w:val="single" w:sz="4" w:space="0" w:color="auto"/>
              <w:right w:val="nil"/>
            </w:tcBorders>
            <w:noWrap/>
            <w:vAlign w:val="center"/>
            <w:hideMark/>
          </w:tcPr>
          <w:p w:rsidR="00602575" w:rsidRPr="00001CA5" w:rsidRDefault="00602575" w:rsidP="006C0179">
            <w:pPr>
              <w:spacing w:after="0" w:line="240" w:lineRule="auto"/>
              <w:rPr>
                <w:rFonts w:ascii="Times New Roman" w:eastAsia="Times New Roman" w:hAnsi="Times New Roman" w:cs="Times New Roman"/>
                <w:b/>
                <w:bCs/>
                <w:color w:val="000000"/>
                <w:sz w:val="20"/>
              </w:rPr>
            </w:pPr>
            <w:r w:rsidRPr="00001CA5">
              <w:rPr>
                <w:rFonts w:ascii="Times New Roman" w:eastAsia="Times New Roman" w:hAnsi="Times New Roman" w:cs="Times New Roman"/>
                <w:b/>
                <w:bCs/>
                <w:color w:val="000000"/>
                <w:sz w:val="20"/>
              </w:rPr>
              <w:t>Characteristics</w:t>
            </w:r>
          </w:p>
        </w:tc>
        <w:tc>
          <w:tcPr>
            <w:tcW w:w="2074" w:type="dxa"/>
            <w:tcBorders>
              <w:top w:val="single" w:sz="4" w:space="0" w:color="auto"/>
              <w:left w:val="nil"/>
              <w:bottom w:val="single" w:sz="4" w:space="0" w:color="auto"/>
              <w:right w:val="nil"/>
            </w:tcBorders>
            <w:noWrap/>
            <w:vAlign w:val="center"/>
            <w:hideMark/>
          </w:tcPr>
          <w:p w:rsidR="00602575" w:rsidRPr="00001CA5" w:rsidRDefault="00602575" w:rsidP="006C0179">
            <w:pPr>
              <w:spacing w:after="0" w:line="240" w:lineRule="auto"/>
              <w:rPr>
                <w:rFonts w:ascii="Times New Roman" w:eastAsia="Times New Roman" w:hAnsi="Times New Roman" w:cs="Times New Roman"/>
                <w:b/>
                <w:bCs/>
                <w:color w:val="000000"/>
                <w:sz w:val="20"/>
              </w:rPr>
            </w:pPr>
            <w:r w:rsidRPr="00001CA5">
              <w:rPr>
                <w:rFonts w:ascii="Times New Roman" w:eastAsia="Times New Roman" w:hAnsi="Times New Roman" w:cs="Times New Roman"/>
                <w:b/>
                <w:bCs/>
                <w:color w:val="000000"/>
                <w:sz w:val="20"/>
              </w:rPr>
              <w:t>Range</w:t>
            </w:r>
          </w:p>
        </w:tc>
        <w:tc>
          <w:tcPr>
            <w:tcW w:w="2053" w:type="dxa"/>
            <w:tcBorders>
              <w:top w:val="single" w:sz="4" w:space="0" w:color="auto"/>
              <w:left w:val="nil"/>
              <w:bottom w:val="single" w:sz="4" w:space="0" w:color="auto"/>
              <w:right w:val="nil"/>
            </w:tcBorders>
            <w:noWrap/>
            <w:vAlign w:val="center"/>
            <w:hideMark/>
          </w:tcPr>
          <w:p w:rsidR="00602575" w:rsidRPr="00001CA5" w:rsidRDefault="00602575" w:rsidP="006C0179">
            <w:pPr>
              <w:spacing w:after="0" w:line="240" w:lineRule="auto"/>
              <w:rPr>
                <w:rFonts w:ascii="Times New Roman" w:eastAsia="Times New Roman" w:hAnsi="Times New Roman" w:cs="Times New Roman"/>
                <w:b/>
                <w:bCs/>
                <w:color w:val="000000"/>
                <w:sz w:val="20"/>
              </w:rPr>
            </w:pPr>
            <w:r w:rsidRPr="00001CA5">
              <w:rPr>
                <w:rFonts w:ascii="Times New Roman" w:eastAsia="Times New Roman" w:hAnsi="Times New Roman" w:cs="Times New Roman"/>
                <w:b/>
                <w:bCs/>
                <w:color w:val="000000"/>
                <w:sz w:val="20"/>
              </w:rPr>
              <w:t>Mean Values</w:t>
            </w:r>
          </w:p>
        </w:tc>
        <w:tc>
          <w:tcPr>
            <w:tcW w:w="2009" w:type="dxa"/>
            <w:tcBorders>
              <w:top w:val="single" w:sz="4" w:space="0" w:color="auto"/>
              <w:left w:val="nil"/>
              <w:bottom w:val="single" w:sz="4" w:space="0" w:color="auto"/>
            </w:tcBorders>
            <w:noWrap/>
            <w:vAlign w:val="center"/>
            <w:hideMark/>
          </w:tcPr>
          <w:p w:rsidR="00602575" w:rsidRPr="00001CA5" w:rsidRDefault="00602575" w:rsidP="006C0179">
            <w:pPr>
              <w:spacing w:after="0" w:line="240" w:lineRule="auto"/>
              <w:rPr>
                <w:rFonts w:ascii="Times New Roman" w:eastAsia="Times New Roman" w:hAnsi="Times New Roman" w:cs="Times New Roman"/>
                <w:b/>
                <w:bCs/>
                <w:color w:val="000000"/>
                <w:sz w:val="20"/>
              </w:rPr>
            </w:pPr>
            <w:r w:rsidRPr="00001CA5">
              <w:rPr>
                <w:rFonts w:ascii="Times New Roman" w:eastAsia="Times New Roman" w:hAnsi="Times New Roman" w:cs="Times New Roman"/>
                <w:b/>
                <w:bCs/>
                <w:color w:val="000000"/>
                <w:sz w:val="20"/>
              </w:rPr>
              <w:t>SD</w:t>
            </w:r>
          </w:p>
        </w:tc>
      </w:tr>
      <w:tr w:rsidR="00602575" w:rsidRPr="00E72C5E" w:rsidTr="006C0179">
        <w:trPr>
          <w:trHeight w:val="427"/>
        </w:trPr>
        <w:tc>
          <w:tcPr>
            <w:tcW w:w="2960" w:type="dxa"/>
            <w:tcBorders>
              <w:top w:val="single" w:sz="4" w:space="0" w:color="auto"/>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Length of Spore (LS)</w:t>
            </w:r>
          </w:p>
        </w:tc>
        <w:tc>
          <w:tcPr>
            <w:tcW w:w="2074" w:type="dxa"/>
            <w:tcBorders>
              <w:top w:val="single" w:sz="4" w:space="0" w:color="auto"/>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30.9-34.0</w:t>
            </w:r>
          </w:p>
        </w:tc>
        <w:tc>
          <w:tcPr>
            <w:tcW w:w="2053" w:type="dxa"/>
            <w:tcBorders>
              <w:top w:val="single" w:sz="4" w:space="0" w:color="auto"/>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2009" w:type="dxa"/>
            <w:tcBorders>
              <w:top w:val="single" w:sz="4" w:space="0" w:color="auto"/>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602575" w:rsidRPr="00E72C5E" w:rsidTr="006C0179">
        <w:trPr>
          <w:trHeight w:val="443"/>
        </w:trPr>
        <w:tc>
          <w:tcPr>
            <w:tcW w:w="2960"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Width of Spore (WS)</w:t>
            </w:r>
          </w:p>
        </w:tc>
        <w:tc>
          <w:tcPr>
            <w:tcW w:w="2074"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7.4-9.9</w:t>
            </w:r>
          </w:p>
        </w:tc>
        <w:tc>
          <w:tcPr>
            <w:tcW w:w="2053"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w:t>
            </w:r>
          </w:p>
        </w:tc>
        <w:tc>
          <w:tcPr>
            <w:tcW w:w="2009"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w:t>
            </w:r>
          </w:p>
        </w:tc>
      </w:tr>
      <w:tr w:rsidR="00602575" w:rsidRPr="00E72C5E" w:rsidTr="006C0179">
        <w:trPr>
          <w:trHeight w:val="443"/>
        </w:trPr>
        <w:tc>
          <w:tcPr>
            <w:tcW w:w="2960"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Length of Polar Capsule (LPC)</w:t>
            </w:r>
          </w:p>
        </w:tc>
        <w:tc>
          <w:tcPr>
            <w:tcW w:w="2074"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17.3-21.7</w:t>
            </w:r>
          </w:p>
        </w:tc>
        <w:tc>
          <w:tcPr>
            <w:tcW w:w="2053"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w:t>
            </w:r>
          </w:p>
        </w:tc>
        <w:tc>
          <w:tcPr>
            <w:tcW w:w="2009"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r>
      <w:tr w:rsidR="00602575" w:rsidRPr="00E72C5E" w:rsidTr="006C0179">
        <w:trPr>
          <w:trHeight w:val="427"/>
        </w:trPr>
        <w:tc>
          <w:tcPr>
            <w:tcW w:w="2960"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Width of Polar Capsule (WPC)</w:t>
            </w:r>
          </w:p>
        </w:tc>
        <w:tc>
          <w:tcPr>
            <w:tcW w:w="2074"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5.7-7.6</w:t>
            </w:r>
          </w:p>
        </w:tc>
        <w:tc>
          <w:tcPr>
            <w:tcW w:w="2053"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2009"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w:t>
            </w:r>
          </w:p>
        </w:tc>
      </w:tr>
      <w:tr w:rsidR="00602575" w:rsidRPr="00E72C5E" w:rsidTr="006C0179">
        <w:trPr>
          <w:trHeight w:val="458"/>
        </w:trPr>
        <w:tc>
          <w:tcPr>
            <w:tcW w:w="2960"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Length of polar filament</w:t>
            </w:r>
          </w:p>
        </w:tc>
        <w:tc>
          <w:tcPr>
            <w:tcW w:w="2074"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173.5-221.4</w:t>
            </w:r>
          </w:p>
        </w:tc>
        <w:tc>
          <w:tcPr>
            <w:tcW w:w="2053"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197.6</w:t>
            </w:r>
          </w:p>
        </w:tc>
        <w:tc>
          <w:tcPr>
            <w:tcW w:w="2009"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w:t>
            </w:r>
          </w:p>
        </w:tc>
      </w:tr>
      <w:tr w:rsidR="00602575" w:rsidRPr="00E72C5E" w:rsidTr="006C0179">
        <w:trPr>
          <w:trHeight w:val="427"/>
        </w:trPr>
        <w:tc>
          <w:tcPr>
            <w:tcW w:w="2960"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Ratio: LS/WS</w:t>
            </w:r>
          </w:p>
        </w:tc>
        <w:tc>
          <w:tcPr>
            <w:tcW w:w="2074"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053"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2009"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602575" w:rsidRPr="00E72C5E" w:rsidTr="006C0179">
        <w:trPr>
          <w:trHeight w:val="427"/>
        </w:trPr>
        <w:tc>
          <w:tcPr>
            <w:tcW w:w="2960"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No. of filaments turns</w:t>
            </w:r>
          </w:p>
        </w:tc>
        <w:tc>
          <w:tcPr>
            <w:tcW w:w="2074"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11-13</w:t>
            </w:r>
          </w:p>
        </w:tc>
        <w:tc>
          <w:tcPr>
            <w:tcW w:w="2053"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2009" w:type="dxa"/>
            <w:tcBorders>
              <w:top w:val="nil"/>
              <w:left w:val="nil"/>
              <w:bottom w:val="nil"/>
              <w:right w:val="nil"/>
            </w:tcBorders>
            <w:noWrap/>
            <w:vAlign w:val="bottom"/>
            <w:hideMark/>
          </w:tcPr>
          <w:p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602575" w:rsidRPr="00485F80" w:rsidRDefault="00602575" w:rsidP="00035AD2">
      <w:pPr>
        <w:spacing w:after="0"/>
        <w:jc w:val="both"/>
        <w:rPr>
          <w:rFonts w:ascii="Times New Roman" w:hAnsi="Times New Roman" w:cs="Times New Roman"/>
          <w:sz w:val="20"/>
          <w:szCs w:val="20"/>
        </w:rPr>
      </w:pPr>
    </w:p>
    <w:p w:rsidR="008F1020" w:rsidRPr="00485F80" w:rsidRDefault="008F1020" w:rsidP="00035AD2">
      <w:pPr>
        <w:spacing w:after="0"/>
        <w:jc w:val="both"/>
        <w:rPr>
          <w:rFonts w:ascii="Times New Roman" w:hAnsi="Times New Roman" w:cs="Times New Roman"/>
          <w:b/>
          <w:sz w:val="20"/>
          <w:szCs w:val="20"/>
        </w:rPr>
      </w:pPr>
    </w:p>
    <w:p w:rsidR="0075478F" w:rsidRPr="00485F80" w:rsidRDefault="00035AD2" w:rsidP="005C0A4B">
      <w:pPr>
        <w:spacing w:after="0"/>
        <w:jc w:val="both"/>
        <w:rPr>
          <w:rFonts w:ascii="Times New Roman" w:hAnsi="Times New Roman" w:cs="Times New Roman"/>
          <w:sz w:val="20"/>
          <w:szCs w:val="20"/>
        </w:rPr>
      </w:pPr>
      <w:r w:rsidRPr="00485F80">
        <w:rPr>
          <w:rFonts w:ascii="Times New Roman" w:hAnsi="Times New Roman" w:cs="Times New Roman"/>
          <w:b/>
          <w:sz w:val="20"/>
          <w:szCs w:val="20"/>
        </w:rPr>
        <w:t>Table 2:</w:t>
      </w:r>
      <w:r w:rsidRPr="00485F80">
        <w:rPr>
          <w:rFonts w:ascii="Times New Roman" w:hAnsi="Times New Roman" w:cs="Times New Roman"/>
          <w:sz w:val="20"/>
          <w:szCs w:val="20"/>
        </w:rPr>
        <w:t xml:space="preserve"> Morphometric comparison of </w:t>
      </w:r>
      <w:r w:rsidRPr="00485F80">
        <w:rPr>
          <w:rFonts w:ascii="Times New Roman" w:hAnsi="Times New Roman" w:cs="Times New Roman"/>
          <w:i/>
          <w:sz w:val="20"/>
          <w:szCs w:val="20"/>
        </w:rPr>
        <w:t xml:space="preserve">Thelohanellus bifurcata </w:t>
      </w:r>
      <w:r w:rsidRPr="00485F80">
        <w:rPr>
          <w:rFonts w:ascii="Times New Roman" w:hAnsi="Times New Roman" w:cs="Times New Roman"/>
          <w:sz w:val="20"/>
          <w:szCs w:val="20"/>
        </w:rPr>
        <w:t xml:space="preserve">Basu and Haldar, 1999, obtained from present study, with those of other authors. </w:t>
      </w:r>
    </w:p>
    <w:tbl>
      <w:tblPr>
        <w:tblW w:w="9161" w:type="dxa"/>
        <w:tblInd w:w="78" w:type="dxa"/>
        <w:tblLook w:val="04A0"/>
      </w:tblPr>
      <w:tblGrid>
        <w:gridCol w:w="1995"/>
        <w:gridCol w:w="1711"/>
        <w:gridCol w:w="1832"/>
        <w:gridCol w:w="1895"/>
        <w:gridCol w:w="1728"/>
      </w:tblGrid>
      <w:tr w:rsidR="00602575" w:rsidRPr="00C2275F" w:rsidTr="00A81B1B">
        <w:trPr>
          <w:trHeight w:val="619"/>
        </w:trPr>
        <w:tc>
          <w:tcPr>
            <w:tcW w:w="1995" w:type="dxa"/>
            <w:tcBorders>
              <w:top w:val="single" w:sz="4" w:space="0" w:color="auto"/>
              <w:left w:val="nil"/>
              <w:bottom w:val="single" w:sz="4" w:space="0" w:color="auto"/>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b/>
                <w:bCs/>
                <w:color w:val="000000"/>
                <w:sz w:val="20"/>
                <w:szCs w:val="20"/>
              </w:rPr>
            </w:pPr>
            <w:r w:rsidRPr="00C2275F">
              <w:rPr>
                <w:rFonts w:ascii="Times New Roman" w:eastAsia="Times New Roman" w:hAnsi="Times New Roman" w:cs="Times New Roman"/>
                <w:b/>
                <w:bCs/>
                <w:color w:val="000000"/>
                <w:sz w:val="20"/>
                <w:szCs w:val="20"/>
              </w:rPr>
              <w:t>Species</w:t>
            </w:r>
          </w:p>
        </w:tc>
        <w:tc>
          <w:tcPr>
            <w:tcW w:w="1711" w:type="dxa"/>
            <w:tcBorders>
              <w:top w:val="single" w:sz="4" w:space="0" w:color="auto"/>
              <w:left w:val="nil"/>
              <w:bottom w:val="single" w:sz="4" w:space="0" w:color="auto"/>
              <w:right w:val="nil"/>
            </w:tcBorders>
            <w:vAlign w:val="center"/>
            <w:hideMark/>
          </w:tcPr>
          <w:p w:rsidR="00602575" w:rsidRPr="00C2275F" w:rsidRDefault="00602575" w:rsidP="006C0179">
            <w:pPr>
              <w:spacing w:after="0" w:line="240" w:lineRule="auto"/>
              <w:rPr>
                <w:rFonts w:ascii="Times New Roman" w:eastAsia="Times New Roman" w:hAnsi="Times New Roman" w:cs="Times New Roman"/>
                <w:b/>
                <w:bCs/>
                <w:i/>
                <w:iCs/>
                <w:color w:val="000000"/>
                <w:sz w:val="20"/>
                <w:szCs w:val="20"/>
              </w:rPr>
            </w:pPr>
            <w:r w:rsidRPr="00C2275F">
              <w:rPr>
                <w:rFonts w:ascii="Times New Roman" w:eastAsia="Times New Roman" w:hAnsi="Times New Roman" w:cs="Times New Roman"/>
                <w:b/>
                <w:bCs/>
                <w:i/>
                <w:iCs/>
                <w:color w:val="000000"/>
                <w:sz w:val="20"/>
                <w:szCs w:val="20"/>
              </w:rPr>
              <w:t xml:space="preserve">Thelohanellus bifurcata </w:t>
            </w:r>
          </w:p>
        </w:tc>
        <w:tc>
          <w:tcPr>
            <w:tcW w:w="1832" w:type="dxa"/>
            <w:tcBorders>
              <w:top w:val="single" w:sz="4" w:space="0" w:color="auto"/>
              <w:left w:val="nil"/>
              <w:bottom w:val="single" w:sz="4" w:space="0" w:color="auto"/>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b/>
                <w:bCs/>
                <w:i/>
                <w:iCs/>
                <w:color w:val="000000"/>
                <w:sz w:val="20"/>
                <w:szCs w:val="20"/>
              </w:rPr>
            </w:pPr>
            <w:r w:rsidRPr="00C2275F">
              <w:rPr>
                <w:rFonts w:ascii="Times New Roman" w:eastAsia="Times New Roman" w:hAnsi="Times New Roman" w:cs="Times New Roman"/>
                <w:b/>
                <w:bCs/>
                <w:i/>
                <w:iCs/>
                <w:color w:val="000000"/>
                <w:sz w:val="20"/>
                <w:szCs w:val="20"/>
              </w:rPr>
              <w:t>T. bifurcata</w:t>
            </w:r>
          </w:p>
        </w:tc>
        <w:tc>
          <w:tcPr>
            <w:tcW w:w="1895" w:type="dxa"/>
            <w:tcBorders>
              <w:top w:val="single" w:sz="4" w:space="0" w:color="auto"/>
              <w:left w:val="nil"/>
              <w:bottom w:val="single" w:sz="4" w:space="0" w:color="auto"/>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b/>
                <w:bCs/>
                <w:i/>
                <w:iCs/>
                <w:color w:val="000000"/>
                <w:sz w:val="20"/>
                <w:szCs w:val="20"/>
              </w:rPr>
            </w:pPr>
            <w:r w:rsidRPr="00C2275F">
              <w:rPr>
                <w:rFonts w:ascii="Times New Roman" w:eastAsia="Times New Roman" w:hAnsi="Times New Roman" w:cs="Times New Roman"/>
                <w:b/>
                <w:bCs/>
                <w:i/>
                <w:iCs/>
                <w:color w:val="000000"/>
                <w:sz w:val="20"/>
                <w:szCs w:val="20"/>
              </w:rPr>
              <w:t>T. bifurcata</w:t>
            </w:r>
          </w:p>
        </w:tc>
        <w:tc>
          <w:tcPr>
            <w:tcW w:w="1728" w:type="dxa"/>
            <w:tcBorders>
              <w:top w:val="single" w:sz="4" w:space="0" w:color="auto"/>
              <w:left w:val="nil"/>
              <w:bottom w:val="single" w:sz="4" w:space="0" w:color="auto"/>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b/>
                <w:bCs/>
                <w:i/>
                <w:iCs/>
                <w:color w:val="000000"/>
                <w:sz w:val="20"/>
                <w:szCs w:val="20"/>
              </w:rPr>
            </w:pPr>
            <w:r w:rsidRPr="00C2275F">
              <w:rPr>
                <w:rFonts w:ascii="Times New Roman" w:eastAsia="Times New Roman" w:hAnsi="Times New Roman" w:cs="Times New Roman"/>
                <w:b/>
                <w:bCs/>
                <w:i/>
                <w:iCs/>
                <w:color w:val="000000"/>
                <w:sz w:val="20"/>
                <w:szCs w:val="20"/>
              </w:rPr>
              <w:t>T. bifurcata</w:t>
            </w:r>
          </w:p>
        </w:tc>
      </w:tr>
      <w:tr w:rsidR="00602575" w:rsidRPr="00C2275F" w:rsidTr="00A81B1B">
        <w:trPr>
          <w:trHeight w:val="433"/>
        </w:trPr>
        <w:tc>
          <w:tcPr>
            <w:tcW w:w="1995" w:type="dxa"/>
            <w:tcBorders>
              <w:top w:val="single" w:sz="4" w:space="0" w:color="auto"/>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Host</w:t>
            </w:r>
          </w:p>
        </w:tc>
        <w:tc>
          <w:tcPr>
            <w:tcW w:w="1711" w:type="dxa"/>
            <w:tcBorders>
              <w:top w:val="single" w:sz="4" w:space="0" w:color="auto"/>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i/>
                <w:iCs/>
                <w:color w:val="000000"/>
                <w:sz w:val="20"/>
                <w:szCs w:val="20"/>
              </w:rPr>
            </w:pPr>
            <w:r w:rsidRPr="00C2275F">
              <w:rPr>
                <w:rFonts w:ascii="Times New Roman" w:eastAsia="Times New Roman" w:hAnsi="Times New Roman" w:cs="Times New Roman"/>
                <w:i/>
                <w:iCs/>
                <w:color w:val="000000"/>
                <w:sz w:val="20"/>
                <w:szCs w:val="20"/>
              </w:rPr>
              <w:t>Labeo rohita</w:t>
            </w:r>
          </w:p>
        </w:tc>
        <w:tc>
          <w:tcPr>
            <w:tcW w:w="1832" w:type="dxa"/>
            <w:tcBorders>
              <w:top w:val="single" w:sz="4" w:space="0" w:color="auto"/>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i/>
                <w:iCs/>
                <w:color w:val="000000"/>
                <w:sz w:val="20"/>
                <w:szCs w:val="20"/>
              </w:rPr>
            </w:pPr>
            <w:r w:rsidRPr="00C2275F">
              <w:rPr>
                <w:rFonts w:ascii="Times New Roman" w:eastAsia="Times New Roman" w:hAnsi="Times New Roman" w:cs="Times New Roman"/>
                <w:i/>
                <w:iCs/>
                <w:color w:val="000000"/>
                <w:sz w:val="20"/>
                <w:szCs w:val="20"/>
              </w:rPr>
              <w:t>Labeo rohita</w:t>
            </w:r>
          </w:p>
        </w:tc>
        <w:tc>
          <w:tcPr>
            <w:tcW w:w="1895" w:type="dxa"/>
            <w:tcBorders>
              <w:top w:val="single" w:sz="4" w:space="0" w:color="auto"/>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i/>
                <w:iCs/>
                <w:color w:val="000000"/>
                <w:sz w:val="20"/>
                <w:szCs w:val="20"/>
              </w:rPr>
            </w:pPr>
            <w:r w:rsidRPr="00C2275F">
              <w:rPr>
                <w:rFonts w:ascii="Times New Roman" w:eastAsia="Times New Roman" w:hAnsi="Times New Roman" w:cs="Times New Roman"/>
                <w:i/>
                <w:iCs/>
                <w:color w:val="000000"/>
                <w:sz w:val="20"/>
                <w:szCs w:val="20"/>
              </w:rPr>
              <w:t>Labeo rohita</w:t>
            </w:r>
          </w:p>
        </w:tc>
        <w:tc>
          <w:tcPr>
            <w:tcW w:w="1728" w:type="dxa"/>
            <w:tcBorders>
              <w:top w:val="single" w:sz="4" w:space="0" w:color="auto"/>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i/>
                <w:iCs/>
                <w:color w:val="000000"/>
                <w:sz w:val="20"/>
                <w:szCs w:val="20"/>
              </w:rPr>
            </w:pPr>
            <w:r w:rsidRPr="00C2275F">
              <w:rPr>
                <w:rFonts w:ascii="Times New Roman" w:eastAsia="Times New Roman" w:hAnsi="Times New Roman" w:cs="Times New Roman"/>
                <w:i/>
                <w:iCs/>
                <w:color w:val="000000"/>
                <w:sz w:val="20"/>
                <w:szCs w:val="20"/>
              </w:rPr>
              <w:t>Labeo rohita</w:t>
            </w:r>
          </w:p>
        </w:tc>
      </w:tr>
      <w:tr w:rsidR="00602575" w:rsidRPr="00C2275F" w:rsidTr="006C0179">
        <w:trPr>
          <w:trHeight w:val="573"/>
        </w:trPr>
        <w:tc>
          <w:tcPr>
            <w:tcW w:w="19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lastRenderedPageBreak/>
              <w:t>Locality</w:t>
            </w:r>
          </w:p>
        </w:tc>
        <w:tc>
          <w:tcPr>
            <w:tcW w:w="1711" w:type="dxa"/>
            <w:tcBorders>
              <w:top w:val="nil"/>
              <w:left w:val="nil"/>
              <w:bottom w:val="nil"/>
              <w:right w:val="nil"/>
            </w:tcBorders>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Ranaghat, West Bengal, India</w:t>
            </w:r>
          </w:p>
        </w:tc>
        <w:tc>
          <w:tcPr>
            <w:tcW w:w="1832" w:type="dxa"/>
            <w:tcBorders>
              <w:top w:val="nil"/>
              <w:left w:val="nil"/>
              <w:bottom w:val="nil"/>
              <w:right w:val="nil"/>
            </w:tcBorders>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Ranaghat, West Bengal, India</w:t>
            </w:r>
          </w:p>
        </w:tc>
        <w:tc>
          <w:tcPr>
            <w:tcW w:w="18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Patiala, Punjab, India</w:t>
            </w:r>
          </w:p>
        </w:tc>
        <w:tc>
          <w:tcPr>
            <w:tcW w:w="1728"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Punjab, India</w:t>
            </w:r>
          </w:p>
        </w:tc>
      </w:tr>
      <w:tr w:rsidR="00602575" w:rsidRPr="00C2275F" w:rsidTr="006C0179">
        <w:trPr>
          <w:trHeight w:val="449"/>
        </w:trPr>
        <w:tc>
          <w:tcPr>
            <w:tcW w:w="19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Location</w:t>
            </w:r>
          </w:p>
        </w:tc>
        <w:tc>
          <w:tcPr>
            <w:tcW w:w="1711"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Gills</w:t>
            </w:r>
          </w:p>
        </w:tc>
        <w:tc>
          <w:tcPr>
            <w:tcW w:w="1832"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Gills</w:t>
            </w:r>
          </w:p>
        </w:tc>
        <w:tc>
          <w:tcPr>
            <w:tcW w:w="18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Gills</w:t>
            </w:r>
          </w:p>
        </w:tc>
        <w:tc>
          <w:tcPr>
            <w:tcW w:w="1728"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Gills</w:t>
            </w:r>
          </w:p>
        </w:tc>
      </w:tr>
      <w:tr w:rsidR="00602575" w:rsidRPr="00C2275F" w:rsidTr="006C0179">
        <w:trPr>
          <w:trHeight w:val="433"/>
        </w:trPr>
        <w:tc>
          <w:tcPr>
            <w:tcW w:w="19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Reference(s)</w:t>
            </w:r>
          </w:p>
        </w:tc>
        <w:tc>
          <w:tcPr>
            <w:tcW w:w="1711"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Present study</w:t>
            </w:r>
          </w:p>
        </w:tc>
        <w:tc>
          <w:tcPr>
            <w:tcW w:w="1832"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Basu &amp; Haldar, 1999</w:t>
            </w:r>
          </w:p>
        </w:tc>
        <w:tc>
          <w:tcPr>
            <w:tcW w:w="18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Kaur &amp; Katoch, 2014</w:t>
            </w:r>
          </w:p>
        </w:tc>
        <w:tc>
          <w:tcPr>
            <w:tcW w:w="1728"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Nissa et al. 2024</w:t>
            </w:r>
          </w:p>
        </w:tc>
      </w:tr>
      <w:tr w:rsidR="00602575" w:rsidRPr="00C2275F" w:rsidTr="006C0179">
        <w:trPr>
          <w:trHeight w:val="464"/>
        </w:trPr>
        <w:tc>
          <w:tcPr>
            <w:tcW w:w="19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Myxospore (L X W)</w:t>
            </w:r>
          </w:p>
        </w:tc>
        <w:tc>
          <w:tcPr>
            <w:tcW w:w="1711"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32.2 X 8.9</w:t>
            </w:r>
          </w:p>
        </w:tc>
        <w:tc>
          <w:tcPr>
            <w:tcW w:w="1832"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34.8 X 9.2</w:t>
            </w:r>
          </w:p>
        </w:tc>
        <w:tc>
          <w:tcPr>
            <w:tcW w:w="18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33.6 X 8.9</w:t>
            </w:r>
          </w:p>
        </w:tc>
        <w:tc>
          <w:tcPr>
            <w:tcW w:w="1728"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31.4 X 9.4</w:t>
            </w:r>
          </w:p>
        </w:tc>
      </w:tr>
      <w:tr w:rsidR="00602575" w:rsidRPr="00C2275F" w:rsidTr="006C0179">
        <w:trPr>
          <w:trHeight w:val="433"/>
        </w:trPr>
        <w:tc>
          <w:tcPr>
            <w:tcW w:w="19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Polar Capsule (L X W)</w:t>
            </w:r>
          </w:p>
        </w:tc>
        <w:tc>
          <w:tcPr>
            <w:tcW w:w="1711"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19.3 X 6.8</w:t>
            </w:r>
          </w:p>
        </w:tc>
        <w:tc>
          <w:tcPr>
            <w:tcW w:w="1832"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23.3 X 6.6</w:t>
            </w:r>
          </w:p>
        </w:tc>
        <w:tc>
          <w:tcPr>
            <w:tcW w:w="18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18.1 X 5.7</w:t>
            </w:r>
          </w:p>
        </w:tc>
        <w:tc>
          <w:tcPr>
            <w:tcW w:w="1728"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19.9 X 8.0</w:t>
            </w:r>
          </w:p>
        </w:tc>
      </w:tr>
      <w:tr w:rsidR="00602575" w:rsidRPr="00C2275F" w:rsidTr="006C0179">
        <w:trPr>
          <w:trHeight w:val="433"/>
        </w:trPr>
        <w:tc>
          <w:tcPr>
            <w:tcW w:w="19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LS/WS</w:t>
            </w:r>
          </w:p>
        </w:tc>
        <w:tc>
          <w:tcPr>
            <w:tcW w:w="1711"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3.6</w:t>
            </w:r>
          </w:p>
        </w:tc>
        <w:tc>
          <w:tcPr>
            <w:tcW w:w="1832"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3.7</w:t>
            </w:r>
          </w:p>
        </w:tc>
        <w:tc>
          <w:tcPr>
            <w:tcW w:w="1895"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3.7</w:t>
            </w:r>
          </w:p>
        </w:tc>
        <w:tc>
          <w:tcPr>
            <w:tcW w:w="1728" w:type="dxa"/>
            <w:tcBorders>
              <w:top w:val="nil"/>
              <w:left w:val="nil"/>
              <w:bottom w:val="nil"/>
              <w:right w:val="nil"/>
            </w:tcBorders>
            <w:noWrap/>
            <w:vAlign w:val="center"/>
            <w:hideMark/>
          </w:tcPr>
          <w:p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3.3</w:t>
            </w:r>
          </w:p>
        </w:tc>
      </w:tr>
    </w:tbl>
    <w:p w:rsidR="005C0A4B" w:rsidRPr="005C0A4B" w:rsidRDefault="005C0A4B" w:rsidP="005C0A4B">
      <w:pPr>
        <w:spacing w:after="0"/>
        <w:jc w:val="both"/>
        <w:rPr>
          <w:rFonts w:ascii="Times New Roman" w:hAnsi="Times New Roman" w:cs="Times New Roman"/>
          <w:szCs w:val="20"/>
        </w:rPr>
      </w:pPr>
    </w:p>
    <w:p w:rsidR="001D083F" w:rsidRPr="00ED5E07" w:rsidRDefault="001D083F" w:rsidP="001D083F">
      <w:pPr>
        <w:spacing w:after="0"/>
        <w:jc w:val="both"/>
        <w:rPr>
          <w:rFonts w:ascii="Times New Roman" w:hAnsi="Times New Roman" w:cs="Times New Roman"/>
          <w:b/>
          <w:sz w:val="24"/>
          <w:szCs w:val="20"/>
        </w:rPr>
      </w:pPr>
      <w:r w:rsidRPr="00ED5E07">
        <w:rPr>
          <w:rFonts w:ascii="Times New Roman" w:hAnsi="Times New Roman" w:cs="Times New Roman"/>
          <w:b/>
          <w:sz w:val="24"/>
          <w:szCs w:val="20"/>
        </w:rPr>
        <w:t xml:space="preserve">Remarks: </w:t>
      </w:r>
    </w:p>
    <w:p w:rsidR="00BD24C5" w:rsidRPr="00ED5E07" w:rsidRDefault="00845F9A" w:rsidP="001D083F">
      <w:pPr>
        <w:spacing w:after="0"/>
        <w:jc w:val="both"/>
        <w:rPr>
          <w:rFonts w:ascii="Times New Roman" w:hAnsi="Times New Roman" w:cs="Times New Roman"/>
          <w:sz w:val="24"/>
        </w:rPr>
      </w:pPr>
      <w:r w:rsidRPr="00ED5E07">
        <w:rPr>
          <w:rFonts w:ascii="Times New Roman" w:hAnsi="Times New Roman" w:cs="Times New Roman"/>
          <w:sz w:val="24"/>
          <w:szCs w:val="20"/>
        </w:rPr>
        <w:t xml:space="preserve">The morphometric observations mentioned in the present study on </w:t>
      </w:r>
      <w:r w:rsidRPr="00ED5E07">
        <w:rPr>
          <w:rFonts w:ascii="Times New Roman" w:hAnsi="Times New Roman" w:cs="Times New Roman"/>
          <w:i/>
          <w:sz w:val="24"/>
        </w:rPr>
        <w:t xml:space="preserve">Thelohanellus bifurcata </w:t>
      </w:r>
      <w:r w:rsidRPr="00ED5E07">
        <w:rPr>
          <w:rFonts w:ascii="Times New Roman" w:hAnsi="Times New Roman" w:cs="Times New Roman"/>
          <w:sz w:val="24"/>
        </w:rPr>
        <w:t>Basu and Haldar, 1999 resembles more or less with the descriptions provi</w:t>
      </w:r>
      <w:r w:rsidR="00D52FE4" w:rsidRPr="00ED5E07">
        <w:rPr>
          <w:rFonts w:ascii="Times New Roman" w:hAnsi="Times New Roman" w:cs="Times New Roman"/>
          <w:sz w:val="24"/>
        </w:rPr>
        <w:t>ded by previous authors (Table 2</w:t>
      </w:r>
      <w:r w:rsidRPr="00ED5E07">
        <w:rPr>
          <w:rFonts w:ascii="Times New Roman" w:hAnsi="Times New Roman" w:cs="Times New Roman"/>
          <w:sz w:val="24"/>
        </w:rPr>
        <w:t>). The comparison shows slight difference in the mean value of length x width of spore from the original description (32.2 µm x 8.9 µm in present study and 34.8 µm x 9.2 µm in original description by Basu and Haldar, 1999). Whereas, the mean value of the width of the spore resembles with the mean width value of spore given by Kaur and Katoch, 2014 (8.9 µm in both studies)</w:t>
      </w:r>
      <w:r w:rsidR="0041441C" w:rsidRPr="00ED5E07">
        <w:rPr>
          <w:rFonts w:ascii="Times New Roman" w:hAnsi="Times New Roman" w:cs="Times New Roman"/>
          <w:sz w:val="24"/>
        </w:rPr>
        <w:t xml:space="preserve"> but the mean value of length of spore slightly varies with this description (32.2 µm in present study, 33.6 µm in study by Kaur and Katoch, 2014). The mean value of </w:t>
      </w:r>
      <w:r w:rsidR="00A75433" w:rsidRPr="00ED5E07">
        <w:rPr>
          <w:rFonts w:ascii="Times New Roman" w:hAnsi="Times New Roman" w:cs="Times New Roman"/>
          <w:sz w:val="24"/>
        </w:rPr>
        <w:t xml:space="preserve">length x width of spore also shows minute difference with the description </w:t>
      </w:r>
      <w:r w:rsidR="00925D2D" w:rsidRPr="00ED5E07">
        <w:rPr>
          <w:rFonts w:ascii="Times New Roman" w:hAnsi="Times New Roman" w:cs="Times New Roman"/>
          <w:sz w:val="24"/>
        </w:rPr>
        <w:t xml:space="preserve">by Nissa et al., 2024 (32.2 µm x 8.9 µm in present study and 31.4 µm x 9.4 µm in the study by Nissa et al., 2024). The ratio of the length and width of spore is almost similar </w:t>
      </w:r>
      <w:r w:rsidR="008C7D7E" w:rsidRPr="00ED5E07">
        <w:rPr>
          <w:rFonts w:ascii="Times New Roman" w:hAnsi="Times New Roman" w:cs="Times New Roman"/>
          <w:sz w:val="24"/>
        </w:rPr>
        <w:t xml:space="preserve">with the descriptions by other authors (3.6 in present study; 3.7, 3.7, 3.3 in the study by Basu and Haldar, 1999; Kaur and Katoch, 2014 and Nissa et al., 2024 respectively). </w:t>
      </w:r>
      <w:r w:rsidR="00C54D13" w:rsidRPr="00ED5E07">
        <w:rPr>
          <w:rFonts w:ascii="Times New Roman" w:hAnsi="Times New Roman" w:cs="Times New Roman"/>
          <w:sz w:val="24"/>
        </w:rPr>
        <w:t xml:space="preserve">The mean value of the length of polar capsule </w:t>
      </w:r>
      <w:r w:rsidR="00CA4704" w:rsidRPr="00ED5E07">
        <w:rPr>
          <w:rFonts w:ascii="Times New Roman" w:hAnsi="Times New Roman" w:cs="Times New Roman"/>
          <w:sz w:val="24"/>
        </w:rPr>
        <w:t xml:space="preserve">also shows a very minute difference with the other descriptions (19.3 µm in present study and 23.3 µm, 18.1 µm and 19.9 µm in the study by Basu and Haldar, 1999; Kaur and Katoch, 2014 and Nissa et al., 2024 respectively). The mean value of length </w:t>
      </w:r>
      <w:r w:rsidR="00EE6B10" w:rsidRPr="00ED5E07">
        <w:rPr>
          <w:rFonts w:ascii="Times New Roman" w:hAnsi="Times New Roman" w:cs="Times New Roman"/>
          <w:sz w:val="24"/>
        </w:rPr>
        <w:t>of polar capsule of present study (19.3 µm) is quite similar with the description provided by Nissa et al., 2024 (19.9 µm</w:t>
      </w:r>
      <w:r w:rsidR="009B4913" w:rsidRPr="00ED5E07">
        <w:rPr>
          <w:rFonts w:ascii="Times New Roman" w:hAnsi="Times New Roman" w:cs="Times New Roman"/>
          <w:sz w:val="24"/>
        </w:rPr>
        <w:t xml:space="preserve">). The mean value of the width of the polar capsule of present study (6.8 µm) shows much similarity with the original description by Basu and Haldar, 1999 (6.6 µm). This </w:t>
      </w:r>
      <w:r w:rsidR="008F5297" w:rsidRPr="00ED5E07">
        <w:rPr>
          <w:rFonts w:ascii="Times New Roman" w:hAnsi="Times New Roman" w:cs="Times New Roman"/>
          <w:sz w:val="24"/>
        </w:rPr>
        <w:t xml:space="preserve">value shows slight difference with the other descriptions (6.8 µm in present study, 5.7 µm and 8.0 µm in study </w:t>
      </w:r>
      <w:r w:rsidR="00DB0F8A" w:rsidRPr="00ED5E07">
        <w:rPr>
          <w:rFonts w:ascii="Times New Roman" w:hAnsi="Times New Roman" w:cs="Times New Roman"/>
          <w:sz w:val="24"/>
        </w:rPr>
        <w:t xml:space="preserve">by Kaur and Katoch, 2014 and Nissa et al., 2024 respectively). From the morphometric comparison it is clear that the studied species </w:t>
      </w:r>
      <w:r w:rsidR="004F3D29" w:rsidRPr="00ED5E07">
        <w:rPr>
          <w:rFonts w:ascii="Times New Roman" w:hAnsi="Times New Roman" w:cs="Times New Roman"/>
          <w:sz w:val="24"/>
        </w:rPr>
        <w:t xml:space="preserve">show more or less similarity in morphometry with the species of the studies provided by the previous </w:t>
      </w:r>
      <w:r w:rsidR="00CF4B1F" w:rsidRPr="00ED5E07">
        <w:rPr>
          <w:rFonts w:ascii="Times New Roman" w:hAnsi="Times New Roman" w:cs="Times New Roman"/>
          <w:sz w:val="24"/>
        </w:rPr>
        <w:t xml:space="preserve">authors. Therefore, it can be interpreted that the studied sample seems to be similar to </w:t>
      </w:r>
      <w:r w:rsidR="00CF4B1F" w:rsidRPr="00ED5E07">
        <w:rPr>
          <w:rFonts w:ascii="Times New Roman" w:hAnsi="Times New Roman" w:cs="Times New Roman"/>
          <w:i/>
          <w:sz w:val="24"/>
        </w:rPr>
        <w:t xml:space="preserve">Thelohanellus bifurcata </w:t>
      </w:r>
      <w:r w:rsidR="00CF4B1F" w:rsidRPr="00ED5E07">
        <w:rPr>
          <w:rFonts w:ascii="Times New Roman" w:hAnsi="Times New Roman" w:cs="Times New Roman"/>
          <w:sz w:val="24"/>
        </w:rPr>
        <w:t>morphologically.</w:t>
      </w:r>
    </w:p>
    <w:p w:rsidR="001D083F" w:rsidRPr="00ED5E07" w:rsidRDefault="001D083F" w:rsidP="001D083F">
      <w:pPr>
        <w:spacing w:after="0"/>
        <w:jc w:val="both"/>
        <w:rPr>
          <w:rFonts w:ascii="Times New Roman" w:hAnsi="Times New Roman" w:cs="Times New Roman"/>
          <w:sz w:val="24"/>
          <w:szCs w:val="20"/>
        </w:rPr>
      </w:pPr>
    </w:p>
    <w:p w:rsidR="00620E87" w:rsidRPr="00ED5E07" w:rsidRDefault="00620E87" w:rsidP="001D083F">
      <w:pPr>
        <w:spacing w:after="0"/>
        <w:jc w:val="both"/>
        <w:rPr>
          <w:rFonts w:ascii="Times New Roman" w:hAnsi="Times New Roman" w:cs="Times New Roman"/>
          <w:b/>
          <w:sz w:val="24"/>
          <w:szCs w:val="20"/>
        </w:rPr>
      </w:pPr>
      <w:r w:rsidRPr="00ED5E07">
        <w:rPr>
          <w:rFonts w:ascii="Times New Roman" w:hAnsi="Times New Roman" w:cs="Times New Roman"/>
          <w:b/>
          <w:sz w:val="24"/>
          <w:szCs w:val="20"/>
        </w:rPr>
        <w:t>Molecular data analysis:</w:t>
      </w:r>
    </w:p>
    <w:p w:rsidR="00422B4D" w:rsidRPr="00ED5E07" w:rsidRDefault="00620E87" w:rsidP="00AC20DE">
      <w:pPr>
        <w:spacing w:after="0"/>
        <w:jc w:val="both"/>
        <w:rPr>
          <w:rFonts w:ascii="Times New Roman" w:hAnsi="Times New Roman" w:cs="Times New Roman"/>
          <w:sz w:val="24"/>
        </w:rPr>
      </w:pPr>
      <w:r w:rsidRPr="00ED5E07">
        <w:rPr>
          <w:rFonts w:ascii="Times New Roman" w:hAnsi="Times New Roman" w:cs="Times New Roman"/>
          <w:sz w:val="24"/>
          <w:szCs w:val="20"/>
        </w:rPr>
        <w:t>The amplicon product from PCR reaction using Universal primers ERIB1 and ERIB10 was not much clear. The nested PCR by using Myxospec-F and Myxospec-R gave the expected product size. Fragment of 18s rRNA gene was amplified and a single discrete PCR amplicon</w:t>
      </w:r>
      <w:r w:rsidR="00073B24" w:rsidRPr="00ED5E07">
        <w:rPr>
          <w:rFonts w:ascii="Times New Roman" w:hAnsi="Times New Roman" w:cs="Times New Roman"/>
          <w:sz w:val="24"/>
          <w:szCs w:val="20"/>
        </w:rPr>
        <w:t xml:space="preserve"> band of approximately 1000 bp was observed. The 18s rRNA </w:t>
      </w:r>
      <w:r w:rsidR="009065C2" w:rsidRPr="00ED5E07">
        <w:rPr>
          <w:rFonts w:ascii="Times New Roman" w:hAnsi="Times New Roman" w:cs="Times New Roman"/>
          <w:sz w:val="24"/>
        </w:rPr>
        <w:t xml:space="preserve">PCR amplified products </w:t>
      </w:r>
      <w:r w:rsidR="001F6691" w:rsidRPr="00ED5E07">
        <w:rPr>
          <w:rFonts w:ascii="Times New Roman" w:hAnsi="Times New Roman" w:cs="Times New Roman"/>
          <w:sz w:val="24"/>
          <w:szCs w:val="20"/>
        </w:rPr>
        <w:t xml:space="preserve">of </w:t>
      </w:r>
      <w:r w:rsidR="001F6691" w:rsidRPr="00ED5E07">
        <w:rPr>
          <w:rFonts w:ascii="Times New Roman" w:hAnsi="Times New Roman" w:cs="Times New Roman"/>
          <w:i/>
          <w:sz w:val="24"/>
        </w:rPr>
        <w:t xml:space="preserve">Thelohanellus bifurcata </w:t>
      </w:r>
      <w:r w:rsidR="001F6691" w:rsidRPr="00ED5E07">
        <w:rPr>
          <w:rFonts w:ascii="Times New Roman" w:hAnsi="Times New Roman" w:cs="Times New Roman"/>
          <w:sz w:val="24"/>
        </w:rPr>
        <w:t>Basu and Haldar, 1999</w:t>
      </w:r>
      <w:r w:rsidR="009065C2" w:rsidRPr="00ED5E07">
        <w:rPr>
          <w:rFonts w:ascii="Times New Roman" w:hAnsi="Times New Roman" w:cs="Times New Roman"/>
          <w:sz w:val="24"/>
        </w:rPr>
        <w:t xml:space="preserve"> from the present study were sequenced</w:t>
      </w:r>
      <w:r w:rsidR="001F6691" w:rsidRPr="00ED5E07">
        <w:rPr>
          <w:rFonts w:ascii="Times New Roman" w:hAnsi="Times New Roman" w:cs="Times New Roman"/>
          <w:sz w:val="24"/>
        </w:rPr>
        <w:t xml:space="preserve"> submitted to NCBI GenBank database under the accession number</w:t>
      </w:r>
      <w:r w:rsidR="007A0DD2" w:rsidRPr="00ED5E07">
        <w:rPr>
          <w:rFonts w:ascii="Times New Roman" w:hAnsi="Times New Roman" w:cs="Times New Roman"/>
          <w:sz w:val="24"/>
        </w:rPr>
        <w:t>- PX836811</w:t>
      </w:r>
      <w:r w:rsidR="001F6691" w:rsidRPr="00ED5E07">
        <w:rPr>
          <w:rFonts w:ascii="Times New Roman" w:hAnsi="Times New Roman" w:cs="Times New Roman"/>
          <w:sz w:val="24"/>
        </w:rPr>
        <w:t xml:space="preserve">. </w:t>
      </w:r>
      <w:r w:rsidR="009065C2" w:rsidRPr="00ED5E07">
        <w:rPr>
          <w:rFonts w:ascii="Times New Roman" w:hAnsi="Times New Roman" w:cs="Times New Roman"/>
          <w:sz w:val="24"/>
        </w:rPr>
        <w:t xml:space="preserve">The sequence </w:t>
      </w:r>
      <w:r w:rsidR="009065C2" w:rsidRPr="00ED5E07">
        <w:rPr>
          <w:rFonts w:ascii="Times New Roman" w:hAnsi="Times New Roman" w:cs="Times New Roman"/>
          <w:sz w:val="24"/>
        </w:rPr>
        <w:lastRenderedPageBreak/>
        <w:t>was checked for similarity and compared with the other sequences available in GenBank using BLAST. The</w:t>
      </w:r>
      <w:r w:rsidR="007B68A1" w:rsidRPr="00ED5E07">
        <w:rPr>
          <w:rFonts w:ascii="Times New Roman" w:hAnsi="Times New Roman" w:cs="Times New Roman"/>
          <w:sz w:val="24"/>
        </w:rPr>
        <w:t xml:space="preserve"> result is presented in Table 3</w:t>
      </w:r>
      <w:r w:rsidR="009065C2" w:rsidRPr="00ED5E07">
        <w:rPr>
          <w:rFonts w:ascii="Times New Roman" w:hAnsi="Times New Roman" w:cs="Times New Roman"/>
          <w:sz w:val="24"/>
        </w:rPr>
        <w:t xml:space="preserve">. </w:t>
      </w:r>
      <w:r w:rsidR="007A0DD2" w:rsidRPr="00ED5E07">
        <w:rPr>
          <w:rFonts w:ascii="Times New Roman" w:hAnsi="Times New Roman" w:cs="Times New Roman"/>
          <w:sz w:val="24"/>
        </w:rPr>
        <w:t xml:space="preserve">The number of base substitutions per site between the sequences was observed by calculating distance matrix. Analyses were conducted using the “Maximum Composite </w:t>
      </w:r>
      <w:r w:rsidR="005E5CD4" w:rsidRPr="00ED5E07">
        <w:rPr>
          <w:rFonts w:ascii="Times New Roman" w:hAnsi="Times New Roman" w:cs="Times New Roman"/>
          <w:sz w:val="24"/>
        </w:rPr>
        <w:t xml:space="preserve">Likelihood Model” (Tamura et al., 2004) (Kimura et al., 1980). This </w:t>
      </w:r>
      <w:r w:rsidR="00BC4828" w:rsidRPr="00ED5E07">
        <w:rPr>
          <w:rFonts w:ascii="Times New Roman" w:hAnsi="Times New Roman" w:cs="Times New Roman"/>
          <w:sz w:val="24"/>
        </w:rPr>
        <w:t>analysi</w:t>
      </w:r>
      <w:r w:rsidR="005E5CD4" w:rsidRPr="00ED5E07">
        <w:rPr>
          <w:rFonts w:ascii="Times New Roman" w:hAnsi="Times New Roman" w:cs="Times New Roman"/>
          <w:sz w:val="24"/>
        </w:rPr>
        <w:t>s involve</w:t>
      </w:r>
      <w:r w:rsidR="00BC4828" w:rsidRPr="00ED5E07">
        <w:rPr>
          <w:rFonts w:ascii="Times New Roman" w:hAnsi="Times New Roman" w:cs="Times New Roman"/>
          <w:sz w:val="24"/>
        </w:rPr>
        <w:t>s</w:t>
      </w:r>
      <w:r w:rsidR="005E5CD4" w:rsidRPr="00ED5E07">
        <w:rPr>
          <w:rFonts w:ascii="Times New Roman" w:hAnsi="Times New Roman" w:cs="Times New Roman"/>
          <w:sz w:val="24"/>
        </w:rPr>
        <w:t xml:space="preserve"> 11 nucleotide sequences. Codon </w:t>
      </w:r>
      <w:r w:rsidR="00BC4828" w:rsidRPr="00ED5E07">
        <w:rPr>
          <w:rFonts w:ascii="Times New Roman" w:hAnsi="Times New Roman" w:cs="Times New Roman"/>
          <w:sz w:val="24"/>
        </w:rPr>
        <w:t>positions included were</w:t>
      </w:r>
      <w:r w:rsidR="00BC4828" w:rsidRPr="00ED5E07">
        <w:rPr>
          <w:rFonts w:ascii="Times New Roman" w:hAnsi="Times New Roman" w:cs="Times New Roman"/>
          <w:sz w:val="24"/>
          <w:szCs w:val="20"/>
        </w:rPr>
        <w:t xml:space="preserve"> 1</w:t>
      </w:r>
      <w:r w:rsidR="00BC4828" w:rsidRPr="00ED5E07">
        <w:rPr>
          <w:rFonts w:ascii="Times New Roman" w:hAnsi="Times New Roman" w:cs="Times New Roman"/>
          <w:sz w:val="24"/>
          <w:szCs w:val="20"/>
          <w:vertAlign w:val="superscript"/>
        </w:rPr>
        <w:t>st</w:t>
      </w:r>
      <w:r w:rsidR="00BC4828" w:rsidRPr="00ED5E07">
        <w:rPr>
          <w:rFonts w:ascii="Times New Roman" w:hAnsi="Times New Roman" w:cs="Times New Roman"/>
          <w:sz w:val="24"/>
          <w:szCs w:val="20"/>
        </w:rPr>
        <w:t>, 2</w:t>
      </w:r>
      <w:r w:rsidR="00BC4828" w:rsidRPr="00ED5E07">
        <w:rPr>
          <w:rFonts w:ascii="Times New Roman" w:hAnsi="Times New Roman" w:cs="Times New Roman"/>
          <w:sz w:val="24"/>
          <w:szCs w:val="20"/>
          <w:vertAlign w:val="superscript"/>
        </w:rPr>
        <w:t>nd</w:t>
      </w:r>
      <w:r w:rsidR="00BC4828" w:rsidRPr="00ED5E07">
        <w:rPr>
          <w:rFonts w:ascii="Times New Roman" w:hAnsi="Times New Roman" w:cs="Times New Roman"/>
          <w:sz w:val="24"/>
          <w:szCs w:val="20"/>
        </w:rPr>
        <w:t>, 3</w:t>
      </w:r>
      <w:r w:rsidR="00BC4828" w:rsidRPr="00ED5E07">
        <w:rPr>
          <w:rFonts w:ascii="Times New Roman" w:hAnsi="Times New Roman" w:cs="Times New Roman"/>
          <w:sz w:val="24"/>
          <w:szCs w:val="20"/>
          <w:vertAlign w:val="superscript"/>
        </w:rPr>
        <w:t>rd</w:t>
      </w:r>
      <w:r w:rsidR="00BC4828" w:rsidRPr="00ED5E07">
        <w:rPr>
          <w:rFonts w:ascii="Times New Roman" w:hAnsi="Times New Roman" w:cs="Times New Roman"/>
          <w:sz w:val="24"/>
          <w:szCs w:val="20"/>
        </w:rPr>
        <w:t xml:space="preserve"> and non-coding for the analysis and all ambiguous positions were removed </w:t>
      </w:r>
      <w:r w:rsidR="00BB426C" w:rsidRPr="00ED5E07">
        <w:rPr>
          <w:rFonts w:ascii="Times New Roman" w:hAnsi="Times New Roman" w:cs="Times New Roman"/>
          <w:sz w:val="24"/>
          <w:szCs w:val="20"/>
        </w:rPr>
        <w:t>for each sequence pair. A total of 908 positions were placed in the final dataset. Evolutionary analyses were conducted using MEGA-1</w:t>
      </w:r>
      <w:r w:rsidR="007B68A1" w:rsidRPr="00ED5E07">
        <w:rPr>
          <w:rFonts w:ascii="Times New Roman" w:hAnsi="Times New Roman" w:cs="Times New Roman"/>
          <w:sz w:val="24"/>
          <w:szCs w:val="20"/>
        </w:rPr>
        <w:t>1 (Kumar et al., 2018). Table 4</w:t>
      </w:r>
      <w:r w:rsidR="00BB426C" w:rsidRPr="00ED5E07">
        <w:rPr>
          <w:rFonts w:ascii="Times New Roman" w:hAnsi="Times New Roman" w:cs="Times New Roman"/>
          <w:sz w:val="24"/>
          <w:szCs w:val="20"/>
        </w:rPr>
        <w:t xml:space="preserve"> estimates the evolutionary divergence between the sequences. </w:t>
      </w:r>
      <w:r w:rsidR="004E2A63" w:rsidRPr="00ED5E07">
        <w:rPr>
          <w:rFonts w:ascii="Times New Roman" w:hAnsi="Times New Roman" w:cs="Times New Roman"/>
          <w:sz w:val="24"/>
        </w:rPr>
        <w:t xml:space="preserve">The molecular sequencing of the 18s rRNA gene sequences of the studied sample </w:t>
      </w:r>
      <w:r w:rsidR="00D60D47" w:rsidRPr="00ED5E07">
        <w:rPr>
          <w:rFonts w:ascii="Times New Roman" w:hAnsi="Times New Roman" w:cs="Times New Roman"/>
          <w:sz w:val="24"/>
        </w:rPr>
        <w:t xml:space="preserve">(accession number- PX836811) </w:t>
      </w:r>
      <w:r w:rsidR="004E2A63" w:rsidRPr="00ED5E07">
        <w:rPr>
          <w:rFonts w:ascii="Times New Roman" w:hAnsi="Times New Roman" w:cs="Times New Roman"/>
          <w:sz w:val="24"/>
        </w:rPr>
        <w:t xml:space="preserve">shows greatest similarity with </w:t>
      </w:r>
      <w:r w:rsidR="004E2A63" w:rsidRPr="00ED5E07">
        <w:rPr>
          <w:rFonts w:ascii="Times New Roman" w:hAnsi="Times New Roman" w:cs="Times New Roman"/>
          <w:i/>
          <w:sz w:val="24"/>
        </w:rPr>
        <w:t xml:space="preserve">Thelohanellus bifurcata </w:t>
      </w:r>
      <w:r w:rsidR="004E2A63" w:rsidRPr="00ED5E07">
        <w:rPr>
          <w:rFonts w:ascii="Times New Roman" w:hAnsi="Times New Roman" w:cs="Times New Roman"/>
          <w:sz w:val="24"/>
        </w:rPr>
        <w:t xml:space="preserve">isolate R1 (accession number- ON820188.2) which reveals 99.22% sequence identity. </w:t>
      </w:r>
      <w:r w:rsidR="00306190" w:rsidRPr="00ED5E07">
        <w:rPr>
          <w:rFonts w:ascii="Times New Roman" w:hAnsi="Times New Roman" w:cs="Times New Roman"/>
          <w:sz w:val="24"/>
        </w:rPr>
        <w:t xml:space="preserve">The studied sample also shows high similarity with </w:t>
      </w:r>
      <w:r w:rsidR="00306190" w:rsidRPr="00ED5E07">
        <w:rPr>
          <w:rFonts w:ascii="Times New Roman" w:hAnsi="Times New Roman" w:cs="Times New Roman"/>
          <w:i/>
          <w:sz w:val="24"/>
        </w:rPr>
        <w:t xml:space="preserve">Thelohanellus </w:t>
      </w:r>
      <w:r w:rsidR="00306190" w:rsidRPr="00ED5E07">
        <w:rPr>
          <w:rFonts w:ascii="Times New Roman" w:hAnsi="Times New Roman" w:cs="Times New Roman"/>
          <w:sz w:val="24"/>
        </w:rPr>
        <w:t>sp. 1 2015 (accession number- KT387307.1</w:t>
      </w:r>
      <w:r w:rsidR="006A517C" w:rsidRPr="00ED5E07">
        <w:rPr>
          <w:rFonts w:ascii="Times New Roman" w:hAnsi="Times New Roman" w:cs="Times New Roman"/>
          <w:sz w:val="24"/>
        </w:rPr>
        <w:t xml:space="preserve">) and with </w:t>
      </w:r>
      <w:r w:rsidR="006A517C" w:rsidRPr="00ED5E07">
        <w:rPr>
          <w:rFonts w:ascii="Times New Roman" w:hAnsi="Times New Roman" w:cs="Times New Roman"/>
          <w:i/>
          <w:sz w:val="24"/>
        </w:rPr>
        <w:t>Thelohanellus</w:t>
      </w:r>
      <w:r w:rsidR="00BB3968">
        <w:rPr>
          <w:rFonts w:ascii="Times New Roman" w:hAnsi="Times New Roman" w:cs="Times New Roman"/>
          <w:i/>
          <w:sz w:val="24"/>
        </w:rPr>
        <w:t xml:space="preserve"> </w:t>
      </w:r>
      <w:r w:rsidR="006A517C" w:rsidRPr="00ED5E07">
        <w:rPr>
          <w:rFonts w:ascii="Times New Roman" w:hAnsi="Times New Roman" w:cs="Times New Roman"/>
          <w:i/>
          <w:sz w:val="24"/>
        </w:rPr>
        <w:t xml:space="preserve">filli </w:t>
      </w:r>
      <w:r w:rsidR="006A517C" w:rsidRPr="00ED5E07">
        <w:rPr>
          <w:rFonts w:ascii="Times New Roman" w:hAnsi="Times New Roman" w:cs="Times New Roman"/>
          <w:sz w:val="24"/>
        </w:rPr>
        <w:t>isolate Ranjit Sagar (accession number- KR340464.1)</w:t>
      </w:r>
      <w:r w:rsidR="007A1464" w:rsidRPr="00ED5E07">
        <w:rPr>
          <w:rFonts w:ascii="Times New Roman" w:hAnsi="Times New Roman" w:cs="Times New Roman"/>
          <w:sz w:val="24"/>
        </w:rPr>
        <w:t xml:space="preserve"> which reveal 98.34% similarity </w:t>
      </w:r>
      <w:r w:rsidR="006A186C" w:rsidRPr="00ED5E07">
        <w:rPr>
          <w:rFonts w:ascii="Times New Roman" w:hAnsi="Times New Roman" w:cs="Times New Roman"/>
          <w:sz w:val="24"/>
        </w:rPr>
        <w:t xml:space="preserve">with each. </w:t>
      </w:r>
      <w:r w:rsidR="005C03AE" w:rsidRPr="00ED5E07">
        <w:rPr>
          <w:rFonts w:ascii="Times New Roman" w:hAnsi="Times New Roman" w:cs="Times New Roman"/>
          <w:sz w:val="24"/>
        </w:rPr>
        <w:t xml:space="preserve">Sequence of several other species of </w:t>
      </w:r>
      <w:r w:rsidR="005C03AE" w:rsidRPr="00ED5E07">
        <w:rPr>
          <w:rFonts w:ascii="Times New Roman" w:hAnsi="Times New Roman" w:cs="Times New Roman"/>
          <w:i/>
          <w:sz w:val="24"/>
        </w:rPr>
        <w:t xml:space="preserve">Thelohanellus </w:t>
      </w:r>
      <w:r w:rsidR="005C03AE" w:rsidRPr="00ED5E07">
        <w:rPr>
          <w:rFonts w:ascii="Times New Roman" w:hAnsi="Times New Roman" w:cs="Times New Roman"/>
          <w:sz w:val="24"/>
        </w:rPr>
        <w:t>(accession number</w:t>
      </w:r>
      <w:r w:rsidR="007B68A1" w:rsidRPr="00ED5E07">
        <w:rPr>
          <w:rFonts w:ascii="Times New Roman" w:hAnsi="Times New Roman" w:cs="Times New Roman"/>
          <w:sz w:val="24"/>
        </w:rPr>
        <w:t xml:space="preserve"> given in Table 3</w:t>
      </w:r>
      <w:r w:rsidR="00606735" w:rsidRPr="00ED5E07">
        <w:rPr>
          <w:rFonts w:ascii="Times New Roman" w:hAnsi="Times New Roman" w:cs="Times New Roman"/>
          <w:sz w:val="24"/>
        </w:rPr>
        <w:t>) was</w:t>
      </w:r>
      <w:r w:rsidR="005C03AE" w:rsidRPr="00ED5E07">
        <w:rPr>
          <w:rFonts w:ascii="Times New Roman" w:hAnsi="Times New Roman" w:cs="Times New Roman"/>
          <w:sz w:val="24"/>
        </w:rPr>
        <w:t xml:space="preserve"> aligned with the studied species and each with varying percentage of similarity was obtained. </w:t>
      </w:r>
      <w:r w:rsidR="00606735" w:rsidRPr="00ED5E07">
        <w:rPr>
          <w:rFonts w:ascii="Times New Roman" w:hAnsi="Times New Roman" w:cs="Times New Roman"/>
          <w:sz w:val="24"/>
        </w:rPr>
        <w:t xml:space="preserve">The studied sample shows maximum distance with </w:t>
      </w:r>
      <w:r w:rsidR="00606735" w:rsidRPr="00ED5E07">
        <w:rPr>
          <w:rFonts w:ascii="Times New Roman" w:hAnsi="Times New Roman" w:cs="Times New Roman"/>
          <w:i/>
          <w:sz w:val="24"/>
        </w:rPr>
        <w:t xml:space="preserve">Thelohanellus </w:t>
      </w:r>
      <w:r w:rsidR="00606735" w:rsidRPr="00ED5E07">
        <w:rPr>
          <w:rFonts w:ascii="Times New Roman" w:hAnsi="Times New Roman" w:cs="Times New Roman"/>
          <w:sz w:val="24"/>
        </w:rPr>
        <w:t>sp. HK-2015 (accession number</w:t>
      </w:r>
      <w:r w:rsidR="00AC20DE" w:rsidRPr="00ED5E07">
        <w:rPr>
          <w:rFonts w:ascii="Times New Roman" w:hAnsi="Times New Roman" w:cs="Times New Roman"/>
          <w:sz w:val="24"/>
        </w:rPr>
        <w:t>- KP792568.1) and</w:t>
      </w:r>
      <w:r w:rsidR="00606735" w:rsidRPr="00ED5E07">
        <w:rPr>
          <w:rFonts w:ascii="Times New Roman" w:hAnsi="Times New Roman" w:cs="Times New Roman"/>
          <w:sz w:val="24"/>
        </w:rPr>
        <w:t xml:space="preserve"> Myxozoa sp. AP-2017</w:t>
      </w:r>
      <w:r w:rsidR="001D0E2D" w:rsidRPr="00ED5E07">
        <w:rPr>
          <w:rFonts w:ascii="Times New Roman" w:hAnsi="Times New Roman" w:cs="Times New Roman"/>
          <w:sz w:val="24"/>
        </w:rPr>
        <w:t xml:space="preserve"> isolate R-1 (accession number- KY484795.1) which reveal </w:t>
      </w:r>
      <w:r w:rsidR="0034640A" w:rsidRPr="00ED5E07">
        <w:rPr>
          <w:rFonts w:ascii="Times New Roman" w:hAnsi="Times New Roman" w:cs="Times New Roman"/>
          <w:sz w:val="24"/>
        </w:rPr>
        <w:t xml:space="preserve">95.67% similarity with </w:t>
      </w:r>
      <w:r w:rsidR="00AC20DE" w:rsidRPr="00ED5E07">
        <w:rPr>
          <w:rFonts w:ascii="Times New Roman" w:hAnsi="Times New Roman" w:cs="Times New Roman"/>
          <w:sz w:val="24"/>
        </w:rPr>
        <w:t xml:space="preserve">each species. </w:t>
      </w:r>
    </w:p>
    <w:p w:rsidR="00ED5E07" w:rsidRDefault="00ED5E07" w:rsidP="00AC20DE">
      <w:pPr>
        <w:spacing w:after="0"/>
        <w:jc w:val="both"/>
        <w:rPr>
          <w:rFonts w:ascii="Times New Roman" w:hAnsi="Times New Roman" w:cs="Times New Roman"/>
          <w:b/>
          <w:sz w:val="20"/>
        </w:rPr>
      </w:pPr>
    </w:p>
    <w:p w:rsidR="001901E3" w:rsidRPr="00485F80" w:rsidRDefault="003F18F6" w:rsidP="00AC20DE">
      <w:pPr>
        <w:spacing w:after="0"/>
        <w:jc w:val="both"/>
        <w:rPr>
          <w:rFonts w:ascii="Times New Roman" w:hAnsi="Times New Roman" w:cs="Times New Roman"/>
          <w:sz w:val="20"/>
        </w:rPr>
      </w:pPr>
      <w:r w:rsidRPr="00A05B7D">
        <w:rPr>
          <w:rFonts w:ascii="Times New Roman" w:hAnsi="Times New Roman" w:cs="Times New Roman"/>
          <w:b/>
          <w:sz w:val="20"/>
          <w:highlight w:val="yellow"/>
        </w:rPr>
        <w:t>Table 3</w:t>
      </w:r>
      <w:r w:rsidR="001901E3" w:rsidRPr="00A05B7D">
        <w:rPr>
          <w:rFonts w:ascii="Times New Roman" w:hAnsi="Times New Roman" w:cs="Times New Roman"/>
          <w:b/>
          <w:sz w:val="20"/>
          <w:highlight w:val="yellow"/>
        </w:rPr>
        <w:t xml:space="preserve">: </w:t>
      </w:r>
      <w:r w:rsidR="001901E3" w:rsidRPr="00A05B7D">
        <w:rPr>
          <w:rFonts w:ascii="Times New Roman" w:hAnsi="Times New Roman" w:cs="Times New Roman"/>
          <w:sz w:val="20"/>
          <w:highlight w:val="yellow"/>
        </w:rPr>
        <w:t>Sequences producing similar alignments</w:t>
      </w:r>
      <w:r w:rsidR="001901E3" w:rsidRPr="00485F80">
        <w:rPr>
          <w:rFonts w:ascii="Times New Roman" w:hAnsi="Times New Roman" w:cs="Times New Roman"/>
          <w:sz w:val="20"/>
        </w:rPr>
        <w:t xml:space="preserve">  </w:t>
      </w:r>
    </w:p>
    <w:tbl>
      <w:tblPr>
        <w:tblW w:w="928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96"/>
        <w:gridCol w:w="778"/>
        <w:gridCol w:w="707"/>
        <w:gridCol w:w="703"/>
        <w:gridCol w:w="704"/>
        <w:gridCol w:w="938"/>
        <w:gridCol w:w="1260"/>
      </w:tblGrid>
      <w:tr w:rsidR="00A84293" w:rsidTr="00F07218">
        <w:trPr>
          <w:trHeight w:val="800"/>
        </w:trPr>
        <w:tc>
          <w:tcPr>
            <w:tcW w:w="4196" w:type="dxa"/>
          </w:tcPr>
          <w:p w:rsidR="00A84293" w:rsidRDefault="00A84293" w:rsidP="00097387">
            <w:pPr>
              <w:pStyle w:val="TableParagraph"/>
              <w:spacing w:before="12" w:line="240" w:lineRule="auto"/>
              <w:jc w:val="left"/>
              <w:rPr>
                <w:rFonts w:ascii="Cambria"/>
                <w:b/>
              </w:rPr>
            </w:pPr>
          </w:p>
          <w:p w:rsidR="00A84293" w:rsidRDefault="00A84293" w:rsidP="00097387">
            <w:pPr>
              <w:pStyle w:val="TableParagraph"/>
              <w:spacing w:before="0" w:line="240" w:lineRule="auto"/>
              <w:ind w:left="103"/>
              <w:rPr>
                <w:b/>
              </w:rPr>
            </w:pPr>
            <w:r>
              <w:rPr>
                <w:b/>
                <w:color w:val="C00000"/>
                <w:spacing w:val="-2"/>
              </w:rPr>
              <w:t>Description</w:t>
            </w:r>
          </w:p>
        </w:tc>
        <w:tc>
          <w:tcPr>
            <w:tcW w:w="778" w:type="dxa"/>
          </w:tcPr>
          <w:p w:rsidR="00A84293" w:rsidRDefault="00A84293" w:rsidP="00097387">
            <w:pPr>
              <w:pStyle w:val="TableParagraph"/>
              <w:spacing w:before="1" w:line="278" w:lineRule="auto"/>
              <w:ind w:left="105" w:right="312"/>
              <w:jc w:val="left"/>
              <w:rPr>
                <w:b/>
              </w:rPr>
            </w:pPr>
            <w:r>
              <w:rPr>
                <w:b/>
                <w:color w:val="C00000"/>
                <w:spacing w:val="-4"/>
              </w:rPr>
              <w:t>Max</w:t>
            </w:r>
            <w:r>
              <w:rPr>
                <w:b/>
                <w:color w:val="C00000"/>
                <w:spacing w:val="-2"/>
              </w:rPr>
              <w:t>Score</w:t>
            </w:r>
          </w:p>
        </w:tc>
        <w:tc>
          <w:tcPr>
            <w:tcW w:w="707" w:type="dxa"/>
          </w:tcPr>
          <w:p w:rsidR="00A84293" w:rsidRDefault="00A84293" w:rsidP="00097387">
            <w:pPr>
              <w:pStyle w:val="TableParagraph"/>
              <w:spacing w:before="1" w:line="278" w:lineRule="auto"/>
              <w:ind w:left="110" w:right="221"/>
              <w:jc w:val="left"/>
              <w:rPr>
                <w:b/>
              </w:rPr>
            </w:pPr>
            <w:r>
              <w:rPr>
                <w:b/>
                <w:color w:val="C00000"/>
                <w:spacing w:val="-2"/>
              </w:rPr>
              <w:t>Total Score</w:t>
            </w:r>
          </w:p>
        </w:tc>
        <w:tc>
          <w:tcPr>
            <w:tcW w:w="703" w:type="dxa"/>
          </w:tcPr>
          <w:p w:rsidR="00A84293" w:rsidRDefault="00A84293" w:rsidP="00097387">
            <w:pPr>
              <w:pStyle w:val="TableParagraph"/>
              <w:spacing w:before="1" w:line="278" w:lineRule="auto"/>
              <w:ind w:left="105" w:right="162"/>
              <w:jc w:val="left"/>
              <w:rPr>
                <w:b/>
              </w:rPr>
            </w:pPr>
            <w:r>
              <w:rPr>
                <w:b/>
                <w:color w:val="C00000"/>
                <w:spacing w:val="-2"/>
              </w:rPr>
              <w:t>Query Cover</w:t>
            </w:r>
          </w:p>
        </w:tc>
        <w:tc>
          <w:tcPr>
            <w:tcW w:w="704" w:type="dxa"/>
          </w:tcPr>
          <w:p w:rsidR="00A84293" w:rsidRDefault="00A84293" w:rsidP="00097387">
            <w:pPr>
              <w:pStyle w:val="TableParagraph"/>
              <w:spacing w:before="1" w:line="240" w:lineRule="auto"/>
              <w:ind w:left="105"/>
              <w:jc w:val="left"/>
              <w:rPr>
                <w:b/>
              </w:rPr>
            </w:pPr>
            <w:r>
              <w:rPr>
                <w:b/>
                <w:color w:val="C00000"/>
                <w:spacing w:val="-10"/>
              </w:rPr>
              <w:t>E</w:t>
            </w:r>
          </w:p>
          <w:p w:rsidR="00A84293" w:rsidRDefault="00A84293" w:rsidP="00097387">
            <w:pPr>
              <w:pStyle w:val="TableParagraph"/>
              <w:spacing w:before="44" w:line="240" w:lineRule="auto"/>
              <w:ind w:left="105"/>
              <w:jc w:val="left"/>
              <w:rPr>
                <w:b/>
              </w:rPr>
            </w:pPr>
            <w:r>
              <w:rPr>
                <w:b/>
                <w:color w:val="C00000"/>
                <w:spacing w:val="-2"/>
              </w:rPr>
              <w:t>value</w:t>
            </w:r>
          </w:p>
        </w:tc>
        <w:tc>
          <w:tcPr>
            <w:tcW w:w="938" w:type="dxa"/>
          </w:tcPr>
          <w:p w:rsidR="00A84293" w:rsidRDefault="00A84293" w:rsidP="00097387">
            <w:pPr>
              <w:pStyle w:val="TableParagraph"/>
              <w:spacing w:before="55" w:line="240" w:lineRule="auto"/>
              <w:jc w:val="left"/>
              <w:rPr>
                <w:rFonts w:ascii="Cambria"/>
                <w:b/>
              </w:rPr>
            </w:pPr>
          </w:p>
          <w:p w:rsidR="00A84293" w:rsidRDefault="00A84293" w:rsidP="00097387">
            <w:pPr>
              <w:pStyle w:val="TableParagraph"/>
              <w:spacing w:before="0" w:line="240" w:lineRule="auto"/>
              <w:ind w:left="10" w:right="17"/>
              <w:rPr>
                <w:b/>
              </w:rPr>
            </w:pPr>
            <w:r>
              <w:rPr>
                <w:b/>
                <w:color w:val="C00000"/>
              </w:rPr>
              <w:t>Per.</w:t>
            </w:r>
            <w:r>
              <w:rPr>
                <w:b/>
                <w:color w:val="C00000"/>
                <w:spacing w:val="-2"/>
              </w:rPr>
              <w:t>Ident</w:t>
            </w:r>
          </w:p>
        </w:tc>
        <w:tc>
          <w:tcPr>
            <w:tcW w:w="1260" w:type="dxa"/>
          </w:tcPr>
          <w:p w:rsidR="00A84293" w:rsidRDefault="00A84293" w:rsidP="00097387">
            <w:pPr>
              <w:pStyle w:val="TableParagraph"/>
              <w:spacing w:before="155" w:line="240" w:lineRule="auto"/>
              <w:ind w:left="314"/>
              <w:jc w:val="left"/>
              <w:rPr>
                <w:b/>
              </w:rPr>
            </w:pPr>
            <w:r>
              <w:rPr>
                <w:b/>
                <w:color w:val="C00000"/>
                <w:spacing w:val="-2"/>
              </w:rPr>
              <w:t>Accession</w:t>
            </w:r>
          </w:p>
        </w:tc>
      </w:tr>
      <w:tr w:rsidR="00A84293" w:rsidTr="00F07218">
        <w:trPr>
          <w:trHeight w:val="496"/>
        </w:trPr>
        <w:tc>
          <w:tcPr>
            <w:tcW w:w="4196" w:type="dxa"/>
          </w:tcPr>
          <w:p w:rsidR="00A84293" w:rsidRDefault="00A84293" w:rsidP="00097387">
            <w:pPr>
              <w:pStyle w:val="TableParagraph"/>
              <w:spacing w:before="1" w:line="240" w:lineRule="auto"/>
              <w:ind w:left="110"/>
              <w:jc w:val="left"/>
            </w:pPr>
            <w:r>
              <w:rPr>
                <w:color w:val="006FC0"/>
              </w:rPr>
              <w:t>Thelohanellus</w:t>
            </w:r>
            <w:r w:rsidR="00F07218">
              <w:rPr>
                <w:color w:val="006FC0"/>
              </w:rPr>
              <w:t xml:space="preserve"> bifurcate </w:t>
            </w:r>
            <w:r>
              <w:rPr>
                <w:color w:val="006FC0"/>
              </w:rPr>
              <w:t>isolate</w:t>
            </w:r>
            <w:r w:rsidR="00F07218">
              <w:rPr>
                <w:color w:val="006FC0"/>
              </w:rPr>
              <w:t xml:space="preserve"> </w:t>
            </w:r>
            <w:r>
              <w:rPr>
                <w:color w:val="006FC0"/>
                <w:spacing w:val="-5"/>
              </w:rPr>
              <w:t>R1</w:t>
            </w:r>
          </w:p>
        </w:tc>
        <w:tc>
          <w:tcPr>
            <w:tcW w:w="778" w:type="dxa"/>
          </w:tcPr>
          <w:p w:rsidR="00A84293" w:rsidRDefault="00A84293" w:rsidP="00097387">
            <w:pPr>
              <w:pStyle w:val="TableParagraph"/>
              <w:spacing w:before="1" w:line="240" w:lineRule="auto"/>
            </w:pPr>
            <w:r>
              <w:rPr>
                <w:color w:val="212121"/>
                <w:spacing w:val="-4"/>
              </w:rPr>
              <w:t>1622</w:t>
            </w:r>
          </w:p>
        </w:tc>
        <w:tc>
          <w:tcPr>
            <w:tcW w:w="707" w:type="dxa"/>
          </w:tcPr>
          <w:p w:rsidR="00A84293" w:rsidRDefault="00A84293" w:rsidP="00097387">
            <w:pPr>
              <w:pStyle w:val="TableParagraph"/>
              <w:spacing w:before="1" w:line="240" w:lineRule="auto"/>
            </w:pPr>
            <w:r>
              <w:rPr>
                <w:color w:val="212121"/>
                <w:spacing w:val="-4"/>
              </w:rPr>
              <w:t>1622</w:t>
            </w:r>
          </w:p>
        </w:tc>
        <w:tc>
          <w:tcPr>
            <w:tcW w:w="703" w:type="dxa"/>
          </w:tcPr>
          <w:p w:rsidR="00A84293" w:rsidRDefault="00A84293" w:rsidP="00097387">
            <w:pPr>
              <w:pStyle w:val="TableParagraph"/>
              <w:spacing w:before="1" w:line="240" w:lineRule="auto"/>
              <w:ind w:left="2"/>
            </w:pPr>
            <w:r>
              <w:rPr>
                <w:color w:val="212121"/>
                <w:spacing w:val="-4"/>
              </w:rPr>
              <w:t>100%</w:t>
            </w:r>
          </w:p>
        </w:tc>
        <w:tc>
          <w:tcPr>
            <w:tcW w:w="704" w:type="dxa"/>
          </w:tcPr>
          <w:p w:rsidR="00A84293" w:rsidRDefault="00A84293" w:rsidP="00097387">
            <w:pPr>
              <w:pStyle w:val="TableParagraph"/>
              <w:spacing w:before="1" w:line="240" w:lineRule="auto"/>
            </w:pPr>
            <w:r>
              <w:rPr>
                <w:color w:val="212121"/>
                <w:spacing w:val="-10"/>
              </w:rPr>
              <w:t>0</w:t>
            </w:r>
          </w:p>
        </w:tc>
        <w:tc>
          <w:tcPr>
            <w:tcW w:w="938" w:type="dxa"/>
          </w:tcPr>
          <w:p w:rsidR="00A84293" w:rsidRDefault="00A84293" w:rsidP="00097387">
            <w:pPr>
              <w:pStyle w:val="TableParagraph"/>
              <w:spacing w:before="1" w:line="240" w:lineRule="auto"/>
              <w:ind w:left="17" w:right="7"/>
            </w:pPr>
            <w:r>
              <w:rPr>
                <w:color w:val="212121"/>
                <w:spacing w:val="-2"/>
              </w:rPr>
              <w:t>99.22%</w:t>
            </w:r>
          </w:p>
        </w:tc>
        <w:tc>
          <w:tcPr>
            <w:tcW w:w="1260" w:type="dxa"/>
          </w:tcPr>
          <w:p w:rsidR="00A84293" w:rsidRDefault="00A84293" w:rsidP="00097387">
            <w:pPr>
              <w:pStyle w:val="TableParagraph"/>
              <w:spacing w:before="1" w:line="240" w:lineRule="auto"/>
              <w:ind w:left="108"/>
              <w:jc w:val="left"/>
            </w:pPr>
            <w:r>
              <w:rPr>
                <w:color w:val="0000FF"/>
                <w:spacing w:val="-2"/>
              </w:rPr>
              <w:t>ON820188.2</w:t>
            </w:r>
          </w:p>
        </w:tc>
      </w:tr>
      <w:tr w:rsidR="00A84293" w:rsidTr="00F07218">
        <w:trPr>
          <w:trHeight w:val="496"/>
        </w:trPr>
        <w:tc>
          <w:tcPr>
            <w:tcW w:w="4196" w:type="dxa"/>
          </w:tcPr>
          <w:p w:rsidR="00A84293" w:rsidRDefault="00A84293" w:rsidP="00097387">
            <w:pPr>
              <w:pStyle w:val="TableParagraph"/>
              <w:spacing w:before="2" w:line="240" w:lineRule="auto"/>
              <w:ind w:left="110"/>
              <w:jc w:val="left"/>
            </w:pPr>
            <w:r>
              <w:rPr>
                <w:color w:val="006FC0"/>
              </w:rPr>
              <w:t>Thelohanellus</w:t>
            </w:r>
            <w:r w:rsidR="00F07218">
              <w:rPr>
                <w:color w:val="006FC0"/>
              </w:rPr>
              <w:t xml:space="preserve"> </w:t>
            </w:r>
            <w:r>
              <w:rPr>
                <w:color w:val="006FC0"/>
              </w:rPr>
              <w:t>sp.</w:t>
            </w:r>
            <w:r w:rsidR="00F07218">
              <w:rPr>
                <w:color w:val="006FC0"/>
              </w:rPr>
              <w:t xml:space="preserve"> </w:t>
            </w:r>
            <w:r>
              <w:rPr>
                <w:color w:val="006FC0"/>
              </w:rPr>
              <w:t>1</w:t>
            </w:r>
            <w:r w:rsidR="00F07218">
              <w:rPr>
                <w:color w:val="006FC0"/>
              </w:rPr>
              <w:t xml:space="preserve"> </w:t>
            </w:r>
            <w:r>
              <w:rPr>
                <w:color w:val="006FC0"/>
                <w:spacing w:val="-4"/>
              </w:rPr>
              <w:t>2015</w:t>
            </w:r>
          </w:p>
        </w:tc>
        <w:tc>
          <w:tcPr>
            <w:tcW w:w="778" w:type="dxa"/>
          </w:tcPr>
          <w:p w:rsidR="00A84293" w:rsidRDefault="00A84293" w:rsidP="00097387">
            <w:pPr>
              <w:pStyle w:val="TableParagraph"/>
              <w:spacing w:before="2" w:line="240" w:lineRule="auto"/>
            </w:pPr>
            <w:r>
              <w:rPr>
                <w:color w:val="212121"/>
                <w:spacing w:val="-4"/>
              </w:rPr>
              <w:t>1581</w:t>
            </w:r>
          </w:p>
        </w:tc>
        <w:tc>
          <w:tcPr>
            <w:tcW w:w="707" w:type="dxa"/>
          </w:tcPr>
          <w:p w:rsidR="00A84293" w:rsidRDefault="00A84293" w:rsidP="00097387">
            <w:pPr>
              <w:pStyle w:val="TableParagraph"/>
              <w:spacing w:before="2" w:line="240" w:lineRule="auto"/>
            </w:pPr>
            <w:r>
              <w:rPr>
                <w:color w:val="212121"/>
                <w:spacing w:val="-4"/>
              </w:rPr>
              <w:t>1581</w:t>
            </w:r>
          </w:p>
        </w:tc>
        <w:tc>
          <w:tcPr>
            <w:tcW w:w="703" w:type="dxa"/>
          </w:tcPr>
          <w:p w:rsidR="00A84293" w:rsidRDefault="00A84293" w:rsidP="00097387">
            <w:pPr>
              <w:pStyle w:val="TableParagraph"/>
              <w:spacing w:before="2" w:line="240" w:lineRule="auto"/>
              <w:ind w:left="2"/>
            </w:pPr>
            <w:r>
              <w:rPr>
                <w:color w:val="212121"/>
                <w:spacing w:val="-4"/>
              </w:rPr>
              <w:t>100%</w:t>
            </w:r>
          </w:p>
        </w:tc>
        <w:tc>
          <w:tcPr>
            <w:tcW w:w="704" w:type="dxa"/>
          </w:tcPr>
          <w:p w:rsidR="00A84293" w:rsidRDefault="00A84293" w:rsidP="00097387">
            <w:pPr>
              <w:pStyle w:val="TableParagraph"/>
              <w:spacing w:before="2" w:line="240" w:lineRule="auto"/>
            </w:pPr>
            <w:r>
              <w:rPr>
                <w:color w:val="212121"/>
                <w:spacing w:val="-10"/>
              </w:rPr>
              <w:t>0</w:t>
            </w:r>
          </w:p>
        </w:tc>
        <w:tc>
          <w:tcPr>
            <w:tcW w:w="938" w:type="dxa"/>
          </w:tcPr>
          <w:p w:rsidR="00A84293" w:rsidRDefault="00A84293" w:rsidP="00097387">
            <w:pPr>
              <w:pStyle w:val="TableParagraph"/>
              <w:spacing w:before="2" w:line="240" w:lineRule="auto"/>
              <w:ind w:left="17" w:right="7"/>
            </w:pPr>
            <w:r>
              <w:rPr>
                <w:color w:val="212121"/>
                <w:spacing w:val="-2"/>
              </w:rPr>
              <w:t>98.34%</w:t>
            </w:r>
          </w:p>
        </w:tc>
        <w:tc>
          <w:tcPr>
            <w:tcW w:w="1260" w:type="dxa"/>
          </w:tcPr>
          <w:p w:rsidR="00A84293" w:rsidRDefault="00A84293" w:rsidP="00097387">
            <w:pPr>
              <w:pStyle w:val="TableParagraph"/>
              <w:spacing w:before="2" w:line="240" w:lineRule="auto"/>
              <w:ind w:left="108"/>
              <w:jc w:val="left"/>
            </w:pPr>
            <w:r>
              <w:rPr>
                <w:color w:val="0000FF"/>
                <w:spacing w:val="-2"/>
              </w:rPr>
              <w:t>KT387307.1</w:t>
            </w:r>
          </w:p>
        </w:tc>
      </w:tr>
      <w:tr w:rsidR="00A84293" w:rsidTr="00F07218">
        <w:trPr>
          <w:trHeight w:val="496"/>
        </w:trPr>
        <w:tc>
          <w:tcPr>
            <w:tcW w:w="4196" w:type="dxa"/>
          </w:tcPr>
          <w:p w:rsidR="00A84293" w:rsidRDefault="00A84293" w:rsidP="00097387">
            <w:pPr>
              <w:pStyle w:val="TableParagraph"/>
              <w:spacing w:before="1" w:line="240" w:lineRule="auto"/>
              <w:ind w:left="110"/>
              <w:jc w:val="left"/>
            </w:pPr>
            <w:r>
              <w:rPr>
                <w:color w:val="006FC0"/>
              </w:rPr>
              <w:t>Thelohanellus</w:t>
            </w:r>
            <w:r w:rsidR="00F07218">
              <w:rPr>
                <w:color w:val="006FC0"/>
              </w:rPr>
              <w:t xml:space="preserve"> </w:t>
            </w:r>
            <w:r>
              <w:rPr>
                <w:color w:val="006FC0"/>
              </w:rPr>
              <w:t>filli</w:t>
            </w:r>
            <w:r w:rsidR="00F07218">
              <w:rPr>
                <w:color w:val="006FC0"/>
              </w:rPr>
              <w:t xml:space="preserve"> </w:t>
            </w:r>
            <w:r>
              <w:rPr>
                <w:color w:val="006FC0"/>
              </w:rPr>
              <w:t>isolate</w:t>
            </w:r>
            <w:r w:rsidR="00F07218">
              <w:rPr>
                <w:color w:val="006FC0"/>
              </w:rPr>
              <w:t xml:space="preserve"> </w:t>
            </w:r>
            <w:r>
              <w:rPr>
                <w:color w:val="006FC0"/>
              </w:rPr>
              <w:t>Ranjit</w:t>
            </w:r>
            <w:r w:rsidR="00F07218">
              <w:rPr>
                <w:color w:val="006FC0"/>
              </w:rPr>
              <w:t xml:space="preserve"> </w:t>
            </w:r>
            <w:r w:rsidR="00BB3968">
              <w:rPr>
                <w:color w:val="006FC0"/>
              </w:rPr>
              <w:t xml:space="preserve"> </w:t>
            </w:r>
            <w:r>
              <w:rPr>
                <w:color w:val="006FC0"/>
                <w:spacing w:val="-4"/>
              </w:rPr>
              <w:t>Sagar</w:t>
            </w:r>
          </w:p>
        </w:tc>
        <w:tc>
          <w:tcPr>
            <w:tcW w:w="778" w:type="dxa"/>
          </w:tcPr>
          <w:p w:rsidR="00A84293" w:rsidRDefault="00A84293" w:rsidP="00097387">
            <w:pPr>
              <w:pStyle w:val="TableParagraph"/>
              <w:spacing w:before="1" w:line="240" w:lineRule="auto"/>
            </w:pPr>
            <w:r>
              <w:rPr>
                <w:color w:val="212121"/>
                <w:spacing w:val="-4"/>
              </w:rPr>
              <w:t>1581</w:t>
            </w:r>
          </w:p>
        </w:tc>
        <w:tc>
          <w:tcPr>
            <w:tcW w:w="707" w:type="dxa"/>
          </w:tcPr>
          <w:p w:rsidR="00A84293" w:rsidRDefault="00A84293" w:rsidP="00097387">
            <w:pPr>
              <w:pStyle w:val="TableParagraph"/>
              <w:spacing w:before="1" w:line="240" w:lineRule="auto"/>
            </w:pPr>
            <w:r>
              <w:rPr>
                <w:color w:val="212121"/>
                <w:spacing w:val="-4"/>
              </w:rPr>
              <w:t>1581</w:t>
            </w:r>
          </w:p>
        </w:tc>
        <w:tc>
          <w:tcPr>
            <w:tcW w:w="703" w:type="dxa"/>
          </w:tcPr>
          <w:p w:rsidR="00A84293" w:rsidRDefault="00A84293" w:rsidP="00097387">
            <w:pPr>
              <w:pStyle w:val="TableParagraph"/>
              <w:spacing w:before="1" w:line="240" w:lineRule="auto"/>
              <w:ind w:left="2"/>
            </w:pPr>
            <w:r>
              <w:rPr>
                <w:color w:val="212121"/>
                <w:spacing w:val="-4"/>
              </w:rPr>
              <w:t>100%</w:t>
            </w:r>
          </w:p>
        </w:tc>
        <w:tc>
          <w:tcPr>
            <w:tcW w:w="704" w:type="dxa"/>
          </w:tcPr>
          <w:p w:rsidR="00A84293" w:rsidRDefault="00A84293" w:rsidP="00097387">
            <w:pPr>
              <w:pStyle w:val="TableParagraph"/>
              <w:spacing w:before="1" w:line="240" w:lineRule="auto"/>
            </w:pPr>
            <w:r>
              <w:rPr>
                <w:color w:val="212121"/>
                <w:spacing w:val="-10"/>
              </w:rPr>
              <w:t>0</w:t>
            </w:r>
          </w:p>
        </w:tc>
        <w:tc>
          <w:tcPr>
            <w:tcW w:w="938" w:type="dxa"/>
          </w:tcPr>
          <w:p w:rsidR="00A84293" w:rsidRDefault="00A84293" w:rsidP="00097387">
            <w:pPr>
              <w:pStyle w:val="TableParagraph"/>
              <w:spacing w:before="1" w:line="240" w:lineRule="auto"/>
              <w:ind w:left="17" w:right="7"/>
            </w:pPr>
            <w:r>
              <w:rPr>
                <w:color w:val="212121"/>
                <w:spacing w:val="-2"/>
              </w:rPr>
              <w:t>98.34%</w:t>
            </w:r>
          </w:p>
        </w:tc>
        <w:tc>
          <w:tcPr>
            <w:tcW w:w="1260" w:type="dxa"/>
          </w:tcPr>
          <w:p w:rsidR="00A84293" w:rsidRDefault="00A84293" w:rsidP="00097387">
            <w:pPr>
              <w:pStyle w:val="TableParagraph"/>
              <w:spacing w:before="1" w:line="240" w:lineRule="auto"/>
              <w:ind w:left="108"/>
              <w:jc w:val="left"/>
            </w:pPr>
            <w:r>
              <w:rPr>
                <w:color w:val="0000FF"/>
                <w:spacing w:val="-2"/>
              </w:rPr>
              <w:t>KR340464.1</w:t>
            </w:r>
          </w:p>
        </w:tc>
      </w:tr>
      <w:tr w:rsidR="00A84293" w:rsidTr="00F07218">
        <w:trPr>
          <w:trHeight w:val="496"/>
        </w:trPr>
        <w:tc>
          <w:tcPr>
            <w:tcW w:w="4196" w:type="dxa"/>
          </w:tcPr>
          <w:p w:rsidR="00A84293" w:rsidRDefault="00A84293" w:rsidP="00097387">
            <w:pPr>
              <w:pStyle w:val="TableParagraph"/>
              <w:spacing w:before="1" w:line="240" w:lineRule="auto"/>
              <w:ind w:left="110"/>
              <w:jc w:val="left"/>
            </w:pPr>
            <w:r>
              <w:rPr>
                <w:color w:val="006FC0"/>
              </w:rPr>
              <w:t>Thelohanellus</w:t>
            </w:r>
            <w:r w:rsidR="00F07218">
              <w:rPr>
                <w:color w:val="006FC0"/>
              </w:rPr>
              <w:t xml:space="preserve"> bifurcate </w:t>
            </w:r>
            <w:r>
              <w:rPr>
                <w:color w:val="006FC0"/>
              </w:rPr>
              <w:t>isolate</w:t>
            </w:r>
            <w:r>
              <w:rPr>
                <w:color w:val="006FC0"/>
                <w:spacing w:val="-4"/>
              </w:rPr>
              <w:t>T.B.1</w:t>
            </w:r>
          </w:p>
        </w:tc>
        <w:tc>
          <w:tcPr>
            <w:tcW w:w="778" w:type="dxa"/>
          </w:tcPr>
          <w:p w:rsidR="00A84293" w:rsidRDefault="00A84293" w:rsidP="00097387">
            <w:pPr>
              <w:pStyle w:val="TableParagraph"/>
              <w:spacing w:before="1" w:line="240" w:lineRule="auto"/>
            </w:pPr>
            <w:r>
              <w:rPr>
                <w:color w:val="212121"/>
                <w:spacing w:val="-4"/>
              </w:rPr>
              <w:t>1580</w:t>
            </w:r>
          </w:p>
        </w:tc>
        <w:tc>
          <w:tcPr>
            <w:tcW w:w="707" w:type="dxa"/>
          </w:tcPr>
          <w:p w:rsidR="00A84293" w:rsidRDefault="00A84293" w:rsidP="00097387">
            <w:pPr>
              <w:pStyle w:val="TableParagraph"/>
              <w:spacing w:before="1" w:line="240" w:lineRule="auto"/>
            </w:pPr>
            <w:r>
              <w:rPr>
                <w:color w:val="212121"/>
                <w:spacing w:val="-4"/>
              </w:rPr>
              <w:t>1580</w:t>
            </w:r>
          </w:p>
        </w:tc>
        <w:tc>
          <w:tcPr>
            <w:tcW w:w="703" w:type="dxa"/>
          </w:tcPr>
          <w:p w:rsidR="00A84293" w:rsidRDefault="00A84293" w:rsidP="00097387">
            <w:pPr>
              <w:pStyle w:val="TableParagraph"/>
              <w:spacing w:before="1" w:line="240" w:lineRule="auto"/>
              <w:ind w:left="2"/>
            </w:pPr>
            <w:r>
              <w:rPr>
                <w:color w:val="212121"/>
                <w:spacing w:val="-4"/>
              </w:rPr>
              <w:t>100%</w:t>
            </w:r>
          </w:p>
        </w:tc>
        <w:tc>
          <w:tcPr>
            <w:tcW w:w="704" w:type="dxa"/>
          </w:tcPr>
          <w:p w:rsidR="00A84293" w:rsidRDefault="00A84293" w:rsidP="00097387">
            <w:pPr>
              <w:pStyle w:val="TableParagraph"/>
              <w:spacing w:before="1" w:line="240" w:lineRule="auto"/>
            </w:pPr>
            <w:r>
              <w:rPr>
                <w:color w:val="212121"/>
                <w:spacing w:val="-10"/>
              </w:rPr>
              <w:t>0</w:t>
            </w:r>
          </w:p>
        </w:tc>
        <w:tc>
          <w:tcPr>
            <w:tcW w:w="938" w:type="dxa"/>
          </w:tcPr>
          <w:p w:rsidR="00A84293" w:rsidRDefault="00A84293" w:rsidP="00097387">
            <w:pPr>
              <w:pStyle w:val="TableParagraph"/>
              <w:spacing w:before="1" w:line="240" w:lineRule="auto"/>
              <w:ind w:left="17" w:right="7"/>
            </w:pPr>
            <w:r>
              <w:rPr>
                <w:color w:val="212121"/>
                <w:spacing w:val="-2"/>
              </w:rPr>
              <w:t>98.34%</w:t>
            </w:r>
          </w:p>
        </w:tc>
        <w:tc>
          <w:tcPr>
            <w:tcW w:w="1260" w:type="dxa"/>
          </w:tcPr>
          <w:p w:rsidR="00A84293" w:rsidRDefault="00A84293" w:rsidP="00097387">
            <w:pPr>
              <w:pStyle w:val="TableParagraph"/>
              <w:spacing w:before="1" w:line="240" w:lineRule="auto"/>
              <w:ind w:left="108"/>
              <w:jc w:val="left"/>
            </w:pPr>
            <w:r>
              <w:rPr>
                <w:color w:val="0000FF"/>
                <w:spacing w:val="-2"/>
              </w:rPr>
              <w:t>PP854599.1</w:t>
            </w:r>
          </w:p>
        </w:tc>
      </w:tr>
      <w:tr w:rsidR="00A84293" w:rsidTr="00F07218">
        <w:trPr>
          <w:trHeight w:val="496"/>
        </w:trPr>
        <w:tc>
          <w:tcPr>
            <w:tcW w:w="4196" w:type="dxa"/>
          </w:tcPr>
          <w:p w:rsidR="00A84293" w:rsidRDefault="00A84293" w:rsidP="00097387">
            <w:pPr>
              <w:pStyle w:val="TableParagraph"/>
              <w:spacing w:before="1" w:line="240" w:lineRule="auto"/>
              <w:ind w:left="110"/>
              <w:jc w:val="left"/>
            </w:pPr>
            <w:r>
              <w:rPr>
                <w:color w:val="006FC0"/>
              </w:rPr>
              <w:t>Thelohanellus</w:t>
            </w:r>
            <w:r w:rsidR="00F07218">
              <w:rPr>
                <w:color w:val="006FC0"/>
              </w:rPr>
              <w:t xml:space="preserve"> bifurcate </w:t>
            </w:r>
            <w:r>
              <w:rPr>
                <w:color w:val="006FC0"/>
              </w:rPr>
              <w:t>isolate</w:t>
            </w:r>
            <w:r w:rsidR="00F07218">
              <w:rPr>
                <w:color w:val="006FC0"/>
              </w:rPr>
              <w:t xml:space="preserve"> </w:t>
            </w:r>
            <w:r>
              <w:rPr>
                <w:color w:val="006FC0"/>
              </w:rPr>
              <w:t>WBUAFS-</w:t>
            </w:r>
            <w:r>
              <w:rPr>
                <w:color w:val="006FC0"/>
                <w:spacing w:val="-5"/>
              </w:rPr>
              <w:t>G5</w:t>
            </w:r>
          </w:p>
        </w:tc>
        <w:tc>
          <w:tcPr>
            <w:tcW w:w="778" w:type="dxa"/>
          </w:tcPr>
          <w:p w:rsidR="00A84293" w:rsidRDefault="00A84293" w:rsidP="00097387">
            <w:pPr>
              <w:pStyle w:val="TableParagraph"/>
              <w:spacing w:before="1" w:line="240" w:lineRule="auto"/>
            </w:pPr>
            <w:r>
              <w:rPr>
                <w:color w:val="212121"/>
                <w:spacing w:val="-4"/>
              </w:rPr>
              <w:t>1555</w:t>
            </w:r>
          </w:p>
        </w:tc>
        <w:tc>
          <w:tcPr>
            <w:tcW w:w="707" w:type="dxa"/>
          </w:tcPr>
          <w:p w:rsidR="00A84293" w:rsidRDefault="00A84293" w:rsidP="00097387">
            <w:pPr>
              <w:pStyle w:val="TableParagraph"/>
              <w:spacing w:before="1" w:line="240" w:lineRule="auto"/>
            </w:pPr>
            <w:r>
              <w:rPr>
                <w:color w:val="212121"/>
                <w:spacing w:val="-4"/>
              </w:rPr>
              <w:t>1555</w:t>
            </w:r>
          </w:p>
        </w:tc>
        <w:tc>
          <w:tcPr>
            <w:tcW w:w="703" w:type="dxa"/>
          </w:tcPr>
          <w:p w:rsidR="00A84293" w:rsidRDefault="00A84293" w:rsidP="00097387">
            <w:pPr>
              <w:pStyle w:val="TableParagraph"/>
              <w:spacing w:before="1" w:line="240" w:lineRule="auto"/>
              <w:ind w:left="2"/>
            </w:pPr>
            <w:r>
              <w:rPr>
                <w:color w:val="212121"/>
                <w:spacing w:val="-4"/>
              </w:rPr>
              <w:t>100%</w:t>
            </w:r>
          </w:p>
        </w:tc>
        <w:tc>
          <w:tcPr>
            <w:tcW w:w="704" w:type="dxa"/>
          </w:tcPr>
          <w:p w:rsidR="00A84293" w:rsidRDefault="00A84293" w:rsidP="00097387">
            <w:pPr>
              <w:pStyle w:val="TableParagraph"/>
              <w:spacing w:before="1" w:line="240" w:lineRule="auto"/>
            </w:pPr>
            <w:r>
              <w:rPr>
                <w:color w:val="212121"/>
                <w:spacing w:val="-10"/>
              </w:rPr>
              <w:t>0</w:t>
            </w:r>
          </w:p>
        </w:tc>
        <w:tc>
          <w:tcPr>
            <w:tcW w:w="938" w:type="dxa"/>
          </w:tcPr>
          <w:p w:rsidR="00A84293" w:rsidRDefault="00A84293" w:rsidP="00097387">
            <w:pPr>
              <w:pStyle w:val="TableParagraph"/>
              <w:spacing w:before="1" w:line="240" w:lineRule="auto"/>
              <w:ind w:left="17" w:right="7"/>
            </w:pPr>
            <w:r>
              <w:rPr>
                <w:color w:val="212121"/>
                <w:spacing w:val="-2"/>
              </w:rPr>
              <w:t>98.11%</w:t>
            </w:r>
          </w:p>
        </w:tc>
        <w:tc>
          <w:tcPr>
            <w:tcW w:w="1260" w:type="dxa"/>
          </w:tcPr>
          <w:p w:rsidR="00A84293" w:rsidRDefault="00A84293" w:rsidP="00097387">
            <w:pPr>
              <w:pStyle w:val="TableParagraph"/>
              <w:spacing w:before="1" w:line="240" w:lineRule="auto"/>
              <w:ind w:left="108"/>
              <w:jc w:val="left"/>
            </w:pPr>
            <w:r>
              <w:rPr>
                <w:color w:val="0000FF"/>
                <w:spacing w:val="-2"/>
              </w:rPr>
              <w:t>KJ476886.1</w:t>
            </w:r>
          </w:p>
        </w:tc>
      </w:tr>
      <w:tr w:rsidR="00A84293" w:rsidTr="00F07218">
        <w:trPr>
          <w:trHeight w:val="496"/>
        </w:trPr>
        <w:tc>
          <w:tcPr>
            <w:tcW w:w="4196" w:type="dxa"/>
          </w:tcPr>
          <w:p w:rsidR="00A84293" w:rsidRDefault="00A84293" w:rsidP="00097387">
            <w:pPr>
              <w:pStyle w:val="TableParagraph"/>
              <w:spacing w:before="1" w:line="240" w:lineRule="auto"/>
              <w:ind w:left="110"/>
              <w:jc w:val="left"/>
            </w:pPr>
            <w:r>
              <w:rPr>
                <w:color w:val="006FC0"/>
              </w:rPr>
              <w:t>Thelohanellus</w:t>
            </w:r>
            <w:r w:rsidR="00F07218">
              <w:rPr>
                <w:color w:val="006FC0"/>
              </w:rPr>
              <w:t xml:space="preserve"> </w:t>
            </w:r>
            <w:r>
              <w:rPr>
                <w:color w:val="006FC0"/>
              </w:rPr>
              <w:t>seni</w:t>
            </w:r>
            <w:r w:rsidR="00F07218">
              <w:rPr>
                <w:color w:val="006FC0"/>
              </w:rPr>
              <w:t xml:space="preserve"> </w:t>
            </w:r>
            <w:r>
              <w:rPr>
                <w:color w:val="006FC0"/>
              </w:rPr>
              <w:t>isolate</w:t>
            </w:r>
            <w:r w:rsidR="00F07218">
              <w:rPr>
                <w:color w:val="006FC0"/>
              </w:rPr>
              <w:t xml:space="preserve"> </w:t>
            </w:r>
            <w:r>
              <w:rPr>
                <w:color w:val="006FC0"/>
              </w:rPr>
              <w:t>WBUAFS-</w:t>
            </w:r>
            <w:r>
              <w:rPr>
                <w:color w:val="006FC0"/>
                <w:spacing w:val="-5"/>
              </w:rPr>
              <w:t>G1</w:t>
            </w:r>
          </w:p>
        </w:tc>
        <w:tc>
          <w:tcPr>
            <w:tcW w:w="778" w:type="dxa"/>
          </w:tcPr>
          <w:p w:rsidR="00A84293" w:rsidRDefault="00A84293" w:rsidP="00097387">
            <w:pPr>
              <w:pStyle w:val="TableParagraph"/>
              <w:spacing w:before="1" w:line="240" w:lineRule="auto"/>
            </w:pPr>
            <w:r>
              <w:rPr>
                <w:color w:val="212121"/>
                <w:spacing w:val="-4"/>
              </w:rPr>
              <w:t>1548</w:t>
            </w:r>
          </w:p>
        </w:tc>
        <w:tc>
          <w:tcPr>
            <w:tcW w:w="707" w:type="dxa"/>
          </w:tcPr>
          <w:p w:rsidR="00A84293" w:rsidRDefault="00A84293" w:rsidP="00097387">
            <w:pPr>
              <w:pStyle w:val="TableParagraph"/>
              <w:spacing w:before="1" w:line="240" w:lineRule="auto"/>
            </w:pPr>
            <w:r>
              <w:rPr>
                <w:color w:val="212121"/>
                <w:spacing w:val="-4"/>
              </w:rPr>
              <w:t>1548</w:t>
            </w:r>
          </w:p>
        </w:tc>
        <w:tc>
          <w:tcPr>
            <w:tcW w:w="703" w:type="dxa"/>
          </w:tcPr>
          <w:p w:rsidR="00A84293" w:rsidRDefault="00A84293" w:rsidP="00097387">
            <w:pPr>
              <w:pStyle w:val="TableParagraph"/>
              <w:spacing w:before="1" w:line="240" w:lineRule="auto"/>
              <w:ind w:left="2"/>
            </w:pPr>
            <w:r>
              <w:rPr>
                <w:color w:val="212121"/>
                <w:spacing w:val="-4"/>
              </w:rPr>
              <w:t>100%</w:t>
            </w:r>
          </w:p>
        </w:tc>
        <w:tc>
          <w:tcPr>
            <w:tcW w:w="704" w:type="dxa"/>
          </w:tcPr>
          <w:p w:rsidR="00A84293" w:rsidRDefault="00A84293" w:rsidP="00097387">
            <w:pPr>
              <w:pStyle w:val="TableParagraph"/>
              <w:spacing w:before="1" w:line="240" w:lineRule="auto"/>
            </w:pPr>
            <w:r>
              <w:rPr>
                <w:color w:val="212121"/>
                <w:spacing w:val="-10"/>
              </w:rPr>
              <w:t>0</w:t>
            </w:r>
          </w:p>
        </w:tc>
        <w:tc>
          <w:tcPr>
            <w:tcW w:w="938" w:type="dxa"/>
          </w:tcPr>
          <w:p w:rsidR="00A84293" w:rsidRDefault="00A84293" w:rsidP="00097387">
            <w:pPr>
              <w:pStyle w:val="TableParagraph"/>
              <w:spacing w:before="1" w:line="240" w:lineRule="auto"/>
              <w:ind w:left="17" w:right="7"/>
            </w:pPr>
            <w:r>
              <w:rPr>
                <w:color w:val="212121"/>
                <w:spacing w:val="-2"/>
              </w:rPr>
              <w:t>98.00%</w:t>
            </w:r>
          </w:p>
        </w:tc>
        <w:tc>
          <w:tcPr>
            <w:tcW w:w="1260" w:type="dxa"/>
          </w:tcPr>
          <w:p w:rsidR="00A84293" w:rsidRDefault="00A84293" w:rsidP="00097387">
            <w:pPr>
              <w:pStyle w:val="TableParagraph"/>
              <w:spacing w:before="1" w:line="240" w:lineRule="auto"/>
              <w:ind w:left="108"/>
              <w:jc w:val="left"/>
            </w:pPr>
            <w:r>
              <w:rPr>
                <w:color w:val="0000FF"/>
                <w:spacing w:val="-2"/>
              </w:rPr>
              <w:t>KJ476884.1</w:t>
            </w:r>
          </w:p>
        </w:tc>
      </w:tr>
      <w:tr w:rsidR="00A84293" w:rsidTr="00F07218">
        <w:trPr>
          <w:trHeight w:val="496"/>
        </w:trPr>
        <w:tc>
          <w:tcPr>
            <w:tcW w:w="4196" w:type="dxa"/>
          </w:tcPr>
          <w:p w:rsidR="00A84293" w:rsidRDefault="00A84293" w:rsidP="00097387">
            <w:pPr>
              <w:pStyle w:val="TableParagraph"/>
              <w:spacing w:before="1" w:line="240" w:lineRule="auto"/>
              <w:ind w:left="110"/>
              <w:jc w:val="left"/>
            </w:pPr>
            <w:r>
              <w:rPr>
                <w:color w:val="006FC0"/>
              </w:rPr>
              <w:t>Thelohanellus</w:t>
            </w:r>
            <w:r w:rsidR="00F07218">
              <w:rPr>
                <w:color w:val="006FC0"/>
              </w:rPr>
              <w:t xml:space="preserve"> </w:t>
            </w:r>
            <w:r>
              <w:rPr>
                <w:color w:val="006FC0"/>
              </w:rPr>
              <w:t>jiroveci</w:t>
            </w:r>
            <w:r w:rsidR="00F07218">
              <w:rPr>
                <w:color w:val="006FC0"/>
              </w:rPr>
              <w:t xml:space="preserve"> </w:t>
            </w:r>
            <w:r>
              <w:rPr>
                <w:color w:val="006FC0"/>
              </w:rPr>
              <w:t>isolate</w:t>
            </w:r>
            <w:r w:rsidR="00F07218">
              <w:rPr>
                <w:color w:val="006FC0"/>
              </w:rPr>
              <w:t xml:space="preserve"> </w:t>
            </w:r>
            <w:r>
              <w:rPr>
                <w:color w:val="006FC0"/>
              </w:rPr>
              <w:t>WBUAFS-</w:t>
            </w:r>
            <w:r>
              <w:rPr>
                <w:color w:val="006FC0"/>
                <w:spacing w:val="-5"/>
              </w:rPr>
              <w:t>G2</w:t>
            </w:r>
          </w:p>
        </w:tc>
        <w:tc>
          <w:tcPr>
            <w:tcW w:w="778" w:type="dxa"/>
          </w:tcPr>
          <w:p w:rsidR="00A84293" w:rsidRDefault="00A84293" w:rsidP="00097387">
            <w:pPr>
              <w:pStyle w:val="TableParagraph"/>
              <w:spacing w:before="1" w:line="240" w:lineRule="auto"/>
            </w:pPr>
            <w:r>
              <w:rPr>
                <w:color w:val="212121"/>
                <w:spacing w:val="-4"/>
              </w:rPr>
              <w:t>1543</w:t>
            </w:r>
          </w:p>
        </w:tc>
        <w:tc>
          <w:tcPr>
            <w:tcW w:w="707" w:type="dxa"/>
          </w:tcPr>
          <w:p w:rsidR="00A84293" w:rsidRDefault="00A84293" w:rsidP="00097387">
            <w:pPr>
              <w:pStyle w:val="TableParagraph"/>
              <w:spacing w:before="1" w:line="240" w:lineRule="auto"/>
            </w:pPr>
            <w:r>
              <w:rPr>
                <w:color w:val="212121"/>
                <w:spacing w:val="-4"/>
              </w:rPr>
              <w:t>1543</w:t>
            </w:r>
          </w:p>
        </w:tc>
        <w:tc>
          <w:tcPr>
            <w:tcW w:w="703" w:type="dxa"/>
          </w:tcPr>
          <w:p w:rsidR="00A84293" w:rsidRDefault="00A84293" w:rsidP="00097387">
            <w:pPr>
              <w:pStyle w:val="TableParagraph"/>
              <w:spacing w:before="1" w:line="240" w:lineRule="auto"/>
              <w:ind w:left="2"/>
            </w:pPr>
            <w:r>
              <w:rPr>
                <w:color w:val="212121"/>
                <w:spacing w:val="-4"/>
              </w:rPr>
              <w:t>100%</w:t>
            </w:r>
          </w:p>
        </w:tc>
        <w:tc>
          <w:tcPr>
            <w:tcW w:w="704" w:type="dxa"/>
          </w:tcPr>
          <w:p w:rsidR="00A84293" w:rsidRDefault="00A84293" w:rsidP="00097387">
            <w:pPr>
              <w:pStyle w:val="TableParagraph"/>
              <w:spacing w:before="1" w:line="240" w:lineRule="auto"/>
            </w:pPr>
            <w:r>
              <w:rPr>
                <w:color w:val="212121"/>
                <w:spacing w:val="-10"/>
              </w:rPr>
              <w:t>0</w:t>
            </w:r>
          </w:p>
        </w:tc>
        <w:tc>
          <w:tcPr>
            <w:tcW w:w="938" w:type="dxa"/>
          </w:tcPr>
          <w:p w:rsidR="00A84293" w:rsidRDefault="00A84293" w:rsidP="00097387">
            <w:pPr>
              <w:pStyle w:val="TableParagraph"/>
              <w:spacing w:before="1" w:line="240" w:lineRule="auto"/>
              <w:ind w:left="17" w:right="7"/>
            </w:pPr>
            <w:r>
              <w:rPr>
                <w:color w:val="212121"/>
                <w:spacing w:val="-2"/>
              </w:rPr>
              <w:t>97.89%</w:t>
            </w:r>
          </w:p>
        </w:tc>
        <w:tc>
          <w:tcPr>
            <w:tcW w:w="1260" w:type="dxa"/>
          </w:tcPr>
          <w:p w:rsidR="00A84293" w:rsidRDefault="00A84293" w:rsidP="00097387">
            <w:pPr>
              <w:pStyle w:val="TableParagraph"/>
              <w:spacing w:before="1" w:line="240" w:lineRule="auto"/>
              <w:ind w:left="108"/>
              <w:jc w:val="left"/>
            </w:pPr>
            <w:r>
              <w:rPr>
                <w:color w:val="0000FF"/>
                <w:spacing w:val="-2"/>
              </w:rPr>
              <w:t>KJ476885.1</w:t>
            </w:r>
          </w:p>
        </w:tc>
      </w:tr>
      <w:tr w:rsidR="00A84293" w:rsidTr="00F07218">
        <w:trPr>
          <w:trHeight w:val="496"/>
        </w:trPr>
        <w:tc>
          <w:tcPr>
            <w:tcW w:w="4196" w:type="dxa"/>
          </w:tcPr>
          <w:p w:rsidR="00A84293" w:rsidRDefault="00A84293" w:rsidP="00097387">
            <w:pPr>
              <w:pStyle w:val="TableParagraph"/>
              <w:spacing w:before="1" w:line="240" w:lineRule="auto"/>
              <w:ind w:left="110"/>
              <w:jc w:val="left"/>
            </w:pPr>
            <w:r>
              <w:rPr>
                <w:color w:val="006FC0"/>
              </w:rPr>
              <w:t>Thelohanellus</w:t>
            </w:r>
            <w:r w:rsidR="00F07218">
              <w:rPr>
                <w:color w:val="006FC0"/>
              </w:rPr>
              <w:t xml:space="preserve"> </w:t>
            </w:r>
            <w:r>
              <w:rPr>
                <w:color w:val="006FC0"/>
              </w:rPr>
              <w:t>sp.</w:t>
            </w:r>
            <w:r w:rsidR="00F07218">
              <w:rPr>
                <w:color w:val="006FC0"/>
              </w:rPr>
              <w:t xml:space="preserve"> </w:t>
            </w:r>
            <w:r>
              <w:rPr>
                <w:color w:val="006FC0"/>
              </w:rPr>
              <w:t>HK-</w:t>
            </w:r>
            <w:r>
              <w:rPr>
                <w:color w:val="006FC0"/>
                <w:spacing w:val="-4"/>
              </w:rPr>
              <w:t>2015</w:t>
            </w:r>
          </w:p>
        </w:tc>
        <w:tc>
          <w:tcPr>
            <w:tcW w:w="778" w:type="dxa"/>
          </w:tcPr>
          <w:p w:rsidR="00A84293" w:rsidRDefault="00A84293" w:rsidP="00097387">
            <w:pPr>
              <w:pStyle w:val="TableParagraph"/>
              <w:spacing w:before="1" w:line="240" w:lineRule="auto"/>
            </w:pPr>
            <w:r>
              <w:rPr>
                <w:color w:val="212121"/>
                <w:spacing w:val="-4"/>
              </w:rPr>
              <w:t>1445</w:t>
            </w:r>
          </w:p>
        </w:tc>
        <w:tc>
          <w:tcPr>
            <w:tcW w:w="707" w:type="dxa"/>
          </w:tcPr>
          <w:p w:rsidR="00A84293" w:rsidRDefault="00A84293" w:rsidP="00097387">
            <w:pPr>
              <w:pStyle w:val="TableParagraph"/>
              <w:spacing w:before="1" w:line="240" w:lineRule="auto"/>
            </w:pPr>
            <w:r>
              <w:rPr>
                <w:color w:val="212121"/>
                <w:spacing w:val="-4"/>
              </w:rPr>
              <w:t>1445</w:t>
            </w:r>
          </w:p>
        </w:tc>
        <w:tc>
          <w:tcPr>
            <w:tcW w:w="703" w:type="dxa"/>
          </w:tcPr>
          <w:p w:rsidR="00A84293" w:rsidRDefault="00A84293" w:rsidP="00097387">
            <w:pPr>
              <w:pStyle w:val="TableParagraph"/>
              <w:spacing w:before="1" w:line="240" w:lineRule="auto"/>
              <w:ind w:left="2"/>
            </w:pPr>
            <w:r>
              <w:rPr>
                <w:color w:val="212121"/>
                <w:spacing w:val="-4"/>
              </w:rPr>
              <w:t>100%</w:t>
            </w:r>
          </w:p>
        </w:tc>
        <w:tc>
          <w:tcPr>
            <w:tcW w:w="704" w:type="dxa"/>
          </w:tcPr>
          <w:p w:rsidR="00A84293" w:rsidRDefault="00A84293" w:rsidP="00097387">
            <w:pPr>
              <w:pStyle w:val="TableParagraph"/>
              <w:spacing w:before="1" w:line="240" w:lineRule="auto"/>
            </w:pPr>
            <w:r>
              <w:rPr>
                <w:color w:val="212121"/>
                <w:spacing w:val="-10"/>
              </w:rPr>
              <w:t>0</w:t>
            </w:r>
          </w:p>
        </w:tc>
        <w:tc>
          <w:tcPr>
            <w:tcW w:w="938" w:type="dxa"/>
          </w:tcPr>
          <w:p w:rsidR="00A84293" w:rsidRDefault="00A84293" w:rsidP="00097387">
            <w:pPr>
              <w:pStyle w:val="TableParagraph"/>
              <w:spacing w:before="1" w:line="240" w:lineRule="auto"/>
              <w:ind w:left="17" w:right="7"/>
            </w:pPr>
            <w:r>
              <w:rPr>
                <w:color w:val="212121"/>
                <w:spacing w:val="-2"/>
              </w:rPr>
              <w:t>95.67%</w:t>
            </w:r>
          </w:p>
        </w:tc>
        <w:tc>
          <w:tcPr>
            <w:tcW w:w="1260" w:type="dxa"/>
          </w:tcPr>
          <w:p w:rsidR="00A84293" w:rsidRDefault="00A84293" w:rsidP="00097387">
            <w:pPr>
              <w:pStyle w:val="TableParagraph"/>
              <w:spacing w:before="1" w:line="240" w:lineRule="auto"/>
              <w:ind w:left="108"/>
              <w:jc w:val="left"/>
            </w:pPr>
            <w:r>
              <w:rPr>
                <w:color w:val="0000FF"/>
                <w:spacing w:val="-2"/>
              </w:rPr>
              <w:t>KP792568.1</w:t>
            </w:r>
          </w:p>
        </w:tc>
      </w:tr>
      <w:tr w:rsidR="00A84293" w:rsidTr="00F07218">
        <w:trPr>
          <w:trHeight w:val="497"/>
        </w:trPr>
        <w:tc>
          <w:tcPr>
            <w:tcW w:w="4196" w:type="dxa"/>
          </w:tcPr>
          <w:p w:rsidR="00A84293" w:rsidRDefault="00A84293" w:rsidP="00097387">
            <w:pPr>
              <w:pStyle w:val="TableParagraph"/>
              <w:spacing w:before="2" w:line="240" w:lineRule="auto"/>
              <w:ind w:left="110"/>
              <w:jc w:val="left"/>
            </w:pPr>
            <w:r>
              <w:rPr>
                <w:color w:val="006FC0"/>
              </w:rPr>
              <w:t>Myxozoa</w:t>
            </w:r>
            <w:r w:rsidR="00F07218">
              <w:rPr>
                <w:color w:val="006FC0"/>
              </w:rPr>
              <w:t xml:space="preserve"> </w:t>
            </w:r>
            <w:r>
              <w:rPr>
                <w:color w:val="006FC0"/>
              </w:rPr>
              <w:t>sp.</w:t>
            </w:r>
            <w:r w:rsidR="00F07218">
              <w:rPr>
                <w:color w:val="006FC0"/>
              </w:rPr>
              <w:t xml:space="preserve"> </w:t>
            </w:r>
            <w:r>
              <w:rPr>
                <w:color w:val="006FC0"/>
              </w:rPr>
              <w:t>AP-2017</w:t>
            </w:r>
            <w:r w:rsidR="00F07218">
              <w:rPr>
                <w:color w:val="006FC0"/>
              </w:rPr>
              <w:t xml:space="preserve"> </w:t>
            </w:r>
            <w:r>
              <w:rPr>
                <w:color w:val="006FC0"/>
              </w:rPr>
              <w:t>isolate</w:t>
            </w:r>
            <w:r w:rsidR="00F07218">
              <w:rPr>
                <w:color w:val="006FC0"/>
              </w:rPr>
              <w:t xml:space="preserve"> </w:t>
            </w:r>
            <w:r>
              <w:rPr>
                <w:color w:val="006FC0"/>
              </w:rPr>
              <w:t>R-</w:t>
            </w:r>
            <w:r>
              <w:rPr>
                <w:color w:val="006FC0"/>
                <w:spacing w:val="-10"/>
              </w:rPr>
              <w:t>1</w:t>
            </w:r>
          </w:p>
        </w:tc>
        <w:tc>
          <w:tcPr>
            <w:tcW w:w="778" w:type="dxa"/>
          </w:tcPr>
          <w:p w:rsidR="00A84293" w:rsidRDefault="00A84293" w:rsidP="00097387">
            <w:pPr>
              <w:pStyle w:val="TableParagraph"/>
              <w:spacing w:before="2" w:line="240" w:lineRule="auto"/>
            </w:pPr>
            <w:r>
              <w:rPr>
                <w:color w:val="212121"/>
                <w:spacing w:val="-4"/>
              </w:rPr>
              <w:t>1445</w:t>
            </w:r>
          </w:p>
        </w:tc>
        <w:tc>
          <w:tcPr>
            <w:tcW w:w="707" w:type="dxa"/>
          </w:tcPr>
          <w:p w:rsidR="00A84293" w:rsidRDefault="00A84293" w:rsidP="00097387">
            <w:pPr>
              <w:pStyle w:val="TableParagraph"/>
              <w:spacing w:before="2" w:line="240" w:lineRule="auto"/>
            </w:pPr>
            <w:r>
              <w:rPr>
                <w:color w:val="212121"/>
                <w:spacing w:val="-4"/>
              </w:rPr>
              <w:t>1445</w:t>
            </w:r>
          </w:p>
        </w:tc>
        <w:tc>
          <w:tcPr>
            <w:tcW w:w="703" w:type="dxa"/>
          </w:tcPr>
          <w:p w:rsidR="00A84293" w:rsidRDefault="00A84293" w:rsidP="00097387">
            <w:pPr>
              <w:pStyle w:val="TableParagraph"/>
              <w:spacing w:before="2" w:line="240" w:lineRule="auto"/>
              <w:ind w:left="2"/>
            </w:pPr>
            <w:r>
              <w:rPr>
                <w:color w:val="212121"/>
                <w:spacing w:val="-4"/>
              </w:rPr>
              <w:t>100%</w:t>
            </w:r>
          </w:p>
        </w:tc>
        <w:tc>
          <w:tcPr>
            <w:tcW w:w="704" w:type="dxa"/>
          </w:tcPr>
          <w:p w:rsidR="00A84293" w:rsidRDefault="00A84293" w:rsidP="00097387">
            <w:pPr>
              <w:pStyle w:val="TableParagraph"/>
              <w:spacing w:before="2" w:line="240" w:lineRule="auto"/>
            </w:pPr>
            <w:r>
              <w:rPr>
                <w:color w:val="212121"/>
                <w:spacing w:val="-10"/>
              </w:rPr>
              <w:t>0</w:t>
            </w:r>
          </w:p>
        </w:tc>
        <w:tc>
          <w:tcPr>
            <w:tcW w:w="938" w:type="dxa"/>
          </w:tcPr>
          <w:p w:rsidR="00A84293" w:rsidRDefault="00A84293" w:rsidP="00097387">
            <w:pPr>
              <w:pStyle w:val="TableParagraph"/>
              <w:spacing w:before="2" w:line="240" w:lineRule="auto"/>
              <w:ind w:left="17" w:right="7"/>
            </w:pPr>
            <w:r>
              <w:rPr>
                <w:color w:val="212121"/>
                <w:spacing w:val="-2"/>
              </w:rPr>
              <w:t>95.67%</w:t>
            </w:r>
          </w:p>
        </w:tc>
        <w:tc>
          <w:tcPr>
            <w:tcW w:w="1260" w:type="dxa"/>
          </w:tcPr>
          <w:p w:rsidR="00A84293" w:rsidRDefault="00A84293" w:rsidP="00097387">
            <w:pPr>
              <w:pStyle w:val="TableParagraph"/>
              <w:spacing w:before="2" w:line="240" w:lineRule="auto"/>
              <w:ind w:left="108"/>
              <w:jc w:val="left"/>
            </w:pPr>
            <w:r>
              <w:rPr>
                <w:color w:val="0000FF"/>
                <w:spacing w:val="-2"/>
              </w:rPr>
              <w:t>KY484795.1</w:t>
            </w:r>
          </w:p>
        </w:tc>
      </w:tr>
      <w:tr w:rsidR="00A84293" w:rsidTr="00F07218">
        <w:trPr>
          <w:trHeight w:val="501"/>
        </w:trPr>
        <w:tc>
          <w:tcPr>
            <w:tcW w:w="4196" w:type="dxa"/>
          </w:tcPr>
          <w:p w:rsidR="00A84293" w:rsidRDefault="00A84293" w:rsidP="00097387">
            <w:pPr>
              <w:pStyle w:val="TableParagraph"/>
              <w:spacing w:before="1" w:line="240" w:lineRule="auto"/>
              <w:ind w:left="110"/>
              <w:jc w:val="left"/>
            </w:pPr>
            <w:r>
              <w:rPr>
                <w:color w:val="006FC0"/>
              </w:rPr>
              <w:t>Thelohanellus</w:t>
            </w:r>
            <w:r w:rsidR="00F07218">
              <w:rPr>
                <w:color w:val="006FC0"/>
              </w:rPr>
              <w:t xml:space="preserve"> </w:t>
            </w:r>
            <w:r>
              <w:rPr>
                <w:color w:val="006FC0"/>
              </w:rPr>
              <w:t>rohitae</w:t>
            </w:r>
            <w:r w:rsidR="00F07218">
              <w:rPr>
                <w:color w:val="006FC0"/>
              </w:rPr>
              <w:t xml:space="preserve"> </w:t>
            </w:r>
            <w:r>
              <w:rPr>
                <w:color w:val="006FC0"/>
              </w:rPr>
              <w:t>isolate</w:t>
            </w:r>
            <w:r w:rsidR="00F07218">
              <w:rPr>
                <w:color w:val="006FC0"/>
              </w:rPr>
              <w:t xml:space="preserve"> </w:t>
            </w:r>
            <w:r>
              <w:rPr>
                <w:color w:val="006FC0"/>
              </w:rPr>
              <w:t>WBUAFS-</w:t>
            </w:r>
            <w:r>
              <w:rPr>
                <w:color w:val="006FC0"/>
                <w:spacing w:val="-4"/>
              </w:rPr>
              <w:t>ULG2</w:t>
            </w:r>
          </w:p>
        </w:tc>
        <w:tc>
          <w:tcPr>
            <w:tcW w:w="778" w:type="dxa"/>
          </w:tcPr>
          <w:p w:rsidR="00A84293" w:rsidRDefault="00A84293" w:rsidP="00097387">
            <w:pPr>
              <w:pStyle w:val="TableParagraph"/>
              <w:spacing w:before="1" w:line="240" w:lineRule="auto"/>
            </w:pPr>
            <w:r>
              <w:rPr>
                <w:color w:val="212121"/>
                <w:spacing w:val="-4"/>
              </w:rPr>
              <w:t>1415</w:t>
            </w:r>
          </w:p>
        </w:tc>
        <w:tc>
          <w:tcPr>
            <w:tcW w:w="707" w:type="dxa"/>
          </w:tcPr>
          <w:p w:rsidR="00A84293" w:rsidRDefault="00A84293" w:rsidP="00097387">
            <w:pPr>
              <w:pStyle w:val="TableParagraph"/>
              <w:spacing w:before="1" w:line="240" w:lineRule="auto"/>
            </w:pPr>
            <w:r>
              <w:rPr>
                <w:color w:val="212121"/>
                <w:spacing w:val="-4"/>
              </w:rPr>
              <w:t>1415</w:t>
            </w:r>
          </w:p>
        </w:tc>
        <w:tc>
          <w:tcPr>
            <w:tcW w:w="703" w:type="dxa"/>
          </w:tcPr>
          <w:p w:rsidR="00A84293" w:rsidRDefault="00A84293" w:rsidP="00097387">
            <w:pPr>
              <w:pStyle w:val="TableParagraph"/>
              <w:spacing w:before="1" w:line="240" w:lineRule="auto"/>
              <w:ind w:left="2" w:right="2"/>
            </w:pPr>
            <w:r>
              <w:rPr>
                <w:color w:val="212121"/>
                <w:spacing w:val="-5"/>
              </w:rPr>
              <w:t>99%</w:t>
            </w:r>
          </w:p>
        </w:tc>
        <w:tc>
          <w:tcPr>
            <w:tcW w:w="704" w:type="dxa"/>
          </w:tcPr>
          <w:p w:rsidR="00A84293" w:rsidRDefault="00A84293" w:rsidP="00097387">
            <w:pPr>
              <w:pStyle w:val="TableParagraph"/>
              <w:spacing w:before="1" w:line="240" w:lineRule="auto"/>
            </w:pPr>
            <w:r>
              <w:rPr>
                <w:color w:val="212121"/>
                <w:spacing w:val="-10"/>
              </w:rPr>
              <w:t>0</w:t>
            </w:r>
          </w:p>
        </w:tc>
        <w:tc>
          <w:tcPr>
            <w:tcW w:w="938" w:type="dxa"/>
          </w:tcPr>
          <w:p w:rsidR="00A84293" w:rsidRDefault="00A84293" w:rsidP="00097387">
            <w:pPr>
              <w:pStyle w:val="TableParagraph"/>
              <w:spacing w:before="1" w:line="240" w:lineRule="auto"/>
              <w:ind w:left="17" w:right="7"/>
            </w:pPr>
            <w:r>
              <w:rPr>
                <w:color w:val="212121"/>
                <w:spacing w:val="-2"/>
              </w:rPr>
              <w:t>95.75%</w:t>
            </w:r>
          </w:p>
        </w:tc>
        <w:tc>
          <w:tcPr>
            <w:tcW w:w="1260" w:type="dxa"/>
          </w:tcPr>
          <w:p w:rsidR="00A84293" w:rsidRDefault="00A84293" w:rsidP="00097387">
            <w:pPr>
              <w:pStyle w:val="TableParagraph"/>
              <w:spacing w:before="1" w:line="240" w:lineRule="auto"/>
              <w:ind w:left="108"/>
              <w:jc w:val="left"/>
            </w:pPr>
            <w:r>
              <w:rPr>
                <w:color w:val="0000FF"/>
                <w:spacing w:val="-2"/>
              </w:rPr>
              <w:t>KM252682.1</w:t>
            </w:r>
          </w:p>
        </w:tc>
      </w:tr>
    </w:tbl>
    <w:p w:rsidR="001901E3" w:rsidRPr="001901E3" w:rsidRDefault="001901E3" w:rsidP="00AC20DE">
      <w:pPr>
        <w:spacing w:after="0"/>
        <w:jc w:val="both"/>
        <w:rPr>
          <w:rFonts w:ascii="Times New Roman" w:hAnsi="Times New Roman" w:cs="Times New Roman"/>
        </w:rPr>
      </w:pPr>
    </w:p>
    <w:p w:rsidR="00A05B7D" w:rsidRDefault="00A05B7D" w:rsidP="00152D7E">
      <w:pPr>
        <w:spacing w:before="240" w:after="0"/>
        <w:jc w:val="both"/>
        <w:rPr>
          <w:rFonts w:ascii="Times New Roman" w:hAnsi="Times New Roman" w:cs="Times New Roman"/>
          <w:b/>
          <w:sz w:val="24"/>
        </w:rPr>
      </w:pPr>
    </w:p>
    <w:p w:rsidR="00422B4D" w:rsidRPr="00ED5E07" w:rsidRDefault="00152D7E" w:rsidP="00152D7E">
      <w:pPr>
        <w:spacing w:before="240" w:after="0"/>
        <w:jc w:val="both"/>
        <w:rPr>
          <w:rFonts w:ascii="Times New Roman" w:hAnsi="Times New Roman" w:cs="Times New Roman"/>
          <w:b/>
          <w:sz w:val="24"/>
        </w:rPr>
      </w:pPr>
      <w:r w:rsidRPr="00ED5E07">
        <w:rPr>
          <w:rFonts w:ascii="Times New Roman" w:hAnsi="Times New Roman" w:cs="Times New Roman"/>
          <w:b/>
          <w:sz w:val="24"/>
        </w:rPr>
        <w:lastRenderedPageBreak/>
        <w:t>Phylogenetic tree:</w:t>
      </w:r>
    </w:p>
    <w:p w:rsidR="00152D7E" w:rsidRPr="00ED5E07" w:rsidRDefault="00152D7E" w:rsidP="00152D7E">
      <w:pPr>
        <w:spacing w:after="0"/>
        <w:jc w:val="both"/>
        <w:rPr>
          <w:rFonts w:ascii="Times New Roman" w:hAnsi="Times New Roman" w:cs="Times New Roman"/>
          <w:sz w:val="24"/>
        </w:rPr>
      </w:pPr>
      <w:r w:rsidRPr="00ED5E07">
        <w:rPr>
          <w:rFonts w:ascii="Times New Roman" w:hAnsi="Times New Roman" w:cs="Times New Roman"/>
          <w:sz w:val="24"/>
        </w:rPr>
        <w:t>Based on 18s rRNA sequence data, the evolutionary history was inferred and phylogene</w:t>
      </w:r>
      <w:r w:rsidR="007B68A1" w:rsidRPr="00ED5E07">
        <w:rPr>
          <w:rFonts w:ascii="Times New Roman" w:hAnsi="Times New Roman" w:cs="Times New Roman"/>
          <w:sz w:val="24"/>
        </w:rPr>
        <w:t>tic tre</w:t>
      </w:r>
      <w:r w:rsidR="00415032">
        <w:rPr>
          <w:rFonts w:ascii="Times New Roman" w:hAnsi="Times New Roman" w:cs="Times New Roman"/>
          <w:sz w:val="24"/>
        </w:rPr>
        <w:t>e was constructed (Fig 2</w:t>
      </w:r>
      <w:r w:rsidRPr="00ED5E07">
        <w:rPr>
          <w:rFonts w:ascii="Times New Roman" w:hAnsi="Times New Roman" w:cs="Times New Roman"/>
          <w:sz w:val="24"/>
        </w:rPr>
        <w:t>) by using Maximum likelihood method and</w:t>
      </w:r>
      <w:r w:rsidR="005D1B60" w:rsidRPr="00ED5E07">
        <w:rPr>
          <w:rFonts w:ascii="Times New Roman" w:hAnsi="Times New Roman" w:cs="Times New Roman"/>
          <w:sz w:val="24"/>
        </w:rPr>
        <w:t xml:space="preserve"> Tamura-Nei model (Kimura</w:t>
      </w:r>
      <w:r w:rsidRPr="00ED5E07">
        <w:rPr>
          <w:rFonts w:ascii="Times New Roman" w:hAnsi="Times New Roman" w:cs="Times New Roman"/>
          <w:sz w:val="24"/>
        </w:rPr>
        <w:t>, 1980) (Tamura et al., 2004)</w:t>
      </w:r>
      <w:r w:rsidR="00447547" w:rsidRPr="00ED5E07">
        <w:rPr>
          <w:rFonts w:ascii="Times New Roman" w:hAnsi="Times New Roman" w:cs="Times New Roman"/>
          <w:sz w:val="24"/>
        </w:rPr>
        <w:t xml:space="preserve">. The phylogenetic analysis reveals clear clustering among the analyzed sequences. The phylogenetic tree can be clearly splitted into 2 major clades of which one major clade is further splitted into subclades and another major clade at the base of the </w:t>
      </w:r>
      <w:r w:rsidR="00916960" w:rsidRPr="00ED5E07">
        <w:rPr>
          <w:rFonts w:ascii="Times New Roman" w:hAnsi="Times New Roman" w:cs="Times New Roman"/>
          <w:sz w:val="24"/>
        </w:rPr>
        <w:t>phylogenetic tree comprises two sister groups. The phylogenetic tree demonstrates that</w:t>
      </w:r>
      <w:r w:rsidR="008E24E9" w:rsidRPr="00ED5E07">
        <w:rPr>
          <w:rFonts w:ascii="Times New Roman" w:hAnsi="Times New Roman" w:cs="Times New Roman"/>
          <w:i/>
          <w:sz w:val="24"/>
        </w:rPr>
        <w:t xml:space="preserve">Thelohanellus </w:t>
      </w:r>
      <w:r w:rsidR="008E24E9" w:rsidRPr="00ED5E07">
        <w:rPr>
          <w:rFonts w:ascii="Times New Roman" w:hAnsi="Times New Roman" w:cs="Times New Roman"/>
          <w:sz w:val="24"/>
        </w:rPr>
        <w:t xml:space="preserve">sp. 1 2015 (accession number- KT387307.1) </w:t>
      </w:r>
      <w:r w:rsidR="00D60D47" w:rsidRPr="00ED5E07">
        <w:rPr>
          <w:rFonts w:ascii="Times New Roman" w:hAnsi="Times New Roman" w:cs="Times New Roman"/>
          <w:sz w:val="24"/>
        </w:rPr>
        <w:t xml:space="preserve">and </w:t>
      </w:r>
      <w:r w:rsidR="00D60D47" w:rsidRPr="00ED5E07">
        <w:rPr>
          <w:rFonts w:ascii="Times New Roman" w:hAnsi="Times New Roman" w:cs="Times New Roman"/>
          <w:i/>
          <w:sz w:val="24"/>
        </w:rPr>
        <w:t xml:space="preserve">Thelohanellusfilli </w:t>
      </w:r>
      <w:r w:rsidR="00D60D47" w:rsidRPr="00ED5E07">
        <w:rPr>
          <w:rFonts w:ascii="Times New Roman" w:hAnsi="Times New Roman" w:cs="Times New Roman"/>
          <w:sz w:val="24"/>
        </w:rPr>
        <w:t>isolate Ranjit Sagar (accession number- KR340464.1) formed a closely related sister group. The studied sample (accession number- PX836811)</w:t>
      </w:r>
      <w:r w:rsidR="00344DE6" w:rsidRPr="00ED5E07">
        <w:rPr>
          <w:rFonts w:ascii="Times New Roman" w:hAnsi="Times New Roman" w:cs="Times New Roman"/>
          <w:sz w:val="24"/>
        </w:rPr>
        <w:t xml:space="preserve"> shows clustering within the same clade, which </w:t>
      </w:r>
      <w:r w:rsidR="005561C8" w:rsidRPr="00ED5E07">
        <w:rPr>
          <w:rFonts w:ascii="Times New Roman" w:hAnsi="Times New Roman" w:cs="Times New Roman"/>
          <w:sz w:val="24"/>
        </w:rPr>
        <w:t xml:space="preserve">indicates a close evolutionary relationship with the sequences. Additional clusters were observed between </w:t>
      </w:r>
      <w:r w:rsidR="00236004" w:rsidRPr="00ED5E07">
        <w:rPr>
          <w:rFonts w:ascii="Times New Roman" w:hAnsi="Times New Roman" w:cs="Times New Roman"/>
          <w:i/>
          <w:sz w:val="24"/>
        </w:rPr>
        <w:t xml:space="preserve">Thelohanellus seni </w:t>
      </w:r>
      <w:r w:rsidR="00236004" w:rsidRPr="00ED5E07">
        <w:rPr>
          <w:rFonts w:ascii="Times New Roman" w:hAnsi="Times New Roman" w:cs="Times New Roman"/>
          <w:sz w:val="24"/>
        </w:rPr>
        <w:t>isolate WBUAFS-G1</w:t>
      </w:r>
      <w:r w:rsidR="00BB7BB4" w:rsidRPr="00ED5E07">
        <w:rPr>
          <w:rFonts w:ascii="Times New Roman" w:hAnsi="Times New Roman" w:cs="Times New Roman"/>
          <w:sz w:val="24"/>
        </w:rPr>
        <w:t xml:space="preserve"> (accession number- </w:t>
      </w:r>
      <w:r w:rsidR="0090121E" w:rsidRPr="00ED5E07">
        <w:rPr>
          <w:rFonts w:ascii="Times New Roman" w:hAnsi="Times New Roman" w:cs="Times New Roman"/>
          <w:sz w:val="24"/>
        </w:rPr>
        <w:t xml:space="preserve">KJ476884.1) and </w:t>
      </w:r>
      <w:r w:rsidR="0090121E" w:rsidRPr="00ED5E07">
        <w:rPr>
          <w:rFonts w:ascii="Times New Roman" w:hAnsi="Times New Roman" w:cs="Times New Roman"/>
          <w:i/>
          <w:sz w:val="24"/>
        </w:rPr>
        <w:t xml:space="preserve">Thelohanellus jiroveci </w:t>
      </w:r>
      <w:r w:rsidR="0090121E" w:rsidRPr="00ED5E07">
        <w:rPr>
          <w:rFonts w:ascii="Times New Roman" w:hAnsi="Times New Roman" w:cs="Times New Roman"/>
          <w:sz w:val="24"/>
        </w:rPr>
        <w:t xml:space="preserve">isolate WBUAFS-G2 (accession number- KJ476885.1), </w:t>
      </w:r>
      <w:r w:rsidR="003D292B" w:rsidRPr="00ED5E07">
        <w:rPr>
          <w:rFonts w:ascii="Times New Roman" w:hAnsi="Times New Roman" w:cs="Times New Roman"/>
          <w:sz w:val="24"/>
        </w:rPr>
        <w:t xml:space="preserve">as well as between </w:t>
      </w:r>
      <w:r w:rsidR="003D292B" w:rsidRPr="00ED5E07">
        <w:rPr>
          <w:rFonts w:ascii="Times New Roman" w:hAnsi="Times New Roman" w:cs="Times New Roman"/>
          <w:i/>
          <w:sz w:val="24"/>
        </w:rPr>
        <w:t xml:space="preserve">Thelohanellus bifurcata </w:t>
      </w:r>
      <w:r w:rsidR="003D292B" w:rsidRPr="00ED5E07">
        <w:rPr>
          <w:rFonts w:ascii="Times New Roman" w:hAnsi="Times New Roman" w:cs="Times New Roman"/>
          <w:sz w:val="24"/>
        </w:rPr>
        <w:t>isolate WBUAFS-G5 (accession number- KJ476886.1)</w:t>
      </w:r>
      <w:r w:rsidR="00D32223" w:rsidRPr="00ED5E07">
        <w:rPr>
          <w:rFonts w:ascii="Times New Roman" w:hAnsi="Times New Roman" w:cs="Times New Roman"/>
          <w:sz w:val="24"/>
        </w:rPr>
        <w:t xml:space="preserve"> and </w:t>
      </w:r>
      <w:r w:rsidR="00D32223" w:rsidRPr="00ED5E07">
        <w:rPr>
          <w:rFonts w:ascii="Times New Roman" w:hAnsi="Times New Roman" w:cs="Times New Roman"/>
          <w:i/>
          <w:sz w:val="24"/>
        </w:rPr>
        <w:t xml:space="preserve">Thelohanellus rohitae </w:t>
      </w:r>
      <w:r w:rsidR="00D32223" w:rsidRPr="00ED5E07">
        <w:rPr>
          <w:rFonts w:ascii="Times New Roman" w:hAnsi="Times New Roman" w:cs="Times New Roman"/>
          <w:sz w:val="24"/>
        </w:rPr>
        <w:t xml:space="preserve">isolate WBUAFS-ULG2 (accession number- KM252682.1). In contrast, </w:t>
      </w:r>
      <w:r w:rsidR="00D32223" w:rsidRPr="00ED5E07">
        <w:rPr>
          <w:rFonts w:ascii="Times New Roman" w:hAnsi="Times New Roman" w:cs="Times New Roman"/>
          <w:i/>
          <w:sz w:val="24"/>
        </w:rPr>
        <w:t>Thelohanellus</w:t>
      </w:r>
      <w:r w:rsidR="00D32223" w:rsidRPr="00ED5E07">
        <w:rPr>
          <w:rFonts w:ascii="Times New Roman" w:hAnsi="Times New Roman" w:cs="Times New Roman"/>
          <w:sz w:val="24"/>
        </w:rPr>
        <w:t xml:space="preserve"> sp. HK-2015 (accession number- KP792568.1) and Myxozoa sp. AP-2017 isolate R-1 (accession number- KY484795.1) branched separately in a different clade at the basal position of the </w:t>
      </w:r>
      <w:r w:rsidR="00DB54C9" w:rsidRPr="00ED5E07">
        <w:rPr>
          <w:rFonts w:ascii="Times New Roman" w:hAnsi="Times New Roman" w:cs="Times New Roman"/>
          <w:sz w:val="24"/>
        </w:rPr>
        <w:t>tree, which indicates greater genetic divergence or dissimilarity with the other sequences, especially with the sequence of studied sample</w:t>
      </w:r>
      <w:r w:rsidR="00DA0714" w:rsidRPr="00ED5E07">
        <w:rPr>
          <w:rFonts w:ascii="Times New Roman" w:hAnsi="Times New Roman" w:cs="Times New Roman"/>
          <w:sz w:val="24"/>
        </w:rPr>
        <w:t xml:space="preserve"> (accession number- PX836811). </w:t>
      </w:r>
    </w:p>
    <w:p w:rsidR="002E0E0B" w:rsidRDefault="00EB26B2" w:rsidP="00EB26B2">
      <w:pPr>
        <w:spacing w:after="0"/>
        <w:jc w:val="center"/>
        <w:rPr>
          <w:rFonts w:ascii="Times New Roman" w:hAnsi="Times New Roman" w:cs="Times New Roman"/>
          <w:sz w:val="24"/>
        </w:rPr>
      </w:pPr>
      <w:r w:rsidRPr="00EB26B2">
        <w:rPr>
          <w:rFonts w:ascii="Times New Roman" w:hAnsi="Times New Roman" w:cs="Times New Roman"/>
          <w:noProof/>
          <w:sz w:val="24"/>
        </w:rPr>
        <w:drawing>
          <wp:inline distT="0" distB="0" distL="0" distR="0">
            <wp:extent cx="5429250" cy="4071787"/>
            <wp:effectExtent l="19050" t="0" r="0" b="0"/>
            <wp:docPr id="2" name="Picture 0" descr="phylogenetic tree ac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logenetic tree actual.jpg"/>
                    <pic:cNvPicPr/>
                  </pic:nvPicPr>
                  <pic:blipFill>
                    <a:blip r:embed="rId8" cstate="print"/>
                    <a:stretch>
                      <a:fillRect/>
                    </a:stretch>
                  </pic:blipFill>
                  <pic:spPr>
                    <a:xfrm>
                      <a:off x="0" y="0"/>
                      <a:ext cx="5433263" cy="4074796"/>
                    </a:xfrm>
                    <a:prstGeom prst="rect">
                      <a:avLst/>
                    </a:prstGeom>
                  </pic:spPr>
                </pic:pic>
              </a:graphicData>
            </a:graphic>
          </wp:inline>
        </w:drawing>
      </w:r>
    </w:p>
    <w:p w:rsidR="002E0E0B" w:rsidRDefault="002E0E0B" w:rsidP="00152D7E">
      <w:pPr>
        <w:spacing w:after="0"/>
        <w:jc w:val="both"/>
        <w:rPr>
          <w:rFonts w:ascii="Times New Roman" w:hAnsi="Times New Roman" w:cs="Times New Roman"/>
          <w:sz w:val="24"/>
        </w:rPr>
      </w:pPr>
    </w:p>
    <w:p w:rsidR="002E0E0B" w:rsidRDefault="00415032" w:rsidP="002E0E0B">
      <w:pPr>
        <w:spacing w:after="0"/>
        <w:jc w:val="center"/>
        <w:rPr>
          <w:rFonts w:ascii="Times New Roman" w:hAnsi="Times New Roman" w:cs="Times New Roman"/>
          <w:b/>
          <w:sz w:val="20"/>
        </w:rPr>
      </w:pPr>
      <w:r>
        <w:rPr>
          <w:rFonts w:ascii="Times New Roman" w:hAnsi="Times New Roman" w:cs="Times New Roman"/>
          <w:b/>
          <w:sz w:val="20"/>
        </w:rPr>
        <w:t>Fig 2</w:t>
      </w:r>
      <w:r w:rsidR="002E0E0B" w:rsidRPr="002E0E0B">
        <w:rPr>
          <w:rFonts w:ascii="Times New Roman" w:hAnsi="Times New Roman" w:cs="Times New Roman"/>
          <w:b/>
          <w:sz w:val="20"/>
        </w:rPr>
        <w:t xml:space="preserve">: Phylogenetic tree by Maximum Likelihood method showing the phylogenetic position of </w:t>
      </w:r>
      <w:r w:rsidR="002E0E0B" w:rsidRPr="002E0E0B">
        <w:rPr>
          <w:rFonts w:ascii="Times New Roman" w:hAnsi="Times New Roman" w:cs="Times New Roman"/>
          <w:b/>
          <w:i/>
          <w:sz w:val="20"/>
        </w:rPr>
        <w:t>T. bifurcata</w:t>
      </w:r>
      <w:r w:rsidR="002E0E0B" w:rsidRPr="002E0E0B">
        <w:rPr>
          <w:rFonts w:ascii="Times New Roman" w:hAnsi="Times New Roman" w:cs="Times New Roman"/>
          <w:b/>
          <w:sz w:val="20"/>
        </w:rPr>
        <w:t xml:space="preserve"> with other related </w:t>
      </w:r>
      <w:r w:rsidR="002E0E0B" w:rsidRPr="002E0E0B">
        <w:rPr>
          <w:rFonts w:ascii="Times New Roman" w:hAnsi="Times New Roman" w:cs="Times New Roman"/>
          <w:b/>
          <w:i/>
          <w:sz w:val="20"/>
        </w:rPr>
        <w:t>Thelohanellus</w:t>
      </w:r>
      <w:r w:rsidR="002E0E0B" w:rsidRPr="002E0E0B">
        <w:rPr>
          <w:rFonts w:ascii="Times New Roman" w:hAnsi="Times New Roman" w:cs="Times New Roman"/>
          <w:b/>
          <w:sz w:val="20"/>
        </w:rPr>
        <w:t xml:space="preserve"> species</w:t>
      </w:r>
    </w:p>
    <w:p w:rsidR="00BD24C5" w:rsidRDefault="00BD24C5" w:rsidP="002E0E0B">
      <w:pPr>
        <w:spacing w:after="0"/>
        <w:jc w:val="center"/>
        <w:rPr>
          <w:rFonts w:ascii="Times New Roman" w:hAnsi="Times New Roman" w:cs="Times New Roman"/>
          <w:b/>
          <w:sz w:val="20"/>
        </w:rPr>
      </w:pPr>
    </w:p>
    <w:p w:rsidR="00A81B1B" w:rsidRDefault="00A81B1B" w:rsidP="008F1020">
      <w:pPr>
        <w:spacing w:after="0"/>
        <w:rPr>
          <w:rFonts w:ascii="Times New Roman" w:hAnsi="Times New Roman" w:cs="Times New Roman"/>
          <w:b/>
          <w:sz w:val="20"/>
        </w:rPr>
      </w:pPr>
    </w:p>
    <w:p w:rsidR="008F1020" w:rsidRDefault="00EB26B2" w:rsidP="008F1020">
      <w:pPr>
        <w:spacing w:after="0"/>
        <w:rPr>
          <w:rFonts w:ascii="Times New Roman" w:hAnsi="Times New Roman" w:cs="Times New Roman"/>
          <w:b/>
          <w:sz w:val="20"/>
        </w:rPr>
      </w:pPr>
      <w:r w:rsidRPr="00A05B7D">
        <w:rPr>
          <w:rFonts w:ascii="Times New Roman" w:hAnsi="Times New Roman" w:cs="Times New Roman"/>
          <w:b/>
          <w:sz w:val="20"/>
          <w:highlight w:val="yellow"/>
        </w:rPr>
        <w:t>Table 4: Estimates of Evolutionary Divergence between Sequences</w:t>
      </w:r>
      <w:r>
        <w:rPr>
          <w:rFonts w:ascii="Times New Roman" w:hAnsi="Times New Roman" w:cs="Times New Roman"/>
          <w:b/>
          <w:sz w:val="20"/>
        </w:rPr>
        <w:t xml:space="preserve"> </w:t>
      </w:r>
    </w:p>
    <w:tbl>
      <w:tblPr>
        <w:tblW w:w="10077"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2"/>
        <w:gridCol w:w="715"/>
        <w:gridCol w:w="719"/>
        <w:gridCol w:w="715"/>
        <w:gridCol w:w="714"/>
        <w:gridCol w:w="719"/>
        <w:gridCol w:w="714"/>
        <w:gridCol w:w="829"/>
        <w:gridCol w:w="825"/>
        <w:gridCol w:w="830"/>
        <w:gridCol w:w="825"/>
        <w:gridCol w:w="830"/>
      </w:tblGrid>
      <w:tr w:rsidR="00A05B7D" w:rsidTr="00A05B7D">
        <w:trPr>
          <w:trHeight w:val="354"/>
        </w:trPr>
        <w:tc>
          <w:tcPr>
            <w:tcW w:w="1642" w:type="dxa"/>
          </w:tcPr>
          <w:p w:rsidR="00A05B7D" w:rsidRDefault="00A05B7D" w:rsidP="00097387">
            <w:pPr>
              <w:pStyle w:val="TableParagraph"/>
              <w:spacing w:before="119" w:line="215" w:lineRule="exact"/>
              <w:ind w:left="110"/>
              <w:jc w:val="left"/>
              <w:rPr>
                <w:rFonts w:ascii="Arial"/>
                <w:b/>
                <w:sz w:val="20"/>
              </w:rPr>
            </w:pPr>
            <w:r>
              <w:rPr>
                <w:rFonts w:ascii="Arial"/>
                <w:b/>
                <w:color w:val="C00000"/>
                <w:spacing w:val="-4"/>
                <w:sz w:val="20"/>
              </w:rPr>
              <w:t>PX836811</w:t>
            </w:r>
          </w:p>
        </w:tc>
        <w:tc>
          <w:tcPr>
            <w:tcW w:w="715" w:type="dxa"/>
          </w:tcPr>
          <w:p w:rsidR="00A05B7D" w:rsidRDefault="00A05B7D" w:rsidP="00097387">
            <w:pPr>
              <w:pStyle w:val="TableParagraph"/>
              <w:spacing w:before="0" w:line="240" w:lineRule="auto"/>
              <w:jc w:val="left"/>
              <w:rPr>
                <w:rFonts w:ascii="Times New Roman"/>
                <w:sz w:val="20"/>
              </w:rPr>
            </w:pPr>
          </w:p>
        </w:tc>
        <w:tc>
          <w:tcPr>
            <w:tcW w:w="719" w:type="dxa"/>
          </w:tcPr>
          <w:p w:rsidR="00A05B7D" w:rsidRDefault="00A05B7D" w:rsidP="00097387">
            <w:pPr>
              <w:pStyle w:val="TableParagraph"/>
              <w:spacing w:before="124"/>
              <w:ind w:left="20" w:right="7"/>
              <w:rPr>
                <w:rFonts w:ascii="Arial"/>
                <w:sz w:val="20"/>
              </w:rPr>
            </w:pPr>
            <w:r>
              <w:rPr>
                <w:rFonts w:ascii="Arial"/>
                <w:color w:val="0000FF"/>
                <w:spacing w:val="-2"/>
                <w:sz w:val="20"/>
              </w:rPr>
              <w:t>0.003</w:t>
            </w:r>
          </w:p>
        </w:tc>
        <w:tc>
          <w:tcPr>
            <w:tcW w:w="715" w:type="dxa"/>
          </w:tcPr>
          <w:p w:rsidR="00A05B7D" w:rsidRDefault="00A05B7D" w:rsidP="00097387">
            <w:pPr>
              <w:pStyle w:val="TableParagraph"/>
              <w:spacing w:before="124"/>
              <w:ind w:left="10"/>
              <w:rPr>
                <w:rFonts w:ascii="Arial"/>
                <w:sz w:val="20"/>
              </w:rPr>
            </w:pPr>
            <w:r>
              <w:rPr>
                <w:rFonts w:ascii="Arial"/>
                <w:color w:val="0000FF"/>
                <w:spacing w:val="-2"/>
                <w:sz w:val="20"/>
              </w:rPr>
              <w:t>0.004</w:t>
            </w:r>
          </w:p>
        </w:tc>
        <w:tc>
          <w:tcPr>
            <w:tcW w:w="714" w:type="dxa"/>
          </w:tcPr>
          <w:p w:rsidR="00A05B7D" w:rsidRDefault="00A05B7D" w:rsidP="00097387">
            <w:pPr>
              <w:pStyle w:val="TableParagraph"/>
              <w:spacing w:before="124"/>
              <w:ind w:left="18" w:right="6"/>
              <w:rPr>
                <w:rFonts w:ascii="Arial"/>
                <w:sz w:val="20"/>
              </w:rPr>
            </w:pPr>
            <w:r>
              <w:rPr>
                <w:rFonts w:ascii="Arial"/>
                <w:color w:val="0000FF"/>
                <w:spacing w:val="-2"/>
                <w:sz w:val="20"/>
              </w:rPr>
              <w:t>0.004</w:t>
            </w:r>
          </w:p>
        </w:tc>
        <w:tc>
          <w:tcPr>
            <w:tcW w:w="719" w:type="dxa"/>
          </w:tcPr>
          <w:p w:rsidR="00A05B7D" w:rsidRDefault="00A05B7D" w:rsidP="00097387">
            <w:pPr>
              <w:pStyle w:val="TableParagraph"/>
              <w:spacing w:before="124"/>
              <w:ind w:left="20"/>
              <w:rPr>
                <w:rFonts w:ascii="Arial"/>
                <w:sz w:val="20"/>
              </w:rPr>
            </w:pPr>
            <w:r>
              <w:rPr>
                <w:rFonts w:ascii="Arial"/>
                <w:color w:val="0000FF"/>
                <w:spacing w:val="-2"/>
                <w:sz w:val="20"/>
              </w:rPr>
              <w:t>0.004</w:t>
            </w:r>
          </w:p>
        </w:tc>
        <w:tc>
          <w:tcPr>
            <w:tcW w:w="714" w:type="dxa"/>
          </w:tcPr>
          <w:p w:rsidR="00A05B7D" w:rsidRDefault="00A05B7D" w:rsidP="00097387">
            <w:pPr>
              <w:pStyle w:val="TableParagraph"/>
              <w:spacing w:before="124"/>
              <w:ind w:left="18"/>
              <w:rPr>
                <w:rFonts w:ascii="Arial"/>
                <w:sz w:val="20"/>
              </w:rPr>
            </w:pPr>
            <w:r>
              <w:rPr>
                <w:rFonts w:ascii="Arial"/>
                <w:color w:val="0000FF"/>
                <w:spacing w:val="-2"/>
                <w:sz w:val="20"/>
              </w:rPr>
              <w:t>0.003</w:t>
            </w:r>
          </w:p>
        </w:tc>
        <w:tc>
          <w:tcPr>
            <w:tcW w:w="829" w:type="dxa"/>
          </w:tcPr>
          <w:p w:rsidR="00A05B7D" w:rsidRDefault="00A05B7D" w:rsidP="00097387">
            <w:pPr>
              <w:pStyle w:val="TableParagraph"/>
              <w:spacing w:before="124"/>
              <w:ind w:left="146"/>
              <w:rPr>
                <w:rFonts w:ascii="Arial"/>
                <w:sz w:val="20"/>
              </w:rPr>
            </w:pPr>
            <w:r>
              <w:rPr>
                <w:rFonts w:ascii="Arial"/>
                <w:color w:val="0000FF"/>
                <w:spacing w:val="-2"/>
                <w:sz w:val="20"/>
              </w:rPr>
              <w:t>0.003</w:t>
            </w:r>
          </w:p>
        </w:tc>
        <w:tc>
          <w:tcPr>
            <w:tcW w:w="825" w:type="dxa"/>
          </w:tcPr>
          <w:p w:rsidR="00A05B7D" w:rsidRDefault="00A05B7D" w:rsidP="00097387">
            <w:pPr>
              <w:pStyle w:val="TableParagraph"/>
              <w:spacing w:before="124"/>
              <w:ind w:left="147" w:right="4"/>
              <w:rPr>
                <w:rFonts w:ascii="Arial"/>
                <w:sz w:val="20"/>
              </w:rPr>
            </w:pPr>
            <w:r>
              <w:rPr>
                <w:rFonts w:ascii="Arial"/>
                <w:color w:val="0000FF"/>
                <w:spacing w:val="-2"/>
                <w:sz w:val="20"/>
              </w:rPr>
              <w:t>0.003</w:t>
            </w:r>
          </w:p>
        </w:tc>
        <w:tc>
          <w:tcPr>
            <w:tcW w:w="830" w:type="dxa"/>
          </w:tcPr>
          <w:p w:rsidR="00A05B7D" w:rsidRDefault="00A05B7D" w:rsidP="00097387">
            <w:pPr>
              <w:pStyle w:val="TableParagraph"/>
              <w:spacing w:before="124"/>
              <w:ind w:right="82"/>
              <w:jc w:val="right"/>
              <w:rPr>
                <w:rFonts w:ascii="Arial"/>
                <w:sz w:val="20"/>
              </w:rPr>
            </w:pPr>
            <w:r>
              <w:rPr>
                <w:rFonts w:ascii="Arial"/>
                <w:color w:val="0000FF"/>
                <w:spacing w:val="-2"/>
                <w:sz w:val="20"/>
              </w:rPr>
              <w:t>0.010</w:t>
            </w:r>
          </w:p>
        </w:tc>
        <w:tc>
          <w:tcPr>
            <w:tcW w:w="825" w:type="dxa"/>
          </w:tcPr>
          <w:p w:rsidR="00A05B7D" w:rsidRDefault="00A05B7D" w:rsidP="00097387">
            <w:pPr>
              <w:pStyle w:val="TableParagraph"/>
              <w:spacing w:before="124"/>
              <w:ind w:left="147"/>
              <w:rPr>
                <w:rFonts w:ascii="Arial"/>
                <w:sz w:val="20"/>
              </w:rPr>
            </w:pPr>
            <w:r>
              <w:rPr>
                <w:rFonts w:ascii="Arial"/>
                <w:color w:val="0000FF"/>
                <w:spacing w:val="-2"/>
                <w:sz w:val="20"/>
              </w:rPr>
              <w:t>0.010</w:t>
            </w:r>
          </w:p>
        </w:tc>
        <w:tc>
          <w:tcPr>
            <w:tcW w:w="830" w:type="dxa"/>
          </w:tcPr>
          <w:p w:rsidR="00A05B7D" w:rsidRDefault="00A05B7D" w:rsidP="00097387">
            <w:pPr>
              <w:pStyle w:val="TableParagraph"/>
              <w:spacing w:before="124"/>
              <w:ind w:right="80"/>
              <w:jc w:val="right"/>
              <w:rPr>
                <w:rFonts w:ascii="Arial"/>
                <w:sz w:val="20"/>
              </w:rPr>
            </w:pPr>
            <w:r>
              <w:rPr>
                <w:rFonts w:ascii="Arial"/>
                <w:color w:val="0000FF"/>
                <w:spacing w:val="-2"/>
                <w:sz w:val="20"/>
              </w:rPr>
              <w:t>0.006</w:t>
            </w:r>
          </w:p>
        </w:tc>
      </w:tr>
      <w:tr w:rsidR="00A05B7D" w:rsidTr="00A05B7D">
        <w:trPr>
          <w:trHeight w:val="239"/>
        </w:trPr>
        <w:tc>
          <w:tcPr>
            <w:tcW w:w="1642" w:type="dxa"/>
          </w:tcPr>
          <w:p w:rsidR="00A05B7D" w:rsidRDefault="00A05B7D" w:rsidP="00097387">
            <w:pPr>
              <w:pStyle w:val="TableParagraph"/>
              <w:spacing w:before="4" w:line="215" w:lineRule="exact"/>
              <w:ind w:left="110"/>
              <w:jc w:val="left"/>
              <w:rPr>
                <w:rFonts w:ascii="Arial"/>
                <w:b/>
                <w:sz w:val="20"/>
              </w:rPr>
            </w:pPr>
            <w:r>
              <w:rPr>
                <w:rFonts w:ascii="Arial"/>
                <w:b/>
                <w:color w:val="C00000"/>
                <w:spacing w:val="-2"/>
                <w:sz w:val="20"/>
              </w:rPr>
              <w:t>ON820188.2</w:t>
            </w:r>
          </w:p>
        </w:tc>
        <w:tc>
          <w:tcPr>
            <w:tcW w:w="715" w:type="dxa"/>
          </w:tcPr>
          <w:p w:rsidR="00A05B7D" w:rsidRDefault="00A05B7D" w:rsidP="00097387">
            <w:pPr>
              <w:pStyle w:val="TableParagraph"/>
              <w:ind w:left="10" w:right="3"/>
              <w:rPr>
                <w:rFonts w:ascii="Arial"/>
                <w:sz w:val="20"/>
              </w:rPr>
            </w:pPr>
            <w:r>
              <w:rPr>
                <w:rFonts w:ascii="Arial"/>
                <w:spacing w:val="-2"/>
                <w:sz w:val="20"/>
              </w:rPr>
              <w:t>0.006</w:t>
            </w:r>
          </w:p>
        </w:tc>
        <w:tc>
          <w:tcPr>
            <w:tcW w:w="719" w:type="dxa"/>
          </w:tcPr>
          <w:p w:rsidR="00A05B7D" w:rsidRDefault="00A05B7D" w:rsidP="00097387">
            <w:pPr>
              <w:pStyle w:val="TableParagraph"/>
              <w:spacing w:before="0" w:line="240" w:lineRule="auto"/>
              <w:jc w:val="left"/>
              <w:rPr>
                <w:rFonts w:ascii="Times New Roman"/>
                <w:sz w:val="16"/>
              </w:rPr>
            </w:pPr>
          </w:p>
        </w:tc>
        <w:tc>
          <w:tcPr>
            <w:tcW w:w="715" w:type="dxa"/>
          </w:tcPr>
          <w:p w:rsidR="00A05B7D" w:rsidRDefault="00A05B7D" w:rsidP="00097387">
            <w:pPr>
              <w:pStyle w:val="TableParagraph"/>
              <w:ind w:left="10"/>
              <w:rPr>
                <w:rFonts w:ascii="Arial"/>
                <w:sz w:val="20"/>
              </w:rPr>
            </w:pPr>
            <w:r>
              <w:rPr>
                <w:rFonts w:ascii="Arial"/>
                <w:color w:val="0000FF"/>
                <w:spacing w:val="-2"/>
                <w:sz w:val="20"/>
              </w:rPr>
              <w:t>0.003</w:t>
            </w:r>
          </w:p>
        </w:tc>
        <w:tc>
          <w:tcPr>
            <w:tcW w:w="714" w:type="dxa"/>
          </w:tcPr>
          <w:p w:rsidR="00A05B7D" w:rsidRDefault="00A05B7D" w:rsidP="00097387">
            <w:pPr>
              <w:pStyle w:val="TableParagraph"/>
              <w:ind w:left="18" w:right="6"/>
              <w:rPr>
                <w:rFonts w:ascii="Arial"/>
                <w:sz w:val="20"/>
              </w:rPr>
            </w:pPr>
            <w:r>
              <w:rPr>
                <w:rFonts w:ascii="Arial"/>
                <w:color w:val="0000FF"/>
                <w:spacing w:val="-2"/>
                <w:sz w:val="20"/>
              </w:rPr>
              <w:t>0.003</w:t>
            </w:r>
          </w:p>
        </w:tc>
        <w:tc>
          <w:tcPr>
            <w:tcW w:w="719" w:type="dxa"/>
          </w:tcPr>
          <w:p w:rsidR="00A05B7D" w:rsidRDefault="00A05B7D" w:rsidP="00097387">
            <w:pPr>
              <w:pStyle w:val="TableParagraph"/>
              <w:ind w:left="20"/>
              <w:rPr>
                <w:rFonts w:ascii="Arial"/>
                <w:sz w:val="20"/>
              </w:rPr>
            </w:pPr>
            <w:r>
              <w:rPr>
                <w:rFonts w:ascii="Arial"/>
                <w:color w:val="0000FF"/>
                <w:spacing w:val="-2"/>
                <w:sz w:val="20"/>
              </w:rPr>
              <w:t>0.003</w:t>
            </w:r>
          </w:p>
        </w:tc>
        <w:tc>
          <w:tcPr>
            <w:tcW w:w="714" w:type="dxa"/>
          </w:tcPr>
          <w:p w:rsidR="00A05B7D" w:rsidRDefault="00A05B7D" w:rsidP="00097387">
            <w:pPr>
              <w:pStyle w:val="TableParagraph"/>
              <w:ind w:left="18"/>
              <w:rPr>
                <w:rFonts w:ascii="Arial"/>
                <w:sz w:val="20"/>
              </w:rPr>
            </w:pPr>
            <w:r>
              <w:rPr>
                <w:rFonts w:ascii="Arial"/>
                <w:color w:val="0000FF"/>
                <w:spacing w:val="-2"/>
                <w:sz w:val="20"/>
              </w:rPr>
              <w:t>0.002</w:t>
            </w:r>
          </w:p>
        </w:tc>
        <w:tc>
          <w:tcPr>
            <w:tcW w:w="829" w:type="dxa"/>
          </w:tcPr>
          <w:p w:rsidR="00A05B7D" w:rsidRDefault="00A05B7D" w:rsidP="00097387">
            <w:pPr>
              <w:pStyle w:val="TableParagraph"/>
              <w:ind w:left="146"/>
              <w:rPr>
                <w:rFonts w:ascii="Arial"/>
                <w:sz w:val="20"/>
              </w:rPr>
            </w:pPr>
            <w:r>
              <w:rPr>
                <w:rFonts w:ascii="Arial"/>
                <w:color w:val="0000FF"/>
                <w:spacing w:val="-2"/>
                <w:sz w:val="20"/>
              </w:rPr>
              <w:t>0.002</w:t>
            </w:r>
          </w:p>
        </w:tc>
        <w:tc>
          <w:tcPr>
            <w:tcW w:w="825" w:type="dxa"/>
          </w:tcPr>
          <w:p w:rsidR="00A05B7D" w:rsidRDefault="00A05B7D" w:rsidP="00097387">
            <w:pPr>
              <w:pStyle w:val="TableParagraph"/>
              <w:ind w:left="147" w:right="4"/>
              <w:rPr>
                <w:rFonts w:ascii="Arial"/>
                <w:sz w:val="20"/>
              </w:rPr>
            </w:pPr>
            <w:r>
              <w:rPr>
                <w:rFonts w:ascii="Arial"/>
                <w:color w:val="0000FF"/>
                <w:spacing w:val="-2"/>
                <w:sz w:val="20"/>
              </w:rPr>
              <w:t>0.002</w:t>
            </w:r>
          </w:p>
        </w:tc>
        <w:tc>
          <w:tcPr>
            <w:tcW w:w="830" w:type="dxa"/>
          </w:tcPr>
          <w:p w:rsidR="00A05B7D" w:rsidRDefault="00A05B7D" w:rsidP="00097387">
            <w:pPr>
              <w:pStyle w:val="TableParagraph"/>
              <w:ind w:right="82"/>
              <w:jc w:val="right"/>
              <w:rPr>
                <w:rFonts w:ascii="Arial"/>
                <w:sz w:val="20"/>
              </w:rPr>
            </w:pPr>
            <w:r>
              <w:rPr>
                <w:rFonts w:ascii="Arial"/>
                <w:color w:val="0000FF"/>
                <w:spacing w:val="-2"/>
                <w:sz w:val="20"/>
              </w:rPr>
              <w:t>0.009</w:t>
            </w:r>
          </w:p>
        </w:tc>
        <w:tc>
          <w:tcPr>
            <w:tcW w:w="825" w:type="dxa"/>
          </w:tcPr>
          <w:p w:rsidR="00A05B7D" w:rsidRDefault="00A05B7D" w:rsidP="00097387">
            <w:pPr>
              <w:pStyle w:val="TableParagraph"/>
              <w:ind w:left="147"/>
              <w:rPr>
                <w:rFonts w:ascii="Arial"/>
                <w:sz w:val="20"/>
              </w:rPr>
            </w:pPr>
            <w:r>
              <w:rPr>
                <w:rFonts w:ascii="Arial"/>
                <w:color w:val="0000FF"/>
                <w:spacing w:val="-2"/>
                <w:sz w:val="20"/>
              </w:rPr>
              <w:t>0.009</w:t>
            </w:r>
          </w:p>
        </w:tc>
        <w:tc>
          <w:tcPr>
            <w:tcW w:w="830" w:type="dxa"/>
          </w:tcPr>
          <w:p w:rsidR="00A05B7D" w:rsidRDefault="00A05B7D" w:rsidP="00097387">
            <w:pPr>
              <w:pStyle w:val="TableParagraph"/>
              <w:ind w:right="80"/>
              <w:jc w:val="right"/>
              <w:rPr>
                <w:rFonts w:ascii="Arial"/>
                <w:sz w:val="20"/>
              </w:rPr>
            </w:pPr>
            <w:r>
              <w:rPr>
                <w:rFonts w:ascii="Arial"/>
                <w:color w:val="0000FF"/>
                <w:spacing w:val="-2"/>
                <w:sz w:val="20"/>
              </w:rPr>
              <w:t>0.004</w:t>
            </w:r>
          </w:p>
        </w:tc>
      </w:tr>
      <w:tr w:rsidR="00A05B7D" w:rsidTr="00A05B7D">
        <w:trPr>
          <w:trHeight w:val="244"/>
        </w:trPr>
        <w:tc>
          <w:tcPr>
            <w:tcW w:w="1642" w:type="dxa"/>
          </w:tcPr>
          <w:p w:rsidR="00A05B7D" w:rsidRDefault="00A05B7D" w:rsidP="00097387">
            <w:pPr>
              <w:pStyle w:val="TableParagraph"/>
              <w:spacing w:line="215" w:lineRule="exact"/>
              <w:ind w:left="110"/>
              <w:jc w:val="left"/>
              <w:rPr>
                <w:rFonts w:ascii="Arial"/>
                <w:b/>
                <w:sz w:val="20"/>
              </w:rPr>
            </w:pPr>
            <w:r>
              <w:rPr>
                <w:rFonts w:ascii="Arial"/>
                <w:b/>
                <w:color w:val="C00000"/>
                <w:spacing w:val="-2"/>
                <w:sz w:val="20"/>
              </w:rPr>
              <w:t>KT387307.1</w:t>
            </w:r>
          </w:p>
        </w:tc>
        <w:tc>
          <w:tcPr>
            <w:tcW w:w="715" w:type="dxa"/>
          </w:tcPr>
          <w:p w:rsidR="00A05B7D" w:rsidRDefault="00A05B7D" w:rsidP="00097387">
            <w:pPr>
              <w:pStyle w:val="TableParagraph"/>
              <w:spacing w:before="14"/>
              <w:ind w:left="10" w:right="3"/>
              <w:rPr>
                <w:rFonts w:ascii="Arial"/>
                <w:sz w:val="20"/>
              </w:rPr>
            </w:pPr>
            <w:r>
              <w:rPr>
                <w:rFonts w:ascii="Arial"/>
                <w:spacing w:val="-2"/>
                <w:sz w:val="20"/>
              </w:rPr>
              <w:t>0.009</w:t>
            </w:r>
          </w:p>
        </w:tc>
        <w:tc>
          <w:tcPr>
            <w:tcW w:w="719" w:type="dxa"/>
          </w:tcPr>
          <w:p w:rsidR="00A05B7D" w:rsidRDefault="00A05B7D" w:rsidP="00097387">
            <w:pPr>
              <w:pStyle w:val="TableParagraph"/>
              <w:spacing w:before="14"/>
              <w:ind w:left="20" w:right="7"/>
              <w:rPr>
                <w:rFonts w:ascii="Arial"/>
                <w:sz w:val="20"/>
              </w:rPr>
            </w:pPr>
            <w:r>
              <w:rPr>
                <w:rFonts w:ascii="Arial"/>
                <w:spacing w:val="-2"/>
                <w:sz w:val="20"/>
              </w:rPr>
              <w:t>0.007</w:t>
            </w:r>
          </w:p>
        </w:tc>
        <w:tc>
          <w:tcPr>
            <w:tcW w:w="715" w:type="dxa"/>
          </w:tcPr>
          <w:p w:rsidR="00A05B7D" w:rsidRDefault="00A05B7D" w:rsidP="00097387">
            <w:pPr>
              <w:pStyle w:val="TableParagraph"/>
              <w:spacing w:before="0" w:line="240" w:lineRule="auto"/>
              <w:jc w:val="left"/>
              <w:rPr>
                <w:rFonts w:ascii="Times New Roman"/>
                <w:sz w:val="16"/>
              </w:rPr>
            </w:pPr>
          </w:p>
        </w:tc>
        <w:tc>
          <w:tcPr>
            <w:tcW w:w="714" w:type="dxa"/>
          </w:tcPr>
          <w:p w:rsidR="00A05B7D" w:rsidRDefault="00A05B7D" w:rsidP="00097387">
            <w:pPr>
              <w:pStyle w:val="TableParagraph"/>
              <w:spacing w:before="14"/>
              <w:ind w:left="18" w:right="6"/>
              <w:rPr>
                <w:rFonts w:ascii="Arial"/>
                <w:sz w:val="20"/>
              </w:rPr>
            </w:pPr>
            <w:r>
              <w:rPr>
                <w:rFonts w:ascii="Arial"/>
                <w:color w:val="0000FF"/>
                <w:spacing w:val="-2"/>
                <w:sz w:val="20"/>
              </w:rPr>
              <w:t>0.000</w:t>
            </w:r>
          </w:p>
        </w:tc>
        <w:tc>
          <w:tcPr>
            <w:tcW w:w="719" w:type="dxa"/>
          </w:tcPr>
          <w:p w:rsidR="00A05B7D" w:rsidRDefault="00A05B7D" w:rsidP="00097387">
            <w:pPr>
              <w:pStyle w:val="TableParagraph"/>
              <w:spacing w:before="14"/>
              <w:ind w:left="20"/>
              <w:rPr>
                <w:rFonts w:ascii="Arial"/>
                <w:sz w:val="20"/>
              </w:rPr>
            </w:pPr>
            <w:r>
              <w:rPr>
                <w:rFonts w:ascii="Arial"/>
                <w:color w:val="0000FF"/>
                <w:spacing w:val="-2"/>
                <w:sz w:val="20"/>
              </w:rPr>
              <w:t>0.005</w:t>
            </w:r>
          </w:p>
        </w:tc>
        <w:tc>
          <w:tcPr>
            <w:tcW w:w="714" w:type="dxa"/>
          </w:tcPr>
          <w:p w:rsidR="00A05B7D" w:rsidRDefault="00A05B7D" w:rsidP="00097387">
            <w:pPr>
              <w:pStyle w:val="TableParagraph"/>
              <w:spacing w:before="14"/>
              <w:ind w:left="18"/>
              <w:rPr>
                <w:rFonts w:ascii="Arial"/>
                <w:sz w:val="20"/>
              </w:rPr>
            </w:pPr>
            <w:r>
              <w:rPr>
                <w:rFonts w:ascii="Arial"/>
                <w:color w:val="0000FF"/>
                <w:spacing w:val="-2"/>
                <w:sz w:val="20"/>
              </w:rPr>
              <w:t>0.004</w:t>
            </w:r>
          </w:p>
        </w:tc>
        <w:tc>
          <w:tcPr>
            <w:tcW w:w="829" w:type="dxa"/>
          </w:tcPr>
          <w:p w:rsidR="00A05B7D" w:rsidRDefault="00A05B7D" w:rsidP="00097387">
            <w:pPr>
              <w:pStyle w:val="TableParagraph"/>
              <w:spacing w:before="14"/>
              <w:ind w:left="146"/>
              <w:rPr>
                <w:rFonts w:ascii="Arial"/>
                <w:sz w:val="20"/>
              </w:rPr>
            </w:pPr>
            <w:r>
              <w:rPr>
                <w:rFonts w:ascii="Arial"/>
                <w:color w:val="0000FF"/>
                <w:spacing w:val="-2"/>
                <w:sz w:val="20"/>
              </w:rPr>
              <w:t>0.004</w:t>
            </w:r>
          </w:p>
        </w:tc>
        <w:tc>
          <w:tcPr>
            <w:tcW w:w="825" w:type="dxa"/>
          </w:tcPr>
          <w:p w:rsidR="00A05B7D" w:rsidRDefault="00A05B7D" w:rsidP="00097387">
            <w:pPr>
              <w:pStyle w:val="TableParagraph"/>
              <w:spacing w:before="14"/>
              <w:ind w:left="147" w:right="4"/>
              <w:rPr>
                <w:rFonts w:ascii="Arial"/>
                <w:sz w:val="20"/>
              </w:rPr>
            </w:pPr>
            <w:r>
              <w:rPr>
                <w:rFonts w:ascii="Arial"/>
                <w:color w:val="0000FF"/>
                <w:spacing w:val="-2"/>
                <w:sz w:val="20"/>
              </w:rPr>
              <w:t>0.003</w:t>
            </w:r>
          </w:p>
        </w:tc>
        <w:tc>
          <w:tcPr>
            <w:tcW w:w="830" w:type="dxa"/>
          </w:tcPr>
          <w:p w:rsidR="00A05B7D" w:rsidRDefault="00A05B7D" w:rsidP="00097387">
            <w:pPr>
              <w:pStyle w:val="TableParagraph"/>
              <w:spacing w:before="14"/>
              <w:ind w:right="82"/>
              <w:jc w:val="right"/>
              <w:rPr>
                <w:rFonts w:ascii="Arial"/>
                <w:sz w:val="20"/>
              </w:rPr>
            </w:pPr>
            <w:r>
              <w:rPr>
                <w:rFonts w:ascii="Arial"/>
                <w:color w:val="0000FF"/>
                <w:spacing w:val="-2"/>
                <w:sz w:val="20"/>
              </w:rPr>
              <w:t>0.010</w:t>
            </w:r>
          </w:p>
        </w:tc>
        <w:tc>
          <w:tcPr>
            <w:tcW w:w="825" w:type="dxa"/>
          </w:tcPr>
          <w:p w:rsidR="00A05B7D" w:rsidRDefault="00A05B7D" w:rsidP="00097387">
            <w:pPr>
              <w:pStyle w:val="TableParagraph"/>
              <w:spacing w:before="14"/>
              <w:ind w:left="147"/>
              <w:rPr>
                <w:rFonts w:ascii="Arial"/>
                <w:sz w:val="20"/>
              </w:rPr>
            </w:pPr>
            <w:r>
              <w:rPr>
                <w:rFonts w:ascii="Arial"/>
                <w:color w:val="0000FF"/>
                <w:spacing w:val="-2"/>
                <w:sz w:val="20"/>
              </w:rPr>
              <w:t>0.010</w:t>
            </w:r>
          </w:p>
        </w:tc>
        <w:tc>
          <w:tcPr>
            <w:tcW w:w="830" w:type="dxa"/>
          </w:tcPr>
          <w:p w:rsidR="00A05B7D" w:rsidRDefault="00A05B7D" w:rsidP="00097387">
            <w:pPr>
              <w:pStyle w:val="TableParagraph"/>
              <w:spacing w:before="14"/>
              <w:ind w:right="80"/>
              <w:jc w:val="right"/>
              <w:rPr>
                <w:rFonts w:ascii="Arial"/>
                <w:sz w:val="20"/>
              </w:rPr>
            </w:pPr>
            <w:r>
              <w:rPr>
                <w:rFonts w:ascii="Arial"/>
                <w:color w:val="0000FF"/>
                <w:spacing w:val="-2"/>
                <w:sz w:val="20"/>
              </w:rPr>
              <w:t>0.006</w:t>
            </w:r>
          </w:p>
        </w:tc>
      </w:tr>
      <w:tr w:rsidR="00A05B7D" w:rsidTr="00A05B7D">
        <w:trPr>
          <w:trHeight w:val="239"/>
        </w:trPr>
        <w:tc>
          <w:tcPr>
            <w:tcW w:w="1642" w:type="dxa"/>
          </w:tcPr>
          <w:p w:rsidR="00A05B7D" w:rsidRDefault="00A05B7D" w:rsidP="00097387">
            <w:pPr>
              <w:pStyle w:val="TableParagraph"/>
              <w:spacing w:before="4" w:line="215" w:lineRule="exact"/>
              <w:ind w:left="110"/>
              <w:jc w:val="left"/>
              <w:rPr>
                <w:rFonts w:ascii="Arial"/>
                <w:b/>
                <w:sz w:val="20"/>
              </w:rPr>
            </w:pPr>
            <w:r>
              <w:rPr>
                <w:rFonts w:ascii="Arial"/>
                <w:b/>
                <w:color w:val="C00000"/>
                <w:spacing w:val="-2"/>
                <w:sz w:val="20"/>
              </w:rPr>
              <w:t>KR340464.1</w:t>
            </w:r>
          </w:p>
        </w:tc>
        <w:tc>
          <w:tcPr>
            <w:tcW w:w="715" w:type="dxa"/>
          </w:tcPr>
          <w:p w:rsidR="00A05B7D" w:rsidRDefault="00A05B7D" w:rsidP="00097387">
            <w:pPr>
              <w:pStyle w:val="TableParagraph"/>
              <w:ind w:left="10" w:right="3"/>
              <w:rPr>
                <w:rFonts w:ascii="Arial"/>
                <w:sz w:val="20"/>
              </w:rPr>
            </w:pPr>
            <w:r>
              <w:rPr>
                <w:rFonts w:ascii="Arial"/>
                <w:spacing w:val="-2"/>
                <w:sz w:val="20"/>
              </w:rPr>
              <w:t>0.009</w:t>
            </w:r>
          </w:p>
        </w:tc>
        <w:tc>
          <w:tcPr>
            <w:tcW w:w="719" w:type="dxa"/>
          </w:tcPr>
          <w:p w:rsidR="00A05B7D" w:rsidRDefault="00A05B7D" w:rsidP="00097387">
            <w:pPr>
              <w:pStyle w:val="TableParagraph"/>
              <w:ind w:left="20" w:right="7"/>
              <w:rPr>
                <w:rFonts w:ascii="Arial"/>
                <w:sz w:val="20"/>
              </w:rPr>
            </w:pPr>
            <w:r>
              <w:rPr>
                <w:rFonts w:ascii="Arial"/>
                <w:spacing w:val="-2"/>
                <w:sz w:val="20"/>
              </w:rPr>
              <w:t>0.007</w:t>
            </w:r>
          </w:p>
        </w:tc>
        <w:tc>
          <w:tcPr>
            <w:tcW w:w="715" w:type="dxa"/>
          </w:tcPr>
          <w:p w:rsidR="00A05B7D" w:rsidRDefault="00A05B7D" w:rsidP="00097387">
            <w:pPr>
              <w:pStyle w:val="TableParagraph"/>
              <w:ind w:left="10"/>
              <w:rPr>
                <w:rFonts w:ascii="Arial"/>
                <w:sz w:val="20"/>
              </w:rPr>
            </w:pPr>
            <w:r>
              <w:rPr>
                <w:rFonts w:ascii="Arial"/>
                <w:spacing w:val="-2"/>
                <w:sz w:val="20"/>
              </w:rPr>
              <w:t>0.000</w:t>
            </w:r>
          </w:p>
        </w:tc>
        <w:tc>
          <w:tcPr>
            <w:tcW w:w="714" w:type="dxa"/>
          </w:tcPr>
          <w:p w:rsidR="00A05B7D" w:rsidRDefault="00A05B7D" w:rsidP="00097387">
            <w:pPr>
              <w:pStyle w:val="TableParagraph"/>
              <w:spacing w:before="0" w:line="240" w:lineRule="auto"/>
              <w:jc w:val="left"/>
              <w:rPr>
                <w:rFonts w:ascii="Times New Roman"/>
                <w:sz w:val="16"/>
              </w:rPr>
            </w:pPr>
          </w:p>
        </w:tc>
        <w:tc>
          <w:tcPr>
            <w:tcW w:w="719" w:type="dxa"/>
          </w:tcPr>
          <w:p w:rsidR="00A05B7D" w:rsidRDefault="00A05B7D" w:rsidP="00097387">
            <w:pPr>
              <w:pStyle w:val="TableParagraph"/>
              <w:ind w:left="20"/>
              <w:rPr>
                <w:rFonts w:ascii="Arial"/>
                <w:sz w:val="20"/>
              </w:rPr>
            </w:pPr>
            <w:r>
              <w:rPr>
                <w:rFonts w:ascii="Arial"/>
                <w:color w:val="0000FF"/>
                <w:spacing w:val="-2"/>
                <w:sz w:val="20"/>
              </w:rPr>
              <w:t>0.005</w:t>
            </w:r>
          </w:p>
        </w:tc>
        <w:tc>
          <w:tcPr>
            <w:tcW w:w="714" w:type="dxa"/>
          </w:tcPr>
          <w:p w:rsidR="00A05B7D" w:rsidRDefault="00A05B7D" w:rsidP="00097387">
            <w:pPr>
              <w:pStyle w:val="TableParagraph"/>
              <w:ind w:left="18"/>
              <w:rPr>
                <w:rFonts w:ascii="Arial"/>
                <w:sz w:val="20"/>
              </w:rPr>
            </w:pPr>
            <w:r>
              <w:rPr>
                <w:rFonts w:ascii="Arial"/>
                <w:color w:val="0000FF"/>
                <w:spacing w:val="-2"/>
                <w:sz w:val="20"/>
              </w:rPr>
              <w:t>0.004</w:t>
            </w:r>
          </w:p>
        </w:tc>
        <w:tc>
          <w:tcPr>
            <w:tcW w:w="829" w:type="dxa"/>
          </w:tcPr>
          <w:p w:rsidR="00A05B7D" w:rsidRDefault="00A05B7D" w:rsidP="00097387">
            <w:pPr>
              <w:pStyle w:val="TableParagraph"/>
              <w:ind w:left="146"/>
              <w:rPr>
                <w:rFonts w:ascii="Arial"/>
                <w:sz w:val="20"/>
              </w:rPr>
            </w:pPr>
            <w:r>
              <w:rPr>
                <w:rFonts w:ascii="Arial"/>
                <w:color w:val="0000FF"/>
                <w:spacing w:val="-2"/>
                <w:sz w:val="20"/>
              </w:rPr>
              <w:t>0.004</w:t>
            </w:r>
          </w:p>
        </w:tc>
        <w:tc>
          <w:tcPr>
            <w:tcW w:w="825" w:type="dxa"/>
          </w:tcPr>
          <w:p w:rsidR="00A05B7D" w:rsidRDefault="00A05B7D" w:rsidP="00097387">
            <w:pPr>
              <w:pStyle w:val="TableParagraph"/>
              <w:ind w:left="147" w:right="4"/>
              <w:rPr>
                <w:rFonts w:ascii="Arial"/>
                <w:sz w:val="20"/>
              </w:rPr>
            </w:pPr>
            <w:r>
              <w:rPr>
                <w:rFonts w:ascii="Arial"/>
                <w:color w:val="0000FF"/>
                <w:spacing w:val="-2"/>
                <w:sz w:val="20"/>
              </w:rPr>
              <w:t>0.003</w:t>
            </w:r>
          </w:p>
        </w:tc>
        <w:tc>
          <w:tcPr>
            <w:tcW w:w="830" w:type="dxa"/>
          </w:tcPr>
          <w:p w:rsidR="00A05B7D" w:rsidRDefault="00A05B7D" w:rsidP="00097387">
            <w:pPr>
              <w:pStyle w:val="TableParagraph"/>
              <w:ind w:right="82"/>
              <w:jc w:val="right"/>
              <w:rPr>
                <w:rFonts w:ascii="Arial"/>
                <w:sz w:val="20"/>
              </w:rPr>
            </w:pPr>
            <w:r>
              <w:rPr>
                <w:rFonts w:ascii="Arial"/>
                <w:color w:val="0000FF"/>
                <w:spacing w:val="-2"/>
                <w:sz w:val="20"/>
              </w:rPr>
              <w:t>0.010</w:t>
            </w:r>
          </w:p>
        </w:tc>
        <w:tc>
          <w:tcPr>
            <w:tcW w:w="825" w:type="dxa"/>
          </w:tcPr>
          <w:p w:rsidR="00A05B7D" w:rsidRDefault="00A05B7D" w:rsidP="00097387">
            <w:pPr>
              <w:pStyle w:val="TableParagraph"/>
              <w:ind w:left="147"/>
              <w:rPr>
                <w:rFonts w:ascii="Arial"/>
                <w:sz w:val="20"/>
              </w:rPr>
            </w:pPr>
            <w:r>
              <w:rPr>
                <w:rFonts w:ascii="Arial"/>
                <w:color w:val="0000FF"/>
                <w:spacing w:val="-2"/>
                <w:sz w:val="20"/>
              </w:rPr>
              <w:t>0.010</w:t>
            </w:r>
          </w:p>
        </w:tc>
        <w:tc>
          <w:tcPr>
            <w:tcW w:w="830" w:type="dxa"/>
          </w:tcPr>
          <w:p w:rsidR="00A05B7D" w:rsidRDefault="00A05B7D" w:rsidP="00097387">
            <w:pPr>
              <w:pStyle w:val="TableParagraph"/>
              <w:ind w:right="80"/>
              <w:jc w:val="right"/>
              <w:rPr>
                <w:rFonts w:ascii="Arial"/>
                <w:sz w:val="20"/>
              </w:rPr>
            </w:pPr>
            <w:r>
              <w:rPr>
                <w:rFonts w:ascii="Arial"/>
                <w:color w:val="0000FF"/>
                <w:spacing w:val="-2"/>
                <w:sz w:val="20"/>
              </w:rPr>
              <w:t>0.006</w:t>
            </w:r>
          </w:p>
        </w:tc>
      </w:tr>
      <w:tr w:rsidR="00A05B7D" w:rsidTr="00A05B7D">
        <w:trPr>
          <w:trHeight w:val="239"/>
        </w:trPr>
        <w:tc>
          <w:tcPr>
            <w:tcW w:w="1642" w:type="dxa"/>
          </w:tcPr>
          <w:p w:rsidR="00A05B7D" w:rsidRDefault="00A05B7D" w:rsidP="00097387">
            <w:pPr>
              <w:pStyle w:val="TableParagraph"/>
              <w:spacing w:before="4" w:line="215" w:lineRule="exact"/>
              <w:ind w:left="110"/>
              <w:jc w:val="left"/>
              <w:rPr>
                <w:rFonts w:ascii="Arial"/>
                <w:b/>
                <w:sz w:val="20"/>
              </w:rPr>
            </w:pPr>
            <w:r>
              <w:rPr>
                <w:rFonts w:ascii="Arial"/>
                <w:b/>
                <w:color w:val="C00000"/>
                <w:spacing w:val="-2"/>
                <w:sz w:val="20"/>
              </w:rPr>
              <w:t>PP854599.1</w:t>
            </w:r>
          </w:p>
        </w:tc>
        <w:tc>
          <w:tcPr>
            <w:tcW w:w="715" w:type="dxa"/>
          </w:tcPr>
          <w:p w:rsidR="00A05B7D" w:rsidRDefault="00A05B7D" w:rsidP="00097387">
            <w:pPr>
              <w:pStyle w:val="TableParagraph"/>
              <w:ind w:left="10" w:right="3"/>
              <w:rPr>
                <w:rFonts w:ascii="Arial"/>
                <w:sz w:val="20"/>
              </w:rPr>
            </w:pPr>
            <w:r>
              <w:rPr>
                <w:rFonts w:ascii="Arial"/>
                <w:spacing w:val="-2"/>
                <w:sz w:val="20"/>
              </w:rPr>
              <w:t>0.011</w:t>
            </w:r>
          </w:p>
        </w:tc>
        <w:tc>
          <w:tcPr>
            <w:tcW w:w="719" w:type="dxa"/>
          </w:tcPr>
          <w:p w:rsidR="00A05B7D" w:rsidRDefault="00A05B7D" w:rsidP="00097387">
            <w:pPr>
              <w:pStyle w:val="TableParagraph"/>
              <w:ind w:left="20" w:right="7"/>
              <w:rPr>
                <w:rFonts w:ascii="Arial"/>
                <w:sz w:val="20"/>
              </w:rPr>
            </w:pPr>
            <w:r>
              <w:rPr>
                <w:rFonts w:ascii="Arial"/>
                <w:spacing w:val="-2"/>
                <w:sz w:val="20"/>
              </w:rPr>
              <w:t>0.005</w:t>
            </w:r>
          </w:p>
        </w:tc>
        <w:tc>
          <w:tcPr>
            <w:tcW w:w="715" w:type="dxa"/>
          </w:tcPr>
          <w:p w:rsidR="00A05B7D" w:rsidRDefault="00A05B7D" w:rsidP="00097387">
            <w:pPr>
              <w:pStyle w:val="TableParagraph"/>
              <w:ind w:left="10"/>
              <w:rPr>
                <w:rFonts w:ascii="Arial"/>
                <w:sz w:val="20"/>
              </w:rPr>
            </w:pPr>
            <w:r>
              <w:rPr>
                <w:rFonts w:ascii="Arial"/>
                <w:spacing w:val="-2"/>
                <w:sz w:val="20"/>
              </w:rPr>
              <w:t>0.012</w:t>
            </w:r>
          </w:p>
        </w:tc>
        <w:tc>
          <w:tcPr>
            <w:tcW w:w="714" w:type="dxa"/>
          </w:tcPr>
          <w:p w:rsidR="00A05B7D" w:rsidRDefault="00A05B7D" w:rsidP="00097387">
            <w:pPr>
              <w:pStyle w:val="TableParagraph"/>
              <w:ind w:left="18" w:right="6"/>
              <w:rPr>
                <w:rFonts w:ascii="Arial"/>
                <w:sz w:val="20"/>
              </w:rPr>
            </w:pPr>
            <w:r>
              <w:rPr>
                <w:rFonts w:ascii="Arial"/>
                <w:spacing w:val="-2"/>
                <w:sz w:val="20"/>
              </w:rPr>
              <w:t>0.012</w:t>
            </w:r>
          </w:p>
        </w:tc>
        <w:tc>
          <w:tcPr>
            <w:tcW w:w="719" w:type="dxa"/>
          </w:tcPr>
          <w:p w:rsidR="00A05B7D" w:rsidRDefault="00A05B7D" w:rsidP="00097387">
            <w:pPr>
              <w:pStyle w:val="TableParagraph"/>
              <w:spacing w:before="0" w:line="240" w:lineRule="auto"/>
              <w:jc w:val="left"/>
              <w:rPr>
                <w:rFonts w:ascii="Times New Roman"/>
                <w:sz w:val="16"/>
              </w:rPr>
            </w:pPr>
          </w:p>
        </w:tc>
        <w:tc>
          <w:tcPr>
            <w:tcW w:w="714" w:type="dxa"/>
          </w:tcPr>
          <w:p w:rsidR="00A05B7D" w:rsidRDefault="00A05B7D" w:rsidP="00097387">
            <w:pPr>
              <w:pStyle w:val="TableParagraph"/>
              <w:ind w:left="18"/>
              <w:rPr>
                <w:rFonts w:ascii="Arial"/>
                <w:sz w:val="20"/>
              </w:rPr>
            </w:pPr>
            <w:r>
              <w:rPr>
                <w:rFonts w:ascii="Arial"/>
                <w:color w:val="0000FF"/>
                <w:spacing w:val="-2"/>
                <w:sz w:val="20"/>
              </w:rPr>
              <w:t>0.004</w:t>
            </w:r>
          </w:p>
        </w:tc>
        <w:tc>
          <w:tcPr>
            <w:tcW w:w="829" w:type="dxa"/>
          </w:tcPr>
          <w:p w:rsidR="00A05B7D" w:rsidRDefault="00A05B7D" w:rsidP="00097387">
            <w:pPr>
              <w:pStyle w:val="TableParagraph"/>
              <w:ind w:left="146"/>
              <w:rPr>
                <w:rFonts w:ascii="Arial"/>
                <w:sz w:val="20"/>
              </w:rPr>
            </w:pPr>
            <w:r>
              <w:rPr>
                <w:rFonts w:ascii="Arial"/>
                <w:color w:val="0000FF"/>
                <w:spacing w:val="-2"/>
                <w:sz w:val="20"/>
              </w:rPr>
              <w:t>0.004</w:t>
            </w:r>
          </w:p>
        </w:tc>
        <w:tc>
          <w:tcPr>
            <w:tcW w:w="825" w:type="dxa"/>
          </w:tcPr>
          <w:p w:rsidR="00A05B7D" w:rsidRDefault="00A05B7D" w:rsidP="00097387">
            <w:pPr>
              <w:pStyle w:val="TableParagraph"/>
              <w:ind w:left="147" w:right="4"/>
              <w:rPr>
                <w:rFonts w:ascii="Arial"/>
                <w:sz w:val="20"/>
              </w:rPr>
            </w:pPr>
            <w:r>
              <w:rPr>
                <w:rFonts w:ascii="Arial"/>
                <w:color w:val="0000FF"/>
                <w:spacing w:val="-2"/>
                <w:sz w:val="20"/>
              </w:rPr>
              <w:t>0.003</w:t>
            </w:r>
          </w:p>
        </w:tc>
        <w:tc>
          <w:tcPr>
            <w:tcW w:w="830" w:type="dxa"/>
          </w:tcPr>
          <w:p w:rsidR="00A05B7D" w:rsidRDefault="00A05B7D" w:rsidP="00097387">
            <w:pPr>
              <w:pStyle w:val="TableParagraph"/>
              <w:ind w:right="82"/>
              <w:jc w:val="right"/>
              <w:rPr>
                <w:rFonts w:ascii="Arial"/>
                <w:sz w:val="20"/>
              </w:rPr>
            </w:pPr>
            <w:r>
              <w:rPr>
                <w:rFonts w:ascii="Arial"/>
                <w:color w:val="0000FF"/>
                <w:spacing w:val="-2"/>
                <w:sz w:val="20"/>
              </w:rPr>
              <w:t>0.009</w:t>
            </w:r>
          </w:p>
        </w:tc>
        <w:tc>
          <w:tcPr>
            <w:tcW w:w="825" w:type="dxa"/>
          </w:tcPr>
          <w:p w:rsidR="00A05B7D" w:rsidRDefault="00A05B7D" w:rsidP="00097387">
            <w:pPr>
              <w:pStyle w:val="TableParagraph"/>
              <w:ind w:left="147"/>
              <w:rPr>
                <w:rFonts w:ascii="Arial"/>
                <w:sz w:val="20"/>
              </w:rPr>
            </w:pPr>
            <w:r>
              <w:rPr>
                <w:rFonts w:ascii="Arial"/>
                <w:color w:val="0000FF"/>
                <w:spacing w:val="-2"/>
                <w:sz w:val="20"/>
              </w:rPr>
              <w:t>0.009</w:t>
            </w:r>
          </w:p>
        </w:tc>
        <w:tc>
          <w:tcPr>
            <w:tcW w:w="830" w:type="dxa"/>
          </w:tcPr>
          <w:p w:rsidR="00A05B7D" w:rsidRDefault="00A05B7D" w:rsidP="00097387">
            <w:pPr>
              <w:pStyle w:val="TableParagraph"/>
              <w:ind w:right="80"/>
              <w:jc w:val="right"/>
              <w:rPr>
                <w:rFonts w:ascii="Arial"/>
                <w:sz w:val="20"/>
              </w:rPr>
            </w:pPr>
            <w:r>
              <w:rPr>
                <w:rFonts w:ascii="Arial"/>
                <w:color w:val="0000FF"/>
                <w:spacing w:val="-2"/>
                <w:sz w:val="20"/>
              </w:rPr>
              <w:t>0.005</w:t>
            </w:r>
          </w:p>
        </w:tc>
      </w:tr>
      <w:tr w:rsidR="00A05B7D" w:rsidTr="00A05B7D">
        <w:trPr>
          <w:trHeight w:val="239"/>
        </w:trPr>
        <w:tc>
          <w:tcPr>
            <w:tcW w:w="1642" w:type="dxa"/>
          </w:tcPr>
          <w:p w:rsidR="00A05B7D" w:rsidRDefault="00A05B7D" w:rsidP="00097387">
            <w:pPr>
              <w:pStyle w:val="TableParagraph"/>
              <w:spacing w:before="4" w:line="215" w:lineRule="exact"/>
              <w:ind w:left="110"/>
              <w:jc w:val="left"/>
              <w:rPr>
                <w:rFonts w:ascii="Arial"/>
                <w:b/>
                <w:sz w:val="20"/>
              </w:rPr>
            </w:pPr>
            <w:r>
              <w:rPr>
                <w:rFonts w:ascii="Arial"/>
                <w:b/>
                <w:color w:val="C00000"/>
                <w:spacing w:val="-2"/>
                <w:sz w:val="20"/>
              </w:rPr>
              <w:t>KJ476886.1</w:t>
            </w:r>
          </w:p>
        </w:tc>
        <w:tc>
          <w:tcPr>
            <w:tcW w:w="715" w:type="dxa"/>
          </w:tcPr>
          <w:p w:rsidR="00A05B7D" w:rsidRDefault="00A05B7D" w:rsidP="00097387">
            <w:pPr>
              <w:pStyle w:val="TableParagraph"/>
              <w:ind w:left="10" w:right="3"/>
              <w:rPr>
                <w:rFonts w:ascii="Arial"/>
                <w:sz w:val="20"/>
              </w:rPr>
            </w:pPr>
            <w:r>
              <w:rPr>
                <w:rFonts w:ascii="Arial"/>
                <w:spacing w:val="-2"/>
                <w:sz w:val="20"/>
              </w:rPr>
              <w:t>0.007</w:t>
            </w:r>
          </w:p>
        </w:tc>
        <w:tc>
          <w:tcPr>
            <w:tcW w:w="719" w:type="dxa"/>
          </w:tcPr>
          <w:p w:rsidR="00A05B7D" w:rsidRDefault="00A05B7D" w:rsidP="00097387">
            <w:pPr>
              <w:pStyle w:val="TableParagraph"/>
              <w:ind w:left="20" w:right="7"/>
              <w:rPr>
                <w:rFonts w:ascii="Arial"/>
                <w:sz w:val="20"/>
              </w:rPr>
            </w:pPr>
            <w:r>
              <w:rPr>
                <w:rFonts w:ascii="Arial"/>
                <w:spacing w:val="-2"/>
                <w:sz w:val="20"/>
              </w:rPr>
              <w:t>0.003</w:t>
            </w:r>
          </w:p>
        </w:tc>
        <w:tc>
          <w:tcPr>
            <w:tcW w:w="715" w:type="dxa"/>
          </w:tcPr>
          <w:p w:rsidR="00A05B7D" w:rsidRDefault="00A05B7D" w:rsidP="00097387">
            <w:pPr>
              <w:pStyle w:val="TableParagraph"/>
              <w:ind w:left="10"/>
              <w:rPr>
                <w:rFonts w:ascii="Arial"/>
                <w:sz w:val="20"/>
              </w:rPr>
            </w:pPr>
            <w:r>
              <w:rPr>
                <w:rFonts w:ascii="Arial"/>
                <w:spacing w:val="-2"/>
                <w:sz w:val="20"/>
              </w:rPr>
              <w:t>0.008</w:t>
            </w:r>
          </w:p>
        </w:tc>
        <w:tc>
          <w:tcPr>
            <w:tcW w:w="714" w:type="dxa"/>
          </w:tcPr>
          <w:p w:rsidR="00A05B7D" w:rsidRDefault="00A05B7D" w:rsidP="00097387">
            <w:pPr>
              <w:pStyle w:val="TableParagraph"/>
              <w:ind w:left="18" w:right="6"/>
              <w:rPr>
                <w:rFonts w:ascii="Arial"/>
                <w:sz w:val="20"/>
              </w:rPr>
            </w:pPr>
            <w:r>
              <w:rPr>
                <w:rFonts w:ascii="Arial"/>
                <w:spacing w:val="-2"/>
                <w:sz w:val="20"/>
              </w:rPr>
              <w:t>0.008</w:t>
            </w:r>
          </w:p>
        </w:tc>
        <w:tc>
          <w:tcPr>
            <w:tcW w:w="719" w:type="dxa"/>
          </w:tcPr>
          <w:p w:rsidR="00A05B7D" w:rsidRDefault="00A05B7D" w:rsidP="00097387">
            <w:pPr>
              <w:pStyle w:val="TableParagraph"/>
              <w:ind w:left="20"/>
              <w:rPr>
                <w:rFonts w:ascii="Arial"/>
                <w:sz w:val="20"/>
              </w:rPr>
            </w:pPr>
            <w:r>
              <w:rPr>
                <w:rFonts w:ascii="Arial"/>
                <w:spacing w:val="-2"/>
                <w:sz w:val="20"/>
              </w:rPr>
              <w:t>0.008</w:t>
            </w:r>
          </w:p>
        </w:tc>
        <w:tc>
          <w:tcPr>
            <w:tcW w:w="714" w:type="dxa"/>
          </w:tcPr>
          <w:p w:rsidR="00A05B7D" w:rsidRDefault="00A05B7D" w:rsidP="00097387">
            <w:pPr>
              <w:pStyle w:val="TableParagraph"/>
              <w:spacing w:before="0" w:line="240" w:lineRule="auto"/>
              <w:jc w:val="left"/>
              <w:rPr>
                <w:rFonts w:ascii="Times New Roman"/>
                <w:sz w:val="16"/>
              </w:rPr>
            </w:pPr>
          </w:p>
        </w:tc>
        <w:tc>
          <w:tcPr>
            <w:tcW w:w="829" w:type="dxa"/>
          </w:tcPr>
          <w:p w:rsidR="00A05B7D" w:rsidRDefault="00A05B7D" w:rsidP="00097387">
            <w:pPr>
              <w:pStyle w:val="TableParagraph"/>
              <w:ind w:left="146"/>
              <w:rPr>
                <w:rFonts w:ascii="Arial"/>
                <w:sz w:val="20"/>
              </w:rPr>
            </w:pPr>
            <w:r>
              <w:rPr>
                <w:rFonts w:ascii="Arial"/>
                <w:color w:val="0000FF"/>
                <w:spacing w:val="-2"/>
                <w:sz w:val="20"/>
              </w:rPr>
              <w:t>0.003</w:t>
            </w:r>
          </w:p>
        </w:tc>
        <w:tc>
          <w:tcPr>
            <w:tcW w:w="825" w:type="dxa"/>
          </w:tcPr>
          <w:p w:rsidR="00A05B7D" w:rsidRDefault="00A05B7D" w:rsidP="00097387">
            <w:pPr>
              <w:pStyle w:val="TableParagraph"/>
              <w:ind w:left="147" w:right="4"/>
              <w:rPr>
                <w:rFonts w:ascii="Arial"/>
                <w:sz w:val="20"/>
              </w:rPr>
            </w:pPr>
            <w:r>
              <w:rPr>
                <w:rFonts w:ascii="Arial"/>
                <w:color w:val="0000FF"/>
                <w:spacing w:val="-2"/>
                <w:sz w:val="20"/>
              </w:rPr>
              <w:t>0.002</w:t>
            </w:r>
          </w:p>
        </w:tc>
        <w:tc>
          <w:tcPr>
            <w:tcW w:w="830" w:type="dxa"/>
          </w:tcPr>
          <w:p w:rsidR="00A05B7D" w:rsidRDefault="00A05B7D" w:rsidP="00097387">
            <w:pPr>
              <w:pStyle w:val="TableParagraph"/>
              <w:ind w:right="82"/>
              <w:jc w:val="right"/>
              <w:rPr>
                <w:rFonts w:ascii="Arial"/>
                <w:sz w:val="20"/>
              </w:rPr>
            </w:pPr>
            <w:r>
              <w:rPr>
                <w:rFonts w:ascii="Arial"/>
                <w:color w:val="0000FF"/>
                <w:spacing w:val="-2"/>
                <w:sz w:val="20"/>
              </w:rPr>
              <w:t>0.009</w:t>
            </w:r>
          </w:p>
        </w:tc>
        <w:tc>
          <w:tcPr>
            <w:tcW w:w="825" w:type="dxa"/>
          </w:tcPr>
          <w:p w:rsidR="00A05B7D" w:rsidRDefault="00A05B7D" w:rsidP="00097387">
            <w:pPr>
              <w:pStyle w:val="TableParagraph"/>
              <w:ind w:left="147"/>
              <w:rPr>
                <w:rFonts w:ascii="Arial"/>
                <w:sz w:val="20"/>
              </w:rPr>
            </w:pPr>
            <w:r>
              <w:rPr>
                <w:rFonts w:ascii="Arial"/>
                <w:color w:val="0000FF"/>
                <w:spacing w:val="-2"/>
                <w:sz w:val="20"/>
              </w:rPr>
              <w:t>0.009</w:t>
            </w:r>
          </w:p>
        </w:tc>
        <w:tc>
          <w:tcPr>
            <w:tcW w:w="830" w:type="dxa"/>
          </w:tcPr>
          <w:p w:rsidR="00A05B7D" w:rsidRDefault="00A05B7D" w:rsidP="00097387">
            <w:pPr>
              <w:pStyle w:val="TableParagraph"/>
              <w:ind w:right="80"/>
              <w:jc w:val="right"/>
              <w:rPr>
                <w:rFonts w:ascii="Arial"/>
                <w:sz w:val="20"/>
              </w:rPr>
            </w:pPr>
            <w:r>
              <w:rPr>
                <w:rFonts w:ascii="Arial"/>
                <w:color w:val="0000FF"/>
                <w:spacing w:val="-2"/>
                <w:sz w:val="20"/>
              </w:rPr>
              <w:t>0.004</w:t>
            </w:r>
          </w:p>
        </w:tc>
      </w:tr>
      <w:tr w:rsidR="00A05B7D" w:rsidTr="00A05B7D">
        <w:trPr>
          <w:trHeight w:val="239"/>
        </w:trPr>
        <w:tc>
          <w:tcPr>
            <w:tcW w:w="1642" w:type="dxa"/>
          </w:tcPr>
          <w:p w:rsidR="00A05B7D" w:rsidRDefault="00A05B7D" w:rsidP="00097387">
            <w:pPr>
              <w:pStyle w:val="TableParagraph"/>
              <w:spacing w:before="4" w:line="215" w:lineRule="exact"/>
              <w:ind w:left="110"/>
              <w:jc w:val="left"/>
              <w:rPr>
                <w:rFonts w:ascii="Arial"/>
                <w:b/>
                <w:sz w:val="20"/>
              </w:rPr>
            </w:pPr>
            <w:r>
              <w:rPr>
                <w:rFonts w:ascii="Arial"/>
                <w:b/>
                <w:color w:val="C00000"/>
                <w:spacing w:val="-2"/>
                <w:sz w:val="20"/>
              </w:rPr>
              <w:t>KJ476884.1</w:t>
            </w:r>
          </w:p>
        </w:tc>
        <w:tc>
          <w:tcPr>
            <w:tcW w:w="715" w:type="dxa"/>
          </w:tcPr>
          <w:p w:rsidR="00A05B7D" w:rsidRDefault="00A05B7D" w:rsidP="00097387">
            <w:pPr>
              <w:pStyle w:val="TableParagraph"/>
              <w:ind w:left="10" w:right="3"/>
              <w:rPr>
                <w:rFonts w:ascii="Arial"/>
                <w:sz w:val="20"/>
              </w:rPr>
            </w:pPr>
            <w:r>
              <w:rPr>
                <w:rFonts w:ascii="Arial"/>
                <w:spacing w:val="-2"/>
                <w:sz w:val="20"/>
              </w:rPr>
              <w:t>0.008</w:t>
            </w:r>
          </w:p>
        </w:tc>
        <w:tc>
          <w:tcPr>
            <w:tcW w:w="719" w:type="dxa"/>
          </w:tcPr>
          <w:p w:rsidR="00A05B7D" w:rsidRDefault="00A05B7D" w:rsidP="00097387">
            <w:pPr>
              <w:pStyle w:val="TableParagraph"/>
              <w:ind w:left="20" w:right="7"/>
              <w:rPr>
                <w:rFonts w:ascii="Arial"/>
                <w:sz w:val="20"/>
              </w:rPr>
            </w:pPr>
            <w:r>
              <w:rPr>
                <w:rFonts w:ascii="Arial"/>
                <w:spacing w:val="-2"/>
                <w:sz w:val="20"/>
              </w:rPr>
              <w:t>0.003</w:t>
            </w:r>
          </w:p>
        </w:tc>
        <w:tc>
          <w:tcPr>
            <w:tcW w:w="715" w:type="dxa"/>
          </w:tcPr>
          <w:p w:rsidR="00A05B7D" w:rsidRDefault="00A05B7D" w:rsidP="00097387">
            <w:pPr>
              <w:pStyle w:val="TableParagraph"/>
              <w:ind w:left="10"/>
              <w:rPr>
                <w:rFonts w:ascii="Arial"/>
                <w:sz w:val="20"/>
              </w:rPr>
            </w:pPr>
            <w:r>
              <w:rPr>
                <w:rFonts w:ascii="Arial"/>
                <w:spacing w:val="-2"/>
                <w:sz w:val="20"/>
              </w:rPr>
              <w:t>0.009</w:t>
            </w:r>
          </w:p>
        </w:tc>
        <w:tc>
          <w:tcPr>
            <w:tcW w:w="714" w:type="dxa"/>
          </w:tcPr>
          <w:p w:rsidR="00A05B7D" w:rsidRDefault="00A05B7D" w:rsidP="00097387">
            <w:pPr>
              <w:pStyle w:val="TableParagraph"/>
              <w:ind w:left="18" w:right="6"/>
              <w:rPr>
                <w:rFonts w:ascii="Arial"/>
                <w:sz w:val="20"/>
              </w:rPr>
            </w:pPr>
            <w:r>
              <w:rPr>
                <w:rFonts w:ascii="Arial"/>
                <w:spacing w:val="-2"/>
                <w:sz w:val="20"/>
              </w:rPr>
              <w:t>0.009</w:t>
            </w:r>
          </w:p>
        </w:tc>
        <w:tc>
          <w:tcPr>
            <w:tcW w:w="719" w:type="dxa"/>
          </w:tcPr>
          <w:p w:rsidR="00A05B7D" w:rsidRDefault="00A05B7D" w:rsidP="00097387">
            <w:pPr>
              <w:pStyle w:val="TableParagraph"/>
              <w:ind w:left="20"/>
              <w:rPr>
                <w:rFonts w:ascii="Arial"/>
                <w:sz w:val="20"/>
              </w:rPr>
            </w:pPr>
            <w:r>
              <w:rPr>
                <w:rFonts w:ascii="Arial"/>
                <w:spacing w:val="-2"/>
                <w:sz w:val="20"/>
              </w:rPr>
              <w:t>0.009</w:t>
            </w:r>
          </w:p>
        </w:tc>
        <w:tc>
          <w:tcPr>
            <w:tcW w:w="714" w:type="dxa"/>
          </w:tcPr>
          <w:p w:rsidR="00A05B7D" w:rsidRDefault="00A05B7D" w:rsidP="00097387">
            <w:pPr>
              <w:pStyle w:val="TableParagraph"/>
              <w:ind w:left="18"/>
              <w:rPr>
                <w:rFonts w:ascii="Arial"/>
                <w:sz w:val="20"/>
              </w:rPr>
            </w:pPr>
            <w:r>
              <w:rPr>
                <w:rFonts w:ascii="Arial"/>
                <w:spacing w:val="-2"/>
                <w:sz w:val="20"/>
              </w:rPr>
              <w:t>0.004</w:t>
            </w:r>
          </w:p>
        </w:tc>
        <w:tc>
          <w:tcPr>
            <w:tcW w:w="829" w:type="dxa"/>
          </w:tcPr>
          <w:p w:rsidR="00A05B7D" w:rsidRDefault="00A05B7D" w:rsidP="00097387">
            <w:pPr>
              <w:pStyle w:val="TableParagraph"/>
              <w:spacing w:before="0" w:line="240" w:lineRule="auto"/>
              <w:jc w:val="left"/>
              <w:rPr>
                <w:rFonts w:ascii="Times New Roman"/>
                <w:sz w:val="16"/>
              </w:rPr>
            </w:pPr>
          </w:p>
        </w:tc>
        <w:tc>
          <w:tcPr>
            <w:tcW w:w="825" w:type="dxa"/>
          </w:tcPr>
          <w:p w:rsidR="00A05B7D" w:rsidRDefault="00A05B7D" w:rsidP="00097387">
            <w:pPr>
              <w:pStyle w:val="TableParagraph"/>
              <w:ind w:left="147" w:right="4"/>
              <w:rPr>
                <w:rFonts w:ascii="Arial"/>
                <w:sz w:val="20"/>
              </w:rPr>
            </w:pPr>
            <w:r>
              <w:rPr>
                <w:rFonts w:ascii="Arial"/>
                <w:color w:val="0000FF"/>
                <w:spacing w:val="-2"/>
                <w:sz w:val="20"/>
              </w:rPr>
              <w:t>0.002</w:t>
            </w:r>
          </w:p>
        </w:tc>
        <w:tc>
          <w:tcPr>
            <w:tcW w:w="830" w:type="dxa"/>
          </w:tcPr>
          <w:p w:rsidR="00A05B7D" w:rsidRDefault="00A05B7D" w:rsidP="00097387">
            <w:pPr>
              <w:pStyle w:val="TableParagraph"/>
              <w:ind w:right="82"/>
              <w:jc w:val="right"/>
              <w:rPr>
                <w:rFonts w:ascii="Arial"/>
                <w:sz w:val="20"/>
              </w:rPr>
            </w:pPr>
            <w:r>
              <w:rPr>
                <w:rFonts w:ascii="Arial"/>
                <w:color w:val="0000FF"/>
                <w:spacing w:val="-2"/>
                <w:sz w:val="20"/>
              </w:rPr>
              <w:t>0.009</w:t>
            </w:r>
          </w:p>
        </w:tc>
        <w:tc>
          <w:tcPr>
            <w:tcW w:w="825" w:type="dxa"/>
          </w:tcPr>
          <w:p w:rsidR="00A05B7D" w:rsidRDefault="00A05B7D" w:rsidP="00097387">
            <w:pPr>
              <w:pStyle w:val="TableParagraph"/>
              <w:ind w:left="147"/>
              <w:rPr>
                <w:rFonts w:ascii="Arial"/>
                <w:sz w:val="20"/>
              </w:rPr>
            </w:pPr>
            <w:r>
              <w:rPr>
                <w:rFonts w:ascii="Arial"/>
                <w:color w:val="0000FF"/>
                <w:spacing w:val="-2"/>
                <w:sz w:val="20"/>
              </w:rPr>
              <w:t>0.009</w:t>
            </w:r>
          </w:p>
        </w:tc>
        <w:tc>
          <w:tcPr>
            <w:tcW w:w="830" w:type="dxa"/>
          </w:tcPr>
          <w:p w:rsidR="00A05B7D" w:rsidRDefault="00A05B7D" w:rsidP="00097387">
            <w:pPr>
              <w:pStyle w:val="TableParagraph"/>
              <w:ind w:right="80"/>
              <w:jc w:val="right"/>
              <w:rPr>
                <w:rFonts w:ascii="Arial"/>
                <w:sz w:val="20"/>
              </w:rPr>
            </w:pPr>
            <w:r>
              <w:rPr>
                <w:rFonts w:ascii="Arial"/>
                <w:color w:val="0000FF"/>
                <w:spacing w:val="-2"/>
                <w:sz w:val="20"/>
              </w:rPr>
              <w:t>0.004</w:t>
            </w:r>
          </w:p>
        </w:tc>
      </w:tr>
      <w:tr w:rsidR="00A05B7D" w:rsidTr="00A05B7D">
        <w:trPr>
          <w:trHeight w:val="239"/>
        </w:trPr>
        <w:tc>
          <w:tcPr>
            <w:tcW w:w="1642" w:type="dxa"/>
          </w:tcPr>
          <w:p w:rsidR="00A05B7D" w:rsidRDefault="00A05B7D" w:rsidP="00097387">
            <w:pPr>
              <w:pStyle w:val="TableParagraph"/>
              <w:spacing w:before="4" w:line="215" w:lineRule="exact"/>
              <w:ind w:left="110"/>
              <w:jc w:val="left"/>
              <w:rPr>
                <w:rFonts w:ascii="Arial"/>
                <w:b/>
                <w:sz w:val="20"/>
              </w:rPr>
            </w:pPr>
            <w:r>
              <w:rPr>
                <w:rFonts w:ascii="Arial"/>
                <w:b/>
                <w:color w:val="C00000"/>
                <w:spacing w:val="-2"/>
                <w:sz w:val="20"/>
              </w:rPr>
              <w:t>KJ476885.1</w:t>
            </w:r>
          </w:p>
        </w:tc>
        <w:tc>
          <w:tcPr>
            <w:tcW w:w="715" w:type="dxa"/>
          </w:tcPr>
          <w:p w:rsidR="00A05B7D" w:rsidRDefault="00A05B7D" w:rsidP="00097387">
            <w:pPr>
              <w:pStyle w:val="TableParagraph"/>
              <w:ind w:left="10" w:right="3"/>
              <w:rPr>
                <w:rFonts w:ascii="Arial"/>
                <w:sz w:val="20"/>
              </w:rPr>
            </w:pPr>
            <w:r>
              <w:rPr>
                <w:rFonts w:ascii="Arial"/>
                <w:spacing w:val="-2"/>
                <w:sz w:val="20"/>
              </w:rPr>
              <w:t>0.006</w:t>
            </w:r>
          </w:p>
        </w:tc>
        <w:tc>
          <w:tcPr>
            <w:tcW w:w="719" w:type="dxa"/>
          </w:tcPr>
          <w:p w:rsidR="00A05B7D" w:rsidRDefault="00A05B7D" w:rsidP="00097387">
            <w:pPr>
              <w:pStyle w:val="TableParagraph"/>
              <w:ind w:left="20" w:right="7"/>
              <w:rPr>
                <w:rFonts w:ascii="Arial"/>
                <w:sz w:val="20"/>
              </w:rPr>
            </w:pPr>
            <w:r>
              <w:rPr>
                <w:rFonts w:ascii="Arial"/>
                <w:spacing w:val="-2"/>
                <w:sz w:val="20"/>
              </w:rPr>
              <w:t>0.002</w:t>
            </w:r>
          </w:p>
        </w:tc>
        <w:tc>
          <w:tcPr>
            <w:tcW w:w="715" w:type="dxa"/>
          </w:tcPr>
          <w:p w:rsidR="00A05B7D" w:rsidRDefault="00A05B7D" w:rsidP="00097387">
            <w:pPr>
              <w:pStyle w:val="TableParagraph"/>
              <w:ind w:left="10"/>
              <w:rPr>
                <w:rFonts w:ascii="Arial"/>
                <w:sz w:val="20"/>
              </w:rPr>
            </w:pPr>
            <w:r>
              <w:rPr>
                <w:rFonts w:ascii="Arial"/>
                <w:spacing w:val="-2"/>
                <w:sz w:val="20"/>
              </w:rPr>
              <w:t>0.007</w:t>
            </w:r>
          </w:p>
        </w:tc>
        <w:tc>
          <w:tcPr>
            <w:tcW w:w="714" w:type="dxa"/>
          </w:tcPr>
          <w:p w:rsidR="00A05B7D" w:rsidRDefault="00A05B7D" w:rsidP="00097387">
            <w:pPr>
              <w:pStyle w:val="TableParagraph"/>
              <w:ind w:left="18" w:right="6"/>
              <w:rPr>
                <w:rFonts w:ascii="Arial"/>
                <w:sz w:val="20"/>
              </w:rPr>
            </w:pPr>
            <w:r>
              <w:rPr>
                <w:rFonts w:ascii="Arial"/>
                <w:spacing w:val="-2"/>
                <w:sz w:val="20"/>
              </w:rPr>
              <w:t>0.007</w:t>
            </w:r>
          </w:p>
        </w:tc>
        <w:tc>
          <w:tcPr>
            <w:tcW w:w="719" w:type="dxa"/>
          </w:tcPr>
          <w:p w:rsidR="00A05B7D" w:rsidRDefault="00A05B7D" w:rsidP="00097387">
            <w:pPr>
              <w:pStyle w:val="TableParagraph"/>
              <w:ind w:left="20"/>
              <w:rPr>
                <w:rFonts w:ascii="Arial"/>
                <w:sz w:val="20"/>
              </w:rPr>
            </w:pPr>
            <w:r>
              <w:rPr>
                <w:rFonts w:ascii="Arial"/>
                <w:spacing w:val="-2"/>
                <w:sz w:val="20"/>
              </w:rPr>
              <w:t>0.007</w:t>
            </w:r>
          </w:p>
        </w:tc>
        <w:tc>
          <w:tcPr>
            <w:tcW w:w="714" w:type="dxa"/>
          </w:tcPr>
          <w:p w:rsidR="00A05B7D" w:rsidRDefault="00A05B7D" w:rsidP="00097387">
            <w:pPr>
              <w:pStyle w:val="TableParagraph"/>
              <w:ind w:left="18"/>
              <w:rPr>
                <w:rFonts w:ascii="Arial"/>
                <w:sz w:val="20"/>
              </w:rPr>
            </w:pPr>
            <w:r>
              <w:rPr>
                <w:rFonts w:ascii="Arial"/>
                <w:spacing w:val="-2"/>
                <w:sz w:val="20"/>
              </w:rPr>
              <w:t>0.003</w:t>
            </w:r>
          </w:p>
        </w:tc>
        <w:tc>
          <w:tcPr>
            <w:tcW w:w="829" w:type="dxa"/>
          </w:tcPr>
          <w:p w:rsidR="00A05B7D" w:rsidRDefault="00A05B7D" w:rsidP="00097387">
            <w:pPr>
              <w:pStyle w:val="TableParagraph"/>
              <w:ind w:left="146"/>
              <w:rPr>
                <w:rFonts w:ascii="Arial"/>
                <w:sz w:val="20"/>
              </w:rPr>
            </w:pPr>
            <w:r>
              <w:rPr>
                <w:rFonts w:ascii="Arial"/>
                <w:spacing w:val="-2"/>
                <w:sz w:val="20"/>
              </w:rPr>
              <w:t>0.003</w:t>
            </w:r>
          </w:p>
        </w:tc>
        <w:tc>
          <w:tcPr>
            <w:tcW w:w="825" w:type="dxa"/>
          </w:tcPr>
          <w:p w:rsidR="00A05B7D" w:rsidRDefault="00A05B7D" w:rsidP="00097387">
            <w:pPr>
              <w:pStyle w:val="TableParagraph"/>
              <w:spacing w:before="0" w:line="240" w:lineRule="auto"/>
              <w:jc w:val="left"/>
              <w:rPr>
                <w:rFonts w:ascii="Times New Roman"/>
                <w:sz w:val="16"/>
              </w:rPr>
            </w:pPr>
          </w:p>
        </w:tc>
        <w:tc>
          <w:tcPr>
            <w:tcW w:w="830" w:type="dxa"/>
          </w:tcPr>
          <w:p w:rsidR="00A05B7D" w:rsidRDefault="00A05B7D" w:rsidP="00097387">
            <w:pPr>
              <w:pStyle w:val="TableParagraph"/>
              <w:ind w:right="82"/>
              <w:jc w:val="right"/>
              <w:rPr>
                <w:rFonts w:ascii="Arial"/>
                <w:sz w:val="20"/>
              </w:rPr>
            </w:pPr>
            <w:r>
              <w:rPr>
                <w:rFonts w:ascii="Arial"/>
                <w:color w:val="0000FF"/>
                <w:spacing w:val="-2"/>
                <w:sz w:val="20"/>
              </w:rPr>
              <w:t>0.009</w:t>
            </w:r>
          </w:p>
        </w:tc>
        <w:tc>
          <w:tcPr>
            <w:tcW w:w="825" w:type="dxa"/>
          </w:tcPr>
          <w:p w:rsidR="00A05B7D" w:rsidRDefault="00A05B7D" w:rsidP="00097387">
            <w:pPr>
              <w:pStyle w:val="TableParagraph"/>
              <w:ind w:left="147"/>
              <w:rPr>
                <w:rFonts w:ascii="Arial"/>
                <w:sz w:val="20"/>
              </w:rPr>
            </w:pPr>
            <w:r>
              <w:rPr>
                <w:rFonts w:ascii="Arial"/>
                <w:color w:val="0000FF"/>
                <w:spacing w:val="-2"/>
                <w:sz w:val="20"/>
              </w:rPr>
              <w:t>0.009</w:t>
            </w:r>
          </w:p>
        </w:tc>
        <w:tc>
          <w:tcPr>
            <w:tcW w:w="830" w:type="dxa"/>
          </w:tcPr>
          <w:p w:rsidR="00A05B7D" w:rsidRDefault="00A05B7D" w:rsidP="00097387">
            <w:pPr>
              <w:pStyle w:val="TableParagraph"/>
              <w:ind w:right="80"/>
              <w:jc w:val="right"/>
              <w:rPr>
                <w:rFonts w:ascii="Arial"/>
                <w:sz w:val="20"/>
              </w:rPr>
            </w:pPr>
            <w:r>
              <w:rPr>
                <w:rFonts w:ascii="Arial"/>
                <w:color w:val="0000FF"/>
                <w:spacing w:val="-2"/>
                <w:sz w:val="20"/>
              </w:rPr>
              <w:t>0.005</w:t>
            </w:r>
          </w:p>
        </w:tc>
      </w:tr>
      <w:tr w:rsidR="00A05B7D" w:rsidTr="00A05B7D">
        <w:trPr>
          <w:trHeight w:val="239"/>
        </w:trPr>
        <w:tc>
          <w:tcPr>
            <w:tcW w:w="1642" w:type="dxa"/>
          </w:tcPr>
          <w:p w:rsidR="00A05B7D" w:rsidRDefault="00A05B7D" w:rsidP="00097387">
            <w:pPr>
              <w:pStyle w:val="TableParagraph"/>
              <w:spacing w:before="4" w:line="215" w:lineRule="exact"/>
              <w:ind w:left="110"/>
              <w:jc w:val="left"/>
              <w:rPr>
                <w:rFonts w:ascii="Arial"/>
                <w:b/>
                <w:sz w:val="20"/>
              </w:rPr>
            </w:pPr>
            <w:r>
              <w:rPr>
                <w:rFonts w:ascii="Arial"/>
                <w:b/>
                <w:color w:val="C00000"/>
                <w:spacing w:val="-2"/>
                <w:sz w:val="20"/>
              </w:rPr>
              <w:t>KP792568.1</w:t>
            </w:r>
          </w:p>
        </w:tc>
        <w:tc>
          <w:tcPr>
            <w:tcW w:w="715" w:type="dxa"/>
          </w:tcPr>
          <w:p w:rsidR="00A05B7D" w:rsidRDefault="00A05B7D" w:rsidP="00097387">
            <w:pPr>
              <w:pStyle w:val="TableParagraph"/>
              <w:ind w:left="10" w:right="3"/>
              <w:rPr>
                <w:rFonts w:ascii="Arial"/>
                <w:sz w:val="20"/>
              </w:rPr>
            </w:pPr>
            <w:r>
              <w:rPr>
                <w:rFonts w:ascii="Arial"/>
                <w:spacing w:val="-2"/>
                <w:sz w:val="20"/>
              </w:rPr>
              <w:t>0.037</w:t>
            </w:r>
          </w:p>
        </w:tc>
        <w:tc>
          <w:tcPr>
            <w:tcW w:w="719" w:type="dxa"/>
          </w:tcPr>
          <w:p w:rsidR="00A05B7D" w:rsidRDefault="00A05B7D" w:rsidP="00097387">
            <w:pPr>
              <w:pStyle w:val="TableParagraph"/>
              <w:ind w:left="20" w:right="7"/>
              <w:rPr>
                <w:rFonts w:ascii="Arial"/>
                <w:sz w:val="20"/>
              </w:rPr>
            </w:pPr>
            <w:r>
              <w:rPr>
                <w:rFonts w:ascii="Arial"/>
                <w:spacing w:val="-2"/>
                <w:sz w:val="20"/>
              </w:rPr>
              <w:t>0.031</w:t>
            </w:r>
          </w:p>
        </w:tc>
        <w:tc>
          <w:tcPr>
            <w:tcW w:w="715" w:type="dxa"/>
          </w:tcPr>
          <w:p w:rsidR="00A05B7D" w:rsidRDefault="00A05B7D" w:rsidP="00097387">
            <w:pPr>
              <w:pStyle w:val="TableParagraph"/>
              <w:ind w:left="10"/>
              <w:rPr>
                <w:rFonts w:ascii="Arial"/>
                <w:sz w:val="20"/>
              </w:rPr>
            </w:pPr>
            <w:r>
              <w:rPr>
                <w:rFonts w:ascii="Arial"/>
                <w:spacing w:val="-2"/>
                <w:sz w:val="20"/>
              </w:rPr>
              <w:t>0.038</w:t>
            </w:r>
          </w:p>
        </w:tc>
        <w:tc>
          <w:tcPr>
            <w:tcW w:w="714" w:type="dxa"/>
          </w:tcPr>
          <w:p w:rsidR="00A05B7D" w:rsidRDefault="00A05B7D" w:rsidP="00097387">
            <w:pPr>
              <w:pStyle w:val="TableParagraph"/>
              <w:ind w:left="18" w:right="6"/>
              <w:rPr>
                <w:rFonts w:ascii="Arial"/>
                <w:sz w:val="20"/>
              </w:rPr>
            </w:pPr>
            <w:r>
              <w:rPr>
                <w:rFonts w:ascii="Arial"/>
                <w:spacing w:val="-2"/>
                <w:sz w:val="20"/>
              </w:rPr>
              <w:t>0.038</w:t>
            </w:r>
          </w:p>
        </w:tc>
        <w:tc>
          <w:tcPr>
            <w:tcW w:w="719" w:type="dxa"/>
          </w:tcPr>
          <w:p w:rsidR="00A05B7D" w:rsidRDefault="00A05B7D" w:rsidP="00097387">
            <w:pPr>
              <w:pStyle w:val="TableParagraph"/>
              <w:ind w:left="20"/>
              <w:rPr>
                <w:rFonts w:ascii="Arial"/>
                <w:sz w:val="20"/>
              </w:rPr>
            </w:pPr>
            <w:r>
              <w:rPr>
                <w:rFonts w:ascii="Arial"/>
                <w:spacing w:val="-2"/>
                <w:sz w:val="20"/>
              </w:rPr>
              <w:t>0.034</w:t>
            </w:r>
          </w:p>
        </w:tc>
        <w:tc>
          <w:tcPr>
            <w:tcW w:w="714" w:type="dxa"/>
          </w:tcPr>
          <w:p w:rsidR="00A05B7D" w:rsidRDefault="00A05B7D" w:rsidP="00097387">
            <w:pPr>
              <w:pStyle w:val="TableParagraph"/>
              <w:ind w:left="18"/>
              <w:rPr>
                <w:rFonts w:ascii="Arial"/>
                <w:sz w:val="20"/>
              </w:rPr>
            </w:pPr>
            <w:r>
              <w:rPr>
                <w:rFonts w:ascii="Arial"/>
                <w:spacing w:val="-2"/>
                <w:sz w:val="20"/>
              </w:rPr>
              <w:t>0.033</w:t>
            </w:r>
          </w:p>
        </w:tc>
        <w:tc>
          <w:tcPr>
            <w:tcW w:w="829" w:type="dxa"/>
          </w:tcPr>
          <w:p w:rsidR="00A05B7D" w:rsidRDefault="00A05B7D" w:rsidP="00097387">
            <w:pPr>
              <w:pStyle w:val="TableParagraph"/>
              <w:ind w:left="146"/>
              <w:rPr>
                <w:rFonts w:ascii="Arial"/>
                <w:sz w:val="20"/>
              </w:rPr>
            </w:pPr>
            <w:r>
              <w:rPr>
                <w:rFonts w:ascii="Arial"/>
                <w:spacing w:val="-2"/>
                <w:sz w:val="20"/>
              </w:rPr>
              <w:t>0.034</w:t>
            </w:r>
          </w:p>
        </w:tc>
        <w:tc>
          <w:tcPr>
            <w:tcW w:w="825" w:type="dxa"/>
          </w:tcPr>
          <w:p w:rsidR="00A05B7D" w:rsidRDefault="00A05B7D" w:rsidP="00097387">
            <w:pPr>
              <w:pStyle w:val="TableParagraph"/>
              <w:ind w:left="147" w:right="4"/>
              <w:rPr>
                <w:rFonts w:ascii="Arial"/>
                <w:sz w:val="20"/>
              </w:rPr>
            </w:pPr>
            <w:r>
              <w:rPr>
                <w:rFonts w:ascii="Arial"/>
                <w:spacing w:val="-2"/>
                <w:sz w:val="20"/>
              </w:rPr>
              <w:t>0.031</w:t>
            </w:r>
          </w:p>
        </w:tc>
        <w:tc>
          <w:tcPr>
            <w:tcW w:w="830" w:type="dxa"/>
          </w:tcPr>
          <w:p w:rsidR="00A05B7D" w:rsidRDefault="00A05B7D" w:rsidP="00097387">
            <w:pPr>
              <w:pStyle w:val="TableParagraph"/>
              <w:spacing w:before="0" w:line="240" w:lineRule="auto"/>
              <w:jc w:val="left"/>
              <w:rPr>
                <w:rFonts w:ascii="Times New Roman"/>
                <w:sz w:val="16"/>
              </w:rPr>
            </w:pPr>
          </w:p>
        </w:tc>
        <w:tc>
          <w:tcPr>
            <w:tcW w:w="825" w:type="dxa"/>
          </w:tcPr>
          <w:p w:rsidR="00A05B7D" w:rsidRDefault="00A05B7D" w:rsidP="00097387">
            <w:pPr>
              <w:pStyle w:val="TableParagraph"/>
              <w:ind w:left="147"/>
              <w:rPr>
                <w:rFonts w:ascii="Arial"/>
                <w:sz w:val="20"/>
              </w:rPr>
            </w:pPr>
            <w:r>
              <w:rPr>
                <w:rFonts w:ascii="Arial"/>
                <w:color w:val="0000FF"/>
                <w:spacing w:val="-2"/>
                <w:sz w:val="20"/>
              </w:rPr>
              <w:t>0.000</w:t>
            </w:r>
          </w:p>
        </w:tc>
        <w:tc>
          <w:tcPr>
            <w:tcW w:w="830" w:type="dxa"/>
          </w:tcPr>
          <w:p w:rsidR="00A05B7D" w:rsidRDefault="00A05B7D" w:rsidP="00097387">
            <w:pPr>
              <w:pStyle w:val="TableParagraph"/>
              <w:ind w:right="80"/>
              <w:jc w:val="right"/>
              <w:rPr>
                <w:rFonts w:ascii="Arial"/>
                <w:sz w:val="20"/>
              </w:rPr>
            </w:pPr>
            <w:r>
              <w:rPr>
                <w:rFonts w:ascii="Arial"/>
                <w:color w:val="0000FF"/>
                <w:spacing w:val="-2"/>
                <w:sz w:val="20"/>
              </w:rPr>
              <w:t>0.011</w:t>
            </w:r>
          </w:p>
        </w:tc>
      </w:tr>
      <w:tr w:rsidR="00A05B7D" w:rsidTr="00A05B7D">
        <w:trPr>
          <w:trHeight w:val="239"/>
        </w:trPr>
        <w:tc>
          <w:tcPr>
            <w:tcW w:w="1642" w:type="dxa"/>
          </w:tcPr>
          <w:p w:rsidR="00A05B7D" w:rsidRDefault="00A05B7D" w:rsidP="00097387">
            <w:pPr>
              <w:pStyle w:val="TableParagraph"/>
              <w:spacing w:before="4" w:line="215" w:lineRule="exact"/>
              <w:ind w:left="110"/>
              <w:jc w:val="left"/>
              <w:rPr>
                <w:rFonts w:ascii="Arial"/>
                <w:b/>
                <w:sz w:val="20"/>
              </w:rPr>
            </w:pPr>
            <w:r>
              <w:rPr>
                <w:rFonts w:ascii="Arial"/>
                <w:b/>
                <w:color w:val="C00000"/>
                <w:spacing w:val="-2"/>
                <w:sz w:val="20"/>
              </w:rPr>
              <w:t>KY484795.1</w:t>
            </w:r>
          </w:p>
        </w:tc>
        <w:tc>
          <w:tcPr>
            <w:tcW w:w="715" w:type="dxa"/>
          </w:tcPr>
          <w:p w:rsidR="00A05B7D" w:rsidRDefault="00A05B7D" w:rsidP="00097387">
            <w:pPr>
              <w:pStyle w:val="TableParagraph"/>
              <w:ind w:left="10" w:right="3"/>
              <w:rPr>
                <w:rFonts w:ascii="Arial"/>
                <w:sz w:val="20"/>
              </w:rPr>
            </w:pPr>
            <w:r>
              <w:rPr>
                <w:rFonts w:ascii="Arial"/>
                <w:spacing w:val="-2"/>
                <w:sz w:val="20"/>
              </w:rPr>
              <w:t>0.037</w:t>
            </w:r>
          </w:p>
        </w:tc>
        <w:tc>
          <w:tcPr>
            <w:tcW w:w="719" w:type="dxa"/>
          </w:tcPr>
          <w:p w:rsidR="00A05B7D" w:rsidRDefault="00A05B7D" w:rsidP="00097387">
            <w:pPr>
              <w:pStyle w:val="TableParagraph"/>
              <w:ind w:left="20" w:right="7"/>
              <w:rPr>
                <w:rFonts w:ascii="Arial"/>
                <w:sz w:val="20"/>
              </w:rPr>
            </w:pPr>
            <w:r>
              <w:rPr>
                <w:rFonts w:ascii="Arial"/>
                <w:spacing w:val="-2"/>
                <w:sz w:val="20"/>
              </w:rPr>
              <w:t>0.031</w:t>
            </w:r>
          </w:p>
        </w:tc>
        <w:tc>
          <w:tcPr>
            <w:tcW w:w="715" w:type="dxa"/>
          </w:tcPr>
          <w:p w:rsidR="00A05B7D" w:rsidRDefault="00A05B7D" w:rsidP="00097387">
            <w:pPr>
              <w:pStyle w:val="TableParagraph"/>
              <w:ind w:left="10"/>
              <w:rPr>
                <w:rFonts w:ascii="Arial"/>
                <w:sz w:val="20"/>
              </w:rPr>
            </w:pPr>
            <w:r>
              <w:rPr>
                <w:rFonts w:ascii="Arial"/>
                <w:spacing w:val="-2"/>
                <w:sz w:val="20"/>
              </w:rPr>
              <w:t>0.038</w:t>
            </w:r>
          </w:p>
        </w:tc>
        <w:tc>
          <w:tcPr>
            <w:tcW w:w="714" w:type="dxa"/>
          </w:tcPr>
          <w:p w:rsidR="00A05B7D" w:rsidRDefault="00A05B7D" w:rsidP="00097387">
            <w:pPr>
              <w:pStyle w:val="TableParagraph"/>
              <w:ind w:left="18" w:right="6"/>
              <w:rPr>
                <w:rFonts w:ascii="Arial"/>
                <w:sz w:val="20"/>
              </w:rPr>
            </w:pPr>
            <w:r>
              <w:rPr>
                <w:rFonts w:ascii="Arial"/>
                <w:spacing w:val="-2"/>
                <w:sz w:val="20"/>
              </w:rPr>
              <w:t>0.038</w:t>
            </w:r>
          </w:p>
        </w:tc>
        <w:tc>
          <w:tcPr>
            <w:tcW w:w="719" w:type="dxa"/>
          </w:tcPr>
          <w:p w:rsidR="00A05B7D" w:rsidRDefault="00A05B7D" w:rsidP="00097387">
            <w:pPr>
              <w:pStyle w:val="TableParagraph"/>
              <w:ind w:left="20"/>
              <w:rPr>
                <w:rFonts w:ascii="Arial"/>
                <w:sz w:val="20"/>
              </w:rPr>
            </w:pPr>
            <w:r>
              <w:rPr>
                <w:rFonts w:ascii="Arial"/>
                <w:spacing w:val="-2"/>
                <w:sz w:val="20"/>
              </w:rPr>
              <w:t>0.034</w:t>
            </w:r>
          </w:p>
        </w:tc>
        <w:tc>
          <w:tcPr>
            <w:tcW w:w="714" w:type="dxa"/>
          </w:tcPr>
          <w:p w:rsidR="00A05B7D" w:rsidRDefault="00A05B7D" w:rsidP="00097387">
            <w:pPr>
              <w:pStyle w:val="TableParagraph"/>
              <w:ind w:left="18"/>
              <w:rPr>
                <w:rFonts w:ascii="Arial"/>
                <w:sz w:val="20"/>
              </w:rPr>
            </w:pPr>
            <w:r>
              <w:rPr>
                <w:rFonts w:ascii="Arial"/>
                <w:spacing w:val="-2"/>
                <w:sz w:val="20"/>
              </w:rPr>
              <w:t>0.033</w:t>
            </w:r>
          </w:p>
        </w:tc>
        <w:tc>
          <w:tcPr>
            <w:tcW w:w="829" w:type="dxa"/>
          </w:tcPr>
          <w:p w:rsidR="00A05B7D" w:rsidRDefault="00A05B7D" w:rsidP="00097387">
            <w:pPr>
              <w:pStyle w:val="TableParagraph"/>
              <w:ind w:left="146"/>
              <w:rPr>
                <w:rFonts w:ascii="Arial"/>
                <w:sz w:val="20"/>
              </w:rPr>
            </w:pPr>
            <w:r>
              <w:rPr>
                <w:rFonts w:ascii="Arial"/>
                <w:spacing w:val="-2"/>
                <w:sz w:val="20"/>
              </w:rPr>
              <w:t>0.034</w:t>
            </w:r>
          </w:p>
        </w:tc>
        <w:tc>
          <w:tcPr>
            <w:tcW w:w="825" w:type="dxa"/>
          </w:tcPr>
          <w:p w:rsidR="00A05B7D" w:rsidRDefault="00A05B7D" w:rsidP="00097387">
            <w:pPr>
              <w:pStyle w:val="TableParagraph"/>
              <w:ind w:left="147" w:right="4"/>
              <w:rPr>
                <w:rFonts w:ascii="Arial"/>
                <w:sz w:val="20"/>
              </w:rPr>
            </w:pPr>
            <w:r>
              <w:rPr>
                <w:rFonts w:ascii="Arial"/>
                <w:spacing w:val="-2"/>
                <w:sz w:val="20"/>
              </w:rPr>
              <w:t>0.031</w:t>
            </w:r>
          </w:p>
        </w:tc>
        <w:tc>
          <w:tcPr>
            <w:tcW w:w="830" w:type="dxa"/>
          </w:tcPr>
          <w:p w:rsidR="00A05B7D" w:rsidRDefault="00A05B7D" w:rsidP="00097387">
            <w:pPr>
              <w:pStyle w:val="TableParagraph"/>
              <w:ind w:right="82"/>
              <w:jc w:val="right"/>
              <w:rPr>
                <w:rFonts w:ascii="Arial"/>
                <w:sz w:val="20"/>
              </w:rPr>
            </w:pPr>
            <w:r>
              <w:rPr>
                <w:rFonts w:ascii="Arial"/>
                <w:spacing w:val="-2"/>
                <w:sz w:val="20"/>
              </w:rPr>
              <w:t>0.000</w:t>
            </w:r>
          </w:p>
        </w:tc>
        <w:tc>
          <w:tcPr>
            <w:tcW w:w="825" w:type="dxa"/>
          </w:tcPr>
          <w:p w:rsidR="00A05B7D" w:rsidRDefault="00A05B7D" w:rsidP="00097387">
            <w:pPr>
              <w:pStyle w:val="TableParagraph"/>
              <w:spacing w:before="0" w:line="240" w:lineRule="auto"/>
              <w:jc w:val="left"/>
              <w:rPr>
                <w:rFonts w:ascii="Times New Roman"/>
                <w:sz w:val="16"/>
              </w:rPr>
            </w:pPr>
          </w:p>
        </w:tc>
        <w:tc>
          <w:tcPr>
            <w:tcW w:w="830" w:type="dxa"/>
          </w:tcPr>
          <w:p w:rsidR="00A05B7D" w:rsidRDefault="00A05B7D" w:rsidP="00097387">
            <w:pPr>
              <w:pStyle w:val="TableParagraph"/>
              <w:ind w:right="80"/>
              <w:jc w:val="right"/>
              <w:rPr>
                <w:rFonts w:ascii="Arial"/>
                <w:sz w:val="20"/>
              </w:rPr>
            </w:pPr>
            <w:r>
              <w:rPr>
                <w:rFonts w:ascii="Arial"/>
                <w:color w:val="0000FF"/>
                <w:spacing w:val="-2"/>
                <w:sz w:val="20"/>
              </w:rPr>
              <w:t>0.011</w:t>
            </w:r>
          </w:p>
        </w:tc>
      </w:tr>
      <w:tr w:rsidR="00A05B7D" w:rsidTr="00A05B7D">
        <w:trPr>
          <w:trHeight w:val="239"/>
        </w:trPr>
        <w:tc>
          <w:tcPr>
            <w:tcW w:w="1642" w:type="dxa"/>
          </w:tcPr>
          <w:p w:rsidR="00A05B7D" w:rsidRDefault="00A05B7D" w:rsidP="00097387">
            <w:pPr>
              <w:pStyle w:val="TableParagraph"/>
              <w:spacing w:before="4" w:line="215" w:lineRule="exact"/>
              <w:ind w:left="110"/>
              <w:jc w:val="left"/>
              <w:rPr>
                <w:rFonts w:ascii="Arial"/>
                <w:b/>
                <w:sz w:val="20"/>
              </w:rPr>
            </w:pPr>
            <w:r>
              <w:rPr>
                <w:rFonts w:ascii="Arial"/>
                <w:b/>
                <w:color w:val="C00000"/>
                <w:spacing w:val="-2"/>
                <w:sz w:val="20"/>
              </w:rPr>
              <w:t>KM252682.1</w:t>
            </w:r>
          </w:p>
        </w:tc>
        <w:tc>
          <w:tcPr>
            <w:tcW w:w="715" w:type="dxa"/>
          </w:tcPr>
          <w:p w:rsidR="00A05B7D" w:rsidRDefault="00A05B7D" w:rsidP="00097387">
            <w:pPr>
              <w:pStyle w:val="TableParagraph"/>
              <w:ind w:left="10" w:right="3"/>
              <w:rPr>
                <w:rFonts w:ascii="Arial"/>
                <w:sz w:val="20"/>
              </w:rPr>
            </w:pPr>
            <w:r>
              <w:rPr>
                <w:rFonts w:ascii="Arial"/>
                <w:spacing w:val="-2"/>
                <w:sz w:val="20"/>
              </w:rPr>
              <w:t>0.017</w:t>
            </w:r>
          </w:p>
        </w:tc>
        <w:tc>
          <w:tcPr>
            <w:tcW w:w="719" w:type="dxa"/>
          </w:tcPr>
          <w:p w:rsidR="00A05B7D" w:rsidRDefault="00A05B7D" w:rsidP="00097387">
            <w:pPr>
              <w:pStyle w:val="TableParagraph"/>
              <w:ind w:left="20" w:right="7"/>
              <w:rPr>
                <w:rFonts w:ascii="Arial"/>
                <w:sz w:val="20"/>
              </w:rPr>
            </w:pPr>
            <w:r>
              <w:rPr>
                <w:rFonts w:ascii="Arial"/>
                <w:spacing w:val="-2"/>
                <w:sz w:val="20"/>
              </w:rPr>
              <w:t>0.011</w:t>
            </w:r>
          </w:p>
        </w:tc>
        <w:tc>
          <w:tcPr>
            <w:tcW w:w="715" w:type="dxa"/>
          </w:tcPr>
          <w:p w:rsidR="00A05B7D" w:rsidRDefault="00A05B7D" w:rsidP="00097387">
            <w:pPr>
              <w:pStyle w:val="TableParagraph"/>
              <w:ind w:left="10"/>
              <w:rPr>
                <w:rFonts w:ascii="Arial"/>
                <w:sz w:val="20"/>
              </w:rPr>
            </w:pPr>
            <w:r>
              <w:rPr>
                <w:rFonts w:ascii="Arial"/>
                <w:spacing w:val="-2"/>
                <w:sz w:val="20"/>
              </w:rPr>
              <w:t>0.018</w:t>
            </w:r>
          </w:p>
        </w:tc>
        <w:tc>
          <w:tcPr>
            <w:tcW w:w="714" w:type="dxa"/>
          </w:tcPr>
          <w:p w:rsidR="00A05B7D" w:rsidRDefault="00A05B7D" w:rsidP="00097387">
            <w:pPr>
              <w:pStyle w:val="TableParagraph"/>
              <w:ind w:left="18" w:right="6"/>
              <w:rPr>
                <w:rFonts w:ascii="Arial"/>
                <w:sz w:val="20"/>
              </w:rPr>
            </w:pPr>
            <w:r>
              <w:rPr>
                <w:rFonts w:ascii="Arial"/>
                <w:spacing w:val="-2"/>
                <w:sz w:val="20"/>
              </w:rPr>
              <w:t>0.018</w:t>
            </w:r>
          </w:p>
        </w:tc>
        <w:tc>
          <w:tcPr>
            <w:tcW w:w="719" w:type="dxa"/>
          </w:tcPr>
          <w:p w:rsidR="00A05B7D" w:rsidRDefault="00A05B7D" w:rsidP="00097387">
            <w:pPr>
              <w:pStyle w:val="TableParagraph"/>
              <w:ind w:left="20"/>
              <w:rPr>
                <w:rFonts w:ascii="Arial"/>
                <w:sz w:val="20"/>
              </w:rPr>
            </w:pPr>
            <w:r>
              <w:rPr>
                <w:rFonts w:ascii="Arial"/>
                <w:spacing w:val="-2"/>
                <w:sz w:val="20"/>
              </w:rPr>
              <w:t>0.016</w:t>
            </w:r>
          </w:p>
        </w:tc>
        <w:tc>
          <w:tcPr>
            <w:tcW w:w="714" w:type="dxa"/>
          </w:tcPr>
          <w:p w:rsidR="00A05B7D" w:rsidRDefault="00A05B7D" w:rsidP="00097387">
            <w:pPr>
              <w:pStyle w:val="TableParagraph"/>
              <w:ind w:left="18"/>
              <w:rPr>
                <w:rFonts w:ascii="Arial"/>
                <w:sz w:val="20"/>
              </w:rPr>
            </w:pPr>
            <w:r>
              <w:rPr>
                <w:rFonts w:ascii="Arial"/>
                <w:spacing w:val="-2"/>
                <w:sz w:val="20"/>
              </w:rPr>
              <w:t>0.011</w:t>
            </w:r>
          </w:p>
        </w:tc>
        <w:tc>
          <w:tcPr>
            <w:tcW w:w="829" w:type="dxa"/>
          </w:tcPr>
          <w:p w:rsidR="00A05B7D" w:rsidRDefault="00A05B7D" w:rsidP="00097387">
            <w:pPr>
              <w:pStyle w:val="TableParagraph"/>
              <w:ind w:left="146"/>
              <w:rPr>
                <w:rFonts w:ascii="Arial"/>
                <w:sz w:val="20"/>
              </w:rPr>
            </w:pPr>
            <w:r>
              <w:rPr>
                <w:rFonts w:ascii="Arial"/>
                <w:spacing w:val="-2"/>
                <w:sz w:val="20"/>
              </w:rPr>
              <w:t>0.012</w:t>
            </w:r>
          </w:p>
        </w:tc>
        <w:tc>
          <w:tcPr>
            <w:tcW w:w="825" w:type="dxa"/>
          </w:tcPr>
          <w:p w:rsidR="00A05B7D" w:rsidRDefault="00A05B7D" w:rsidP="00097387">
            <w:pPr>
              <w:pStyle w:val="TableParagraph"/>
              <w:ind w:left="147" w:right="4"/>
              <w:rPr>
                <w:rFonts w:ascii="Arial"/>
                <w:sz w:val="20"/>
              </w:rPr>
            </w:pPr>
            <w:r>
              <w:rPr>
                <w:rFonts w:ascii="Arial"/>
                <w:spacing w:val="-2"/>
                <w:sz w:val="20"/>
              </w:rPr>
              <w:t>0.013</w:t>
            </w:r>
          </w:p>
        </w:tc>
        <w:tc>
          <w:tcPr>
            <w:tcW w:w="830" w:type="dxa"/>
          </w:tcPr>
          <w:p w:rsidR="00A05B7D" w:rsidRDefault="00A05B7D" w:rsidP="00097387">
            <w:pPr>
              <w:pStyle w:val="TableParagraph"/>
              <w:ind w:right="82"/>
              <w:jc w:val="right"/>
              <w:rPr>
                <w:rFonts w:ascii="Arial"/>
                <w:sz w:val="20"/>
              </w:rPr>
            </w:pPr>
            <w:r>
              <w:rPr>
                <w:rFonts w:ascii="Arial"/>
                <w:spacing w:val="-2"/>
                <w:sz w:val="20"/>
              </w:rPr>
              <w:t>0.043</w:t>
            </w:r>
          </w:p>
        </w:tc>
        <w:tc>
          <w:tcPr>
            <w:tcW w:w="825" w:type="dxa"/>
          </w:tcPr>
          <w:p w:rsidR="00A05B7D" w:rsidRDefault="00A05B7D" w:rsidP="00097387">
            <w:pPr>
              <w:pStyle w:val="TableParagraph"/>
              <w:ind w:left="147"/>
              <w:rPr>
                <w:rFonts w:ascii="Arial"/>
                <w:sz w:val="20"/>
              </w:rPr>
            </w:pPr>
            <w:r>
              <w:rPr>
                <w:rFonts w:ascii="Arial"/>
                <w:spacing w:val="-2"/>
                <w:sz w:val="20"/>
              </w:rPr>
              <w:t>0.043</w:t>
            </w:r>
          </w:p>
        </w:tc>
        <w:tc>
          <w:tcPr>
            <w:tcW w:w="830" w:type="dxa"/>
          </w:tcPr>
          <w:p w:rsidR="00A05B7D" w:rsidRDefault="00A05B7D" w:rsidP="00097387">
            <w:pPr>
              <w:pStyle w:val="TableParagraph"/>
              <w:spacing w:before="0" w:line="240" w:lineRule="auto"/>
              <w:jc w:val="left"/>
              <w:rPr>
                <w:rFonts w:ascii="Times New Roman"/>
                <w:sz w:val="16"/>
              </w:rPr>
            </w:pPr>
          </w:p>
        </w:tc>
      </w:tr>
    </w:tbl>
    <w:p w:rsidR="00A05B7D" w:rsidRDefault="00A05B7D" w:rsidP="008F1020">
      <w:pPr>
        <w:spacing w:after="0"/>
        <w:rPr>
          <w:rFonts w:ascii="Times New Roman" w:hAnsi="Times New Roman" w:cs="Times New Roman"/>
          <w:b/>
          <w:sz w:val="24"/>
        </w:rPr>
      </w:pPr>
    </w:p>
    <w:p w:rsidR="00422B4D" w:rsidRPr="00ED5E07" w:rsidRDefault="008C4991" w:rsidP="008F1020">
      <w:pPr>
        <w:spacing w:after="0"/>
        <w:rPr>
          <w:rFonts w:ascii="Times New Roman" w:hAnsi="Times New Roman" w:cs="Times New Roman"/>
          <w:b/>
          <w:sz w:val="32"/>
        </w:rPr>
      </w:pPr>
      <w:r w:rsidRPr="00ED5E07">
        <w:rPr>
          <w:rFonts w:ascii="Times New Roman" w:hAnsi="Times New Roman" w:cs="Times New Roman"/>
          <w:b/>
          <w:sz w:val="24"/>
        </w:rPr>
        <w:t>DISSCUSSION:</w:t>
      </w:r>
    </w:p>
    <w:p w:rsidR="00C07908" w:rsidRPr="00ED5E07" w:rsidRDefault="008C4991" w:rsidP="008C4991">
      <w:pPr>
        <w:spacing w:before="240"/>
        <w:jc w:val="both"/>
        <w:rPr>
          <w:rFonts w:ascii="Times New Roman" w:hAnsi="Times New Roman" w:cs="Times New Roman"/>
          <w:sz w:val="24"/>
        </w:rPr>
      </w:pPr>
      <w:r w:rsidRPr="00ED5E07">
        <w:rPr>
          <w:rFonts w:ascii="Times New Roman" w:hAnsi="Times New Roman" w:cs="Times New Roman"/>
          <w:i/>
          <w:sz w:val="24"/>
        </w:rPr>
        <w:t xml:space="preserve">Thelohanellus bifurcata </w:t>
      </w:r>
      <w:r w:rsidRPr="00ED5E07">
        <w:rPr>
          <w:rFonts w:ascii="Times New Roman" w:hAnsi="Times New Roman" w:cs="Times New Roman"/>
          <w:sz w:val="24"/>
        </w:rPr>
        <w:t xml:space="preserve">Basu and Haldar, 1999 was first reported from Ranaghat, Nadia, West Bengal. Later it was reported from same host fish, </w:t>
      </w:r>
      <w:r w:rsidRPr="00ED5E07">
        <w:rPr>
          <w:rFonts w:ascii="Times New Roman" w:hAnsi="Times New Roman" w:cs="Times New Roman"/>
          <w:i/>
          <w:sz w:val="24"/>
        </w:rPr>
        <w:t xml:space="preserve">Labeo rohita </w:t>
      </w:r>
      <w:r w:rsidRPr="00ED5E07">
        <w:rPr>
          <w:rFonts w:ascii="Times New Roman" w:hAnsi="Times New Roman" w:cs="Times New Roman"/>
          <w:sz w:val="24"/>
        </w:rPr>
        <w:t xml:space="preserve">from parts of India. The present study deals with the molecular and taxonomic </w:t>
      </w:r>
      <w:r w:rsidR="002D646D" w:rsidRPr="00ED5E07">
        <w:rPr>
          <w:rFonts w:ascii="Times New Roman" w:hAnsi="Times New Roman" w:cs="Times New Roman"/>
          <w:sz w:val="24"/>
        </w:rPr>
        <w:t xml:space="preserve">re-description of the parasite </w:t>
      </w:r>
      <w:r w:rsidR="002D646D" w:rsidRPr="00ED5E07">
        <w:rPr>
          <w:rFonts w:ascii="Times New Roman" w:hAnsi="Times New Roman" w:cs="Times New Roman"/>
          <w:i/>
          <w:sz w:val="24"/>
        </w:rPr>
        <w:t xml:space="preserve">Thelohanellus bifurcata </w:t>
      </w:r>
      <w:r w:rsidR="002D646D" w:rsidRPr="00ED5E07">
        <w:rPr>
          <w:rFonts w:ascii="Times New Roman" w:hAnsi="Times New Roman" w:cs="Times New Roman"/>
          <w:sz w:val="24"/>
        </w:rPr>
        <w:t xml:space="preserve">Basu and Haldar, 1999 from </w:t>
      </w:r>
      <w:r w:rsidR="002D646D" w:rsidRPr="00ED5E07">
        <w:rPr>
          <w:rFonts w:ascii="Times New Roman" w:hAnsi="Times New Roman" w:cs="Times New Roman"/>
          <w:i/>
          <w:sz w:val="24"/>
        </w:rPr>
        <w:t xml:space="preserve">Labeo rohita </w:t>
      </w:r>
      <w:r w:rsidR="002D646D" w:rsidRPr="00ED5E07">
        <w:rPr>
          <w:rFonts w:ascii="Times New Roman" w:hAnsi="Times New Roman" w:cs="Times New Roman"/>
          <w:sz w:val="24"/>
        </w:rPr>
        <w:t xml:space="preserve">from Ranaghat, West Bengal. The present study confirms the presence of the parasite </w:t>
      </w:r>
      <w:r w:rsidR="002D646D" w:rsidRPr="00ED5E07">
        <w:rPr>
          <w:rFonts w:ascii="Times New Roman" w:hAnsi="Times New Roman" w:cs="Times New Roman"/>
          <w:i/>
          <w:sz w:val="24"/>
        </w:rPr>
        <w:t xml:space="preserve">Thelohanellus bifurcata </w:t>
      </w:r>
      <w:r w:rsidR="002D646D" w:rsidRPr="00ED5E07">
        <w:rPr>
          <w:rFonts w:ascii="Times New Roman" w:hAnsi="Times New Roman" w:cs="Times New Roman"/>
          <w:sz w:val="24"/>
        </w:rPr>
        <w:t xml:space="preserve">Basu and Haldar, 1999 in </w:t>
      </w:r>
      <w:r w:rsidR="002D646D" w:rsidRPr="00ED5E07">
        <w:rPr>
          <w:rFonts w:ascii="Times New Roman" w:hAnsi="Times New Roman" w:cs="Times New Roman"/>
          <w:i/>
          <w:sz w:val="24"/>
        </w:rPr>
        <w:t xml:space="preserve">Labeo rohita </w:t>
      </w:r>
      <w:r w:rsidR="002D646D" w:rsidRPr="00ED5E07">
        <w:rPr>
          <w:rFonts w:ascii="Times New Roman" w:hAnsi="Times New Roman" w:cs="Times New Roman"/>
          <w:sz w:val="24"/>
        </w:rPr>
        <w:t xml:space="preserve">on the basis of identification of the parasite by using two different methods. They include </w:t>
      </w:r>
      <w:r w:rsidR="00FC612B" w:rsidRPr="00ED5E07">
        <w:rPr>
          <w:rFonts w:ascii="Times New Roman" w:hAnsi="Times New Roman" w:cs="Times New Roman"/>
          <w:sz w:val="24"/>
        </w:rPr>
        <w:t xml:space="preserve">morphological description and molecular characterization by 18s rRNA gene sequencing. The parasite was reported for the first time from Ranaghat, West Bengal from the same host fish based only on the morphological characteristics. </w:t>
      </w:r>
      <w:r w:rsidR="00B45E81" w:rsidRPr="00ED5E07">
        <w:rPr>
          <w:rFonts w:ascii="Times New Roman" w:hAnsi="Times New Roman" w:cs="Times New Roman"/>
          <w:sz w:val="24"/>
        </w:rPr>
        <w:t xml:space="preserve">In 2024, Nissa et al., were first to perform the molecular identification of the parasite </w:t>
      </w:r>
      <w:r w:rsidR="00B45E81" w:rsidRPr="00ED5E07">
        <w:rPr>
          <w:rFonts w:ascii="Times New Roman" w:hAnsi="Times New Roman" w:cs="Times New Roman"/>
          <w:i/>
          <w:sz w:val="24"/>
        </w:rPr>
        <w:t xml:space="preserve">Thelohanellus bifurcata </w:t>
      </w:r>
      <w:r w:rsidR="00B45E81" w:rsidRPr="00ED5E07">
        <w:rPr>
          <w:rFonts w:ascii="Times New Roman" w:hAnsi="Times New Roman" w:cs="Times New Roman"/>
          <w:sz w:val="24"/>
        </w:rPr>
        <w:t xml:space="preserve">Basu and Haldar, 1999 from Punjab, India infecting the same host fish </w:t>
      </w:r>
      <w:r w:rsidR="00B45E81" w:rsidRPr="00ED5E07">
        <w:rPr>
          <w:rFonts w:ascii="Times New Roman" w:hAnsi="Times New Roman" w:cs="Times New Roman"/>
          <w:i/>
          <w:sz w:val="24"/>
        </w:rPr>
        <w:t>Labeo rohita</w:t>
      </w:r>
      <w:r w:rsidR="00B45E81" w:rsidRPr="00ED5E07">
        <w:rPr>
          <w:rFonts w:ascii="Times New Roman" w:hAnsi="Times New Roman" w:cs="Times New Roman"/>
          <w:sz w:val="24"/>
        </w:rPr>
        <w:t xml:space="preserve">. The present study deals with the molecular characterization of this parasite isolated from the same host fish, </w:t>
      </w:r>
      <w:r w:rsidR="00B45E81" w:rsidRPr="00ED5E07">
        <w:rPr>
          <w:rFonts w:ascii="Times New Roman" w:hAnsi="Times New Roman" w:cs="Times New Roman"/>
          <w:i/>
          <w:sz w:val="24"/>
        </w:rPr>
        <w:t>Labeo rohita</w:t>
      </w:r>
      <w:r w:rsidR="001B6F14" w:rsidRPr="00ED5E07">
        <w:rPr>
          <w:rFonts w:ascii="Times New Roman" w:hAnsi="Times New Roman" w:cs="Times New Roman"/>
          <w:sz w:val="24"/>
        </w:rPr>
        <w:t xml:space="preserve"> from the same geographical region, Ranaghat, West Bengal which was studied during the original description by Basu and Haldar in 1999.</w:t>
      </w:r>
    </w:p>
    <w:p w:rsidR="00A017C8" w:rsidRPr="00ED5E07" w:rsidRDefault="00C07908" w:rsidP="008C4991">
      <w:pPr>
        <w:spacing w:before="240"/>
        <w:jc w:val="both"/>
        <w:rPr>
          <w:rFonts w:ascii="Times New Roman" w:hAnsi="Times New Roman" w:cs="Times New Roman"/>
          <w:sz w:val="24"/>
        </w:rPr>
      </w:pPr>
      <w:r w:rsidRPr="00ED5E07">
        <w:rPr>
          <w:rFonts w:ascii="Times New Roman" w:hAnsi="Times New Roman" w:cs="Times New Roman"/>
          <w:sz w:val="24"/>
        </w:rPr>
        <w:t xml:space="preserve">Due to the extensive diversity and potential complexity among the genus </w:t>
      </w:r>
      <w:r w:rsidRPr="00ED5E07">
        <w:rPr>
          <w:rFonts w:ascii="Times New Roman" w:hAnsi="Times New Roman" w:cs="Times New Roman"/>
          <w:i/>
          <w:sz w:val="24"/>
        </w:rPr>
        <w:t>Thelohanellus</w:t>
      </w:r>
      <w:r w:rsidRPr="00ED5E07">
        <w:rPr>
          <w:rFonts w:ascii="Times New Roman" w:hAnsi="Times New Roman" w:cs="Times New Roman"/>
          <w:sz w:val="24"/>
        </w:rPr>
        <w:t xml:space="preserve"> it is not enough to rely solely on morphological description for the identification of the species. To abolish this ambiguity, molecular studies of the species are very much essential (Cech et al., 2012). The 18s rRNA gene sequence data obtained from the present study was compared with other sequences from the GenBank database. The sequences have been used to ge</w:t>
      </w:r>
      <w:r w:rsidR="007B68A1" w:rsidRPr="00ED5E07">
        <w:rPr>
          <w:rFonts w:ascii="Times New Roman" w:hAnsi="Times New Roman" w:cs="Times New Roman"/>
          <w:sz w:val="24"/>
        </w:rPr>
        <w:t>nerate a distance matrix (Table 4</w:t>
      </w:r>
      <w:r w:rsidRPr="00ED5E07">
        <w:rPr>
          <w:rFonts w:ascii="Times New Roman" w:hAnsi="Times New Roman" w:cs="Times New Roman"/>
          <w:sz w:val="24"/>
        </w:rPr>
        <w:t>)</w:t>
      </w:r>
      <w:r w:rsidR="00C022F4">
        <w:rPr>
          <w:rFonts w:ascii="Times New Roman" w:hAnsi="Times New Roman" w:cs="Times New Roman"/>
          <w:sz w:val="24"/>
        </w:rPr>
        <w:t xml:space="preserve"> and a phylogenetic tree (Fig 2</w:t>
      </w:r>
      <w:r w:rsidRPr="00ED5E07">
        <w:rPr>
          <w:rFonts w:ascii="Times New Roman" w:hAnsi="Times New Roman" w:cs="Times New Roman"/>
          <w:sz w:val="24"/>
        </w:rPr>
        <w:t xml:space="preserve">) which has revealed the taxonomic position of the studied sample (accession number- PX836811). The phylogenetic tree was made based on Maximum Likelihood </w:t>
      </w:r>
      <w:r w:rsidR="002F25FD" w:rsidRPr="00ED5E07">
        <w:rPr>
          <w:rFonts w:ascii="Times New Roman" w:hAnsi="Times New Roman" w:cs="Times New Roman"/>
          <w:sz w:val="24"/>
        </w:rPr>
        <w:t xml:space="preserve">Method and Tamura-Nei Model (Tamura et al., 2004). The phylogenetic tree demonstrates that the studied sample is closely related to </w:t>
      </w:r>
      <w:r w:rsidR="002F25FD" w:rsidRPr="00ED5E07">
        <w:rPr>
          <w:rFonts w:ascii="Times New Roman" w:hAnsi="Times New Roman" w:cs="Times New Roman"/>
          <w:i/>
          <w:sz w:val="24"/>
        </w:rPr>
        <w:t xml:space="preserve">Thelohanellus </w:t>
      </w:r>
      <w:r w:rsidR="002F25FD" w:rsidRPr="00ED5E07">
        <w:rPr>
          <w:rFonts w:ascii="Times New Roman" w:hAnsi="Times New Roman" w:cs="Times New Roman"/>
          <w:sz w:val="24"/>
        </w:rPr>
        <w:t xml:space="preserve">sp. 1 2015 (accession number- KT387307.1) and with </w:t>
      </w:r>
      <w:r w:rsidR="002F25FD" w:rsidRPr="00ED5E07">
        <w:rPr>
          <w:rFonts w:ascii="Times New Roman" w:hAnsi="Times New Roman" w:cs="Times New Roman"/>
          <w:i/>
          <w:sz w:val="24"/>
        </w:rPr>
        <w:t>Thelohanellus</w:t>
      </w:r>
      <w:r w:rsidR="00AD660A">
        <w:rPr>
          <w:rFonts w:ascii="Times New Roman" w:hAnsi="Times New Roman" w:cs="Times New Roman"/>
          <w:i/>
          <w:sz w:val="24"/>
        </w:rPr>
        <w:t xml:space="preserve"> </w:t>
      </w:r>
      <w:r w:rsidR="002F25FD" w:rsidRPr="00ED5E07">
        <w:rPr>
          <w:rFonts w:ascii="Times New Roman" w:hAnsi="Times New Roman" w:cs="Times New Roman"/>
          <w:i/>
          <w:sz w:val="24"/>
        </w:rPr>
        <w:t xml:space="preserve">filli </w:t>
      </w:r>
      <w:r w:rsidR="002F25FD" w:rsidRPr="00ED5E07">
        <w:rPr>
          <w:rFonts w:ascii="Times New Roman" w:hAnsi="Times New Roman" w:cs="Times New Roman"/>
          <w:sz w:val="24"/>
        </w:rPr>
        <w:t xml:space="preserve">isolate Ranjit Sagar (accession number- KR340464.1), suggesting that these sequences may belong to the same </w:t>
      </w:r>
      <w:r w:rsidR="003B2385" w:rsidRPr="00ED5E07">
        <w:rPr>
          <w:rFonts w:ascii="Times New Roman" w:hAnsi="Times New Roman" w:cs="Times New Roman"/>
          <w:sz w:val="24"/>
        </w:rPr>
        <w:t xml:space="preserve">species or closely related strains. The tight clustering observed among other sequence pairs indicate their high genetic similarity, possibly reflecting shared evolutionary origins. In contrast, the basal position of </w:t>
      </w:r>
      <w:r w:rsidR="003B2385" w:rsidRPr="00ED5E07">
        <w:rPr>
          <w:rFonts w:ascii="Times New Roman" w:hAnsi="Times New Roman" w:cs="Times New Roman"/>
          <w:i/>
          <w:sz w:val="24"/>
        </w:rPr>
        <w:t>Thelohanellus</w:t>
      </w:r>
      <w:r w:rsidR="003B2385" w:rsidRPr="00ED5E07">
        <w:rPr>
          <w:rFonts w:ascii="Times New Roman" w:hAnsi="Times New Roman" w:cs="Times New Roman"/>
          <w:sz w:val="24"/>
        </w:rPr>
        <w:t xml:space="preserve"> sp. HK-2015 (accession number- KP792568.1) and Myxozoa sp. AP-2017 isolate R-1 (accession number- KY484795.1) indicates that these </w:t>
      </w:r>
      <w:r w:rsidR="003B2385" w:rsidRPr="00ED5E07">
        <w:rPr>
          <w:rFonts w:ascii="Times New Roman" w:hAnsi="Times New Roman" w:cs="Times New Roman"/>
          <w:sz w:val="24"/>
        </w:rPr>
        <w:lastRenderedPageBreak/>
        <w:t>sequences are evolutionarily more distant and may represent out group lineages. Overall, the phylogenetic relationships observed</w:t>
      </w:r>
      <w:r w:rsidR="00A017C8" w:rsidRPr="00ED5E07">
        <w:rPr>
          <w:rFonts w:ascii="Times New Roman" w:hAnsi="Times New Roman" w:cs="Times New Roman"/>
          <w:sz w:val="24"/>
        </w:rPr>
        <w:t xml:space="preserve"> in the present study highlight</w:t>
      </w:r>
      <w:r w:rsidR="00AD660A">
        <w:rPr>
          <w:rFonts w:ascii="Times New Roman" w:hAnsi="Times New Roman" w:cs="Times New Roman"/>
          <w:sz w:val="24"/>
        </w:rPr>
        <w:t xml:space="preserve"> </w:t>
      </w:r>
      <w:r w:rsidR="00A017C8" w:rsidRPr="00ED5E07">
        <w:rPr>
          <w:rFonts w:ascii="Times New Roman" w:hAnsi="Times New Roman" w:cs="Times New Roman"/>
          <w:sz w:val="24"/>
        </w:rPr>
        <w:t>both on conserved and divergent evolutionary patterns among the sequences. Comparison of molecular data of the</w:t>
      </w:r>
      <w:r w:rsidR="007B68A1" w:rsidRPr="00ED5E07">
        <w:rPr>
          <w:rFonts w:ascii="Times New Roman" w:hAnsi="Times New Roman" w:cs="Times New Roman"/>
          <w:sz w:val="24"/>
        </w:rPr>
        <w:t xml:space="preserve"> sequences presented in Table 3</w:t>
      </w:r>
      <w:r w:rsidR="00A017C8" w:rsidRPr="00ED5E07">
        <w:rPr>
          <w:rFonts w:ascii="Times New Roman" w:hAnsi="Times New Roman" w:cs="Times New Roman"/>
          <w:sz w:val="24"/>
        </w:rPr>
        <w:t xml:space="preserve"> shows maximum similarity with </w:t>
      </w:r>
      <w:r w:rsidR="00A017C8" w:rsidRPr="00ED5E07">
        <w:rPr>
          <w:rFonts w:ascii="Times New Roman" w:hAnsi="Times New Roman" w:cs="Times New Roman"/>
          <w:i/>
          <w:sz w:val="24"/>
        </w:rPr>
        <w:t xml:space="preserve">Thelohanellus bifurcata </w:t>
      </w:r>
      <w:r w:rsidR="00A017C8" w:rsidRPr="00ED5E07">
        <w:rPr>
          <w:rFonts w:ascii="Times New Roman" w:hAnsi="Times New Roman" w:cs="Times New Roman"/>
          <w:sz w:val="24"/>
        </w:rPr>
        <w:t xml:space="preserve">isolate R1 (accession number- ON820188.2) revealing 99.22% similarity with the studied sample. It suggests that the studied sample seems to be </w:t>
      </w:r>
      <w:r w:rsidR="00A017C8" w:rsidRPr="00ED5E07">
        <w:rPr>
          <w:rFonts w:ascii="Times New Roman" w:hAnsi="Times New Roman" w:cs="Times New Roman"/>
          <w:i/>
          <w:sz w:val="24"/>
        </w:rPr>
        <w:t>Thelohanellus bifurcata.</w:t>
      </w:r>
    </w:p>
    <w:p w:rsidR="00AD660A" w:rsidRDefault="00AD660A" w:rsidP="00AD660A">
      <w:pPr>
        <w:spacing w:before="240"/>
        <w:jc w:val="both"/>
        <w:rPr>
          <w:rFonts w:ascii="Times New Roman" w:hAnsi="Times New Roman" w:cs="Times New Roman"/>
          <w:sz w:val="24"/>
        </w:rPr>
      </w:pPr>
      <w:r w:rsidRPr="00043439">
        <w:rPr>
          <w:rFonts w:ascii="Times New Roman" w:hAnsi="Times New Roman" w:cs="Times New Roman"/>
          <w:sz w:val="24"/>
        </w:rPr>
        <w:t xml:space="preserve">In this study, </w:t>
      </w:r>
      <w:r w:rsidRPr="00043439">
        <w:rPr>
          <w:rFonts w:ascii="Times New Roman" w:hAnsi="Times New Roman" w:cs="Times New Roman"/>
          <w:i/>
          <w:sz w:val="24"/>
        </w:rPr>
        <w:t xml:space="preserve">Thelohanellus bifurcata </w:t>
      </w:r>
      <w:r w:rsidRPr="00043439">
        <w:rPr>
          <w:rFonts w:ascii="Times New Roman" w:hAnsi="Times New Roman" w:cs="Times New Roman"/>
          <w:sz w:val="24"/>
        </w:rPr>
        <w:t xml:space="preserve">(present study), </w:t>
      </w:r>
      <w:r w:rsidRPr="00043439">
        <w:rPr>
          <w:rFonts w:ascii="Times New Roman" w:hAnsi="Times New Roman" w:cs="Times New Roman"/>
          <w:i/>
          <w:sz w:val="24"/>
        </w:rPr>
        <w:t xml:space="preserve">Thelohanellus bifurcata </w:t>
      </w:r>
      <w:r w:rsidRPr="00043439">
        <w:rPr>
          <w:rFonts w:ascii="Times New Roman" w:hAnsi="Times New Roman" w:cs="Times New Roman"/>
          <w:sz w:val="24"/>
        </w:rPr>
        <w:t xml:space="preserve">(sequences of compared sample in Table 3), </w:t>
      </w:r>
      <w:r w:rsidRPr="00043439">
        <w:rPr>
          <w:rFonts w:ascii="Times New Roman" w:hAnsi="Times New Roman" w:cs="Times New Roman"/>
          <w:i/>
          <w:sz w:val="24"/>
        </w:rPr>
        <w:t>Thelohanellus</w:t>
      </w:r>
      <w:r>
        <w:rPr>
          <w:rFonts w:ascii="Times New Roman" w:hAnsi="Times New Roman" w:cs="Times New Roman"/>
          <w:i/>
          <w:sz w:val="24"/>
        </w:rPr>
        <w:t xml:space="preserve"> </w:t>
      </w:r>
      <w:r w:rsidRPr="00043439">
        <w:rPr>
          <w:rFonts w:ascii="Times New Roman" w:hAnsi="Times New Roman" w:cs="Times New Roman"/>
          <w:i/>
          <w:sz w:val="24"/>
        </w:rPr>
        <w:t>filli</w:t>
      </w:r>
      <w:r w:rsidRPr="00043439">
        <w:rPr>
          <w:rFonts w:ascii="Times New Roman" w:hAnsi="Times New Roman" w:cs="Times New Roman"/>
          <w:sz w:val="24"/>
        </w:rPr>
        <w:t xml:space="preserve">, </w:t>
      </w:r>
      <w:r w:rsidRPr="00043439">
        <w:rPr>
          <w:rFonts w:ascii="Times New Roman" w:hAnsi="Times New Roman" w:cs="Times New Roman"/>
          <w:i/>
          <w:sz w:val="24"/>
        </w:rPr>
        <w:t>Thelohanellus seni</w:t>
      </w:r>
      <w:r w:rsidRPr="00043439">
        <w:rPr>
          <w:rFonts w:ascii="Times New Roman" w:hAnsi="Times New Roman" w:cs="Times New Roman"/>
          <w:sz w:val="24"/>
        </w:rPr>
        <w:t xml:space="preserve">, </w:t>
      </w:r>
      <w:r w:rsidRPr="00043439">
        <w:rPr>
          <w:rFonts w:ascii="Times New Roman" w:hAnsi="Times New Roman" w:cs="Times New Roman"/>
          <w:i/>
          <w:sz w:val="24"/>
        </w:rPr>
        <w:t>Thelohanellus jiroveci,</w:t>
      </w:r>
      <w:r>
        <w:rPr>
          <w:rFonts w:ascii="Times New Roman" w:hAnsi="Times New Roman" w:cs="Times New Roman"/>
          <w:i/>
          <w:sz w:val="24"/>
        </w:rPr>
        <w:t xml:space="preserve"> </w:t>
      </w:r>
      <w:r w:rsidRPr="00043439">
        <w:rPr>
          <w:rFonts w:ascii="Times New Roman" w:hAnsi="Times New Roman" w:cs="Times New Roman"/>
          <w:i/>
          <w:sz w:val="24"/>
        </w:rPr>
        <w:t>Thelohanellus rohitae</w:t>
      </w:r>
      <w:r w:rsidRPr="00043439">
        <w:rPr>
          <w:rFonts w:ascii="Times New Roman" w:hAnsi="Times New Roman" w:cs="Times New Roman"/>
          <w:sz w:val="24"/>
        </w:rPr>
        <w:t xml:space="preserve"> seems to be closely related according </w:t>
      </w:r>
      <w:r>
        <w:rPr>
          <w:rFonts w:ascii="Times New Roman" w:hAnsi="Times New Roman" w:cs="Times New Roman"/>
          <w:sz w:val="24"/>
        </w:rPr>
        <w:t>to the phylogenetic tree (Fig 2</w:t>
      </w:r>
      <w:r w:rsidRPr="00043439">
        <w:rPr>
          <w:rFonts w:ascii="Times New Roman" w:hAnsi="Times New Roman" w:cs="Times New Roman"/>
          <w:sz w:val="24"/>
        </w:rPr>
        <w:t xml:space="preserve">). However, the morphometric characters of these species which are presented in Table 5, clearly shows the morphological dissimilarities among all these species. Phylogenetically, these species are closely related. Similar results were observed by Kaur et al., 2021 and Nissa et al., 2024 in their studies. The reason behind the similar result may be that </w:t>
      </w:r>
      <w:r w:rsidRPr="00043439">
        <w:rPr>
          <w:rFonts w:ascii="Times New Roman" w:hAnsi="Times New Roman" w:cs="Times New Roman"/>
          <w:i/>
          <w:sz w:val="24"/>
        </w:rPr>
        <w:t xml:space="preserve">Thelohanellus bifurcata </w:t>
      </w:r>
      <w:r w:rsidRPr="00043439">
        <w:rPr>
          <w:rFonts w:ascii="Times New Roman" w:hAnsi="Times New Roman" w:cs="Times New Roman"/>
          <w:sz w:val="24"/>
        </w:rPr>
        <w:t xml:space="preserve">clusters with the other above mentioned species from India in a well-supported group and all these species infect the gills of the same host, </w:t>
      </w:r>
      <w:r w:rsidRPr="00043439">
        <w:rPr>
          <w:rFonts w:ascii="Times New Roman" w:hAnsi="Times New Roman" w:cs="Times New Roman"/>
          <w:i/>
          <w:sz w:val="24"/>
        </w:rPr>
        <w:t xml:space="preserve">Labeo rohita </w:t>
      </w:r>
      <w:r w:rsidRPr="00043439">
        <w:rPr>
          <w:rFonts w:ascii="Times New Roman" w:hAnsi="Times New Roman" w:cs="Times New Roman"/>
          <w:sz w:val="24"/>
        </w:rPr>
        <w:t>from Indian sub-continent (Nissa et al., 2024).</w:t>
      </w:r>
      <w:r w:rsidR="00AB4499">
        <w:rPr>
          <w:rFonts w:ascii="Times New Roman" w:hAnsi="Times New Roman" w:cs="Times New Roman"/>
          <w:sz w:val="24"/>
        </w:rPr>
        <w:t xml:space="preserve"> </w:t>
      </w:r>
      <w:r w:rsidR="00AB4499" w:rsidRPr="00AB4499">
        <w:rPr>
          <w:rFonts w:ascii="Times New Roman" w:hAnsi="Times New Roman" w:cs="Times New Roman"/>
          <w:sz w:val="24"/>
          <w:highlight w:val="yellow"/>
        </w:rPr>
        <w:t xml:space="preserve">But the morphological characteristics </w:t>
      </w:r>
      <w:r w:rsidR="00AB4499">
        <w:rPr>
          <w:rFonts w:ascii="Times New Roman" w:hAnsi="Times New Roman" w:cs="Times New Roman"/>
          <w:sz w:val="24"/>
          <w:highlight w:val="yellow"/>
        </w:rPr>
        <w:t xml:space="preserve">of the species </w:t>
      </w:r>
      <w:r w:rsidR="00AB4499" w:rsidRPr="00AB4499">
        <w:rPr>
          <w:rFonts w:ascii="Times New Roman" w:hAnsi="Times New Roman" w:cs="Times New Roman"/>
          <w:sz w:val="24"/>
          <w:highlight w:val="yellow"/>
        </w:rPr>
        <w:t>are not yet similar (Table 5)</w:t>
      </w:r>
      <w:r w:rsidR="00AB4499">
        <w:rPr>
          <w:rFonts w:ascii="Times New Roman" w:hAnsi="Times New Roman" w:cs="Times New Roman"/>
          <w:sz w:val="24"/>
        </w:rPr>
        <w:t>.</w:t>
      </w:r>
      <w:r w:rsidRPr="00043439">
        <w:rPr>
          <w:rFonts w:ascii="Times New Roman" w:hAnsi="Times New Roman" w:cs="Times New Roman"/>
          <w:sz w:val="24"/>
        </w:rPr>
        <w:t xml:space="preserve"> From the above discussion, it is clear that the studied species in this paper seems to be </w:t>
      </w:r>
      <w:r w:rsidRPr="00043439">
        <w:rPr>
          <w:rFonts w:ascii="Times New Roman" w:hAnsi="Times New Roman" w:cs="Times New Roman"/>
          <w:i/>
          <w:sz w:val="24"/>
        </w:rPr>
        <w:t xml:space="preserve">Thelohanellus bifurcata </w:t>
      </w:r>
      <w:r w:rsidRPr="00043439">
        <w:rPr>
          <w:rFonts w:ascii="Times New Roman" w:hAnsi="Times New Roman" w:cs="Times New Roman"/>
          <w:sz w:val="24"/>
        </w:rPr>
        <w:t>Basu and Haldar, 1999, which has been reported from Ranaghat, West Bengal for the second time. First</w:t>
      </w:r>
      <w:r w:rsidR="00B3027C">
        <w:rPr>
          <w:rFonts w:ascii="Times New Roman" w:hAnsi="Times New Roman" w:cs="Times New Roman"/>
          <w:sz w:val="24"/>
        </w:rPr>
        <w:t>,</w:t>
      </w:r>
      <w:r w:rsidRPr="00043439">
        <w:rPr>
          <w:rFonts w:ascii="Times New Roman" w:hAnsi="Times New Roman" w:cs="Times New Roman"/>
          <w:sz w:val="24"/>
        </w:rPr>
        <w:t xml:space="preserve"> it was reported from Ranaghat, West Bengal by Basu and Haldar, 1999. Nissa et al., 2024 were first to perform the molecular analysis of this species from host fish, </w:t>
      </w:r>
      <w:r w:rsidRPr="00043439">
        <w:rPr>
          <w:rFonts w:ascii="Times New Roman" w:hAnsi="Times New Roman" w:cs="Times New Roman"/>
          <w:i/>
          <w:sz w:val="24"/>
        </w:rPr>
        <w:t xml:space="preserve">Labeo rohita </w:t>
      </w:r>
      <w:r w:rsidRPr="00043439">
        <w:rPr>
          <w:rFonts w:ascii="Times New Roman" w:hAnsi="Times New Roman" w:cs="Times New Roman"/>
          <w:sz w:val="24"/>
        </w:rPr>
        <w:t xml:space="preserve">from Punjab, India. </w:t>
      </w:r>
      <w:r w:rsidR="00B3027C" w:rsidRPr="00B3027C">
        <w:rPr>
          <w:rFonts w:ascii="Times New Roman" w:hAnsi="Times New Roman" w:cs="Times New Roman"/>
          <w:sz w:val="24"/>
          <w:highlight w:val="yellow"/>
        </w:rPr>
        <w:t xml:space="preserve">Though this study represents the morphological re-description of the </w:t>
      </w:r>
      <w:r w:rsidR="00B3027C">
        <w:rPr>
          <w:rFonts w:ascii="Times New Roman" w:hAnsi="Times New Roman" w:cs="Times New Roman"/>
          <w:sz w:val="24"/>
          <w:highlight w:val="yellow"/>
        </w:rPr>
        <w:t>species</w:t>
      </w:r>
      <w:r w:rsidR="00B3027C" w:rsidRPr="00B3027C">
        <w:rPr>
          <w:rFonts w:ascii="Times New Roman" w:hAnsi="Times New Roman" w:cs="Times New Roman"/>
          <w:sz w:val="24"/>
          <w:highlight w:val="yellow"/>
        </w:rPr>
        <w:t>, it</w:t>
      </w:r>
      <w:r w:rsidRPr="00B3027C">
        <w:rPr>
          <w:rFonts w:ascii="Times New Roman" w:hAnsi="Times New Roman" w:cs="Times New Roman"/>
          <w:sz w:val="24"/>
          <w:highlight w:val="yellow"/>
        </w:rPr>
        <w:t xml:space="preserve"> presents the molecular analysis of </w:t>
      </w:r>
      <w:r w:rsidRPr="00B3027C">
        <w:rPr>
          <w:rFonts w:ascii="Times New Roman" w:hAnsi="Times New Roman" w:cs="Times New Roman"/>
          <w:i/>
          <w:sz w:val="24"/>
          <w:highlight w:val="yellow"/>
        </w:rPr>
        <w:t xml:space="preserve">Thelohanellus bifurcata </w:t>
      </w:r>
      <w:r w:rsidRPr="00B3027C">
        <w:rPr>
          <w:rFonts w:ascii="Times New Roman" w:hAnsi="Times New Roman" w:cs="Times New Roman"/>
          <w:sz w:val="24"/>
          <w:highlight w:val="yellow"/>
        </w:rPr>
        <w:t>Basu and Haldar, 1999 for the second time from Indian sub-continent and for the first time from West Bengal.</w:t>
      </w:r>
      <w:r w:rsidRPr="00043439">
        <w:rPr>
          <w:rFonts w:ascii="Times New Roman" w:hAnsi="Times New Roman" w:cs="Times New Roman"/>
          <w:sz w:val="24"/>
        </w:rPr>
        <w:t xml:space="preserve"> </w:t>
      </w:r>
    </w:p>
    <w:p w:rsidR="00D847F2" w:rsidRPr="00043439" w:rsidRDefault="00D847F2" w:rsidP="00AD660A">
      <w:pPr>
        <w:spacing w:before="240"/>
        <w:jc w:val="both"/>
        <w:rPr>
          <w:rFonts w:ascii="Times New Roman" w:hAnsi="Times New Roman" w:cs="Times New Roman"/>
          <w:sz w:val="24"/>
        </w:rPr>
      </w:pPr>
      <w:r w:rsidRPr="00616AAC">
        <w:rPr>
          <w:rFonts w:ascii="Times New Roman" w:hAnsi="Times New Roman" w:cs="Times New Roman"/>
          <w:sz w:val="24"/>
          <w:highlight w:val="yellow"/>
        </w:rPr>
        <w:t xml:space="preserve">Though the present study highlights only on the molecular characterization of </w:t>
      </w:r>
      <w:r w:rsidRPr="00616AAC">
        <w:rPr>
          <w:rFonts w:ascii="Times New Roman" w:hAnsi="Times New Roman" w:cs="Times New Roman"/>
          <w:i/>
          <w:sz w:val="24"/>
          <w:highlight w:val="yellow"/>
        </w:rPr>
        <w:t xml:space="preserve">Thelohanellus bifurcata </w:t>
      </w:r>
      <w:r w:rsidRPr="00616AAC">
        <w:rPr>
          <w:rFonts w:ascii="Times New Roman" w:hAnsi="Times New Roman" w:cs="Times New Roman"/>
          <w:sz w:val="24"/>
          <w:highlight w:val="yellow"/>
        </w:rPr>
        <w:t>Basu and Haldar, 1999, it is very important to have clarity in the assessment regarding the impact of the parasite on the host fish. The host specificity of this species can also be assessed. Further, this genetic analysis of the parasite can expands the scope of developing diagnostics and</w:t>
      </w:r>
      <w:r w:rsidR="00611775" w:rsidRPr="00616AAC">
        <w:rPr>
          <w:rFonts w:ascii="Times New Roman" w:hAnsi="Times New Roman" w:cs="Times New Roman"/>
          <w:sz w:val="24"/>
          <w:highlight w:val="yellow"/>
        </w:rPr>
        <w:t xml:space="preserve"> disease control measures. Therefore, it can be concluded that using the molecular data of the species, further studies such as histopathological studies are required for the proper assessment of the impact of the parasite on host fish which will lead to develop proper control measures for such economically important fishes.</w:t>
      </w:r>
    </w:p>
    <w:p w:rsidR="00043439" w:rsidRDefault="00043439" w:rsidP="00EC665E">
      <w:pPr>
        <w:spacing w:after="0"/>
        <w:jc w:val="both"/>
        <w:rPr>
          <w:rFonts w:ascii="Times New Roman" w:hAnsi="Times New Roman" w:cs="Times New Roman"/>
          <w:b/>
          <w:sz w:val="20"/>
          <w:szCs w:val="20"/>
        </w:rPr>
      </w:pPr>
    </w:p>
    <w:p w:rsidR="00EC665E" w:rsidRPr="00485F80" w:rsidRDefault="003F18F6" w:rsidP="00EC665E">
      <w:pPr>
        <w:spacing w:after="0"/>
        <w:jc w:val="both"/>
        <w:rPr>
          <w:rFonts w:ascii="Times New Roman" w:hAnsi="Times New Roman" w:cs="Times New Roman"/>
          <w:sz w:val="20"/>
        </w:rPr>
      </w:pPr>
      <w:r w:rsidRPr="00485F80">
        <w:rPr>
          <w:rFonts w:ascii="Times New Roman" w:hAnsi="Times New Roman" w:cs="Times New Roman"/>
          <w:b/>
          <w:sz w:val="20"/>
          <w:szCs w:val="20"/>
        </w:rPr>
        <w:t>Table 5</w:t>
      </w:r>
      <w:r w:rsidR="00EC665E" w:rsidRPr="00485F80">
        <w:rPr>
          <w:rFonts w:ascii="Times New Roman" w:hAnsi="Times New Roman" w:cs="Times New Roman"/>
          <w:b/>
          <w:sz w:val="20"/>
          <w:szCs w:val="20"/>
        </w:rPr>
        <w:t>:</w:t>
      </w:r>
      <w:r w:rsidR="00EC665E" w:rsidRPr="00485F80">
        <w:rPr>
          <w:rFonts w:ascii="Times New Roman" w:hAnsi="Times New Roman" w:cs="Times New Roman"/>
          <w:sz w:val="20"/>
          <w:szCs w:val="20"/>
        </w:rPr>
        <w:t xml:space="preserve"> Morphological comparison of the species of </w:t>
      </w:r>
      <w:r w:rsidR="00EC665E" w:rsidRPr="00485F80">
        <w:rPr>
          <w:rFonts w:ascii="Times New Roman" w:hAnsi="Times New Roman" w:cs="Times New Roman"/>
          <w:i/>
          <w:sz w:val="20"/>
        </w:rPr>
        <w:t xml:space="preserve">Thelohanellus </w:t>
      </w:r>
      <w:r w:rsidR="00EC665E" w:rsidRPr="00485F80">
        <w:rPr>
          <w:rFonts w:ascii="Times New Roman" w:hAnsi="Times New Roman" w:cs="Times New Roman"/>
          <w:sz w:val="20"/>
        </w:rPr>
        <w:t>(LS- length of Myxospore, WS- width of spore, LPC- length of polar capsule, WPC- width of polar capsule, NPF- number of polar filament turns)</w:t>
      </w:r>
    </w:p>
    <w:tbl>
      <w:tblPr>
        <w:tblW w:w="10080" w:type="dxa"/>
        <w:tblInd w:w="-520" w:type="dxa"/>
        <w:tblLook w:val="04A0"/>
      </w:tblPr>
      <w:tblGrid>
        <w:gridCol w:w="1516"/>
        <w:gridCol w:w="1925"/>
        <w:gridCol w:w="1175"/>
        <w:gridCol w:w="1157"/>
        <w:gridCol w:w="1413"/>
        <w:gridCol w:w="817"/>
        <w:gridCol w:w="2077"/>
      </w:tblGrid>
      <w:tr w:rsidR="00253084" w:rsidRPr="00031A1B" w:rsidTr="00097387">
        <w:trPr>
          <w:trHeight w:val="461"/>
        </w:trPr>
        <w:tc>
          <w:tcPr>
            <w:tcW w:w="1516" w:type="dxa"/>
            <w:tcBorders>
              <w:top w:val="single" w:sz="4" w:space="0" w:color="auto"/>
              <w:left w:val="nil"/>
              <w:bottom w:val="single" w:sz="4" w:space="0" w:color="auto"/>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Myxozoan species</w:t>
            </w:r>
          </w:p>
        </w:tc>
        <w:tc>
          <w:tcPr>
            <w:tcW w:w="1925" w:type="dxa"/>
            <w:tcBorders>
              <w:top w:val="single" w:sz="4" w:space="0" w:color="auto"/>
              <w:left w:val="nil"/>
              <w:bottom w:val="single" w:sz="4" w:space="0" w:color="auto"/>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Host</w:t>
            </w:r>
          </w:p>
        </w:tc>
        <w:tc>
          <w:tcPr>
            <w:tcW w:w="1175" w:type="dxa"/>
            <w:tcBorders>
              <w:top w:val="single" w:sz="4" w:space="0" w:color="auto"/>
              <w:left w:val="nil"/>
              <w:bottom w:val="single" w:sz="4" w:space="0" w:color="auto"/>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Organ Infected</w:t>
            </w:r>
          </w:p>
        </w:tc>
        <w:tc>
          <w:tcPr>
            <w:tcW w:w="1157" w:type="dxa"/>
            <w:tcBorders>
              <w:top w:val="single" w:sz="4" w:space="0" w:color="auto"/>
              <w:left w:val="nil"/>
              <w:bottom w:val="single" w:sz="4" w:space="0" w:color="auto"/>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LS x WS (</w:t>
            </w:r>
            <w:r w:rsidRPr="00031A1B">
              <w:rPr>
                <w:rFonts w:ascii="Calibri" w:eastAsia="Times New Roman" w:hAnsi="Calibri" w:cs="Calibri"/>
                <w:b/>
                <w:bCs/>
                <w:color w:val="000000"/>
                <w:sz w:val="20"/>
                <w:szCs w:val="20"/>
              </w:rPr>
              <w:t>µ</w:t>
            </w:r>
            <w:r w:rsidRPr="00031A1B">
              <w:rPr>
                <w:rFonts w:ascii="Times New Roman" w:eastAsia="Times New Roman" w:hAnsi="Times New Roman" w:cs="Times New Roman"/>
                <w:b/>
                <w:bCs/>
                <w:color w:val="000000"/>
                <w:sz w:val="20"/>
                <w:szCs w:val="20"/>
              </w:rPr>
              <w:t>m)</w:t>
            </w:r>
          </w:p>
        </w:tc>
        <w:tc>
          <w:tcPr>
            <w:tcW w:w="1413" w:type="dxa"/>
            <w:tcBorders>
              <w:top w:val="single" w:sz="4" w:space="0" w:color="auto"/>
              <w:left w:val="nil"/>
              <w:bottom w:val="single" w:sz="4" w:space="0" w:color="auto"/>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LPC x WPC  (µm)</w:t>
            </w:r>
          </w:p>
        </w:tc>
        <w:tc>
          <w:tcPr>
            <w:tcW w:w="817" w:type="dxa"/>
            <w:tcBorders>
              <w:top w:val="single" w:sz="4" w:space="0" w:color="auto"/>
              <w:left w:val="nil"/>
              <w:bottom w:val="single" w:sz="4" w:space="0" w:color="auto"/>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NPF</w:t>
            </w:r>
          </w:p>
        </w:tc>
        <w:tc>
          <w:tcPr>
            <w:tcW w:w="2077" w:type="dxa"/>
            <w:tcBorders>
              <w:top w:val="single" w:sz="4" w:space="0" w:color="auto"/>
              <w:left w:val="nil"/>
              <w:bottom w:val="single" w:sz="4" w:space="0" w:color="auto"/>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Reference</w:t>
            </w:r>
          </w:p>
        </w:tc>
      </w:tr>
      <w:tr w:rsidR="00253084" w:rsidRPr="00031A1B" w:rsidTr="00097387">
        <w:trPr>
          <w:trHeight w:val="428"/>
        </w:trPr>
        <w:tc>
          <w:tcPr>
            <w:tcW w:w="1516" w:type="dxa"/>
            <w:tcBorders>
              <w:top w:val="single" w:sz="4" w:space="0" w:color="auto"/>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T. bifurcata</w:t>
            </w:r>
          </w:p>
        </w:tc>
        <w:tc>
          <w:tcPr>
            <w:tcW w:w="1925" w:type="dxa"/>
            <w:tcBorders>
              <w:top w:val="single" w:sz="4" w:space="0" w:color="auto"/>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Labeo rohita</w:t>
            </w:r>
          </w:p>
        </w:tc>
        <w:tc>
          <w:tcPr>
            <w:tcW w:w="1175" w:type="dxa"/>
            <w:tcBorders>
              <w:top w:val="single" w:sz="4" w:space="0" w:color="auto"/>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single" w:sz="4" w:space="0" w:color="auto"/>
              <w:left w:val="nil"/>
              <w:bottom w:val="nil"/>
              <w:right w:val="nil"/>
            </w:tcBorders>
            <w:noWrap/>
            <w:vAlign w:val="bottom"/>
            <w:hideMark/>
          </w:tcPr>
          <w:p w:rsidR="00253084" w:rsidRPr="004C4CF7" w:rsidRDefault="00253084" w:rsidP="0009738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32.2 X 8.9</w:t>
            </w:r>
          </w:p>
        </w:tc>
        <w:tc>
          <w:tcPr>
            <w:tcW w:w="1413" w:type="dxa"/>
            <w:tcBorders>
              <w:top w:val="single" w:sz="4" w:space="0" w:color="auto"/>
              <w:left w:val="nil"/>
              <w:bottom w:val="nil"/>
              <w:right w:val="nil"/>
            </w:tcBorders>
            <w:noWrap/>
            <w:vAlign w:val="bottom"/>
            <w:hideMark/>
          </w:tcPr>
          <w:p w:rsidR="00253084" w:rsidRPr="004C4CF7" w:rsidRDefault="00253084" w:rsidP="0009738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19.3 X 6.8</w:t>
            </w:r>
          </w:p>
        </w:tc>
        <w:tc>
          <w:tcPr>
            <w:tcW w:w="817" w:type="dxa"/>
            <w:tcBorders>
              <w:top w:val="single" w:sz="4" w:space="0" w:color="auto"/>
              <w:left w:val="nil"/>
              <w:bottom w:val="nil"/>
              <w:right w:val="nil"/>
            </w:tcBorders>
            <w:noWrap/>
            <w:vAlign w:val="center"/>
            <w:hideMark/>
          </w:tcPr>
          <w:p w:rsidR="00253084" w:rsidRPr="004C4CF7" w:rsidRDefault="00253084" w:rsidP="0009738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11-13</w:t>
            </w:r>
          </w:p>
        </w:tc>
        <w:tc>
          <w:tcPr>
            <w:tcW w:w="2077" w:type="dxa"/>
            <w:tcBorders>
              <w:top w:val="single" w:sz="4" w:space="0" w:color="auto"/>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Present study</w:t>
            </w:r>
          </w:p>
        </w:tc>
      </w:tr>
      <w:tr w:rsidR="00253084" w:rsidRPr="00031A1B" w:rsidTr="00097387">
        <w:trPr>
          <w:trHeight w:val="499"/>
        </w:trPr>
        <w:tc>
          <w:tcPr>
            <w:tcW w:w="1516"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T. bifurcata</w:t>
            </w:r>
          </w:p>
        </w:tc>
        <w:tc>
          <w:tcPr>
            <w:tcW w:w="192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Labeo rohita</w:t>
            </w:r>
          </w:p>
        </w:tc>
        <w:tc>
          <w:tcPr>
            <w:tcW w:w="117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34.8 X 9.2</w:t>
            </w:r>
          </w:p>
        </w:tc>
        <w:tc>
          <w:tcPr>
            <w:tcW w:w="1413"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23.3 X 6.6</w:t>
            </w:r>
          </w:p>
        </w:tc>
        <w:tc>
          <w:tcPr>
            <w:tcW w:w="81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15-20</w:t>
            </w:r>
          </w:p>
        </w:tc>
        <w:tc>
          <w:tcPr>
            <w:tcW w:w="207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Basu and Haldar, 1999</w:t>
            </w:r>
          </w:p>
        </w:tc>
      </w:tr>
      <w:tr w:rsidR="00253084" w:rsidRPr="00031A1B" w:rsidTr="00097387">
        <w:trPr>
          <w:trHeight w:val="577"/>
        </w:trPr>
        <w:tc>
          <w:tcPr>
            <w:tcW w:w="1516"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T. bifurcata</w:t>
            </w:r>
          </w:p>
        </w:tc>
        <w:tc>
          <w:tcPr>
            <w:tcW w:w="192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Labeo rohita</w:t>
            </w:r>
          </w:p>
        </w:tc>
        <w:tc>
          <w:tcPr>
            <w:tcW w:w="117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33.6 X 8.9</w:t>
            </w:r>
          </w:p>
        </w:tc>
        <w:tc>
          <w:tcPr>
            <w:tcW w:w="1413"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18.1 X 5.7</w:t>
            </w:r>
          </w:p>
        </w:tc>
        <w:tc>
          <w:tcPr>
            <w:tcW w:w="81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11-14</w:t>
            </w:r>
          </w:p>
        </w:tc>
        <w:tc>
          <w:tcPr>
            <w:tcW w:w="207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Kaur and Katoch, 2014</w:t>
            </w:r>
          </w:p>
        </w:tc>
      </w:tr>
      <w:tr w:rsidR="00253084" w:rsidRPr="00031A1B" w:rsidTr="00097387">
        <w:trPr>
          <w:trHeight w:val="397"/>
        </w:trPr>
        <w:tc>
          <w:tcPr>
            <w:tcW w:w="1516"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lastRenderedPageBreak/>
              <w:t>T. filli</w:t>
            </w:r>
          </w:p>
        </w:tc>
        <w:tc>
          <w:tcPr>
            <w:tcW w:w="192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Labeo rohita</w:t>
            </w:r>
          </w:p>
        </w:tc>
        <w:tc>
          <w:tcPr>
            <w:tcW w:w="117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27.0 X 10.5</w:t>
            </w:r>
          </w:p>
        </w:tc>
        <w:tc>
          <w:tcPr>
            <w:tcW w:w="1413"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16.6 X 8.2</w:t>
            </w:r>
          </w:p>
        </w:tc>
        <w:tc>
          <w:tcPr>
            <w:tcW w:w="81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12-14</w:t>
            </w:r>
          </w:p>
        </w:tc>
        <w:tc>
          <w:tcPr>
            <w:tcW w:w="207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Kaur et al. 2014</w:t>
            </w:r>
          </w:p>
        </w:tc>
      </w:tr>
      <w:tr w:rsidR="00253084" w:rsidRPr="00031A1B" w:rsidTr="00097387">
        <w:trPr>
          <w:trHeight w:val="574"/>
        </w:trPr>
        <w:tc>
          <w:tcPr>
            <w:tcW w:w="1516"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T. jiroveci</w:t>
            </w:r>
          </w:p>
        </w:tc>
        <w:tc>
          <w:tcPr>
            <w:tcW w:w="192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Labeo bata</w:t>
            </w:r>
          </w:p>
        </w:tc>
        <w:tc>
          <w:tcPr>
            <w:tcW w:w="117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35.0 X 13.0</w:t>
            </w:r>
          </w:p>
        </w:tc>
        <w:tc>
          <w:tcPr>
            <w:tcW w:w="1413"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18.4 X 7.00</w:t>
            </w:r>
          </w:p>
        </w:tc>
        <w:tc>
          <w:tcPr>
            <w:tcW w:w="81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10-12</w:t>
            </w:r>
          </w:p>
        </w:tc>
        <w:tc>
          <w:tcPr>
            <w:tcW w:w="207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Kundu and Haldar, 1981</w:t>
            </w:r>
          </w:p>
        </w:tc>
      </w:tr>
      <w:tr w:rsidR="00253084" w:rsidRPr="00031A1B" w:rsidTr="00097387">
        <w:trPr>
          <w:trHeight w:val="798"/>
        </w:trPr>
        <w:tc>
          <w:tcPr>
            <w:tcW w:w="1516"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T. seni</w:t>
            </w:r>
          </w:p>
        </w:tc>
        <w:tc>
          <w:tcPr>
            <w:tcW w:w="192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Catla catla</w:t>
            </w:r>
          </w:p>
        </w:tc>
        <w:tc>
          <w:tcPr>
            <w:tcW w:w="117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12.4 X 8.5</w:t>
            </w:r>
          </w:p>
        </w:tc>
        <w:tc>
          <w:tcPr>
            <w:tcW w:w="1413"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6.42 X 4.52</w:t>
            </w:r>
          </w:p>
        </w:tc>
        <w:tc>
          <w:tcPr>
            <w:tcW w:w="81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p>
        </w:tc>
        <w:tc>
          <w:tcPr>
            <w:tcW w:w="207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Southwell and Prashad, 1918</w:t>
            </w:r>
          </w:p>
        </w:tc>
      </w:tr>
      <w:tr w:rsidR="00253084" w:rsidRPr="00031A1B" w:rsidTr="00097387">
        <w:trPr>
          <w:trHeight w:val="428"/>
        </w:trPr>
        <w:tc>
          <w:tcPr>
            <w:tcW w:w="1516"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T. rohitae</w:t>
            </w:r>
          </w:p>
        </w:tc>
        <w:tc>
          <w:tcPr>
            <w:tcW w:w="192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Labeo rohita, Labeo bata</w:t>
            </w:r>
          </w:p>
        </w:tc>
        <w:tc>
          <w:tcPr>
            <w:tcW w:w="1175"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31.5 X 11.5</w:t>
            </w:r>
          </w:p>
        </w:tc>
        <w:tc>
          <w:tcPr>
            <w:tcW w:w="1413"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18 X 15.5</w:t>
            </w:r>
          </w:p>
        </w:tc>
        <w:tc>
          <w:tcPr>
            <w:tcW w:w="81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6</w:t>
            </w:r>
          </w:p>
        </w:tc>
        <w:tc>
          <w:tcPr>
            <w:tcW w:w="2077" w:type="dxa"/>
            <w:tcBorders>
              <w:top w:val="nil"/>
              <w:left w:val="nil"/>
              <w:bottom w:val="nil"/>
              <w:right w:val="nil"/>
            </w:tcBorders>
            <w:noWrap/>
            <w:vAlign w:val="center"/>
            <w:hideMark/>
          </w:tcPr>
          <w:p w:rsidR="00253084" w:rsidRPr="00031A1B" w:rsidRDefault="00253084" w:rsidP="00097387">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Southwell and Prashad, 1918</w:t>
            </w:r>
          </w:p>
        </w:tc>
      </w:tr>
    </w:tbl>
    <w:p w:rsidR="00031A1B" w:rsidRPr="00485F80" w:rsidRDefault="00031A1B" w:rsidP="00EC665E">
      <w:pPr>
        <w:spacing w:after="0"/>
        <w:jc w:val="both"/>
        <w:rPr>
          <w:rFonts w:ascii="Times New Roman" w:hAnsi="Times New Roman" w:cs="Times New Roman"/>
          <w:sz w:val="20"/>
        </w:rPr>
      </w:pPr>
    </w:p>
    <w:p w:rsidR="00043439" w:rsidRDefault="00043439" w:rsidP="003A683C">
      <w:pPr>
        <w:spacing w:after="0"/>
        <w:jc w:val="both"/>
        <w:rPr>
          <w:rFonts w:ascii="Times New Roman" w:hAnsi="Times New Roman" w:cs="Times New Roman"/>
          <w:b/>
          <w:sz w:val="24"/>
        </w:rPr>
      </w:pPr>
    </w:p>
    <w:p w:rsidR="006A213F" w:rsidRPr="003721A2" w:rsidRDefault="002B61FD" w:rsidP="003A683C">
      <w:pPr>
        <w:spacing w:after="0"/>
        <w:jc w:val="both"/>
        <w:rPr>
          <w:rFonts w:ascii="Times New Roman" w:hAnsi="Times New Roman" w:cs="Times New Roman"/>
          <w:b/>
          <w:sz w:val="24"/>
          <w:highlight w:val="yellow"/>
        </w:rPr>
      </w:pPr>
      <w:r w:rsidRPr="003721A2">
        <w:rPr>
          <w:rFonts w:ascii="Times New Roman" w:hAnsi="Times New Roman" w:cs="Times New Roman"/>
          <w:b/>
          <w:sz w:val="24"/>
          <w:highlight w:val="yellow"/>
        </w:rPr>
        <w:t>CONCLUSION:</w:t>
      </w:r>
    </w:p>
    <w:p w:rsidR="002B61FD" w:rsidRDefault="002B61FD" w:rsidP="003A683C">
      <w:pPr>
        <w:spacing w:after="0"/>
        <w:jc w:val="both"/>
        <w:rPr>
          <w:rFonts w:ascii="Times New Roman" w:hAnsi="Times New Roman" w:cs="Times New Roman"/>
          <w:sz w:val="24"/>
        </w:rPr>
      </w:pPr>
      <w:r w:rsidRPr="003721A2">
        <w:rPr>
          <w:rFonts w:ascii="Times New Roman" w:hAnsi="Times New Roman" w:cs="Times New Roman"/>
          <w:sz w:val="24"/>
          <w:highlight w:val="yellow"/>
        </w:rPr>
        <w:t xml:space="preserve">The present study combines the morphological characterization along with the molecular characterization of the species </w:t>
      </w:r>
      <w:r w:rsidRPr="003721A2">
        <w:rPr>
          <w:rFonts w:ascii="Times New Roman" w:hAnsi="Times New Roman" w:cs="Times New Roman"/>
          <w:i/>
          <w:sz w:val="24"/>
          <w:highlight w:val="yellow"/>
        </w:rPr>
        <w:t xml:space="preserve">Thelohanellus bifurcata </w:t>
      </w:r>
      <w:r w:rsidRPr="003721A2">
        <w:rPr>
          <w:rFonts w:ascii="Times New Roman" w:hAnsi="Times New Roman" w:cs="Times New Roman"/>
          <w:sz w:val="24"/>
          <w:highlight w:val="yellow"/>
        </w:rPr>
        <w:t xml:space="preserve">Basu and Haldar, 1999 using 18s rRNA gene. This combined study will be helpful in resolving the ambiguities regarding the species identification. </w:t>
      </w:r>
      <w:r w:rsidR="007628F4" w:rsidRPr="003721A2">
        <w:rPr>
          <w:rFonts w:ascii="Times New Roman" w:hAnsi="Times New Roman" w:cs="Times New Roman"/>
          <w:sz w:val="24"/>
          <w:highlight w:val="yellow"/>
        </w:rPr>
        <w:t xml:space="preserve">The present study also helps in expanding the knowledge about the geographical distribution and host specificity of the parasite, adding significant data to regional and global systematic database. </w:t>
      </w:r>
      <w:r w:rsidR="00CD1A05" w:rsidRPr="003721A2">
        <w:rPr>
          <w:rFonts w:ascii="Times New Roman" w:hAnsi="Times New Roman" w:cs="Times New Roman"/>
          <w:sz w:val="24"/>
          <w:highlight w:val="yellow"/>
        </w:rPr>
        <w:t xml:space="preserve">The study of phylogeny of the species presented in this study also expands the future research scopes of studying more genetic markers along with morpho-taxonomy to sort out </w:t>
      </w:r>
      <w:r w:rsidR="003721A2" w:rsidRPr="003721A2">
        <w:rPr>
          <w:rFonts w:ascii="Times New Roman" w:hAnsi="Times New Roman" w:cs="Times New Roman"/>
          <w:sz w:val="24"/>
          <w:highlight w:val="yellow"/>
        </w:rPr>
        <w:t xml:space="preserve">the species complexities among the morphologically different species having almost similar genetic makeup. </w:t>
      </w:r>
      <w:r w:rsidR="005017BD" w:rsidRPr="003721A2">
        <w:rPr>
          <w:rFonts w:ascii="Times New Roman" w:hAnsi="Times New Roman" w:cs="Times New Roman"/>
          <w:sz w:val="24"/>
          <w:highlight w:val="yellow"/>
        </w:rPr>
        <w:t xml:space="preserve">As the studied species has been reported from Indian major carp, </w:t>
      </w:r>
      <w:r w:rsidR="005017BD" w:rsidRPr="003721A2">
        <w:rPr>
          <w:rFonts w:ascii="Times New Roman" w:hAnsi="Times New Roman" w:cs="Times New Roman"/>
          <w:i/>
          <w:sz w:val="24"/>
          <w:highlight w:val="yellow"/>
        </w:rPr>
        <w:t>Labeo rohita</w:t>
      </w:r>
      <w:r w:rsidR="005017BD" w:rsidRPr="003721A2">
        <w:rPr>
          <w:rFonts w:ascii="Times New Roman" w:hAnsi="Times New Roman" w:cs="Times New Roman"/>
          <w:sz w:val="24"/>
          <w:highlight w:val="yellow"/>
        </w:rPr>
        <w:t xml:space="preserve"> an economically important fish, it will also be important for the future research aspects regarding the fish health management.</w:t>
      </w:r>
    </w:p>
    <w:p w:rsidR="003721A2" w:rsidRPr="005017BD" w:rsidRDefault="003721A2" w:rsidP="003A683C">
      <w:pPr>
        <w:spacing w:after="0"/>
        <w:jc w:val="both"/>
        <w:rPr>
          <w:rFonts w:ascii="Times New Roman" w:hAnsi="Times New Roman" w:cs="Times New Roman"/>
          <w:sz w:val="24"/>
        </w:rPr>
      </w:pPr>
    </w:p>
    <w:p w:rsidR="003A683C" w:rsidRPr="00043439" w:rsidRDefault="003A683C" w:rsidP="003A683C">
      <w:pPr>
        <w:spacing w:after="0"/>
        <w:jc w:val="both"/>
        <w:rPr>
          <w:rFonts w:ascii="Times New Roman" w:hAnsi="Times New Roman" w:cs="Times New Roman"/>
          <w:b/>
          <w:sz w:val="24"/>
        </w:rPr>
      </w:pPr>
      <w:r w:rsidRPr="00043439">
        <w:rPr>
          <w:rFonts w:ascii="Times New Roman" w:hAnsi="Times New Roman" w:cs="Times New Roman"/>
          <w:b/>
          <w:sz w:val="24"/>
        </w:rPr>
        <w:t>Data availability statement:</w:t>
      </w:r>
    </w:p>
    <w:p w:rsidR="003A683C" w:rsidRPr="00043439" w:rsidRDefault="003A683C" w:rsidP="003A683C">
      <w:pPr>
        <w:spacing w:after="0"/>
        <w:jc w:val="both"/>
        <w:rPr>
          <w:rFonts w:ascii="Times New Roman" w:hAnsi="Times New Roman" w:cs="Times New Roman"/>
          <w:sz w:val="24"/>
        </w:rPr>
      </w:pPr>
      <w:r w:rsidRPr="00043439">
        <w:rPr>
          <w:rFonts w:ascii="Times New Roman" w:hAnsi="Times New Roman" w:cs="Times New Roman"/>
          <w:sz w:val="24"/>
        </w:rPr>
        <w:t>The data supporting the findings of the present study can be obtained from the corresponding author upon reasonable request.</w:t>
      </w:r>
    </w:p>
    <w:p w:rsidR="005A1A63" w:rsidRDefault="005A1A63" w:rsidP="00E82403">
      <w:pPr>
        <w:spacing w:after="0"/>
        <w:jc w:val="both"/>
        <w:rPr>
          <w:rFonts w:ascii="Times New Roman" w:hAnsi="Times New Roman" w:cs="Times New Roman"/>
          <w:b/>
          <w:sz w:val="24"/>
        </w:rPr>
      </w:pPr>
    </w:p>
    <w:p w:rsidR="00E367A3" w:rsidRPr="00043439" w:rsidRDefault="00E367A3" w:rsidP="00E82403">
      <w:pPr>
        <w:spacing w:after="0"/>
        <w:jc w:val="both"/>
        <w:rPr>
          <w:rFonts w:ascii="Times New Roman" w:hAnsi="Times New Roman" w:cs="Times New Roman"/>
          <w:b/>
          <w:sz w:val="24"/>
        </w:rPr>
      </w:pPr>
      <w:r w:rsidRPr="00043439">
        <w:rPr>
          <w:rFonts w:ascii="Times New Roman" w:hAnsi="Times New Roman" w:cs="Times New Roman"/>
          <w:b/>
          <w:sz w:val="24"/>
        </w:rPr>
        <w:t>Conflict of interest:</w:t>
      </w:r>
    </w:p>
    <w:p w:rsidR="003F70AA" w:rsidRDefault="00E367A3" w:rsidP="00E82403">
      <w:pPr>
        <w:spacing w:after="0"/>
        <w:jc w:val="both"/>
        <w:rPr>
          <w:rFonts w:ascii="Times New Roman" w:hAnsi="Times New Roman" w:cs="Times New Roman"/>
          <w:sz w:val="24"/>
        </w:rPr>
      </w:pPr>
      <w:r w:rsidRPr="00043439">
        <w:rPr>
          <w:rFonts w:ascii="Times New Roman" w:hAnsi="Times New Roman" w:cs="Times New Roman"/>
          <w:sz w:val="24"/>
        </w:rPr>
        <w:t xml:space="preserve">The authors of this paper have no conflict of interest regarding the commercial, academic, political, financial and personal aspects. </w:t>
      </w:r>
      <w:r w:rsidR="00227640" w:rsidRPr="00043439">
        <w:rPr>
          <w:rFonts w:ascii="Times New Roman" w:hAnsi="Times New Roman" w:cs="Times New Roman"/>
          <w:sz w:val="24"/>
        </w:rPr>
        <w:t>The authors declare that they have no comepeting interests.</w:t>
      </w:r>
    </w:p>
    <w:p w:rsidR="00302D26" w:rsidRDefault="00302D26" w:rsidP="00E82403">
      <w:pPr>
        <w:spacing w:after="0"/>
        <w:jc w:val="both"/>
        <w:rPr>
          <w:rFonts w:ascii="Times New Roman" w:hAnsi="Times New Roman" w:cs="Times New Roman"/>
          <w:sz w:val="24"/>
        </w:rPr>
      </w:pPr>
    </w:p>
    <w:p w:rsidR="00310434" w:rsidRPr="00FD46C5" w:rsidRDefault="00310434" w:rsidP="00E82403">
      <w:pPr>
        <w:spacing w:after="0"/>
        <w:jc w:val="both"/>
        <w:rPr>
          <w:rFonts w:ascii="Times New Roman" w:hAnsi="Times New Roman" w:cs="Times New Roman"/>
          <w:b/>
          <w:sz w:val="24"/>
          <w:highlight w:val="yellow"/>
        </w:rPr>
      </w:pPr>
      <w:r w:rsidRPr="00FD46C5">
        <w:rPr>
          <w:rFonts w:ascii="Times New Roman" w:hAnsi="Times New Roman" w:cs="Times New Roman"/>
          <w:b/>
          <w:sz w:val="24"/>
          <w:highlight w:val="yellow"/>
        </w:rPr>
        <w:t>Ethical approval:</w:t>
      </w:r>
    </w:p>
    <w:p w:rsidR="00310434" w:rsidRPr="00310434" w:rsidRDefault="00310434" w:rsidP="00E82403">
      <w:pPr>
        <w:spacing w:after="0"/>
        <w:jc w:val="both"/>
        <w:rPr>
          <w:rFonts w:ascii="Times New Roman" w:hAnsi="Times New Roman" w:cs="Times New Roman"/>
          <w:sz w:val="24"/>
        </w:rPr>
      </w:pPr>
      <w:r w:rsidRPr="00FD46C5">
        <w:rPr>
          <w:rFonts w:ascii="Times New Roman" w:hAnsi="Times New Roman" w:cs="Times New Roman"/>
          <w:sz w:val="24"/>
          <w:highlight w:val="yellow"/>
        </w:rPr>
        <w:t>As per the guidelines of Committee for the Purpose of Control and Supervision of Experiments on Animals (CPCSEA), the experimental practices on fishes do not require approval.</w:t>
      </w:r>
      <w:r>
        <w:rPr>
          <w:rFonts w:ascii="Times New Roman" w:hAnsi="Times New Roman" w:cs="Times New Roman"/>
          <w:sz w:val="24"/>
        </w:rPr>
        <w:t xml:space="preserve"> </w:t>
      </w:r>
    </w:p>
    <w:p w:rsidR="00302D26" w:rsidRDefault="00302D26" w:rsidP="00E82403">
      <w:pPr>
        <w:spacing w:after="0"/>
        <w:jc w:val="both"/>
        <w:rPr>
          <w:rFonts w:ascii="Times New Roman" w:hAnsi="Times New Roman" w:cs="Times New Roman"/>
          <w:sz w:val="24"/>
        </w:rPr>
      </w:pPr>
    </w:p>
    <w:p w:rsidR="00302D26" w:rsidRPr="00302D26" w:rsidRDefault="00302D26" w:rsidP="00302D26">
      <w:pPr>
        <w:spacing w:after="0"/>
        <w:jc w:val="both"/>
        <w:rPr>
          <w:rFonts w:ascii="Times New Roman" w:hAnsi="Times New Roman" w:cs="Times New Roman"/>
          <w:sz w:val="24"/>
        </w:rPr>
      </w:pPr>
      <w:r w:rsidRPr="00302D26">
        <w:rPr>
          <w:rFonts w:ascii="Times New Roman" w:hAnsi="Times New Roman" w:cs="Times New Roman"/>
          <w:sz w:val="24"/>
        </w:rPr>
        <w:t>COMPETING INTERESTS DISCLAIMER:</w:t>
      </w:r>
    </w:p>
    <w:p w:rsidR="00302D26" w:rsidRDefault="00302D26" w:rsidP="00302D26">
      <w:pPr>
        <w:spacing w:after="0"/>
        <w:jc w:val="both"/>
        <w:rPr>
          <w:rFonts w:ascii="Times New Roman" w:hAnsi="Times New Roman" w:cs="Times New Roman"/>
          <w:sz w:val="24"/>
        </w:rPr>
      </w:pPr>
      <w:r w:rsidRPr="00302D26">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rsidR="00043439" w:rsidRDefault="00043439" w:rsidP="00E82403">
      <w:pPr>
        <w:spacing w:after="0"/>
        <w:jc w:val="both"/>
        <w:rPr>
          <w:rFonts w:ascii="Times New Roman" w:hAnsi="Times New Roman" w:cs="Times New Roman"/>
          <w:sz w:val="24"/>
        </w:rPr>
      </w:pPr>
    </w:p>
    <w:p w:rsidR="00CD38AC" w:rsidRPr="00CD38AC" w:rsidRDefault="00CD38AC" w:rsidP="00CD38AC">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0" w:name="_Hlk218867759"/>
      <w:r w:rsidRPr="00CD38AC">
        <w:rPr>
          <w:rFonts w:ascii="Times New Roman" w:eastAsia="Times New Roman" w:hAnsi="Times New Roman" w:cs="Times New Roman"/>
          <w:bCs/>
          <w:sz w:val="24"/>
          <w:szCs w:val="24"/>
          <w:highlight w:val="yellow"/>
          <w:lang w:val="en-GB" w:eastAsia="en-IN"/>
        </w:rPr>
        <w:lastRenderedPageBreak/>
        <w:t>Disclaimer (Artificial intelligence)</w:t>
      </w:r>
    </w:p>
    <w:p w:rsidR="00CD38AC" w:rsidRPr="00CD38AC" w:rsidRDefault="00CD38AC" w:rsidP="00CD38AC">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CD38AC">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p>
    <w:p w:rsidR="00CD38AC" w:rsidRPr="00043439" w:rsidRDefault="00CD38AC" w:rsidP="00E82403">
      <w:pPr>
        <w:spacing w:after="0"/>
        <w:jc w:val="both"/>
        <w:rPr>
          <w:rFonts w:ascii="Times New Roman" w:hAnsi="Times New Roman" w:cs="Times New Roman"/>
          <w:sz w:val="24"/>
        </w:rPr>
      </w:pPr>
      <w:bookmarkStart w:id="1" w:name="_GoBack"/>
      <w:bookmarkEnd w:id="0"/>
      <w:bookmarkEnd w:id="1"/>
    </w:p>
    <w:p w:rsidR="006E7A8D" w:rsidRPr="00043439" w:rsidRDefault="006E7A8D" w:rsidP="00E82403">
      <w:pPr>
        <w:spacing w:after="0"/>
        <w:jc w:val="both"/>
        <w:rPr>
          <w:rFonts w:ascii="Times New Roman" w:hAnsi="Times New Roman" w:cs="Times New Roman"/>
          <w:sz w:val="24"/>
          <w:szCs w:val="24"/>
        </w:rPr>
      </w:pPr>
      <w:r w:rsidRPr="00043439">
        <w:rPr>
          <w:rFonts w:ascii="Times New Roman" w:hAnsi="Times New Roman" w:cs="Times New Roman"/>
          <w:b/>
          <w:sz w:val="24"/>
          <w:szCs w:val="24"/>
        </w:rPr>
        <w:t>REFERENCES:</w:t>
      </w: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Abraham</w:t>
      </w:r>
      <w:r>
        <w:rPr>
          <w:rFonts w:ascii="Times New Roman" w:hAnsi="Times New Roman" w:cs="Times New Roman"/>
          <w:sz w:val="24"/>
          <w:szCs w:val="24"/>
        </w:rPr>
        <w:t>,</w:t>
      </w:r>
      <w:r w:rsidRPr="00D2669A">
        <w:rPr>
          <w:rFonts w:ascii="Times New Roman" w:hAnsi="Times New Roman" w:cs="Times New Roman"/>
          <w:sz w:val="24"/>
          <w:szCs w:val="24"/>
        </w:rPr>
        <w:t xml:space="preserve"> T</w:t>
      </w:r>
      <w:r>
        <w:rPr>
          <w:rFonts w:ascii="Times New Roman" w:hAnsi="Times New Roman" w:cs="Times New Roman"/>
          <w:sz w:val="24"/>
          <w:szCs w:val="24"/>
        </w:rPr>
        <w:t>.</w:t>
      </w:r>
      <w:r w:rsidRPr="00D2669A">
        <w:rPr>
          <w:rFonts w:ascii="Times New Roman" w:hAnsi="Times New Roman" w:cs="Times New Roman"/>
          <w:sz w:val="24"/>
          <w:szCs w:val="24"/>
        </w:rPr>
        <w:t>J</w:t>
      </w:r>
      <w:r>
        <w:rPr>
          <w:rFonts w:ascii="Times New Roman" w:hAnsi="Times New Roman" w:cs="Times New Roman"/>
          <w:sz w:val="24"/>
          <w:szCs w:val="24"/>
        </w:rPr>
        <w:t>.</w:t>
      </w:r>
      <w:r w:rsidRPr="00D2669A">
        <w:rPr>
          <w:rFonts w:ascii="Times New Roman" w:hAnsi="Times New Roman" w:cs="Times New Roman"/>
          <w:sz w:val="24"/>
          <w:szCs w:val="24"/>
        </w:rPr>
        <w:t>, Banerjee</w:t>
      </w:r>
      <w:r>
        <w:rPr>
          <w:rFonts w:ascii="Times New Roman" w:hAnsi="Times New Roman" w:cs="Times New Roman"/>
          <w:sz w:val="24"/>
          <w:szCs w:val="24"/>
        </w:rPr>
        <w:t>,</w:t>
      </w:r>
      <w:r w:rsidRPr="00D2669A">
        <w:rPr>
          <w:rFonts w:ascii="Times New Roman" w:hAnsi="Times New Roman" w:cs="Times New Roman"/>
          <w:sz w:val="24"/>
          <w:szCs w:val="24"/>
        </w:rPr>
        <w:t xml:space="preserve"> S</w:t>
      </w:r>
      <w:r>
        <w:rPr>
          <w:rFonts w:ascii="Times New Roman" w:hAnsi="Times New Roman" w:cs="Times New Roman"/>
          <w:sz w:val="24"/>
          <w:szCs w:val="24"/>
        </w:rPr>
        <w:t>.</w:t>
      </w:r>
      <w:r w:rsidRPr="00D2669A">
        <w:rPr>
          <w:rFonts w:ascii="Times New Roman" w:hAnsi="Times New Roman" w:cs="Times New Roman"/>
          <w:sz w:val="24"/>
          <w:szCs w:val="24"/>
        </w:rPr>
        <w:t>, Patra</w:t>
      </w:r>
      <w:r>
        <w:rPr>
          <w:rFonts w:ascii="Times New Roman" w:hAnsi="Times New Roman" w:cs="Times New Roman"/>
          <w:sz w:val="24"/>
          <w:szCs w:val="24"/>
        </w:rPr>
        <w:t>,</w:t>
      </w:r>
      <w:r w:rsidRPr="00D2669A">
        <w:rPr>
          <w:rFonts w:ascii="Times New Roman" w:hAnsi="Times New Roman" w:cs="Times New Roman"/>
          <w:sz w:val="24"/>
          <w:szCs w:val="24"/>
        </w:rPr>
        <w:t xml:space="preserve"> A</w:t>
      </w:r>
      <w:r>
        <w:rPr>
          <w:rFonts w:ascii="Times New Roman" w:hAnsi="Times New Roman" w:cs="Times New Roman"/>
          <w:sz w:val="24"/>
          <w:szCs w:val="24"/>
        </w:rPr>
        <w:t>.</w:t>
      </w:r>
      <w:r w:rsidRPr="00D2669A">
        <w:rPr>
          <w:rFonts w:ascii="Times New Roman" w:hAnsi="Times New Roman" w:cs="Times New Roman"/>
          <w:sz w:val="24"/>
          <w:szCs w:val="24"/>
        </w:rPr>
        <w:t>, Sarkar</w:t>
      </w:r>
      <w:r>
        <w:rPr>
          <w:rFonts w:ascii="Times New Roman" w:hAnsi="Times New Roman" w:cs="Times New Roman"/>
          <w:sz w:val="24"/>
          <w:szCs w:val="24"/>
        </w:rPr>
        <w:t>,</w:t>
      </w:r>
      <w:r w:rsidRPr="00D2669A">
        <w:rPr>
          <w:rFonts w:ascii="Times New Roman" w:hAnsi="Times New Roman" w:cs="Times New Roman"/>
          <w:sz w:val="24"/>
          <w:szCs w:val="24"/>
        </w:rPr>
        <w:t xml:space="preserve"> A</w:t>
      </w:r>
      <w:r>
        <w:rPr>
          <w:rFonts w:ascii="Times New Roman" w:hAnsi="Times New Roman" w:cs="Times New Roman"/>
          <w:sz w:val="24"/>
          <w:szCs w:val="24"/>
        </w:rPr>
        <w:t>.</w:t>
      </w:r>
      <w:r w:rsidRPr="00D2669A">
        <w:rPr>
          <w:rFonts w:ascii="Times New Roman" w:hAnsi="Times New Roman" w:cs="Times New Roman"/>
          <w:sz w:val="24"/>
          <w:szCs w:val="24"/>
        </w:rPr>
        <w:t>, Adikesavalu</w:t>
      </w:r>
      <w:r>
        <w:rPr>
          <w:rFonts w:ascii="Times New Roman" w:hAnsi="Times New Roman" w:cs="Times New Roman"/>
          <w:sz w:val="24"/>
          <w:szCs w:val="24"/>
        </w:rPr>
        <w:t>,</w:t>
      </w:r>
      <w:r w:rsidRPr="00D2669A">
        <w:rPr>
          <w:rFonts w:ascii="Times New Roman" w:hAnsi="Times New Roman" w:cs="Times New Roman"/>
          <w:sz w:val="24"/>
          <w:szCs w:val="24"/>
        </w:rPr>
        <w:t xml:space="preserve"> H., &amp; Dash, G. (2015). Molecular phylogeny of </w:t>
      </w:r>
      <w:r w:rsidRPr="00D2669A">
        <w:rPr>
          <w:rFonts w:ascii="Times New Roman" w:hAnsi="Times New Roman" w:cs="Times New Roman"/>
          <w:i/>
          <w:sz w:val="24"/>
          <w:szCs w:val="24"/>
        </w:rPr>
        <w:t>Myxobolus orissae</w:t>
      </w:r>
      <w:r w:rsidRPr="00D2669A">
        <w:rPr>
          <w:rFonts w:ascii="Times New Roman" w:hAnsi="Times New Roman" w:cs="Times New Roman"/>
          <w:sz w:val="24"/>
          <w:szCs w:val="24"/>
        </w:rPr>
        <w:t xml:space="preserve"> (Myxosporea: Myxobolidae) infecting the gill lamellae of mrigal carp </w:t>
      </w:r>
      <w:r w:rsidRPr="00D2669A">
        <w:rPr>
          <w:rFonts w:ascii="Times New Roman" w:hAnsi="Times New Roman" w:cs="Times New Roman"/>
          <w:i/>
          <w:sz w:val="24"/>
          <w:szCs w:val="24"/>
        </w:rPr>
        <w:t>Cirrhinus mrigala</w:t>
      </w:r>
      <w:r w:rsidRPr="00D2669A">
        <w:rPr>
          <w:rFonts w:ascii="Times New Roman" w:hAnsi="Times New Roman" w:cs="Times New Roman"/>
          <w:sz w:val="24"/>
          <w:szCs w:val="24"/>
        </w:rPr>
        <w:t xml:space="preserve"> (Actinopterygii: Cyprinidae). </w:t>
      </w:r>
      <w:r w:rsidRPr="00D2669A">
        <w:rPr>
          <w:rFonts w:ascii="Times New Roman" w:hAnsi="Times New Roman" w:cs="Times New Roman"/>
          <w:i/>
          <w:sz w:val="24"/>
          <w:szCs w:val="24"/>
        </w:rPr>
        <w:t>Molecular Biology Research Communications</w:t>
      </w:r>
      <w:r w:rsidRPr="00D2669A">
        <w:rPr>
          <w:rFonts w:ascii="Times New Roman" w:hAnsi="Times New Roman" w:cs="Times New Roman"/>
          <w:sz w:val="24"/>
          <w:szCs w:val="24"/>
        </w:rPr>
        <w:t>, 4(1), 15-24.</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Altschul, S.F., Madden, T.L., Schaffer, A.A, Zhang, J., Zhang, Z., Miller, W., &amp; Lipman, D.J. (1997). Gapped BLAST and PSI-BLAST: a new generation of protein database search programs. </w:t>
      </w:r>
      <w:r w:rsidRPr="00D2669A">
        <w:rPr>
          <w:rFonts w:ascii="Times New Roman" w:hAnsi="Times New Roman" w:cs="Times New Roman"/>
          <w:i/>
          <w:sz w:val="24"/>
          <w:szCs w:val="24"/>
        </w:rPr>
        <w:t>Nucleic Acids Res</w:t>
      </w:r>
      <w:r w:rsidRPr="00D2669A">
        <w:rPr>
          <w:rFonts w:ascii="Times New Roman" w:hAnsi="Times New Roman" w:cs="Times New Roman"/>
          <w:sz w:val="24"/>
          <w:szCs w:val="24"/>
        </w:rPr>
        <w:t>, 25, 3389-3402.</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Atkinson, S.D., Bartosova-Sojkova, P., Whipps, C.M., &amp; Bartholomew, J.L. (2015). Approaches for Characterising myxozoan species. In: Okamura B, Gruhl A, Bartholomew JL (eds) Myxozoan Evolution, Ecology and Development. </w:t>
      </w:r>
      <w:r w:rsidRPr="00D2669A">
        <w:rPr>
          <w:rFonts w:ascii="Times New Roman" w:hAnsi="Times New Roman" w:cs="Times New Roman"/>
          <w:i/>
          <w:sz w:val="24"/>
          <w:szCs w:val="24"/>
        </w:rPr>
        <w:t>Springer International Publishing</w:t>
      </w:r>
      <w:r w:rsidRPr="00D2669A">
        <w:rPr>
          <w:rFonts w:ascii="Times New Roman" w:hAnsi="Times New Roman" w:cs="Times New Roman"/>
          <w:sz w:val="24"/>
          <w:szCs w:val="24"/>
        </w:rPr>
        <w:t xml:space="preserve">, </w:t>
      </w:r>
      <w:r w:rsidRPr="00D2669A">
        <w:rPr>
          <w:rFonts w:ascii="Times New Roman" w:hAnsi="Times New Roman" w:cs="Times New Roman"/>
          <w:i/>
          <w:sz w:val="24"/>
          <w:szCs w:val="24"/>
        </w:rPr>
        <w:t>Cham, Switzerland</w:t>
      </w:r>
      <w:r w:rsidRPr="00D2669A">
        <w:rPr>
          <w:rFonts w:ascii="Times New Roman" w:hAnsi="Times New Roman" w:cs="Times New Roman"/>
          <w:sz w:val="24"/>
          <w:szCs w:val="24"/>
        </w:rPr>
        <w:t>, 111-123.</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Barta, J.R., Martin, D.S., Liberator, P.A., &amp; Dashkeivicz, M. (1997). Phylogenetic relationships among eight </w:t>
      </w:r>
      <w:r w:rsidRPr="00D2669A">
        <w:rPr>
          <w:rFonts w:ascii="Times New Roman" w:hAnsi="Times New Roman" w:cs="Times New Roman"/>
          <w:i/>
          <w:sz w:val="24"/>
          <w:szCs w:val="24"/>
        </w:rPr>
        <w:t xml:space="preserve">Eimeria </w:t>
      </w:r>
      <w:r w:rsidRPr="00D2669A">
        <w:rPr>
          <w:rFonts w:ascii="Times New Roman" w:hAnsi="Times New Roman" w:cs="Times New Roman"/>
          <w:sz w:val="24"/>
          <w:szCs w:val="24"/>
        </w:rPr>
        <w:t xml:space="preserve">species infecting domestic fowl inferred using complete small subunit ribosomal DNA sequences. </w:t>
      </w:r>
      <w:r w:rsidRPr="00D2669A">
        <w:rPr>
          <w:rFonts w:ascii="Times New Roman" w:hAnsi="Times New Roman" w:cs="Times New Roman"/>
          <w:i/>
          <w:sz w:val="24"/>
          <w:szCs w:val="24"/>
        </w:rPr>
        <w:t>J Parasitol,</w:t>
      </w:r>
      <w:r w:rsidRPr="00D2669A">
        <w:rPr>
          <w:rFonts w:ascii="Times New Roman" w:hAnsi="Times New Roman" w:cs="Times New Roman"/>
          <w:sz w:val="24"/>
          <w:szCs w:val="24"/>
        </w:rPr>
        <w:t xml:space="preserve"> 83, 262-271. </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Basu, S., &amp; Haldar, D.P. (1999). </w:t>
      </w:r>
      <w:r w:rsidRPr="00D2669A">
        <w:rPr>
          <w:rFonts w:ascii="Times New Roman" w:hAnsi="Times New Roman" w:cs="Times New Roman"/>
          <w:i/>
          <w:sz w:val="24"/>
          <w:szCs w:val="24"/>
        </w:rPr>
        <w:t>Thelohanellus bifurcata</w:t>
      </w:r>
      <w:r w:rsidRPr="00D2669A">
        <w:rPr>
          <w:rFonts w:ascii="Times New Roman" w:hAnsi="Times New Roman" w:cs="Times New Roman"/>
          <w:sz w:val="24"/>
          <w:szCs w:val="24"/>
        </w:rPr>
        <w:t xml:space="preserve"> n. sp. a new species of the genus </w:t>
      </w:r>
      <w:r w:rsidRPr="00D2669A">
        <w:rPr>
          <w:rFonts w:ascii="Times New Roman" w:hAnsi="Times New Roman" w:cs="Times New Roman"/>
          <w:i/>
          <w:sz w:val="24"/>
          <w:szCs w:val="24"/>
        </w:rPr>
        <w:t xml:space="preserve">Thelohanellus </w:t>
      </w:r>
      <w:r w:rsidRPr="00D2669A">
        <w:rPr>
          <w:rFonts w:ascii="Times New Roman" w:hAnsi="Times New Roman" w:cs="Times New Roman"/>
          <w:sz w:val="24"/>
          <w:szCs w:val="24"/>
        </w:rPr>
        <w:t xml:space="preserve">Kudo, 1933 along with description of </w:t>
      </w:r>
      <w:r w:rsidRPr="00D2669A">
        <w:rPr>
          <w:rFonts w:ascii="Times New Roman" w:hAnsi="Times New Roman" w:cs="Times New Roman"/>
          <w:i/>
          <w:sz w:val="24"/>
          <w:szCs w:val="24"/>
        </w:rPr>
        <w:t>Thelohanellus disporomorphus</w:t>
      </w:r>
      <w:r w:rsidRPr="00D2669A">
        <w:rPr>
          <w:rFonts w:ascii="Times New Roman" w:hAnsi="Times New Roman" w:cs="Times New Roman"/>
          <w:sz w:val="24"/>
          <w:szCs w:val="24"/>
        </w:rPr>
        <w:t xml:space="preserve"> sp. n. </w:t>
      </w:r>
      <w:r w:rsidRPr="00D2669A">
        <w:rPr>
          <w:rFonts w:ascii="Times New Roman" w:hAnsi="Times New Roman" w:cs="Times New Roman"/>
          <w:i/>
          <w:sz w:val="24"/>
          <w:szCs w:val="24"/>
        </w:rPr>
        <w:t>J Parasitol Dis Appl Anim Biol</w:t>
      </w:r>
      <w:r w:rsidRPr="00D2669A">
        <w:rPr>
          <w:rFonts w:ascii="Times New Roman" w:hAnsi="Times New Roman" w:cs="Times New Roman"/>
          <w:sz w:val="24"/>
          <w:szCs w:val="24"/>
        </w:rPr>
        <w:t>, 15(1-0), 81-94.</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Cech, G., Molnar, K., &amp; Szekely, C. (2012). Molecular genetic studies on morphologically indisctinguishable </w:t>
      </w:r>
      <w:r w:rsidRPr="00D2669A">
        <w:rPr>
          <w:rFonts w:ascii="Times New Roman" w:hAnsi="Times New Roman" w:cs="Times New Roman"/>
          <w:i/>
          <w:sz w:val="24"/>
          <w:szCs w:val="24"/>
        </w:rPr>
        <w:t>Myxobolus</w:t>
      </w:r>
      <w:r w:rsidRPr="00D2669A">
        <w:rPr>
          <w:rFonts w:ascii="Times New Roman" w:hAnsi="Times New Roman" w:cs="Times New Roman"/>
          <w:sz w:val="24"/>
          <w:szCs w:val="24"/>
        </w:rPr>
        <w:t xml:space="preserve"> spp. infecting cyprinid fishes, with the description of three new species, </w:t>
      </w:r>
      <w:r w:rsidRPr="00D2669A">
        <w:rPr>
          <w:rFonts w:ascii="Times New Roman" w:hAnsi="Times New Roman" w:cs="Times New Roman"/>
          <w:i/>
          <w:sz w:val="24"/>
          <w:szCs w:val="24"/>
        </w:rPr>
        <w:t>M. alvarezea</w:t>
      </w:r>
      <w:r w:rsidRPr="00D2669A">
        <w:rPr>
          <w:rFonts w:ascii="Times New Roman" w:hAnsi="Times New Roman" w:cs="Times New Roman"/>
          <w:sz w:val="24"/>
          <w:szCs w:val="24"/>
        </w:rPr>
        <w:t xml:space="preserve"> sp. nov., </w:t>
      </w:r>
      <w:r w:rsidRPr="00D2669A">
        <w:rPr>
          <w:rFonts w:ascii="Times New Roman" w:hAnsi="Times New Roman" w:cs="Times New Roman"/>
          <w:i/>
          <w:sz w:val="24"/>
          <w:szCs w:val="24"/>
        </w:rPr>
        <w:t>M. sitjae</w:t>
      </w:r>
      <w:r w:rsidRPr="00D2669A">
        <w:rPr>
          <w:rFonts w:ascii="Times New Roman" w:hAnsi="Times New Roman" w:cs="Times New Roman"/>
          <w:sz w:val="24"/>
          <w:szCs w:val="24"/>
        </w:rPr>
        <w:t xml:space="preserve"> sp. nov. and </w:t>
      </w:r>
      <w:r w:rsidRPr="00D2669A">
        <w:rPr>
          <w:rFonts w:ascii="Times New Roman" w:hAnsi="Times New Roman" w:cs="Times New Roman"/>
          <w:i/>
          <w:sz w:val="24"/>
          <w:szCs w:val="24"/>
        </w:rPr>
        <w:t>M. Eirasianus</w:t>
      </w:r>
      <w:r w:rsidRPr="00D2669A">
        <w:rPr>
          <w:rFonts w:ascii="Times New Roman" w:hAnsi="Times New Roman" w:cs="Times New Roman"/>
          <w:sz w:val="24"/>
          <w:szCs w:val="24"/>
        </w:rPr>
        <w:t xml:space="preserve"> sp. nov. </w:t>
      </w:r>
      <w:r w:rsidRPr="00D2669A">
        <w:rPr>
          <w:rFonts w:ascii="Times New Roman" w:hAnsi="Times New Roman" w:cs="Times New Roman"/>
          <w:i/>
          <w:sz w:val="24"/>
          <w:szCs w:val="24"/>
        </w:rPr>
        <w:t>Acta Parasitol</w:t>
      </w:r>
      <w:r w:rsidRPr="00D2669A">
        <w:rPr>
          <w:rFonts w:ascii="Times New Roman" w:hAnsi="Times New Roman" w:cs="Times New Roman"/>
          <w:sz w:val="24"/>
          <w:szCs w:val="24"/>
        </w:rPr>
        <w:t xml:space="preserve">, 57(4), 354-366. </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Eiras, J.C., Barman, G.D., Chanda, S., &amp; Panigrahi, A.K. (2023). An update of the species of Myxosporea (cnidaria, Myxozoa) described from Indian fish. </w:t>
      </w:r>
      <w:r w:rsidRPr="00D2669A">
        <w:rPr>
          <w:rFonts w:ascii="Times New Roman" w:hAnsi="Times New Roman" w:cs="Times New Roman"/>
          <w:i/>
          <w:sz w:val="24"/>
          <w:szCs w:val="24"/>
        </w:rPr>
        <w:t>J Parasit Dis</w:t>
      </w:r>
      <w:r w:rsidRPr="00D2669A">
        <w:rPr>
          <w:rFonts w:ascii="Times New Roman" w:hAnsi="Times New Roman" w:cs="Times New Roman"/>
          <w:sz w:val="24"/>
          <w:szCs w:val="24"/>
        </w:rPr>
        <w:t>, 47(1), 12-36.</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Emeish, W.F.A., Fawaz, M.M., Amgad, Z.A., &amp; Hussain, N.M. (2022). </w:t>
      </w:r>
      <w:r w:rsidRPr="00D2669A">
        <w:rPr>
          <w:rFonts w:ascii="Times New Roman" w:hAnsi="Times New Roman" w:cs="Times New Roman"/>
          <w:i/>
          <w:sz w:val="24"/>
          <w:szCs w:val="24"/>
        </w:rPr>
        <w:t xml:space="preserve">Henneguya </w:t>
      </w:r>
      <w:r w:rsidRPr="00D2669A">
        <w:rPr>
          <w:rFonts w:ascii="Times New Roman" w:hAnsi="Times New Roman" w:cs="Times New Roman"/>
          <w:sz w:val="24"/>
          <w:szCs w:val="24"/>
        </w:rPr>
        <w:t xml:space="preserve">species infecting the gastrointestinal tract of </w:t>
      </w:r>
      <w:r w:rsidRPr="00D2669A">
        <w:rPr>
          <w:rFonts w:ascii="Times New Roman" w:hAnsi="Times New Roman" w:cs="Times New Roman"/>
          <w:i/>
          <w:sz w:val="24"/>
          <w:szCs w:val="24"/>
        </w:rPr>
        <w:t>Clarias gariepinus</w:t>
      </w:r>
      <w:r w:rsidRPr="00D2669A">
        <w:rPr>
          <w:rFonts w:ascii="Times New Roman" w:hAnsi="Times New Roman" w:cs="Times New Roman"/>
          <w:sz w:val="24"/>
          <w:szCs w:val="24"/>
        </w:rPr>
        <w:t xml:space="preserve"> from the Nile River. </w:t>
      </w:r>
      <w:r w:rsidRPr="00D2669A">
        <w:rPr>
          <w:rFonts w:ascii="Times New Roman" w:hAnsi="Times New Roman" w:cs="Times New Roman"/>
          <w:i/>
          <w:sz w:val="24"/>
          <w:szCs w:val="24"/>
        </w:rPr>
        <w:t>Diseases of Aquatic Organisms</w:t>
      </w:r>
      <w:r w:rsidRPr="00D2669A">
        <w:rPr>
          <w:rFonts w:ascii="Times New Roman" w:hAnsi="Times New Roman" w:cs="Times New Roman"/>
          <w:sz w:val="24"/>
          <w:szCs w:val="24"/>
        </w:rPr>
        <w:t xml:space="preserve">, 148, 43-56. </w:t>
      </w:r>
      <w:hyperlink r:id="rId9" w:history="1">
        <w:r w:rsidRPr="00D2669A">
          <w:rPr>
            <w:rStyle w:val="Hyperlink"/>
            <w:rFonts w:ascii="Times New Roman" w:hAnsi="Times New Roman" w:cs="Times New Roman"/>
            <w:sz w:val="24"/>
            <w:szCs w:val="24"/>
          </w:rPr>
          <w:t>https://doi.org/10.3354/dao03649</w:t>
        </w:r>
      </w:hyperlink>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Fiala, I. (2006). The phylogeny of Myxosporea (Myxozoa) based on small subunit ribosomal RNA gene analysis. </w:t>
      </w:r>
      <w:r w:rsidRPr="00D2669A">
        <w:rPr>
          <w:rFonts w:ascii="Times New Roman" w:hAnsi="Times New Roman" w:cs="Times New Roman"/>
          <w:i/>
          <w:sz w:val="24"/>
          <w:szCs w:val="24"/>
        </w:rPr>
        <w:t>Int J Parasitol</w:t>
      </w:r>
      <w:r w:rsidRPr="00D2669A">
        <w:rPr>
          <w:rFonts w:ascii="Times New Roman" w:hAnsi="Times New Roman" w:cs="Times New Roman"/>
          <w:sz w:val="24"/>
          <w:szCs w:val="24"/>
        </w:rPr>
        <w:t>, 36, 1521-1534.</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Fiala, I., Bartosova-Sojkova, P., &amp; Whipps, C.M. (2015). Classification and phylogenetics of Myxozoa. In: Okamura B, Gruhl A, Bartholomew JL (eds) Myxozoan Evolution, Ecology and Development. </w:t>
      </w:r>
      <w:r w:rsidRPr="00D2669A">
        <w:rPr>
          <w:rFonts w:ascii="Times New Roman" w:hAnsi="Times New Roman" w:cs="Times New Roman"/>
          <w:i/>
          <w:sz w:val="24"/>
          <w:szCs w:val="24"/>
        </w:rPr>
        <w:t>Springer, Cham</w:t>
      </w:r>
      <w:r w:rsidRPr="00D2669A">
        <w:rPr>
          <w:rFonts w:ascii="Times New Roman" w:hAnsi="Times New Roman" w:cs="Times New Roman"/>
          <w:sz w:val="24"/>
          <w:szCs w:val="24"/>
        </w:rPr>
        <w:t xml:space="preserve">.  </w:t>
      </w:r>
      <w:hyperlink r:id="rId10" w:history="1">
        <w:r w:rsidRPr="00D2669A">
          <w:rPr>
            <w:rStyle w:val="Hyperlink"/>
            <w:rFonts w:ascii="Times New Roman" w:hAnsi="Times New Roman" w:cs="Times New Roman"/>
            <w:sz w:val="24"/>
            <w:szCs w:val="24"/>
          </w:rPr>
          <w:t>https://doi.org/10.1007/978-3-319-14753-6_5</w:t>
        </w:r>
      </w:hyperlink>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&amp; Gupta, A. (2017). Molecular and phylogenetic characterization of </w:t>
      </w:r>
      <w:r w:rsidRPr="00D2669A">
        <w:rPr>
          <w:rFonts w:ascii="Times New Roman" w:hAnsi="Times New Roman" w:cs="Times New Roman"/>
          <w:i/>
          <w:sz w:val="24"/>
          <w:szCs w:val="24"/>
        </w:rPr>
        <w:t>Thelohanellus boggoti</w:t>
      </w:r>
      <w:r w:rsidRPr="00D2669A">
        <w:rPr>
          <w:rFonts w:ascii="Times New Roman" w:hAnsi="Times New Roman" w:cs="Times New Roman"/>
          <w:sz w:val="24"/>
          <w:szCs w:val="24"/>
        </w:rPr>
        <w:t xml:space="preserve"> Qadri, 1962 (Cnidaria: Myxosporea: Bivalvulida) infecting the fin of Indian minor carp </w:t>
      </w:r>
      <w:r w:rsidRPr="00D2669A">
        <w:rPr>
          <w:rFonts w:ascii="Times New Roman" w:hAnsi="Times New Roman" w:cs="Times New Roman"/>
          <w:i/>
          <w:sz w:val="24"/>
          <w:szCs w:val="24"/>
        </w:rPr>
        <w:t>Labeo dero</w:t>
      </w:r>
      <w:r w:rsidRPr="00D2669A">
        <w:rPr>
          <w:rFonts w:ascii="Times New Roman" w:hAnsi="Times New Roman" w:cs="Times New Roman"/>
          <w:sz w:val="24"/>
          <w:szCs w:val="24"/>
        </w:rPr>
        <w:t xml:space="preserve"> (Hamilton, 1822). </w:t>
      </w:r>
      <w:r w:rsidRPr="00D2669A">
        <w:rPr>
          <w:rFonts w:ascii="Times New Roman" w:hAnsi="Times New Roman" w:cs="Times New Roman"/>
          <w:i/>
          <w:sz w:val="24"/>
          <w:szCs w:val="24"/>
        </w:rPr>
        <w:t>Mol Biol Res Commun</w:t>
      </w:r>
      <w:r w:rsidRPr="00D2669A">
        <w:rPr>
          <w:rFonts w:ascii="Times New Roman" w:hAnsi="Times New Roman" w:cs="Times New Roman"/>
          <w:sz w:val="24"/>
          <w:szCs w:val="24"/>
        </w:rPr>
        <w:t>, 6, 13-21.</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Gupta, A., &amp; Atrri, R. (2021). Molecular phylogenetics reveals a species complex pattern of closely related members of genus </w:t>
      </w:r>
      <w:r w:rsidRPr="00D2669A">
        <w:rPr>
          <w:rFonts w:ascii="Times New Roman" w:hAnsi="Times New Roman" w:cs="Times New Roman"/>
          <w:i/>
          <w:sz w:val="24"/>
          <w:szCs w:val="24"/>
        </w:rPr>
        <w:t>Thelohanellus</w:t>
      </w:r>
      <w:r w:rsidRPr="00D2669A">
        <w:rPr>
          <w:rFonts w:ascii="Times New Roman" w:hAnsi="Times New Roman" w:cs="Times New Roman"/>
          <w:sz w:val="24"/>
          <w:szCs w:val="24"/>
        </w:rPr>
        <w:t xml:space="preserve"> (cnidaria:Myxosporea) from the Indian subcontinent. </w:t>
      </w:r>
      <w:r w:rsidRPr="00D2669A">
        <w:rPr>
          <w:rFonts w:ascii="Times New Roman" w:hAnsi="Times New Roman" w:cs="Times New Roman"/>
          <w:i/>
          <w:sz w:val="24"/>
          <w:szCs w:val="24"/>
        </w:rPr>
        <w:t>Microbial Pathogenesis</w:t>
      </w:r>
      <w:r w:rsidRPr="00D2669A">
        <w:rPr>
          <w:rFonts w:ascii="Times New Roman" w:hAnsi="Times New Roman" w:cs="Times New Roman"/>
          <w:sz w:val="24"/>
          <w:szCs w:val="24"/>
        </w:rPr>
        <w:t xml:space="preserve">, 150, 104690. </w:t>
      </w:r>
      <w:hyperlink r:id="rId11" w:history="1">
        <w:r w:rsidRPr="00D2669A">
          <w:rPr>
            <w:rStyle w:val="Hyperlink"/>
            <w:rFonts w:ascii="Times New Roman" w:hAnsi="Times New Roman" w:cs="Times New Roman"/>
            <w:sz w:val="24"/>
            <w:szCs w:val="24"/>
          </w:rPr>
          <w:t>https://doi.org/10.1016/j.micpath.2020.104690</w:t>
        </w:r>
      </w:hyperlink>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&amp; Katoch, A. (2014). Gill disease caused by </w:t>
      </w:r>
      <w:r w:rsidRPr="00D2669A">
        <w:rPr>
          <w:rFonts w:ascii="Times New Roman" w:hAnsi="Times New Roman" w:cs="Times New Roman"/>
          <w:i/>
          <w:sz w:val="24"/>
          <w:szCs w:val="24"/>
        </w:rPr>
        <w:t>Thelohanellus bifurcata</w:t>
      </w:r>
      <w:r w:rsidRPr="00D2669A">
        <w:rPr>
          <w:rFonts w:ascii="Times New Roman" w:hAnsi="Times New Roman" w:cs="Times New Roman"/>
          <w:sz w:val="24"/>
          <w:szCs w:val="24"/>
        </w:rPr>
        <w:t xml:space="preserve"> Basu and Haldar, 1999 a pathogenic myxozoan parasite in cultured Indian carp, </w:t>
      </w:r>
      <w:r w:rsidRPr="00D2669A">
        <w:rPr>
          <w:rFonts w:ascii="Times New Roman" w:hAnsi="Times New Roman" w:cs="Times New Roman"/>
          <w:i/>
          <w:sz w:val="24"/>
          <w:szCs w:val="24"/>
        </w:rPr>
        <w:t>Labeo rohita</w:t>
      </w:r>
      <w:r w:rsidRPr="00D2669A">
        <w:rPr>
          <w:rFonts w:ascii="Times New Roman" w:hAnsi="Times New Roman" w:cs="Times New Roman"/>
          <w:sz w:val="24"/>
          <w:szCs w:val="24"/>
        </w:rPr>
        <w:t xml:space="preserve"> (Hamilton, 1822) in Punjab, India. </w:t>
      </w:r>
      <w:r w:rsidRPr="00D2669A">
        <w:rPr>
          <w:rFonts w:ascii="Times New Roman" w:hAnsi="Times New Roman" w:cs="Times New Roman"/>
          <w:i/>
          <w:sz w:val="24"/>
          <w:szCs w:val="24"/>
        </w:rPr>
        <w:t>Journal of Animal Health and Production</w:t>
      </w:r>
      <w:r w:rsidRPr="00D2669A">
        <w:rPr>
          <w:rFonts w:ascii="Times New Roman" w:hAnsi="Times New Roman" w:cs="Times New Roman"/>
          <w:sz w:val="24"/>
          <w:szCs w:val="24"/>
        </w:rPr>
        <w:t>, 2(2), 19-24.</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Katoch, A., &amp; Gupta, M. (2014). Thelohanellus filli sp. n., a pathogenic myxosporean infecting gills of cultured carp, Labeo rohita (Hamilton, 1822) in Punjab, India. </w:t>
      </w:r>
      <w:r w:rsidRPr="00D2669A">
        <w:rPr>
          <w:rFonts w:ascii="Times New Roman" w:hAnsi="Times New Roman" w:cs="Times New Roman"/>
          <w:i/>
          <w:sz w:val="24"/>
          <w:szCs w:val="24"/>
        </w:rPr>
        <w:t>Species</w:t>
      </w:r>
      <w:r w:rsidRPr="00D2669A">
        <w:rPr>
          <w:rFonts w:ascii="Times New Roman" w:hAnsi="Times New Roman" w:cs="Times New Roman"/>
          <w:sz w:val="24"/>
          <w:szCs w:val="24"/>
        </w:rPr>
        <w:t xml:space="preserve">, 10(23), 31-38. </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&amp; Singh, R. (2012a). A synopsis of the species of </w:t>
      </w:r>
      <w:r w:rsidRPr="00D2669A">
        <w:rPr>
          <w:rFonts w:ascii="Times New Roman" w:hAnsi="Times New Roman" w:cs="Times New Roman"/>
          <w:i/>
          <w:sz w:val="24"/>
          <w:szCs w:val="24"/>
        </w:rPr>
        <w:t>Myxobolus</w:t>
      </w:r>
      <w:r w:rsidRPr="00D2669A">
        <w:rPr>
          <w:rFonts w:ascii="Times New Roman" w:hAnsi="Times New Roman" w:cs="Times New Roman"/>
          <w:sz w:val="24"/>
          <w:szCs w:val="24"/>
        </w:rPr>
        <w:t xml:space="preserve"> Butschli, 1882 (Myxozoa:Bivalvulida) parasitizing Indian fishes and a revised dichotomous key to myxosporean genera. </w:t>
      </w:r>
      <w:r w:rsidRPr="00D2669A">
        <w:rPr>
          <w:rFonts w:ascii="Times New Roman" w:hAnsi="Times New Roman" w:cs="Times New Roman"/>
          <w:i/>
          <w:sz w:val="24"/>
          <w:szCs w:val="24"/>
        </w:rPr>
        <w:t>Syst Parasitol</w:t>
      </w:r>
      <w:r w:rsidRPr="00D2669A">
        <w:rPr>
          <w:rFonts w:ascii="Times New Roman" w:hAnsi="Times New Roman" w:cs="Times New Roman"/>
          <w:sz w:val="24"/>
          <w:szCs w:val="24"/>
        </w:rPr>
        <w:t xml:space="preserve">, 81, 17-37.  </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&amp; Singh, R. (2012b). One new myxosporean species, </w:t>
      </w:r>
      <w:r w:rsidRPr="00D2669A">
        <w:rPr>
          <w:rFonts w:ascii="Times New Roman" w:hAnsi="Times New Roman" w:cs="Times New Roman"/>
          <w:i/>
          <w:sz w:val="24"/>
          <w:szCs w:val="24"/>
        </w:rPr>
        <w:t>Triangula cirrhini</w:t>
      </w:r>
      <w:r w:rsidRPr="00D2669A">
        <w:rPr>
          <w:rFonts w:ascii="Times New Roman" w:hAnsi="Times New Roman" w:cs="Times New Roman"/>
          <w:sz w:val="24"/>
          <w:szCs w:val="24"/>
        </w:rPr>
        <w:t xml:space="preserve"> sp. n. and known species, </w:t>
      </w:r>
      <w:r w:rsidRPr="00D2669A">
        <w:rPr>
          <w:rFonts w:ascii="Times New Roman" w:hAnsi="Times New Roman" w:cs="Times New Roman"/>
          <w:i/>
          <w:sz w:val="24"/>
          <w:szCs w:val="24"/>
        </w:rPr>
        <w:t>T. ludhianae</w:t>
      </w:r>
      <w:r w:rsidRPr="00D2669A">
        <w:rPr>
          <w:rFonts w:ascii="Times New Roman" w:hAnsi="Times New Roman" w:cs="Times New Roman"/>
          <w:sz w:val="24"/>
          <w:szCs w:val="24"/>
        </w:rPr>
        <w:t xml:space="preserve"> (syn. </w:t>
      </w:r>
      <w:r w:rsidRPr="00D2669A">
        <w:rPr>
          <w:rFonts w:ascii="Times New Roman" w:hAnsi="Times New Roman" w:cs="Times New Roman"/>
          <w:i/>
          <w:sz w:val="24"/>
          <w:szCs w:val="24"/>
        </w:rPr>
        <w:t>M. ludhianae</w:t>
      </w:r>
      <w:r w:rsidRPr="00D2669A">
        <w:rPr>
          <w:rFonts w:ascii="Times New Roman" w:hAnsi="Times New Roman" w:cs="Times New Roman"/>
          <w:sz w:val="24"/>
          <w:szCs w:val="24"/>
        </w:rPr>
        <w:t xml:space="preserve"> Gupta and Khera, 1991) comb. n. (Myxozoa: Myxosporea), infecting Indian major carp in Harike wetland of Punjab. </w:t>
      </w:r>
      <w:r w:rsidRPr="00D2669A">
        <w:rPr>
          <w:rFonts w:ascii="Times New Roman" w:hAnsi="Times New Roman" w:cs="Times New Roman"/>
          <w:i/>
          <w:sz w:val="24"/>
          <w:szCs w:val="24"/>
        </w:rPr>
        <w:t>Anim Biol</w:t>
      </w:r>
      <w:r w:rsidRPr="00D2669A">
        <w:rPr>
          <w:rFonts w:ascii="Times New Roman" w:hAnsi="Times New Roman" w:cs="Times New Roman"/>
          <w:sz w:val="24"/>
          <w:szCs w:val="24"/>
        </w:rPr>
        <w:t>, 62, 129-139.</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Singh, R., Katoch, A., Atrri, R., &amp; Dar, S.A. (2017). Species diversity of the genus </w:t>
      </w:r>
      <w:r w:rsidRPr="00D2669A">
        <w:rPr>
          <w:rFonts w:ascii="Times New Roman" w:hAnsi="Times New Roman" w:cs="Times New Roman"/>
          <w:i/>
          <w:sz w:val="24"/>
          <w:szCs w:val="24"/>
        </w:rPr>
        <w:t>Thelohanellus</w:t>
      </w:r>
      <w:r w:rsidRPr="00D2669A">
        <w:rPr>
          <w:rFonts w:ascii="Times New Roman" w:hAnsi="Times New Roman" w:cs="Times New Roman"/>
          <w:sz w:val="24"/>
          <w:szCs w:val="24"/>
        </w:rPr>
        <w:t xml:space="preserve"> Kudo, 1933 (Myxozoa: Bivalvulida) parasitizing fishes in Indian subcontinent. </w:t>
      </w:r>
      <w:r w:rsidRPr="00D2669A">
        <w:rPr>
          <w:rFonts w:ascii="Times New Roman" w:hAnsi="Times New Roman" w:cs="Times New Roman"/>
          <w:i/>
          <w:sz w:val="24"/>
          <w:szCs w:val="24"/>
        </w:rPr>
        <w:t>Journal of Parasitic Diseases</w:t>
      </w:r>
      <w:r w:rsidRPr="00D2669A">
        <w:rPr>
          <w:rFonts w:ascii="Times New Roman" w:hAnsi="Times New Roman" w:cs="Times New Roman"/>
          <w:sz w:val="24"/>
          <w:szCs w:val="24"/>
        </w:rPr>
        <w:t>, 41(2), 305-312.</w:t>
      </w: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Kimura, M. (1980). A simple method for estimating evolutionary rate of base substitutions through comparative studies of nucleotide sequences. </w:t>
      </w:r>
      <w:r w:rsidRPr="00D2669A">
        <w:rPr>
          <w:rFonts w:ascii="Times New Roman" w:hAnsi="Times New Roman" w:cs="Times New Roman"/>
          <w:i/>
          <w:sz w:val="24"/>
          <w:szCs w:val="24"/>
        </w:rPr>
        <w:t>J Mol Evol</w:t>
      </w:r>
      <w:r w:rsidRPr="00D2669A">
        <w:rPr>
          <w:rFonts w:ascii="Times New Roman" w:hAnsi="Times New Roman" w:cs="Times New Roman"/>
          <w:sz w:val="24"/>
          <w:szCs w:val="24"/>
        </w:rPr>
        <w:t xml:space="preserve">, 16, 111-120. </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Kumar, S., Stecher, G., Li, M., Knyaz, C., &amp; Tamura, K. (2018). MEGA X: Molecular evolutionary genetics analysis across computing platforms. </w:t>
      </w:r>
      <w:r w:rsidRPr="00D2669A">
        <w:rPr>
          <w:rFonts w:ascii="Times New Roman" w:hAnsi="Times New Roman" w:cs="Times New Roman"/>
          <w:i/>
          <w:sz w:val="24"/>
          <w:szCs w:val="24"/>
        </w:rPr>
        <w:t>Molecular Biology and Evolution</w:t>
      </w:r>
      <w:r w:rsidRPr="00D2669A">
        <w:rPr>
          <w:rFonts w:ascii="Times New Roman" w:hAnsi="Times New Roman" w:cs="Times New Roman"/>
          <w:sz w:val="24"/>
          <w:szCs w:val="24"/>
        </w:rPr>
        <w:t>, 35, 1547-1549.</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Kundu, T.K., &amp; Haldar, D.P. (1981). Studies on Thelohanellus jiroveci sp. n., a new myxosporidian parasitic in a common teleost fish. </w:t>
      </w:r>
      <w:r w:rsidRPr="00D2669A">
        <w:rPr>
          <w:rFonts w:ascii="Times New Roman" w:hAnsi="Times New Roman" w:cs="Times New Roman"/>
          <w:i/>
          <w:sz w:val="24"/>
          <w:szCs w:val="24"/>
        </w:rPr>
        <w:t>Vestn Ceskoslov spol zool</w:t>
      </w:r>
      <w:r w:rsidRPr="00D2669A">
        <w:rPr>
          <w:rFonts w:ascii="Times New Roman" w:hAnsi="Times New Roman" w:cs="Times New Roman"/>
          <w:sz w:val="24"/>
          <w:szCs w:val="24"/>
        </w:rPr>
        <w:t xml:space="preserve">, 45, 94-101. </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lastRenderedPageBreak/>
        <w:t xml:space="preserve">Lom, J., &amp; Arthur, J.R. (1989). A guideline for the preparation of species descriptions in Myxosporea. </w:t>
      </w:r>
      <w:r w:rsidRPr="00D2669A">
        <w:rPr>
          <w:rFonts w:ascii="Times New Roman" w:hAnsi="Times New Roman" w:cs="Times New Roman"/>
          <w:i/>
          <w:sz w:val="24"/>
          <w:szCs w:val="24"/>
        </w:rPr>
        <w:t>J Fish Dis</w:t>
      </w:r>
      <w:r w:rsidRPr="00D2669A">
        <w:rPr>
          <w:rFonts w:ascii="Times New Roman" w:hAnsi="Times New Roman" w:cs="Times New Roman"/>
          <w:sz w:val="24"/>
          <w:szCs w:val="24"/>
        </w:rPr>
        <w:t>, 12, 151-156.</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Lom, J., &amp; Dykova, I. (1995). Myxosporea (Phylum Myxozoa). In: Woo PTK (ed) fish diseases and disorders, Vol. 1, Protozoan and Metazoan Infections. </w:t>
      </w:r>
      <w:r w:rsidRPr="00D2669A">
        <w:rPr>
          <w:rFonts w:ascii="Times New Roman" w:hAnsi="Times New Roman" w:cs="Times New Roman"/>
          <w:i/>
          <w:sz w:val="24"/>
          <w:szCs w:val="24"/>
        </w:rPr>
        <w:t>CAB International, Wallingford</w:t>
      </w:r>
      <w:r w:rsidRPr="00D2669A">
        <w:rPr>
          <w:rFonts w:ascii="Times New Roman" w:hAnsi="Times New Roman" w:cs="Times New Roman"/>
          <w:sz w:val="24"/>
          <w:szCs w:val="24"/>
        </w:rPr>
        <w:t>, 97-148.</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Lom, J., &amp; Dykova, I. (2006). Myxozoan genera: definition and notes on taxonomy, life-cycle terminology and pathogenic species. </w:t>
      </w:r>
      <w:r w:rsidRPr="00D2669A">
        <w:rPr>
          <w:rFonts w:ascii="Times New Roman" w:hAnsi="Times New Roman" w:cs="Times New Roman"/>
          <w:i/>
          <w:sz w:val="24"/>
          <w:szCs w:val="24"/>
        </w:rPr>
        <w:t>Folia Parasitol</w:t>
      </w:r>
      <w:r w:rsidRPr="00D2669A">
        <w:rPr>
          <w:rFonts w:ascii="Times New Roman" w:hAnsi="Times New Roman" w:cs="Times New Roman"/>
          <w:sz w:val="24"/>
          <w:szCs w:val="24"/>
        </w:rPr>
        <w:t xml:space="preserve">, 53(1), 1-36. </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Nissa, K., Kaur, H., Ghai, N., &amp; Katoch, A. (2024). Molecular and phylogenetic characterization of a Cnidarian parasite (Cnidaria:Myxozoa) </w:t>
      </w:r>
      <w:r w:rsidRPr="00D2669A">
        <w:rPr>
          <w:rFonts w:ascii="Times New Roman" w:hAnsi="Times New Roman" w:cs="Times New Roman"/>
          <w:i/>
          <w:sz w:val="24"/>
          <w:szCs w:val="24"/>
        </w:rPr>
        <w:t>Thelohanellus bifurcata</w:t>
      </w:r>
      <w:r w:rsidRPr="00D2669A">
        <w:rPr>
          <w:rFonts w:ascii="Times New Roman" w:hAnsi="Times New Roman" w:cs="Times New Roman"/>
          <w:sz w:val="24"/>
          <w:szCs w:val="24"/>
        </w:rPr>
        <w:t xml:space="preserve">, infecting gills of Indian major carp, </w:t>
      </w:r>
      <w:r w:rsidRPr="00D2669A">
        <w:rPr>
          <w:rFonts w:ascii="Times New Roman" w:hAnsi="Times New Roman" w:cs="Times New Roman"/>
          <w:i/>
          <w:sz w:val="24"/>
          <w:szCs w:val="24"/>
        </w:rPr>
        <w:t>Labeo rohita</w:t>
      </w:r>
      <w:r w:rsidRPr="00D2669A">
        <w:rPr>
          <w:rFonts w:ascii="Times New Roman" w:hAnsi="Times New Roman" w:cs="Times New Roman"/>
          <w:sz w:val="24"/>
          <w:szCs w:val="24"/>
        </w:rPr>
        <w:t xml:space="preserve">. </w:t>
      </w:r>
      <w:r w:rsidRPr="00D2669A">
        <w:rPr>
          <w:rFonts w:ascii="Times New Roman" w:hAnsi="Times New Roman" w:cs="Times New Roman"/>
          <w:i/>
          <w:sz w:val="24"/>
          <w:szCs w:val="24"/>
        </w:rPr>
        <w:t>Journal of Parasitic Diseases</w:t>
      </w:r>
      <w:r w:rsidRPr="00D2669A">
        <w:rPr>
          <w:rFonts w:ascii="Times New Roman" w:hAnsi="Times New Roman" w:cs="Times New Roman"/>
          <w:sz w:val="24"/>
          <w:szCs w:val="24"/>
        </w:rPr>
        <w:t xml:space="preserve">, 48, 767-774. </w:t>
      </w:r>
      <w:hyperlink r:id="rId12" w:history="1">
        <w:r w:rsidRPr="00D2669A">
          <w:rPr>
            <w:rStyle w:val="Hyperlink"/>
            <w:rFonts w:ascii="Times New Roman" w:hAnsi="Times New Roman" w:cs="Times New Roman"/>
            <w:sz w:val="24"/>
            <w:szCs w:val="24"/>
          </w:rPr>
          <w:t>https://doi.org/10.1007/s12639-024-01706-x</w:t>
        </w:r>
      </w:hyperlink>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Okamura, B., Hartigan, A., &amp; Naldoni, J. (2018). Extensive uncharted biodiversity: the parasite dimension. </w:t>
      </w:r>
      <w:r w:rsidRPr="00D2669A">
        <w:rPr>
          <w:rFonts w:ascii="Times New Roman" w:hAnsi="Times New Roman" w:cs="Times New Roman"/>
          <w:i/>
          <w:sz w:val="24"/>
          <w:szCs w:val="24"/>
        </w:rPr>
        <w:t xml:space="preserve">ICB, </w:t>
      </w:r>
      <w:r w:rsidRPr="00D2669A">
        <w:rPr>
          <w:rFonts w:ascii="Times New Roman" w:hAnsi="Times New Roman" w:cs="Times New Roman"/>
          <w:sz w:val="24"/>
          <w:szCs w:val="24"/>
        </w:rPr>
        <w:t>58(6), 1132-1145.</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Smothers, J.F., Van Dohlen, C.D., Smith Jr, L.H., &amp; Spall, R.D. (1994). Molecular evidence that the myxozoan protists are metazoans. </w:t>
      </w:r>
      <w:r w:rsidRPr="00D2669A">
        <w:rPr>
          <w:rFonts w:ascii="Times New Roman" w:hAnsi="Times New Roman" w:cs="Times New Roman"/>
          <w:i/>
          <w:sz w:val="24"/>
          <w:szCs w:val="24"/>
        </w:rPr>
        <w:t>Science</w:t>
      </w:r>
      <w:r w:rsidRPr="00D2669A">
        <w:rPr>
          <w:rFonts w:ascii="Times New Roman" w:hAnsi="Times New Roman" w:cs="Times New Roman"/>
          <w:sz w:val="24"/>
          <w:szCs w:val="24"/>
        </w:rPr>
        <w:t xml:space="preserve">, 265, 1719-1721. </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Southwell, T., &amp; Prashad, B. (1918). Parasites of Indian fishes with anote on carcinoma in the climbing perch. </w:t>
      </w:r>
      <w:r w:rsidRPr="00D2669A">
        <w:rPr>
          <w:rFonts w:ascii="Times New Roman" w:hAnsi="Times New Roman" w:cs="Times New Roman"/>
          <w:i/>
          <w:sz w:val="24"/>
          <w:szCs w:val="24"/>
        </w:rPr>
        <w:t>Rec Indian Mus</w:t>
      </w:r>
      <w:r w:rsidRPr="00D2669A">
        <w:rPr>
          <w:rFonts w:ascii="Times New Roman" w:hAnsi="Times New Roman" w:cs="Times New Roman"/>
          <w:sz w:val="24"/>
          <w:szCs w:val="24"/>
        </w:rPr>
        <w:t>, 15, 341-355.</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Struck, T.H., Feder, J.L., Bendiksby, M., Brikeland, S., Cerca, J., Gusarov, V.I., Kistenich, S., Larsson, K.H., Liow, L.H., Nowak, M.D., Stedje, B., Bachmann, L., &amp; Dimitrov, D. (2018). Finding evolutionary distance processes hidden in cryptic species. </w:t>
      </w:r>
      <w:r w:rsidRPr="00D2669A">
        <w:rPr>
          <w:rFonts w:ascii="Times New Roman" w:hAnsi="Times New Roman" w:cs="Times New Roman"/>
          <w:i/>
          <w:sz w:val="24"/>
          <w:szCs w:val="24"/>
        </w:rPr>
        <w:t>Trends Ecol Evol</w:t>
      </w:r>
      <w:r w:rsidRPr="00D2669A">
        <w:rPr>
          <w:rFonts w:ascii="Times New Roman" w:hAnsi="Times New Roman" w:cs="Times New Roman"/>
          <w:sz w:val="24"/>
          <w:szCs w:val="24"/>
        </w:rPr>
        <w:t xml:space="preserve">, 33(3), 153-163.  </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Tamura, K., &amp; Nei, M. (1993). Estimation of the number of nucleotide substitutions in the control region of mitochondrial DNA in humans and Chimpanzees. </w:t>
      </w:r>
      <w:r w:rsidRPr="00D2669A">
        <w:rPr>
          <w:rFonts w:ascii="Times New Roman" w:hAnsi="Times New Roman" w:cs="Times New Roman"/>
          <w:i/>
          <w:sz w:val="24"/>
          <w:szCs w:val="24"/>
        </w:rPr>
        <w:t>Mol Biol Evol</w:t>
      </w:r>
      <w:r w:rsidRPr="00D2669A">
        <w:rPr>
          <w:rFonts w:ascii="Times New Roman" w:hAnsi="Times New Roman" w:cs="Times New Roman"/>
          <w:sz w:val="24"/>
          <w:szCs w:val="24"/>
        </w:rPr>
        <w:t xml:space="preserve">, 10(3), 512-526. </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Tamura, K., Nei, M., &amp; Kumar, S. (2004). Prospects for inferring very large phylogenies by using the neighbor-joining method. </w:t>
      </w:r>
      <w:r w:rsidRPr="00D2669A">
        <w:rPr>
          <w:rFonts w:ascii="Times New Roman" w:hAnsi="Times New Roman" w:cs="Times New Roman"/>
          <w:i/>
          <w:sz w:val="24"/>
          <w:szCs w:val="24"/>
        </w:rPr>
        <w:t>Proceedings of the National Academy of Sciences (USA)</w:t>
      </w:r>
      <w:r w:rsidRPr="00D2669A">
        <w:rPr>
          <w:rFonts w:ascii="Times New Roman" w:hAnsi="Times New Roman" w:cs="Times New Roman"/>
          <w:sz w:val="24"/>
          <w:szCs w:val="24"/>
        </w:rPr>
        <w:t>, 101, 11030-11035.</w:t>
      </w:r>
    </w:p>
    <w:p w:rsidR="0047504C" w:rsidRPr="00D2669A" w:rsidRDefault="0047504C" w:rsidP="0047504C">
      <w:pPr>
        <w:spacing w:after="0"/>
        <w:jc w:val="both"/>
        <w:rPr>
          <w:rFonts w:ascii="Times New Roman" w:hAnsi="Times New Roman" w:cs="Times New Roman"/>
          <w:sz w:val="24"/>
          <w:szCs w:val="24"/>
        </w:rPr>
      </w:pPr>
    </w:p>
    <w:p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Yokoyama, H., Kiyanage, Y.S., Sugai, A., &amp; Wakabayashi, H. (1998). Hemorrhagic thelohanellosis of colour carp caused by </w:t>
      </w:r>
      <w:r w:rsidRPr="00D2669A">
        <w:rPr>
          <w:rFonts w:ascii="Times New Roman" w:hAnsi="Times New Roman" w:cs="Times New Roman"/>
          <w:i/>
          <w:sz w:val="24"/>
          <w:szCs w:val="24"/>
        </w:rPr>
        <w:t>Thelohanellus hovorkai</w:t>
      </w:r>
      <w:r w:rsidRPr="00D2669A">
        <w:rPr>
          <w:rFonts w:ascii="Times New Roman" w:hAnsi="Times New Roman" w:cs="Times New Roman"/>
          <w:sz w:val="24"/>
          <w:szCs w:val="24"/>
        </w:rPr>
        <w:t xml:space="preserve"> (Myxozoa: Myxosporea). </w:t>
      </w:r>
      <w:r w:rsidRPr="00D2669A">
        <w:rPr>
          <w:rFonts w:ascii="Times New Roman" w:hAnsi="Times New Roman" w:cs="Times New Roman"/>
          <w:i/>
          <w:sz w:val="24"/>
          <w:szCs w:val="24"/>
        </w:rPr>
        <w:t>Fish Pathol</w:t>
      </w:r>
      <w:r w:rsidRPr="00D2669A">
        <w:rPr>
          <w:rFonts w:ascii="Times New Roman" w:hAnsi="Times New Roman" w:cs="Times New Roman"/>
          <w:sz w:val="24"/>
          <w:szCs w:val="24"/>
        </w:rPr>
        <w:t>, 33, 85-89.</w:t>
      </w:r>
    </w:p>
    <w:sectPr w:rsidR="0047504C" w:rsidRPr="00D2669A" w:rsidSect="005A1A63">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22B" w:rsidRDefault="005A722B" w:rsidP="00447235">
      <w:pPr>
        <w:spacing w:after="0" w:line="240" w:lineRule="auto"/>
      </w:pPr>
      <w:r>
        <w:separator/>
      </w:r>
    </w:p>
  </w:endnote>
  <w:endnote w:type="continuationSeparator" w:id="1">
    <w:p w:rsidR="005A722B" w:rsidRDefault="005A722B" w:rsidP="00447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F2" w:rsidRDefault="00D847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3979"/>
      <w:docPartObj>
        <w:docPartGallery w:val="Page Numbers (Bottom of Page)"/>
        <w:docPartUnique/>
      </w:docPartObj>
    </w:sdtPr>
    <w:sdtContent>
      <w:p w:rsidR="00D847F2" w:rsidRDefault="00D847F2">
        <w:pPr>
          <w:pStyle w:val="Footer"/>
          <w:jc w:val="center"/>
        </w:pPr>
        <w:fldSimple w:instr=" PAGE   \* MERGEFORMAT ">
          <w:r w:rsidR="00616AAC">
            <w:rPr>
              <w:noProof/>
            </w:rPr>
            <w:t>1</w:t>
          </w:r>
        </w:fldSimple>
      </w:p>
    </w:sdtContent>
  </w:sdt>
  <w:p w:rsidR="00D847F2" w:rsidRDefault="00D847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F2" w:rsidRDefault="00D84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22B" w:rsidRDefault="005A722B" w:rsidP="00447235">
      <w:pPr>
        <w:spacing w:after="0" w:line="240" w:lineRule="auto"/>
      </w:pPr>
      <w:r>
        <w:separator/>
      </w:r>
    </w:p>
  </w:footnote>
  <w:footnote w:type="continuationSeparator" w:id="1">
    <w:p w:rsidR="005A722B" w:rsidRDefault="005A722B" w:rsidP="00447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F2" w:rsidRDefault="00D847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9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F2" w:rsidRDefault="00D847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9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F2" w:rsidRDefault="00D847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9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CA4C97"/>
    <w:rsid w:val="00001CA5"/>
    <w:rsid w:val="00002F0D"/>
    <w:rsid w:val="00002F28"/>
    <w:rsid w:val="00006DCE"/>
    <w:rsid w:val="000109CC"/>
    <w:rsid w:val="00015505"/>
    <w:rsid w:val="00015925"/>
    <w:rsid w:val="00016DFB"/>
    <w:rsid w:val="000171BD"/>
    <w:rsid w:val="00017DE0"/>
    <w:rsid w:val="0002102B"/>
    <w:rsid w:val="00024A3A"/>
    <w:rsid w:val="00030240"/>
    <w:rsid w:val="00030762"/>
    <w:rsid w:val="00031A1B"/>
    <w:rsid w:val="00034998"/>
    <w:rsid w:val="00035411"/>
    <w:rsid w:val="00035AD2"/>
    <w:rsid w:val="000365F5"/>
    <w:rsid w:val="00040458"/>
    <w:rsid w:val="00043439"/>
    <w:rsid w:val="0004402F"/>
    <w:rsid w:val="000440B7"/>
    <w:rsid w:val="000448A6"/>
    <w:rsid w:val="00044EA3"/>
    <w:rsid w:val="00050A99"/>
    <w:rsid w:val="00051B42"/>
    <w:rsid w:val="000562F4"/>
    <w:rsid w:val="00056C64"/>
    <w:rsid w:val="0005711C"/>
    <w:rsid w:val="000632BD"/>
    <w:rsid w:val="00067554"/>
    <w:rsid w:val="00073B24"/>
    <w:rsid w:val="00076664"/>
    <w:rsid w:val="000844D5"/>
    <w:rsid w:val="00085D7E"/>
    <w:rsid w:val="000870F1"/>
    <w:rsid w:val="0008758D"/>
    <w:rsid w:val="00090050"/>
    <w:rsid w:val="000901C6"/>
    <w:rsid w:val="000959C0"/>
    <w:rsid w:val="00097387"/>
    <w:rsid w:val="000A5F27"/>
    <w:rsid w:val="000B62A2"/>
    <w:rsid w:val="000C23D6"/>
    <w:rsid w:val="000C2828"/>
    <w:rsid w:val="000C35BB"/>
    <w:rsid w:val="000C4475"/>
    <w:rsid w:val="000C71ED"/>
    <w:rsid w:val="000D2DFA"/>
    <w:rsid w:val="000D37CD"/>
    <w:rsid w:val="000E3B07"/>
    <w:rsid w:val="000E57BD"/>
    <w:rsid w:val="000F028D"/>
    <w:rsid w:val="000F0963"/>
    <w:rsid w:val="000F0B3C"/>
    <w:rsid w:val="000F2330"/>
    <w:rsid w:val="000F419F"/>
    <w:rsid w:val="000F4AD4"/>
    <w:rsid w:val="000F7219"/>
    <w:rsid w:val="00100216"/>
    <w:rsid w:val="001116BF"/>
    <w:rsid w:val="00112F84"/>
    <w:rsid w:val="00117CC5"/>
    <w:rsid w:val="00124C9A"/>
    <w:rsid w:val="0013647E"/>
    <w:rsid w:val="00142560"/>
    <w:rsid w:val="00152108"/>
    <w:rsid w:val="00152D7E"/>
    <w:rsid w:val="00163764"/>
    <w:rsid w:val="00167114"/>
    <w:rsid w:val="00173063"/>
    <w:rsid w:val="00174B3F"/>
    <w:rsid w:val="00187275"/>
    <w:rsid w:val="001901E3"/>
    <w:rsid w:val="00193FF7"/>
    <w:rsid w:val="00194237"/>
    <w:rsid w:val="00196A63"/>
    <w:rsid w:val="001A3F43"/>
    <w:rsid w:val="001A71CD"/>
    <w:rsid w:val="001B075E"/>
    <w:rsid w:val="001B2758"/>
    <w:rsid w:val="001B6F14"/>
    <w:rsid w:val="001B7FEA"/>
    <w:rsid w:val="001C2681"/>
    <w:rsid w:val="001C47CA"/>
    <w:rsid w:val="001C4F3A"/>
    <w:rsid w:val="001C5BBC"/>
    <w:rsid w:val="001C76F2"/>
    <w:rsid w:val="001D083F"/>
    <w:rsid w:val="001D0E2D"/>
    <w:rsid w:val="001D10E6"/>
    <w:rsid w:val="001D19CE"/>
    <w:rsid w:val="001D4F32"/>
    <w:rsid w:val="001E57D9"/>
    <w:rsid w:val="001E5C62"/>
    <w:rsid w:val="001E7AB5"/>
    <w:rsid w:val="001F0CDF"/>
    <w:rsid w:val="001F2B73"/>
    <w:rsid w:val="001F5447"/>
    <w:rsid w:val="001F6691"/>
    <w:rsid w:val="001F6FDE"/>
    <w:rsid w:val="001F7857"/>
    <w:rsid w:val="00204A06"/>
    <w:rsid w:val="00204C29"/>
    <w:rsid w:val="002067EA"/>
    <w:rsid w:val="00213612"/>
    <w:rsid w:val="002150A8"/>
    <w:rsid w:val="00215E82"/>
    <w:rsid w:val="0022476A"/>
    <w:rsid w:val="00226714"/>
    <w:rsid w:val="0022674A"/>
    <w:rsid w:val="00227640"/>
    <w:rsid w:val="0022793E"/>
    <w:rsid w:val="00236004"/>
    <w:rsid w:val="002372E6"/>
    <w:rsid w:val="00245A32"/>
    <w:rsid w:val="00253084"/>
    <w:rsid w:val="00261EF6"/>
    <w:rsid w:val="002645DA"/>
    <w:rsid w:val="0026623A"/>
    <w:rsid w:val="00272270"/>
    <w:rsid w:val="00272354"/>
    <w:rsid w:val="00274512"/>
    <w:rsid w:val="00274A57"/>
    <w:rsid w:val="0027516B"/>
    <w:rsid w:val="0027709E"/>
    <w:rsid w:val="00277EBD"/>
    <w:rsid w:val="00280C69"/>
    <w:rsid w:val="00282114"/>
    <w:rsid w:val="00284464"/>
    <w:rsid w:val="00285C39"/>
    <w:rsid w:val="0029160D"/>
    <w:rsid w:val="0029652C"/>
    <w:rsid w:val="002A1E43"/>
    <w:rsid w:val="002A2224"/>
    <w:rsid w:val="002A3429"/>
    <w:rsid w:val="002A72AE"/>
    <w:rsid w:val="002B13F0"/>
    <w:rsid w:val="002B34D0"/>
    <w:rsid w:val="002B45BB"/>
    <w:rsid w:val="002B61FD"/>
    <w:rsid w:val="002B6642"/>
    <w:rsid w:val="002C14C1"/>
    <w:rsid w:val="002C220D"/>
    <w:rsid w:val="002D2319"/>
    <w:rsid w:val="002D3A96"/>
    <w:rsid w:val="002D6246"/>
    <w:rsid w:val="002D646D"/>
    <w:rsid w:val="002E0E0B"/>
    <w:rsid w:val="002E4291"/>
    <w:rsid w:val="002E7408"/>
    <w:rsid w:val="002F25FD"/>
    <w:rsid w:val="002F291B"/>
    <w:rsid w:val="002F3C83"/>
    <w:rsid w:val="002F437F"/>
    <w:rsid w:val="002F5EE6"/>
    <w:rsid w:val="002F6D14"/>
    <w:rsid w:val="002F6D95"/>
    <w:rsid w:val="003015A8"/>
    <w:rsid w:val="00302D26"/>
    <w:rsid w:val="00303BF2"/>
    <w:rsid w:val="00306190"/>
    <w:rsid w:val="003062D2"/>
    <w:rsid w:val="00310434"/>
    <w:rsid w:val="003158F1"/>
    <w:rsid w:val="003162D8"/>
    <w:rsid w:val="003179E0"/>
    <w:rsid w:val="00317FE2"/>
    <w:rsid w:val="00321B28"/>
    <w:rsid w:val="00334E9E"/>
    <w:rsid w:val="00335341"/>
    <w:rsid w:val="003376F0"/>
    <w:rsid w:val="00341203"/>
    <w:rsid w:val="00344406"/>
    <w:rsid w:val="00344DE6"/>
    <w:rsid w:val="00345AE3"/>
    <w:rsid w:val="0034640A"/>
    <w:rsid w:val="003477B0"/>
    <w:rsid w:val="0035584E"/>
    <w:rsid w:val="00362229"/>
    <w:rsid w:val="003646E8"/>
    <w:rsid w:val="003721A2"/>
    <w:rsid w:val="003823F0"/>
    <w:rsid w:val="00382727"/>
    <w:rsid w:val="00383AF0"/>
    <w:rsid w:val="00386BB4"/>
    <w:rsid w:val="00387935"/>
    <w:rsid w:val="00391363"/>
    <w:rsid w:val="00391F56"/>
    <w:rsid w:val="00397BF4"/>
    <w:rsid w:val="003A0438"/>
    <w:rsid w:val="003A4E85"/>
    <w:rsid w:val="003A5724"/>
    <w:rsid w:val="003A5875"/>
    <w:rsid w:val="003A683C"/>
    <w:rsid w:val="003B0188"/>
    <w:rsid w:val="003B0714"/>
    <w:rsid w:val="003B1B7B"/>
    <w:rsid w:val="003B2385"/>
    <w:rsid w:val="003B536C"/>
    <w:rsid w:val="003B73A8"/>
    <w:rsid w:val="003C4E1D"/>
    <w:rsid w:val="003C59D7"/>
    <w:rsid w:val="003D259A"/>
    <w:rsid w:val="003D292B"/>
    <w:rsid w:val="003E17B3"/>
    <w:rsid w:val="003E2C5C"/>
    <w:rsid w:val="003E69A7"/>
    <w:rsid w:val="003F138D"/>
    <w:rsid w:val="003F18F6"/>
    <w:rsid w:val="003F28CA"/>
    <w:rsid w:val="003F2E92"/>
    <w:rsid w:val="003F3B78"/>
    <w:rsid w:val="003F4641"/>
    <w:rsid w:val="003F6279"/>
    <w:rsid w:val="003F70AA"/>
    <w:rsid w:val="003F7A29"/>
    <w:rsid w:val="0040287B"/>
    <w:rsid w:val="00410B09"/>
    <w:rsid w:val="00410C62"/>
    <w:rsid w:val="0041115C"/>
    <w:rsid w:val="004128F8"/>
    <w:rsid w:val="0041441C"/>
    <w:rsid w:val="00415032"/>
    <w:rsid w:val="004160F9"/>
    <w:rsid w:val="00416F8B"/>
    <w:rsid w:val="00420EB6"/>
    <w:rsid w:val="00422B40"/>
    <w:rsid w:val="00422B4D"/>
    <w:rsid w:val="004232FE"/>
    <w:rsid w:val="004236B2"/>
    <w:rsid w:val="00425ABB"/>
    <w:rsid w:val="00427D24"/>
    <w:rsid w:val="0043065D"/>
    <w:rsid w:val="00442691"/>
    <w:rsid w:val="00445977"/>
    <w:rsid w:val="00446D1F"/>
    <w:rsid w:val="00447235"/>
    <w:rsid w:val="00447547"/>
    <w:rsid w:val="00450641"/>
    <w:rsid w:val="004516BB"/>
    <w:rsid w:val="00455765"/>
    <w:rsid w:val="004572EE"/>
    <w:rsid w:val="00463D99"/>
    <w:rsid w:val="00465303"/>
    <w:rsid w:val="004720AE"/>
    <w:rsid w:val="00472FB7"/>
    <w:rsid w:val="00474BEE"/>
    <w:rsid w:val="0047504C"/>
    <w:rsid w:val="00477215"/>
    <w:rsid w:val="00477A29"/>
    <w:rsid w:val="0048185E"/>
    <w:rsid w:val="00485D00"/>
    <w:rsid w:val="00485F80"/>
    <w:rsid w:val="004879C2"/>
    <w:rsid w:val="00493EA4"/>
    <w:rsid w:val="004A1694"/>
    <w:rsid w:val="004A2588"/>
    <w:rsid w:val="004A6BC6"/>
    <w:rsid w:val="004B3966"/>
    <w:rsid w:val="004B3AB2"/>
    <w:rsid w:val="004B566C"/>
    <w:rsid w:val="004B5CE7"/>
    <w:rsid w:val="004B7501"/>
    <w:rsid w:val="004C0B98"/>
    <w:rsid w:val="004C2AE9"/>
    <w:rsid w:val="004C4363"/>
    <w:rsid w:val="004C4CF7"/>
    <w:rsid w:val="004C7C99"/>
    <w:rsid w:val="004D56AD"/>
    <w:rsid w:val="004D75B0"/>
    <w:rsid w:val="004E2A63"/>
    <w:rsid w:val="004E3188"/>
    <w:rsid w:val="004E469E"/>
    <w:rsid w:val="004F0855"/>
    <w:rsid w:val="004F2387"/>
    <w:rsid w:val="004F3CF1"/>
    <w:rsid w:val="004F3D29"/>
    <w:rsid w:val="005017BD"/>
    <w:rsid w:val="0050776C"/>
    <w:rsid w:val="005078C2"/>
    <w:rsid w:val="00510FAF"/>
    <w:rsid w:val="00513127"/>
    <w:rsid w:val="005142B9"/>
    <w:rsid w:val="005201EF"/>
    <w:rsid w:val="00520C3A"/>
    <w:rsid w:val="00523376"/>
    <w:rsid w:val="005253B2"/>
    <w:rsid w:val="00525D1C"/>
    <w:rsid w:val="0052631C"/>
    <w:rsid w:val="00531819"/>
    <w:rsid w:val="00531AFE"/>
    <w:rsid w:val="00532524"/>
    <w:rsid w:val="00535EEB"/>
    <w:rsid w:val="00536AE6"/>
    <w:rsid w:val="00540AAE"/>
    <w:rsid w:val="0054714B"/>
    <w:rsid w:val="00550F16"/>
    <w:rsid w:val="0055234D"/>
    <w:rsid w:val="005561C8"/>
    <w:rsid w:val="0055730F"/>
    <w:rsid w:val="00562AFC"/>
    <w:rsid w:val="0056501A"/>
    <w:rsid w:val="005651C1"/>
    <w:rsid w:val="00567B31"/>
    <w:rsid w:val="00567DBC"/>
    <w:rsid w:val="00570643"/>
    <w:rsid w:val="00570819"/>
    <w:rsid w:val="005720F9"/>
    <w:rsid w:val="00572F05"/>
    <w:rsid w:val="00573608"/>
    <w:rsid w:val="00581B94"/>
    <w:rsid w:val="00584845"/>
    <w:rsid w:val="0058604F"/>
    <w:rsid w:val="005972AE"/>
    <w:rsid w:val="005A1A63"/>
    <w:rsid w:val="005A2E3B"/>
    <w:rsid w:val="005A722B"/>
    <w:rsid w:val="005B3716"/>
    <w:rsid w:val="005B4AA9"/>
    <w:rsid w:val="005B4C5B"/>
    <w:rsid w:val="005C03AE"/>
    <w:rsid w:val="005C0A4B"/>
    <w:rsid w:val="005D1B60"/>
    <w:rsid w:val="005D20D1"/>
    <w:rsid w:val="005D39AF"/>
    <w:rsid w:val="005E25CC"/>
    <w:rsid w:val="005E5CD4"/>
    <w:rsid w:val="005E6C9B"/>
    <w:rsid w:val="005F28F7"/>
    <w:rsid w:val="005F2F87"/>
    <w:rsid w:val="005F321B"/>
    <w:rsid w:val="005F6723"/>
    <w:rsid w:val="005F6DF3"/>
    <w:rsid w:val="00602575"/>
    <w:rsid w:val="006026ED"/>
    <w:rsid w:val="0060329F"/>
    <w:rsid w:val="00605323"/>
    <w:rsid w:val="00606735"/>
    <w:rsid w:val="00610B7B"/>
    <w:rsid w:val="0061129E"/>
    <w:rsid w:val="00611775"/>
    <w:rsid w:val="006127DF"/>
    <w:rsid w:val="00613B26"/>
    <w:rsid w:val="00615288"/>
    <w:rsid w:val="00616AAC"/>
    <w:rsid w:val="00620E87"/>
    <w:rsid w:val="00620F77"/>
    <w:rsid w:val="00623311"/>
    <w:rsid w:val="006337FB"/>
    <w:rsid w:val="0063494C"/>
    <w:rsid w:val="0064393C"/>
    <w:rsid w:val="00643A29"/>
    <w:rsid w:val="00645628"/>
    <w:rsid w:val="00645D1E"/>
    <w:rsid w:val="00651BB8"/>
    <w:rsid w:val="0065210A"/>
    <w:rsid w:val="006526EF"/>
    <w:rsid w:val="00654769"/>
    <w:rsid w:val="00654C7A"/>
    <w:rsid w:val="00655646"/>
    <w:rsid w:val="006562C2"/>
    <w:rsid w:val="00661DF2"/>
    <w:rsid w:val="00662333"/>
    <w:rsid w:val="00666EA4"/>
    <w:rsid w:val="00673544"/>
    <w:rsid w:val="00673BA5"/>
    <w:rsid w:val="00674585"/>
    <w:rsid w:val="006767FC"/>
    <w:rsid w:val="006822FD"/>
    <w:rsid w:val="00682C03"/>
    <w:rsid w:val="00684557"/>
    <w:rsid w:val="006851D3"/>
    <w:rsid w:val="00686AAE"/>
    <w:rsid w:val="00691C6B"/>
    <w:rsid w:val="00693039"/>
    <w:rsid w:val="006A186C"/>
    <w:rsid w:val="006A213F"/>
    <w:rsid w:val="006A3779"/>
    <w:rsid w:val="006A517C"/>
    <w:rsid w:val="006B0C99"/>
    <w:rsid w:val="006B60C9"/>
    <w:rsid w:val="006B79CA"/>
    <w:rsid w:val="006C0179"/>
    <w:rsid w:val="006C1F47"/>
    <w:rsid w:val="006C6479"/>
    <w:rsid w:val="006D4652"/>
    <w:rsid w:val="006D6FDE"/>
    <w:rsid w:val="006E599C"/>
    <w:rsid w:val="006E7A8D"/>
    <w:rsid w:val="006F4AE6"/>
    <w:rsid w:val="006F6CA1"/>
    <w:rsid w:val="006F77C0"/>
    <w:rsid w:val="00703CB1"/>
    <w:rsid w:val="007041C3"/>
    <w:rsid w:val="00704933"/>
    <w:rsid w:val="00707BBD"/>
    <w:rsid w:val="00713E8B"/>
    <w:rsid w:val="007227AD"/>
    <w:rsid w:val="00723630"/>
    <w:rsid w:val="00725F77"/>
    <w:rsid w:val="00732D5E"/>
    <w:rsid w:val="0073415B"/>
    <w:rsid w:val="00735A66"/>
    <w:rsid w:val="007434B7"/>
    <w:rsid w:val="0074662E"/>
    <w:rsid w:val="00750885"/>
    <w:rsid w:val="007522F8"/>
    <w:rsid w:val="0075478F"/>
    <w:rsid w:val="0075569E"/>
    <w:rsid w:val="00761BA0"/>
    <w:rsid w:val="00762803"/>
    <w:rsid w:val="007628F4"/>
    <w:rsid w:val="0076293B"/>
    <w:rsid w:val="00771BFE"/>
    <w:rsid w:val="0077264B"/>
    <w:rsid w:val="00773BA8"/>
    <w:rsid w:val="00774319"/>
    <w:rsid w:val="00776375"/>
    <w:rsid w:val="007766E2"/>
    <w:rsid w:val="007822AB"/>
    <w:rsid w:val="00782E74"/>
    <w:rsid w:val="0078618C"/>
    <w:rsid w:val="007872B4"/>
    <w:rsid w:val="0078782D"/>
    <w:rsid w:val="00791616"/>
    <w:rsid w:val="00791821"/>
    <w:rsid w:val="00791B29"/>
    <w:rsid w:val="00795AB7"/>
    <w:rsid w:val="007979D3"/>
    <w:rsid w:val="007A073B"/>
    <w:rsid w:val="007A0DD2"/>
    <w:rsid w:val="007A1464"/>
    <w:rsid w:val="007A14D8"/>
    <w:rsid w:val="007A2E53"/>
    <w:rsid w:val="007A4CDD"/>
    <w:rsid w:val="007B1E5F"/>
    <w:rsid w:val="007B36DF"/>
    <w:rsid w:val="007B5C5A"/>
    <w:rsid w:val="007B68A1"/>
    <w:rsid w:val="007C09D9"/>
    <w:rsid w:val="007C1A63"/>
    <w:rsid w:val="007C4E4E"/>
    <w:rsid w:val="007C7C05"/>
    <w:rsid w:val="007D4C3A"/>
    <w:rsid w:val="007D546C"/>
    <w:rsid w:val="007E25A5"/>
    <w:rsid w:val="007E611E"/>
    <w:rsid w:val="007E68B9"/>
    <w:rsid w:val="007F12F9"/>
    <w:rsid w:val="007F28B6"/>
    <w:rsid w:val="007F3F82"/>
    <w:rsid w:val="007F5225"/>
    <w:rsid w:val="007F6CE0"/>
    <w:rsid w:val="007F74CE"/>
    <w:rsid w:val="007F76B0"/>
    <w:rsid w:val="00812E05"/>
    <w:rsid w:val="008144F6"/>
    <w:rsid w:val="0081473E"/>
    <w:rsid w:val="0081591B"/>
    <w:rsid w:val="00816294"/>
    <w:rsid w:val="00817DB5"/>
    <w:rsid w:val="0082620A"/>
    <w:rsid w:val="00826D98"/>
    <w:rsid w:val="008316B9"/>
    <w:rsid w:val="0083222C"/>
    <w:rsid w:val="00833E20"/>
    <w:rsid w:val="0083506C"/>
    <w:rsid w:val="00845F9A"/>
    <w:rsid w:val="00846304"/>
    <w:rsid w:val="00851D44"/>
    <w:rsid w:val="00857D50"/>
    <w:rsid w:val="00873EB1"/>
    <w:rsid w:val="00875BE3"/>
    <w:rsid w:val="008804AA"/>
    <w:rsid w:val="00883ADC"/>
    <w:rsid w:val="00886BB0"/>
    <w:rsid w:val="008910F9"/>
    <w:rsid w:val="008924CE"/>
    <w:rsid w:val="00892E2F"/>
    <w:rsid w:val="008939DB"/>
    <w:rsid w:val="008A1DA2"/>
    <w:rsid w:val="008A4DB4"/>
    <w:rsid w:val="008A5DA2"/>
    <w:rsid w:val="008A5FD3"/>
    <w:rsid w:val="008C0DC7"/>
    <w:rsid w:val="008C142F"/>
    <w:rsid w:val="008C4991"/>
    <w:rsid w:val="008C4E2E"/>
    <w:rsid w:val="008C6FD6"/>
    <w:rsid w:val="008C7D7E"/>
    <w:rsid w:val="008D1A8E"/>
    <w:rsid w:val="008D2A8A"/>
    <w:rsid w:val="008D2BD0"/>
    <w:rsid w:val="008D4CD7"/>
    <w:rsid w:val="008D5342"/>
    <w:rsid w:val="008E24E9"/>
    <w:rsid w:val="008E6583"/>
    <w:rsid w:val="008E77B2"/>
    <w:rsid w:val="008F1020"/>
    <w:rsid w:val="008F5297"/>
    <w:rsid w:val="0090121E"/>
    <w:rsid w:val="00902BD3"/>
    <w:rsid w:val="0090310D"/>
    <w:rsid w:val="00903474"/>
    <w:rsid w:val="00904F92"/>
    <w:rsid w:val="009056B2"/>
    <w:rsid w:val="00905844"/>
    <w:rsid w:val="009065C2"/>
    <w:rsid w:val="00906902"/>
    <w:rsid w:val="00913204"/>
    <w:rsid w:val="00916960"/>
    <w:rsid w:val="009212C6"/>
    <w:rsid w:val="009229BB"/>
    <w:rsid w:val="009233EE"/>
    <w:rsid w:val="00925D2D"/>
    <w:rsid w:val="00927166"/>
    <w:rsid w:val="0093266F"/>
    <w:rsid w:val="00941AAB"/>
    <w:rsid w:val="009526D3"/>
    <w:rsid w:val="0095349E"/>
    <w:rsid w:val="0095464E"/>
    <w:rsid w:val="00955AE3"/>
    <w:rsid w:val="00962A80"/>
    <w:rsid w:val="00962CAE"/>
    <w:rsid w:val="009642C6"/>
    <w:rsid w:val="00964596"/>
    <w:rsid w:val="0097128F"/>
    <w:rsid w:val="00976611"/>
    <w:rsid w:val="00981524"/>
    <w:rsid w:val="00983326"/>
    <w:rsid w:val="00983E7D"/>
    <w:rsid w:val="00984D5F"/>
    <w:rsid w:val="009861B9"/>
    <w:rsid w:val="0098651F"/>
    <w:rsid w:val="009875A2"/>
    <w:rsid w:val="00993B29"/>
    <w:rsid w:val="00993BFF"/>
    <w:rsid w:val="00994776"/>
    <w:rsid w:val="00994E80"/>
    <w:rsid w:val="009968F7"/>
    <w:rsid w:val="009A00F2"/>
    <w:rsid w:val="009A0359"/>
    <w:rsid w:val="009A15D6"/>
    <w:rsid w:val="009B0E21"/>
    <w:rsid w:val="009B269B"/>
    <w:rsid w:val="009B2CF4"/>
    <w:rsid w:val="009B4913"/>
    <w:rsid w:val="009B6472"/>
    <w:rsid w:val="009B6902"/>
    <w:rsid w:val="009C2C23"/>
    <w:rsid w:val="009C4B8B"/>
    <w:rsid w:val="009D0E6B"/>
    <w:rsid w:val="009D1BDC"/>
    <w:rsid w:val="009D2213"/>
    <w:rsid w:val="009E10F5"/>
    <w:rsid w:val="009F0275"/>
    <w:rsid w:val="009F18DD"/>
    <w:rsid w:val="00A017C8"/>
    <w:rsid w:val="00A05B7D"/>
    <w:rsid w:val="00A07458"/>
    <w:rsid w:val="00A07B6A"/>
    <w:rsid w:val="00A11DAA"/>
    <w:rsid w:val="00A144FF"/>
    <w:rsid w:val="00A147E6"/>
    <w:rsid w:val="00A147FB"/>
    <w:rsid w:val="00A1730D"/>
    <w:rsid w:val="00A2235C"/>
    <w:rsid w:val="00A25963"/>
    <w:rsid w:val="00A30CAB"/>
    <w:rsid w:val="00A30EA4"/>
    <w:rsid w:val="00A32F9E"/>
    <w:rsid w:val="00A35257"/>
    <w:rsid w:val="00A35C7C"/>
    <w:rsid w:val="00A36A74"/>
    <w:rsid w:val="00A40206"/>
    <w:rsid w:val="00A407F1"/>
    <w:rsid w:val="00A41BF5"/>
    <w:rsid w:val="00A425E2"/>
    <w:rsid w:val="00A42940"/>
    <w:rsid w:val="00A4363E"/>
    <w:rsid w:val="00A44143"/>
    <w:rsid w:val="00A450D2"/>
    <w:rsid w:val="00A51919"/>
    <w:rsid w:val="00A51C9D"/>
    <w:rsid w:val="00A63B8E"/>
    <w:rsid w:val="00A63CED"/>
    <w:rsid w:val="00A67266"/>
    <w:rsid w:val="00A67C52"/>
    <w:rsid w:val="00A70FE1"/>
    <w:rsid w:val="00A723E3"/>
    <w:rsid w:val="00A75433"/>
    <w:rsid w:val="00A76167"/>
    <w:rsid w:val="00A81B1B"/>
    <w:rsid w:val="00A81E7B"/>
    <w:rsid w:val="00A84293"/>
    <w:rsid w:val="00A85B1A"/>
    <w:rsid w:val="00A962B4"/>
    <w:rsid w:val="00AA005C"/>
    <w:rsid w:val="00AA0A54"/>
    <w:rsid w:val="00AA595D"/>
    <w:rsid w:val="00AA6AFD"/>
    <w:rsid w:val="00AA6F86"/>
    <w:rsid w:val="00AB1811"/>
    <w:rsid w:val="00AB248C"/>
    <w:rsid w:val="00AB367E"/>
    <w:rsid w:val="00AB4499"/>
    <w:rsid w:val="00AB4E15"/>
    <w:rsid w:val="00AB5151"/>
    <w:rsid w:val="00AB67AF"/>
    <w:rsid w:val="00AC20DE"/>
    <w:rsid w:val="00AC5493"/>
    <w:rsid w:val="00AD0A94"/>
    <w:rsid w:val="00AD12B2"/>
    <w:rsid w:val="00AD47E4"/>
    <w:rsid w:val="00AD660A"/>
    <w:rsid w:val="00AE0663"/>
    <w:rsid w:val="00AE0AC9"/>
    <w:rsid w:val="00AE296F"/>
    <w:rsid w:val="00AE4A46"/>
    <w:rsid w:val="00AE7189"/>
    <w:rsid w:val="00AF3A26"/>
    <w:rsid w:val="00B002F1"/>
    <w:rsid w:val="00B0135E"/>
    <w:rsid w:val="00B0299B"/>
    <w:rsid w:val="00B0336F"/>
    <w:rsid w:val="00B046F3"/>
    <w:rsid w:val="00B0550C"/>
    <w:rsid w:val="00B100EA"/>
    <w:rsid w:val="00B108D7"/>
    <w:rsid w:val="00B11828"/>
    <w:rsid w:val="00B1407F"/>
    <w:rsid w:val="00B17E80"/>
    <w:rsid w:val="00B20F43"/>
    <w:rsid w:val="00B2166F"/>
    <w:rsid w:val="00B22CF4"/>
    <w:rsid w:val="00B23263"/>
    <w:rsid w:val="00B24939"/>
    <w:rsid w:val="00B3027C"/>
    <w:rsid w:val="00B30A68"/>
    <w:rsid w:val="00B333DD"/>
    <w:rsid w:val="00B357C9"/>
    <w:rsid w:val="00B45E81"/>
    <w:rsid w:val="00B4680E"/>
    <w:rsid w:val="00B46B22"/>
    <w:rsid w:val="00B53F80"/>
    <w:rsid w:val="00B54CDE"/>
    <w:rsid w:val="00B5520A"/>
    <w:rsid w:val="00B562E4"/>
    <w:rsid w:val="00B56CC3"/>
    <w:rsid w:val="00B5763C"/>
    <w:rsid w:val="00B6291F"/>
    <w:rsid w:val="00B62AC6"/>
    <w:rsid w:val="00B72D3C"/>
    <w:rsid w:val="00B736AF"/>
    <w:rsid w:val="00B73896"/>
    <w:rsid w:val="00B73ED0"/>
    <w:rsid w:val="00B76591"/>
    <w:rsid w:val="00B76A45"/>
    <w:rsid w:val="00B777F2"/>
    <w:rsid w:val="00B7787E"/>
    <w:rsid w:val="00B80BA7"/>
    <w:rsid w:val="00B8345F"/>
    <w:rsid w:val="00B90852"/>
    <w:rsid w:val="00B94086"/>
    <w:rsid w:val="00BB3968"/>
    <w:rsid w:val="00BB426C"/>
    <w:rsid w:val="00BB5DF2"/>
    <w:rsid w:val="00BB7BB4"/>
    <w:rsid w:val="00BB7CB0"/>
    <w:rsid w:val="00BC1900"/>
    <w:rsid w:val="00BC2725"/>
    <w:rsid w:val="00BC2947"/>
    <w:rsid w:val="00BC33D8"/>
    <w:rsid w:val="00BC4828"/>
    <w:rsid w:val="00BC6D10"/>
    <w:rsid w:val="00BD24C5"/>
    <w:rsid w:val="00BE0776"/>
    <w:rsid w:val="00BE2B50"/>
    <w:rsid w:val="00BE58DE"/>
    <w:rsid w:val="00BE7B84"/>
    <w:rsid w:val="00BF0F68"/>
    <w:rsid w:val="00BF1AB6"/>
    <w:rsid w:val="00BF26F9"/>
    <w:rsid w:val="00BF5556"/>
    <w:rsid w:val="00C000F9"/>
    <w:rsid w:val="00C021A7"/>
    <w:rsid w:val="00C022F4"/>
    <w:rsid w:val="00C07908"/>
    <w:rsid w:val="00C1000E"/>
    <w:rsid w:val="00C1007C"/>
    <w:rsid w:val="00C1210D"/>
    <w:rsid w:val="00C1274F"/>
    <w:rsid w:val="00C2275F"/>
    <w:rsid w:val="00C2278D"/>
    <w:rsid w:val="00C31256"/>
    <w:rsid w:val="00C342F6"/>
    <w:rsid w:val="00C37DB2"/>
    <w:rsid w:val="00C4085F"/>
    <w:rsid w:val="00C420C0"/>
    <w:rsid w:val="00C42132"/>
    <w:rsid w:val="00C443D0"/>
    <w:rsid w:val="00C44B17"/>
    <w:rsid w:val="00C44F1A"/>
    <w:rsid w:val="00C455DE"/>
    <w:rsid w:val="00C51129"/>
    <w:rsid w:val="00C5356B"/>
    <w:rsid w:val="00C53BB0"/>
    <w:rsid w:val="00C54364"/>
    <w:rsid w:val="00C54D13"/>
    <w:rsid w:val="00C6543D"/>
    <w:rsid w:val="00C701E2"/>
    <w:rsid w:val="00C72C88"/>
    <w:rsid w:val="00C81FE7"/>
    <w:rsid w:val="00C82754"/>
    <w:rsid w:val="00C82F38"/>
    <w:rsid w:val="00C838C6"/>
    <w:rsid w:val="00C84B20"/>
    <w:rsid w:val="00C860B0"/>
    <w:rsid w:val="00C86EE8"/>
    <w:rsid w:val="00C87C91"/>
    <w:rsid w:val="00C91D57"/>
    <w:rsid w:val="00C9229E"/>
    <w:rsid w:val="00C942F2"/>
    <w:rsid w:val="00C9535D"/>
    <w:rsid w:val="00C958C0"/>
    <w:rsid w:val="00C978BA"/>
    <w:rsid w:val="00CA4704"/>
    <w:rsid w:val="00CA4C97"/>
    <w:rsid w:val="00CA58D8"/>
    <w:rsid w:val="00CB03DB"/>
    <w:rsid w:val="00CB26C0"/>
    <w:rsid w:val="00CC1CA0"/>
    <w:rsid w:val="00CC1E45"/>
    <w:rsid w:val="00CC5008"/>
    <w:rsid w:val="00CD1A05"/>
    <w:rsid w:val="00CD38AC"/>
    <w:rsid w:val="00CD4589"/>
    <w:rsid w:val="00CD4F3E"/>
    <w:rsid w:val="00CD5733"/>
    <w:rsid w:val="00CD5756"/>
    <w:rsid w:val="00CD61D3"/>
    <w:rsid w:val="00CD72B1"/>
    <w:rsid w:val="00CE0061"/>
    <w:rsid w:val="00CE05B3"/>
    <w:rsid w:val="00CF1C60"/>
    <w:rsid w:val="00CF4B1F"/>
    <w:rsid w:val="00D008F6"/>
    <w:rsid w:val="00D02F6A"/>
    <w:rsid w:val="00D04D84"/>
    <w:rsid w:val="00D11CA8"/>
    <w:rsid w:val="00D122C8"/>
    <w:rsid w:val="00D20A06"/>
    <w:rsid w:val="00D21437"/>
    <w:rsid w:val="00D2669A"/>
    <w:rsid w:val="00D271D6"/>
    <w:rsid w:val="00D30E6F"/>
    <w:rsid w:val="00D32223"/>
    <w:rsid w:val="00D355BF"/>
    <w:rsid w:val="00D35D8F"/>
    <w:rsid w:val="00D412E9"/>
    <w:rsid w:val="00D42D85"/>
    <w:rsid w:val="00D45CD4"/>
    <w:rsid w:val="00D50676"/>
    <w:rsid w:val="00D50C06"/>
    <w:rsid w:val="00D52D6C"/>
    <w:rsid w:val="00D52FBC"/>
    <w:rsid w:val="00D52FE4"/>
    <w:rsid w:val="00D56AA3"/>
    <w:rsid w:val="00D57ECC"/>
    <w:rsid w:val="00D60D47"/>
    <w:rsid w:val="00D62D95"/>
    <w:rsid w:val="00D65BD4"/>
    <w:rsid w:val="00D65C87"/>
    <w:rsid w:val="00D65E35"/>
    <w:rsid w:val="00D67FC7"/>
    <w:rsid w:val="00D70D3C"/>
    <w:rsid w:val="00D733D1"/>
    <w:rsid w:val="00D733FF"/>
    <w:rsid w:val="00D75A78"/>
    <w:rsid w:val="00D801EE"/>
    <w:rsid w:val="00D811B5"/>
    <w:rsid w:val="00D847F2"/>
    <w:rsid w:val="00D924E5"/>
    <w:rsid w:val="00D9422B"/>
    <w:rsid w:val="00D96724"/>
    <w:rsid w:val="00D96BC9"/>
    <w:rsid w:val="00DA0714"/>
    <w:rsid w:val="00DA1147"/>
    <w:rsid w:val="00DA3BFA"/>
    <w:rsid w:val="00DB0195"/>
    <w:rsid w:val="00DB0B4A"/>
    <w:rsid w:val="00DB0F8A"/>
    <w:rsid w:val="00DB1077"/>
    <w:rsid w:val="00DB4C2F"/>
    <w:rsid w:val="00DB54C9"/>
    <w:rsid w:val="00DC42B4"/>
    <w:rsid w:val="00DD02EF"/>
    <w:rsid w:val="00DD3F73"/>
    <w:rsid w:val="00DD7921"/>
    <w:rsid w:val="00DE357E"/>
    <w:rsid w:val="00DE46A9"/>
    <w:rsid w:val="00DE4C27"/>
    <w:rsid w:val="00DE6C4B"/>
    <w:rsid w:val="00DF18F8"/>
    <w:rsid w:val="00DF5255"/>
    <w:rsid w:val="00E06455"/>
    <w:rsid w:val="00E12B30"/>
    <w:rsid w:val="00E1302B"/>
    <w:rsid w:val="00E21910"/>
    <w:rsid w:val="00E2311D"/>
    <w:rsid w:val="00E23F9A"/>
    <w:rsid w:val="00E243E3"/>
    <w:rsid w:val="00E24A9A"/>
    <w:rsid w:val="00E270D7"/>
    <w:rsid w:val="00E367A3"/>
    <w:rsid w:val="00E36E84"/>
    <w:rsid w:val="00E36EEA"/>
    <w:rsid w:val="00E40296"/>
    <w:rsid w:val="00E41934"/>
    <w:rsid w:val="00E465CF"/>
    <w:rsid w:val="00E471C8"/>
    <w:rsid w:val="00E53DA0"/>
    <w:rsid w:val="00E5424C"/>
    <w:rsid w:val="00E54549"/>
    <w:rsid w:val="00E54EC1"/>
    <w:rsid w:val="00E56FA9"/>
    <w:rsid w:val="00E574CD"/>
    <w:rsid w:val="00E72C5E"/>
    <w:rsid w:val="00E82403"/>
    <w:rsid w:val="00E84458"/>
    <w:rsid w:val="00E84895"/>
    <w:rsid w:val="00E84D6F"/>
    <w:rsid w:val="00E92B1C"/>
    <w:rsid w:val="00E93807"/>
    <w:rsid w:val="00EA2F2E"/>
    <w:rsid w:val="00EB1C7A"/>
    <w:rsid w:val="00EB26B2"/>
    <w:rsid w:val="00EB62A6"/>
    <w:rsid w:val="00EB68DC"/>
    <w:rsid w:val="00EB6A0B"/>
    <w:rsid w:val="00EC1A07"/>
    <w:rsid w:val="00EC486B"/>
    <w:rsid w:val="00EC665E"/>
    <w:rsid w:val="00EC67AE"/>
    <w:rsid w:val="00ED2D13"/>
    <w:rsid w:val="00ED4DB8"/>
    <w:rsid w:val="00ED5E07"/>
    <w:rsid w:val="00ED63CF"/>
    <w:rsid w:val="00ED7D93"/>
    <w:rsid w:val="00EE1B5E"/>
    <w:rsid w:val="00EE6B10"/>
    <w:rsid w:val="00EF3BEE"/>
    <w:rsid w:val="00F01DA0"/>
    <w:rsid w:val="00F01E40"/>
    <w:rsid w:val="00F07153"/>
    <w:rsid w:val="00F07218"/>
    <w:rsid w:val="00F10789"/>
    <w:rsid w:val="00F10F2B"/>
    <w:rsid w:val="00F15F7C"/>
    <w:rsid w:val="00F23400"/>
    <w:rsid w:val="00F234EA"/>
    <w:rsid w:val="00F357C0"/>
    <w:rsid w:val="00F40A23"/>
    <w:rsid w:val="00F41DFA"/>
    <w:rsid w:val="00F435A3"/>
    <w:rsid w:val="00F46B2E"/>
    <w:rsid w:val="00F7288F"/>
    <w:rsid w:val="00F743FF"/>
    <w:rsid w:val="00F77475"/>
    <w:rsid w:val="00F80605"/>
    <w:rsid w:val="00F81A23"/>
    <w:rsid w:val="00F8543E"/>
    <w:rsid w:val="00F909CD"/>
    <w:rsid w:val="00F941CA"/>
    <w:rsid w:val="00F959A9"/>
    <w:rsid w:val="00FA38EF"/>
    <w:rsid w:val="00FA560D"/>
    <w:rsid w:val="00FC1C0B"/>
    <w:rsid w:val="00FC612B"/>
    <w:rsid w:val="00FC7312"/>
    <w:rsid w:val="00FD0360"/>
    <w:rsid w:val="00FD0598"/>
    <w:rsid w:val="00FD46C5"/>
    <w:rsid w:val="00FD630F"/>
    <w:rsid w:val="00FE05BB"/>
    <w:rsid w:val="00FE2A60"/>
    <w:rsid w:val="00FF11D5"/>
    <w:rsid w:val="00FF2110"/>
    <w:rsid w:val="00FF2D3E"/>
    <w:rsid w:val="00FF48E1"/>
    <w:rsid w:val="00FF5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BF4"/>
    <w:rPr>
      <w:rFonts w:ascii="Tahoma" w:hAnsi="Tahoma" w:cs="Tahoma"/>
      <w:sz w:val="16"/>
      <w:szCs w:val="16"/>
    </w:rPr>
  </w:style>
  <w:style w:type="character" w:styleId="Hyperlink">
    <w:name w:val="Hyperlink"/>
    <w:basedOn w:val="DefaultParagraphFont"/>
    <w:uiPriority w:val="99"/>
    <w:unhideWhenUsed/>
    <w:rsid w:val="00EB1C7A"/>
    <w:rPr>
      <w:color w:val="0000FF" w:themeColor="hyperlink"/>
      <w:u w:val="single"/>
    </w:rPr>
  </w:style>
  <w:style w:type="paragraph" w:styleId="Header">
    <w:name w:val="header"/>
    <w:basedOn w:val="Normal"/>
    <w:link w:val="HeaderChar"/>
    <w:uiPriority w:val="99"/>
    <w:unhideWhenUsed/>
    <w:rsid w:val="0044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35"/>
  </w:style>
  <w:style w:type="paragraph" w:styleId="Footer">
    <w:name w:val="footer"/>
    <w:basedOn w:val="Normal"/>
    <w:link w:val="FooterChar"/>
    <w:uiPriority w:val="99"/>
    <w:unhideWhenUsed/>
    <w:rsid w:val="0044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35"/>
  </w:style>
  <w:style w:type="character" w:styleId="LineNumber">
    <w:name w:val="line number"/>
    <w:basedOn w:val="DefaultParagraphFont"/>
    <w:uiPriority w:val="99"/>
    <w:semiHidden/>
    <w:unhideWhenUsed/>
    <w:rsid w:val="003A683C"/>
  </w:style>
  <w:style w:type="character" w:customStyle="1" w:styleId="UnresolvedMention">
    <w:name w:val="Unresolved Mention"/>
    <w:basedOn w:val="DefaultParagraphFont"/>
    <w:uiPriority w:val="99"/>
    <w:semiHidden/>
    <w:unhideWhenUsed/>
    <w:rsid w:val="009A15D6"/>
    <w:rPr>
      <w:color w:val="605E5C"/>
      <w:shd w:val="clear" w:color="auto" w:fill="E1DFDD"/>
    </w:rPr>
  </w:style>
  <w:style w:type="paragraph" w:styleId="ListParagraph">
    <w:name w:val="List Paragraph"/>
    <w:basedOn w:val="Normal"/>
    <w:uiPriority w:val="34"/>
    <w:qFormat/>
    <w:rsid w:val="00302D26"/>
    <w:pPr>
      <w:ind w:left="720"/>
      <w:contextualSpacing/>
    </w:pPr>
  </w:style>
  <w:style w:type="paragraph" w:customStyle="1" w:styleId="TableParagraph">
    <w:name w:val="Table Paragraph"/>
    <w:basedOn w:val="Normal"/>
    <w:uiPriority w:val="1"/>
    <w:qFormat/>
    <w:rsid w:val="00A84293"/>
    <w:pPr>
      <w:widowControl w:val="0"/>
      <w:autoSpaceDE w:val="0"/>
      <w:autoSpaceDN w:val="0"/>
      <w:spacing w:before="9" w:after="0" w:line="211" w:lineRule="exact"/>
      <w:jc w:val="center"/>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252904324">
      <w:bodyDiv w:val="1"/>
      <w:marLeft w:val="0"/>
      <w:marRight w:val="0"/>
      <w:marTop w:val="0"/>
      <w:marBottom w:val="0"/>
      <w:divBdr>
        <w:top w:val="none" w:sz="0" w:space="0" w:color="auto"/>
        <w:left w:val="none" w:sz="0" w:space="0" w:color="auto"/>
        <w:bottom w:val="none" w:sz="0" w:space="0" w:color="auto"/>
        <w:right w:val="none" w:sz="0" w:space="0" w:color="auto"/>
      </w:divBdr>
    </w:div>
    <w:div w:id="659700643">
      <w:bodyDiv w:val="1"/>
      <w:marLeft w:val="0"/>
      <w:marRight w:val="0"/>
      <w:marTop w:val="0"/>
      <w:marBottom w:val="0"/>
      <w:divBdr>
        <w:top w:val="none" w:sz="0" w:space="0" w:color="auto"/>
        <w:left w:val="none" w:sz="0" w:space="0" w:color="auto"/>
        <w:bottom w:val="none" w:sz="0" w:space="0" w:color="auto"/>
        <w:right w:val="none" w:sz="0" w:space="0" w:color="auto"/>
      </w:divBdr>
    </w:div>
    <w:div w:id="721833998">
      <w:bodyDiv w:val="1"/>
      <w:marLeft w:val="0"/>
      <w:marRight w:val="0"/>
      <w:marTop w:val="0"/>
      <w:marBottom w:val="0"/>
      <w:divBdr>
        <w:top w:val="none" w:sz="0" w:space="0" w:color="auto"/>
        <w:left w:val="none" w:sz="0" w:space="0" w:color="auto"/>
        <w:bottom w:val="none" w:sz="0" w:space="0" w:color="auto"/>
        <w:right w:val="none" w:sz="0" w:space="0" w:color="auto"/>
      </w:divBdr>
    </w:div>
    <w:div w:id="863907213">
      <w:bodyDiv w:val="1"/>
      <w:marLeft w:val="0"/>
      <w:marRight w:val="0"/>
      <w:marTop w:val="0"/>
      <w:marBottom w:val="0"/>
      <w:divBdr>
        <w:top w:val="none" w:sz="0" w:space="0" w:color="auto"/>
        <w:left w:val="none" w:sz="0" w:space="0" w:color="auto"/>
        <w:bottom w:val="none" w:sz="0" w:space="0" w:color="auto"/>
        <w:right w:val="none" w:sz="0" w:space="0" w:color="auto"/>
      </w:divBdr>
    </w:div>
    <w:div w:id="183908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07/s12639-024-01706-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micpath.2020.10469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978-3-319-14753-6_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54/dao0364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141FB-2BEF-45E9-B8B5-0FA8FE594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2847</TotalTime>
  <Pages>14</Pages>
  <Words>5386</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Arghyaneel Halder</cp:lastModifiedBy>
  <cp:revision>199</cp:revision>
  <dcterms:created xsi:type="dcterms:W3CDTF">2026-01-06T13:43:00Z</dcterms:created>
  <dcterms:modified xsi:type="dcterms:W3CDTF">2026-03-29T04:35:00Z</dcterms:modified>
</cp:coreProperties>
</file>