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8E349" w14:textId="2189FAB1" w:rsidR="00103CD4" w:rsidRPr="00690EB2" w:rsidRDefault="00B76353" w:rsidP="00452C4B">
      <w:pPr>
        <w:pStyle w:val="NormalWeb"/>
        <w:jc w:val="center"/>
        <w:rPr>
          <w:b/>
          <w:bCs/>
          <w:sz w:val="28"/>
          <w:szCs w:val="28"/>
        </w:rPr>
      </w:pPr>
      <w:r w:rsidRPr="00690EB2">
        <w:rPr>
          <w:b/>
          <w:bCs/>
          <w:sz w:val="28"/>
          <w:szCs w:val="28"/>
        </w:rPr>
        <w:t>Morphological Characteristics and Seasonal Variation of</w:t>
      </w:r>
      <w:r w:rsidRPr="00690EB2">
        <w:rPr>
          <w:sz w:val="28"/>
          <w:szCs w:val="28"/>
        </w:rPr>
        <w:t xml:space="preserve"> </w:t>
      </w:r>
      <w:r w:rsidR="00103CD4" w:rsidRPr="00690EB2">
        <w:rPr>
          <w:b/>
          <w:bCs/>
          <w:i/>
          <w:iCs/>
          <w:sz w:val="28"/>
          <w:szCs w:val="28"/>
        </w:rPr>
        <w:t>Raillietina (R) fuhrmanni</w:t>
      </w:r>
      <w:r w:rsidR="00103CD4" w:rsidRPr="00690EB2">
        <w:rPr>
          <w:b/>
          <w:bCs/>
          <w:sz w:val="28"/>
          <w:szCs w:val="28"/>
        </w:rPr>
        <w:t xml:space="preserve"> (Southwell, 1922) in</w:t>
      </w:r>
      <w:r w:rsidR="00122020" w:rsidRPr="00690EB2">
        <w:rPr>
          <w:rStyle w:val="Emphasis"/>
          <w:b/>
          <w:bCs/>
          <w:sz w:val="28"/>
          <w:szCs w:val="28"/>
        </w:rPr>
        <w:t xml:space="preserve"> Gallus gallus domesticus</w:t>
      </w:r>
      <w:r w:rsidR="00103CD4" w:rsidRPr="00690EB2">
        <w:rPr>
          <w:b/>
          <w:bCs/>
          <w:sz w:val="28"/>
          <w:szCs w:val="28"/>
        </w:rPr>
        <w:t xml:space="preserve"> </w:t>
      </w:r>
      <w:r w:rsidRPr="00690EB2">
        <w:rPr>
          <w:b/>
          <w:bCs/>
          <w:sz w:val="28"/>
          <w:szCs w:val="28"/>
        </w:rPr>
        <w:t xml:space="preserve">in </w:t>
      </w:r>
      <w:r w:rsidR="009103F1" w:rsidRPr="00690EB2">
        <w:rPr>
          <w:b/>
          <w:bCs/>
          <w:sz w:val="28"/>
          <w:szCs w:val="28"/>
        </w:rPr>
        <w:t xml:space="preserve">Maharashtra, </w:t>
      </w:r>
      <w:r w:rsidR="00103CD4" w:rsidRPr="00690EB2">
        <w:rPr>
          <w:b/>
          <w:bCs/>
          <w:sz w:val="28"/>
          <w:szCs w:val="28"/>
        </w:rPr>
        <w:t>India</w:t>
      </w:r>
    </w:p>
    <w:p w14:paraId="09E000FE" w14:textId="77777777" w:rsidR="008B2773" w:rsidRPr="008B2773" w:rsidRDefault="00E06A71" w:rsidP="00452C4B">
      <w:pPr>
        <w:adjustRightInd w:val="0"/>
        <w:spacing w:after="0"/>
        <w:jc w:val="center"/>
        <w:rPr>
          <w:rFonts w:ascii="Times New Roman" w:hAnsi="Times New Roman" w:cs="Times New Roman"/>
          <w:iCs/>
          <w:sz w:val="24"/>
          <w:szCs w:val="24"/>
        </w:rPr>
      </w:pPr>
      <w:bookmarkStart w:id="0" w:name="_GoBack"/>
      <w:bookmarkEnd w:id="0"/>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6B6CEB20" w14:textId="01467F16" w:rsidR="00082F73" w:rsidRPr="008B2773" w:rsidRDefault="00082F73" w:rsidP="00DF1C46">
      <w:pPr>
        <w:pBdr>
          <w:bottom w:val="single" w:sz="6" w:space="1" w:color="auto"/>
        </w:pBdr>
        <w:spacing w:after="0" w:line="360" w:lineRule="auto"/>
        <w:jc w:val="both"/>
        <w:rPr>
          <w:rFonts w:ascii="Times New Roman" w:hAnsi="Times New Roman" w:cs="Times New Roman"/>
          <w:sz w:val="24"/>
          <w:szCs w:val="24"/>
        </w:rPr>
      </w:pPr>
      <w:r w:rsidRPr="00082F73">
        <w:rPr>
          <w:rFonts w:ascii="Times New Roman" w:hAnsi="Times New Roman" w:cs="Times New Roman"/>
          <w:sz w:val="24"/>
          <w:szCs w:val="24"/>
        </w:rPr>
        <w:t xml:space="preserve">Domestic chickens play an important role in small-scale farming systems; however, parasitic infections significantly reduce their productivity and cause economic losses. This study aimed to investigate the morphology and seasonal variation of the cestode </w:t>
      </w:r>
      <w:r w:rsidRPr="00082F73">
        <w:rPr>
          <w:rFonts w:ascii="Times New Roman" w:hAnsi="Times New Roman" w:cs="Times New Roman"/>
          <w:i/>
          <w:iCs/>
          <w:sz w:val="24"/>
          <w:szCs w:val="24"/>
        </w:rPr>
        <w:t>Raillietina (R.) fuhrmanni</w:t>
      </w:r>
      <w:r w:rsidRPr="00082F73">
        <w:rPr>
          <w:rFonts w:ascii="Times New Roman" w:hAnsi="Times New Roman" w:cs="Times New Roman"/>
          <w:sz w:val="24"/>
          <w:szCs w:val="24"/>
        </w:rPr>
        <w:t xml:space="preserve"> in domestic chickens (</w:t>
      </w:r>
      <w:r w:rsidRPr="00082F73">
        <w:rPr>
          <w:rFonts w:ascii="Times New Roman" w:hAnsi="Times New Roman" w:cs="Times New Roman"/>
          <w:i/>
          <w:iCs/>
          <w:sz w:val="24"/>
          <w:szCs w:val="24"/>
        </w:rPr>
        <w:t>Gallus gallus domesticus</w:t>
      </w:r>
      <w:r w:rsidRPr="00082F73">
        <w:rPr>
          <w:rFonts w:ascii="Times New Roman" w:hAnsi="Times New Roman" w:cs="Times New Roman"/>
          <w:sz w:val="24"/>
          <w:szCs w:val="24"/>
        </w:rPr>
        <w:t>) in Ahilyanagar District, Maharashtra, India.</w:t>
      </w:r>
      <w:r w:rsidR="00C24416">
        <w:rPr>
          <w:rFonts w:ascii="Times New Roman" w:hAnsi="Times New Roman" w:cs="Times New Roman"/>
          <w:sz w:val="24"/>
          <w:szCs w:val="24"/>
        </w:rPr>
        <w:t xml:space="preserve"> </w:t>
      </w:r>
      <w:r w:rsidRPr="00082F73">
        <w:rPr>
          <w:rFonts w:ascii="Times New Roman" w:hAnsi="Times New Roman" w:cs="Times New Roman"/>
          <w:sz w:val="24"/>
          <w:szCs w:val="24"/>
        </w:rPr>
        <w:t xml:space="preserve">The study was conducted from January 2020 to May 2021. Morphological observations revealed that the parasite possesses a small </w:t>
      </w:r>
      <w:r w:rsidR="00C24416" w:rsidRPr="00082F73">
        <w:rPr>
          <w:rFonts w:ascii="Times New Roman" w:hAnsi="Times New Roman" w:cs="Times New Roman"/>
          <w:sz w:val="24"/>
          <w:szCs w:val="24"/>
        </w:rPr>
        <w:t>scolex;</w:t>
      </w:r>
      <w:r w:rsidRPr="00082F73">
        <w:rPr>
          <w:rFonts w:ascii="Times New Roman" w:hAnsi="Times New Roman" w:cs="Times New Roman"/>
          <w:sz w:val="24"/>
          <w:szCs w:val="24"/>
        </w:rPr>
        <w:t xml:space="preserve"> a long flattened body, and is segmented into immature, mature, and gravid proglottids. The scolex is characterized by the presence of a rostellum and suckers, followed by a distinct neck and ribbon-like </w:t>
      </w:r>
      <w:r>
        <w:rPr>
          <w:rFonts w:ascii="Times New Roman" w:hAnsi="Times New Roman" w:cs="Times New Roman"/>
          <w:sz w:val="24"/>
          <w:szCs w:val="24"/>
        </w:rPr>
        <w:t xml:space="preserve">strobili. </w:t>
      </w:r>
      <w:r w:rsidRPr="00082F73">
        <w:rPr>
          <w:rFonts w:ascii="Times New Roman" w:hAnsi="Times New Roman" w:cs="Times New Roman"/>
          <w:sz w:val="24"/>
          <w:szCs w:val="24"/>
        </w:rPr>
        <w:t xml:space="preserve">Seasonal analysis showed that the prevalence of infection was highest during the monsoon season (86.36%), followed by summer (50%), and lowest in winter. The mean intensity of infection was also higher in the monsoon (7.44) and summer (6.67) seasons. In conclusion, </w:t>
      </w:r>
      <w:r w:rsidRPr="00082F73">
        <w:rPr>
          <w:rFonts w:ascii="Times New Roman" w:hAnsi="Times New Roman" w:cs="Times New Roman"/>
          <w:i/>
          <w:iCs/>
          <w:sz w:val="24"/>
          <w:szCs w:val="24"/>
        </w:rPr>
        <w:t>R. fuhrmanni</w:t>
      </w:r>
      <w:r w:rsidRPr="00082F73">
        <w:rPr>
          <w:rFonts w:ascii="Times New Roman" w:hAnsi="Times New Roman" w:cs="Times New Roman"/>
          <w:sz w:val="24"/>
          <w:szCs w:val="24"/>
        </w:rPr>
        <w:t xml:space="preserve"> infection shows clear seasonal patterns and may significantly affect poultry health, highlighting the need for improved management and parasite control strategies in domestic chicken farming.</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66445F">
          <w:headerReference w:type="even" r:id="rId8"/>
          <w:headerReference w:type="default" r:id="rId9"/>
          <w:footerReference w:type="default" r:id="rId10"/>
          <w:headerReference w:type="first" r:id="rId11"/>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77777777" w:rsidR="00DF1C46" w:rsidRPr="008B2773" w:rsidRDefault="009103F1"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Introduction</w:t>
      </w:r>
    </w:p>
    <w:p w14:paraId="08C84B23" w14:textId="706574F0" w:rsidR="00A2591A" w:rsidRPr="00A2591A" w:rsidRDefault="00DF1C46" w:rsidP="00A2591A">
      <w:pPr>
        <w:spacing w:line="360" w:lineRule="auto"/>
        <w:jc w:val="both"/>
        <w:rPr>
          <w:rFonts w:ascii="Times New Roman" w:hAnsi="Times New Roman" w:cs="Times New Roman"/>
          <w:sz w:val="24"/>
          <w:szCs w:val="24"/>
        </w:rPr>
        <w:sectPr w:rsidR="00A2591A" w:rsidRPr="00A2591A" w:rsidSect="0066445F">
          <w:type w:val="continuous"/>
          <w:pgSz w:w="11906" w:h="16838"/>
          <w:pgMar w:top="851" w:right="1106" w:bottom="1440" w:left="1170" w:header="708" w:footer="708" w:gutter="0"/>
          <w:cols w:space="450"/>
          <w:docGrid w:linePitch="360"/>
        </w:sect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w:t>
      </w:r>
      <w:r w:rsidR="00AB2A5C">
        <w:rPr>
          <w:rFonts w:ascii="Times New Roman" w:hAnsi="Times New Roman" w:cs="Times New Roman"/>
          <w:sz w:val="24"/>
          <w:szCs w:val="24"/>
        </w:rPr>
        <w:t>eggs and meat that support</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AB2A5C">
        <w:rPr>
          <w:rFonts w:ascii="Times New Roman" w:hAnsi="Times New Roman" w:cs="Times New Roman"/>
          <w:sz w:val="24"/>
          <w:szCs w:val="24"/>
        </w:rPr>
        <w:t>which cause economic losses through reduced egg and meat production, or even death of the bird (Yamaguti, 1940; Wankhed</w:t>
      </w:r>
      <w:r w:rsidR="00C24416">
        <w:rPr>
          <w:rFonts w:ascii="Times New Roman" w:hAnsi="Times New Roman" w:cs="Times New Roman"/>
          <w:sz w:val="24"/>
          <w:szCs w:val="24"/>
        </w:rPr>
        <w:t>e</w:t>
      </w:r>
      <w:r w:rsidR="00AB2A5C">
        <w:rPr>
          <w:rFonts w:ascii="Times New Roman" w:hAnsi="Times New Roman" w:cs="Times New Roman"/>
          <w:sz w:val="24"/>
          <w:szCs w:val="24"/>
        </w:rPr>
        <w:t xml:space="preserve"> </w:t>
      </w:r>
      <w:r w:rsidR="00AB2A5C" w:rsidRPr="004E4E7D">
        <w:rPr>
          <w:rFonts w:ascii="Times New Roman" w:hAnsi="Times New Roman" w:cs="Times New Roman"/>
          <w:i/>
          <w:iCs/>
          <w:sz w:val="24"/>
          <w:szCs w:val="24"/>
        </w:rPr>
        <w:t>et al.,</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r w:rsidR="004F0A53" w:rsidRPr="008B2773">
        <w:rPr>
          <w:rFonts w:ascii="Times New Roman" w:hAnsi="Times New Roman" w:cs="Times New Roman"/>
          <w:sz w:val="24"/>
          <w:szCs w:val="24"/>
        </w:rPr>
        <w:t xml:space="preserve"> </w:t>
      </w:r>
      <w:r w:rsidR="00AB2A5C">
        <w:rPr>
          <w:rFonts w:ascii="Times New Roman" w:hAnsi="Times New Roman" w:cs="Times New Roman"/>
          <w:sz w:val="24"/>
          <w:szCs w:val="24"/>
        </w:rPr>
        <w:t>to identify and categorize</w:t>
      </w:r>
      <w:r w:rsidR="00AB2A5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the para</w:t>
      </w:r>
      <w:r w:rsidR="00BA3D65" w:rsidRPr="008B2773">
        <w:rPr>
          <w:rFonts w:ascii="Times New Roman" w:hAnsi="Times New Roman" w:cs="Times New Roman"/>
          <w:sz w:val="24"/>
          <w:szCs w:val="24"/>
        </w:rPr>
        <w:t>sites (Kapoor, 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2"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 xml:space="preserve">mall-scale farmers by serving as a valuable source of </w:t>
      </w:r>
      <w:r w:rsidR="00BA3D65" w:rsidRPr="008B2773">
        <w:rPr>
          <w:rFonts w:ascii="Times New Roman" w:hAnsi="Times New Roman" w:cs="Times New Roman"/>
          <w:sz w:val="24"/>
          <w:szCs w:val="24"/>
        </w:rPr>
        <w:t>income</w:t>
      </w:r>
      <w:r w:rsidR="004F0A53" w:rsidRPr="008B2773">
        <w:rPr>
          <w:rFonts w:ascii="Times New Roman" w:hAnsi="Times New Roman" w:cs="Times New Roman"/>
          <w:sz w:val="24"/>
          <w:szCs w:val="24"/>
        </w:rPr>
        <w:t xml:space="preserve"> highlighting the need for effective parasite control measures (Jourdain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 xml:space="preserve"> al</w:t>
      </w:r>
      <w:r w:rsidR="001F5816"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lastRenderedPageBreak/>
        <w:t xml:space="preserve">armed with hooks or spines. The 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Houdemer,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R. tunetensis</w:t>
      </w:r>
      <w:r w:rsidR="004F0A53" w:rsidRPr="008B2773">
        <w:rPr>
          <w:rFonts w:ascii="Times New Roman" w:hAnsi="Times New Roman" w:cs="Times New Roman"/>
          <w:sz w:val="24"/>
          <w:szCs w:val="24"/>
        </w:rPr>
        <w:t xml:space="preserve"> in pigeons,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Meggitt, </w:t>
      </w:r>
      <w:r w:rsidR="004F0A53" w:rsidRPr="008B2773">
        <w:rPr>
          <w:rStyle w:val="Strong"/>
          <w:rFonts w:ascii="Times New Roman" w:hAnsi="Times New Roman" w:cs="Times New Roman"/>
          <w:b w:val="0"/>
          <w:bCs w:val="0"/>
          <w:sz w:val="24"/>
          <w:szCs w:val="24"/>
        </w:rPr>
        <w:t>1931)</w:t>
      </w:r>
      <w:r w:rsidR="0066445F">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documented </w:t>
      </w:r>
      <w:r w:rsidR="004F0A53" w:rsidRPr="008B2773">
        <w:rPr>
          <w:rStyle w:val="Emphasis"/>
          <w:rFonts w:ascii="Times New Roman" w:hAnsi="Times New Roman" w:cs="Times New Roman"/>
          <w:sz w:val="24"/>
          <w:szCs w:val="24"/>
        </w:rPr>
        <w:t>R. flaminata</w:t>
      </w:r>
      <w:r w:rsidR="00BA3D65" w:rsidRPr="008B2773">
        <w:rPr>
          <w:rFonts w:ascii="Times New Roman" w:hAnsi="Times New Roman" w:cs="Times New Roman"/>
          <w:sz w:val="24"/>
          <w:szCs w:val="24"/>
        </w:rPr>
        <w:t xml:space="preserve"> in duck</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Malhotra </w:t>
      </w:r>
      <w:r w:rsidR="00BA3D65" w:rsidRPr="008B2773">
        <w:rPr>
          <w:rStyle w:val="Strong"/>
          <w:rFonts w:ascii="Times New Roman" w:hAnsi="Times New Roman" w:cs="Times New Roman"/>
          <w:b w:val="0"/>
          <w:bCs w:val="0"/>
          <w:i/>
          <w:iCs/>
          <w:sz w:val="24"/>
          <w:szCs w:val="24"/>
        </w:rPr>
        <w:t>et</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i/>
          <w:iCs/>
          <w:sz w:val="24"/>
          <w:szCs w:val="24"/>
        </w:rPr>
        <w:t xml:space="preserve"> al</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66445F">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w:t>
      </w:r>
      <w:r w:rsidR="0066445F" w:rsidRPr="008B2773">
        <w:rPr>
          <w:rFonts w:ascii="Times New Roman" w:hAnsi="Times New Roman" w:cs="Times New Roman"/>
          <w:sz w:val="24"/>
          <w:szCs w:val="24"/>
        </w:rPr>
        <w:t xml:space="preserve">and </w:t>
      </w:r>
      <w:r w:rsidR="004F0A53" w:rsidRPr="008B2773">
        <w:rPr>
          <w:rFonts w:ascii="Times New Roman" w:hAnsi="Times New Roman" w:cs="Times New Roman"/>
          <w:sz w:val="24"/>
          <w:szCs w:val="24"/>
        </w:rPr>
        <w:t xml:space="preserve">reported </w:t>
      </w:r>
      <w:r w:rsidR="004F0A53" w:rsidRPr="008B2773">
        <w:rPr>
          <w:rStyle w:val="Emphasis"/>
          <w:rFonts w:ascii="Times New Roman" w:hAnsi="Times New Roman" w:cs="Times New Roman"/>
          <w:sz w:val="24"/>
          <w:szCs w:val="24"/>
        </w:rPr>
        <w:t>R. saharanpurensis</w:t>
      </w:r>
      <w:r w:rsidR="004F0A53" w:rsidRPr="008B2773">
        <w:rPr>
          <w:rFonts w:ascii="Times New Roman" w:hAnsi="Times New Roman" w:cs="Times New Roman"/>
          <w:sz w:val="24"/>
          <w:szCs w:val="24"/>
        </w:rPr>
        <w:t xml:space="preserve"> in domestic poultry in India. Additionally, </w:t>
      </w:r>
      <w:r w:rsidR="00BA3D65" w:rsidRPr="008B2773">
        <w:rPr>
          <w:rStyle w:val="Strong"/>
          <w:rFonts w:ascii="Times New Roman" w:hAnsi="Times New Roman" w:cs="Times New Roman"/>
          <w:b w:val="0"/>
          <w:bCs w:val="0"/>
          <w:sz w:val="24"/>
          <w:szCs w:val="24"/>
        </w:rPr>
        <w:t>Baylis,</w:t>
      </w:r>
      <w:r w:rsidR="00A10B81" w:rsidRPr="008B2773">
        <w:rPr>
          <w:rStyle w:val="Strong"/>
          <w:rFonts w:ascii="Times New Roman" w:hAnsi="Times New Roman" w:cs="Times New Roman"/>
          <w:b w:val="0"/>
          <w:bCs w:val="0"/>
          <w:sz w:val="24"/>
          <w:szCs w:val="24"/>
        </w:rPr>
        <w:t xml:space="preserve"> </w:t>
      </w:r>
      <w:r w:rsidR="0066445F">
        <w:rPr>
          <w:rStyle w:val="Strong"/>
          <w:rFonts w:ascii="Times New Roman" w:hAnsi="Times New Roman" w:cs="Times New Roman"/>
          <w:b w:val="0"/>
          <w:bCs w:val="0"/>
          <w:sz w:val="24"/>
          <w:szCs w:val="24"/>
        </w:rPr>
        <w:t>(</w:t>
      </w:r>
      <w:r w:rsidR="004F0A53" w:rsidRPr="008B2773">
        <w:rPr>
          <w:rStyle w:val="Strong"/>
          <w:rFonts w:ascii="Times New Roman" w:hAnsi="Times New Roman" w:cs="Times New Roman"/>
          <w:b w:val="0"/>
          <w:bCs w:val="0"/>
          <w:sz w:val="24"/>
          <w:szCs w:val="24"/>
        </w:rPr>
        <w:t>1929)</w:t>
      </w:r>
      <w:r w:rsidR="004F0A53" w:rsidRPr="008B2773">
        <w:rPr>
          <w:rFonts w:ascii="Times New Roman" w:hAnsi="Times New Roman" w:cs="Times New Roman"/>
          <w:b/>
          <w:bCs/>
          <w:sz w:val="24"/>
          <w:szCs w:val="24"/>
        </w:rPr>
        <w:t xml:space="preserve"> </w:t>
      </w:r>
      <w:r w:rsidR="004F0A53" w:rsidRPr="008B2773">
        <w:rPr>
          <w:rFonts w:ascii="Times New Roman" w:hAnsi="Times New Roman" w:cs="Times New Roman"/>
          <w:sz w:val="24"/>
          <w:szCs w:val="24"/>
        </w:rPr>
        <w:t xml:space="preserve">and </w:t>
      </w:r>
      <w:r w:rsidR="00BA3D65" w:rsidRPr="008B2773">
        <w:rPr>
          <w:rStyle w:val="Strong"/>
          <w:rFonts w:ascii="Times New Roman" w:hAnsi="Times New Roman" w:cs="Times New Roman"/>
          <w:b w:val="0"/>
          <w:bCs w:val="0"/>
          <w:sz w:val="24"/>
          <w:szCs w:val="24"/>
        </w:rPr>
        <w:t xml:space="preserve">Sawada, </w:t>
      </w:r>
      <w:r w:rsidR="0066445F">
        <w:rPr>
          <w:rStyle w:val="Strong"/>
          <w:rFonts w:ascii="Times New Roman" w:hAnsi="Times New Roman" w:cs="Times New Roman"/>
          <w:b w:val="0"/>
          <w:bCs w:val="0"/>
          <w:sz w:val="24"/>
          <w:szCs w:val="24"/>
        </w:rPr>
        <w:t>(</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w:t>
      </w:r>
      <w:r w:rsidR="0066445F">
        <w:rPr>
          <w:rFonts w:ascii="Times New Roman" w:hAnsi="Times New Roman" w:cs="Times New Roman"/>
          <w:sz w:val="24"/>
          <w:szCs w:val="24"/>
        </w:rPr>
        <w:t>reported significant findings on</w:t>
      </w:r>
      <w:r w:rsidR="004F0A53"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r w:rsidR="00A2591A" w:rsidRPr="00A2591A">
        <w:rPr>
          <w:rFonts w:ascii="Times New Roman" w:hAnsi="Times New Roman" w:cs="Times New Roman"/>
          <w:sz w:val="24"/>
          <w:szCs w:val="24"/>
        </w:rPr>
        <w:t>The present study deals with</w:t>
      </w:r>
      <w:r w:rsidR="00A2591A" w:rsidRPr="00A2591A">
        <w:rPr>
          <w:b/>
          <w:bCs/>
        </w:rPr>
        <w:t xml:space="preserve"> </w:t>
      </w:r>
      <w:r w:rsidR="00A2591A" w:rsidRPr="00A2591A">
        <w:rPr>
          <w:rFonts w:ascii="Times New Roman" w:hAnsi="Times New Roman" w:cs="Times New Roman"/>
          <w:sz w:val="24"/>
          <w:szCs w:val="24"/>
        </w:rPr>
        <w:t xml:space="preserve">morphological characteristics and seasonal variation of a Raillietina (R) fuhrmanni (Southwell, 1922) Redescribed from </w:t>
      </w:r>
      <w:r w:rsidR="00A2591A" w:rsidRPr="00A2591A">
        <w:rPr>
          <w:rFonts w:ascii="Times New Roman" w:hAnsi="Times New Roman" w:cs="Times New Roman"/>
          <w:i/>
          <w:iCs/>
          <w:sz w:val="24"/>
          <w:szCs w:val="24"/>
        </w:rPr>
        <w:t>Gallus gallus domesticus</w:t>
      </w:r>
      <w:r w:rsidR="00A2591A" w:rsidRPr="00A2591A">
        <w:rPr>
          <w:rFonts w:ascii="Times New Roman" w:hAnsi="Times New Roman" w:cs="Times New Roman"/>
          <w:sz w:val="24"/>
          <w:szCs w:val="24"/>
        </w:rPr>
        <w:t xml:space="preserve"> (Linn) collected from the intestine.</w:t>
      </w:r>
    </w:p>
    <w:p w14:paraId="2C686957" w14:textId="77777777" w:rsidR="0066445F" w:rsidRDefault="0066445F" w:rsidP="00DF1C46">
      <w:pPr>
        <w:spacing w:after="0" w:line="360" w:lineRule="auto"/>
        <w:jc w:val="both"/>
        <w:rPr>
          <w:rFonts w:ascii="Times New Roman" w:eastAsia="Bookman Old Style" w:hAnsi="Times New Roman" w:cs="Times New Roman"/>
          <w:b/>
          <w:bCs/>
          <w:sz w:val="24"/>
          <w:szCs w:val="24"/>
        </w:rPr>
      </w:pPr>
    </w:p>
    <w:p w14:paraId="51FEE8FB" w14:textId="452EE3FB" w:rsidR="0072269E" w:rsidRPr="00A2591A" w:rsidRDefault="0079565F" w:rsidP="00A2591A">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6055B492" w14:textId="56AA2EA5" w:rsidR="00E15AC1"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3">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4">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hyperlink r:id="rId15">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t>
      </w:r>
      <w:r w:rsidR="000C0AF2">
        <w:rPr>
          <w:rFonts w:ascii="Times New Roman" w:hAnsi="Times New Roman" w:cs="Times New Roman"/>
          <w:sz w:val="24"/>
          <w:szCs w:val="24"/>
        </w:rPr>
        <w:t>is</w:t>
      </w:r>
      <w:r w:rsidRPr="008B2773">
        <w:rPr>
          <w:rFonts w:ascii="Times New Roman" w:hAnsi="Times New Roman" w:cs="Times New Roman"/>
          <w:sz w:val="24"/>
          <w:szCs w:val="24"/>
        </w:rPr>
        <w:t xml:space="preserve"> located in the central part of the state. The latitude is 19.083333 (19°5'0"N) and longitude is 74.733333 (74°44'0" E)</w:t>
      </w:r>
    </w:p>
    <w:p w14:paraId="0399DA11" w14:textId="77777777" w:rsidR="00A2591A" w:rsidRDefault="00A2591A" w:rsidP="005F6E64">
      <w:pPr>
        <w:spacing w:line="360" w:lineRule="auto"/>
        <w:jc w:val="both"/>
        <w:rPr>
          <w:rFonts w:ascii="Times New Roman" w:hAnsi="Times New Roman" w:cs="Times New Roman"/>
          <w:sz w:val="24"/>
          <w:szCs w:val="24"/>
        </w:rPr>
      </w:pPr>
    </w:p>
    <w:p w14:paraId="404F76D2" w14:textId="77777777" w:rsidR="00A2591A" w:rsidRPr="008B2773" w:rsidRDefault="00A2591A" w:rsidP="005F6E64">
      <w:pPr>
        <w:spacing w:line="360" w:lineRule="auto"/>
        <w:jc w:val="both"/>
        <w:rPr>
          <w:rFonts w:ascii="Times New Roman" w:hAnsi="Times New Roman" w:cs="Times New Roman"/>
          <w:sz w:val="24"/>
          <w:szCs w:val="24"/>
        </w:rPr>
      </w:pPr>
    </w:p>
    <w:p w14:paraId="746ED8FD" w14:textId="19523FC7" w:rsidR="009103F1" w:rsidRDefault="00A2591A" w:rsidP="007129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w:t>
      </w:r>
      <w:r w:rsidRPr="00A2591A">
        <w:rPr>
          <w:rFonts w:ascii="Times New Roman" w:hAnsi="Times New Roman" w:cs="Times New Roman"/>
          <w:sz w:val="24"/>
          <w:szCs w:val="24"/>
        </w:rPr>
        <w:t xml:space="preserve"> 1. Map of the study area in Ahilyanagar District, Maharashtra, India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712"/>
        <w:gridCol w:w="3208"/>
      </w:tblGrid>
      <w:tr w:rsidR="00E15AC1" w:rsidRPr="008B2773" w14:paraId="468F4536" w14:textId="77777777" w:rsidTr="00A2591A">
        <w:trPr>
          <w:trHeight w:val="2865"/>
        </w:trPr>
        <w:tc>
          <w:tcPr>
            <w:tcW w:w="2926" w:type="dxa"/>
          </w:tcPr>
          <w:p w14:paraId="564290A1" w14:textId="0A1C8AD3"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p>
        </w:tc>
      </w:tr>
      <w:tr w:rsidR="00E15AC1" w:rsidRPr="008B2773" w14:paraId="52DFB750" w14:textId="77777777" w:rsidTr="00A2591A">
        <w:tc>
          <w:tcPr>
            <w:tcW w:w="2926" w:type="dxa"/>
          </w:tcPr>
          <w:p w14:paraId="015EFB0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India</w:t>
            </w:r>
          </w:p>
        </w:tc>
        <w:tc>
          <w:tcPr>
            <w:tcW w:w="3712" w:type="dxa"/>
          </w:tcPr>
          <w:p w14:paraId="33D180F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Maharashtra</w:t>
            </w:r>
          </w:p>
        </w:tc>
        <w:tc>
          <w:tcPr>
            <w:tcW w:w="3208" w:type="dxa"/>
          </w:tcPr>
          <w:p w14:paraId="074DE891"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 xml:space="preserve">Map of </w:t>
            </w:r>
            <w:r w:rsidRPr="008B2773">
              <w:rPr>
                <w:rFonts w:ascii="Times New Roman" w:hAnsi="Times New Roman" w:cs="Times New Roman"/>
                <w:color w:val="212121"/>
                <w:sz w:val="24"/>
                <w:szCs w:val="24"/>
              </w:rPr>
              <w:t>Ahilyanagar</w:t>
            </w:r>
          </w:p>
        </w:tc>
      </w:tr>
    </w:tbl>
    <w:p w14:paraId="6B8855D5" w14:textId="77777777" w:rsidR="007D51C1" w:rsidRPr="008B2773" w:rsidRDefault="007D51C1" w:rsidP="007D51C1">
      <w:pPr>
        <w:spacing w:after="0" w:line="360" w:lineRule="auto"/>
        <w:jc w:val="both"/>
        <w:rPr>
          <w:rFonts w:ascii="Times New Roman" w:hAnsi="Times New Roman" w:cs="Times New Roman"/>
          <w:b/>
          <w:bCs/>
          <w:sz w:val="24"/>
          <w:szCs w:val="24"/>
        </w:rPr>
      </w:pPr>
    </w:p>
    <w:p w14:paraId="7B3B8ACF" w14:textId="69980C26"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w:t>
      </w:r>
      <w:r w:rsidR="00B25B23">
        <w:rPr>
          <w:rFonts w:ascii="Times New Roman" w:hAnsi="Times New Roman" w:cs="Times New Roman"/>
          <w:sz w:val="24"/>
          <w:szCs w:val="24"/>
          <w:shd w:val="clear" w:color="auto" w:fill="FFFFFF"/>
        </w:rPr>
        <w:t>(M.S.). The different regions of the GIT were studied</w:t>
      </w:r>
      <w:r w:rsidRPr="008B2773">
        <w:rPr>
          <w:rFonts w:ascii="Times New Roman" w:hAnsi="Times New Roman" w:cs="Times New Roman"/>
          <w:sz w:val="24"/>
          <w:szCs w:val="24"/>
          <w:shd w:val="clear" w:color="auto" w:fill="FFFFFF"/>
        </w:rPr>
        <w:t xml:space="preserve">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w:t>
      </w:r>
      <w:r w:rsidR="00B25B23">
        <w:rPr>
          <w:rFonts w:ascii="Times New Roman" w:hAnsi="Times New Roman" w:cs="Times New Roman"/>
          <w:sz w:val="24"/>
          <w:szCs w:val="24"/>
          <w:shd w:val="clear" w:color="auto" w:fill="FFFFFF"/>
        </w:rPr>
        <w:t>host's gastrointestinal tract was opened longitudinally with forceps, dissected, and parasites were collected from the intestine and preserved in 4% formaldehyde. Parasite</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counts and slides were prepared using</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 xml:space="preserve">the </w:t>
      </w:r>
      <w:r w:rsidR="00273386" w:rsidRPr="008B2773">
        <w:rPr>
          <w:rFonts w:ascii="Times New Roman" w:hAnsi="Times New Roman" w:cs="Times New Roman"/>
          <w:sz w:val="24"/>
          <w:szCs w:val="24"/>
        </w:rPr>
        <w:t>staining and mounting process</w:t>
      </w:r>
      <w:r w:rsidR="00151E18" w:rsidRPr="008B2773">
        <w:rPr>
          <w:rFonts w:ascii="Times New Roman" w:hAnsi="Times New Roman" w:cs="Times New Roman"/>
          <w:sz w:val="24"/>
          <w:szCs w:val="24"/>
        </w:rPr>
        <w:t>. Scanning Electron</w:t>
      </w:r>
      <w:r w:rsidR="00C42ABA">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C42ABA">
        <w:rPr>
          <w:rFonts w:ascii="Times New Roman" w:hAnsi="Times New Roman" w:cs="Times New Roman"/>
          <w:sz w:val="24"/>
          <w:szCs w:val="24"/>
        </w:rPr>
        <w:t xml:space="preserve">1989; Roy &amp; </w:t>
      </w:r>
      <w:r w:rsidR="00151E18" w:rsidRPr="008B2773">
        <w:rPr>
          <w:rFonts w:ascii="Times New Roman" w:hAnsi="Times New Roman" w:cs="Times New Roman"/>
          <w:sz w:val="24"/>
          <w:szCs w:val="24"/>
        </w:rPr>
        <w:t xml:space="preserve">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Camera Lucida</w:t>
      </w:r>
      <w:r w:rsidR="000C0AF2">
        <w:rPr>
          <w:rFonts w:ascii="Times New Roman" w:hAnsi="Times New Roman" w:cs="Times New Roman"/>
          <w:sz w:val="24"/>
          <w:szCs w:val="24"/>
        </w:rPr>
        <w:t xml:space="preserve"> was made having measurement </w:t>
      </w:r>
      <w:r w:rsidR="00151E18" w:rsidRPr="008B2773">
        <w:rPr>
          <w:rFonts w:ascii="Times New Roman" w:hAnsi="Times New Roman" w:cs="Times New Roman"/>
          <w:sz w:val="24"/>
          <w:szCs w:val="24"/>
        </w:rPr>
        <w:t xml:space="preserve">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t>
      </w:r>
      <w:r w:rsidR="00C42ABA">
        <w:rPr>
          <w:rFonts w:ascii="Times New Roman" w:hAnsi="Times New Roman" w:cs="Times New Roman"/>
          <w:sz w:val="24"/>
          <w:szCs w:val="24"/>
          <w:shd w:val="clear" w:color="auto" w:fill="FFFFFF"/>
        </w:rPr>
        <w:t>was</w:t>
      </w:r>
      <w:r w:rsidRPr="008B2773">
        <w:rPr>
          <w:rFonts w:ascii="Times New Roman" w:hAnsi="Times New Roman" w:cs="Times New Roman"/>
          <w:sz w:val="24"/>
          <w:szCs w:val="24"/>
          <w:shd w:val="clear" w:color="auto" w:fill="FFFFFF"/>
        </w:rPr>
        <w:t xml:space="preserv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7"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Belghyti</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8"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19"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0"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Kha</w:t>
      </w:r>
      <w:r w:rsidR="000C0AF2">
        <w:rPr>
          <w:rFonts w:ascii="Times New Roman" w:hAnsi="Times New Roman" w:cs="Times New Roman"/>
          <w:sz w:val="24"/>
          <w:szCs w:val="24"/>
          <w:shd w:val="clear" w:color="auto" w:fill="FFFFFF"/>
        </w:rPr>
        <w:t xml:space="preserve">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r w:rsidR="000C0AF2">
        <w:rPr>
          <w:rFonts w:ascii="Times New Roman" w:hAnsi="Times New Roman" w:cs="Times New Roman"/>
          <w:i/>
          <w:iCs/>
          <w:sz w:val="24"/>
          <w:szCs w:val="24"/>
          <w:shd w:val="clear" w:color="auto" w:fill="FFFFFF"/>
        </w:rPr>
        <w:t xml:space="preserve"> </w:t>
      </w:r>
      <w:hyperlink r:id="rId21"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 xml:space="preserve">) and (Anderson </w:t>
      </w:r>
      <w:r w:rsidR="00151E18"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 xml:space="preserve">. </w:t>
      </w:r>
      <w:r w:rsidR="009762C8"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 xml:space="preserve"> </w:t>
      </w:r>
      <w:hyperlink r:id="rId22"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C42ABA">
        <w:rPr>
          <w:rFonts w:ascii="Times New Roman" w:hAnsi="Times New Roman" w:cs="Times New Roman"/>
          <w:sz w:val="24"/>
          <w:szCs w:val="24"/>
          <w:shd w:val="clear" w:color="auto" w:fill="FFFFFF"/>
        </w:rPr>
        <w:t>To assess infection prevalence, the presence of Raillietina (R) fuhrmanni was examined each week of each month for a consecutive year-long study period from June 2020 to May 2021</w:t>
      </w:r>
      <w:r w:rsidR="00C42ABA"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w:t>
      </w:r>
      <w:r w:rsidR="00C42ABA">
        <w:rPr>
          <w:rFonts w:ascii="Times New Roman" w:hAnsi="Times New Roman" w:cs="Times New Roman"/>
          <w:sz w:val="24"/>
          <w:szCs w:val="24"/>
          <w:shd w:val="clear" w:color="auto" w:fill="FFFFFF"/>
        </w:rPr>
        <w:t xml:space="preserve">the percentage of incidence (Prevalence) of infection by using the </w:t>
      </w:r>
      <w:r w:rsidR="005B729D" w:rsidRPr="008B2773">
        <w:rPr>
          <w:rFonts w:ascii="Times New Roman" w:hAnsi="Times New Roman" w:cs="Times New Roman"/>
          <w:sz w:val="24"/>
          <w:szCs w:val="24"/>
          <w:shd w:val="clear" w:color="auto" w:fill="FFFFFF"/>
        </w:rPr>
        <w:t xml:space="preserve">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3"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66445F">
          <w:type w:val="continuous"/>
          <w:pgSz w:w="11906" w:h="16838"/>
          <w:pgMar w:top="851" w:right="1106" w:bottom="1440" w:left="1170" w:header="708" w:footer="708" w:gutter="0"/>
          <w:cols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2B21592E" w14:textId="27B4A488" w:rsidR="00DF1C46" w:rsidRPr="008B2773" w:rsidRDefault="0079565F" w:rsidP="007D51C1">
      <w:pPr>
        <w:spacing w:after="0" w:line="360" w:lineRule="auto"/>
        <w:jc w:val="both"/>
        <w:rPr>
          <w:rFonts w:ascii="Times New Roman" w:eastAsia="Bookman Old Style" w:hAnsi="Times New Roman" w:cs="Times New Roman"/>
          <w:b/>
          <w:bCs/>
          <w:sz w:val="24"/>
          <w:szCs w:val="24"/>
        </w:rPr>
      </w:pPr>
      <w:r w:rsidRPr="008B2773">
        <w:rPr>
          <w:rFonts w:ascii="Times New Roman" w:hAnsi="Times New Roman" w:cs="Times New Roman"/>
          <w:sz w:val="24"/>
          <w:szCs w:val="24"/>
          <w:shd w:val="clear" w:color="auto" w:fill="FFFFFF"/>
        </w:rPr>
        <w:t xml:space="preserve"> </w:t>
      </w:r>
      <w:r w:rsidRPr="008B2773">
        <w:rPr>
          <w:rFonts w:ascii="Times New Roman" w:eastAsia="Bookman Old Style" w:hAnsi="Times New Roman" w:cs="Times New Roman"/>
          <w:b/>
          <w:bCs/>
          <w:sz w:val="24"/>
          <w:szCs w:val="24"/>
        </w:rPr>
        <w:t xml:space="preserve">Results </w:t>
      </w:r>
      <w:r w:rsidR="000C0AF2" w:rsidRPr="008B2773">
        <w:rPr>
          <w:rFonts w:ascii="Times New Roman" w:eastAsia="Bookman Old Style" w:hAnsi="Times New Roman" w:cs="Times New Roman"/>
          <w:b/>
          <w:bCs/>
          <w:sz w:val="24"/>
          <w:szCs w:val="24"/>
        </w:rPr>
        <w:t>and</w:t>
      </w:r>
      <w:r w:rsidRPr="008B2773">
        <w:rPr>
          <w:rFonts w:ascii="Times New Roman" w:eastAsia="Bookman Old Style" w:hAnsi="Times New Roman" w:cs="Times New Roman"/>
          <w:b/>
          <w:bCs/>
          <w:sz w:val="24"/>
          <w:szCs w:val="24"/>
        </w:rPr>
        <w:t xml:space="preserve"> Discussion</w:t>
      </w:r>
    </w:p>
    <w:p w14:paraId="3D865206" w14:textId="66F34E84" w:rsidR="00A56E03" w:rsidRPr="00096CB6" w:rsidRDefault="00096CB6" w:rsidP="00DF1C46">
      <w:pPr>
        <w:spacing w:before="240"/>
        <w:contextualSpacing/>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a) </w:t>
      </w:r>
      <w:r w:rsidR="00C42ABA" w:rsidRPr="00096CB6">
        <w:rPr>
          <w:rFonts w:ascii="Times New Roman" w:hAnsi="Times New Roman" w:cs="Times New Roman"/>
          <w:b/>
          <w:bCs/>
          <w:sz w:val="24"/>
          <w:szCs w:val="24"/>
          <w:shd w:val="clear" w:color="auto" w:fill="FFFFFF"/>
        </w:rPr>
        <w:t xml:space="preserve">General Morphology of the Cestode </w:t>
      </w:r>
      <w:r w:rsidR="00C42ABA" w:rsidRPr="00096CB6">
        <w:rPr>
          <w:rFonts w:ascii="Times New Roman" w:hAnsi="Times New Roman" w:cs="Times New Roman"/>
          <w:b/>
          <w:bCs/>
          <w:i/>
          <w:iCs/>
          <w:sz w:val="24"/>
          <w:szCs w:val="24"/>
          <w:shd w:val="clear" w:color="auto" w:fill="FFFFFF"/>
        </w:rPr>
        <w:t>Raillietina (R.) fuhrmanni</w:t>
      </w:r>
    </w:p>
    <w:tbl>
      <w:tblPr>
        <w:tblStyle w:val="TableGrid"/>
        <w:tblW w:w="0" w:type="auto"/>
        <w:tblLook w:val="04A0" w:firstRow="1" w:lastRow="0" w:firstColumn="1" w:lastColumn="0" w:noHBand="0" w:noVBand="1"/>
      </w:tblPr>
      <w:tblGrid>
        <w:gridCol w:w="3355"/>
        <w:gridCol w:w="3180"/>
        <w:gridCol w:w="3311"/>
      </w:tblGrid>
      <w:tr w:rsidR="0078767F" w:rsidRPr="008B2773" w14:paraId="0D9D2D26" w14:textId="77777777" w:rsidTr="00712912">
        <w:trPr>
          <w:trHeight w:val="3153"/>
        </w:trPr>
        <w:tc>
          <w:tcPr>
            <w:tcW w:w="3078" w:type="dxa"/>
          </w:tcPr>
          <w:p w14:paraId="65057B08"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4"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5"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r w:rsidRPr="008B2773">
              <w:rPr>
                <w:rFonts w:ascii="Times New Roman" w:hAnsi="Times New Roman" w:cs="Times New Roman"/>
                <w:b/>
                <w:noProof/>
                <w:sz w:val="24"/>
                <w:szCs w:val="24"/>
                <w:lang w:bidi="mr-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26"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p>
        </w:tc>
      </w:tr>
      <w:tr w:rsidR="0078767F" w:rsidRPr="008B2773" w14:paraId="043CF246" w14:textId="77777777" w:rsidTr="00B240E6">
        <w:tc>
          <w:tcPr>
            <w:tcW w:w="3078" w:type="dxa"/>
          </w:tcPr>
          <w:p w14:paraId="61D9BDFB" w14:textId="7526547D" w:rsidR="0078767F" w:rsidRPr="008B2773" w:rsidRDefault="00A2591A" w:rsidP="00FD3524">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Fig 2</w:t>
            </w:r>
            <w:r w:rsidR="00C42ABA">
              <w:rPr>
                <w:rFonts w:ascii="Times New Roman" w:eastAsia="Times New Roman" w:hAnsi="Times New Roman" w:cs="Times New Roman"/>
                <w:sz w:val="24"/>
                <w:szCs w:val="24"/>
              </w:rPr>
              <w:t xml:space="preserve">: Photos show </w:t>
            </w:r>
            <w:r w:rsidR="009762C8" w:rsidRPr="008B2773">
              <w:rPr>
                <w:rFonts w:ascii="Times New Roman" w:eastAsia="Times New Roman" w:hAnsi="Times New Roman" w:cs="Times New Roman"/>
                <w:sz w:val="24"/>
                <w:szCs w:val="24"/>
              </w:rPr>
              <w:t xml:space="preserve"> that scolex, mature and gravid segment of cestode</w:t>
            </w:r>
          </w:p>
        </w:tc>
        <w:tc>
          <w:tcPr>
            <w:tcW w:w="3330" w:type="dxa"/>
          </w:tcPr>
          <w:p w14:paraId="795A2258" w14:textId="4C479C36" w:rsidR="0078767F" w:rsidRPr="008B2773" w:rsidRDefault="00A2591A" w:rsidP="00FD3524">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Fig 3</w:t>
            </w:r>
            <w:r w:rsidR="00FD3524" w:rsidRPr="008B2773">
              <w:rPr>
                <w:rFonts w:ascii="Times New Roman" w:eastAsia="Times New Roman" w:hAnsi="Times New Roman" w:cs="Times New Roman"/>
                <w:sz w:val="24"/>
                <w:szCs w:val="24"/>
              </w:rPr>
              <w:t xml:space="preserve">: Camera </w:t>
            </w:r>
            <w:r w:rsidR="000C0AF2">
              <w:rPr>
                <w:rFonts w:ascii="Times New Roman" w:eastAsia="Times New Roman" w:hAnsi="Times New Roman" w:cs="Times New Roman"/>
                <w:sz w:val="24"/>
                <w:szCs w:val="24"/>
              </w:rPr>
              <w:t>l</w:t>
            </w:r>
            <w:r w:rsidR="00FD3524" w:rsidRPr="008B2773">
              <w:rPr>
                <w:rFonts w:ascii="Times New Roman" w:eastAsia="Times New Roman" w:hAnsi="Times New Roman" w:cs="Times New Roman"/>
                <w:sz w:val="24"/>
                <w:szCs w:val="24"/>
              </w:rPr>
              <w:t>ucida shows that scolex, mature and gravid segment of cestode</w:t>
            </w:r>
          </w:p>
        </w:tc>
        <w:tc>
          <w:tcPr>
            <w:tcW w:w="3330" w:type="dxa"/>
          </w:tcPr>
          <w:p w14:paraId="11E473D8" w14:textId="390F1806" w:rsidR="0078767F" w:rsidRPr="008B2773" w:rsidRDefault="00A2591A" w:rsidP="00FD3524">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Fig 4</w:t>
            </w:r>
            <w:r w:rsidR="009762C8" w:rsidRPr="008B2773">
              <w:rPr>
                <w:rFonts w:ascii="Times New Roman" w:eastAsia="Times New Roman" w:hAnsi="Times New Roman" w:cs="Times New Roman"/>
                <w:sz w:val="24"/>
                <w:szCs w:val="24"/>
              </w:rPr>
              <w:t>: Scanning electron</w:t>
            </w:r>
            <w:r w:rsidR="000C0AF2">
              <w:rPr>
                <w:rFonts w:ascii="Times New Roman" w:eastAsia="Times New Roman" w:hAnsi="Times New Roman" w:cs="Times New Roman"/>
                <w:sz w:val="24"/>
                <w:szCs w:val="24"/>
              </w:rPr>
              <w:t xml:space="preserve"> microscopy showing scolex and h</w:t>
            </w:r>
            <w:r w:rsidR="009762C8" w:rsidRPr="008B2773">
              <w:rPr>
                <w:rFonts w:ascii="Times New Roman" w:eastAsia="Times New Roman" w:hAnsi="Times New Roman" w:cs="Times New Roman"/>
                <w:sz w:val="24"/>
                <w:szCs w:val="24"/>
              </w:rPr>
              <w:t>ooks of parasites</w:t>
            </w:r>
          </w:p>
        </w:tc>
      </w:tr>
    </w:tbl>
    <w:p w14:paraId="312721E0" w14:textId="77777777" w:rsidR="00103CD4" w:rsidRPr="008B2773" w:rsidRDefault="00103CD4" w:rsidP="00DF1C46">
      <w:pPr>
        <w:spacing w:before="240"/>
        <w:contextualSpacing/>
        <w:rPr>
          <w:rFonts w:ascii="Times New Roman" w:eastAsia="Bookman Old Style" w:hAnsi="Times New Roman" w:cs="Times New Roman"/>
          <w:b/>
          <w:bCs/>
          <w:sz w:val="24"/>
          <w:szCs w:val="24"/>
        </w:rPr>
      </w:pPr>
    </w:p>
    <w:p w14:paraId="454B5BED" w14:textId="77777777" w:rsidR="009103F1" w:rsidRPr="008B2773" w:rsidRDefault="009103F1" w:rsidP="00FF4D6C">
      <w:pPr>
        <w:pStyle w:val="BodyText"/>
        <w:spacing w:before="132" w:line="360" w:lineRule="auto"/>
        <w:ind w:left="270" w:firstLine="270"/>
        <w:jc w:val="both"/>
        <w:sectPr w:rsidR="009103F1" w:rsidRPr="008B2773" w:rsidSect="0066445F">
          <w:type w:val="continuous"/>
          <w:pgSz w:w="11906" w:h="16838"/>
          <w:pgMar w:top="851" w:right="1106" w:bottom="1440" w:left="1170" w:header="708" w:footer="708" w:gutter="0"/>
          <w:cols w:space="708"/>
          <w:docGrid w:linePitch="360"/>
        </w:sectPr>
      </w:pPr>
    </w:p>
    <w:p w14:paraId="557EB37C" w14:textId="77777777" w:rsidR="00C42ABA" w:rsidRPr="008B2773" w:rsidRDefault="00C42ABA" w:rsidP="00C42ABA">
      <w:pPr>
        <w:pStyle w:val="BodyText"/>
        <w:spacing w:before="132" w:line="360" w:lineRule="auto"/>
        <w:ind w:firstLine="270"/>
        <w:jc w:val="both"/>
      </w:pPr>
      <w:r w:rsidRPr="008B2773">
        <w:t>Cestodes</w:t>
      </w:r>
      <w:r w:rsidRPr="008B2773">
        <w:rPr>
          <w:spacing w:val="-10"/>
        </w:rPr>
        <w:t xml:space="preserve"> </w:t>
      </w:r>
      <w:r w:rsidRPr="008B2773">
        <w:t>parasites</w:t>
      </w:r>
      <w:r w:rsidRPr="008B2773">
        <w:rPr>
          <w:spacing w:val="-7"/>
        </w:rPr>
        <w:t xml:space="preserve"> </w:t>
      </w:r>
      <w:r w:rsidRPr="008B2773">
        <w:t>were</w:t>
      </w:r>
      <w:r w:rsidRPr="008B2773">
        <w:rPr>
          <w:spacing w:val="-11"/>
        </w:rPr>
        <w:t xml:space="preserve"> </w:t>
      </w:r>
      <w:r w:rsidRPr="008B2773">
        <w:t>very</w:t>
      </w:r>
      <w:r w:rsidRPr="008B2773">
        <w:rPr>
          <w:spacing w:val="-14"/>
        </w:rPr>
        <w:t xml:space="preserve"> </w:t>
      </w:r>
      <w:r w:rsidRPr="008B2773">
        <w:t>long</w:t>
      </w:r>
      <w:r w:rsidRPr="008B2773">
        <w:rPr>
          <w:spacing w:val="-12"/>
        </w:rPr>
        <w:t xml:space="preserve"> </w:t>
      </w:r>
      <w:r w:rsidRPr="008B2773">
        <w:t>and</w:t>
      </w:r>
      <w:r w:rsidRPr="008B2773">
        <w:rPr>
          <w:spacing w:val="-8"/>
        </w:rPr>
        <w:t xml:space="preserve"> </w:t>
      </w:r>
      <w:r w:rsidRPr="008B2773">
        <w:t>narrow</w:t>
      </w:r>
      <w:r w:rsidRPr="008B2773">
        <w:rPr>
          <w:spacing w:val="-7"/>
        </w:rPr>
        <w:t xml:space="preserve"> </w:t>
      </w:r>
      <w:r w:rsidRPr="008B2773">
        <w:t>consist</w:t>
      </w:r>
      <w:r w:rsidRPr="008B2773">
        <w:rPr>
          <w:spacing w:val="-12"/>
        </w:rPr>
        <w:t xml:space="preserve"> </w:t>
      </w:r>
      <w:r w:rsidRPr="008B2773">
        <w:t>of</w:t>
      </w:r>
      <w:r w:rsidRPr="008B2773">
        <w:rPr>
          <w:spacing w:val="-10"/>
        </w:rPr>
        <w:t xml:space="preserve"> </w:t>
      </w:r>
      <w:r>
        <w:rPr>
          <w:spacing w:val="-10"/>
        </w:rPr>
        <w:t xml:space="preserve">a </w:t>
      </w:r>
      <w:r w:rsidRPr="008B2773">
        <w:t>scolex and mature segments, which</w:t>
      </w:r>
      <w:r>
        <w:t>,</w:t>
      </w:r>
      <w:r w:rsidRPr="008B2773">
        <w:t xml:space="preserve"> on closer observation, turned out to be the species of the genus </w:t>
      </w:r>
      <w:r w:rsidRPr="008B2773">
        <w:rPr>
          <w:i/>
        </w:rPr>
        <w:t xml:space="preserve">Raillietina (R) fuhrmanni </w:t>
      </w:r>
      <w:r w:rsidRPr="008B2773">
        <w:t>(Southwell, 1922)</w:t>
      </w:r>
    </w:p>
    <w:p w14:paraId="78B887B7" w14:textId="77777777" w:rsidR="00C42ABA" w:rsidRPr="008B2773" w:rsidRDefault="00C42ABA" w:rsidP="00C42ABA">
      <w:pPr>
        <w:pStyle w:val="BodyText"/>
        <w:spacing w:before="1" w:line="360" w:lineRule="auto"/>
        <w:ind w:firstLine="270"/>
        <w:jc w:val="both"/>
      </w:pPr>
      <w:r w:rsidRPr="008B2773">
        <w:t>The cestode was creamy white</w:t>
      </w:r>
      <w:r>
        <w:t>, measuring 20-80 mm</w:t>
      </w:r>
      <w:r w:rsidRPr="008B2773">
        <w:t>. The scolex is small</w:t>
      </w:r>
      <w:r>
        <w:t>, oval to rounded</w:t>
      </w:r>
      <w:r w:rsidRPr="008B2773">
        <w:t xml:space="preserve">, </w:t>
      </w:r>
      <w:r>
        <w:t xml:space="preserve">and </w:t>
      </w:r>
      <w:r w:rsidRPr="008B2773">
        <w:t>anteriorly narrow and broad</w:t>
      </w:r>
      <w:r>
        <w:t xml:space="preserve">. Posteriorly, it is </w:t>
      </w:r>
      <w:r w:rsidRPr="008B2773">
        <w:t xml:space="preserve">distinctly marked off from the strobilla and measures 0.2717 (0.2669- 0.2766) in length and 0.2257 (0.2184-0. 2330) in breadth. The scolex bears an armed rostellum, which is large in size, retractile, oval to rounded in shape, with rostellum hooks, situated at the apex of </w:t>
      </w:r>
      <w:r>
        <w:t xml:space="preserve">the </w:t>
      </w:r>
      <w:r w:rsidRPr="008B2773">
        <w:t>scolex</w:t>
      </w:r>
      <w:r>
        <w:t>,</w:t>
      </w:r>
      <w:r w:rsidRPr="008B2773">
        <w:t xml:space="preserve"> and measures 0.0703 (0.0679-0.0728) in length and 0.0121(0.0097-0.0145) in breadth. 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two circles,</w:t>
      </w:r>
      <w:r w:rsidRPr="008B2773">
        <w:rPr>
          <w:spacing w:val="-2"/>
        </w:rPr>
        <w:t xml:space="preserve"> </w:t>
      </w:r>
      <w:r w:rsidRPr="008B2773">
        <w:t>transversely</w:t>
      </w:r>
      <w:r w:rsidRPr="008B2773">
        <w:rPr>
          <w:spacing w:val="-4"/>
        </w:rPr>
        <w:t xml:space="preserve"> </w:t>
      </w:r>
      <w:r w:rsidRPr="008B2773">
        <w:t xml:space="preserve">elongated, which are 90-100 in number, </w:t>
      </w:r>
      <w:r>
        <w:t>small, simple, pin-like, single-pronged, and measure</w:t>
      </w:r>
      <w:r w:rsidRPr="008B2773">
        <w:t xml:space="preserve"> 0.0090 (0.0085-0.0096) in length and 0.0015 (0.0010-0.0021) in breadth. 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w:t>
      </w:r>
      <w:r>
        <w:t xml:space="preserve"> arranged in</w:t>
      </w:r>
      <w:r w:rsidRPr="008B2773">
        <w:t xml:space="preserve"> 4-5 transverse rows. 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t>,</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 xml:space="preserve">nearly equal to </w:t>
      </w:r>
      <w:r>
        <w:t xml:space="preserve">the </w:t>
      </w:r>
      <w:r w:rsidRPr="008B2773">
        <w:t xml:space="preserve">width of </w:t>
      </w:r>
      <w:r>
        <w:t xml:space="preserve">the </w:t>
      </w:r>
      <w:r w:rsidRPr="008B2773">
        <w:lastRenderedPageBreak/>
        <w:t>head</w:t>
      </w:r>
      <w:r>
        <w:t>,</w:t>
      </w:r>
      <w:r w:rsidRPr="008B2773">
        <w:t xml:space="preserve"> and measures 0.1723 (0.1699- 0.1747) in length and 0.1189 (0.1165- 0.1213) in breadth</w:t>
      </w:r>
    </w:p>
    <w:p w14:paraId="53B03A3E" w14:textId="620C67C9" w:rsidR="00C42ABA" w:rsidRDefault="00C42ABA" w:rsidP="004E4E7D">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almost three times broader than long, with posterior corners projecting outside, and measure</w:t>
      </w:r>
      <w:r w:rsidRPr="008B2773">
        <w:t xml:space="preserve"> 1.6761 (1.6477- 1.7045) in length and 0.2181 (0.0386- 0.3977) in breadth. 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t>number, medium in size, oval in shape, situated almost on the posterior and lateral sides of the ovary, in the posterior half of the central medulla, unevenly distributed, bounded laterally by the longitudinal excretory canals, and measure</w:t>
      </w:r>
      <w:r w:rsidRPr="008B2773">
        <w:rPr>
          <w:spacing w:val="-5"/>
        </w:rPr>
        <w:t xml:space="preserve"> </w:t>
      </w:r>
      <w:r w:rsidRPr="008B2773">
        <w:t xml:space="preserve">0.0283 (0.0227-0.0340) in diameter. Cirrus pouch is medium in size, oval in shape, narrow anteriorly, broad posteriorly, obliquely placed, situated at the </w:t>
      </w:r>
      <w:r>
        <w:t>middle of the lateral region of the segments, marginal, 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 xml:space="preserve">0.0170( </w:t>
      </w:r>
      <w:r w:rsidRPr="008B2773">
        <w:rPr>
          <w:spacing w:val="-2"/>
        </w:rPr>
        <w:t>0.0113-</w:t>
      </w:r>
      <w:r w:rsidRPr="008B2773">
        <w:t xml:space="preserve"> 0.0227)</w:t>
      </w:r>
      <w:r w:rsidRPr="008B2773">
        <w:rPr>
          <w:spacing w:val="-1"/>
        </w:rPr>
        <w:t xml:space="preserve"> </w:t>
      </w:r>
      <w:r w:rsidRPr="008B2773">
        <w:t xml:space="preserve">in </w:t>
      </w:r>
      <w:r w:rsidRPr="008B2773">
        <w:rPr>
          <w:spacing w:val="-2"/>
        </w:rPr>
        <w:t xml:space="preserve">width. </w:t>
      </w:r>
      <w:r w:rsidRPr="008B2773">
        <w:t>Cirrus is thin, slightly coiled, contained within the cirrus pouch</w:t>
      </w:r>
      <w:r>
        <w:t>,</w:t>
      </w:r>
      <w:r w:rsidRPr="008B2773">
        <w:t xml:space="preserve"> and measures 0.1988 (0.1931-0.2045) in length and 0.0511 (0.0454-0.0568) in breadth. The vas deferens is medium width, extends medially, runs parallel to </w:t>
      </w:r>
      <w:r>
        <w:t>the vagina, coiled,</w:t>
      </w:r>
      <w:r w:rsidRPr="008B2773">
        <w:t xml:space="preserve"> and measures 0.7329 (0.7272-0.7386) in length and 0.0397 (0.0340-0.0454) in </w:t>
      </w:r>
      <w:r w:rsidRPr="008B2773">
        <w:rPr>
          <w:spacing w:val="-2"/>
        </w:rPr>
        <w:t xml:space="preserve">breadth.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r>
        <w:t>open as a genital pore, which is medium in size, oval in shape, marginal, unilateral, situated at the middle of the segment, post-ovarian, and measures 0.0113 in diameter</w:t>
      </w:r>
      <w:r w:rsidRPr="008B2773">
        <w:t>. 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length and 0.0397 (0.0340- 0.0454) in </w:t>
      </w:r>
      <w:r w:rsidRPr="008B2773">
        <w:rPr>
          <w:spacing w:val="-2"/>
        </w:rPr>
        <w:t xml:space="preserve">breadth. </w:t>
      </w:r>
      <w:r w:rsidRPr="008B2773">
        <w:t>Vagina</w:t>
      </w:r>
      <w:r w:rsidRPr="008B2773">
        <w:rPr>
          <w:spacing w:val="-10"/>
        </w:rPr>
        <w:t xml:space="preserve"> </w:t>
      </w:r>
      <w:r w:rsidRPr="008B2773">
        <w:t>is</w:t>
      </w:r>
      <w:r w:rsidRPr="008B2773">
        <w:rPr>
          <w:spacing w:val="-9"/>
        </w:rPr>
        <w:t xml:space="preserve"> </w:t>
      </w:r>
      <w:r>
        <w:t>a thin tube, situated posterior to the cirrus pouch, starting from the genital pore, running obliquely, anterior to the poralovarian lobe, reaching and opening into the ootype, and measuring 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 xml:space="preserve">breadth.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t>,</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 The ootype is small</w:t>
      </w:r>
      <w:r>
        <w:t>, oval in shape, located on the isthmus,</w:t>
      </w:r>
      <w:r w:rsidRPr="008B2773">
        <w:t xml:space="preserve"> and measures 0.0113 (0.0113-0.0113) in diameter. The vitelline gland is large in size, oval in shape, situated in the middle of the segment, </w:t>
      </w:r>
      <w:r>
        <w:t>post-ovarian,</w:t>
      </w:r>
      <w:r w:rsidRPr="008B2773">
        <w:t xml:space="preserve"> and measures 0.0226 (0.0340-0.0113) in length and 0.0170 </w:t>
      </w:r>
      <w:r w:rsidRPr="008B2773">
        <w:rPr>
          <w:spacing w:val="-2"/>
        </w:rPr>
        <w:t>(0.0113-0.0227).</w:t>
      </w:r>
      <w:r w:rsidRPr="008B2773">
        <w:t xml:space="preserve"> The longitudinal excretory canals are long </w:t>
      </w:r>
      <w:r>
        <w:t>tubes, paired, running across proglottids, longitudinally on both sides of proglottids, and measure</w:t>
      </w:r>
      <w:r w:rsidRPr="008B2773">
        <w:rPr>
          <w:spacing w:val="-13"/>
        </w:rPr>
        <w:t xml:space="preserve"> </w:t>
      </w:r>
      <w:r w:rsidRPr="008B2773">
        <w:t>0.3465</w:t>
      </w:r>
      <w:r w:rsidRPr="008B2773">
        <w:rPr>
          <w:spacing w:val="-13"/>
        </w:rPr>
        <w:t xml:space="preserve"> </w:t>
      </w:r>
      <w:r w:rsidRPr="008B2773">
        <w:t>(0.3409- 0.3522) in length and 0.0283 (0.0227-0.0340) in breadth. 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contain 80 to 90 egg capsules, and each egg capsule contains</w:t>
      </w:r>
      <w:r w:rsidRPr="008B2773">
        <w:t xml:space="preserve"> 5 to 6 eggs and measures 0.0058 (0.0053 -0.0064) in length and 0.0090 (0.0096-0.0085) in breadth. Eggs are rounded and </w:t>
      </w:r>
      <w:r>
        <w:t>measure 0.0037 (0.0042-0.0032) in diameter</w:t>
      </w:r>
      <w:r w:rsidRPr="008B2773">
        <w:t>.</w:t>
      </w:r>
    </w:p>
    <w:p w14:paraId="2AB74FD7" w14:textId="77777777" w:rsidR="00C42ABA" w:rsidRPr="008B2773" w:rsidRDefault="00C42ABA" w:rsidP="00C42ABA">
      <w:pPr>
        <w:pStyle w:val="BodyText"/>
        <w:spacing w:before="2" w:line="360" w:lineRule="auto"/>
        <w:jc w:val="both"/>
      </w:pPr>
    </w:p>
    <w:p w14:paraId="152B6BF5" w14:textId="77777777" w:rsidR="007D51C1" w:rsidRPr="008B2773" w:rsidRDefault="00FF4D6C" w:rsidP="00096CB6">
      <w:pPr>
        <w:pStyle w:val="ListParagraph"/>
        <w:ind w:left="0" w:firstLine="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5B3F190C" w14:textId="77777777" w:rsidR="00A911CA" w:rsidRDefault="00A911CA" w:rsidP="001F5816">
      <w:pPr>
        <w:pStyle w:val="TableParagraph"/>
        <w:spacing w:before="29" w:line="276" w:lineRule="auto"/>
        <w:ind w:left="0"/>
        <w:rPr>
          <w:rFonts w:eastAsiaTheme="minorEastAsia"/>
          <w:spacing w:val="-4"/>
          <w:sz w:val="24"/>
          <w:szCs w:val="24"/>
        </w:rPr>
      </w:pPr>
    </w:p>
    <w:p w14:paraId="3DD96128" w14:textId="4E42DB32"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Table 1. Monthly variation</w:t>
      </w:r>
      <w:r w:rsidR="00A911CA" w:rsidRPr="00A911CA">
        <w:rPr>
          <w:rFonts w:eastAsiaTheme="minorEastAsia"/>
          <w:spacing w:val="-4"/>
          <w:sz w:val="24"/>
          <w:szCs w:val="24"/>
        </w:rPr>
        <w:t xml:space="preserve"> </w:t>
      </w:r>
      <w:r w:rsidR="00A911CA">
        <w:rPr>
          <w:rFonts w:eastAsiaTheme="minorEastAsia"/>
          <w:spacing w:val="-4"/>
          <w:sz w:val="24"/>
          <w:szCs w:val="24"/>
        </w:rPr>
        <w:t>shows</w:t>
      </w:r>
      <w:r w:rsidRPr="008B2773">
        <w:rPr>
          <w:rFonts w:eastAsiaTheme="minorEastAsia"/>
          <w:spacing w:val="-4"/>
          <w:sz w:val="24"/>
          <w:szCs w:val="24"/>
        </w:rPr>
        <w:t xml:space="preserve"> % of prevalence and Mean intensity of infection </w:t>
      </w:r>
      <w:r w:rsidR="00A911CA" w:rsidRPr="008B2773">
        <w:rPr>
          <w:rFonts w:eastAsiaTheme="minorEastAsia"/>
          <w:spacing w:val="-4"/>
          <w:sz w:val="24"/>
          <w:szCs w:val="24"/>
        </w:rPr>
        <w:t>of</w:t>
      </w:r>
      <w:r w:rsidR="00A911CA">
        <w:rPr>
          <w:rFonts w:eastAsiaTheme="minorEastAsia"/>
          <w:spacing w:val="-4"/>
          <w:sz w:val="24"/>
          <w:szCs w:val="24"/>
        </w:rPr>
        <w:t xml:space="preserve"> </w:t>
      </w:r>
      <w:r w:rsidR="00A911CA" w:rsidRPr="008B2773">
        <w:rPr>
          <w:rFonts w:eastAsiaTheme="minorEastAsia"/>
          <w:spacing w:val="-4"/>
          <w:sz w:val="24"/>
          <w:szCs w:val="24"/>
        </w:rPr>
        <w:t>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w:t>
      </w:r>
      <w:r w:rsidR="00A911CA">
        <w:rPr>
          <w:rFonts w:eastAsiaTheme="minorEastAsia"/>
          <w:spacing w:val="-4"/>
          <w:sz w:val="24"/>
          <w:szCs w:val="24"/>
        </w:rPr>
        <w:t>-</w:t>
      </w:r>
      <w:r w:rsidR="003215DF" w:rsidRPr="008B2773">
        <w:rPr>
          <w:rFonts w:eastAsiaTheme="minorEastAsia"/>
          <w:spacing w:val="-4"/>
          <w:sz w:val="24"/>
          <w:szCs w:val="24"/>
        </w:rPr>
        <w:t xml:space="preserve">2020 to </w:t>
      </w:r>
      <w:r w:rsidR="00455343" w:rsidRPr="008B2773">
        <w:rPr>
          <w:rFonts w:eastAsiaTheme="minorEastAsia"/>
          <w:spacing w:val="-4"/>
          <w:sz w:val="24"/>
          <w:szCs w:val="24"/>
        </w:rPr>
        <w:t>May</w:t>
      </w:r>
      <w:r w:rsidR="00A911CA">
        <w:rPr>
          <w:rFonts w:eastAsiaTheme="minorEastAsia"/>
          <w:spacing w:val="-4"/>
          <w:sz w:val="24"/>
          <w:szCs w:val="24"/>
        </w:rPr>
        <w:t xml:space="preserve">- </w:t>
      </w:r>
      <w:r w:rsidR="00A80955" w:rsidRPr="008B2773">
        <w:rPr>
          <w:rFonts w:eastAsiaTheme="minorEastAsia"/>
          <w:spacing w:val="-4"/>
          <w:sz w:val="24"/>
          <w:szCs w:val="24"/>
        </w:rPr>
        <w:t>2021.</w:t>
      </w:r>
    </w:p>
    <w:p w14:paraId="57711C7D" w14:textId="77777777" w:rsidR="009103F1" w:rsidRPr="008B2773" w:rsidRDefault="009103F1" w:rsidP="002A58C6">
      <w:pPr>
        <w:pStyle w:val="BodyText"/>
        <w:spacing w:after="1"/>
        <w:sectPr w:rsidR="009103F1" w:rsidRPr="008B2773" w:rsidSect="0066445F">
          <w:type w:val="continuous"/>
          <w:pgSz w:w="11906" w:h="16838"/>
          <w:pgMar w:top="851" w:right="1106" w:bottom="1440" w:left="1170" w:header="708" w:footer="708" w:gutter="0"/>
          <w:cols w:space="450"/>
          <w:docGrid w:linePitch="360"/>
        </w:sectPr>
      </w:pPr>
    </w:p>
    <w:p w14:paraId="295EC2E6" w14:textId="77777777" w:rsidR="002A58C6" w:rsidRDefault="002A58C6" w:rsidP="002A58C6">
      <w:pPr>
        <w:pStyle w:val="BodyText"/>
        <w:spacing w:after="1"/>
      </w:pPr>
    </w:p>
    <w:p w14:paraId="3FC98042" w14:textId="77777777" w:rsidR="00A911CA" w:rsidRDefault="00A911CA" w:rsidP="002A58C6">
      <w:pPr>
        <w:pStyle w:val="BodyText"/>
        <w:spacing w:after="1"/>
      </w:pPr>
    </w:p>
    <w:p w14:paraId="304A36C6" w14:textId="77777777" w:rsidR="00A911CA" w:rsidRPr="008B2773" w:rsidRDefault="00A911CA" w:rsidP="002A58C6">
      <w:pPr>
        <w:pStyle w:val="BodyText"/>
        <w:spacing w:after="1"/>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1890"/>
        <w:gridCol w:w="1800"/>
        <w:gridCol w:w="1170"/>
        <w:gridCol w:w="1260"/>
        <w:gridCol w:w="1170"/>
        <w:gridCol w:w="1170"/>
      </w:tblGrid>
      <w:tr w:rsidR="00FD3C44" w:rsidRPr="008B2773" w14:paraId="6FFAFE94" w14:textId="77777777" w:rsidTr="003215DF">
        <w:trPr>
          <w:trHeight w:val="383"/>
        </w:trPr>
        <w:tc>
          <w:tcPr>
            <w:tcW w:w="1260" w:type="dxa"/>
            <w:vAlign w:val="center"/>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vAlign w:val="center"/>
          </w:tcPr>
          <w:p w14:paraId="618151D1"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H</w:t>
            </w:r>
            <w:r w:rsidRPr="008B2773">
              <w:rPr>
                <w:rFonts w:ascii="Times New Roman" w:hAnsi="Times New Roman" w:cs="Times New Roman"/>
                <w:b/>
                <w:bCs/>
                <w:sz w:val="24"/>
                <w:szCs w:val="24"/>
              </w:rPr>
              <w:t>os</w:t>
            </w:r>
            <w:r>
              <w:rPr>
                <w:rFonts w:ascii="Times New Roman" w:hAnsi="Times New Roman" w:cs="Times New Roman"/>
                <w:b/>
                <w:bCs/>
                <w:spacing w:val="-5"/>
                <w:sz w:val="24"/>
                <w:szCs w:val="24"/>
              </w:rPr>
              <w:t>ts</w:t>
            </w:r>
          </w:p>
          <w:p w14:paraId="60435610" w14:textId="392C9B03"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E</w:t>
            </w:r>
            <w:r w:rsidRPr="008B2773">
              <w:rPr>
                <w:rFonts w:ascii="Times New Roman" w:hAnsi="Times New Roman" w:cs="Times New Roman"/>
                <w:b/>
                <w:bCs/>
                <w:sz w:val="24"/>
                <w:szCs w:val="24"/>
              </w:rPr>
              <w:t>xamined</w:t>
            </w:r>
          </w:p>
        </w:tc>
        <w:tc>
          <w:tcPr>
            <w:tcW w:w="1170" w:type="dxa"/>
            <w:vAlign w:val="center"/>
          </w:tcPr>
          <w:p w14:paraId="7DC679FB"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pacing w:val="-3"/>
                <w:sz w:val="24"/>
                <w:szCs w:val="24"/>
              </w:rPr>
              <w:t>H</w:t>
            </w:r>
            <w:r w:rsidRPr="008B2773">
              <w:rPr>
                <w:rFonts w:ascii="Times New Roman" w:hAnsi="Times New Roman" w:cs="Times New Roman"/>
                <w:b/>
                <w:bCs/>
                <w:spacing w:val="-3"/>
                <w:sz w:val="24"/>
                <w:szCs w:val="24"/>
              </w:rPr>
              <w:t>ost</w:t>
            </w:r>
            <w:r>
              <w:rPr>
                <w:rFonts w:ascii="Times New Roman" w:hAnsi="Times New Roman" w:cs="Times New Roman"/>
                <w:b/>
                <w:bCs/>
                <w:spacing w:val="-3"/>
                <w:sz w:val="24"/>
                <w:szCs w:val="24"/>
              </w:rPr>
              <w:t>s</w:t>
            </w:r>
          </w:p>
          <w:p w14:paraId="2D206AE5" w14:textId="424284D3"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w:t>
            </w:r>
            <w:r w:rsidRPr="008B2773">
              <w:rPr>
                <w:rFonts w:ascii="Times New Roman" w:hAnsi="Times New Roman" w:cs="Times New Roman"/>
                <w:b/>
                <w:bCs/>
                <w:sz w:val="24"/>
                <w:szCs w:val="24"/>
              </w:rPr>
              <w:t>nfected</w:t>
            </w:r>
          </w:p>
        </w:tc>
        <w:tc>
          <w:tcPr>
            <w:tcW w:w="1260" w:type="dxa"/>
            <w:vAlign w:val="center"/>
          </w:tcPr>
          <w:p w14:paraId="0B4848DD"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P</w:t>
            </w:r>
            <w:r w:rsidRPr="008B2773">
              <w:rPr>
                <w:rFonts w:ascii="Times New Roman" w:hAnsi="Times New Roman" w:cs="Times New Roman"/>
                <w:b/>
                <w:bCs/>
                <w:sz w:val="24"/>
                <w:szCs w:val="24"/>
              </w:rPr>
              <w:t>arasites</w:t>
            </w:r>
          </w:p>
          <w:p w14:paraId="6CEC0D39" w14:textId="6F1FEBAC"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C</w:t>
            </w:r>
            <w:r w:rsidRPr="008B2773">
              <w:rPr>
                <w:rFonts w:ascii="Times New Roman" w:hAnsi="Times New Roman" w:cs="Times New Roman"/>
                <w:b/>
                <w:bCs/>
                <w:sz w:val="24"/>
                <w:szCs w:val="24"/>
              </w:rPr>
              <w:t>ollected</w:t>
            </w:r>
          </w:p>
        </w:tc>
        <w:tc>
          <w:tcPr>
            <w:tcW w:w="1170" w:type="dxa"/>
            <w:vAlign w:val="center"/>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3215DF">
        <w:trPr>
          <w:trHeight w:val="183"/>
        </w:trPr>
        <w:tc>
          <w:tcPr>
            <w:tcW w:w="1260" w:type="dxa"/>
            <w:vMerge w:val="restart"/>
          </w:tcPr>
          <w:p w14:paraId="0B0565BC"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Monsoon </w:t>
            </w:r>
          </w:p>
        </w:tc>
        <w:tc>
          <w:tcPr>
            <w:tcW w:w="1890" w:type="dxa"/>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vAlign w:val="center"/>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vAlign w:val="center"/>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vAlign w:val="center"/>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vAlign w:val="center"/>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3215DF">
        <w:trPr>
          <w:trHeight w:val="207"/>
        </w:trPr>
        <w:tc>
          <w:tcPr>
            <w:tcW w:w="1260" w:type="dxa"/>
            <w:vMerge/>
          </w:tcPr>
          <w:p w14:paraId="24DF910F"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3215DF">
        <w:trPr>
          <w:trHeight w:val="207"/>
        </w:trPr>
        <w:tc>
          <w:tcPr>
            <w:tcW w:w="1260" w:type="dxa"/>
            <w:vMerge/>
          </w:tcPr>
          <w:p w14:paraId="5B0DB2F2"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3215DF">
        <w:trPr>
          <w:trHeight w:val="207"/>
        </w:trPr>
        <w:tc>
          <w:tcPr>
            <w:tcW w:w="1260" w:type="dxa"/>
            <w:vMerge/>
          </w:tcPr>
          <w:p w14:paraId="7B495504"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3215DF">
        <w:trPr>
          <w:trHeight w:val="206"/>
        </w:trPr>
        <w:tc>
          <w:tcPr>
            <w:tcW w:w="1260" w:type="dxa"/>
            <w:vMerge w:val="restart"/>
          </w:tcPr>
          <w:p w14:paraId="63DB88B7" w14:textId="77777777" w:rsidR="00546E3B" w:rsidRPr="008B2773" w:rsidRDefault="00546E3B" w:rsidP="00941235">
            <w:pPr>
              <w:pStyle w:val="TableParagraph"/>
              <w:spacing w:line="240" w:lineRule="auto"/>
              <w:ind w:left="116"/>
              <w:contextualSpacing/>
              <w:rPr>
                <w:sz w:val="24"/>
                <w:szCs w:val="24"/>
              </w:rPr>
            </w:pPr>
            <w:r w:rsidRPr="008B2773">
              <w:rPr>
                <w:color w:val="181818"/>
                <w:sz w:val="24"/>
                <w:szCs w:val="24"/>
              </w:rPr>
              <w:t>Winter</w:t>
            </w:r>
            <w:r w:rsidRPr="008B2773">
              <w:rPr>
                <w:color w:val="181818"/>
                <w:spacing w:val="-7"/>
                <w:sz w:val="24"/>
                <w:szCs w:val="24"/>
              </w:rPr>
              <w:t xml:space="preserve"> </w:t>
            </w:r>
          </w:p>
        </w:tc>
        <w:tc>
          <w:tcPr>
            <w:tcW w:w="1890" w:type="dxa"/>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3215DF">
        <w:trPr>
          <w:trHeight w:val="206"/>
        </w:trPr>
        <w:tc>
          <w:tcPr>
            <w:tcW w:w="1260" w:type="dxa"/>
            <w:vMerge/>
          </w:tcPr>
          <w:p w14:paraId="0F1B1F3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3215DF">
        <w:trPr>
          <w:trHeight w:val="206"/>
        </w:trPr>
        <w:tc>
          <w:tcPr>
            <w:tcW w:w="1260" w:type="dxa"/>
            <w:vMerge/>
          </w:tcPr>
          <w:p w14:paraId="29A3DEA2"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3215DF">
        <w:trPr>
          <w:trHeight w:val="201"/>
        </w:trPr>
        <w:tc>
          <w:tcPr>
            <w:tcW w:w="1260" w:type="dxa"/>
            <w:vMerge/>
          </w:tcPr>
          <w:p w14:paraId="0D007A2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3215DF">
        <w:trPr>
          <w:trHeight w:val="206"/>
        </w:trPr>
        <w:tc>
          <w:tcPr>
            <w:tcW w:w="1260" w:type="dxa"/>
            <w:vMerge w:val="restart"/>
          </w:tcPr>
          <w:p w14:paraId="3A075E57"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Summer </w:t>
            </w:r>
          </w:p>
        </w:tc>
        <w:tc>
          <w:tcPr>
            <w:tcW w:w="1890" w:type="dxa"/>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3215DF">
        <w:trPr>
          <w:trHeight w:val="77"/>
        </w:trPr>
        <w:tc>
          <w:tcPr>
            <w:tcW w:w="1260" w:type="dxa"/>
            <w:vMer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3215DF">
        <w:trPr>
          <w:trHeight w:val="93"/>
        </w:trPr>
        <w:tc>
          <w:tcPr>
            <w:tcW w:w="1260" w:type="dxa"/>
            <w:vMer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3215DF">
        <w:trPr>
          <w:trHeight w:val="246"/>
        </w:trPr>
        <w:tc>
          <w:tcPr>
            <w:tcW w:w="1260" w:type="dxa"/>
            <w:vMer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vAlign w:val="center"/>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vAlign w:val="center"/>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8D748D" w:rsidRPr="008B2773" w14:paraId="4A1F9542" w14:textId="77777777" w:rsidTr="003215DF">
        <w:trPr>
          <w:trHeight w:val="206"/>
        </w:trPr>
        <w:tc>
          <w:tcPr>
            <w:tcW w:w="1260" w:type="dxa"/>
          </w:tcPr>
          <w:p w14:paraId="32F89913" w14:textId="12DA3931" w:rsidR="008D748D" w:rsidRPr="008B2773" w:rsidRDefault="008D748D" w:rsidP="00941235">
            <w:pPr>
              <w:spacing w:line="240" w:lineRule="auto"/>
              <w:contextualSpacing/>
              <w:rPr>
                <w:rFonts w:ascii="Times New Roman" w:hAnsi="Times New Roman" w:cs="Times New Roman"/>
                <w:sz w:val="24"/>
                <w:szCs w:val="24"/>
              </w:rPr>
            </w:pPr>
            <w:r>
              <w:rPr>
                <w:rFonts w:ascii="Times New Roman" w:hAnsi="Times New Roman" w:cs="Times New Roman"/>
                <w:sz w:val="24"/>
                <w:szCs w:val="24"/>
              </w:rPr>
              <w:t>Total</w:t>
            </w:r>
          </w:p>
        </w:tc>
        <w:tc>
          <w:tcPr>
            <w:tcW w:w="1890" w:type="dxa"/>
          </w:tcPr>
          <w:p w14:paraId="06153DC8" w14:textId="77777777" w:rsidR="008D748D" w:rsidRPr="008B2773" w:rsidRDefault="008D748D" w:rsidP="00941235">
            <w:pPr>
              <w:pStyle w:val="TableParagraph"/>
              <w:spacing w:line="240" w:lineRule="auto"/>
              <w:ind w:left="0"/>
              <w:contextualSpacing/>
              <w:rPr>
                <w:color w:val="181818"/>
                <w:spacing w:val="-5"/>
                <w:sz w:val="24"/>
                <w:szCs w:val="24"/>
              </w:rPr>
            </w:pPr>
          </w:p>
        </w:tc>
        <w:tc>
          <w:tcPr>
            <w:tcW w:w="1800" w:type="dxa"/>
            <w:vAlign w:val="center"/>
          </w:tcPr>
          <w:p w14:paraId="77EFC6E4" w14:textId="5E4A347C" w:rsidR="008D748D" w:rsidRPr="008B2773" w:rsidRDefault="008D748D"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182</w:t>
            </w:r>
          </w:p>
        </w:tc>
        <w:tc>
          <w:tcPr>
            <w:tcW w:w="1170" w:type="dxa"/>
            <w:vAlign w:val="center"/>
          </w:tcPr>
          <w:p w14:paraId="44AE2398" w14:textId="400158B1" w:rsidR="008D748D" w:rsidRPr="008B2773" w:rsidRDefault="008D748D"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91</w:t>
            </w:r>
          </w:p>
        </w:tc>
        <w:tc>
          <w:tcPr>
            <w:tcW w:w="1260" w:type="dxa"/>
            <w:vAlign w:val="center"/>
          </w:tcPr>
          <w:p w14:paraId="67986757" w14:textId="38F0BFE1" w:rsidR="008D748D" w:rsidRPr="008B2773" w:rsidRDefault="008D748D"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524</w:t>
            </w:r>
          </w:p>
        </w:tc>
        <w:tc>
          <w:tcPr>
            <w:tcW w:w="1170" w:type="dxa"/>
            <w:vAlign w:val="center"/>
          </w:tcPr>
          <w:p w14:paraId="5CC16EBD" w14:textId="55831B9F" w:rsidR="008D748D" w:rsidRPr="008B2773" w:rsidRDefault="008D748D"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43.72%</w:t>
            </w:r>
          </w:p>
        </w:tc>
        <w:tc>
          <w:tcPr>
            <w:tcW w:w="1170" w:type="dxa"/>
            <w:vAlign w:val="center"/>
          </w:tcPr>
          <w:p w14:paraId="03C2255A" w14:textId="77777777" w:rsidR="008D748D" w:rsidRPr="008B2773" w:rsidRDefault="008D748D"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 </w:t>
            </w:r>
          </w:p>
        </w:tc>
      </w:tr>
    </w:tbl>
    <w:p w14:paraId="38ADDB38" w14:textId="77777777" w:rsidR="002A58C6" w:rsidRPr="008B2773" w:rsidRDefault="002A58C6" w:rsidP="002A58C6">
      <w:pPr>
        <w:pStyle w:val="BodyText"/>
        <w:spacing w:before="1"/>
      </w:pPr>
    </w:p>
    <w:p w14:paraId="00BFCFCF" w14:textId="23991D10" w:rsidR="00FF4D6C" w:rsidRPr="008B2773" w:rsidRDefault="00FF4D6C" w:rsidP="00FF4D6C">
      <w:pPr>
        <w:pStyle w:val="TableParagraph"/>
        <w:spacing w:before="29"/>
        <w:rPr>
          <w:rFonts w:eastAsiaTheme="minorEastAsia"/>
          <w:spacing w:val="-4"/>
          <w:sz w:val="24"/>
          <w:szCs w:val="24"/>
        </w:rPr>
      </w:pPr>
      <w:r w:rsidRPr="008B2773">
        <w:rPr>
          <w:rFonts w:eastAsiaTheme="minorEastAsia"/>
          <w:spacing w:val="-4"/>
          <w:sz w:val="24"/>
          <w:szCs w:val="24"/>
        </w:rPr>
        <w:t xml:space="preserve">Graph- 1. Monthly variation </w:t>
      </w:r>
      <w:r w:rsidR="00A911CA">
        <w:rPr>
          <w:rFonts w:eastAsiaTheme="minorEastAsia"/>
          <w:spacing w:val="-4"/>
          <w:sz w:val="24"/>
          <w:szCs w:val="24"/>
        </w:rPr>
        <w:t xml:space="preserve">shows </w:t>
      </w:r>
      <w:r w:rsidR="00A911CA" w:rsidRPr="008B2773">
        <w:rPr>
          <w:rFonts w:eastAsiaTheme="minorEastAsia"/>
          <w:spacing w:val="-4"/>
          <w:sz w:val="24"/>
          <w:szCs w:val="24"/>
        </w:rPr>
        <w:t>%</w:t>
      </w:r>
      <w:r w:rsidRPr="008B2773">
        <w:rPr>
          <w:rFonts w:eastAsiaTheme="minorEastAsia"/>
          <w:spacing w:val="-4"/>
          <w:sz w:val="24"/>
          <w:szCs w:val="24"/>
        </w:rPr>
        <w:t xml:space="preserve">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w:t>
      </w:r>
      <w:r w:rsidR="00455343" w:rsidRPr="008B2773">
        <w:rPr>
          <w:rFonts w:eastAsiaTheme="minorEastAsia"/>
          <w:spacing w:val="-4"/>
          <w:sz w:val="24"/>
          <w:szCs w:val="24"/>
        </w:rPr>
        <w:t>in</w:t>
      </w:r>
      <w:r w:rsidR="003215DF" w:rsidRPr="008B2773">
        <w:rPr>
          <w:rFonts w:eastAsiaTheme="minorEastAsia"/>
          <w:spacing w:val="-4"/>
          <w:sz w:val="24"/>
          <w:szCs w:val="24"/>
        </w:rPr>
        <w:t xml:space="preserve"> the period June 2020 to </w:t>
      </w:r>
      <w:r w:rsidR="00455343" w:rsidRPr="008B2773">
        <w:rPr>
          <w:rFonts w:eastAsiaTheme="minorEastAsia"/>
          <w:spacing w:val="-4"/>
          <w:sz w:val="24"/>
          <w:szCs w:val="24"/>
        </w:rPr>
        <w:t>May</w:t>
      </w:r>
      <w:r w:rsidRPr="008B2773">
        <w:rPr>
          <w:rFonts w:eastAsiaTheme="minorEastAsia"/>
          <w:spacing w:val="-4"/>
          <w:sz w:val="24"/>
          <w:szCs w:val="24"/>
        </w:rPr>
        <w:t xml:space="preserve"> 2021.</w:t>
      </w:r>
    </w:p>
    <w:p w14:paraId="5993F138" w14:textId="77777777" w:rsidR="00FF4D6C" w:rsidRPr="008B2773" w:rsidRDefault="00FF4D6C" w:rsidP="002A58C6">
      <w:pPr>
        <w:pStyle w:val="BodyText"/>
        <w:spacing w:before="1"/>
      </w:pPr>
    </w:p>
    <w:p w14:paraId="1B99D3F4" w14:textId="77777777" w:rsidR="008272EA" w:rsidRPr="008B2773" w:rsidRDefault="00FF4D6C" w:rsidP="001F5816">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bidi="mr-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DF1C46">
      <w:pPr>
        <w:ind w:firstLine="720"/>
        <w:contextualSpacing/>
        <w:jc w:val="both"/>
        <w:rPr>
          <w:rFonts w:ascii="Times New Roman" w:eastAsia="Bookman Old Style" w:hAnsi="Times New Roman" w:cs="Times New Roman"/>
          <w:sz w:val="24"/>
          <w:szCs w:val="24"/>
        </w:rPr>
      </w:pPr>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66445F">
          <w:type w:val="continuous"/>
          <w:pgSz w:w="11906" w:h="16838"/>
          <w:pgMar w:top="851" w:right="1106" w:bottom="1440" w:left="1170" w:header="708" w:footer="708" w:gutter="0"/>
          <w:cols w:space="708"/>
          <w:docGrid w:linePitch="360"/>
        </w:sectPr>
      </w:pPr>
    </w:p>
    <w:p w14:paraId="1C9DDC97" w14:textId="5D9E259E" w:rsidR="00986B97" w:rsidRPr="008B2773" w:rsidRDefault="008D748D" w:rsidP="008D748D">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In the study period of </w:t>
      </w:r>
      <w:r>
        <w:rPr>
          <w:rFonts w:ascii="Times New Roman" w:hAnsi="Times New Roman" w:cs="Times New Roman"/>
          <w:sz w:val="24"/>
          <w:szCs w:val="24"/>
        </w:rPr>
        <w:t xml:space="preserve">June 2020 to May 2021, out of 182 host intestines examined, 91 were found to be </w:t>
      </w:r>
      <w:r w:rsidRPr="008B2773">
        <w:rPr>
          <w:rFonts w:ascii="Times New Roman" w:hAnsi="Times New Roman" w:cs="Times New Roman"/>
          <w:sz w:val="24"/>
          <w:szCs w:val="24"/>
        </w:rPr>
        <w:t xml:space="preserve">infested with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Pr>
          <w:rFonts w:ascii="Times New Roman" w:hAnsi="Times New Roman" w:cs="Times New Roman"/>
          <w:spacing w:val="-4"/>
          <w:sz w:val="24"/>
          <w:szCs w:val="24"/>
        </w:rPr>
        <w:t>A total of</w:t>
      </w:r>
      <w:r w:rsidRPr="008B2773">
        <w:rPr>
          <w:rFonts w:ascii="Times New Roman" w:hAnsi="Times New Roman" w:cs="Times New Roman"/>
          <w:sz w:val="24"/>
          <w:szCs w:val="24"/>
        </w:rPr>
        <w:t xml:space="preserve"> 524 parasites were collected. As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 xml:space="preserve">was isolated </w:t>
      </w:r>
      <w:r>
        <w:rPr>
          <w:rFonts w:ascii="Times New Roman" w:hAnsi="Times New Roman" w:cs="Times New Roman"/>
          <w:sz w:val="24"/>
          <w:szCs w:val="24"/>
        </w:rPr>
        <w:t>year-round from G. domesticus, seasonal prevalence and characterization were conducted</w:t>
      </w:r>
      <w:r w:rsidRPr="008B2773">
        <w:rPr>
          <w:rFonts w:ascii="Times New Roman" w:hAnsi="Times New Roman" w:cs="Times New Roman"/>
          <w:sz w:val="24"/>
          <w:szCs w:val="24"/>
        </w:rPr>
        <w:t xml:space="preserve"> for this species. Monthly variations </w:t>
      </w:r>
      <w:r>
        <w:rPr>
          <w:rFonts w:ascii="Times New Roman" w:hAnsi="Times New Roman" w:cs="Times New Roman"/>
          <w:sz w:val="24"/>
          <w:szCs w:val="24"/>
        </w:rPr>
        <w:t>in the percentage of prevalence and the mean intensity of R. fuhrmanni infection have been presented in Table 1, and the total number of parasites present in G. domesticus in each season of the study period has been shown. The</w:t>
      </w:r>
      <w:r w:rsidRPr="008B2773">
        <w:rPr>
          <w:rFonts w:ascii="Times New Roman" w:hAnsi="Times New Roman" w:cs="Times New Roman"/>
          <w:sz w:val="24"/>
          <w:szCs w:val="24"/>
        </w:rPr>
        <w:t xml:space="preserve"> average prevalence percentage was 43.72%. The study revealed that the higher percentage of prevalence of </w:t>
      </w:r>
      <w:r w:rsidRPr="008B2773">
        <w:rPr>
          <w:rFonts w:ascii="Times New Roman" w:hAnsi="Times New Roman" w:cs="Times New Roman"/>
          <w:spacing w:val="-4"/>
          <w:sz w:val="24"/>
          <w:szCs w:val="24"/>
        </w:rPr>
        <w:t xml:space="preserve">Raillietina (R) </w:t>
      </w:r>
      <w:r w:rsidRPr="008B2773">
        <w:rPr>
          <w:rFonts w:ascii="Times New Roman" w:hAnsi="Times New Roman" w:cs="Times New Roman"/>
          <w:i/>
          <w:iCs/>
          <w:spacing w:val="-4"/>
          <w:sz w:val="24"/>
          <w:szCs w:val="24"/>
        </w:rPr>
        <w:lastRenderedPageBreak/>
        <w:t>fuhrman</w:t>
      </w:r>
      <w:r w:rsidRPr="008B2773">
        <w:rPr>
          <w:rFonts w:ascii="Times New Roman" w:hAnsi="Times New Roman" w:cs="Times New Roman"/>
          <w:spacing w:val="-4"/>
          <w:sz w:val="24"/>
          <w:szCs w:val="24"/>
        </w:rPr>
        <w:t xml:space="preserve">ni </w:t>
      </w:r>
      <w:r w:rsidRPr="008B2773">
        <w:rPr>
          <w:rFonts w:ascii="Times New Roman" w:hAnsi="Times New Roman" w:cs="Times New Roman"/>
          <w:sz w:val="24"/>
          <w:szCs w:val="24"/>
        </w:rPr>
        <w:t>occurred in summer season showing higher in May (50 %) and it showed its highest values during monsoon and the maximum value of percentage of prevalence was recorded in the month of July (</w:t>
      </w:r>
      <w:r w:rsidRPr="008B2773">
        <w:rPr>
          <w:rFonts w:ascii="Times New Roman" w:hAnsi="Times New Roman" w:cs="Times New Roman"/>
          <w:color w:val="000000"/>
          <w:spacing w:val="-2"/>
          <w:sz w:val="24"/>
          <w:szCs w:val="24"/>
        </w:rPr>
        <w:t xml:space="preserve">86.36%) </w:t>
      </w:r>
      <w:r w:rsidRPr="008B2773">
        <w:rPr>
          <w:rFonts w:ascii="Times New Roman" w:hAnsi="Times New Roman" w:cs="Times New Roman"/>
          <w:sz w:val="24"/>
          <w:szCs w:val="24"/>
        </w:rPr>
        <w:t xml:space="preserve">From September to November it tends to lower down and the lowest prevalence occurred in winter. </w:t>
      </w:r>
    </w:p>
    <w:p w14:paraId="6F245635" w14:textId="77777777" w:rsidR="00B240E6" w:rsidRPr="008B2773" w:rsidRDefault="001F5816" w:rsidP="001F5816">
      <w:pPr>
        <w:spacing w:line="360" w:lineRule="auto"/>
        <w:ind w:firstLine="360"/>
        <w:contextualSpacing/>
        <w:jc w:val="both"/>
        <w:rPr>
          <w:rFonts w:ascii="Times New Roman" w:hAnsi="Times New Roman" w:cs="Times New Roman"/>
          <w:b/>
          <w:bCs/>
          <w:sz w:val="24"/>
          <w:szCs w:val="24"/>
        </w:rPr>
      </w:pPr>
      <w:r w:rsidRPr="008B2773">
        <w:rPr>
          <w:rFonts w:ascii="Times New Roman" w:hAnsi="Times New Roman" w:cs="Times New Roman"/>
          <w:b/>
          <w:bCs/>
          <w:sz w:val="24"/>
          <w:szCs w:val="24"/>
        </w:rPr>
        <w:t>Conclusion</w:t>
      </w:r>
    </w:p>
    <w:p w14:paraId="600C28C9" w14:textId="4F99EF28" w:rsidR="00B240E6" w:rsidRPr="008B2773" w:rsidRDefault="00B240E6" w:rsidP="00C12FE6">
      <w:pPr>
        <w:spacing w:after="0"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w:t>
      </w:r>
      <w:r w:rsidR="00A911CA" w:rsidRPr="008B2773">
        <w:rPr>
          <w:rFonts w:ascii="Times New Roman" w:hAnsi="Times New Roman" w:cs="Times New Roman"/>
          <w:sz w:val="24"/>
          <w:szCs w:val="24"/>
        </w:rPr>
        <w:t>approves</w:t>
      </w:r>
      <w:r w:rsidRPr="008B2773">
        <w:rPr>
          <w:rFonts w:ascii="Times New Roman" w:hAnsi="Times New Roman" w:cs="Times New Roman"/>
          <w:sz w:val="24"/>
          <w:szCs w:val="24"/>
        </w:rPr>
        <w:t xml:space="preserve">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intensity of infection were highest during the 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1773175C" w14:textId="77777777" w:rsidR="009103F1" w:rsidRDefault="009103F1" w:rsidP="00C12FE6">
      <w:pPr>
        <w:spacing w:after="0"/>
        <w:jc w:val="both"/>
        <w:rPr>
          <w:rFonts w:ascii="Times New Roman" w:hAnsi="Times New Roman" w:cs="Times New Roman"/>
          <w:b/>
          <w:sz w:val="24"/>
          <w:szCs w:val="24"/>
        </w:rPr>
      </w:pPr>
    </w:p>
    <w:p w14:paraId="70EA9803" w14:textId="77777777" w:rsidR="00971383" w:rsidRPr="00A911CA" w:rsidRDefault="00971383" w:rsidP="00096CB6">
      <w:pPr>
        <w:spacing w:after="0" w:line="360" w:lineRule="auto"/>
        <w:jc w:val="both"/>
        <w:rPr>
          <w:rFonts w:ascii="Times New Roman" w:hAnsi="Times New Roman" w:cs="Times New Roman"/>
          <w:b/>
          <w:bCs/>
          <w:sz w:val="24"/>
          <w:szCs w:val="24"/>
        </w:rPr>
      </w:pPr>
      <w:r w:rsidRPr="00A911CA">
        <w:rPr>
          <w:rFonts w:ascii="Times New Roman" w:hAnsi="Times New Roman" w:cs="Times New Roman"/>
          <w:b/>
          <w:bCs/>
          <w:sz w:val="24"/>
          <w:szCs w:val="24"/>
        </w:rPr>
        <w:t>COMPETING INTERESTS DISCLAIMER:</w:t>
      </w:r>
    </w:p>
    <w:p w14:paraId="20B1ABD6" w14:textId="77777777" w:rsidR="008D748D" w:rsidRPr="008D748D" w:rsidRDefault="008D748D" w:rsidP="00096CB6">
      <w:pPr>
        <w:spacing w:after="0" w:line="360" w:lineRule="auto"/>
        <w:ind w:firstLine="720"/>
        <w:jc w:val="both"/>
        <w:rPr>
          <w:rFonts w:ascii="Times New Roman" w:hAnsi="Times New Roman" w:cs="Times New Roman"/>
          <w:sz w:val="24"/>
          <w:szCs w:val="24"/>
        </w:rPr>
      </w:pPr>
      <w:r w:rsidRPr="008D748D">
        <w:rPr>
          <w:rFonts w:ascii="Times New Roman" w:hAnsi="Times New Roman" w:cs="Times New Roman"/>
          <w:sz w:val="24"/>
          <w:szCs w:val="24"/>
        </w:rPr>
        <w:t>Authors have declared that they have no known competing financial interests, non-financial interests, or personal relationships that could have appeared to influence the work reported in this paper.</w:t>
      </w:r>
    </w:p>
    <w:p w14:paraId="4D94953E" w14:textId="582E4224" w:rsidR="00535CFA" w:rsidRPr="00C418BF" w:rsidRDefault="00535CFA" w:rsidP="00C12FE6">
      <w:pPr>
        <w:spacing w:after="0"/>
        <w:rPr>
          <w:rFonts w:ascii="Times New Roman" w:hAnsi="Times New Roman" w:cs="Times New Roman"/>
          <w:sz w:val="24"/>
          <w:szCs w:val="24"/>
        </w:rPr>
      </w:pPr>
    </w:p>
    <w:p w14:paraId="07CC8556" w14:textId="77777777" w:rsidR="00535CFA" w:rsidRPr="00C418BF" w:rsidRDefault="00535CFA" w:rsidP="00C12FE6">
      <w:pPr>
        <w:spacing w:after="0" w:line="360" w:lineRule="auto"/>
        <w:contextualSpacing/>
        <w:jc w:val="both"/>
        <w:rPr>
          <w:rFonts w:ascii="Times New Roman" w:hAnsi="Times New Roman" w:cs="Times New Roman"/>
          <w:b/>
          <w:bCs/>
          <w:sz w:val="24"/>
          <w:szCs w:val="24"/>
        </w:rPr>
      </w:pPr>
      <w:bookmarkStart w:id="1" w:name="_Hlk198031404"/>
      <w:bookmarkStart w:id="2" w:name="_Hlk215047841"/>
      <w:r w:rsidRPr="00C418BF">
        <w:rPr>
          <w:rFonts w:ascii="Times New Roman" w:hAnsi="Times New Roman" w:cs="Times New Roman"/>
          <w:b/>
          <w:bCs/>
          <w:sz w:val="24"/>
          <w:szCs w:val="24"/>
        </w:rPr>
        <w:t>Disclaimer (Artificial intelligence)</w:t>
      </w:r>
    </w:p>
    <w:p w14:paraId="4C23E997" w14:textId="77777777" w:rsidR="00535CFA" w:rsidRPr="00C418BF" w:rsidRDefault="00535CFA" w:rsidP="00C12FE6">
      <w:pPr>
        <w:spacing w:after="0" w:line="240" w:lineRule="auto"/>
        <w:rPr>
          <w:rFonts w:ascii="Times New Roman" w:hAnsi="Times New Roman" w:cs="Times New Roman"/>
          <w:sz w:val="24"/>
          <w:szCs w:val="24"/>
        </w:rPr>
      </w:pPr>
    </w:p>
    <w:p w14:paraId="18C52C49" w14:textId="5B12E79F" w:rsidR="00535CFA" w:rsidRPr="00C418BF" w:rsidRDefault="00535CFA" w:rsidP="00096CB6">
      <w:pPr>
        <w:spacing w:after="0" w:line="360" w:lineRule="auto"/>
        <w:ind w:firstLine="720"/>
        <w:jc w:val="both"/>
        <w:rPr>
          <w:rFonts w:ascii="Times New Roman" w:hAnsi="Times New Roman" w:cs="Times New Roman"/>
          <w:sz w:val="24"/>
          <w:szCs w:val="24"/>
        </w:rPr>
      </w:pPr>
      <w:r w:rsidRPr="00C418BF">
        <w:rPr>
          <w:rFonts w:ascii="Times New Roman" w:hAnsi="Times New Roman" w:cs="Times New Roman"/>
          <w:sz w:val="24"/>
          <w:szCs w:val="24"/>
        </w:rPr>
        <w:t>Author(s) hereby declare that NO generative AI technologies such as Large Language Models (Chat</w:t>
      </w:r>
      <w:r w:rsidR="00690EB2">
        <w:rPr>
          <w:rFonts w:ascii="Times New Roman" w:hAnsi="Times New Roman" w:cs="Times New Roman"/>
          <w:sz w:val="24"/>
          <w:szCs w:val="24"/>
        </w:rPr>
        <w:t xml:space="preserve"> </w:t>
      </w:r>
      <w:r w:rsidRPr="00C418BF">
        <w:rPr>
          <w:rFonts w:ascii="Times New Roman" w:hAnsi="Times New Roman" w:cs="Times New Roman"/>
          <w:sz w:val="24"/>
          <w:szCs w:val="24"/>
        </w:rPr>
        <w:t xml:space="preserve">GPT, COPILOT, etc.) and text-to-image generators have been used during the writing or editing of this manuscript. </w:t>
      </w:r>
    </w:p>
    <w:bookmarkEnd w:id="1"/>
    <w:bookmarkEnd w:id="2"/>
    <w:p w14:paraId="70D872D2" w14:textId="77777777" w:rsidR="00971383" w:rsidRDefault="00971383" w:rsidP="007D51C1">
      <w:pPr>
        <w:spacing w:after="0"/>
        <w:jc w:val="both"/>
        <w:rPr>
          <w:rFonts w:ascii="Times New Roman" w:hAnsi="Times New Roman" w:cs="Times New Roman"/>
          <w:b/>
          <w:sz w:val="24"/>
          <w:szCs w:val="24"/>
        </w:rPr>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66445F">
          <w:type w:val="continuous"/>
          <w:pgSz w:w="11906" w:h="16838"/>
          <w:pgMar w:top="851" w:right="1106" w:bottom="1440" w:left="1170" w:header="708" w:footer="708" w:gutter="0"/>
          <w:cols w:space="630"/>
          <w:docGrid w:linePitch="360"/>
        </w:sectPr>
      </w:pPr>
    </w:p>
    <w:p w14:paraId="13B83C64" w14:textId="2BA58E53" w:rsidR="00DF1C46" w:rsidRPr="008B2773" w:rsidRDefault="00C12FE6" w:rsidP="00C12FE6">
      <w:pPr>
        <w:spacing w:after="0"/>
        <w:rPr>
          <w:rFonts w:ascii="Times New Roman" w:hAnsi="Times New Roman" w:cs="Times New Roman"/>
          <w:b/>
          <w:sz w:val="24"/>
          <w:szCs w:val="24"/>
        </w:rPr>
      </w:pPr>
      <w:r w:rsidRPr="008B2773">
        <w:rPr>
          <w:rFonts w:ascii="Times New Roman" w:hAnsi="Times New Roman" w:cs="Times New Roman"/>
          <w:b/>
          <w:sz w:val="24"/>
          <w:szCs w:val="24"/>
        </w:rPr>
        <w:t>REFERENCE</w:t>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r w:rsidRPr="008B2773">
        <w:rPr>
          <w:i/>
          <w:sz w:val="24"/>
          <w:szCs w:val="24"/>
        </w:rPr>
        <w:t>Parasit</w:t>
      </w:r>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r w:rsidRPr="008B2773">
        <w:rPr>
          <w:color w:val="1B1B1B"/>
          <w:sz w:val="24"/>
          <w:szCs w:val="24"/>
        </w:rPr>
        <w:t xml:space="preserve">Belghyti D, Berrada-Rkhami O, Boy V, Aguesse P, Gabrion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lastRenderedPageBreak/>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Dey S., Basu  Baul T. S., Roy B.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tetramethylsilane. </w:t>
      </w:r>
      <w:r w:rsidRPr="008B2773">
        <w:rPr>
          <w:rFonts w:eastAsiaTheme="minorHAnsi"/>
          <w:i/>
          <w:sz w:val="24"/>
          <w:szCs w:val="24"/>
        </w:rPr>
        <w:t>J. Microsc,</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r w:rsidRPr="008B2773">
        <w:rPr>
          <w:rFonts w:eastAsiaTheme="minorHAnsi"/>
          <w:sz w:val="24"/>
          <w:szCs w:val="24"/>
        </w:rPr>
        <w:t>Dube S, Zindi P, Mbanga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ecto-parasites in rural areas of Matebelel</w:t>
      </w:r>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Eshetu Y, Mulualem E, Abera K, and Ebrahim H, (2001):Study of Gastro-</w:t>
      </w:r>
      <w:r w:rsidRPr="008B2773">
        <w:rPr>
          <w:spacing w:val="1"/>
          <w:sz w:val="24"/>
          <w:szCs w:val="24"/>
        </w:rPr>
        <w:t xml:space="preserve"> </w:t>
      </w:r>
      <w:r w:rsidRPr="008B2773">
        <w:rPr>
          <w:sz w:val="24"/>
          <w:szCs w:val="24"/>
        </w:rPr>
        <w:t>intestinal 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Scientific and Technical Review</w:t>
      </w:r>
      <w:r w:rsidRPr="008B2773">
        <w:rPr>
          <w:sz w:val="24"/>
          <w:szCs w:val="24"/>
        </w:rPr>
        <w:t>, Office International desEpizooties, 20</w:t>
      </w:r>
      <w:r w:rsidRPr="008B2773">
        <w:rPr>
          <w:spacing w:val="-57"/>
          <w:sz w:val="24"/>
          <w:szCs w:val="24"/>
        </w:rPr>
        <w:t xml:space="preserve"> </w:t>
      </w:r>
      <w:r w:rsidRPr="008B2773">
        <w:rPr>
          <w:sz w:val="24"/>
          <w:szCs w:val="24"/>
        </w:rPr>
        <w:t>(3):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r w:rsidRPr="008B2773">
        <w:rPr>
          <w:sz w:val="24"/>
          <w:szCs w:val="24"/>
        </w:rPr>
        <w:t>ordnung</w:t>
      </w:r>
      <w:r w:rsidRPr="008B2773">
        <w:rPr>
          <w:spacing w:val="-15"/>
          <w:sz w:val="24"/>
          <w:szCs w:val="24"/>
        </w:rPr>
        <w:t xml:space="preserve"> </w:t>
      </w:r>
      <w:r w:rsidRPr="008B2773">
        <w:rPr>
          <w:sz w:val="24"/>
          <w:szCs w:val="24"/>
        </w:rPr>
        <w:t>der</w:t>
      </w:r>
      <w:r w:rsidRPr="008B2773">
        <w:rPr>
          <w:spacing w:val="-16"/>
          <w:sz w:val="24"/>
          <w:szCs w:val="24"/>
        </w:rPr>
        <w:t xml:space="preserve"> </w:t>
      </w:r>
      <w:r w:rsidRPr="008B2773">
        <w:rPr>
          <w:sz w:val="24"/>
          <w:szCs w:val="24"/>
        </w:rPr>
        <w:t>Cyclophyllidea.</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28">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29">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0">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1">
        <w:r w:rsidRPr="008B2773">
          <w:rPr>
            <w:sz w:val="24"/>
            <w:szCs w:val="24"/>
          </w:rPr>
          <w:t>Philippe</w:t>
        </w:r>
      </w:hyperlink>
      <w:r w:rsidRPr="008B2773">
        <w:rPr>
          <w:spacing w:val="-57"/>
          <w:sz w:val="24"/>
          <w:szCs w:val="24"/>
        </w:rPr>
        <w:t xml:space="preserve"> </w:t>
      </w:r>
      <w:hyperlink r:id="rId32">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3">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535CFA">
        <w:rPr>
          <w:sz w:val="24"/>
          <w:szCs w:val="24"/>
          <w:lang w:val="fr-FR"/>
        </w:rPr>
        <w:t>Joyeux C. and Houdemer E. (1927) Recherches Sur La Faune Helminthologique de l’Indochine (Cestodes et Trematodes). </w:t>
      </w:r>
      <w:r w:rsidRPr="008B2773">
        <w:rPr>
          <w:sz w:val="24"/>
          <w:szCs w:val="24"/>
        </w:rPr>
        <w:t>Ann. Parasitol.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Kolluri R, Lakshmi C V and Rao K H (1986): On some cyclophyllidean cestodes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r w:rsidRPr="008B2773">
        <w:rPr>
          <w:sz w:val="24"/>
          <w:szCs w:val="24"/>
        </w:rPr>
        <w:t>Pr</w:t>
      </w:r>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r w:rsidRPr="008B2773">
        <w:rPr>
          <w:sz w:val="24"/>
          <w:szCs w:val="24"/>
        </w:rPr>
        <w:t>desh</w:t>
      </w:r>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Di parasitologia</w:t>
      </w:r>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Capoor V N (1981): Studies on the taxonometry of poultry tapeworm </w:t>
      </w:r>
      <w:r w:rsidRPr="008B2773">
        <w:rPr>
          <w:i/>
          <w:sz w:val="24"/>
          <w:szCs w:val="24"/>
        </w:rPr>
        <w:t xml:space="preserve">Raillietina (R) sharanpurensis </w:t>
      </w:r>
      <w:r w:rsidRPr="008B2773">
        <w:rPr>
          <w:sz w:val="24"/>
          <w:szCs w:val="24"/>
        </w:rPr>
        <w:t>n.sp. Nov from foot hills of Garhwal Himalayas Biology, 3.</w:t>
      </w:r>
    </w:p>
    <w:p w14:paraId="29FC682E" w14:textId="77777777" w:rsidR="00B240E6" w:rsidRPr="00535CFA" w:rsidRDefault="00B240E6" w:rsidP="00AA5DB0">
      <w:pPr>
        <w:pStyle w:val="ListParagraph"/>
        <w:numPr>
          <w:ilvl w:val="0"/>
          <w:numId w:val="1"/>
        </w:numPr>
        <w:spacing w:line="360" w:lineRule="auto"/>
        <w:ind w:hanging="450"/>
        <w:rPr>
          <w:sz w:val="24"/>
          <w:szCs w:val="24"/>
          <w:lang w:val="fr-FR"/>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535CFA">
        <w:rPr>
          <w:sz w:val="24"/>
          <w:szCs w:val="24"/>
          <w:lang w:val="fr-FR"/>
        </w:rPr>
        <w:t>Part</w:t>
      </w:r>
      <w:r w:rsidRPr="00535CFA">
        <w:rPr>
          <w:spacing w:val="-11"/>
          <w:sz w:val="24"/>
          <w:szCs w:val="24"/>
          <w:lang w:val="fr-FR"/>
        </w:rPr>
        <w:t xml:space="preserve"> </w:t>
      </w:r>
      <w:r w:rsidRPr="00535CFA">
        <w:rPr>
          <w:sz w:val="24"/>
          <w:szCs w:val="24"/>
          <w:lang w:val="fr-FR"/>
        </w:rPr>
        <w:t>II.</w:t>
      </w:r>
      <w:r w:rsidRPr="00535CFA">
        <w:rPr>
          <w:spacing w:val="-11"/>
          <w:sz w:val="24"/>
          <w:szCs w:val="24"/>
          <w:lang w:val="fr-FR"/>
        </w:rPr>
        <w:t xml:space="preserve"> </w:t>
      </w:r>
      <w:r w:rsidRPr="00535CFA">
        <w:rPr>
          <w:i/>
          <w:sz w:val="24"/>
          <w:szCs w:val="24"/>
          <w:lang w:val="fr-FR"/>
        </w:rPr>
        <w:t>Parasit.</w:t>
      </w:r>
      <w:r w:rsidRPr="00535CFA">
        <w:rPr>
          <w:i/>
          <w:spacing w:val="-12"/>
          <w:sz w:val="24"/>
          <w:szCs w:val="24"/>
          <w:lang w:val="fr-FR"/>
        </w:rPr>
        <w:t xml:space="preserve"> </w:t>
      </w:r>
      <w:r w:rsidRPr="00535CFA">
        <w:rPr>
          <w:sz w:val="24"/>
          <w:szCs w:val="24"/>
          <w:lang w:val="fr-FR"/>
        </w:rPr>
        <w:t>Vol.</w:t>
      </w:r>
      <w:r w:rsidRPr="00535CFA">
        <w:rPr>
          <w:spacing w:val="-11"/>
          <w:sz w:val="24"/>
          <w:szCs w:val="24"/>
          <w:lang w:val="fr-FR"/>
        </w:rPr>
        <w:t xml:space="preserve"> </w:t>
      </w:r>
      <w:r w:rsidRPr="00535CFA">
        <w:rPr>
          <w:sz w:val="24"/>
          <w:szCs w:val="24"/>
          <w:lang w:val="fr-FR"/>
        </w:rPr>
        <w:t>23</w:t>
      </w:r>
      <w:r w:rsidRPr="00535CFA">
        <w:rPr>
          <w:spacing w:val="-13"/>
          <w:sz w:val="24"/>
          <w:szCs w:val="24"/>
          <w:lang w:val="fr-FR"/>
        </w:rPr>
        <w:t xml:space="preserve"> </w:t>
      </w:r>
      <w:r w:rsidRPr="00535CFA">
        <w:rPr>
          <w:sz w:val="24"/>
          <w:szCs w:val="24"/>
          <w:lang w:val="fr-FR"/>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r w:rsidRPr="008B2773">
        <w:rPr>
          <w:i/>
          <w:sz w:val="24"/>
          <w:szCs w:val="24"/>
        </w:rPr>
        <w:t xml:space="preserve">Permin </w:t>
      </w:r>
      <w:r w:rsidRPr="008B2773">
        <w:rPr>
          <w:sz w:val="24"/>
          <w:szCs w:val="24"/>
        </w:rPr>
        <w:t xml:space="preserve">A, </w:t>
      </w:r>
      <w:r w:rsidRPr="008B2773">
        <w:rPr>
          <w:i/>
          <w:sz w:val="24"/>
          <w:szCs w:val="24"/>
        </w:rPr>
        <w:t xml:space="preserve">Hindsbo </w:t>
      </w:r>
      <w:r w:rsidRPr="008B2773">
        <w:rPr>
          <w:sz w:val="24"/>
          <w:szCs w:val="24"/>
        </w:rPr>
        <w:t xml:space="preserve">O, </w:t>
      </w:r>
      <w:r w:rsidRPr="008B2773">
        <w:rPr>
          <w:i/>
          <w:sz w:val="24"/>
          <w:szCs w:val="24"/>
        </w:rPr>
        <w:t xml:space="preserve">Yelifari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Roy B. and Tandon V. (1991). Usefulness of tetra-methylsilane in the preparation of helminth parasites for scanning electron microscopy. </w:t>
      </w:r>
      <w:r w:rsidRPr="008B2773">
        <w:rPr>
          <w:i/>
          <w:sz w:val="24"/>
          <w:szCs w:val="24"/>
        </w:rPr>
        <w:t xml:space="preserve">Riv. Parassitol,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r w:rsidRPr="008B2773">
        <w:rPr>
          <w:i/>
          <w:sz w:val="24"/>
          <w:szCs w:val="24"/>
        </w:rPr>
        <w:t>Raillietina</w:t>
      </w:r>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r w:rsidRPr="008B2773">
        <w:rPr>
          <w:i/>
          <w:sz w:val="24"/>
          <w:szCs w:val="24"/>
        </w:rPr>
        <w:t>peradenica</w:t>
      </w:r>
      <w:r w:rsidRPr="008B2773">
        <w:rPr>
          <w:i/>
          <w:spacing w:val="-9"/>
          <w:sz w:val="24"/>
          <w:szCs w:val="24"/>
        </w:rPr>
        <w:t xml:space="preserve"> </w:t>
      </w:r>
      <w:r w:rsidRPr="008B2773">
        <w:rPr>
          <w:i/>
          <w:sz w:val="24"/>
          <w:szCs w:val="24"/>
        </w:rPr>
        <w:t>n.sp.</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Soulsby E. J. L. (1982). Helminthes, Arthropods and Protozoan are of domesticated animals (7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lastRenderedPageBreak/>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Wankhed H. J. and Gholap A. B. (2016). Effect of Cestode Parasites on Hematological Parameters in </w:t>
      </w:r>
      <w:r w:rsidRPr="008B2773">
        <w:rPr>
          <w:rFonts w:eastAsiaTheme="minorHAnsi"/>
          <w:i/>
          <w:sz w:val="24"/>
          <w:szCs w:val="24"/>
        </w:rPr>
        <w:t>Gallus gallus domesticus</w:t>
      </w:r>
      <w:r w:rsidRPr="008B2773">
        <w:rPr>
          <w:rFonts w:eastAsiaTheme="minorHAnsi"/>
          <w:sz w:val="24"/>
          <w:szCs w:val="24"/>
        </w:rPr>
        <w:t xml:space="preserve"> in Ahmednagar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Nematodes of vertebrates. 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Default="00B240E6" w:rsidP="00AA5DB0">
      <w:pPr>
        <w:pStyle w:val="ListParagraph"/>
        <w:numPr>
          <w:ilvl w:val="0"/>
          <w:numId w:val="1"/>
        </w:numPr>
        <w:spacing w:line="360" w:lineRule="auto"/>
        <w:ind w:hanging="450"/>
        <w:rPr>
          <w:sz w:val="24"/>
          <w:szCs w:val="24"/>
        </w:rPr>
      </w:pPr>
      <w:r w:rsidRPr="008B2773">
        <w:rPr>
          <w:sz w:val="24"/>
          <w:szCs w:val="24"/>
        </w:rPr>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6E7070F4" w14:textId="77777777" w:rsidR="00C12FE6" w:rsidRDefault="00C12FE6" w:rsidP="00C12FE6">
      <w:pPr>
        <w:spacing w:line="360" w:lineRule="auto"/>
        <w:rPr>
          <w:sz w:val="24"/>
          <w:szCs w:val="24"/>
        </w:rPr>
      </w:pPr>
    </w:p>
    <w:sectPr w:rsidR="00C12FE6" w:rsidSect="0066445F">
      <w:type w:val="continuous"/>
      <w:pgSz w:w="11906" w:h="16838"/>
      <w:pgMar w:top="851" w:right="1106" w:bottom="144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D0F3B" w14:textId="77777777" w:rsidR="004D1E45" w:rsidRDefault="004D1E45">
      <w:pPr>
        <w:spacing w:after="0" w:line="240" w:lineRule="auto"/>
      </w:pPr>
      <w:r>
        <w:separator/>
      </w:r>
    </w:p>
  </w:endnote>
  <w:endnote w:type="continuationSeparator" w:id="0">
    <w:p w14:paraId="41868859" w14:textId="77777777" w:rsidR="004D1E45" w:rsidRDefault="004D1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690EB2">
          <w:rPr>
            <w:noProof/>
          </w:rPr>
          <w:t>1</w:t>
        </w:r>
        <w:r>
          <w:rPr>
            <w:noProof/>
          </w:rPr>
          <w:fldChar w:fldCharType="end"/>
        </w:r>
      </w:p>
    </w:sdtContent>
  </w:sdt>
  <w:p w14:paraId="5BE4D95D" w14:textId="77777777" w:rsidR="00B240E6" w:rsidRDefault="00B24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09B35" w14:textId="77777777" w:rsidR="004D1E45" w:rsidRDefault="004D1E45">
      <w:pPr>
        <w:spacing w:after="0" w:line="240" w:lineRule="auto"/>
      </w:pPr>
      <w:r>
        <w:separator/>
      </w:r>
    </w:p>
  </w:footnote>
  <w:footnote w:type="continuationSeparator" w:id="0">
    <w:p w14:paraId="2ECFE7A9" w14:textId="77777777" w:rsidR="004D1E45" w:rsidRDefault="004D1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ADCB" w14:textId="4156F597" w:rsidR="00BB4261" w:rsidRDefault="004D1E45">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3365B" w14:textId="18E9D68C" w:rsidR="00BB4261" w:rsidRDefault="004D1E45">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B9EC1" w14:textId="7EB2AFA3" w:rsidR="00BB4261" w:rsidRDefault="004D1E45">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abstractNumId w:val="0"/>
  </w:num>
  <w:num w:numId="2">
    <w:abstractNumId w:val="15"/>
  </w:num>
  <w:num w:numId="3">
    <w:abstractNumId w:val="27"/>
  </w:num>
  <w:num w:numId="4">
    <w:abstractNumId w:val="26"/>
  </w:num>
  <w:num w:numId="5">
    <w:abstractNumId w:val="23"/>
  </w:num>
  <w:num w:numId="6">
    <w:abstractNumId w:val="28"/>
  </w:num>
  <w:num w:numId="7">
    <w:abstractNumId w:val="22"/>
  </w:num>
  <w:num w:numId="8">
    <w:abstractNumId w:val="5"/>
  </w:num>
  <w:num w:numId="9">
    <w:abstractNumId w:val="12"/>
  </w:num>
  <w:num w:numId="10">
    <w:abstractNumId w:val="19"/>
  </w:num>
  <w:num w:numId="11">
    <w:abstractNumId w:val="14"/>
  </w:num>
  <w:num w:numId="12">
    <w:abstractNumId w:val="11"/>
  </w:num>
  <w:num w:numId="13">
    <w:abstractNumId w:val="6"/>
  </w:num>
  <w:num w:numId="14">
    <w:abstractNumId w:val="8"/>
  </w:num>
  <w:num w:numId="15">
    <w:abstractNumId w:val="24"/>
  </w:num>
  <w:num w:numId="16">
    <w:abstractNumId w:val="20"/>
  </w:num>
  <w:num w:numId="17">
    <w:abstractNumId w:val="3"/>
  </w:num>
  <w:num w:numId="18">
    <w:abstractNumId w:val="4"/>
  </w:num>
  <w:num w:numId="19">
    <w:abstractNumId w:val="16"/>
  </w:num>
  <w:num w:numId="20">
    <w:abstractNumId w:val="21"/>
  </w:num>
  <w:num w:numId="21">
    <w:abstractNumId w:val="18"/>
  </w:num>
  <w:num w:numId="22">
    <w:abstractNumId w:val="1"/>
  </w:num>
  <w:num w:numId="23">
    <w:abstractNumId w:val="2"/>
  </w:num>
  <w:num w:numId="24">
    <w:abstractNumId w:val="13"/>
  </w:num>
  <w:num w:numId="25">
    <w:abstractNumId w:val="9"/>
  </w:num>
  <w:num w:numId="26">
    <w:abstractNumId w:val="25"/>
  </w:num>
  <w:num w:numId="27">
    <w:abstractNumId w:val="10"/>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110"/>
    <w:rsid w:val="000065E2"/>
    <w:rsid w:val="00036D25"/>
    <w:rsid w:val="00082F73"/>
    <w:rsid w:val="00096CB6"/>
    <w:rsid w:val="000C0AF2"/>
    <w:rsid w:val="00103CD4"/>
    <w:rsid w:val="00122020"/>
    <w:rsid w:val="00134C94"/>
    <w:rsid w:val="00151E18"/>
    <w:rsid w:val="001A1595"/>
    <w:rsid w:val="001B3945"/>
    <w:rsid w:val="001B7B2D"/>
    <w:rsid w:val="001F5816"/>
    <w:rsid w:val="00213DB3"/>
    <w:rsid w:val="00267B42"/>
    <w:rsid w:val="00273386"/>
    <w:rsid w:val="002A58C6"/>
    <w:rsid w:val="002A6B5A"/>
    <w:rsid w:val="002D121A"/>
    <w:rsid w:val="002D206B"/>
    <w:rsid w:val="002E5DFC"/>
    <w:rsid w:val="003215DF"/>
    <w:rsid w:val="00332780"/>
    <w:rsid w:val="003465AD"/>
    <w:rsid w:val="003616B7"/>
    <w:rsid w:val="00373E70"/>
    <w:rsid w:val="003827B7"/>
    <w:rsid w:val="003A5DA2"/>
    <w:rsid w:val="003B29AC"/>
    <w:rsid w:val="003C17E3"/>
    <w:rsid w:val="00411C15"/>
    <w:rsid w:val="0043167B"/>
    <w:rsid w:val="004469E7"/>
    <w:rsid w:val="00452C4B"/>
    <w:rsid w:val="00455343"/>
    <w:rsid w:val="00470146"/>
    <w:rsid w:val="00477D65"/>
    <w:rsid w:val="004D0FB8"/>
    <w:rsid w:val="004D1E45"/>
    <w:rsid w:val="004D724D"/>
    <w:rsid w:val="004D73E8"/>
    <w:rsid w:val="004E4E7D"/>
    <w:rsid w:val="004E666A"/>
    <w:rsid w:val="004F0A53"/>
    <w:rsid w:val="00523570"/>
    <w:rsid w:val="005274BB"/>
    <w:rsid w:val="00535CFA"/>
    <w:rsid w:val="00546E3B"/>
    <w:rsid w:val="005643BB"/>
    <w:rsid w:val="00572E69"/>
    <w:rsid w:val="005818FE"/>
    <w:rsid w:val="005848C6"/>
    <w:rsid w:val="00585635"/>
    <w:rsid w:val="005B729D"/>
    <w:rsid w:val="005C4320"/>
    <w:rsid w:val="005F6E64"/>
    <w:rsid w:val="0060455E"/>
    <w:rsid w:val="0062110C"/>
    <w:rsid w:val="00644FA9"/>
    <w:rsid w:val="0066445F"/>
    <w:rsid w:val="0067660C"/>
    <w:rsid w:val="00690EB2"/>
    <w:rsid w:val="00697F07"/>
    <w:rsid w:val="006E3712"/>
    <w:rsid w:val="00712912"/>
    <w:rsid w:val="0072269E"/>
    <w:rsid w:val="00745171"/>
    <w:rsid w:val="00763CBE"/>
    <w:rsid w:val="0078767F"/>
    <w:rsid w:val="0078778E"/>
    <w:rsid w:val="0079565F"/>
    <w:rsid w:val="007D51C1"/>
    <w:rsid w:val="007F6FEE"/>
    <w:rsid w:val="00801FE2"/>
    <w:rsid w:val="008272EA"/>
    <w:rsid w:val="0084385B"/>
    <w:rsid w:val="008479AF"/>
    <w:rsid w:val="00866A50"/>
    <w:rsid w:val="008677F0"/>
    <w:rsid w:val="008B2773"/>
    <w:rsid w:val="008B39DC"/>
    <w:rsid w:val="008C64C2"/>
    <w:rsid w:val="008D748D"/>
    <w:rsid w:val="009103F1"/>
    <w:rsid w:val="00941235"/>
    <w:rsid w:val="00971383"/>
    <w:rsid w:val="009762C8"/>
    <w:rsid w:val="00986B97"/>
    <w:rsid w:val="009C4EE9"/>
    <w:rsid w:val="00A00C03"/>
    <w:rsid w:val="00A10B81"/>
    <w:rsid w:val="00A2591A"/>
    <w:rsid w:val="00A56E03"/>
    <w:rsid w:val="00A80955"/>
    <w:rsid w:val="00A84CE8"/>
    <w:rsid w:val="00A911CA"/>
    <w:rsid w:val="00AA4E20"/>
    <w:rsid w:val="00AA5DB0"/>
    <w:rsid w:val="00AB2A5C"/>
    <w:rsid w:val="00AC0110"/>
    <w:rsid w:val="00B240E6"/>
    <w:rsid w:val="00B25B23"/>
    <w:rsid w:val="00B34C0C"/>
    <w:rsid w:val="00B76353"/>
    <w:rsid w:val="00BA3D65"/>
    <w:rsid w:val="00BB3D39"/>
    <w:rsid w:val="00BB4261"/>
    <w:rsid w:val="00BB5CC2"/>
    <w:rsid w:val="00BD6FF5"/>
    <w:rsid w:val="00BF12D8"/>
    <w:rsid w:val="00C12FE6"/>
    <w:rsid w:val="00C24416"/>
    <w:rsid w:val="00C418BF"/>
    <w:rsid w:val="00C42ABA"/>
    <w:rsid w:val="00CC5DB2"/>
    <w:rsid w:val="00CF2EA5"/>
    <w:rsid w:val="00D45FCE"/>
    <w:rsid w:val="00DA7336"/>
    <w:rsid w:val="00DF1C46"/>
    <w:rsid w:val="00DF1CC2"/>
    <w:rsid w:val="00E06A71"/>
    <w:rsid w:val="00E15AC1"/>
    <w:rsid w:val="00E43A1F"/>
    <w:rsid w:val="00E4563E"/>
    <w:rsid w:val="00EA1373"/>
    <w:rsid w:val="00EA7FEF"/>
    <w:rsid w:val="00EE4273"/>
    <w:rsid w:val="00F046F8"/>
    <w:rsid w:val="00F238D7"/>
    <w:rsid w:val="00F45DEC"/>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C7B25"/>
  <w15:docId w15:val="{7C2182B1-78F7-498B-BF35-7CC5A852D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customStyle="1" w:styleId="UnresolvedMention1">
    <w:name w:val="Unresolved Mention1"/>
    <w:basedOn w:val="DefaultParagraphFont"/>
    <w:uiPriority w:val="99"/>
    <w:semiHidden/>
    <w:unhideWhenUsed/>
    <w:rsid w:val="0037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istricts_of_Maharashtra" TargetMode="External"/><Relationship Id="rId18" Type="http://schemas.openxmlformats.org/officeDocument/2006/relationships/hyperlink" Target="https://pmc.ncbi.nlm.nih.gov/articles/PMC10909052/"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pmc.ncbi.nlm.nih.gov/articles/PMC1090905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mc.ncbi.nlm.nih.gov/articles/PMC10909052/" TargetMode="External"/><Relationship Id="rId17" Type="http://schemas.openxmlformats.org/officeDocument/2006/relationships/hyperlink" Target="https://pmc.ncbi.nlm.nih.gov/articles/PMC10909052/" TargetMode="External"/><Relationship Id="rId25" Type="http://schemas.openxmlformats.org/officeDocument/2006/relationships/image" Target="media/image3.jpeg"/><Relationship Id="rId33" Type="http://schemas.openxmlformats.org/officeDocument/2006/relationships/hyperlink" Target="https://www.ncbi.nlm.nih.gov/pmc/articles/PMC2725901/"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pmc.ncbi.nlm.nih.gov/articles/PMC10909052/" TargetMode="External"/><Relationship Id="rId29" Type="http://schemas.openxmlformats.org/officeDocument/2006/relationships/hyperlink" Target="https://www.ncbi.nlm.nih.gov/pubmed/?term=Gauthier-Clerc%20M%5BAuthor%5D&amp;cauthor=true&amp;cauthor_uid=17552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jpeg"/><Relationship Id="rId32" Type="http://schemas.openxmlformats.org/officeDocument/2006/relationships/hyperlink" Target="https://www.ncbi.nlm.nih.gov/pubmed/?term=Sabatier%20P%5BAuthor%5D&amp;cauthor=true&amp;cauthor_uid=17552088" TargetMode="External"/><Relationship Id="rId5" Type="http://schemas.openxmlformats.org/officeDocument/2006/relationships/webSettings" Target="webSettings.xml"/><Relationship Id="rId15" Type="http://schemas.openxmlformats.org/officeDocument/2006/relationships/hyperlink" Target="https://en.wikipedia.org/wiki/India" TargetMode="External"/><Relationship Id="rId23" Type="http://schemas.openxmlformats.org/officeDocument/2006/relationships/hyperlink" Target="https://pmc.ncbi.nlm.nih.gov/articles/PMC10909052/" TargetMode="External"/><Relationship Id="rId28" Type="http://schemas.openxmlformats.org/officeDocument/2006/relationships/hyperlink" Target="https://www.ncbi.nlm.nih.gov/pubmed/?term=Jourdain%20E%5BAuthor%5D&amp;cauthor=true&amp;cauthor_uid=17552088" TargetMode="External"/><Relationship Id="rId10" Type="http://schemas.openxmlformats.org/officeDocument/2006/relationships/footer" Target="footer1.xml"/><Relationship Id="rId19" Type="http://schemas.openxmlformats.org/officeDocument/2006/relationships/hyperlink" Target="https://pmc.ncbi.nlm.nih.gov/articles/PMC10909052/" TargetMode="External"/><Relationship Id="rId31" Type="http://schemas.openxmlformats.org/officeDocument/2006/relationships/hyperlink" Target="https://www.ncbi.nlm.nih.gov/pubmed/?term=Sabatier%20P%5BAuthor%5D&amp;cauthor=true&amp;cauthor_uid=1755208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Maharashtra" TargetMode="External"/><Relationship Id="rId22" Type="http://schemas.openxmlformats.org/officeDocument/2006/relationships/hyperlink" Target="https://pmc.ncbi.nlm.nih.gov/articles/PMC10909052/" TargetMode="External"/><Relationship Id="rId27" Type="http://schemas.openxmlformats.org/officeDocument/2006/relationships/image" Target="media/image5.png"/><Relationship Id="rId30" Type="http://schemas.openxmlformats.org/officeDocument/2006/relationships/hyperlink" Target="https://www.ncbi.nlm.nih.gov/pubmed/?term=Bicout%20D%5BAuthor%5D&amp;cauthor=true&amp;cauthor_uid=17552088"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67F10-D707-4BC3-B225-12A5D0BF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9</Pages>
  <Words>3039</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1186</cp:lastModifiedBy>
  <cp:revision>92</cp:revision>
  <dcterms:created xsi:type="dcterms:W3CDTF">2025-01-28T15:28:00Z</dcterms:created>
  <dcterms:modified xsi:type="dcterms:W3CDTF">2026-03-23T12:31:00Z</dcterms:modified>
</cp:coreProperties>
</file>