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38FDB" w14:textId="73A6159E" w:rsidR="002E5AF9" w:rsidRPr="00DA6E59" w:rsidRDefault="00DB5906" w:rsidP="00DA6E59">
      <w:pP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w:t>
      </w:r>
      <w:r w:rsidR="00DA6E59" w:rsidRPr="00DA6E59">
        <w:rPr>
          <w:rFonts w:ascii="Times New Roman" w:hAnsi="Times New Roman" w:cs="Times New Roman"/>
          <w:b/>
          <w:bCs/>
          <w:sz w:val="28"/>
          <w:szCs w:val="28"/>
          <w:u w:val="single"/>
        </w:rPr>
        <w:t>Review Article</w:t>
      </w:r>
    </w:p>
    <w:p w14:paraId="7AC8D6F8" w14:textId="346D31D9" w:rsidR="006A4776" w:rsidRPr="003A373F" w:rsidRDefault="002E0EF6" w:rsidP="00DB5906">
      <w:pPr>
        <w:ind w:firstLine="720"/>
        <w:rPr>
          <w:rFonts w:ascii="Times New Roman" w:hAnsi="Times New Roman" w:cs="Times New Roman"/>
          <w:b/>
          <w:bCs/>
          <w:sz w:val="28"/>
          <w:szCs w:val="28"/>
        </w:rPr>
      </w:pPr>
      <w:r w:rsidRPr="002E0EF6">
        <w:rPr>
          <w:rFonts w:ascii="Times New Roman" w:hAnsi="Times New Roman" w:cs="Times New Roman"/>
          <w:b/>
          <w:bCs/>
          <w:sz w:val="28"/>
          <w:szCs w:val="28"/>
        </w:rPr>
        <w:t>Adaptive Strategies of Insects to Environmental Extremes:</w:t>
      </w:r>
      <w:r w:rsidR="00112C2C" w:rsidRPr="003A373F">
        <w:rPr>
          <w:rFonts w:ascii="Times New Roman" w:hAnsi="Times New Roman" w:cs="Times New Roman"/>
          <w:b/>
          <w:bCs/>
          <w:sz w:val="28"/>
          <w:szCs w:val="28"/>
        </w:rPr>
        <w:t xml:space="preserve"> </w:t>
      </w:r>
      <w:r w:rsidRPr="002E0EF6">
        <w:rPr>
          <w:rFonts w:ascii="Times New Roman" w:hAnsi="Times New Roman" w:cs="Times New Roman"/>
          <w:b/>
          <w:bCs/>
          <w:sz w:val="28"/>
          <w:szCs w:val="28"/>
        </w:rPr>
        <w:t>Behavioural, Morphological, Physiolo</w:t>
      </w:r>
      <w:r w:rsidR="00DB5906">
        <w:rPr>
          <w:rFonts w:ascii="Times New Roman" w:hAnsi="Times New Roman" w:cs="Times New Roman"/>
          <w:b/>
          <w:bCs/>
          <w:sz w:val="28"/>
          <w:szCs w:val="28"/>
        </w:rPr>
        <w:t>gical, and Molecular Integration</w:t>
      </w:r>
    </w:p>
    <w:p w14:paraId="4043C670" w14:textId="77777777" w:rsidR="002E0EF6" w:rsidRPr="002E0EF6" w:rsidRDefault="002E0EF6" w:rsidP="003A373F">
      <w:pPr>
        <w:jc w:val="center"/>
        <w:rPr>
          <w:rFonts w:ascii="Times New Roman" w:hAnsi="Times New Roman" w:cs="Times New Roman"/>
          <w:b/>
          <w:bCs/>
          <w:sz w:val="24"/>
          <w:szCs w:val="24"/>
        </w:rPr>
      </w:pPr>
      <w:r w:rsidRPr="002E0EF6">
        <w:rPr>
          <w:rFonts w:ascii="Times New Roman" w:hAnsi="Times New Roman" w:cs="Times New Roman"/>
          <w:b/>
          <w:bCs/>
          <w:sz w:val="24"/>
          <w:szCs w:val="24"/>
        </w:rPr>
        <w:t>ABSTRACT</w:t>
      </w:r>
    </w:p>
    <w:p w14:paraId="2E3431CF" w14:textId="77777777" w:rsidR="00B72E3B" w:rsidRDefault="00B72E3B" w:rsidP="003A373F">
      <w:pPr>
        <w:ind w:firstLine="720"/>
        <w:jc w:val="both"/>
        <w:rPr>
          <w:rFonts w:ascii="Times New Roman" w:hAnsi="Times New Roman" w:cs="Times New Roman"/>
          <w:sz w:val="24"/>
          <w:szCs w:val="24"/>
        </w:rPr>
      </w:pPr>
      <w:r w:rsidRPr="003A373F">
        <w:rPr>
          <w:rFonts w:ascii="Times New Roman" w:hAnsi="Times New Roman" w:cs="Times New Roman"/>
          <w:sz w:val="24"/>
          <w:szCs w:val="24"/>
        </w:rPr>
        <w:t>Insects dominate terrestrial and freshwater ecosystems despite exposure to environmental extremes that challenge survival, development, and reproduction. Their ecological success is underpinned by complex adaptive strategies that operate across behavioural, morphological, physiological, and molecular scales. These adaptations function as integrated networks, combining rapid behavioural responses, structural innovations, physiological tolerance, and molecular mechanisms to buffer environmental stressors. This review synthesizes current understanding of insect responses to thermal extremes, desiccation, seasonal unpredictability, predation, and chemically defended host plants. Emphasis is placed on mechanistic insights, patterns of evolutionary convergence, energetic trade-offs, and the limits of adaptation under accelerating environmental change. By examining the hierarchical and integrated nature of insect adaptations, this synthesis provides a framework for predicting species resilience, ecosystem stability, and evolutionary trajectories in the face of increasingly extreme and dynamic environments.</w:t>
      </w:r>
    </w:p>
    <w:p w14:paraId="2E8DC032" w14:textId="0E16F390" w:rsidR="003A373F" w:rsidRDefault="003A373F" w:rsidP="003A373F">
      <w:pPr>
        <w:jc w:val="both"/>
        <w:rPr>
          <w:rFonts w:ascii="Times New Roman" w:hAnsi="Times New Roman" w:cs="Times New Roman"/>
          <w:sz w:val="24"/>
          <w:szCs w:val="24"/>
        </w:rPr>
      </w:pPr>
      <w:r w:rsidRPr="003A373F">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3A373F">
        <w:rPr>
          <w:rFonts w:ascii="Times New Roman" w:hAnsi="Times New Roman" w:cs="Times New Roman"/>
          <w:sz w:val="24"/>
          <w:szCs w:val="24"/>
        </w:rPr>
        <w:t>Behavioural, Insect Adaptation,</w:t>
      </w:r>
      <w:r>
        <w:rPr>
          <w:rFonts w:ascii="Times New Roman" w:hAnsi="Times New Roman" w:cs="Times New Roman"/>
          <w:sz w:val="24"/>
          <w:szCs w:val="24"/>
        </w:rPr>
        <w:t xml:space="preserve"> </w:t>
      </w:r>
      <w:r w:rsidRPr="003A373F">
        <w:rPr>
          <w:rFonts w:ascii="Times New Roman" w:hAnsi="Times New Roman" w:cs="Times New Roman"/>
          <w:sz w:val="24"/>
          <w:szCs w:val="24"/>
        </w:rPr>
        <w:t xml:space="preserve">Morphological, </w:t>
      </w:r>
      <w:r>
        <w:rPr>
          <w:rFonts w:ascii="Times New Roman" w:hAnsi="Times New Roman" w:cs="Times New Roman"/>
          <w:sz w:val="24"/>
          <w:szCs w:val="24"/>
        </w:rPr>
        <w:t xml:space="preserve">Mimicry, </w:t>
      </w:r>
      <w:r w:rsidRPr="003A373F">
        <w:rPr>
          <w:rFonts w:ascii="Times New Roman" w:hAnsi="Times New Roman" w:cs="Times New Roman"/>
          <w:sz w:val="24"/>
          <w:szCs w:val="24"/>
        </w:rPr>
        <w:t>Physiological</w:t>
      </w:r>
    </w:p>
    <w:p w14:paraId="091496A7" w14:textId="252765E8" w:rsidR="008569D8" w:rsidRPr="008569D8" w:rsidRDefault="008569D8" w:rsidP="003A373F">
      <w:pPr>
        <w:jc w:val="both"/>
        <w:rPr>
          <w:rFonts w:ascii="Times New Roman" w:hAnsi="Times New Roman" w:cs="Times New Roman"/>
          <w:b/>
          <w:bCs/>
          <w:sz w:val="24"/>
          <w:szCs w:val="24"/>
        </w:rPr>
      </w:pPr>
      <w:r w:rsidRPr="008569D8">
        <w:rPr>
          <w:rFonts w:ascii="Times New Roman" w:hAnsi="Times New Roman" w:cs="Times New Roman"/>
          <w:b/>
          <w:bCs/>
          <w:sz w:val="24"/>
          <w:szCs w:val="24"/>
        </w:rPr>
        <w:t xml:space="preserve">Introduction </w:t>
      </w:r>
    </w:p>
    <w:p w14:paraId="0D68CC96" w14:textId="1F983BA0"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1. ENVIRONMENTAL EXTREMES AS DRIVERS OF INSECT DIVERSITY</w:t>
      </w:r>
    </w:p>
    <w:p w14:paraId="5C1E1A23" w14:textId="77777777" w:rsidR="00DB5906" w:rsidRPr="00645BF5" w:rsidRDefault="00DB5906" w:rsidP="00DB590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Environmental extremes </w:t>
      </w:r>
      <w:r w:rsidRPr="00645BF5">
        <w:rPr>
          <w:rFonts w:ascii="Times New Roman" w:hAnsi="Times New Roman" w:cs="Times New Roman"/>
          <w:sz w:val="24"/>
          <w:szCs w:val="24"/>
        </w:rPr>
        <w:t>conditions that approach or exceed</w:t>
      </w:r>
      <w:r>
        <w:rPr>
          <w:rFonts w:ascii="Times New Roman" w:hAnsi="Times New Roman" w:cs="Times New Roman"/>
          <w:sz w:val="24"/>
          <w:szCs w:val="24"/>
        </w:rPr>
        <w:t xml:space="preserve"> physiological tolerance limits </w:t>
      </w:r>
      <w:r w:rsidRPr="00645BF5">
        <w:rPr>
          <w:rFonts w:ascii="Times New Roman" w:hAnsi="Times New Roman" w:cs="Times New Roman"/>
          <w:sz w:val="24"/>
          <w:szCs w:val="24"/>
        </w:rPr>
        <w:t>are pervasive across insect habitats globally (Chown and Nicolson, 2004; Sinclair et al., 2015). Insects face fluctuations in temperature, water limitation, hypoxia, plant toxins, and predation pressure. These stressors vary along latitudinal, altitudinal, and seasonal gradients, creating heterogeneous selective landscapes (Parmesan, 2006; Deutsch et al., 2008). Such extremes are integral to diverse ecosystems, including deserts, tropical forests, and alpine regions.</w:t>
      </w:r>
      <w:r>
        <w:rPr>
          <w:rFonts w:ascii="Times New Roman" w:hAnsi="Times New Roman" w:cs="Times New Roman"/>
          <w:sz w:val="24"/>
          <w:szCs w:val="24"/>
        </w:rPr>
        <w:t xml:space="preserve">  </w:t>
      </w:r>
      <w:r w:rsidRPr="00645BF5">
        <w:rPr>
          <w:rFonts w:ascii="Times New Roman" w:hAnsi="Times New Roman" w:cs="Times New Roman"/>
          <w:sz w:val="24"/>
          <w:szCs w:val="24"/>
        </w:rPr>
        <w:t xml:space="preserve">The frequency and intensity of these extremes are increasing under anthropogenic climate change, placing unprecedented selective pressure on insect populations (Harrison and Lammers, 2024). Rather than solely constraining survival, environmental extremes have driven insect diversification, ecological specialization, and adaptive radiation. Repeated stress exposure promotes novel phenotypes that exploit otherwise inaccessible ecological opportunities (Chown and Nicolson, 2004). Contemporary genomic studies show such radiation is often underpinned by standing genetic variation in stress-response pathways, enabling rapid evolutionary responses (Hoffmann and </w:t>
      </w:r>
      <w:proofErr w:type="spellStart"/>
      <w:r w:rsidRPr="00645BF5">
        <w:rPr>
          <w:rFonts w:ascii="Times New Roman" w:hAnsi="Times New Roman" w:cs="Times New Roman"/>
          <w:sz w:val="24"/>
          <w:szCs w:val="24"/>
        </w:rPr>
        <w:t>Sgrò</w:t>
      </w:r>
      <w:proofErr w:type="spellEnd"/>
      <w:r w:rsidRPr="00645BF5">
        <w:rPr>
          <w:rFonts w:ascii="Times New Roman" w:hAnsi="Times New Roman" w:cs="Times New Roman"/>
          <w:sz w:val="24"/>
          <w:szCs w:val="24"/>
        </w:rPr>
        <w:t>, 2023).</w:t>
      </w:r>
    </w:p>
    <w:p w14:paraId="09DD956C" w14:textId="77777777" w:rsidR="00DB5906" w:rsidRPr="00645BF5" w:rsidRDefault="00DB5906" w:rsidP="00DB5906">
      <w:pPr>
        <w:spacing w:after="0" w:line="240" w:lineRule="auto"/>
        <w:jc w:val="both"/>
        <w:rPr>
          <w:rFonts w:ascii="Times New Roman" w:hAnsi="Times New Roman" w:cs="Times New Roman"/>
          <w:sz w:val="24"/>
          <w:szCs w:val="24"/>
        </w:rPr>
      </w:pPr>
    </w:p>
    <w:p w14:paraId="14BA0882" w14:textId="6BE26CAE" w:rsidR="00DB5906" w:rsidRPr="00645BF5" w:rsidRDefault="00DB5906" w:rsidP="00DB5906">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Natural selection filters existing phenotypic diversity (Endler, 1986). Insects respond rapidly due to short generation times, large populations, and high reproductive output (</w:t>
      </w:r>
      <w:proofErr w:type="spellStart"/>
      <w:r w:rsidRPr="00645BF5">
        <w:rPr>
          <w:rFonts w:ascii="Times New Roman" w:hAnsi="Times New Roman" w:cs="Times New Roman"/>
          <w:sz w:val="24"/>
          <w:szCs w:val="24"/>
        </w:rPr>
        <w:t>Futuyma</w:t>
      </w:r>
      <w:proofErr w:type="spellEnd"/>
      <w:r w:rsidRPr="00645BF5">
        <w:rPr>
          <w:rFonts w:ascii="Times New Roman" w:hAnsi="Times New Roman" w:cs="Times New Roman"/>
          <w:sz w:val="24"/>
          <w:szCs w:val="24"/>
        </w:rPr>
        <w:t xml:space="preserve"> and Kirkpatrick, 2017). Modular development allows traits to evolve semi-independently, enhancing evolvability. Consequently, insect populations exhibit rapid adaptive shifts through genetic evolution and phenotypic plasticity. Experimental evolution shows thermal tolerance can evolve within 10-20 generations (</w:t>
      </w:r>
      <w:proofErr w:type="spellStart"/>
      <w:r w:rsidRPr="00645BF5">
        <w:rPr>
          <w:rFonts w:ascii="Times New Roman" w:hAnsi="Times New Roman" w:cs="Times New Roman"/>
          <w:sz w:val="24"/>
          <w:szCs w:val="24"/>
        </w:rPr>
        <w:t>Kellermann</w:t>
      </w:r>
      <w:proofErr w:type="spellEnd"/>
      <w:r w:rsidRPr="00645BF5">
        <w:rPr>
          <w:rFonts w:ascii="Times New Roman" w:hAnsi="Times New Roman" w:cs="Times New Roman"/>
          <w:sz w:val="24"/>
          <w:szCs w:val="24"/>
        </w:rPr>
        <w:t xml:space="preserve"> and van </w:t>
      </w:r>
      <w:proofErr w:type="spellStart"/>
      <w:r w:rsidRPr="00645BF5">
        <w:rPr>
          <w:rFonts w:ascii="Times New Roman" w:hAnsi="Times New Roman" w:cs="Times New Roman"/>
          <w:sz w:val="24"/>
          <w:szCs w:val="24"/>
        </w:rPr>
        <w:t>Heerwaarden</w:t>
      </w:r>
      <w:proofErr w:type="spellEnd"/>
      <w:r w:rsidRPr="00645BF5">
        <w:rPr>
          <w:rFonts w:ascii="Times New Roman" w:hAnsi="Times New Roman" w:cs="Times New Roman"/>
          <w:sz w:val="24"/>
          <w:szCs w:val="24"/>
        </w:rPr>
        <w:t>, 2023).</w:t>
      </w:r>
      <w:r>
        <w:rPr>
          <w:rFonts w:ascii="Times New Roman" w:hAnsi="Times New Roman" w:cs="Times New Roman"/>
          <w:sz w:val="24"/>
          <w:szCs w:val="24"/>
        </w:rPr>
        <w:t xml:space="preserve"> </w:t>
      </w:r>
      <w:r w:rsidRPr="00645BF5">
        <w:rPr>
          <w:rFonts w:ascii="Times New Roman" w:hAnsi="Times New Roman" w:cs="Times New Roman"/>
          <w:sz w:val="24"/>
          <w:szCs w:val="24"/>
        </w:rPr>
        <w:t xml:space="preserve">Recurrent stress exposure has led to convergent and parallel evolution among distant insect lineages. Independent populations often arrive at comparable solutions, revealing the predictability of selection and constraints of biochemical feasibility (Stern, </w:t>
      </w:r>
      <w:r w:rsidRPr="00645BF5">
        <w:rPr>
          <w:rFonts w:ascii="Times New Roman" w:hAnsi="Times New Roman" w:cs="Times New Roman"/>
          <w:sz w:val="24"/>
          <w:szCs w:val="24"/>
        </w:rPr>
        <w:lastRenderedPageBreak/>
        <w:t xml:space="preserve">2013; Rosenblum et al., 2014). Recent phylogenomic analyses suggest evolutionary predictability may be higher than previously appreciated (Kozak </w:t>
      </w:r>
      <w:r w:rsidR="00F11B2B">
        <w:rPr>
          <w:rFonts w:ascii="Times New Roman" w:hAnsi="Times New Roman" w:cs="Times New Roman"/>
          <w:sz w:val="24"/>
          <w:szCs w:val="24"/>
        </w:rPr>
        <w:t>and Joron,</w:t>
      </w:r>
      <w:r w:rsidRPr="00645BF5">
        <w:rPr>
          <w:rFonts w:ascii="Times New Roman" w:hAnsi="Times New Roman" w:cs="Times New Roman"/>
          <w:sz w:val="24"/>
          <w:szCs w:val="24"/>
        </w:rPr>
        <w:t xml:space="preserve"> 2022).</w:t>
      </w:r>
    </w:p>
    <w:p w14:paraId="3FE52683" w14:textId="77777777" w:rsidR="00DB5906" w:rsidRPr="00645BF5" w:rsidRDefault="00DB5906" w:rsidP="00DB5906">
      <w:pPr>
        <w:spacing w:after="0" w:line="240" w:lineRule="auto"/>
        <w:jc w:val="both"/>
        <w:rPr>
          <w:rFonts w:ascii="Times New Roman" w:hAnsi="Times New Roman" w:cs="Times New Roman"/>
          <w:sz w:val="24"/>
          <w:szCs w:val="24"/>
        </w:rPr>
      </w:pPr>
    </w:p>
    <w:p w14:paraId="55034DC6" w14:textId="15503F46" w:rsidR="00DB5906" w:rsidRDefault="00DB5906" w:rsidP="00DB5906">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Crucially, insect adaptation is a hierarchical and integrative process. Behavioural strategies form the first line of defence (Huey et al., 2002; Sunday </w:t>
      </w:r>
      <w:r w:rsidR="00F11B2B">
        <w:rPr>
          <w:rFonts w:ascii="Times New Roman" w:hAnsi="Times New Roman" w:cs="Times New Roman"/>
          <w:sz w:val="24"/>
          <w:szCs w:val="24"/>
        </w:rPr>
        <w:t>and Bates</w:t>
      </w:r>
      <w:r w:rsidRPr="00645BF5">
        <w:rPr>
          <w:rFonts w:ascii="Times New Roman" w:hAnsi="Times New Roman" w:cs="Times New Roman"/>
          <w:sz w:val="24"/>
          <w:szCs w:val="24"/>
        </w:rPr>
        <w:t>, 2022). When avoidance is insufficient, morphological specializations mitigate damage. At deeper levels, physiological and molecular mechanisms buffer internal homeostasis (West Eberhard, 2003; Angilletta et al., 2010). The interaction among these layers generates biological redundancy, conferring robustness across scales. Understanding this hierarchical structure is essential for predicting insect responses to global change, as disruption at any level may have cascading effects on population persistence (Bowler and Terblanche, 2020). Adaptations are generally classified into Behavioural, Physiological and Morphological categories (Fig. 1).</w:t>
      </w:r>
    </w:p>
    <w:p w14:paraId="267CCA87" w14:textId="62F961A7" w:rsidR="008569D8" w:rsidRDefault="00DB5906" w:rsidP="0096767D">
      <w:pPr>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E9EECB1" wp14:editId="5D696A5C">
            <wp:simplePos x="0" y="0"/>
            <wp:positionH relativeFrom="column">
              <wp:posOffset>1472565</wp:posOffset>
            </wp:positionH>
            <wp:positionV relativeFrom="paragraph">
              <wp:posOffset>254000</wp:posOffset>
            </wp:positionV>
            <wp:extent cx="2790701" cy="2277390"/>
            <wp:effectExtent l="0" t="0" r="0" b="8890"/>
            <wp:wrapNone/>
            <wp:docPr id="134321903" name="Picture 1669204319">
              <a:extLst xmlns:a="http://schemas.openxmlformats.org/drawingml/2006/main">
                <a:ext uri="{FF2B5EF4-FFF2-40B4-BE49-F238E27FC236}">
                  <a16:creationId xmlns:a16="http://schemas.microsoft.com/office/drawing/2014/main" id="{DF094AA7-CB01-6DAD-3E9B-E7D8D543D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903" name="Picture 1669204319">
                      <a:extLst>
                        <a:ext uri="{FF2B5EF4-FFF2-40B4-BE49-F238E27FC236}">
                          <a16:creationId xmlns:a16="http://schemas.microsoft.com/office/drawing/2014/main" id="{DF094AA7-CB01-6DAD-3E9B-E7D8D543D65B}"/>
                        </a:ext>
                      </a:extLst>
                    </pic:cNvPr>
                    <pic:cNvPicPr>
                      <a:picLocks noChangeAspect="1"/>
                    </pic:cNvPicPr>
                  </pic:nvPicPr>
                  <pic:blipFill>
                    <a:blip r:embed="rId7">
                      <a:extLst>
                        <a:ext uri="{28A0092B-C50C-407E-A947-70E740481C1C}">
                          <a14:useLocalDpi xmlns:a14="http://schemas.microsoft.com/office/drawing/2010/main" val="0"/>
                        </a:ext>
                      </a:extLst>
                    </a:blip>
                    <a:srcRect l="1853" t="5505" r="51539" b="67407"/>
                    <a:stretch>
                      <a:fillRect/>
                    </a:stretch>
                  </pic:blipFill>
                  <pic:spPr>
                    <a:xfrm>
                      <a:off x="0" y="0"/>
                      <a:ext cx="2790701" cy="2277390"/>
                    </a:xfrm>
                    <a:prstGeom prst="rect">
                      <a:avLst/>
                    </a:prstGeom>
                  </pic:spPr>
                </pic:pic>
              </a:graphicData>
            </a:graphic>
            <wp14:sizeRelH relativeFrom="margin">
              <wp14:pctWidth>0</wp14:pctWidth>
            </wp14:sizeRelH>
            <wp14:sizeRelV relativeFrom="margin">
              <wp14:pctHeight>0</wp14:pctHeight>
            </wp14:sizeRelV>
          </wp:anchor>
        </w:drawing>
      </w:r>
    </w:p>
    <w:p w14:paraId="68E3CBD9" w14:textId="77777777" w:rsidR="008569D8" w:rsidRDefault="008569D8" w:rsidP="0096767D">
      <w:pPr>
        <w:ind w:firstLine="720"/>
        <w:jc w:val="both"/>
        <w:rPr>
          <w:rFonts w:ascii="Times New Roman" w:hAnsi="Times New Roman" w:cs="Times New Roman"/>
          <w:sz w:val="24"/>
          <w:szCs w:val="24"/>
        </w:rPr>
      </w:pPr>
    </w:p>
    <w:p w14:paraId="3679BCB0" w14:textId="0AEDE1BA" w:rsidR="008569D8" w:rsidRDefault="008569D8" w:rsidP="0096767D">
      <w:pPr>
        <w:ind w:firstLine="720"/>
        <w:jc w:val="both"/>
        <w:rPr>
          <w:rFonts w:ascii="Times New Roman" w:hAnsi="Times New Roman" w:cs="Times New Roman"/>
          <w:sz w:val="24"/>
          <w:szCs w:val="24"/>
        </w:rPr>
      </w:pPr>
    </w:p>
    <w:p w14:paraId="32808924" w14:textId="77777777" w:rsidR="008569D8" w:rsidRDefault="008569D8" w:rsidP="0096767D">
      <w:pPr>
        <w:ind w:firstLine="720"/>
        <w:jc w:val="both"/>
        <w:rPr>
          <w:rFonts w:ascii="Times New Roman" w:hAnsi="Times New Roman" w:cs="Times New Roman"/>
          <w:sz w:val="24"/>
          <w:szCs w:val="24"/>
        </w:rPr>
      </w:pPr>
    </w:p>
    <w:p w14:paraId="67A53098" w14:textId="56E6A85A" w:rsidR="008569D8" w:rsidRPr="003A373F" w:rsidRDefault="008569D8" w:rsidP="0096767D">
      <w:pPr>
        <w:ind w:firstLine="720"/>
        <w:jc w:val="both"/>
        <w:rPr>
          <w:rFonts w:ascii="Times New Roman" w:hAnsi="Times New Roman" w:cs="Times New Roman"/>
          <w:sz w:val="24"/>
          <w:szCs w:val="24"/>
        </w:rPr>
      </w:pPr>
    </w:p>
    <w:p w14:paraId="58FB840E" w14:textId="26717D5F" w:rsidR="00204307" w:rsidRPr="003A373F" w:rsidRDefault="00204307" w:rsidP="003A373F">
      <w:pPr>
        <w:jc w:val="both"/>
        <w:rPr>
          <w:rFonts w:ascii="Times New Roman" w:hAnsi="Times New Roman" w:cs="Times New Roman"/>
          <w:sz w:val="24"/>
          <w:szCs w:val="24"/>
        </w:rPr>
      </w:pPr>
    </w:p>
    <w:p w14:paraId="603E483A" w14:textId="1AE9810A" w:rsidR="00DE1333" w:rsidRPr="003A373F" w:rsidRDefault="00DE1333" w:rsidP="003A373F">
      <w:pPr>
        <w:jc w:val="both"/>
        <w:rPr>
          <w:rFonts w:ascii="Times New Roman" w:hAnsi="Times New Roman" w:cs="Times New Roman"/>
          <w:sz w:val="24"/>
          <w:szCs w:val="24"/>
        </w:rPr>
      </w:pPr>
    </w:p>
    <w:p w14:paraId="0C3C835D" w14:textId="77777777" w:rsidR="00DE1333" w:rsidRPr="003A373F" w:rsidRDefault="00DE1333" w:rsidP="003A373F">
      <w:pPr>
        <w:jc w:val="both"/>
        <w:rPr>
          <w:rFonts w:ascii="Times New Roman" w:hAnsi="Times New Roman" w:cs="Times New Roman"/>
          <w:sz w:val="24"/>
          <w:szCs w:val="24"/>
        </w:rPr>
      </w:pPr>
    </w:p>
    <w:p w14:paraId="1E53A621" w14:textId="77777777" w:rsidR="00EF1237" w:rsidRDefault="00EF1237" w:rsidP="00DB5906">
      <w:pPr>
        <w:rPr>
          <w:rFonts w:ascii="Times New Roman" w:hAnsi="Times New Roman" w:cs="Times New Roman"/>
          <w:b/>
          <w:bCs/>
          <w:sz w:val="24"/>
          <w:szCs w:val="24"/>
        </w:rPr>
      </w:pPr>
    </w:p>
    <w:p w14:paraId="63C3AE8E" w14:textId="565F3A7D" w:rsidR="009973CD" w:rsidRDefault="009973CD" w:rsidP="009973CD">
      <w:pPr>
        <w:jc w:val="center"/>
        <w:rPr>
          <w:rFonts w:ascii="Times New Roman" w:hAnsi="Times New Roman" w:cs="Times New Roman"/>
          <w:b/>
          <w:bCs/>
          <w:sz w:val="24"/>
          <w:szCs w:val="24"/>
        </w:rPr>
      </w:pPr>
      <w:r>
        <w:rPr>
          <w:rFonts w:ascii="Times New Roman" w:hAnsi="Times New Roman" w:cs="Times New Roman"/>
          <w:b/>
          <w:bCs/>
          <w:sz w:val="24"/>
          <w:szCs w:val="24"/>
        </w:rPr>
        <w:t>Fig. 1. Different adaptations in Insects</w:t>
      </w:r>
    </w:p>
    <w:p w14:paraId="71A2D861" w14:textId="653956CC"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 BEHAVIOURAL ADAPTATIONS: FIRST-LINE DEFENCE MECHANISMS</w:t>
      </w:r>
    </w:p>
    <w:p w14:paraId="0F54008B" w14:textId="2F8CB5D0"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2.1 Behaviour as an Adaptive Filter</w:t>
      </w:r>
    </w:p>
    <w:p w14:paraId="768F987A" w14:textId="77777777" w:rsidR="00DB5906" w:rsidRPr="00645BF5" w:rsidRDefault="00DB5906" w:rsidP="00DB5906">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Behaviour represents the most flexible, rapidly deployable, and evolutionarily labile form of adaptation in insects. Unlike morphological or physiological traits, which often require developmental commitment or genetic change, behavioural responses can be modified within an individual's lifetime and frequently constitute the earliest response to environmental stress (Kennedy, 1985; Sih </w:t>
      </w:r>
      <w:r>
        <w:rPr>
          <w:rFonts w:ascii="Times New Roman" w:hAnsi="Times New Roman" w:cs="Times New Roman"/>
          <w:sz w:val="24"/>
          <w:szCs w:val="24"/>
        </w:rPr>
        <w:t>et al</w:t>
      </w:r>
      <w:r w:rsidRPr="00645BF5">
        <w:rPr>
          <w:rFonts w:ascii="Times New Roman" w:hAnsi="Times New Roman" w:cs="Times New Roman"/>
          <w:sz w:val="24"/>
          <w:szCs w:val="24"/>
        </w:rPr>
        <w:t>., 2011). This immediacy allows behaviour to function as a critical buffering mechanism, reducing exposure to potentially lethal conditions before internal tolerance limits are exceeded. As a result, behavioural adaptations often precede, and in some cases reduce the necessity for, subsequent morphological or physiological evolution.</w:t>
      </w:r>
    </w:p>
    <w:p w14:paraId="7DD979A1" w14:textId="77777777" w:rsidR="00DB5906" w:rsidRPr="00645BF5" w:rsidRDefault="00DB5906" w:rsidP="00DB5906">
      <w:pPr>
        <w:spacing w:after="0" w:line="240" w:lineRule="auto"/>
        <w:jc w:val="both"/>
        <w:rPr>
          <w:rFonts w:ascii="Times New Roman" w:hAnsi="Times New Roman" w:cs="Times New Roman"/>
          <w:sz w:val="24"/>
          <w:szCs w:val="24"/>
        </w:rPr>
      </w:pPr>
    </w:p>
    <w:p w14:paraId="1B1C0941" w14:textId="77777777" w:rsidR="00DB5906" w:rsidRPr="00645BF5" w:rsidRDefault="00DB5906" w:rsidP="00DB5906">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Behavioural thermoregulation provides a clear illustration of this buffering role. Through microhabitat selection, posture adjustment, activity timing, and movement between sun and shade, insects can maintain body temperatures within optimal ranges despite extreme ambient conditions (Huey </w:t>
      </w:r>
      <w:r>
        <w:rPr>
          <w:rFonts w:ascii="Times New Roman" w:hAnsi="Times New Roman" w:cs="Times New Roman"/>
          <w:sz w:val="24"/>
          <w:szCs w:val="24"/>
        </w:rPr>
        <w:t>et al</w:t>
      </w:r>
      <w:r w:rsidRPr="00645BF5">
        <w:rPr>
          <w:rFonts w:ascii="Times New Roman" w:hAnsi="Times New Roman" w:cs="Times New Roman"/>
          <w:sz w:val="24"/>
          <w:szCs w:val="24"/>
        </w:rPr>
        <w:t xml:space="preserve">., 2002). Such behaviours substantially modify the thermal environment experienced by the organism, decoupling body temperature from macroclimatic conditions and thereby expanding the range of habitats that can be occupied. Recent high-resolution thermal imaging studies have revealed that behavioural thermoregulation can buffer body temperature by as much as 10-15°C above ambient, effectively creating </w:t>
      </w:r>
      <w:r w:rsidRPr="00645BF5">
        <w:rPr>
          <w:rFonts w:ascii="Times New Roman" w:hAnsi="Times New Roman" w:cs="Times New Roman"/>
          <w:sz w:val="24"/>
          <w:szCs w:val="24"/>
        </w:rPr>
        <w:lastRenderedPageBreak/>
        <w:t>microclimatic refugia that expand species' realized niches (</w:t>
      </w:r>
      <w:proofErr w:type="spellStart"/>
      <w:r w:rsidRPr="00645BF5">
        <w:rPr>
          <w:rFonts w:ascii="Times New Roman" w:hAnsi="Times New Roman" w:cs="Times New Roman"/>
          <w:sz w:val="24"/>
          <w:szCs w:val="24"/>
        </w:rPr>
        <w:t>Pincebourde</w:t>
      </w:r>
      <w:proofErr w:type="spellEnd"/>
      <w:r w:rsidRPr="00645BF5">
        <w:rPr>
          <w:rFonts w:ascii="Times New Roman" w:hAnsi="Times New Roman" w:cs="Times New Roman"/>
          <w:sz w:val="24"/>
          <w:szCs w:val="24"/>
        </w:rPr>
        <w:t xml:space="preserve"> and Woods, 2023). Similarly, habitat selection behaviours allow insects to exploit spatial heterogeneity in humidity, oxygen availability, and resource distribution, mitigating the impacts of desiccation, hypoxia, or nutritional stress (Angilletta </w:t>
      </w:r>
      <w:r>
        <w:rPr>
          <w:rFonts w:ascii="Times New Roman" w:hAnsi="Times New Roman" w:cs="Times New Roman"/>
          <w:sz w:val="24"/>
          <w:szCs w:val="24"/>
        </w:rPr>
        <w:t>et al</w:t>
      </w:r>
      <w:r w:rsidRPr="00645BF5">
        <w:rPr>
          <w:rFonts w:ascii="Times New Roman" w:hAnsi="Times New Roman" w:cs="Times New Roman"/>
          <w:sz w:val="24"/>
          <w:szCs w:val="24"/>
        </w:rPr>
        <w:t>., 2010).</w:t>
      </w:r>
    </w:p>
    <w:p w14:paraId="1D9BCE85" w14:textId="77777777" w:rsidR="00DB5906" w:rsidRPr="00645BF5" w:rsidRDefault="00DB5906" w:rsidP="00DB5906">
      <w:pPr>
        <w:spacing w:after="0" w:line="240" w:lineRule="auto"/>
        <w:jc w:val="both"/>
        <w:rPr>
          <w:rFonts w:ascii="Times New Roman" w:hAnsi="Times New Roman" w:cs="Times New Roman"/>
          <w:sz w:val="24"/>
          <w:szCs w:val="24"/>
        </w:rPr>
      </w:pPr>
    </w:p>
    <w:p w14:paraId="7D4E77DD" w14:textId="77777777" w:rsidR="00DB5906" w:rsidRPr="00645BF5" w:rsidRDefault="00DB5906" w:rsidP="00DB5906">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Risk avoidance behaviour further illustrates how behavioural flexibility shapes survival and fitness. Insects adjust activity periods, foraging intensity, and refuge use in response to predation risk, often trading off energy acquisition against mortality risk. These behavioural decisions influence exposure to both biotic and abiotic stressors and can profoundly affect life-history outcomes. By reducing the frequency and intensity of exposure to stress, such behaviours effectively lower the strength of selection acting on physiological tolerance mechanisms, allowing populations to persist in environments that would otherwise exceed their intrinsic limits (Huey </w:t>
      </w:r>
      <w:r>
        <w:rPr>
          <w:rFonts w:ascii="Times New Roman" w:hAnsi="Times New Roman" w:cs="Times New Roman"/>
          <w:sz w:val="24"/>
          <w:szCs w:val="24"/>
        </w:rPr>
        <w:t>et al</w:t>
      </w:r>
      <w:r w:rsidRPr="00645BF5">
        <w:rPr>
          <w:rFonts w:ascii="Times New Roman" w:hAnsi="Times New Roman" w:cs="Times New Roman"/>
          <w:sz w:val="24"/>
          <w:szCs w:val="24"/>
        </w:rPr>
        <w:t xml:space="preserve">., 2002; Angilletta </w:t>
      </w:r>
      <w:r>
        <w:rPr>
          <w:rFonts w:ascii="Times New Roman" w:hAnsi="Times New Roman" w:cs="Times New Roman"/>
          <w:sz w:val="24"/>
          <w:szCs w:val="24"/>
        </w:rPr>
        <w:t>et al</w:t>
      </w:r>
      <w:r w:rsidRPr="00645BF5">
        <w:rPr>
          <w:rFonts w:ascii="Times New Roman" w:hAnsi="Times New Roman" w:cs="Times New Roman"/>
          <w:sz w:val="24"/>
          <w:szCs w:val="24"/>
        </w:rPr>
        <w:t>., 2010). Contemporary research has demonstrated that predator-induced behavioural plasticity can be transmitted across generations through epigenetic mechanisms, providing a rapid route for adaptive responses to novel predation regimes (Cunningham and Symonds, 2024).</w:t>
      </w:r>
    </w:p>
    <w:p w14:paraId="4659584A" w14:textId="77777777" w:rsidR="00DB5906" w:rsidRPr="00645BF5" w:rsidRDefault="00DB5906" w:rsidP="00DB5906">
      <w:pPr>
        <w:spacing w:after="0" w:line="240" w:lineRule="auto"/>
        <w:jc w:val="both"/>
        <w:rPr>
          <w:rFonts w:ascii="Times New Roman" w:hAnsi="Times New Roman" w:cs="Times New Roman"/>
          <w:sz w:val="24"/>
          <w:szCs w:val="24"/>
        </w:rPr>
      </w:pPr>
    </w:p>
    <w:p w14:paraId="6C9CE439" w14:textId="77777777" w:rsidR="00DB5906" w:rsidRPr="00645BF5" w:rsidRDefault="00DB5906" w:rsidP="00DB5906">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Despite this flexibility, many insect behaviours are not arbitrary but are genetically canalized, forming species-specific ethograms shaped by evolutionary history and ecological specialization (Kennedy, 1985). These innate behavioural repertoires ensure reliable expression of adaptive responses under predictable environmental conditions, such as seasonal changes in temperature or photoperiod. Canalization enhances developmental stability and reduces the costs associated with learning or trial-and-error behaviour, which may be particularly advantageous in short-lived organisms with limited opportunities for behavioural refinement. Recent neurogenetic studies have identified conserved neural circuits underlying innate behavioural programs, revealing deep homology in the molecular architecture of behaviour across insect orders (Mitchell and </w:t>
      </w:r>
      <w:proofErr w:type="spellStart"/>
      <w:r w:rsidRPr="00645BF5">
        <w:rPr>
          <w:rFonts w:ascii="Times New Roman" w:hAnsi="Times New Roman" w:cs="Times New Roman"/>
          <w:sz w:val="24"/>
          <w:szCs w:val="24"/>
        </w:rPr>
        <w:t>Chivers</w:t>
      </w:r>
      <w:proofErr w:type="spellEnd"/>
      <w:r w:rsidRPr="00645BF5">
        <w:rPr>
          <w:rFonts w:ascii="Times New Roman" w:hAnsi="Times New Roman" w:cs="Times New Roman"/>
          <w:sz w:val="24"/>
          <w:szCs w:val="24"/>
        </w:rPr>
        <w:t>, 2023).</w:t>
      </w:r>
    </w:p>
    <w:p w14:paraId="59EC5AA3" w14:textId="77777777" w:rsidR="00DB5906" w:rsidRPr="00645BF5" w:rsidRDefault="00DB5906" w:rsidP="00DB5906">
      <w:pPr>
        <w:spacing w:after="0" w:line="240" w:lineRule="auto"/>
        <w:jc w:val="both"/>
        <w:rPr>
          <w:rFonts w:ascii="Times New Roman" w:hAnsi="Times New Roman" w:cs="Times New Roman"/>
          <w:sz w:val="24"/>
          <w:szCs w:val="24"/>
        </w:rPr>
      </w:pPr>
    </w:p>
    <w:p w14:paraId="5B5E09D6" w14:textId="56E11EA9" w:rsidR="00DB5906" w:rsidRPr="00645BF5" w:rsidRDefault="00DB5906" w:rsidP="00DB5906">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At the same time, behavioural plasticity introduces a dynamic component to insect adaptation. Individuals can fine-tune innate behavioural programs in response to local environmental variation, enabling rapid adjustment to fluctuating or novel conditions. This plasticity is especially important in environments characterized by high temporal unpredictability, such as intermittent droughts, heat waves, or irregular resource availability. By allowing a single genotype to produce multiple behavioural phenotypes, plasticity enhances short-term survival and can influence the direction and rate of subsequent evolutionary change. Behavioural plasticity also plays a critical role in mediating exposure to selection itself. By altering the environmental context in which physiological and morphological traits operate, behaviour can either shield traits from selection or expose them to new selective pressures. In this way, behaviour functions not only as an adaptive response but also as an active participant in evolutionary dynamics, shaping both ecological interactions and evolutionary trajectories (Sih </w:t>
      </w:r>
      <w:r>
        <w:rPr>
          <w:rFonts w:ascii="Times New Roman" w:hAnsi="Times New Roman" w:cs="Times New Roman"/>
          <w:sz w:val="24"/>
          <w:szCs w:val="24"/>
        </w:rPr>
        <w:t>et al</w:t>
      </w:r>
      <w:r w:rsidRPr="00645BF5">
        <w:rPr>
          <w:rFonts w:ascii="Times New Roman" w:hAnsi="Times New Roman" w:cs="Times New Roman"/>
          <w:sz w:val="24"/>
          <w:szCs w:val="24"/>
        </w:rPr>
        <w:t>., 2011; Sunday</w:t>
      </w:r>
      <w:r w:rsidR="00DD3CA2">
        <w:rPr>
          <w:rFonts w:ascii="Times New Roman" w:hAnsi="Times New Roman" w:cs="Times New Roman"/>
          <w:sz w:val="24"/>
          <w:szCs w:val="24"/>
        </w:rPr>
        <w:t xml:space="preserve"> and Bates</w:t>
      </w:r>
      <w:r w:rsidRPr="00645BF5">
        <w:rPr>
          <w:rFonts w:ascii="Times New Roman" w:hAnsi="Times New Roman" w:cs="Times New Roman"/>
          <w:sz w:val="24"/>
          <w:szCs w:val="24"/>
        </w:rPr>
        <w:t>, 202</w:t>
      </w:r>
      <w:r w:rsidR="00DD3CA2">
        <w:rPr>
          <w:rFonts w:ascii="Times New Roman" w:hAnsi="Times New Roman" w:cs="Times New Roman"/>
          <w:sz w:val="24"/>
          <w:szCs w:val="24"/>
        </w:rPr>
        <w:t>2</w:t>
      </w:r>
      <w:r w:rsidRPr="00645BF5">
        <w:rPr>
          <w:rFonts w:ascii="Times New Roman" w:hAnsi="Times New Roman" w:cs="Times New Roman"/>
          <w:sz w:val="24"/>
          <w:szCs w:val="24"/>
        </w:rPr>
        <w:t>).</w:t>
      </w:r>
    </w:p>
    <w:p w14:paraId="41AC42CA" w14:textId="77777777" w:rsidR="00DB5906" w:rsidRPr="00645BF5" w:rsidRDefault="00DB5906" w:rsidP="00DB5906">
      <w:pPr>
        <w:spacing w:after="0" w:line="240" w:lineRule="auto"/>
        <w:jc w:val="both"/>
        <w:rPr>
          <w:rFonts w:ascii="Times New Roman" w:hAnsi="Times New Roman" w:cs="Times New Roman"/>
          <w:sz w:val="24"/>
          <w:szCs w:val="24"/>
        </w:rPr>
      </w:pPr>
    </w:p>
    <w:p w14:paraId="22E02ABB" w14:textId="77777777" w:rsidR="002E0EF6" w:rsidRPr="002E0EF6" w:rsidRDefault="002E0EF6" w:rsidP="00DB5906">
      <w:pPr>
        <w:jc w:val="both"/>
        <w:rPr>
          <w:rFonts w:ascii="Times New Roman" w:hAnsi="Times New Roman" w:cs="Times New Roman"/>
          <w:b/>
          <w:bCs/>
          <w:sz w:val="24"/>
          <w:szCs w:val="24"/>
        </w:rPr>
      </w:pPr>
      <w:r w:rsidRPr="002E0EF6">
        <w:rPr>
          <w:rFonts w:ascii="Times New Roman" w:hAnsi="Times New Roman" w:cs="Times New Roman"/>
          <w:b/>
          <w:bCs/>
          <w:sz w:val="24"/>
          <w:szCs w:val="24"/>
        </w:rPr>
        <w:t>2.2 Migration and Long-Distance Movement</w:t>
      </w:r>
    </w:p>
    <w:p w14:paraId="05D3D4CE" w14:textId="3C54FA38" w:rsidR="00DB5906" w:rsidRDefault="00DB5906" w:rsidP="00DB5906">
      <w:pPr>
        <w:pStyle w:val="NormalWeb"/>
        <w:ind w:firstLine="720"/>
        <w:jc w:val="both"/>
      </w:pPr>
      <w:r>
        <w:t xml:space="preserve">Migration represents one of the most energetically demanding yet ecologically powerful behavioural strategies employed by insects, enabling populations to escape habitats undergoing temporal deterioration and to exploit seasonally transient or spatially patchy resources (Dingle, 2014). Unlike short-range dispersal, migration is characterized by persistent, directional movement maintained independently of immediate resource encounters, often accompanied by temporary suppression of feeding or reproduction. </w:t>
      </w:r>
      <w:r>
        <w:lastRenderedPageBreak/>
        <w:t>Through migration, insects decouple population persistence from local environmental instability, thereby buffering demographic processes against seasonal or stochastic habitat degradation.</w:t>
      </w:r>
      <w:r w:rsidR="00C068E0">
        <w:t xml:space="preserve"> </w:t>
      </w:r>
      <w:r>
        <w:t>Recent advances in radar entomology have revealed that massive migratory movements occur regularly across continents, involving trillions of insects annually and transporting substantial biomass (Chapman and Reynolds, 2024). These movements represent one of the largest animal migrations on Earth, with significant implications for nutrient redistribution, pollination services, and trophic interactions across ecosystems.</w:t>
      </w:r>
    </w:p>
    <w:p w14:paraId="232BD72A" w14:textId="610455E0" w:rsidR="00DB5906" w:rsidRDefault="00DB5906" w:rsidP="00DB5906">
      <w:pPr>
        <w:pStyle w:val="NormalWeb"/>
        <w:ind w:firstLine="720"/>
        <w:jc w:val="both"/>
      </w:pPr>
      <w:r>
        <w:t>In Lepidoptera, migratory behaviour is closely linked to host-plant and nectar phenology. Seasonal migration allows populations to track resource availability across broad geographic scales, ensuring synchrony between larval development and host-plant quality (Reppert et al., 2010; Flockhart et al., 2017). The monarch butterfly (</w:t>
      </w:r>
      <w:proofErr w:type="spellStart"/>
      <w:r>
        <w:rPr>
          <w:rStyle w:val="Emphasis"/>
          <w:rFonts w:eastAsiaTheme="majorEastAsia"/>
        </w:rPr>
        <w:t>Danaus</w:t>
      </w:r>
      <w:proofErr w:type="spellEnd"/>
      <w:r>
        <w:rPr>
          <w:rStyle w:val="Emphasis"/>
          <w:rFonts w:eastAsiaTheme="majorEastAsia"/>
        </w:rPr>
        <w:t xml:space="preserve"> </w:t>
      </w:r>
      <w:proofErr w:type="spellStart"/>
      <w:r>
        <w:rPr>
          <w:rStyle w:val="Emphasis"/>
          <w:rFonts w:eastAsiaTheme="majorEastAsia"/>
        </w:rPr>
        <w:t>plexippus</w:t>
      </w:r>
      <w:proofErr w:type="spellEnd"/>
      <w:r>
        <w:t xml:space="preserve">) provides a well-known example, completing a multi-generational migratory circuit across North America. Navigation relies on a time-compensated sun compass regulated by circadian clock genes, enabling accurate orientation during long-distance flight (Reppert et al., 2010). Dragonflies also exhibit remarkable long-distance migration. Species such as </w:t>
      </w:r>
      <w:proofErr w:type="spellStart"/>
      <w:r>
        <w:rPr>
          <w:rStyle w:val="Emphasis"/>
          <w:rFonts w:eastAsiaTheme="majorEastAsia"/>
        </w:rPr>
        <w:t>Pantala</w:t>
      </w:r>
      <w:proofErr w:type="spellEnd"/>
      <w:r>
        <w:rPr>
          <w:rStyle w:val="Emphasis"/>
          <w:rFonts w:eastAsiaTheme="majorEastAsia"/>
        </w:rPr>
        <w:t xml:space="preserve"> </w:t>
      </w:r>
      <w:proofErr w:type="spellStart"/>
      <w:r>
        <w:rPr>
          <w:rStyle w:val="Emphasis"/>
          <w:rFonts w:eastAsiaTheme="majorEastAsia"/>
        </w:rPr>
        <w:t>flavescens</w:t>
      </w:r>
      <w:proofErr w:type="spellEnd"/>
      <w:r>
        <w:t xml:space="preserve"> undertake extensive and sometimes transoceanic movements by exploiting large-scale atmospheric circulation systems (Anderson, 2009; Hobson et al., 2012). These migrations contribute to ecological connectivity and gene flow between distant regions. Locust migration illustrates the integration of behaviour with morphological and physiological change. In </w:t>
      </w:r>
      <w:r>
        <w:rPr>
          <w:rStyle w:val="Emphasis"/>
          <w:rFonts w:eastAsiaTheme="majorEastAsia"/>
        </w:rPr>
        <w:t xml:space="preserve">Schistocerca </w:t>
      </w:r>
      <w:proofErr w:type="spellStart"/>
      <w:r>
        <w:rPr>
          <w:rStyle w:val="Emphasis"/>
          <w:rFonts w:eastAsiaTheme="majorEastAsia"/>
        </w:rPr>
        <w:t>gregaria</w:t>
      </w:r>
      <w:proofErr w:type="spellEnd"/>
      <w:r>
        <w:t xml:space="preserve">, density-dependent phase </w:t>
      </w:r>
      <w:proofErr w:type="spellStart"/>
      <w:r>
        <w:t>polyphenism</w:t>
      </w:r>
      <w:proofErr w:type="spellEnd"/>
      <w:r>
        <w:t xml:space="preserve"> transforms solitary individuals into gregarious swarm members capable of coordinated mass movement (</w:t>
      </w:r>
      <w:proofErr w:type="spellStart"/>
      <w:r>
        <w:t>Pener</w:t>
      </w:r>
      <w:proofErr w:type="spellEnd"/>
      <w:r>
        <w:t xml:space="preserve"> and Simpson, 2009; Cullen et al., 2017; Wang and Kang, 2020). This transition enhances flight capacity and collective dispersal, demonstrating how behavioural strategies can be tightly coupled with physiological adaptation.</w:t>
      </w:r>
    </w:p>
    <w:p w14:paraId="3C1B0405"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2.3 Dormancy, Diapause, and Temporal Avoidance</w:t>
      </w:r>
    </w:p>
    <w:p w14:paraId="5CCE1342" w14:textId="77777777" w:rsidR="005D70AB" w:rsidRDefault="00451606" w:rsidP="00C068E0">
      <w:pPr>
        <w:spacing w:after="0" w:line="240" w:lineRule="auto"/>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When spatial escape through migration or dispersal is constrained, insects frequently rely on temporal avoidance strategies to persist through periods of environmental adversity. Dormancy represents a fundamental component of this strategy, allowing individuals to suspend growth, development, or reproduction during unfavourable conditions such as cold winters, dry seasons, or periods of resource scarcity (Tauber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96767D">
        <w:rPr>
          <w:rFonts w:ascii="Times New Roman" w:hAnsi="Times New Roman" w:cs="Times New Roman"/>
          <w:sz w:val="24"/>
          <w:szCs w:val="24"/>
        </w:rPr>
        <w:t>,</w:t>
      </w:r>
      <w:r w:rsidRPr="00451606">
        <w:rPr>
          <w:rFonts w:ascii="Times New Roman" w:hAnsi="Times New Roman" w:cs="Times New Roman"/>
          <w:sz w:val="24"/>
          <w:szCs w:val="24"/>
        </w:rPr>
        <w:t xml:space="preserve"> 1986). By decoupling life-cycle progression from immediate environmental conditions, dormancy enables insects to bridge predictable intervals of stress and reinitiate activity when conditions become favourable.</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Among the various forms of dormancy, diapause is distinguished by its anticipatory and hormonally regulated nature. Unlike quiescence, which is a direct response to adverse conditions, diapause is initiated in advance of environmental deterioration in response to reliable predictive cues, most notably photoperiod and temperature (Denlinger</w:t>
      </w:r>
      <w:r w:rsidR="0096767D">
        <w:rPr>
          <w:rFonts w:ascii="Times New Roman" w:hAnsi="Times New Roman" w:cs="Times New Roman"/>
          <w:sz w:val="24"/>
          <w:szCs w:val="24"/>
        </w:rPr>
        <w:t xml:space="preserve">, </w:t>
      </w:r>
      <w:r w:rsidRPr="00451606">
        <w:rPr>
          <w:rFonts w:ascii="Times New Roman" w:hAnsi="Times New Roman" w:cs="Times New Roman"/>
          <w:sz w:val="24"/>
          <w:szCs w:val="24"/>
        </w:rPr>
        <w:t>2002). These environmental signals are integrated by the neuroendocrine system, resulting in altered hormonal profiles that arrest development or reproduction at specific life stages. This anticipatory regulation allows insects to enter diapause under relatively benign conditions, thereby avoiding exposure to the most severe phases of environmental stress.</w:t>
      </w:r>
      <w:r w:rsidRPr="003A373F">
        <w:rPr>
          <w:rFonts w:ascii="Times New Roman" w:hAnsi="Times New Roman" w:cs="Times New Roman"/>
          <w:sz w:val="24"/>
          <w:szCs w:val="24"/>
        </w:rPr>
        <w:t xml:space="preserve"> </w:t>
      </w:r>
    </w:p>
    <w:p w14:paraId="20BBB9A8" w14:textId="68C5B1C7" w:rsidR="005D70AB" w:rsidRPr="00645BF5" w:rsidRDefault="005D70AB" w:rsidP="005D70A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Recent advances in functional genomics have dramatically expanded our understanding of diapause regulation. Transcriptomic and epigenomic analyses have revealed that diapause involves the coordinated regulation of hundreds of genes, with specific modules controlling metabolic suppression, stress tolerance, and developmental arrest (Denlinger and Hahn, 2024). Key regulatory pathways include insulin/IGF signalling, FOXO transcription factors, and small non-coding RNAs, which integrate environmental information to orchestrate the diapause programme. Comparative studies across diverse insect orders have </w:t>
      </w:r>
      <w:r w:rsidRPr="00645BF5">
        <w:rPr>
          <w:rFonts w:ascii="Times New Roman" w:hAnsi="Times New Roman" w:cs="Times New Roman"/>
          <w:sz w:val="24"/>
          <w:szCs w:val="24"/>
        </w:rPr>
        <w:lastRenderedPageBreak/>
        <w:t>identified conserved core regulatory networks, suggesting an ancient evolutionary origin for diapause mechanisms (Ragland and Armbruster, 2023).</w:t>
      </w:r>
    </w:p>
    <w:p w14:paraId="2F3AFCB3" w14:textId="77777777" w:rsidR="005D70AB" w:rsidRDefault="00451606" w:rsidP="005D70AB">
      <w:pPr>
        <w:spacing w:after="0" w:line="240" w:lineRule="auto"/>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Entry into diapause is accompanied by extensive physiological and metabolic reorganization. Diapausing insects typically exhibit profound metabolic suppression, reducing energy expenditure and prolonging survival during extended periods of inactivity (Hahn </w:t>
      </w:r>
      <w:r w:rsidR="00715F84">
        <w:rPr>
          <w:rFonts w:ascii="Times New Roman" w:hAnsi="Times New Roman" w:cs="Times New Roman"/>
          <w:sz w:val="24"/>
          <w:szCs w:val="24"/>
        </w:rPr>
        <w:t>and</w:t>
      </w:r>
      <w:r w:rsidRPr="00451606">
        <w:rPr>
          <w:rFonts w:ascii="Times New Roman" w:hAnsi="Times New Roman" w:cs="Times New Roman"/>
          <w:sz w:val="24"/>
          <w:szCs w:val="24"/>
        </w:rPr>
        <w:t xml:space="preserve"> Denlinger</w:t>
      </w:r>
      <w:r w:rsidR="00715F84">
        <w:rPr>
          <w:rFonts w:ascii="Times New Roman" w:hAnsi="Times New Roman" w:cs="Times New Roman"/>
          <w:sz w:val="24"/>
          <w:szCs w:val="24"/>
        </w:rPr>
        <w:t>,</w:t>
      </w:r>
      <w:r w:rsidRPr="00451606">
        <w:rPr>
          <w:rFonts w:ascii="Times New Roman" w:hAnsi="Times New Roman" w:cs="Times New Roman"/>
          <w:sz w:val="24"/>
          <w:szCs w:val="24"/>
        </w:rPr>
        <w:t xml:space="preserve"> 2011). Concurrently, energy reserve</w:t>
      </w:r>
      <w:r w:rsidR="003A373F">
        <w:rPr>
          <w:rFonts w:ascii="Times New Roman" w:hAnsi="Times New Roman" w:cs="Times New Roman"/>
          <w:sz w:val="24"/>
          <w:szCs w:val="24"/>
        </w:rPr>
        <w:t xml:space="preserve">s </w:t>
      </w:r>
      <w:r w:rsidRPr="00451606">
        <w:rPr>
          <w:rFonts w:ascii="Times New Roman" w:hAnsi="Times New Roman" w:cs="Times New Roman"/>
          <w:sz w:val="24"/>
          <w:szCs w:val="24"/>
        </w:rPr>
        <w:t>particularly lipids</w:t>
      </w:r>
      <w:r w:rsidR="003A373F">
        <w:rPr>
          <w:rFonts w:ascii="Times New Roman" w:hAnsi="Times New Roman" w:cs="Times New Roman"/>
          <w:sz w:val="24"/>
          <w:szCs w:val="24"/>
        </w:rPr>
        <w:t xml:space="preserve"> </w:t>
      </w:r>
      <w:r w:rsidRPr="00451606">
        <w:rPr>
          <w:rFonts w:ascii="Times New Roman" w:hAnsi="Times New Roman" w:cs="Times New Roman"/>
          <w:sz w:val="24"/>
          <w:szCs w:val="24"/>
        </w:rPr>
        <w:t>are accumulated prior to diapause onset and mobilized in a tightly regulated manner during diapause maintenance. These reserves provide the energetic foundation for survival, post-diapause development, and, in some cases, immediate reproductive activity</w:t>
      </w:r>
      <w:r w:rsidR="005D70AB">
        <w:rPr>
          <w:rFonts w:ascii="Times New Roman" w:hAnsi="Times New Roman" w:cs="Times New Roman"/>
          <w:sz w:val="24"/>
          <w:szCs w:val="24"/>
        </w:rPr>
        <w:t xml:space="preserve"> following diapause termination </w:t>
      </w:r>
      <w:r w:rsidR="005D70AB" w:rsidRPr="00645BF5">
        <w:rPr>
          <w:rFonts w:ascii="Times New Roman" w:hAnsi="Times New Roman" w:cs="Times New Roman"/>
          <w:sz w:val="24"/>
          <w:szCs w:val="24"/>
        </w:rPr>
        <w:t>(Sinclair and Marshall, 2022).</w:t>
      </w:r>
    </w:p>
    <w:p w14:paraId="6BC62D68" w14:textId="6E9FB56E" w:rsidR="005D70AB" w:rsidRPr="00645BF5" w:rsidRDefault="00451606" w:rsidP="005D70AB">
      <w:pPr>
        <w:spacing w:after="0" w:line="240" w:lineRule="auto"/>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In addition to metabolic adjustments, diapause is associated with enhanced tolerance to a range of abiotic stressors. Diapausing insects often display increased resistance to cold, desiccation, and oxidative stress, reflecting upregulation of protective molecules such as cryoprotectants, antioxidants, and stress-response proteins (Hahn </w:t>
      </w:r>
      <w:r w:rsidR="00B23514">
        <w:rPr>
          <w:rFonts w:ascii="Times New Roman" w:hAnsi="Times New Roman" w:cs="Times New Roman"/>
          <w:sz w:val="24"/>
          <w:szCs w:val="24"/>
        </w:rPr>
        <w:t>and</w:t>
      </w:r>
      <w:r w:rsidRPr="00451606">
        <w:rPr>
          <w:rFonts w:ascii="Times New Roman" w:hAnsi="Times New Roman" w:cs="Times New Roman"/>
          <w:sz w:val="24"/>
          <w:szCs w:val="24"/>
        </w:rPr>
        <w:t xml:space="preserve"> Denlinger 2011; Hand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2016). These physiological changes extend beyond passive tolerance and represent active protective mechanisms that stabilize cellular structures, preserve membrane integrity, and maintain macromolecular function during prolonged dormancy.</w:t>
      </w:r>
      <w:r w:rsidRPr="003A373F">
        <w:rPr>
          <w:rFonts w:ascii="Times New Roman" w:hAnsi="Times New Roman" w:cs="Times New Roman"/>
          <w:sz w:val="24"/>
          <w:szCs w:val="24"/>
        </w:rPr>
        <w:t xml:space="preserve"> </w:t>
      </w:r>
      <w:r w:rsidRPr="00451606">
        <w:rPr>
          <w:rFonts w:ascii="Times New Roman" w:hAnsi="Times New Roman" w:cs="Times New Roman"/>
          <w:sz w:val="24"/>
          <w:szCs w:val="24"/>
        </w:rPr>
        <w:t>Crucially, diapause is not a uniform or static condition but consists of distinct phases</w:t>
      </w:r>
      <w:r w:rsidR="00DD3CA2">
        <w:rPr>
          <w:rFonts w:ascii="Times New Roman" w:hAnsi="Times New Roman" w:cs="Times New Roman"/>
          <w:sz w:val="24"/>
          <w:szCs w:val="24"/>
        </w:rPr>
        <w:t xml:space="preserve"> </w:t>
      </w:r>
      <w:r w:rsidRPr="00451606">
        <w:rPr>
          <w:rFonts w:ascii="Times New Roman" w:hAnsi="Times New Roman" w:cs="Times New Roman"/>
          <w:sz w:val="24"/>
          <w:szCs w:val="24"/>
        </w:rPr>
        <w:t>initiation, maintenance, and termination</w:t>
      </w:r>
      <w:r w:rsidR="00B23514">
        <w:rPr>
          <w:rFonts w:ascii="Times New Roman" w:hAnsi="Times New Roman" w:cs="Times New Roman"/>
          <w:sz w:val="24"/>
          <w:szCs w:val="24"/>
        </w:rPr>
        <w:t xml:space="preserve"> </w:t>
      </w:r>
      <w:r w:rsidRPr="00451606">
        <w:rPr>
          <w:rFonts w:ascii="Times New Roman" w:hAnsi="Times New Roman" w:cs="Times New Roman"/>
          <w:sz w:val="24"/>
          <w:szCs w:val="24"/>
        </w:rPr>
        <w:t>each governed by specific regulatory processes (Ko</w:t>
      </w:r>
      <w:r w:rsidR="00B23514">
        <w:rPr>
          <w:rFonts w:ascii="Times New Roman" w:hAnsi="Times New Roman" w:cs="Times New Roman"/>
          <w:sz w:val="24"/>
          <w:szCs w:val="24"/>
        </w:rPr>
        <w:t>s</w:t>
      </w:r>
      <w:r w:rsidRPr="00451606">
        <w:rPr>
          <w:rFonts w:ascii="Times New Roman" w:hAnsi="Times New Roman" w:cs="Times New Roman"/>
          <w:sz w:val="24"/>
          <w:szCs w:val="24"/>
        </w:rPr>
        <w:t>t</w:t>
      </w:r>
      <w:r w:rsidR="00B23514">
        <w:rPr>
          <w:rFonts w:ascii="Times New Roman" w:hAnsi="Times New Roman" w:cs="Times New Roman"/>
          <w:sz w:val="24"/>
          <w:szCs w:val="24"/>
        </w:rPr>
        <w:t>a</w:t>
      </w:r>
      <w:r w:rsidRPr="00451606">
        <w:rPr>
          <w:rFonts w:ascii="Times New Roman" w:hAnsi="Times New Roman" w:cs="Times New Roman"/>
          <w:sz w:val="24"/>
          <w:szCs w:val="24"/>
        </w:rPr>
        <w:t>l</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2006). </w:t>
      </w:r>
      <w:r w:rsidR="005D70AB" w:rsidRPr="00645BF5">
        <w:rPr>
          <w:rFonts w:ascii="Times New Roman" w:hAnsi="Times New Roman" w:cs="Times New Roman"/>
          <w:sz w:val="24"/>
          <w:szCs w:val="24"/>
        </w:rPr>
        <w:t>Climate change is disrupting these finely tuned phenological relationships, as warming temperatures and shifting photoperiods create mismatches between diapause timing and environmental conditions, with potentially severe population consequences (</w:t>
      </w:r>
      <w:proofErr w:type="spellStart"/>
      <w:r w:rsidR="005D70AB" w:rsidRPr="00645BF5">
        <w:rPr>
          <w:rFonts w:ascii="Times New Roman" w:hAnsi="Times New Roman" w:cs="Times New Roman"/>
          <w:sz w:val="24"/>
          <w:szCs w:val="24"/>
        </w:rPr>
        <w:t>Tougeron</w:t>
      </w:r>
      <w:proofErr w:type="spellEnd"/>
      <w:r w:rsidR="005D70AB" w:rsidRPr="00645BF5">
        <w:rPr>
          <w:rFonts w:ascii="Times New Roman" w:hAnsi="Times New Roman" w:cs="Times New Roman"/>
          <w:sz w:val="24"/>
          <w:szCs w:val="24"/>
        </w:rPr>
        <w:t xml:space="preserve"> and </w:t>
      </w:r>
      <w:proofErr w:type="spellStart"/>
      <w:r w:rsidR="005D70AB" w:rsidRPr="00645BF5">
        <w:rPr>
          <w:rFonts w:ascii="Times New Roman" w:hAnsi="Times New Roman" w:cs="Times New Roman"/>
          <w:sz w:val="24"/>
          <w:szCs w:val="24"/>
        </w:rPr>
        <w:t>Hance</w:t>
      </w:r>
      <w:proofErr w:type="spellEnd"/>
      <w:r w:rsidR="005D70AB" w:rsidRPr="00645BF5">
        <w:rPr>
          <w:rFonts w:ascii="Times New Roman" w:hAnsi="Times New Roman" w:cs="Times New Roman"/>
          <w:sz w:val="24"/>
          <w:szCs w:val="24"/>
        </w:rPr>
        <w:t>, 2022).</w:t>
      </w:r>
    </w:p>
    <w:p w14:paraId="5873AD8F" w14:textId="081A15E2" w:rsidR="002E0EF6" w:rsidRPr="002E0EF6" w:rsidRDefault="002E0EF6" w:rsidP="005D70AB">
      <w:pPr>
        <w:jc w:val="both"/>
        <w:rPr>
          <w:rFonts w:ascii="Times New Roman" w:hAnsi="Times New Roman" w:cs="Times New Roman"/>
          <w:b/>
          <w:bCs/>
          <w:sz w:val="24"/>
          <w:szCs w:val="24"/>
        </w:rPr>
      </w:pPr>
      <w:r w:rsidRPr="002E0EF6">
        <w:rPr>
          <w:rFonts w:ascii="Times New Roman" w:hAnsi="Times New Roman" w:cs="Times New Roman"/>
          <w:b/>
          <w:bCs/>
          <w:sz w:val="24"/>
          <w:szCs w:val="24"/>
        </w:rPr>
        <w:t>2.4 Anti-Predator Behaviour</w:t>
      </w:r>
    </w:p>
    <w:p w14:paraId="1783CC10" w14:textId="1FAF48A2"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Predation represents one of the most pervasive and evolutionarily influential selective forces acting on insects, shaping an extraordinary diversity of behavioural defence strategies that reduce detection, deter attack, or disrupt predator decision-making processes (Eisner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2005; Humphreys </w:t>
      </w:r>
      <w:r w:rsidR="00B23514">
        <w:rPr>
          <w:rFonts w:ascii="Times New Roman" w:hAnsi="Times New Roman" w:cs="Times New Roman"/>
          <w:sz w:val="24"/>
          <w:szCs w:val="24"/>
        </w:rPr>
        <w:t>and</w:t>
      </w:r>
      <w:r w:rsidRPr="00451606">
        <w:rPr>
          <w:rFonts w:ascii="Times New Roman" w:hAnsi="Times New Roman" w:cs="Times New Roman"/>
          <w:sz w:val="24"/>
          <w:szCs w:val="24"/>
        </w:rPr>
        <w:t xml:space="preserve"> Ruxton 2018). Because lethal encounters often occur within fractions of a second, behavioural defences provide a critical first line of protection, enabling insects to respond rapidly to imminent threats before physical contact is established. These behaviours include acoustic interference, chemical discharge, evasive locomotion, and thanatosis, each targeting different stages of the predation sequence.</w:t>
      </w:r>
    </w:p>
    <w:p w14:paraId="61549518" w14:textId="77777777" w:rsidR="005D70AB" w:rsidRDefault="00451606" w:rsidP="005D70AB">
      <w:pPr>
        <w:spacing w:after="0" w:line="240" w:lineRule="auto"/>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Acoustic defences illustrate how insects can directly interfere with predator sensory systems. Tiger moths, for example, produce ultrasonic clicks that function either as aposematic signals advertising chemical unpalatability or as active jamming signals that disrupt bat echolocation (Corcoran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2009; Conner</w:t>
      </w:r>
      <w:r w:rsidR="009973CD">
        <w:rPr>
          <w:rFonts w:ascii="Times New Roman" w:hAnsi="Times New Roman" w:cs="Times New Roman"/>
          <w:sz w:val="24"/>
          <w:szCs w:val="24"/>
        </w:rPr>
        <w:t xml:space="preserve">, </w:t>
      </w:r>
      <w:r w:rsidRPr="00451606">
        <w:rPr>
          <w:rFonts w:ascii="Times New Roman" w:hAnsi="Times New Roman" w:cs="Times New Roman"/>
          <w:sz w:val="24"/>
          <w:szCs w:val="24"/>
        </w:rPr>
        <w:t>2014). By degrading the accuracy of echolocation-based targeting, these clicks reduce capture success and impose strong selection on bat sensory and hunting strategies. This interaction exemplifies a sensory arms race in which prey signalling and predator perception coevolve, leading to escalating behavioural and physiological specializations on both sides.</w:t>
      </w:r>
      <w:r w:rsidRPr="003A373F">
        <w:rPr>
          <w:rFonts w:ascii="Times New Roman" w:hAnsi="Times New Roman" w:cs="Times New Roman"/>
          <w:sz w:val="24"/>
          <w:szCs w:val="24"/>
        </w:rPr>
        <w:t xml:space="preserve"> </w:t>
      </w:r>
      <w:r w:rsidR="005D70AB" w:rsidRPr="00645BF5">
        <w:rPr>
          <w:rFonts w:ascii="Times New Roman" w:hAnsi="Times New Roman" w:cs="Times New Roman"/>
          <w:sz w:val="24"/>
          <w:szCs w:val="24"/>
        </w:rPr>
        <w:t>Recent neurophysiological studies have characterized the precise temporal and spectral parameters of jamming signals, demonstrating how moths exploit specific vulnerabilities in bat echolocation processing (Ratcliffe and Conner, 2024).</w:t>
      </w:r>
      <w:r w:rsidR="005D70AB">
        <w:rPr>
          <w:rFonts w:ascii="Times New Roman" w:hAnsi="Times New Roman" w:cs="Times New Roman"/>
          <w:sz w:val="24"/>
          <w:szCs w:val="24"/>
        </w:rPr>
        <w:t xml:space="preserve"> </w:t>
      </w:r>
      <w:r w:rsidRPr="00451606">
        <w:rPr>
          <w:rFonts w:ascii="Times New Roman" w:hAnsi="Times New Roman" w:cs="Times New Roman"/>
          <w:sz w:val="24"/>
          <w:szCs w:val="24"/>
        </w:rPr>
        <w:t xml:space="preserve">Chemical discharge behaviours provide another effective means of predator deterrence. Many insects release noxious or toxic compounds when disturbed, often through specialized glands or reflex bleeding. These chemical defences can act immediately by inducing aversive sensory experiences or over longer timescales by facilitating predator learning and avoidance. Behavioural deployment of chemical defences is frequently context-dependent, minimizing energetic costs and self-toxicity while maximizing deterrent efficacy </w:t>
      </w:r>
      <w:r w:rsidRPr="00451606">
        <w:rPr>
          <w:rFonts w:ascii="Times New Roman" w:hAnsi="Times New Roman" w:cs="Times New Roman"/>
          <w:sz w:val="24"/>
          <w:szCs w:val="24"/>
        </w:rPr>
        <w:lastRenderedPageBreak/>
        <w:t xml:space="preserve">(Eisner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2005). In many cases, chemical discharge is accompanied by conspicuous movements or sounds that enhance signal detectability and reinforce predator memory.</w:t>
      </w:r>
    </w:p>
    <w:p w14:paraId="37A88628" w14:textId="264778C9" w:rsidR="00451606" w:rsidRPr="00451606" w:rsidRDefault="00451606" w:rsidP="003A373F">
      <w:pPr>
        <w:ind w:firstLine="720"/>
        <w:jc w:val="both"/>
        <w:rPr>
          <w:rFonts w:ascii="Times New Roman" w:hAnsi="Times New Roman" w:cs="Times New Roman"/>
          <w:sz w:val="24"/>
          <w:szCs w:val="24"/>
        </w:rPr>
      </w:pPr>
      <w:r w:rsidRPr="00451606">
        <w:rPr>
          <w:rFonts w:ascii="Times New Roman" w:hAnsi="Times New Roman" w:cs="Times New Roman"/>
          <w:sz w:val="24"/>
          <w:szCs w:val="24"/>
        </w:rPr>
        <w:t xml:space="preserve">Thanatosis, or death-feigning behaviour, represents a particularly intriguing anti-predator strategy that exploits predator cognitive biases rather than physical escape. By adopting a rigid, immobile posture, insects reduce the likelihood of continued attack, particularly from predators that preferentially target moving prey (Miyatake </w:t>
      </w:r>
      <w:r w:rsidR="003A373F" w:rsidRPr="003A373F">
        <w:rPr>
          <w:rFonts w:ascii="Times New Roman" w:hAnsi="Times New Roman" w:cs="Times New Roman"/>
          <w:i/>
          <w:iCs/>
          <w:sz w:val="24"/>
          <w:szCs w:val="24"/>
        </w:rPr>
        <w:t>et al</w:t>
      </w:r>
      <w:r w:rsidRPr="00451606">
        <w:rPr>
          <w:rFonts w:ascii="Times New Roman" w:hAnsi="Times New Roman" w:cs="Times New Roman"/>
          <w:sz w:val="24"/>
          <w:szCs w:val="24"/>
        </w:rPr>
        <w:t>.</w:t>
      </w:r>
      <w:r w:rsidR="00B23514">
        <w:rPr>
          <w:rFonts w:ascii="Times New Roman" w:hAnsi="Times New Roman" w:cs="Times New Roman"/>
          <w:sz w:val="24"/>
          <w:szCs w:val="24"/>
        </w:rPr>
        <w:t>,</w:t>
      </w:r>
      <w:r w:rsidRPr="00451606">
        <w:rPr>
          <w:rFonts w:ascii="Times New Roman" w:hAnsi="Times New Roman" w:cs="Times New Roman"/>
          <w:sz w:val="24"/>
          <w:szCs w:val="24"/>
        </w:rPr>
        <w:t xml:space="preserve"> 2008). Experimental studies demonstrate that the duration and intensity of thanatosis can significantly influence survival outcomes and that this behaviour exhibits heritable variation, indicating a genetic basis subject to natural selection. In some contexts, thanatosis also facilitates secondary defence strategies, such as chemical release or escape once the predator’s attention wanes.</w:t>
      </w:r>
      <w:r w:rsidRPr="003A373F">
        <w:rPr>
          <w:rFonts w:ascii="Times New Roman" w:hAnsi="Times New Roman" w:cs="Times New Roman"/>
          <w:sz w:val="24"/>
          <w:szCs w:val="24"/>
        </w:rPr>
        <w:t xml:space="preserve"> </w:t>
      </w:r>
      <w:r w:rsidR="005D70AB" w:rsidRPr="00645BF5">
        <w:rPr>
          <w:rFonts w:ascii="Times New Roman" w:hAnsi="Times New Roman" w:cs="Times New Roman"/>
          <w:sz w:val="24"/>
          <w:szCs w:val="24"/>
        </w:rPr>
        <w:t xml:space="preserve">A recent comprehensive review has documented thanatosis in over 200 insect species across 15 orders, revealing common ecological and evolutionary correlates (Humphreys and Ruxton, 2023). </w:t>
      </w:r>
      <w:r w:rsidRPr="00451606">
        <w:rPr>
          <w:rFonts w:ascii="Times New Roman" w:hAnsi="Times New Roman" w:cs="Times New Roman"/>
          <w:sz w:val="24"/>
          <w:szCs w:val="24"/>
        </w:rPr>
        <w:t>Importantly, behavioural defences rarely function in isolation. Instead, they operate synergistically with morphological and chemical adaptations to produce multilayered defence systems. Acoustic signalling may reinforce aposematic coloration, thanatosis may enhance the effectiveness of chemical defences, and evasive movement may complement cryptic morphology. Such integration increases defensive reliability across diverse predator assemblages and environmental contexts, reducing reliance on any single mechanism.</w:t>
      </w:r>
    </w:p>
    <w:p w14:paraId="5F3CB2DD"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 MORPHOLOGICAL ADAPTATIONS: STRUCTURAL AND SIGNAL-BASED DEFENCES</w:t>
      </w:r>
    </w:p>
    <w:p w14:paraId="36A6AF6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3.1 Mimicry and Evolutionary Convergence</w:t>
      </w:r>
    </w:p>
    <w:p w14:paraId="28F5BAA3" w14:textId="77777777" w:rsidR="00555D39" w:rsidRDefault="00CF137F" w:rsidP="00555D39">
      <w:pPr>
        <w:ind w:firstLine="720"/>
        <w:jc w:val="both"/>
        <w:rPr>
          <w:rFonts w:ascii="Times New Roman" w:hAnsi="Times New Roman" w:cs="Times New Roman"/>
          <w:sz w:val="24"/>
          <w:szCs w:val="24"/>
        </w:rPr>
      </w:pPr>
      <w:r w:rsidRPr="00CF137F">
        <w:rPr>
          <w:rFonts w:ascii="Times New Roman" w:hAnsi="Times New Roman" w:cs="Times New Roman"/>
          <w:sz w:val="24"/>
          <w:szCs w:val="24"/>
        </w:rPr>
        <w:t>Mimicry represents one of the most compelling examples of adaptive convergence driven by intense and consistent natural selection imposed by visually oriented predators. In its classical formulation, Batesian mimicry involves palatable or otherwise undefended species evolving phenotypic resemblance to toxic, distasteful, or otherwise defended models, thereby gaining protection through predator misidentification (Bates</w:t>
      </w:r>
      <w:r w:rsidR="00B23514">
        <w:rPr>
          <w:rFonts w:ascii="Times New Roman" w:hAnsi="Times New Roman" w:cs="Times New Roman"/>
          <w:sz w:val="24"/>
          <w:szCs w:val="24"/>
        </w:rPr>
        <w:t xml:space="preserve">, </w:t>
      </w:r>
      <w:r w:rsidRPr="00CF137F">
        <w:rPr>
          <w:rFonts w:ascii="Times New Roman" w:hAnsi="Times New Roman" w:cs="Times New Roman"/>
          <w:sz w:val="24"/>
          <w:szCs w:val="24"/>
        </w:rPr>
        <w:t>1862). The effectiveness of this strategy depends critically on relative abundances: mimics benefit only when models are sufficiently common to maintain predator aversion, highlighting the frequency-dependent nature of selection in these systems.</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In contrast, Müllerian mimicry involves mutual resemblance among multiple unpalatable or defended species, all of which contribute to predator learning and avoidance (Müller</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1879). In these systems, convergence on a shared warning signal reduces the per-capita cost of educating predators, as negative predation experiences with any one species reinforce avoidance of the entire mimetic complex. This mutualistic interaction among prey species promotes rapid and often striking convergence in colour patterns, body form, and signalling traits, even amon</w:t>
      </w:r>
      <w:r w:rsidR="00555D39">
        <w:rPr>
          <w:rFonts w:ascii="Times New Roman" w:hAnsi="Times New Roman" w:cs="Times New Roman"/>
          <w:sz w:val="24"/>
          <w:szCs w:val="24"/>
        </w:rPr>
        <w:t>g phylogenetically distant taxa.</w:t>
      </w:r>
    </w:p>
    <w:p w14:paraId="21CBC58C" w14:textId="7605C3B2" w:rsidR="00555D39" w:rsidRPr="00645BF5" w:rsidRDefault="00CF137F" w:rsidP="00555D39">
      <w:pPr>
        <w:ind w:firstLine="720"/>
        <w:jc w:val="both"/>
        <w:rPr>
          <w:rFonts w:ascii="Times New Roman" w:hAnsi="Times New Roman" w:cs="Times New Roman"/>
          <w:sz w:val="24"/>
          <w:szCs w:val="24"/>
        </w:rPr>
      </w:pPr>
      <w:r w:rsidRPr="00CF137F">
        <w:rPr>
          <w:rFonts w:ascii="Times New Roman" w:hAnsi="Times New Roman" w:cs="Times New Roman"/>
          <w:sz w:val="24"/>
          <w:szCs w:val="24"/>
        </w:rPr>
        <w:t xml:space="preserve">Empirical and theoretical work has demonstrated that Müllerian mimicry can generate remarkably stable adaptive peaks, leading to the formation of discrete mimetic rings within particular geographic regions (Ruxton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2018). Once established, these rings exert strong stabilizing selection, constraining phenotypic variation and favouring precise signal fidelity. Deviations from the dominant warning pattern are often selected against, as imperfect mimics experience elevated predation risk due to predator uncertainty or delayed learning.</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 xml:space="preserve">The Neotropical </w:t>
      </w:r>
      <w:proofErr w:type="spellStart"/>
      <w:r w:rsidRPr="00CF137F">
        <w:rPr>
          <w:rFonts w:ascii="Times New Roman" w:hAnsi="Times New Roman" w:cs="Times New Roman"/>
          <w:i/>
          <w:iCs/>
          <w:sz w:val="24"/>
          <w:szCs w:val="24"/>
        </w:rPr>
        <w:t>Heliconius</w:t>
      </w:r>
      <w:proofErr w:type="spellEnd"/>
      <w:r w:rsidRPr="00CF137F">
        <w:rPr>
          <w:rFonts w:ascii="Times New Roman" w:hAnsi="Times New Roman" w:cs="Times New Roman"/>
          <w:sz w:val="24"/>
          <w:szCs w:val="24"/>
        </w:rPr>
        <w:t xml:space="preserve"> butterflies provide one of the most intensively studied systems for </w:t>
      </w:r>
      <w:r w:rsidRPr="00CF137F">
        <w:rPr>
          <w:rFonts w:ascii="Times New Roman" w:hAnsi="Times New Roman" w:cs="Times New Roman"/>
          <w:sz w:val="24"/>
          <w:szCs w:val="24"/>
        </w:rPr>
        <w:lastRenderedPageBreak/>
        <w:t xml:space="preserve">understanding the genetic and developmental basis of mimicry. Despite extensive species diversity, many </w:t>
      </w:r>
      <w:proofErr w:type="spellStart"/>
      <w:r w:rsidRPr="00CF137F">
        <w:rPr>
          <w:rFonts w:ascii="Times New Roman" w:hAnsi="Times New Roman" w:cs="Times New Roman"/>
          <w:i/>
          <w:iCs/>
          <w:sz w:val="24"/>
          <w:szCs w:val="24"/>
        </w:rPr>
        <w:t>Heliconius</w:t>
      </w:r>
      <w:proofErr w:type="spellEnd"/>
      <w:r w:rsidRPr="00CF137F">
        <w:rPr>
          <w:rFonts w:ascii="Times New Roman" w:hAnsi="Times New Roman" w:cs="Times New Roman"/>
          <w:sz w:val="24"/>
          <w:szCs w:val="24"/>
        </w:rPr>
        <w:t xml:space="preserve"> species display nearly identical wing colour patterns within local mimicry complexes. Genomic analyses have revealed that repeated evolution of these patterns frequently involves changes at a small number of conserved regulatory loci, including genes controlling wing scale development and pigment deposition (Joron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2011; Wallbank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2016). This reuse of the same genetic pathways across independent evolutionary events highlights the predictability of adaptive evolution under strong selective constraint.</w:t>
      </w:r>
      <w:r w:rsidRPr="003A373F">
        <w:rPr>
          <w:rFonts w:ascii="Times New Roman" w:hAnsi="Times New Roman" w:cs="Times New Roman"/>
          <w:sz w:val="24"/>
          <w:szCs w:val="24"/>
        </w:rPr>
        <w:t xml:space="preserve"> </w:t>
      </w:r>
      <w:r w:rsidR="00555D39" w:rsidRPr="00645BF5">
        <w:rPr>
          <w:rFonts w:ascii="Times New Roman" w:hAnsi="Times New Roman" w:cs="Times New Roman"/>
          <w:sz w:val="24"/>
          <w:szCs w:val="24"/>
        </w:rPr>
        <w:t>Recent advances in functional genomics have identified the precise cis-regulatory elements and transcription factor networks that control pattern formation, revealing how relatively simple genetic changes can generate complex phenotypic outcomes (</w:t>
      </w:r>
      <w:proofErr w:type="spellStart"/>
      <w:r w:rsidR="00555D39" w:rsidRPr="00645BF5">
        <w:rPr>
          <w:rFonts w:ascii="Times New Roman" w:hAnsi="Times New Roman" w:cs="Times New Roman"/>
          <w:sz w:val="24"/>
          <w:szCs w:val="24"/>
        </w:rPr>
        <w:t>Jiggins</w:t>
      </w:r>
      <w:proofErr w:type="spellEnd"/>
      <w:r w:rsidR="00555D39" w:rsidRPr="00645BF5">
        <w:rPr>
          <w:rFonts w:ascii="Times New Roman" w:hAnsi="Times New Roman" w:cs="Times New Roman"/>
          <w:sz w:val="24"/>
          <w:szCs w:val="24"/>
        </w:rPr>
        <w:t xml:space="preserve"> and McMillan, 2024).</w:t>
      </w:r>
    </w:p>
    <w:p w14:paraId="1DB6C868" w14:textId="5B65CADA" w:rsidR="00CF137F" w:rsidRDefault="00CF137F" w:rsidP="00C068E0">
      <w:pPr>
        <w:spacing w:after="0" w:line="240" w:lineRule="auto"/>
        <w:ind w:firstLine="720"/>
        <w:jc w:val="both"/>
        <w:rPr>
          <w:rFonts w:ascii="Times New Roman" w:hAnsi="Times New Roman" w:cs="Times New Roman"/>
          <w:sz w:val="24"/>
          <w:szCs w:val="24"/>
        </w:rPr>
      </w:pPr>
      <w:r w:rsidRPr="00CF137F">
        <w:rPr>
          <w:rFonts w:ascii="Times New Roman" w:hAnsi="Times New Roman" w:cs="Times New Roman"/>
          <w:sz w:val="24"/>
          <w:szCs w:val="24"/>
        </w:rPr>
        <w:t>Importantly, mimicry is not solely a morphological phenomenon but an integrated adaptive system. The efficacy of warning signals depends on behavioural components such as flight pattern, display posture, and habitat use, as well as physiological traits including chemical defence levels and toxin sequestration efficiency. Predators, in turn, shape mimicry evolution through their sensory capabilities, learning rates, and memory retention, embedding mimicry within a broader coevolutionary framework.</w:t>
      </w:r>
      <w:r w:rsidR="00555D39">
        <w:rPr>
          <w:rFonts w:ascii="Times New Roman" w:hAnsi="Times New Roman" w:cs="Times New Roman"/>
          <w:sz w:val="24"/>
          <w:szCs w:val="24"/>
        </w:rPr>
        <w:t xml:space="preserve"> </w:t>
      </w:r>
      <w:r w:rsidR="00555D39" w:rsidRPr="00645BF5">
        <w:rPr>
          <w:rFonts w:ascii="Times New Roman" w:hAnsi="Times New Roman" w:cs="Times New Roman"/>
          <w:sz w:val="24"/>
          <w:szCs w:val="24"/>
        </w:rPr>
        <w:t>Recent neurobiological studies have characterized how predator brains process warning signals, revealing that mimetic patterns are optimized to exploit specific features of visual processing, including colour opponency, edge detection, and pattern recognition (Montgomery and Merrill, 2023).</w:t>
      </w:r>
    </w:p>
    <w:p w14:paraId="6B2402D5" w14:textId="77777777" w:rsidR="00555D39" w:rsidRPr="00CF137F" w:rsidRDefault="00555D39" w:rsidP="00555D39">
      <w:pPr>
        <w:spacing w:after="0" w:line="240" w:lineRule="auto"/>
        <w:jc w:val="both"/>
        <w:rPr>
          <w:rFonts w:ascii="Times New Roman" w:hAnsi="Times New Roman" w:cs="Times New Roman"/>
          <w:sz w:val="24"/>
          <w:szCs w:val="24"/>
        </w:rPr>
      </w:pPr>
    </w:p>
    <w:p w14:paraId="32CE732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3.2 Crypsis, Masquerade, and Background Matching</w:t>
      </w:r>
    </w:p>
    <w:p w14:paraId="2FFA3FE6" w14:textId="3DCBC586" w:rsidR="00CF137F" w:rsidRPr="00CF137F" w:rsidRDefault="00CF137F" w:rsidP="00C068E0">
      <w:pPr>
        <w:spacing w:after="0" w:line="240" w:lineRule="auto"/>
        <w:ind w:firstLine="720"/>
        <w:jc w:val="both"/>
        <w:rPr>
          <w:rFonts w:ascii="Times New Roman" w:hAnsi="Times New Roman" w:cs="Times New Roman"/>
          <w:sz w:val="24"/>
          <w:szCs w:val="24"/>
        </w:rPr>
      </w:pPr>
      <w:r w:rsidRPr="00CF137F">
        <w:rPr>
          <w:rFonts w:ascii="Times New Roman" w:hAnsi="Times New Roman" w:cs="Times New Roman"/>
          <w:sz w:val="24"/>
          <w:szCs w:val="24"/>
        </w:rPr>
        <w:t>Camouflage constitutes one of the most widespread and evolutionarily conserved anti-predator strategies in insects, functioning primarily by reducing the probability of detection rather than deterring attack after detection. At its core, camouflage minimizes visual contrast between the organism and its background by matching colour, luminance, texture, or spatial patterning (Cott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1940; Stevens </w:t>
      </w:r>
      <w:r w:rsidR="00B23514">
        <w:rPr>
          <w:rFonts w:ascii="Times New Roman" w:hAnsi="Times New Roman" w:cs="Times New Roman"/>
          <w:sz w:val="24"/>
          <w:szCs w:val="24"/>
        </w:rPr>
        <w:t>and</w:t>
      </w:r>
      <w:r w:rsidRPr="00CF137F">
        <w:rPr>
          <w:rFonts w:ascii="Times New Roman" w:hAnsi="Times New Roman" w:cs="Times New Roman"/>
          <w:sz w:val="24"/>
          <w:szCs w:val="24"/>
        </w:rPr>
        <w:t xml:space="preserve"> </w:t>
      </w:r>
      <w:proofErr w:type="spellStart"/>
      <w:r w:rsidRPr="00CF137F">
        <w:rPr>
          <w:rFonts w:ascii="Times New Roman" w:hAnsi="Times New Roman" w:cs="Times New Roman"/>
          <w:sz w:val="24"/>
          <w:szCs w:val="24"/>
        </w:rPr>
        <w:t>Merilaita</w:t>
      </w:r>
      <w:proofErr w:type="spellEnd"/>
      <w:r w:rsidR="00B23514">
        <w:rPr>
          <w:rFonts w:ascii="Times New Roman" w:hAnsi="Times New Roman" w:cs="Times New Roman"/>
          <w:sz w:val="24"/>
          <w:szCs w:val="24"/>
        </w:rPr>
        <w:t>,</w:t>
      </w:r>
      <w:r w:rsidRPr="00CF137F">
        <w:rPr>
          <w:rFonts w:ascii="Times New Roman" w:hAnsi="Times New Roman" w:cs="Times New Roman"/>
          <w:sz w:val="24"/>
          <w:szCs w:val="24"/>
        </w:rPr>
        <w:t xml:space="preserve"> 2009). Insects inhabiting visually complex environments, such as foliage, bark, or leaf litter, often exhibit finely tuned cryptic phenotypes that reflect the dominant visual statistics of their microhabitats</w:t>
      </w:r>
      <w:r w:rsidRPr="003A373F">
        <w:rPr>
          <w:rFonts w:ascii="Times New Roman" w:hAnsi="Times New Roman" w:cs="Times New Roman"/>
          <w:sz w:val="24"/>
          <w:szCs w:val="24"/>
        </w:rPr>
        <w:t xml:space="preserve">. </w:t>
      </w:r>
      <w:r w:rsidR="00555D39" w:rsidRPr="00645BF5">
        <w:rPr>
          <w:rFonts w:ascii="Times New Roman" w:hAnsi="Times New Roman" w:cs="Times New Roman"/>
          <w:sz w:val="24"/>
          <w:szCs w:val="24"/>
        </w:rPr>
        <w:t xml:space="preserve">Recent advances in quantitative colour analysis and visual modelling have revolutionized our understanding of camouflage. By measuring colour patterns from the perspective of predator visual systems, researchers can now quantify camouflage effectiveness with unprecedented precision (Cuthill and Stevens, 2024). </w:t>
      </w:r>
      <w:r w:rsidRPr="00CF137F">
        <w:rPr>
          <w:rFonts w:ascii="Times New Roman" w:hAnsi="Times New Roman" w:cs="Times New Roman"/>
          <w:sz w:val="24"/>
          <w:szCs w:val="24"/>
        </w:rPr>
        <w:t xml:space="preserve">Extreme morphological crypsis is particularly evident in groups such as </w:t>
      </w:r>
      <w:proofErr w:type="spellStart"/>
      <w:r w:rsidRPr="00CF137F">
        <w:rPr>
          <w:rFonts w:ascii="Times New Roman" w:hAnsi="Times New Roman" w:cs="Times New Roman"/>
          <w:sz w:val="24"/>
          <w:szCs w:val="24"/>
        </w:rPr>
        <w:t>Phasmatodea</w:t>
      </w:r>
      <w:proofErr w:type="spellEnd"/>
      <w:r w:rsidRPr="00CF137F">
        <w:rPr>
          <w:rFonts w:ascii="Times New Roman" w:hAnsi="Times New Roman" w:cs="Times New Roman"/>
          <w:sz w:val="24"/>
          <w:szCs w:val="24"/>
        </w:rPr>
        <w:t xml:space="preserve"> (stick insects), </w:t>
      </w:r>
      <w:proofErr w:type="spellStart"/>
      <w:r w:rsidRPr="00CF137F">
        <w:rPr>
          <w:rFonts w:ascii="Times New Roman" w:hAnsi="Times New Roman" w:cs="Times New Roman"/>
          <w:sz w:val="24"/>
          <w:szCs w:val="24"/>
        </w:rPr>
        <w:t>Phylliidae</w:t>
      </w:r>
      <w:proofErr w:type="spellEnd"/>
      <w:r w:rsidRPr="00CF137F">
        <w:rPr>
          <w:rFonts w:ascii="Times New Roman" w:hAnsi="Times New Roman" w:cs="Times New Roman"/>
          <w:sz w:val="24"/>
          <w:szCs w:val="24"/>
        </w:rPr>
        <w:t xml:space="preserve"> (leaf insects), and Mantodea (mantids), where body shape, venation patterns, and even surface microtextures closely resemble plant structures. These morphological traits are rarely static; they are frequently reinforced by behavioural alignment, including posture selection, orientation relative to light sources, and substrate-specific resting behaviours. For example, many stick insects actively align their bodies with plant stems and sway rhythmically to mimic wind-induced vegetation movement, thereby further reducing the likelihood of detection by motion-sensitive predators.</w:t>
      </w:r>
      <w:r w:rsidR="00555D39">
        <w:rPr>
          <w:rFonts w:ascii="Times New Roman" w:hAnsi="Times New Roman" w:cs="Times New Roman"/>
          <w:sz w:val="24"/>
          <w:szCs w:val="24"/>
        </w:rPr>
        <w:t xml:space="preserve"> </w:t>
      </w:r>
      <w:r w:rsidR="00555D39" w:rsidRPr="00645BF5">
        <w:rPr>
          <w:rFonts w:ascii="Times New Roman" w:hAnsi="Times New Roman" w:cs="Times New Roman"/>
          <w:sz w:val="24"/>
          <w:szCs w:val="24"/>
        </w:rPr>
        <w:t>Developmental studies have revealed that this phenotypic precision arises through a combination of genetic programming and environmental induction, with individuals adjusting their growth and coloration in response to the specific backgrounds they encounter (Kang and Stevens, 2023).</w:t>
      </w:r>
    </w:p>
    <w:p w14:paraId="69CA6C7B" w14:textId="7E6E5D22"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 xml:space="preserve">Beyond simple background matching, camouflage may also involve disruptive coloration, in which high-contrast markings break up the outline of the body and obscure its true shape. Such patterning interferes with edge detection and object recognition processes in predator visual systems, effectively delaying or preventing prey identification. Importantly, the success of disruptive coloration depends on spatial scale and viewing distance, </w:t>
      </w:r>
      <w:r w:rsidRPr="00CF137F">
        <w:rPr>
          <w:rFonts w:ascii="Times New Roman" w:hAnsi="Times New Roman" w:cs="Times New Roman"/>
          <w:sz w:val="24"/>
          <w:szCs w:val="24"/>
        </w:rPr>
        <w:lastRenderedPageBreak/>
        <w:t>highlighting the interaction between prey phenotype and predator sensory resolution.</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Masquerade represents a mechanistically distinct, though often complementary, form of crypsis. Rather than rendering the insect visually inconspicuous, masquerade exploits predator categorization errors by causing the insect to be perceived as an inanimate or irrelevant object, such as a twig, leaf fragment, or bird dropping (</w:t>
      </w:r>
      <w:proofErr w:type="spellStart"/>
      <w:r w:rsidRPr="00CF137F">
        <w:rPr>
          <w:rFonts w:ascii="Times New Roman" w:hAnsi="Times New Roman" w:cs="Times New Roman"/>
          <w:sz w:val="24"/>
          <w:szCs w:val="24"/>
        </w:rPr>
        <w:t>Skelhorn</w:t>
      </w:r>
      <w:proofErr w:type="spellEnd"/>
      <w:r w:rsidRPr="00CF137F">
        <w:rPr>
          <w:rFonts w:ascii="Times New Roman" w:hAnsi="Times New Roman" w:cs="Times New Roman"/>
          <w:sz w:val="24"/>
          <w:szCs w:val="24"/>
        </w:rPr>
        <w:t xml:space="preserve">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2010). Predators may detect the organism but fail to classify it as prey, resulting in reduced attack probability. This strategy relies heavily on predator experience and cognitive templates, and its effectiveness may increase with predator familiarity with genuine inanimate objects in the environment.</w:t>
      </w:r>
    </w:p>
    <w:p w14:paraId="3173E7DC" w14:textId="253F74DC" w:rsidR="00CF137F" w:rsidRPr="00CF137F" w:rsidRDefault="00CF137F" w:rsidP="003A373F">
      <w:pPr>
        <w:ind w:firstLine="720"/>
        <w:jc w:val="both"/>
        <w:rPr>
          <w:rFonts w:ascii="Times New Roman" w:hAnsi="Times New Roman" w:cs="Times New Roman"/>
          <w:sz w:val="24"/>
          <w:szCs w:val="24"/>
        </w:rPr>
      </w:pPr>
      <w:r w:rsidRPr="00CF137F">
        <w:rPr>
          <w:rFonts w:ascii="Times New Roman" w:hAnsi="Times New Roman" w:cs="Times New Roman"/>
          <w:sz w:val="24"/>
          <w:szCs w:val="24"/>
        </w:rPr>
        <w:t>Masquerade is frequently enhanced by behavioural immobility or stereotyped movements that reinforce the illusion of non-prey identity. Many twig-mimicking caterpillars adopt rigid postures during daylight hours, while bird-dropping mimics often remain stationary on exposed leaf surfaces where real droppings are common. In such cases, selection acts not only on morphology but also on behavioural timing and microhabitat choice.</w:t>
      </w:r>
      <w:r w:rsidRPr="003A373F">
        <w:rPr>
          <w:rFonts w:ascii="Times New Roman" w:hAnsi="Times New Roman" w:cs="Times New Roman"/>
          <w:sz w:val="24"/>
          <w:szCs w:val="24"/>
        </w:rPr>
        <w:t xml:space="preserve"> </w:t>
      </w:r>
      <w:r w:rsidRPr="00CF137F">
        <w:rPr>
          <w:rFonts w:ascii="Times New Roman" w:hAnsi="Times New Roman" w:cs="Times New Roman"/>
          <w:sz w:val="24"/>
          <w:szCs w:val="24"/>
        </w:rPr>
        <w:t xml:space="preserve">An especially elaborate extension of masquerade is observed in trash-carrying larvae, such as those of certain chrysopids and coccinellids. These insects actively collect plant debris, prey remains, or exuviae and attach them to specialized dorsal structures, constructing a mobile camouflage cloak (Tauber </w:t>
      </w:r>
      <w:r w:rsidR="003A373F" w:rsidRPr="003A373F">
        <w:rPr>
          <w:rFonts w:ascii="Times New Roman" w:hAnsi="Times New Roman" w:cs="Times New Roman"/>
          <w:i/>
          <w:iCs/>
          <w:sz w:val="24"/>
          <w:szCs w:val="24"/>
        </w:rPr>
        <w:t>et al</w:t>
      </w:r>
      <w:r w:rsidRPr="00CF137F">
        <w:rPr>
          <w:rFonts w:ascii="Times New Roman" w:hAnsi="Times New Roman" w:cs="Times New Roman"/>
          <w:sz w:val="24"/>
          <w:szCs w:val="24"/>
        </w:rPr>
        <w:t>.</w:t>
      </w:r>
      <w:r w:rsidR="00B23514">
        <w:rPr>
          <w:rFonts w:ascii="Times New Roman" w:hAnsi="Times New Roman" w:cs="Times New Roman"/>
          <w:sz w:val="24"/>
          <w:szCs w:val="24"/>
        </w:rPr>
        <w:t>,</w:t>
      </w:r>
      <w:r w:rsidRPr="00CF137F">
        <w:rPr>
          <w:rFonts w:ascii="Times New Roman" w:hAnsi="Times New Roman" w:cs="Times New Roman"/>
          <w:sz w:val="24"/>
          <w:szCs w:val="24"/>
        </w:rPr>
        <w:t xml:space="preserve"> 2014). This composite phenotype combines morphological adaptation, behavioural construction, and environmental materials, illustrating how extended phenotypes can function as anti-predator defences.</w:t>
      </w:r>
    </w:p>
    <w:p w14:paraId="7AFC9CC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4. PHYSIOLOGICAL AND MOLECULAR ADAPTATIONS</w:t>
      </w:r>
    </w:p>
    <w:p w14:paraId="413C828C" w14:textId="19FE0121"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 </w:t>
      </w:r>
      <w:r w:rsidRPr="00C34A30">
        <w:rPr>
          <w:rFonts w:ascii="Times New Roman" w:hAnsi="Times New Roman" w:cs="Times New Roman"/>
          <w:b/>
          <w:bCs/>
          <w:sz w:val="24"/>
          <w:szCs w:val="24"/>
        </w:rPr>
        <w:t>Cold Hardiness</w:t>
      </w:r>
    </w:p>
    <w:p w14:paraId="49691E82" w14:textId="4DE15E38" w:rsidR="00C34A30" w:rsidRDefault="00C34A30" w:rsidP="00C068E0">
      <w:pPr>
        <w:spacing w:after="0" w:line="240" w:lineRule="auto"/>
        <w:ind w:firstLine="720"/>
        <w:jc w:val="both"/>
        <w:rPr>
          <w:rFonts w:ascii="Times New Roman" w:hAnsi="Times New Roman" w:cs="Times New Roman"/>
          <w:sz w:val="24"/>
          <w:szCs w:val="24"/>
        </w:rPr>
      </w:pPr>
      <w:r w:rsidRPr="00C34A30">
        <w:rPr>
          <w:rFonts w:ascii="Times New Roman" w:hAnsi="Times New Roman" w:cs="Times New Roman"/>
          <w:sz w:val="24"/>
          <w:szCs w:val="24"/>
        </w:rPr>
        <w:t>Exposure to low temperatures is among the most severe abiotic challenges encountered by insects, particularly in temperate, alpine, and polar environments. Subzero conditions threaten survival through multiple interacting mechanisms, including ice crystal formation, cellular dehydration, membrane phase transitions, protein destabilization, and oxidative stress during thawing (Lee</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2010; Sinclair </w:t>
      </w:r>
      <w:r w:rsidR="003A373F" w:rsidRPr="003A373F">
        <w:rPr>
          <w:rFonts w:ascii="Times New Roman" w:hAnsi="Times New Roman" w:cs="Times New Roman"/>
          <w:i/>
          <w:iCs/>
          <w:sz w:val="24"/>
          <w:szCs w:val="24"/>
        </w:rPr>
        <w:t>et al</w:t>
      </w:r>
      <w:r w:rsidRPr="00C34A30">
        <w:rPr>
          <w:rFonts w:ascii="Times New Roman" w:hAnsi="Times New Roman" w:cs="Times New Roman"/>
          <w:sz w:val="24"/>
          <w:szCs w:val="24"/>
        </w:rPr>
        <w:t>.</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2015). Over evolutionary time, insects have responded to these pressures through two broad physiological strategies</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freeze avoidance and freeze tolerance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which differ fundamentally in how freezing itself is managed.</w:t>
      </w:r>
      <w:r w:rsidR="00555D39">
        <w:rPr>
          <w:rFonts w:ascii="Times New Roman" w:hAnsi="Times New Roman" w:cs="Times New Roman"/>
          <w:sz w:val="24"/>
          <w:szCs w:val="24"/>
        </w:rPr>
        <w:t xml:space="preserve"> </w:t>
      </w:r>
      <w:r w:rsidR="00555D39" w:rsidRPr="00645BF5">
        <w:rPr>
          <w:rFonts w:ascii="Times New Roman" w:hAnsi="Times New Roman" w:cs="Times New Roman"/>
          <w:sz w:val="24"/>
          <w:szCs w:val="24"/>
        </w:rPr>
        <w:t xml:space="preserve">Recent advances in integrative physiology have revealed that cold tolerance mechanisms are far more complex and dynamic than previously appreciated. Omics technologies have enabled comprehensive characterization of the molecular changes accompanying cold acclimation, revealing coordinated regulation of hundreds of genes involved in membrane </w:t>
      </w:r>
      <w:proofErr w:type="spellStart"/>
      <w:r w:rsidR="00555D39" w:rsidRPr="00645BF5">
        <w:rPr>
          <w:rFonts w:ascii="Times New Roman" w:hAnsi="Times New Roman" w:cs="Times New Roman"/>
          <w:sz w:val="24"/>
          <w:szCs w:val="24"/>
        </w:rPr>
        <w:t>remodeling</w:t>
      </w:r>
      <w:proofErr w:type="spellEnd"/>
      <w:r w:rsidR="00555D39" w:rsidRPr="00645BF5">
        <w:rPr>
          <w:rFonts w:ascii="Times New Roman" w:hAnsi="Times New Roman" w:cs="Times New Roman"/>
          <w:sz w:val="24"/>
          <w:szCs w:val="24"/>
        </w:rPr>
        <w:t xml:space="preserve">, </w:t>
      </w:r>
      <w:proofErr w:type="spellStart"/>
      <w:r w:rsidR="00555D39" w:rsidRPr="00645BF5">
        <w:rPr>
          <w:rFonts w:ascii="Times New Roman" w:hAnsi="Times New Roman" w:cs="Times New Roman"/>
          <w:sz w:val="24"/>
          <w:szCs w:val="24"/>
        </w:rPr>
        <w:t>cryoprotectant</w:t>
      </w:r>
      <w:proofErr w:type="spellEnd"/>
      <w:r w:rsidR="00555D39" w:rsidRPr="00645BF5">
        <w:rPr>
          <w:rFonts w:ascii="Times New Roman" w:hAnsi="Times New Roman" w:cs="Times New Roman"/>
          <w:sz w:val="24"/>
          <w:szCs w:val="24"/>
        </w:rPr>
        <w:t xml:space="preserve"> synthesis, antioxidant </w:t>
      </w:r>
      <w:proofErr w:type="spellStart"/>
      <w:r w:rsidR="00555D39" w:rsidRPr="00645BF5">
        <w:rPr>
          <w:rFonts w:ascii="Times New Roman" w:hAnsi="Times New Roman" w:cs="Times New Roman"/>
          <w:sz w:val="24"/>
          <w:szCs w:val="24"/>
        </w:rPr>
        <w:t>defense</w:t>
      </w:r>
      <w:proofErr w:type="spellEnd"/>
      <w:r w:rsidR="00555D39" w:rsidRPr="00645BF5">
        <w:rPr>
          <w:rFonts w:ascii="Times New Roman" w:hAnsi="Times New Roman" w:cs="Times New Roman"/>
          <w:sz w:val="24"/>
          <w:szCs w:val="24"/>
        </w:rPr>
        <w:t>, and cellular repair (MacMillan and Overgaard, 2024). These studies have also identified previously unknown protective mechanisms, including specific small RNAs that regulate cold-responsive gene expression and post-translational modifications that rapidly modulate protein function during cold exposure.</w:t>
      </w:r>
    </w:p>
    <w:p w14:paraId="59E86CB9" w14:textId="77777777" w:rsidR="00555D39" w:rsidRPr="00C34A30" w:rsidRDefault="00555D39" w:rsidP="00555D39">
      <w:pPr>
        <w:spacing w:after="0" w:line="240" w:lineRule="auto"/>
        <w:jc w:val="both"/>
        <w:rPr>
          <w:rFonts w:ascii="Times New Roman" w:hAnsi="Times New Roman" w:cs="Times New Roman"/>
          <w:sz w:val="24"/>
          <w:szCs w:val="24"/>
        </w:rPr>
      </w:pPr>
    </w:p>
    <w:p w14:paraId="60C43F69" w14:textId="23431056"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4.1.1. </w:t>
      </w:r>
      <w:r w:rsidRPr="00C34A30">
        <w:rPr>
          <w:rFonts w:ascii="Times New Roman" w:hAnsi="Times New Roman" w:cs="Times New Roman"/>
          <w:b/>
          <w:bCs/>
          <w:sz w:val="24"/>
          <w:szCs w:val="24"/>
        </w:rPr>
        <w:t>Freeze Avoidance</w:t>
      </w:r>
    </w:p>
    <w:p w14:paraId="175D29FB" w14:textId="7C65F5DE" w:rsidR="00C34A30" w:rsidRPr="003A373F" w:rsidRDefault="00C34A30" w:rsidP="003A373F">
      <w:pPr>
        <w:ind w:firstLine="720"/>
        <w:jc w:val="both"/>
        <w:rPr>
          <w:rFonts w:ascii="Times New Roman" w:hAnsi="Times New Roman" w:cs="Times New Roman"/>
          <w:sz w:val="24"/>
          <w:szCs w:val="24"/>
        </w:rPr>
      </w:pPr>
      <w:r w:rsidRPr="00C34A30">
        <w:rPr>
          <w:rFonts w:ascii="Times New Roman" w:hAnsi="Times New Roman" w:cs="Times New Roman"/>
          <w:sz w:val="24"/>
          <w:szCs w:val="24"/>
        </w:rPr>
        <w:t>Freeze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avoidant insects survive winter by preventing internal ice formation altogether, even when ambient temperatures fall well below the freezing point of body fluids. This capacity is achieved by maintaining a deeply supercooled state, in which spontaneous or inoculative ice nucleation is actively suppressed (Duman</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2001; Storey </w:t>
      </w:r>
      <w:r w:rsidR="00B23514">
        <w:rPr>
          <w:rFonts w:ascii="Times New Roman" w:hAnsi="Times New Roman" w:cs="Times New Roman"/>
          <w:sz w:val="24"/>
          <w:szCs w:val="24"/>
        </w:rPr>
        <w:t>and</w:t>
      </w:r>
      <w:r w:rsidRPr="00C34A30">
        <w:rPr>
          <w:rFonts w:ascii="Times New Roman" w:hAnsi="Times New Roman" w:cs="Times New Roman"/>
          <w:sz w:val="24"/>
          <w:szCs w:val="24"/>
        </w:rPr>
        <w:t xml:space="preserve"> Storey</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2012). Because intracellular freezing is typically lethal, avoiding ice formation represents an </w:t>
      </w:r>
      <w:r w:rsidRPr="00C34A30">
        <w:rPr>
          <w:rFonts w:ascii="Times New Roman" w:hAnsi="Times New Roman" w:cs="Times New Roman"/>
          <w:sz w:val="24"/>
          <w:szCs w:val="24"/>
        </w:rPr>
        <w:lastRenderedPageBreak/>
        <w:t>effective, though precarious, solution to cold stress.</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A key feature of freeze avoidance is the accumulation of cryoprotective solutes such as glycerol, trehalose, sorbitol, and other polyols. These compounds lower the probability of ice nucleation, stabilize membranes and proteins, and reduce cellular dehydration stress. In addition, many freeze-avoidant insects eliminate endogenous ice nucleators by emptying the gut prior to winter or suppressing microbial populations that might otherwise trigger freezing.</w:t>
      </w:r>
      <w:r w:rsidRPr="003A373F">
        <w:rPr>
          <w:rFonts w:ascii="Times New Roman" w:hAnsi="Times New Roman" w:cs="Times New Roman"/>
          <w:sz w:val="24"/>
          <w:szCs w:val="24"/>
        </w:rPr>
        <w:t xml:space="preserve"> </w:t>
      </w:r>
      <w:r w:rsidR="00555D39" w:rsidRPr="00645BF5">
        <w:rPr>
          <w:rFonts w:ascii="Times New Roman" w:hAnsi="Times New Roman" w:cs="Times New Roman"/>
          <w:sz w:val="24"/>
          <w:szCs w:val="24"/>
        </w:rPr>
        <w:t>Recent metabolomic studies have revealed that cryoprotectant accumulation is dynamically regulated, with different compounds accumulating at different stages of winter preparat</w:t>
      </w:r>
      <w:r w:rsidR="00555D39">
        <w:rPr>
          <w:rFonts w:ascii="Times New Roman" w:hAnsi="Times New Roman" w:cs="Times New Roman"/>
          <w:sz w:val="24"/>
          <w:szCs w:val="24"/>
        </w:rPr>
        <w:t xml:space="preserve">ion and some being synthesized </w:t>
      </w:r>
      <w:r w:rsidR="00555D39" w:rsidRPr="00555D39">
        <w:rPr>
          <w:rFonts w:ascii="Times New Roman" w:hAnsi="Times New Roman" w:cs="Times New Roman"/>
          <w:i/>
          <w:sz w:val="24"/>
          <w:szCs w:val="24"/>
        </w:rPr>
        <w:t xml:space="preserve">de novo </w:t>
      </w:r>
      <w:r w:rsidR="00555D39" w:rsidRPr="00645BF5">
        <w:rPr>
          <w:rFonts w:ascii="Times New Roman" w:hAnsi="Times New Roman" w:cs="Times New Roman"/>
          <w:sz w:val="24"/>
          <w:szCs w:val="24"/>
        </w:rPr>
        <w:t>while others are derived from dietary sources (</w:t>
      </w:r>
      <w:proofErr w:type="spellStart"/>
      <w:r w:rsidR="00555D39" w:rsidRPr="00645BF5">
        <w:rPr>
          <w:rFonts w:ascii="Times New Roman" w:hAnsi="Times New Roman" w:cs="Times New Roman"/>
          <w:sz w:val="24"/>
          <w:szCs w:val="24"/>
        </w:rPr>
        <w:t>Koštál</w:t>
      </w:r>
      <w:proofErr w:type="spellEnd"/>
      <w:r w:rsidR="00555D39" w:rsidRPr="00645BF5">
        <w:rPr>
          <w:rFonts w:ascii="Times New Roman" w:hAnsi="Times New Roman" w:cs="Times New Roman"/>
          <w:sz w:val="24"/>
          <w:szCs w:val="24"/>
        </w:rPr>
        <w:t xml:space="preserve"> and </w:t>
      </w:r>
      <w:proofErr w:type="spellStart"/>
      <w:r w:rsidR="00555D39" w:rsidRPr="00645BF5">
        <w:rPr>
          <w:rFonts w:ascii="Times New Roman" w:hAnsi="Times New Roman" w:cs="Times New Roman"/>
          <w:sz w:val="24"/>
          <w:szCs w:val="24"/>
        </w:rPr>
        <w:t>Grgac</w:t>
      </w:r>
      <w:proofErr w:type="spellEnd"/>
      <w:r w:rsidR="00555D39" w:rsidRPr="00645BF5">
        <w:rPr>
          <w:rFonts w:ascii="Times New Roman" w:hAnsi="Times New Roman" w:cs="Times New Roman"/>
          <w:sz w:val="24"/>
          <w:szCs w:val="24"/>
        </w:rPr>
        <w:t>, 2021).</w:t>
      </w:r>
      <w:r w:rsidR="00555D39">
        <w:rPr>
          <w:rFonts w:ascii="Times New Roman" w:hAnsi="Times New Roman" w:cs="Times New Roman"/>
          <w:sz w:val="24"/>
          <w:szCs w:val="24"/>
        </w:rPr>
        <w:t xml:space="preserve"> </w:t>
      </w:r>
      <w:r w:rsidRPr="00C34A30">
        <w:rPr>
          <w:rFonts w:ascii="Times New Roman" w:hAnsi="Times New Roman" w:cs="Times New Roman"/>
          <w:sz w:val="24"/>
          <w:szCs w:val="24"/>
        </w:rPr>
        <w:t>Antifreeze proteins further enhance supercooling capacity by binding to nascent ice crystals and inhibiting their growth. Unlike colligative solutes, these proteins operate at low concentrations and modify ice crystal structure, preventing recrystallization during prolonged cold exposure or repeated freeze–thaw cycles (Duman</w:t>
      </w:r>
      <w:r w:rsidR="00B23514">
        <w:rPr>
          <w:rFonts w:ascii="Times New Roman" w:hAnsi="Times New Roman" w:cs="Times New Roman"/>
          <w:sz w:val="24"/>
          <w:szCs w:val="24"/>
        </w:rPr>
        <w:t>,</w:t>
      </w:r>
      <w:r w:rsidRPr="00C34A30">
        <w:rPr>
          <w:rFonts w:ascii="Times New Roman" w:hAnsi="Times New Roman" w:cs="Times New Roman"/>
          <w:sz w:val="24"/>
          <w:szCs w:val="24"/>
        </w:rPr>
        <w:t xml:space="preserve"> 2001). Together, these mechanisms allow freeze-avoidant species to survive in environments where temperatures are cold but relatively stable.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Despite its effectiveness, freeze avoidance carries inherent risks. Any failure to suppress ice nucleation</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particularly under conditions of high humidity or contact with external ice</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can result in rapid freezing and mortality. As a result, this strategy is most common in insects overwintering in dry, insulated microhabitats where nucleation risk is minimized.</w:t>
      </w:r>
    </w:p>
    <w:p w14:paraId="78788C94" w14:textId="78CB5515" w:rsidR="00260B2E" w:rsidRDefault="00260B2E" w:rsidP="00B23514">
      <w:pPr>
        <w:ind w:firstLine="720"/>
        <w:jc w:val="center"/>
        <w:rPr>
          <w:rFonts w:ascii="Times New Roman" w:hAnsi="Times New Roman" w:cs="Times New Roman"/>
          <w:sz w:val="24"/>
          <w:szCs w:val="24"/>
        </w:rPr>
      </w:pPr>
      <w:r w:rsidRPr="003A373F">
        <w:rPr>
          <w:rFonts w:ascii="Times New Roman" w:hAnsi="Times New Roman" w:cs="Times New Roman"/>
          <w:noProof/>
          <w:sz w:val="24"/>
          <w:szCs w:val="24"/>
          <w:lang w:val="en-US"/>
        </w:rPr>
        <w:drawing>
          <wp:inline distT="0" distB="0" distL="0" distR="0" wp14:anchorId="2B8BECE8" wp14:editId="743B3CE2">
            <wp:extent cx="3143250" cy="2543507"/>
            <wp:effectExtent l="0" t="0" r="0" b="9525"/>
            <wp:docPr id="754110720" name="Picture 4">
              <a:extLst xmlns:a="http://schemas.openxmlformats.org/drawingml/2006/main">
                <a:ext uri="{FF2B5EF4-FFF2-40B4-BE49-F238E27FC236}">
                  <a16:creationId xmlns:a16="http://schemas.microsoft.com/office/drawing/2014/main" id="{DE9354C4-8ED6-C66E-6386-9634FF7D7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9354C4-8ED6-C66E-6386-9634FF7D7552}"/>
                        </a:ext>
                      </a:extLst>
                    </pic:cNvPr>
                    <pic:cNvPicPr>
                      <a:picLocks noChangeAspect="1"/>
                    </pic:cNvPicPr>
                  </pic:nvPicPr>
                  <pic:blipFill>
                    <a:blip r:embed="rId7">
                      <a:extLst>
                        <a:ext uri="{28A0092B-C50C-407E-A947-70E740481C1C}">
                          <a14:useLocalDpi xmlns:a14="http://schemas.microsoft.com/office/drawing/2010/main" val="0"/>
                        </a:ext>
                      </a:extLst>
                    </a:blip>
                    <a:srcRect l="54137" t="32973" r="4964" b="44962"/>
                    <a:stretch>
                      <a:fillRect/>
                    </a:stretch>
                  </pic:blipFill>
                  <pic:spPr>
                    <a:xfrm>
                      <a:off x="0" y="0"/>
                      <a:ext cx="3153843" cy="2552079"/>
                    </a:xfrm>
                    <a:prstGeom prst="flowChartAlternateProcess">
                      <a:avLst/>
                    </a:prstGeom>
                  </pic:spPr>
                </pic:pic>
              </a:graphicData>
            </a:graphic>
          </wp:inline>
        </w:drawing>
      </w:r>
    </w:p>
    <w:p w14:paraId="13EC6367" w14:textId="33FBB476" w:rsidR="00EF1237" w:rsidRPr="00C34A30" w:rsidRDefault="00EF1237" w:rsidP="00B23514">
      <w:pPr>
        <w:ind w:firstLine="720"/>
        <w:jc w:val="center"/>
        <w:rPr>
          <w:rFonts w:ascii="Times New Roman" w:hAnsi="Times New Roman" w:cs="Times New Roman"/>
          <w:b/>
          <w:bCs/>
          <w:sz w:val="24"/>
          <w:szCs w:val="24"/>
        </w:rPr>
      </w:pPr>
      <w:r w:rsidRPr="00EF1237">
        <w:rPr>
          <w:rFonts w:ascii="Times New Roman" w:hAnsi="Times New Roman" w:cs="Times New Roman"/>
          <w:b/>
          <w:bCs/>
          <w:sz w:val="24"/>
          <w:szCs w:val="24"/>
        </w:rPr>
        <w:t>Fig.2 Freeze avoidance and freeze tolerance in insects</w:t>
      </w:r>
    </w:p>
    <w:p w14:paraId="6C204850" w14:textId="6E848DBE" w:rsidR="00C34A30" w:rsidRPr="00C34A30" w:rsidRDefault="00C34A30"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4.1.2. </w:t>
      </w:r>
      <w:r w:rsidRPr="00C34A30">
        <w:rPr>
          <w:rFonts w:ascii="Times New Roman" w:hAnsi="Times New Roman" w:cs="Times New Roman"/>
          <w:b/>
          <w:bCs/>
          <w:sz w:val="24"/>
          <w:szCs w:val="24"/>
        </w:rPr>
        <w:t>Freeze Tolerance</w:t>
      </w:r>
    </w:p>
    <w:p w14:paraId="2D7B270F" w14:textId="72A60579" w:rsidR="00B73C22" w:rsidRPr="00B73C22" w:rsidRDefault="00C34A30" w:rsidP="002202EB">
      <w:pPr>
        <w:spacing w:before="240" w:after="0" w:line="240" w:lineRule="auto"/>
        <w:ind w:firstLine="720"/>
        <w:jc w:val="both"/>
        <w:rPr>
          <w:rFonts w:ascii="Times New Roman" w:hAnsi="Times New Roman" w:cs="Times New Roman"/>
          <w:sz w:val="24"/>
          <w:szCs w:val="24"/>
        </w:rPr>
      </w:pPr>
      <w:r w:rsidRPr="00C34A30">
        <w:rPr>
          <w:rFonts w:ascii="Times New Roman" w:hAnsi="Times New Roman" w:cs="Times New Roman"/>
          <w:sz w:val="24"/>
          <w:szCs w:val="24"/>
        </w:rPr>
        <w:t>In contrast, freeze-tolerant insects survive by allowing their body fluids to freeze in a controlled and regulated manner. Rather than preventing ice formation, these species manage where and how ice develops, typically restricting it to extracellular spaces (Zachariassen</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1985; Ko</w:t>
      </w:r>
      <w:r w:rsidR="00B23514">
        <w:rPr>
          <w:rFonts w:ascii="Times New Roman" w:hAnsi="Times New Roman" w:cs="Times New Roman"/>
          <w:sz w:val="24"/>
          <w:szCs w:val="24"/>
        </w:rPr>
        <w:t>sta</w:t>
      </w:r>
      <w:r w:rsidRPr="00C34A30">
        <w:rPr>
          <w:rFonts w:ascii="Times New Roman" w:hAnsi="Times New Roman" w:cs="Times New Roman"/>
          <w:sz w:val="24"/>
          <w:szCs w:val="24"/>
        </w:rPr>
        <w:t xml:space="preserve">l </w:t>
      </w:r>
      <w:r w:rsidR="003A373F" w:rsidRPr="003A373F">
        <w:rPr>
          <w:rFonts w:ascii="Times New Roman" w:hAnsi="Times New Roman" w:cs="Times New Roman"/>
          <w:i/>
          <w:iCs/>
          <w:sz w:val="24"/>
          <w:szCs w:val="24"/>
        </w:rPr>
        <w:t>et al</w:t>
      </w:r>
      <w:r w:rsidRPr="00C34A30">
        <w:rPr>
          <w:rFonts w:ascii="Times New Roman" w:hAnsi="Times New Roman" w:cs="Times New Roman"/>
          <w:sz w:val="24"/>
          <w:szCs w:val="24"/>
        </w:rPr>
        <w:t>.</w:t>
      </w:r>
      <w:r w:rsidR="00B23514">
        <w:rPr>
          <w:rFonts w:ascii="Times New Roman" w:hAnsi="Times New Roman" w:cs="Times New Roman"/>
          <w:sz w:val="24"/>
          <w:szCs w:val="24"/>
        </w:rPr>
        <w:t xml:space="preserve">, </w:t>
      </w:r>
      <w:r w:rsidRPr="00C34A30">
        <w:rPr>
          <w:rFonts w:ascii="Times New Roman" w:hAnsi="Times New Roman" w:cs="Times New Roman"/>
          <w:sz w:val="24"/>
          <w:szCs w:val="24"/>
        </w:rPr>
        <w:t>2011). This approach avoids the catastrophic cellular damage associated with uncontrolled intracellular freezing.</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Freeze tolerance depends on the production of ice-nucleating proteins that initiate freezing at relatively high subzero temperatures. By triggering ice formation early, insects prevent rapid supercooling and ensure that freezing proceeds slowly and predictably. As extracellular ice forms, water is osmotically withdrawn from cells, leading to cellular dehydration rather than physical disruption.</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 xml:space="preserve">Survival under these conditions requires extensive physiological preparation. Cryoprotectants accumulate to stabilize membranes and proteins, while metabolic activity is strongly suppressed to conserve </w:t>
      </w:r>
      <w:r w:rsidRPr="00C34A30">
        <w:rPr>
          <w:rFonts w:ascii="Times New Roman" w:hAnsi="Times New Roman" w:cs="Times New Roman"/>
          <w:sz w:val="24"/>
          <w:szCs w:val="24"/>
        </w:rPr>
        <w:lastRenderedPageBreak/>
        <w:t>energy. During freezing and subsequent thawing, reactive oxygen species are generated, necessitating enhanced antioxidant defenses and efficient repair mechanisms. Following thaw, rapid restoration of ion balance and membrane integrity is essential for recovery.</w:t>
      </w:r>
      <w:r w:rsidRPr="003A373F">
        <w:rPr>
          <w:rFonts w:ascii="Times New Roman" w:hAnsi="Times New Roman" w:cs="Times New Roman"/>
          <w:sz w:val="24"/>
          <w:szCs w:val="24"/>
        </w:rPr>
        <w:t xml:space="preserve"> </w:t>
      </w:r>
      <w:r w:rsidR="00B73C22" w:rsidRPr="00645BF5">
        <w:rPr>
          <w:rFonts w:ascii="Times New Roman" w:hAnsi="Times New Roman" w:cs="Times New Roman"/>
          <w:sz w:val="24"/>
          <w:szCs w:val="24"/>
        </w:rPr>
        <w:t xml:space="preserve">Recent transcriptomic analyses have revealed that freeze tolerance involves the coordinated expression of genes encoding ice-nucleating proteins, cryoprotectant synthesis enzymes, membrane </w:t>
      </w:r>
      <w:proofErr w:type="spellStart"/>
      <w:r w:rsidR="00B73C22" w:rsidRPr="00645BF5">
        <w:rPr>
          <w:rFonts w:ascii="Times New Roman" w:hAnsi="Times New Roman" w:cs="Times New Roman"/>
          <w:sz w:val="24"/>
          <w:szCs w:val="24"/>
        </w:rPr>
        <w:t>remodeling</w:t>
      </w:r>
      <w:proofErr w:type="spellEnd"/>
      <w:r w:rsidR="00B73C22" w:rsidRPr="00645BF5">
        <w:rPr>
          <w:rFonts w:ascii="Times New Roman" w:hAnsi="Times New Roman" w:cs="Times New Roman"/>
          <w:sz w:val="24"/>
          <w:szCs w:val="24"/>
        </w:rPr>
        <w:t xml:space="preserve"> factors, and antioxidant systems (Teets and Hahn, 2022). These studies have also identified novel freeze-tolerance-associated genes, including specific aquaporins that facilitate controlled water movement during freezing and thawing. Freeze tolerance is often associated with insects exposed to highly variable or extremely cold environments, where the probability of ice formation cannot be reliably avoided. Although energetically costly, this strategy provides a robust solution in habitats where freezing is inevitable.</w:t>
      </w:r>
    </w:p>
    <w:p w14:paraId="6F372271" w14:textId="42447DB1" w:rsidR="00C34A30" w:rsidRPr="00C34A30" w:rsidRDefault="00C34A30" w:rsidP="00B73C22">
      <w:pPr>
        <w:spacing w:before="240"/>
        <w:jc w:val="both"/>
        <w:rPr>
          <w:rFonts w:ascii="Times New Roman" w:hAnsi="Times New Roman" w:cs="Times New Roman"/>
          <w:b/>
          <w:bCs/>
          <w:sz w:val="24"/>
          <w:szCs w:val="24"/>
        </w:rPr>
      </w:pPr>
      <w:r w:rsidRPr="003A373F">
        <w:rPr>
          <w:rFonts w:ascii="Times New Roman" w:hAnsi="Times New Roman" w:cs="Times New Roman"/>
          <w:b/>
          <w:bCs/>
          <w:sz w:val="24"/>
          <w:szCs w:val="24"/>
        </w:rPr>
        <w:t xml:space="preserve">4.1.3. </w:t>
      </w:r>
      <w:r w:rsidRPr="00C34A30">
        <w:rPr>
          <w:rFonts w:ascii="Times New Roman" w:hAnsi="Times New Roman" w:cs="Times New Roman"/>
          <w:b/>
          <w:bCs/>
          <w:sz w:val="24"/>
          <w:szCs w:val="24"/>
        </w:rPr>
        <w:t>Plasticity and Ecological Context</w:t>
      </w:r>
    </w:p>
    <w:p w14:paraId="478F99EB" w14:textId="7CE09795" w:rsidR="00C34A30" w:rsidRPr="00C34A30" w:rsidRDefault="00C34A30" w:rsidP="002202EB">
      <w:pPr>
        <w:spacing w:line="240" w:lineRule="auto"/>
        <w:ind w:firstLine="720"/>
        <w:jc w:val="both"/>
        <w:rPr>
          <w:rFonts w:ascii="Times New Roman" w:hAnsi="Times New Roman" w:cs="Times New Roman"/>
          <w:sz w:val="24"/>
          <w:szCs w:val="24"/>
        </w:rPr>
      </w:pPr>
      <w:r w:rsidRPr="00C34A30">
        <w:rPr>
          <w:rFonts w:ascii="Times New Roman" w:hAnsi="Times New Roman" w:cs="Times New Roman"/>
          <w:sz w:val="24"/>
          <w:szCs w:val="24"/>
        </w:rPr>
        <w:t>Cold-hardiness strategies are not always rigid. Many insects exhibit seasonal or developmental plasticity, shifting their physiological state in response to photoperiod and temperature cues. In some species, individuals may transition from freeze avoidance to partial freeze tolerance as winter progresses, reflecting changes in environmental predictability and risk.</w:t>
      </w:r>
      <w:r w:rsidRPr="003A373F">
        <w:rPr>
          <w:rFonts w:ascii="Times New Roman" w:hAnsi="Times New Roman" w:cs="Times New Roman"/>
          <w:sz w:val="24"/>
          <w:szCs w:val="24"/>
        </w:rPr>
        <w:t xml:space="preserve"> </w:t>
      </w:r>
      <w:r w:rsidRPr="00C34A30">
        <w:rPr>
          <w:rFonts w:ascii="Times New Roman" w:hAnsi="Times New Roman" w:cs="Times New Roman"/>
          <w:sz w:val="24"/>
          <w:szCs w:val="24"/>
        </w:rPr>
        <w:t>The distribution of cold-hardiness strategies across insect taxa reflects a balance between energetic investment, habitat stability, and evolutionary history. Freeze avoidance minimizes physiological disruption but requires continuous suppression of nucleation, whereas freeze tolerance accepts freezing as unavoidable and invests in damage control and recovery.</w:t>
      </w:r>
      <w:r w:rsidR="00B73C22">
        <w:rPr>
          <w:rFonts w:ascii="Times New Roman" w:hAnsi="Times New Roman" w:cs="Times New Roman"/>
          <w:sz w:val="24"/>
          <w:szCs w:val="24"/>
        </w:rPr>
        <w:t xml:space="preserve"> </w:t>
      </w:r>
      <w:r w:rsidR="00B73C22" w:rsidRPr="00645BF5">
        <w:rPr>
          <w:rFonts w:ascii="Times New Roman" w:hAnsi="Times New Roman" w:cs="Times New Roman"/>
          <w:sz w:val="24"/>
          <w:szCs w:val="24"/>
        </w:rPr>
        <w:t>Recent macroecological analyses have revealed predictable patterns in the distribution of cold-hardiness strategies across latitudinal and altitudinal gradients. Freeze tolerance predominates in highly seasonal environments with predictable severe winters, while freeze avoidance is more common in regions with milder but unpredictable cold events (Sinclair and Andersen, 2023). These patterns reflect the different selective pressures imposed by environmental predictability and highlight the importance of understanding both the mechanisms and ecological context of cold adaptation.</w:t>
      </w:r>
    </w:p>
    <w:p w14:paraId="39AC24DD"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4.2 Heat Stress and Thermal Limits</w:t>
      </w:r>
    </w:p>
    <w:p w14:paraId="5F7599E6" w14:textId="46BE0CDF" w:rsidR="006020F0" w:rsidRPr="006020F0" w:rsidRDefault="006020F0" w:rsidP="00B73C22">
      <w:pPr>
        <w:spacing w:after="0"/>
        <w:ind w:firstLine="720"/>
        <w:jc w:val="both"/>
        <w:rPr>
          <w:rFonts w:ascii="Times New Roman" w:hAnsi="Times New Roman" w:cs="Times New Roman"/>
          <w:sz w:val="24"/>
          <w:szCs w:val="24"/>
        </w:rPr>
      </w:pPr>
      <w:r w:rsidRPr="006020F0">
        <w:rPr>
          <w:rFonts w:ascii="Times New Roman" w:hAnsi="Times New Roman" w:cs="Times New Roman"/>
          <w:sz w:val="24"/>
          <w:szCs w:val="24"/>
        </w:rPr>
        <w:t>Elevated temperatures pose a fundamental challenge to insect survival by destabilizing core biochemical and cellular processes. Heat stress disrupts protein conformation, increases membrane fluidity beyond functional ranges, and accelerates metabolic reactions to rates that can no longer be physiologically sustained. Because insects are ectotherms, these effects manifest rapidly as environmental temperatures rise, leaving little intrinsic buffering against thermal extremes.</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At the cellular level, thermal stress elicits a highly conserved protective response centered on the induction of heat-shock proteins (HSPs). These molecular chaperones bind unfolded or misfolded proteins, preventing aggregation and facilitating refolding during and after heat exposure. Members of the HSP70 and small heat-shock protein families are particularly important for maintaining proteostasis under acute stress. Although HSP expression enhances short-term survival, sustained activation is metabolically expensive and may impose fitness costs by diverting resources from growth, reproduction, and immune </w:t>
      </w:r>
      <w:proofErr w:type="spellStart"/>
      <w:r w:rsidRPr="006020F0">
        <w:rPr>
          <w:rFonts w:ascii="Times New Roman" w:hAnsi="Times New Roman" w:cs="Times New Roman"/>
          <w:sz w:val="24"/>
          <w:szCs w:val="24"/>
        </w:rPr>
        <w:t>defense</w:t>
      </w:r>
      <w:proofErr w:type="spellEnd"/>
      <w:r w:rsidRPr="006020F0">
        <w:rPr>
          <w:rFonts w:ascii="Times New Roman" w:hAnsi="Times New Roman" w:cs="Times New Roman"/>
          <w:sz w:val="24"/>
          <w:szCs w:val="24"/>
        </w:rPr>
        <w:t>. These costs constrain the extent to which heat tolerance can evolve through constitutive stress protein expression</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 xml:space="preserve">(Feder </w:t>
      </w:r>
      <w:r w:rsidR="00B23514">
        <w:rPr>
          <w:rFonts w:ascii="Times New Roman" w:hAnsi="Times New Roman" w:cs="Times New Roman"/>
          <w:sz w:val="24"/>
          <w:szCs w:val="24"/>
        </w:rPr>
        <w:t>and</w:t>
      </w:r>
      <w:r w:rsidR="00B23514" w:rsidRPr="006020F0">
        <w:rPr>
          <w:rFonts w:ascii="Times New Roman" w:hAnsi="Times New Roman" w:cs="Times New Roman"/>
          <w:sz w:val="24"/>
          <w:szCs w:val="24"/>
        </w:rPr>
        <w:t xml:space="preserve"> Hofmann</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1999; S</w:t>
      </w:r>
      <w:r w:rsidR="00B23514">
        <w:rPr>
          <w:rFonts w:ascii="Times New Roman" w:hAnsi="Times New Roman" w:cs="Times New Roman"/>
          <w:sz w:val="24"/>
          <w:szCs w:val="24"/>
        </w:rPr>
        <w:t>o</w:t>
      </w:r>
      <w:r w:rsidR="00B23514" w:rsidRPr="006020F0">
        <w:rPr>
          <w:rFonts w:ascii="Times New Roman" w:hAnsi="Times New Roman" w:cs="Times New Roman"/>
          <w:sz w:val="24"/>
          <w:szCs w:val="24"/>
        </w:rPr>
        <w:t xml:space="preserve">rensen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w:t>
      </w:r>
      <w:r w:rsidR="00B23514" w:rsidRPr="006020F0">
        <w:rPr>
          <w:rFonts w:ascii="Times New Roman" w:hAnsi="Times New Roman" w:cs="Times New Roman"/>
          <w:sz w:val="24"/>
          <w:szCs w:val="24"/>
        </w:rPr>
        <w:t xml:space="preserve"> 2003)</w:t>
      </w:r>
      <w:r w:rsidRPr="006020F0">
        <w:rPr>
          <w:rFonts w:ascii="Times New Roman" w:hAnsi="Times New Roman" w:cs="Times New Roman"/>
          <w:sz w:val="24"/>
          <w:szCs w:val="24"/>
        </w:rPr>
        <w:t>.</w:t>
      </w:r>
    </w:p>
    <w:p w14:paraId="6E267C27" w14:textId="51914DC7"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 xml:space="preserve">Thermal tolerance varies markedly among insect species, populations, and life stages. Upper thermal limits are commonly assessed using critical thermal maxima or lethal temperature thresholds, which reveal consistent geographic patterns. Species from warmer or </w:t>
      </w:r>
      <w:r w:rsidRPr="006020F0">
        <w:rPr>
          <w:rFonts w:ascii="Times New Roman" w:hAnsi="Times New Roman" w:cs="Times New Roman"/>
          <w:sz w:val="24"/>
          <w:szCs w:val="24"/>
        </w:rPr>
        <w:lastRenderedPageBreak/>
        <w:t>more thermally variable environments generally tolerate higher temperatures, whereas insects from stable climates often operate close to their upper physiological limits. Comparative analyses indicate that upper thermal limits are evolutionarily conservative, exhibiting less plasticity than cold tolerance traits, a pattern attributed to fundamental constraints on enzyme stability, membrane composition, and oxygen delivery.</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Phylogenetic history further shapes thermal limits, with closely related taxa often sharing similar tolerance ranges despite occupying different environments. Experimental evolution and acclimation studies suggest that short-term thermal plasticity can modestly elevate heat tolerance, but long-term evolutionary responses are frequently constrained by trade-offs with performance at benign temperatures. As a result, increased heat tolerance may come at the expense of reduced efficiency under cooler or fluctuating </w:t>
      </w:r>
      <w:proofErr w:type="gramStart"/>
      <w:r w:rsidRPr="006020F0">
        <w:rPr>
          <w:rFonts w:ascii="Times New Roman" w:hAnsi="Times New Roman" w:cs="Times New Roman"/>
          <w:sz w:val="24"/>
          <w:szCs w:val="24"/>
        </w:rPr>
        <w:t>conditions</w:t>
      </w:r>
      <w:r w:rsidR="00B23514" w:rsidRPr="006020F0">
        <w:rPr>
          <w:rFonts w:ascii="Times New Roman" w:hAnsi="Times New Roman" w:cs="Times New Roman"/>
          <w:sz w:val="24"/>
          <w:szCs w:val="24"/>
        </w:rPr>
        <w:t>(</w:t>
      </w:r>
      <w:proofErr w:type="gramEnd"/>
      <w:r w:rsidR="00B23514" w:rsidRPr="006020F0">
        <w:rPr>
          <w:rFonts w:ascii="Times New Roman" w:hAnsi="Times New Roman" w:cs="Times New Roman"/>
          <w:sz w:val="24"/>
          <w:szCs w:val="24"/>
        </w:rPr>
        <w:t xml:space="preserve">Kellermann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2018)</w:t>
      </w:r>
      <w:r w:rsidRPr="006020F0">
        <w:rPr>
          <w:rFonts w:ascii="Times New Roman" w:hAnsi="Times New Roman" w:cs="Times New Roman"/>
          <w:sz w:val="24"/>
          <w:szCs w:val="24"/>
        </w:rPr>
        <w:t>.</w:t>
      </w:r>
    </w:p>
    <w:p w14:paraId="2B3B4BBD" w14:textId="0B8A65EB" w:rsidR="006020F0" w:rsidRPr="006020F0" w:rsidRDefault="006020F0" w:rsidP="003A373F">
      <w:pPr>
        <w:ind w:firstLine="720"/>
        <w:jc w:val="both"/>
        <w:rPr>
          <w:rFonts w:ascii="Times New Roman" w:hAnsi="Times New Roman" w:cs="Times New Roman"/>
          <w:sz w:val="24"/>
          <w:szCs w:val="24"/>
        </w:rPr>
      </w:pPr>
      <w:r w:rsidRPr="006020F0">
        <w:rPr>
          <w:rFonts w:ascii="Times New Roman" w:hAnsi="Times New Roman" w:cs="Times New Roman"/>
          <w:sz w:val="24"/>
          <w:szCs w:val="24"/>
        </w:rPr>
        <w:t>Behavioural thermoregulation provides an essential complementary mechanism for coping with heat stress. By altering activity timing, selecting cooler microhabitats, or reducing surface exposure, insects can substantially lower body temperatures relative to ambient conditions. In many species, behavioural avoidance rather than physiological tolerance determines persistence in hot environments, effectively decoupling survival from absolute thermal limits.</w:t>
      </w:r>
      <w:r w:rsidRPr="003A373F">
        <w:rPr>
          <w:rFonts w:ascii="Times New Roman" w:hAnsi="Times New Roman" w:cs="Times New Roman"/>
          <w:sz w:val="24"/>
          <w:szCs w:val="24"/>
        </w:rPr>
        <w:t xml:space="preserve"> </w:t>
      </w:r>
      <w:r w:rsidRPr="006020F0">
        <w:rPr>
          <w:rFonts w:ascii="Times New Roman" w:hAnsi="Times New Roman" w:cs="Times New Roman"/>
          <w:sz w:val="24"/>
          <w:szCs w:val="24"/>
        </w:rPr>
        <w:t xml:space="preserve">At the molecular scale, heat stress responses extend beyond classical chaperone systems. Modifications of membrane lipid composition help preserve membrane integrity, while antioxidant pathways mitigate heat-induced oxidative damage. </w:t>
      </w:r>
      <w:r w:rsidR="00B73C22" w:rsidRPr="00645BF5">
        <w:rPr>
          <w:rFonts w:ascii="Times New Roman" w:hAnsi="Times New Roman" w:cs="Times New Roman"/>
          <w:sz w:val="24"/>
          <w:szCs w:val="24"/>
        </w:rPr>
        <w:t xml:space="preserve">Recent transcriptomic studies reveal coordinated regulation of metabolic pathways, stress </w:t>
      </w:r>
      <w:proofErr w:type="spellStart"/>
      <w:r w:rsidR="00B73C22" w:rsidRPr="00645BF5">
        <w:rPr>
          <w:rFonts w:ascii="Times New Roman" w:hAnsi="Times New Roman" w:cs="Times New Roman"/>
          <w:sz w:val="24"/>
          <w:szCs w:val="24"/>
        </w:rPr>
        <w:t>signaling</w:t>
      </w:r>
      <w:proofErr w:type="spellEnd"/>
      <w:r w:rsidR="00B73C22" w:rsidRPr="00645BF5">
        <w:rPr>
          <w:rFonts w:ascii="Times New Roman" w:hAnsi="Times New Roman" w:cs="Times New Roman"/>
          <w:sz w:val="24"/>
          <w:szCs w:val="24"/>
        </w:rPr>
        <w:t xml:space="preserve"> cascades, and gene expression networks, highlighting the integrative nature of thermal adaptation (González-</w:t>
      </w:r>
      <w:proofErr w:type="spellStart"/>
      <w:r w:rsidR="00B73C22" w:rsidRPr="00645BF5">
        <w:rPr>
          <w:rFonts w:ascii="Times New Roman" w:hAnsi="Times New Roman" w:cs="Times New Roman"/>
          <w:sz w:val="24"/>
          <w:szCs w:val="24"/>
        </w:rPr>
        <w:t>Tokman</w:t>
      </w:r>
      <w:proofErr w:type="spellEnd"/>
      <w:r w:rsidR="00B73C22" w:rsidRPr="00645BF5">
        <w:rPr>
          <w:rFonts w:ascii="Times New Roman" w:hAnsi="Times New Roman" w:cs="Times New Roman"/>
          <w:sz w:val="24"/>
          <w:szCs w:val="24"/>
        </w:rPr>
        <w:t xml:space="preserve"> and Córdoba-Aguilar, 2023). </w:t>
      </w:r>
      <w:r w:rsidRPr="006020F0">
        <w:rPr>
          <w:rFonts w:ascii="Times New Roman" w:hAnsi="Times New Roman" w:cs="Times New Roman"/>
          <w:sz w:val="24"/>
          <w:szCs w:val="24"/>
        </w:rPr>
        <w:t xml:space="preserve">In the context of ongoing climate change, rising mean temperatures and increasing frequency of extreme heat events are likely to push many insects beyond their evolved thermal safety margins. Species with limited behavioural flexibility or constrained physiological plasticity may be especially vulnerable, underscoring the importance of understanding both the mechanisms and limits of insect heat tolerance when forecasting ecological responses to </w:t>
      </w:r>
      <w:r w:rsidR="00B23514" w:rsidRPr="006020F0">
        <w:rPr>
          <w:rFonts w:ascii="Times New Roman" w:hAnsi="Times New Roman" w:cs="Times New Roman"/>
          <w:sz w:val="24"/>
          <w:szCs w:val="24"/>
        </w:rPr>
        <w:t xml:space="preserve">global warming (Kellermann </w:t>
      </w:r>
      <w:r w:rsidR="00B23514" w:rsidRPr="003A373F">
        <w:rPr>
          <w:rFonts w:ascii="Times New Roman" w:hAnsi="Times New Roman" w:cs="Times New Roman"/>
          <w:i/>
          <w:iCs/>
          <w:sz w:val="24"/>
          <w:szCs w:val="24"/>
        </w:rPr>
        <w:t>et al</w:t>
      </w:r>
      <w:r w:rsidR="00B23514"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00B23514" w:rsidRPr="006020F0">
        <w:rPr>
          <w:rFonts w:ascii="Times New Roman" w:hAnsi="Times New Roman" w:cs="Times New Roman"/>
          <w:sz w:val="24"/>
          <w:szCs w:val="24"/>
        </w:rPr>
        <w:t>2018</w:t>
      </w:r>
      <w:r w:rsidR="00B73C22">
        <w:rPr>
          <w:rFonts w:ascii="Times New Roman" w:hAnsi="Times New Roman" w:cs="Times New Roman"/>
          <w:sz w:val="24"/>
          <w:szCs w:val="24"/>
        </w:rPr>
        <w:t xml:space="preserve">; </w:t>
      </w:r>
      <w:r w:rsidR="00B73C22" w:rsidRPr="00645BF5">
        <w:rPr>
          <w:rFonts w:ascii="Times New Roman" w:hAnsi="Times New Roman" w:cs="Times New Roman"/>
          <w:sz w:val="24"/>
          <w:szCs w:val="24"/>
        </w:rPr>
        <w:t xml:space="preserve">MacLean </w:t>
      </w:r>
      <w:r w:rsidR="005B2575">
        <w:rPr>
          <w:rFonts w:ascii="Times New Roman" w:hAnsi="Times New Roman" w:cs="Times New Roman"/>
          <w:sz w:val="24"/>
          <w:szCs w:val="24"/>
        </w:rPr>
        <w:t>and Overgaard</w:t>
      </w:r>
      <w:r w:rsidR="00B73C22" w:rsidRPr="00645BF5">
        <w:rPr>
          <w:rFonts w:ascii="Times New Roman" w:hAnsi="Times New Roman" w:cs="Times New Roman"/>
          <w:sz w:val="24"/>
          <w:szCs w:val="24"/>
        </w:rPr>
        <w:t>, 2020</w:t>
      </w:r>
      <w:r w:rsidR="00B23514" w:rsidRPr="006020F0">
        <w:rPr>
          <w:rFonts w:ascii="Times New Roman" w:hAnsi="Times New Roman" w:cs="Times New Roman"/>
          <w:sz w:val="24"/>
          <w:szCs w:val="24"/>
        </w:rPr>
        <w:t>)</w:t>
      </w:r>
      <w:r w:rsidRPr="006020F0">
        <w:rPr>
          <w:rFonts w:ascii="Times New Roman" w:hAnsi="Times New Roman" w:cs="Times New Roman"/>
          <w:sz w:val="24"/>
          <w:szCs w:val="24"/>
        </w:rPr>
        <w:t>.</w:t>
      </w:r>
    </w:p>
    <w:p w14:paraId="377BEC84" w14:textId="77777777" w:rsidR="006020F0" w:rsidRPr="003A373F"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 xml:space="preserve">4.3 </w:t>
      </w:r>
      <w:r w:rsidR="006020F0" w:rsidRPr="003A373F">
        <w:rPr>
          <w:rFonts w:ascii="Times New Roman" w:hAnsi="Times New Roman" w:cs="Times New Roman"/>
          <w:b/>
          <w:bCs/>
          <w:sz w:val="24"/>
          <w:szCs w:val="24"/>
        </w:rPr>
        <w:t>Desiccation Resistance and Water Balance</w:t>
      </w:r>
    </w:p>
    <w:p w14:paraId="027054D5" w14:textId="45322ACC" w:rsidR="00B73C22" w:rsidRPr="00645BF5" w:rsidRDefault="00B73C22" w:rsidP="00B73C22">
      <w:pPr>
        <w:spacing w:after="0" w:line="240" w:lineRule="auto"/>
        <w:jc w:val="both"/>
        <w:rPr>
          <w:rFonts w:ascii="Times New Roman" w:hAnsi="Times New Roman" w:cs="Times New Roman"/>
          <w:sz w:val="24"/>
          <w:szCs w:val="24"/>
        </w:rPr>
      </w:pPr>
      <w:r w:rsidRPr="00645BF5">
        <w:rPr>
          <w:rFonts w:ascii="Times New Roman" w:hAnsi="Times New Roman" w:cs="Times New Roman"/>
          <w:sz w:val="24"/>
          <w:szCs w:val="24"/>
        </w:rPr>
        <w:t>Maintenance of water balance represents one of the most persistent physiological challenges for terrestrial insects, particularly in arid and seasonally dry environments. The insect cuticle serves as the principal interface regulating water exchange with the environment, and cuticular hydrocarbons (CHCs) form the primary barrier against evaporative water loss (Gibbs, 1998). These long-chain hydrocarbons create a hydrophobic layer that limits cuticular permeability, thereby reducing passive diffusion of water from the haemolymph to the atmosphere.</w:t>
      </w:r>
      <w:r>
        <w:rPr>
          <w:rFonts w:ascii="Times New Roman" w:hAnsi="Times New Roman" w:cs="Times New Roman"/>
          <w:sz w:val="24"/>
          <w:szCs w:val="24"/>
        </w:rPr>
        <w:t xml:space="preserve"> </w:t>
      </w:r>
      <w:r w:rsidRPr="00645BF5">
        <w:rPr>
          <w:rFonts w:ascii="Times New Roman" w:hAnsi="Times New Roman" w:cs="Times New Roman"/>
          <w:sz w:val="24"/>
          <w:szCs w:val="24"/>
        </w:rPr>
        <w:t>Recent advances in analytical chemistry and genomics have revolutionized our understanding of CHC biology. High-resolution gas chromatography-mass spectrometry now enables comprehensive profiling of CHC blends, revealing that individual insect species may produce 50-100 distinct hydrocarbon compounds with chain lengths ranging from C21 to C45 (Gibbs and Rajpurohit, 2024). The specific composition of this blend—including chain length distribution, methyl branching patterns, and degree of unsaturation—determines cuticular permeability and varies dramatically among species, populations, and even developmental stages.</w:t>
      </w:r>
    </w:p>
    <w:p w14:paraId="1C103420" w14:textId="2EBCAED1" w:rsidR="00B73C22" w:rsidRPr="00645BF5" w:rsidRDefault="00B73C22" w:rsidP="00B73C22">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Importantly, CHC composition is not static. In many insects, rapid shifts in hydrocarbon chain length, branching patterns, and saturation occur in response to dehydration stress. Increases in longer-chain and more saturated hydrocarbons enhance cuticular </w:t>
      </w:r>
      <w:r w:rsidRPr="00645BF5">
        <w:rPr>
          <w:rFonts w:ascii="Times New Roman" w:hAnsi="Times New Roman" w:cs="Times New Roman"/>
          <w:sz w:val="24"/>
          <w:szCs w:val="24"/>
        </w:rPr>
        <w:lastRenderedPageBreak/>
        <w:t xml:space="preserve">waterproofing by raising the melting point of the lipid layer, thereby reducing permeability at high temperatures (Bazinet </w:t>
      </w:r>
      <w:r>
        <w:rPr>
          <w:rFonts w:ascii="Times New Roman" w:hAnsi="Times New Roman" w:cs="Times New Roman"/>
          <w:sz w:val="24"/>
          <w:szCs w:val="24"/>
        </w:rPr>
        <w:t>et al</w:t>
      </w:r>
      <w:r w:rsidRPr="00645BF5">
        <w:rPr>
          <w:rFonts w:ascii="Times New Roman" w:hAnsi="Times New Roman" w:cs="Times New Roman"/>
          <w:sz w:val="24"/>
          <w:szCs w:val="24"/>
        </w:rPr>
        <w:t>., 2010). Such plasticity allows insects to adjust water-loss resistance over ecologically relevant timescales, providing a flexible response to fluctuating humidity and temperature conditions. Recent transcriptomic studies have identified the genes underlying CHC biosynthesis</w:t>
      </w:r>
      <w:r w:rsidR="005B2575">
        <w:rPr>
          <w:rFonts w:ascii="Times New Roman" w:hAnsi="Times New Roman" w:cs="Times New Roman"/>
          <w:sz w:val="24"/>
          <w:szCs w:val="24"/>
        </w:rPr>
        <w:t xml:space="preserve"> </w:t>
      </w:r>
      <w:r w:rsidRPr="00645BF5">
        <w:rPr>
          <w:rFonts w:ascii="Times New Roman" w:hAnsi="Times New Roman" w:cs="Times New Roman"/>
          <w:sz w:val="24"/>
          <w:szCs w:val="24"/>
        </w:rPr>
        <w:t xml:space="preserve">including </w:t>
      </w:r>
      <w:proofErr w:type="spellStart"/>
      <w:r w:rsidRPr="00645BF5">
        <w:rPr>
          <w:rFonts w:ascii="Times New Roman" w:hAnsi="Times New Roman" w:cs="Times New Roman"/>
          <w:sz w:val="24"/>
          <w:szCs w:val="24"/>
        </w:rPr>
        <w:t>elongases</w:t>
      </w:r>
      <w:proofErr w:type="spellEnd"/>
      <w:r w:rsidRPr="00645BF5">
        <w:rPr>
          <w:rFonts w:ascii="Times New Roman" w:hAnsi="Times New Roman" w:cs="Times New Roman"/>
          <w:sz w:val="24"/>
          <w:szCs w:val="24"/>
        </w:rPr>
        <w:t>, desaturases, and reductases—and revealed how their expression is coordinated in response to environmental cues (Chung and Carroll, 2023).</w:t>
      </w:r>
    </w:p>
    <w:p w14:paraId="34AC7A2E" w14:textId="77777777" w:rsidR="00B73C22" w:rsidRPr="00645BF5" w:rsidRDefault="00B73C22" w:rsidP="00B73C22">
      <w:pPr>
        <w:spacing w:after="0" w:line="240" w:lineRule="auto"/>
        <w:jc w:val="both"/>
        <w:rPr>
          <w:rFonts w:ascii="Times New Roman" w:hAnsi="Times New Roman" w:cs="Times New Roman"/>
          <w:sz w:val="24"/>
          <w:szCs w:val="24"/>
        </w:rPr>
      </w:pPr>
    </w:p>
    <w:p w14:paraId="57D80649" w14:textId="77777777" w:rsidR="00B73C22" w:rsidRPr="00645BF5" w:rsidRDefault="00B73C22" w:rsidP="00B73C22">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Beyond the cuticle, respiratory water loss constitutes a major avenue of dehydration. Insects mitigate this risk through precise control of spiracle opening patterns. Discontinuous gas exchange cycles, characterized by prolonged spiracle closure interspersed with brief openings, reduce respiratory water loss while maintaining adequate oxygen supply. The prevalence and efficiency of this mechanism vary among taxa and are often correlated with habitat aridity. Recent physiological studies have revealed complex neural and neuroendocrine control systems that regulate spiracle activity, integrating information on haemolymph CO₂ levels, oxygen demand, and hydration status (Benoit and Denlinger, 2022).</w:t>
      </w:r>
    </w:p>
    <w:p w14:paraId="6935F98F" w14:textId="77777777" w:rsidR="00B73C22" w:rsidRPr="00645BF5" w:rsidRDefault="00B73C22" w:rsidP="00B73C22">
      <w:pPr>
        <w:spacing w:after="0" w:line="240" w:lineRule="auto"/>
        <w:jc w:val="both"/>
        <w:rPr>
          <w:rFonts w:ascii="Times New Roman" w:hAnsi="Times New Roman" w:cs="Times New Roman"/>
          <w:sz w:val="24"/>
          <w:szCs w:val="24"/>
        </w:rPr>
      </w:pPr>
      <w:r w:rsidRPr="00645BF5">
        <w:rPr>
          <w:rFonts w:ascii="Times New Roman" w:hAnsi="Times New Roman" w:cs="Times New Roman"/>
          <w:sz w:val="24"/>
          <w:szCs w:val="24"/>
        </w:rPr>
        <w:t xml:space="preserve">At the internal level, osmolyte accumulation further contributes to desiccation tolerance. Compounds such as trehalose, proline, and glycerol stabilize cellular structures, maintain osmotic balance, and protect macromolecules during dehydration. These solutes not only reduce water potential gradients but also interact with stress-response pathways that enhance survival under prolonged water limitation. Recent metabolomic analyses have revealed that desiccation tolerance involves coordinated accumulation of multiple osmolytes, with different compounds playing distinct roles in cellular protection, energy storage, and </w:t>
      </w:r>
      <w:proofErr w:type="spellStart"/>
      <w:r w:rsidRPr="00645BF5">
        <w:rPr>
          <w:rFonts w:ascii="Times New Roman" w:hAnsi="Times New Roman" w:cs="Times New Roman"/>
          <w:sz w:val="24"/>
          <w:szCs w:val="24"/>
        </w:rPr>
        <w:t>signaling</w:t>
      </w:r>
      <w:proofErr w:type="spellEnd"/>
      <w:r w:rsidRPr="00645BF5">
        <w:rPr>
          <w:rFonts w:ascii="Times New Roman" w:hAnsi="Times New Roman" w:cs="Times New Roman"/>
          <w:sz w:val="24"/>
          <w:szCs w:val="24"/>
        </w:rPr>
        <w:t xml:space="preserve"> (</w:t>
      </w:r>
      <w:proofErr w:type="spellStart"/>
      <w:r w:rsidRPr="00645BF5">
        <w:rPr>
          <w:rFonts w:ascii="Times New Roman" w:hAnsi="Times New Roman" w:cs="Times New Roman"/>
          <w:sz w:val="24"/>
          <w:szCs w:val="24"/>
        </w:rPr>
        <w:t>Teets</w:t>
      </w:r>
      <w:proofErr w:type="spellEnd"/>
      <w:r w:rsidRPr="00645BF5">
        <w:rPr>
          <w:rFonts w:ascii="Times New Roman" w:hAnsi="Times New Roman" w:cs="Times New Roman"/>
          <w:sz w:val="24"/>
          <w:szCs w:val="24"/>
        </w:rPr>
        <w:t xml:space="preserve"> and </w:t>
      </w:r>
      <w:proofErr w:type="spellStart"/>
      <w:r w:rsidRPr="00645BF5">
        <w:rPr>
          <w:rFonts w:ascii="Times New Roman" w:hAnsi="Times New Roman" w:cs="Times New Roman"/>
          <w:sz w:val="24"/>
          <w:szCs w:val="24"/>
        </w:rPr>
        <w:t>Gantz</w:t>
      </w:r>
      <w:proofErr w:type="spellEnd"/>
      <w:r w:rsidRPr="00645BF5">
        <w:rPr>
          <w:rFonts w:ascii="Times New Roman" w:hAnsi="Times New Roman" w:cs="Times New Roman"/>
          <w:sz w:val="24"/>
          <w:szCs w:val="24"/>
        </w:rPr>
        <w:t>, 2021).</w:t>
      </w:r>
    </w:p>
    <w:p w14:paraId="56B3CA93" w14:textId="77777777" w:rsidR="00B73C22" w:rsidRPr="00645BF5" w:rsidRDefault="00B73C22" w:rsidP="00B73C22">
      <w:pPr>
        <w:spacing w:after="0" w:line="240" w:lineRule="auto"/>
        <w:jc w:val="both"/>
        <w:rPr>
          <w:rFonts w:ascii="Times New Roman" w:hAnsi="Times New Roman" w:cs="Times New Roman"/>
          <w:sz w:val="24"/>
          <w:szCs w:val="24"/>
        </w:rPr>
      </w:pPr>
    </w:p>
    <w:p w14:paraId="50D24F02"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4.4 Detoxification and Host-Plant Specialization</w:t>
      </w:r>
    </w:p>
    <w:p w14:paraId="1A9B44AF" w14:textId="036E5F84" w:rsidR="002202EB" w:rsidRPr="00645BF5" w:rsidRDefault="006020F0" w:rsidP="002202EB">
      <w:pPr>
        <w:ind w:firstLine="720"/>
        <w:jc w:val="both"/>
        <w:rPr>
          <w:rFonts w:ascii="Times New Roman" w:hAnsi="Times New Roman" w:cs="Times New Roman"/>
          <w:sz w:val="24"/>
          <w:szCs w:val="24"/>
        </w:rPr>
      </w:pPr>
      <w:r w:rsidRPr="006020F0">
        <w:rPr>
          <w:rFonts w:ascii="Times New Roman" w:hAnsi="Times New Roman" w:cs="Times New Roman"/>
          <w:sz w:val="24"/>
          <w:szCs w:val="24"/>
        </w:rPr>
        <w:t>Herbivorous insects are routinely exposed to a diverse array of plant secondary metabolites that function as chemical defenses against consumption. Successful exploitation of such hosts depends on the evolution of efficient detoxification systems capable of neutralizing, sequestering, or excreting toxic compounds. Central to this capacity is a suite of enzymatic pathways, including cytochrome P450 monooxygenases, glutathione-S-transferases (GSTs), and carboxylesterases, which together mediate the biotransformation of structurally diverse allelochemicals (Despr</w:t>
      </w:r>
      <w:r w:rsidR="00B23514">
        <w:rPr>
          <w:rFonts w:ascii="Times New Roman" w:hAnsi="Times New Roman" w:cs="Times New Roman"/>
          <w:sz w:val="24"/>
          <w:szCs w:val="24"/>
        </w:rPr>
        <w:t>e</w:t>
      </w:r>
      <w:r w:rsidRPr="006020F0">
        <w:rPr>
          <w:rFonts w:ascii="Times New Roman" w:hAnsi="Times New Roman" w:cs="Times New Roman"/>
          <w:sz w:val="24"/>
          <w:szCs w:val="24"/>
        </w:rPr>
        <w:t xml:space="preserve">s </w:t>
      </w:r>
      <w:r w:rsidR="003A373F" w:rsidRPr="003A373F">
        <w:rPr>
          <w:rFonts w:ascii="Times New Roman" w:hAnsi="Times New Roman" w:cs="Times New Roman"/>
          <w:i/>
          <w:iCs/>
          <w:sz w:val="24"/>
          <w:szCs w:val="24"/>
        </w:rPr>
        <w:t>et al</w:t>
      </w:r>
      <w:r w:rsidRPr="006020F0">
        <w:rPr>
          <w:rFonts w:ascii="Times New Roman" w:hAnsi="Times New Roman" w:cs="Times New Roman"/>
          <w:sz w:val="24"/>
          <w:szCs w:val="24"/>
        </w:rPr>
        <w:t>.</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2007; Heidel</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 xml:space="preserve">Fischer </w:t>
      </w:r>
      <w:r w:rsidR="00B23514">
        <w:rPr>
          <w:rFonts w:ascii="Times New Roman" w:hAnsi="Times New Roman" w:cs="Times New Roman"/>
          <w:sz w:val="24"/>
          <w:szCs w:val="24"/>
        </w:rPr>
        <w:t>and</w:t>
      </w:r>
      <w:r w:rsidRPr="006020F0">
        <w:rPr>
          <w:rFonts w:ascii="Times New Roman" w:hAnsi="Times New Roman" w:cs="Times New Roman"/>
          <w:sz w:val="24"/>
          <w:szCs w:val="24"/>
        </w:rPr>
        <w:t xml:space="preserve"> Vogel</w:t>
      </w:r>
      <w:r w:rsidR="00B23514">
        <w:rPr>
          <w:rFonts w:ascii="Times New Roman" w:hAnsi="Times New Roman" w:cs="Times New Roman"/>
          <w:sz w:val="24"/>
          <w:szCs w:val="24"/>
        </w:rPr>
        <w:t xml:space="preserve">, </w:t>
      </w:r>
      <w:r w:rsidRPr="006020F0">
        <w:rPr>
          <w:rFonts w:ascii="Times New Roman" w:hAnsi="Times New Roman" w:cs="Times New Roman"/>
          <w:sz w:val="24"/>
          <w:szCs w:val="24"/>
        </w:rPr>
        <w:t>2015).</w:t>
      </w:r>
      <w:r w:rsidR="002202EB">
        <w:rPr>
          <w:rFonts w:ascii="Times New Roman" w:hAnsi="Times New Roman" w:cs="Times New Roman"/>
          <w:sz w:val="24"/>
          <w:szCs w:val="24"/>
        </w:rPr>
        <w:t xml:space="preserve"> </w:t>
      </w:r>
      <w:r w:rsidR="002202EB" w:rsidRPr="006020F0">
        <w:rPr>
          <w:rFonts w:ascii="Times New Roman" w:hAnsi="Times New Roman" w:cs="Times New Roman"/>
          <w:sz w:val="24"/>
          <w:szCs w:val="24"/>
        </w:rPr>
        <w:t xml:space="preserve">Cytochrome P450 enzymes play a particularly prominent role due to their catalytic versatility and extensive gene family expansion in phytophagous insects. These enzymes introduce reactive or polar groups into lipophilic toxins, facilitating further metabolism or elimination. GSTs and esterases often act downstream by conjugating or </w:t>
      </w:r>
      <w:r w:rsidR="002202EB" w:rsidRPr="003A373F">
        <w:rPr>
          <w:rFonts w:ascii="Times New Roman" w:hAnsi="Times New Roman" w:cs="Times New Roman"/>
          <w:sz w:val="24"/>
          <w:szCs w:val="24"/>
        </w:rPr>
        <w:t>hydrolysing</w:t>
      </w:r>
      <w:r w:rsidR="002202EB" w:rsidRPr="006020F0">
        <w:rPr>
          <w:rFonts w:ascii="Times New Roman" w:hAnsi="Times New Roman" w:cs="Times New Roman"/>
          <w:sz w:val="24"/>
          <w:szCs w:val="24"/>
        </w:rPr>
        <w:t xml:space="preserve"> modified compounds, thereby reducing their toxicity and enhancing excretion. Comparative genomic analyses reveal that expansions and regulatory diversification of these gene families are closely associated with host range breadth and dietary specialization, highlighting detoxification capacity as a key determinant of herbivore niche evolution</w:t>
      </w:r>
      <w:r w:rsidR="002202EB">
        <w:rPr>
          <w:rFonts w:ascii="Times New Roman" w:hAnsi="Times New Roman" w:cs="Times New Roman"/>
          <w:sz w:val="24"/>
          <w:szCs w:val="24"/>
        </w:rPr>
        <w:t xml:space="preserve"> (Heckel, 2021)</w:t>
      </w:r>
      <w:r w:rsidR="002202EB" w:rsidRPr="006020F0">
        <w:rPr>
          <w:rFonts w:ascii="Times New Roman" w:hAnsi="Times New Roman" w:cs="Times New Roman"/>
          <w:sz w:val="24"/>
          <w:szCs w:val="24"/>
        </w:rPr>
        <w:t>.</w:t>
      </w:r>
      <w:r w:rsidR="002202EB" w:rsidRPr="003A373F">
        <w:rPr>
          <w:rFonts w:ascii="Times New Roman" w:hAnsi="Times New Roman" w:cs="Times New Roman"/>
          <w:sz w:val="24"/>
          <w:szCs w:val="24"/>
        </w:rPr>
        <w:t xml:space="preserve"> </w:t>
      </w:r>
      <w:r w:rsidR="002202EB" w:rsidRPr="006020F0">
        <w:rPr>
          <w:rFonts w:ascii="Times New Roman" w:hAnsi="Times New Roman" w:cs="Times New Roman"/>
          <w:sz w:val="24"/>
          <w:szCs w:val="24"/>
        </w:rPr>
        <w:t xml:space="preserve">In addition to metabolic detoxification, some insects have evolved target-site insensitivity, allowing them to tolerate toxins without extensive chemical modification. A well-documented example involves insects that feed on cardenolide-producing plants. These compounds disrupt ion transport by inhibiting the Na⁺/K⁺-ATPase, an essential membrane protein. Remarkably, multiple insect lineages have independently evolved identical or functionally equivalent amino acid substitutions in the Na⁺/K⁺-ATPase that reduce cardenolide binding while preserving enzymatic function (Dobler </w:t>
      </w:r>
      <w:r w:rsidR="002202EB" w:rsidRPr="003A373F">
        <w:rPr>
          <w:rFonts w:ascii="Times New Roman" w:hAnsi="Times New Roman" w:cs="Times New Roman"/>
          <w:i/>
          <w:iCs/>
          <w:sz w:val="24"/>
          <w:szCs w:val="24"/>
        </w:rPr>
        <w:t>et al</w:t>
      </w:r>
      <w:r w:rsidR="002202EB" w:rsidRPr="006020F0">
        <w:rPr>
          <w:rFonts w:ascii="Times New Roman" w:hAnsi="Times New Roman" w:cs="Times New Roman"/>
          <w:sz w:val="24"/>
          <w:szCs w:val="24"/>
        </w:rPr>
        <w:t>.</w:t>
      </w:r>
      <w:r w:rsidR="002202EB">
        <w:rPr>
          <w:rFonts w:ascii="Times New Roman" w:hAnsi="Times New Roman" w:cs="Times New Roman"/>
          <w:sz w:val="24"/>
          <w:szCs w:val="24"/>
        </w:rPr>
        <w:t>,</w:t>
      </w:r>
      <w:r w:rsidR="002202EB" w:rsidRPr="006020F0">
        <w:rPr>
          <w:rFonts w:ascii="Times New Roman" w:hAnsi="Times New Roman" w:cs="Times New Roman"/>
          <w:sz w:val="24"/>
          <w:szCs w:val="24"/>
        </w:rPr>
        <w:t xml:space="preserve"> 2012; Zhen </w:t>
      </w:r>
      <w:r w:rsidR="002202EB" w:rsidRPr="003A373F">
        <w:rPr>
          <w:rFonts w:ascii="Times New Roman" w:hAnsi="Times New Roman" w:cs="Times New Roman"/>
          <w:i/>
          <w:iCs/>
          <w:sz w:val="24"/>
          <w:szCs w:val="24"/>
        </w:rPr>
        <w:t>et al</w:t>
      </w:r>
      <w:r w:rsidR="002202EB" w:rsidRPr="006020F0">
        <w:rPr>
          <w:rFonts w:ascii="Times New Roman" w:hAnsi="Times New Roman" w:cs="Times New Roman"/>
          <w:sz w:val="24"/>
          <w:szCs w:val="24"/>
        </w:rPr>
        <w:t>.</w:t>
      </w:r>
      <w:r w:rsidR="002202EB">
        <w:rPr>
          <w:rFonts w:ascii="Times New Roman" w:hAnsi="Times New Roman" w:cs="Times New Roman"/>
          <w:sz w:val="24"/>
          <w:szCs w:val="24"/>
        </w:rPr>
        <w:t>,</w:t>
      </w:r>
      <w:r w:rsidR="002202EB" w:rsidRPr="006020F0">
        <w:rPr>
          <w:rFonts w:ascii="Times New Roman" w:hAnsi="Times New Roman" w:cs="Times New Roman"/>
          <w:sz w:val="24"/>
          <w:szCs w:val="24"/>
        </w:rPr>
        <w:t xml:space="preserve"> 2012)</w:t>
      </w:r>
      <w:r w:rsidR="002202EB">
        <w:rPr>
          <w:rFonts w:ascii="Times New Roman" w:hAnsi="Times New Roman" w:cs="Times New Roman"/>
          <w:sz w:val="24"/>
          <w:szCs w:val="24"/>
        </w:rPr>
        <w:t xml:space="preserve"> (Fig. 4)</w:t>
      </w:r>
      <w:r w:rsidR="002202EB" w:rsidRPr="006020F0">
        <w:rPr>
          <w:rFonts w:ascii="Times New Roman" w:hAnsi="Times New Roman" w:cs="Times New Roman"/>
          <w:sz w:val="24"/>
          <w:szCs w:val="24"/>
        </w:rPr>
        <w:t>.</w:t>
      </w:r>
      <w:r w:rsidR="002202EB">
        <w:rPr>
          <w:rFonts w:ascii="Times New Roman" w:hAnsi="Times New Roman" w:cs="Times New Roman"/>
          <w:sz w:val="24"/>
          <w:szCs w:val="24"/>
        </w:rPr>
        <w:t xml:space="preserve"> </w:t>
      </w:r>
      <w:r w:rsidR="002202EB" w:rsidRPr="00645BF5">
        <w:rPr>
          <w:rFonts w:ascii="Times New Roman" w:hAnsi="Times New Roman" w:cs="Times New Roman"/>
          <w:sz w:val="24"/>
          <w:szCs w:val="24"/>
        </w:rPr>
        <w:t xml:space="preserve">Recent </w:t>
      </w:r>
      <w:r w:rsidR="002202EB" w:rsidRPr="00645BF5">
        <w:rPr>
          <w:rFonts w:ascii="Times New Roman" w:hAnsi="Times New Roman" w:cs="Times New Roman"/>
          <w:sz w:val="24"/>
          <w:szCs w:val="24"/>
        </w:rPr>
        <w:lastRenderedPageBreak/>
        <w:t>structural biology studies have elucidated the three-dimensional basis of this resistance, revealing how specific substitutions alter the cardenolide-binding pocket while maintaining the enzyme's ion transport activity (</w:t>
      </w:r>
      <w:proofErr w:type="spellStart"/>
      <w:r w:rsidR="002202EB" w:rsidRPr="00645BF5">
        <w:rPr>
          <w:rFonts w:ascii="Times New Roman" w:hAnsi="Times New Roman" w:cs="Times New Roman"/>
          <w:sz w:val="24"/>
          <w:szCs w:val="24"/>
        </w:rPr>
        <w:t>Dobler</w:t>
      </w:r>
      <w:proofErr w:type="spellEnd"/>
      <w:r w:rsidR="002202EB" w:rsidRPr="00645BF5">
        <w:rPr>
          <w:rFonts w:ascii="Times New Roman" w:hAnsi="Times New Roman" w:cs="Times New Roman"/>
          <w:sz w:val="24"/>
          <w:szCs w:val="24"/>
        </w:rPr>
        <w:t xml:space="preserve"> and </w:t>
      </w:r>
      <w:proofErr w:type="spellStart"/>
      <w:r w:rsidR="002202EB" w:rsidRPr="00645BF5">
        <w:rPr>
          <w:rFonts w:ascii="Times New Roman" w:hAnsi="Times New Roman" w:cs="Times New Roman"/>
          <w:sz w:val="24"/>
          <w:szCs w:val="24"/>
        </w:rPr>
        <w:t>Petschenka</w:t>
      </w:r>
      <w:proofErr w:type="spellEnd"/>
      <w:r w:rsidR="002202EB" w:rsidRPr="00645BF5">
        <w:rPr>
          <w:rFonts w:ascii="Times New Roman" w:hAnsi="Times New Roman" w:cs="Times New Roman"/>
          <w:sz w:val="24"/>
          <w:szCs w:val="24"/>
        </w:rPr>
        <w:t>, 2023).</w:t>
      </w:r>
    </w:p>
    <w:p w14:paraId="734D3614" w14:textId="77777777" w:rsidR="00FC3DD5" w:rsidRPr="006020F0" w:rsidRDefault="00FC3DD5" w:rsidP="003A373F">
      <w:pPr>
        <w:ind w:firstLine="720"/>
        <w:jc w:val="both"/>
        <w:rPr>
          <w:rFonts w:ascii="Times New Roman" w:hAnsi="Times New Roman" w:cs="Times New Roman"/>
          <w:sz w:val="24"/>
          <w:szCs w:val="24"/>
        </w:rPr>
      </w:pPr>
    </w:p>
    <w:p w14:paraId="56DCDD20" w14:textId="77777777" w:rsidR="00FC3DD5" w:rsidRDefault="00FC3DD5" w:rsidP="00FC3DD5">
      <w:pPr>
        <w:ind w:firstLine="142"/>
        <w:jc w:val="center"/>
        <w:rPr>
          <w:rFonts w:ascii="Times New Roman" w:hAnsi="Times New Roman" w:cs="Times New Roman"/>
          <w:sz w:val="24"/>
          <w:szCs w:val="24"/>
        </w:rPr>
      </w:pPr>
      <w:r w:rsidRPr="003A373F">
        <w:rPr>
          <w:rFonts w:ascii="Times New Roman" w:hAnsi="Times New Roman" w:cs="Times New Roman"/>
          <w:noProof/>
          <w:sz w:val="24"/>
          <w:szCs w:val="24"/>
          <w:lang w:val="en-US"/>
        </w:rPr>
        <w:drawing>
          <wp:inline distT="0" distB="0" distL="0" distR="0" wp14:anchorId="38A00E7A" wp14:editId="7B6E775F">
            <wp:extent cx="5292090" cy="4446881"/>
            <wp:effectExtent l="0" t="0" r="3810" b="0"/>
            <wp:docPr id="745985829" name="Content Placeholder 4">
              <a:extLst xmlns:a="http://schemas.openxmlformats.org/drawingml/2006/main">
                <a:ext uri="{FF2B5EF4-FFF2-40B4-BE49-F238E27FC236}">
                  <a16:creationId xmlns:a16="http://schemas.microsoft.com/office/drawing/2014/main" id="{F8B8F9F4-F3FC-9C2E-747F-8B6E5286970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8B8F9F4-F3FC-9C2E-747F-8B6E5286970E}"/>
                        </a:ext>
                      </a:extLst>
                    </pic:cNvPr>
                    <pic:cNvPicPr>
                      <a:picLocks noGrp="1" noChangeAspect="1"/>
                    </pic:cNvPicPr>
                  </pic:nvPicPr>
                  <pic:blipFill>
                    <a:blip r:embed="rId8" cstate="print">
                      <a:extLst>
                        <a:ext uri="{28A0092B-C50C-407E-A947-70E740481C1C}">
                          <a14:useLocalDpi xmlns:a14="http://schemas.microsoft.com/office/drawing/2010/main" val="0"/>
                        </a:ext>
                      </a:extLst>
                    </a:blip>
                    <a:srcRect t="27758"/>
                    <a:stretch>
                      <a:fillRect/>
                    </a:stretch>
                  </pic:blipFill>
                  <pic:spPr>
                    <a:xfrm>
                      <a:off x="0" y="0"/>
                      <a:ext cx="5388210" cy="4527649"/>
                    </a:xfrm>
                    <a:prstGeom prst="rect">
                      <a:avLst/>
                    </a:prstGeom>
                  </pic:spPr>
                </pic:pic>
              </a:graphicData>
            </a:graphic>
          </wp:inline>
        </w:drawing>
      </w:r>
    </w:p>
    <w:p w14:paraId="721C095C" w14:textId="17B8D8EB" w:rsidR="00FC3DD5" w:rsidRPr="002E0EF6" w:rsidRDefault="00FC3DD5" w:rsidP="00FC3DD5">
      <w:pPr>
        <w:ind w:firstLine="142"/>
        <w:jc w:val="center"/>
        <w:rPr>
          <w:rFonts w:ascii="Times New Roman" w:hAnsi="Times New Roman" w:cs="Times New Roman"/>
          <w:b/>
          <w:bCs/>
          <w:sz w:val="24"/>
          <w:szCs w:val="24"/>
        </w:rPr>
      </w:pPr>
      <w:r w:rsidRPr="006E4A13">
        <w:rPr>
          <w:rFonts w:ascii="Times New Roman" w:hAnsi="Times New Roman" w:cs="Times New Roman"/>
          <w:b/>
          <w:bCs/>
          <w:sz w:val="24"/>
          <w:szCs w:val="24"/>
        </w:rPr>
        <w:t>Fig.</w:t>
      </w:r>
      <w:r w:rsidR="00A60AD9">
        <w:rPr>
          <w:rFonts w:ascii="Times New Roman" w:hAnsi="Times New Roman" w:cs="Times New Roman"/>
          <w:b/>
          <w:bCs/>
          <w:sz w:val="24"/>
          <w:szCs w:val="24"/>
        </w:rPr>
        <w:t>3</w:t>
      </w:r>
      <w:r w:rsidRPr="006E4A13">
        <w:rPr>
          <w:rFonts w:ascii="Times New Roman" w:hAnsi="Times New Roman" w:cs="Times New Roman"/>
          <w:b/>
          <w:bCs/>
          <w:sz w:val="24"/>
          <w:szCs w:val="24"/>
        </w:rPr>
        <w:t>.</w:t>
      </w:r>
      <w:r>
        <w:rPr>
          <w:rFonts w:ascii="Times New Roman" w:hAnsi="Times New Roman" w:cs="Times New Roman"/>
          <w:b/>
          <w:bCs/>
          <w:sz w:val="24"/>
          <w:szCs w:val="24"/>
        </w:rPr>
        <w:t xml:space="preserve"> </w:t>
      </w:r>
      <w:r w:rsidRPr="006E4A13">
        <w:rPr>
          <w:rFonts w:ascii="Times New Roman" w:hAnsi="Times New Roman" w:cs="Times New Roman"/>
          <w:b/>
          <w:bCs/>
          <w:sz w:val="24"/>
          <w:szCs w:val="24"/>
        </w:rPr>
        <w:t xml:space="preserve">Schematic representation of different adaptation of insects for Ecological </w:t>
      </w:r>
      <w:proofErr w:type="spellStart"/>
      <w:r>
        <w:rPr>
          <w:rFonts w:ascii="Times New Roman" w:hAnsi="Times New Roman" w:cs="Times New Roman"/>
          <w:b/>
          <w:bCs/>
          <w:sz w:val="24"/>
          <w:szCs w:val="24"/>
        </w:rPr>
        <w:t>r</w:t>
      </w:r>
      <w:r w:rsidRPr="006E4A13">
        <w:rPr>
          <w:rFonts w:ascii="Times New Roman" w:hAnsi="Times New Roman" w:cs="Times New Roman"/>
          <w:b/>
          <w:bCs/>
          <w:sz w:val="24"/>
          <w:szCs w:val="24"/>
        </w:rPr>
        <w:t>esilence</w:t>
      </w:r>
      <w:proofErr w:type="spellEnd"/>
    </w:p>
    <w:p w14:paraId="7CE66FFC" w14:textId="77777777" w:rsidR="002202EB" w:rsidRPr="006020F0" w:rsidRDefault="002202EB" w:rsidP="00B73C22">
      <w:pPr>
        <w:spacing w:after="0" w:line="240" w:lineRule="auto"/>
        <w:ind w:firstLine="720"/>
        <w:jc w:val="both"/>
        <w:rPr>
          <w:rFonts w:ascii="Times New Roman" w:hAnsi="Times New Roman" w:cs="Times New Roman"/>
          <w:sz w:val="24"/>
          <w:szCs w:val="24"/>
        </w:rPr>
      </w:pPr>
    </w:p>
    <w:p w14:paraId="2F3E715A"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5. CONSTRAINTS, TRADE-OFFS, AND EVOLUTIONARY LIMITS</w:t>
      </w:r>
    </w:p>
    <w:p w14:paraId="464DCC03" w14:textId="5F5134A1" w:rsidR="00B73C22" w:rsidRPr="00645BF5"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Adaptive traits rarely evolve in isolation; rather, they are embedded within complex physiological, developmental, and ecological networks. Consequently, the evolution of any particular adaptation often carries costs that can constrain its expression and shape overall life-history strategies. For example, investment in physiological stress tolerance—such as increased heat-shock protein production, cryoprotectant synthesis, or cuticular lipid enhancement—requires substantial energetic and metabolic expenditure. These energetic demands can reduce allocation to other critical functions, including somatic growth, reproduction, or competitive ability, generating intrinsic trade-offs that influence population dynamics and evolutionary trajectories (Angilletta </w:t>
      </w:r>
      <w:r>
        <w:rPr>
          <w:rFonts w:ascii="Times New Roman" w:hAnsi="Times New Roman" w:cs="Times New Roman"/>
          <w:sz w:val="24"/>
          <w:szCs w:val="24"/>
        </w:rPr>
        <w:t>et al</w:t>
      </w:r>
      <w:r w:rsidRPr="00645BF5">
        <w:rPr>
          <w:rFonts w:ascii="Times New Roman" w:hAnsi="Times New Roman" w:cs="Times New Roman"/>
          <w:sz w:val="24"/>
          <w:szCs w:val="24"/>
        </w:rPr>
        <w:t xml:space="preserve">., 2010; Garland </w:t>
      </w:r>
      <w:r>
        <w:rPr>
          <w:rFonts w:ascii="Times New Roman" w:hAnsi="Times New Roman" w:cs="Times New Roman"/>
          <w:sz w:val="24"/>
          <w:szCs w:val="24"/>
        </w:rPr>
        <w:t>et al</w:t>
      </w:r>
      <w:r w:rsidRPr="00645BF5">
        <w:rPr>
          <w:rFonts w:ascii="Times New Roman" w:hAnsi="Times New Roman" w:cs="Times New Roman"/>
          <w:sz w:val="24"/>
          <w:szCs w:val="24"/>
        </w:rPr>
        <w:t>., 2022).</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 xml:space="preserve">Recent meta-analyses have quantified the costs of stress tolerance across diverse insect taxa, revealing consistent patterns. Heat tolerance, for instance, is often negatively correlated with fecundity and developmental rate, suggesting that maintaining thermal resilience diverts resources from reproduction (Garland and Downs, 2024). Similarly, desiccation resistance </w:t>
      </w:r>
      <w:r w:rsidRPr="00645BF5">
        <w:rPr>
          <w:rFonts w:ascii="Times New Roman" w:hAnsi="Times New Roman" w:cs="Times New Roman"/>
          <w:sz w:val="24"/>
          <w:szCs w:val="24"/>
        </w:rPr>
        <w:lastRenderedPageBreak/>
        <w:t>frequently trades off with locomotor performance, as thicker cuticles or enhanced hydrocarbon production increase body mass and reduce flight efficiency. These trade-offs create fitness landscapes with multiple adaptive peaks, with different species occupying different positions depending on their ecological context and evolutionary history.</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 xml:space="preserve">The genetic architecture underlying adaptive traits further constrains evolution. Many traits exhibit pleiotropy, where a single gene influences multiple phenotypes, or epistasis, where gene–gene interactions affect trait expression. Such correlations can restrict the directions in which natural selection can act, making some adaptive solutions more accessible than others. Comparative genomics and experimental evolution studies reveal repeated patterns of adaptation across distantly related taxa, suggesting that parallel genetic solutions are often constrained by shared developmental pathways, biochemical feasibility, or cellular architecture (Stern, 2013; Rosenblum </w:t>
      </w:r>
      <w:r>
        <w:rPr>
          <w:rFonts w:ascii="Times New Roman" w:hAnsi="Times New Roman" w:cs="Times New Roman"/>
          <w:sz w:val="24"/>
          <w:szCs w:val="24"/>
        </w:rPr>
        <w:t>et al</w:t>
      </w:r>
      <w:r w:rsidRPr="00645BF5">
        <w:rPr>
          <w:rFonts w:ascii="Times New Roman" w:hAnsi="Times New Roman" w:cs="Times New Roman"/>
          <w:sz w:val="24"/>
          <w:szCs w:val="24"/>
        </w:rPr>
        <w:t xml:space="preserve">., 2014). For example, the convergent evolution of Na⁺/K⁺-ATPase mutations in cardenolide-feeding insects demonstrates how only a limited subset of mutations simultaneously confers resistance while preserving essential enzyme function, reflecting strong mechanistic constraints on adaptive evolution (Dobler </w:t>
      </w:r>
      <w:r>
        <w:rPr>
          <w:rFonts w:ascii="Times New Roman" w:hAnsi="Times New Roman" w:cs="Times New Roman"/>
          <w:sz w:val="24"/>
          <w:szCs w:val="24"/>
        </w:rPr>
        <w:t>et al</w:t>
      </w:r>
      <w:r w:rsidRPr="00645BF5">
        <w:rPr>
          <w:rFonts w:ascii="Times New Roman" w:hAnsi="Times New Roman" w:cs="Times New Roman"/>
          <w:sz w:val="24"/>
          <w:szCs w:val="24"/>
        </w:rPr>
        <w:t>., 2012).</w:t>
      </w:r>
    </w:p>
    <w:p w14:paraId="31987C1D" w14:textId="77777777" w:rsidR="00B73C22" w:rsidRPr="00645BF5" w:rsidRDefault="00B73C22" w:rsidP="00B73C22">
      <w:pPr>
        <w:spacing w:after="0" w:line="240" w:lineRule="auto"/>
        <w:jc w:val="both"/>
        <w:rPr>
          <w:rFonts w:ascii="Times New Roman" w:hAnsi="Times New Roman" w:cs="Times New Roman"/>
          <w:sz w:val="24"/>
          <w:szCs w:val="24"/>
        </w:rPr>
      </w:pPr>
    </w:p>
    <w:p w14:paraId="509B6C28" w14:textId="743FFA5A" w:rsidR="00B73C22" w:rsidRPr="00645BF5"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Recent quantitative genetic studies have estimated the genetic variance-covariance matrix (G-matrix) for multiple adaptive traits, revealing the extent to which genetic correlations constrain evolutionary responses. In *Drosophila*, for example, strong positive genetic correlations among different stress-resistance traits suggest that selection for increased heat tolerance may simultaneously increase desiccation resistance, but trade-offs with fecundity and development time impose constraints on multivariate evolution (Flatt and Heyland, 2023). Understanding these genetic constraints is essential for predicting evolutionary responses to environmental change.</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Environmental variability imposes additional limits. Fluctuating or unpredictable conditions can prevent the full optimization of traits, as adaptations that confer high performance under one set of conditions may be deleterious under another. This principle underlies the evolution of phenotypic plasticity, in which organisms modulate trait expression according to environmental cues. Plasticity can buffer populations against short-term stress but may itself be energetically costly or genetically constrained, further illustrating the multidimensional limits on adaptation (Williams and Ragland, 2022).</w:t>
      </w:r>
    </w:p>
    <w:p w14:paraId="75911977" w14:textId="77777777" w:rsidR="00B73C22" w:rsidRPr="00645BF5" w:rsidRDefault="00B73C22" w:rsidP="00B73C22">
      <w:pPr>
        <w:spacing w:after="0" w:line="240" w:lineRule="auto"/>
        <w:jc w:val="both"/>
        <w:rPr>
          <w:rFonts w:ascii="Times New Roman" w:hAnsi="Times New Roman" w:cs="Times New Roman"/>
          <w:sz w:val="24"/>
          <w:szCs w:val="24"/>
        </w:rPr>
      </w:pPr>
    </w:p>
    <w:p w14:paraId="688BF113" w14:textId="6B59F7DA" w:rsidR="00B73C22" w:rsidRPr="00645BF5"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Evolutionary limits also arise from phylogenetic inertia and historical contingency. Closely related species often share similar trait values even when occupying different environments, reflecting constraints imposed by shared developmental systems and evolutionary history. Phylogenetic comparative methods have revealed that many stress-tolerance traits exhibit strong phylogenetic signal, meaning that evolutionary responses to selection are </w:t>
      </w:r>
      <w:r w:rsidR="00447697" w:rsidRPr="00645BF5">
        <w:rPr>
          <w:rFonts w:ascii="Times New Roman" w:hAnsi="Times New Roman" w:cs="Times New Roman"/>
          <w:sz w:val="24"/>
          <w:szCs w:val="24"/>
        </w:rPr>
        <w:t>channelled</w:t>
      </w:r>
      <w:r w:rsidRPr="00645BF5">
        <w:rPr>
          <w:rFonts w:ascii="Times New Roman" w:hAnsi="Times New Roman" w:cs="Times New Roman"/>
          <w:sz w:val="24"/>
          <w:szCs w:val="24"/>
        </w:rPr>
        <w:t xml:space="preserve"> by historical legacy (Hoffmann, 2020). This phylogenetic conservatism can limit the rate at which lineages can adapt to new environmental conditions and may explain why some clades are restricted to particular habitats while others are broadly distributed.</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Understanding constraints and trade-offs is not merely an academic exercise</w:t>
      </w:r>
      <w:r w:rsidR="00447697">
        <w:rPr>
          <w:rFonts w:ascii="Times New Roman" w:hAnsi="Times New Roman" w:cs="Times New Roman"/>
          <w:sz w:val="24"/>
          <w:szCs w:val="24"/>
        </w:rPr>
        <w:t xml:space="preserve"> </w:t>
      </w:r>
      <w:r w:rsidRPr="00645BF5">
        <w:rPr>
          <w:rFonts w:ascii="Times New Roman" w:hAnsi="Times New Roman" w:cs="Times New Roman"/>
          <w:sz w:val="24"/>
          <w:szCs w:val="24"/>
        </w:rPr>
        <w:t>it has profound implications for predicting responses to global change. If stress tolerance trades off with competitive ability or reproductive output, populations may be unable to simultaneously adapt to warming temperatures and maintain population growth rates. Similarly, if genetic correlations constrain multivariate evolution, selection may be unable to produce optimal phenotypes even when genetic variation exists for individual traits. Integrating these insights into predictive models is essential for forecasting biodiversity outcomes under climate change (Agrawal, 2021).</w:t>
      </w:r>
    </w:p>
    <w:p w14:paraId="52781A86" w14:textId="6A563356" w:rsidR="006020F0" w:rsidRDefault="006020F0" w:rsidP="003A373F">
      <w:pPr>
        <w:ind w:firstLine="720"/>
        <w:jc w:val="both"/>
        <w:rPr>
          <w:rFonts w:ascii="Times New Roman" w:hAnsi="Times New Roman" w:cs="Times New Roman"/>
          <w:sz w:val="24"/>
          <w:szCs w:val="24"/>
        </w:rPr>
      </w:pPr>
    </w:p>
    <w:p w14:paraId="2ECDA7AD" w14:textId="0A1365AA" w:rsidR="00FC3DD5" w:rsidRDefault="00FC3DD5" w:rsidP="00FC3DD5">
      <w:pPr>
        <w:ind w:firstLine="720"/>
        <w:jc w:val="center"/>
        <w:rPr>
          <w:rFonts w:ascii="Times New Roman" w:hAnsi="Times New Roman" w:cs="Times New Roman"/>
          <w:sz w:val="24"/>
          <w:szCs w:val="24"/>
        </w:rPr>
      </w:pPr>
      <w:r w:rsidRPr="003A373F">
        <w:rPr>
          <w:rFonts w:ascii="Times New Roman" w:hAnsi="Times New Roman" w:cs="Times New Roman"/>
          <w:noProof/>
          <w:sz w:val="24"/>
          <w:szCs w:val="24"/>
          <w:lang w:val="en-US"/>
        </w:rPr>
        <w:lastRenderedPageBreak/>
        <w:drawing>
          <wp:inline distT="0" distB="0" distL="0" distR="0" wp14:anchorId="252FF311" wp14:editId="6E1A3B37">
            <wp:extent cx="5486709" cy="3657600"/>
            <wp:effectExtent l="0" t="0" r="0" b="0"/>
            <wp:docPr id="1026" name="Picture 2">
              <a:extLst xmlns:a="http://schemas.openxmlformats.org/drawingml/2006/main">
                <a:ext uri="{FF2B5EF4-FFF2-40B4-BE49-F238E27FC236}">
                  <a16:creationId xmlns:a16="http://schemas.microsoft.com/office/drawing/2014/main" id="{9151FEDD-F0BF-102D-6C6B-8C28070FF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151FEDD-F0BF-102D-6C6B-8C28070FFA86}"/>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616" cy="3689536"/>
                    </a:xfrm>
                    <a:prstGeom prst="rect">
                      <a:avLst/>
                    </a:prstGeom>
                    <a:noFill/>
                  </pic:spPr>
                </pic:pic>
              </a:graphicData>
            </a:graphic>
          </wp:inline>
        </w:drawing>
      </w:r>
    </w:p>
    <w:p w14:paraId="762FD0CF" w14:textId="44568778" w:rsidR="00FC3DD5" w:rsidRPr="00FC3DD5" w:rsidRDefault="00FC3DD5" w:rsidP="00FC3DD5">
      <w:pPr>
        <w:ind w:firstLine="720"/>
        <w:jc w:val="center"/>
        <w:rPr>
          <w:rFonts w:ascii="Times New Roman" w:hAnsi="Times New Roman" w:cs="Times New Roman"/>
          <w:b/>
          <w:bCs/>
          <w:sz w:val="24"/>
          <w:szCs w:val="24"/>
        </w:rPr>
      </w:pPr>
      <w:r w:rsidRPr="00FC3DD5">
        <w:rPr>
          <w:rFonts w:ascii="Times New Roman" w:hAnsi="Times New Roman" w:cs="Times New Roman"/>
          <w:b/>
          <w:bCs/>
          <w:sz w:val="24"/>
          <w:szCs w:val="24"/>
        </w:rPr>
        <w:t>Fig.</w:t>
      </w:r>
      <w:r w:rsidR="00A60AD9">
        <w:rPr>
          <w:rFonts w:ascii="Times New Roman" w:hAnsi="Times New Roman" w:cs="Times New Roman"/>
          <w:b/>
          <w:bCs/>
          <w:sz w:val="24"/>
          <w:szCs w:val="24"/>
        </w:rPr>
        <w:t xml:space="preserve">4 </w:t>
      </w:r>
      <w:r w:rsidRPr="00FC3DD5">
        <w:rPr>
          <w:rFonts w:ascii="Times New Roman" w:hAnsi="Times New Roman" w:cs="Times New Roman"/>
          <w:b/>
          <w:bCs/>
          <w:sz w:val="24"/>
          <w:szCs w:val="24"/>
        </w:rPr>
        <w:t xml:space="preserve">Overall representation of </w:t>
      </w:r>
      <w:r>
        <w:rPr>
          <w:rFonts w:ascii="Times New Roman" w:hAnsi="Times New Roman" w:cs="Times New Roman"/>
          <w:b/>
          <w:bCs/>
          <w:sz w:val="24"/>
          <w:szCs w:val="24"/>
        </w:rPr>
        <w:t>I</w:t>
      </w:r>
      <w:r w:rsidRPr="00FC3DD5">
        <w:rPr>
          <w:rFonts w:ascii="Times New Roman" w:hAnsi="Times New Roman" w:cs="Times New Roman"/>
          <w:b/>
          <w:bCs/>
          <w:sz w:val="24"/>
          <w:szCs w:val="24"/>
        </w:rPr>
        <w:t>nsect adaptation</w:t>
      </w:r>
      <w:r>
        <w:rPr>
          <w:rFonts w:ascii="Times New Roman" w:hAnsi="Times New Roman" w:cs="Times New Roman"/>
          <w:b/>
          <w:bCs/>
          <w:sz w:val="24"/>
          <w:szCs w:val="24"/>
        </w:rPr>
        <w:t>s</w:t>
      </w:r>
    </w:p>
    <w:p w14:paraId="51AE0A83"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6. IMPLICATIONS UNDER GLOBAL CHANGE</w:t>
      </w:r>
    </w:p>
    <w:p w14:paraId="4158E489" w14:textId="3DA644BC" w:rsidR="00B73C22" w:rsidRPr="00645BF5"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Anthropogenic climate change represents an unprecedented ecological challenge, generating combinations of stressors that may exceed the evolved adaptive capacity of insects. Rising average temperatures, increased frequency of heatwaves, altered precipitation patterns, and habitat fragmentation interact in complex ways, producing environmental conditions that differ fundamentally from historical baselines (Deutsch </w:t>
      </w:r>
      <w:r>
        <w:rPr>
          <w:rFonts w:ascii="Times New Roman" w:hAnsi="Times New Roman" w:cs="Times New Roman"/>
          <w:sz w:val="24"/>
          <w:szCs w:val="24"/>
        </w:rPr>
        <w:t>et al</w:t>
      </w:r>
      <w:r w:rsidRPr="00645BF5">
        <w:rPr>
          <w:rFonts w:ascii="Times New Roman" w:hAnsi="Times New Roman" w:cs="Times New Roman"/>
          <w:sz w:val="24"/>
          <w:szCs w:val="24"/>
        </w:rPr>
        <w:t>., 2008; Buckley and Kingsolver, 2012). For organisms with rapid life cycles, such as insects, even small shifts in thermal regimes or resource availability can cascade across generations, affecting survival, reproduction, and population persistence.</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Recent global assessments have painted a concerning picture of insect responses to climate change. Widespread declines in insect abundance, biomass, and diversity have been documented across multiple continents, with climate change implicated as a primary driver alongside habitat loss and agricultural intensification (Wagner and Fox, 2021). Particularly vulnerable are species in tropical regions, which often operate near their upper thermal limits, and specialized herbivores, which may be unable to track shifting host-plant distributions. These declines have cascading consequences for ecosystem services including pollination, pest control, and nutrient cycling.</w:t>
      </w:r>
    </w:p>
    <w:p w14:paraId="0A443E9B" w14:textId="77777777" w:rsidR="00B73C22" w:rsidRPr="00645BF5" w:rsidRDefault="00B73C22" w:rsidP="00B73C22">
      <w:pPr>
        <w:spacing w:after="0" w:line="240" w:lineRule="auto"/>
        <w:jc w:val="both"/>
        <w:rPr>
          <w:rFonts w:ascii="Times New Roman" w:hAnsi="Times New Roman" w:cs="Times New Roman"/>
          <w:sz w:val="24"/>
          <w:szCs w:val="24"/>
        </w:rPr>
      </w:pPr>
    </w:p>
    <w:p w14:paraId="772263D2" w14:textId="77777777" w:rsidR="00B73C22" w:rsidRPr="00645BF5"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One of the most immediate consequences of climate change is altered phenology. Seasonal shifts in temperature and precipitation can decouple insect life cycles from the temporal availability of critical resources such as host plants, nectar sources, or prey. For instance, earlier onset of spring or delayed flowering may cause mismatches between larval feeding periods and optimal host quality, reducing growth rates and survival (Parmesan, 2006). Similarly, shifts in adult emergence timing can disrupt pollination interactions, mate availability, or predator–prey dynamics, with cascading effects on community structure. Recent long-term datasets have documented accelerating phenological shifts across diverse </w:t>
      </w:r>
      <w:r w:rsidRPr="00645BF5">
        <w:rPr>
          <w:rFonts w:ascii="Times New Roman" w:hAnsi="Times New Roman" w:cs="Times New Roman"/>
          <w:sz w:val="24"/>
          <w:szCs w:val="24"/>
        </w:rPr>
        <w:lastRenderedPageBreak/>
        <w:t xml:space="preserve">insect taxa, with some species advancing their emergence by 2-5 days per decade (Parmesan and </w:t>
      </w:r>
      <w:proofErr w:type="spellStart"/>
      <w:r w:rsidRPr="00645BF5">
        <w:rPr>
          <w:rFonts w:ascii="Times New Roman" w:hAnsi="Times New Roman" w:cs="Times New Roman"/>
          <w:sz w:val="24"/>
          <w:szCs w:val="24"/>
        </w:rPr>
        <w:t>Morecroft</w:t>
      </w:r>
      <w:proofErr w:type="spellEnd"/>
      <w:r w:rsidRPr="00645BF5">
        <w:rPr>
          <w:rFonts w:ascii="Times New Roman" w:hAnsi="Times New Roman" w:cs="Times New Roman"/>
          <w:sz w:val="24"/>
          <w:szCs w:val="24"/>
        </w:rPr>
        <w:t>, 2022).</w:t>
      </w:r>
    </w:p>
    <w:p w14:paraId="7D5C733C" w14:textId="77777777" w:rsidR="00B73C22" w:rsidRPr="00645BF5" w:rsidRDefault="00B73C22" w:rsidP="00B73C22">
      <w:pPr>
        <w:spacing w:after="0" w:line="240" w:lineRule="auto"/>
        <w:jc w:val="both"/>
        <w:rPr>
          <w:rFonts w:ascii="Times New Roman" w:hAnsi="Times New Roman" w:cs="Times New Roman"/>
          <w:sz w:val="24"/>
          <w:szCs w:val="24"/>
        </w:rPr>
      </w:pPr>
    </w:p>
    <w:p w14:paraId="6020CCF6" w14:textId="75C4898E" w:rsidR="00B73C22" w:rsidRPr="00645BF5"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Thermal variability represents another pressing concern. Many insects currently operate near their physiological thermal limits, particularly in tropical and subtropical regions where upper thermal thresholds are narrowly defined. Increased frequency of extreme heat events may surpass species' critical thermal maxima, resulting in population declines or local extirpations (Chown </w:t>
      </w:r>
      <w:r>
        <w:rPr>
          <w:rFonts w:ascii="Times New Roman" w:hAnsi="Times New Roman" w:cs="Times New Roman"/>
          <w:sz w:val="24"/>
          <w:szCs w:val="24"/>
        </w:rPr>
        <w:t>et al</w:t>
      </w:r>
      <w:r w:rsidRPr="00645BF5">
        <w:rPr>
          <w:rFonts w:ascii="Times New Roman" w:hAnsi="Times New Roman" w:cs="Times New Roman"/>
          <w:sz w:val="24"/>
          <w:szCs w:val="24"/>
        </w:rPr>
        <w:t xml:space="preserve">., 2010; Sunday </w:t>
      </w:r>
      <w:r>
        <w:rPr>
          <w:rFonts w:ascii="Times New Roman" w:hAnsi="Times New Roman" w:cs="Times New Roman"/>
          <w:sz w:val="24"/>
          <w:szCs w:val="24"/>
        </w:rPr>
        <w:t xml:space="preserve">et </w:t>
      </w:r>
      <w:r w:rsidR="00447697">
        <w:rPr>
          <w:rFonts w:ascii="Times New Roman" w:hAnsi="Times New Roman" w:cs="Times New Roman"/>
          <w:sz w:val="24"/>
          <w:szCs w:val="24"/>
        </w:rPr>
        <w:t>al</w:t>
      </w:r>
      <w:r w:rsidRPr="00645BF5">
        <w:rPr>
          <w:rFonts w:ascii="Times New Roman" w:hAnsi="Times New Roman" w:cs="Times New Roman"/>
          <w:sz w:val="24"/>
          <w:szCs w:val="24"/>
        </w:rPr>
        <w:t xml:space="preserve">., 2011). Even species capable of behavioural thermoregulation or acclimation may be unable to buffer against rapid or extreme fluctuations, particularly in fragmented or urbanized landscapes where microclimatic refuges are limited. Recent </w:t>
      </w:r>
      <w:proofErr w:type="spellStart"/>
      <w:r w:rsidRPr="00645BF5">
        <w:rPr>
          <w:rFonts w:ascii="Times New Roman" w:hAnsi="Times New Roman" w:cs="Times New Roman"/>
          <w:sz w:val="24"/>
          <w:szCs w:val="24"/>
        </w:rPr>
        <w:t>modeling</w:t>
      </w:r>
      <w:proofErr w:type="spellEnd"/>
      <w:r w:rsidRPr="00645BF5">
        <w:rPr>
          <w:rFonts w:ascii="Times New Roman" w:hAnsi="Times New Roman" w:cs="Times New Roman"/>
          <w:sz w:val="24"/>
          <w:szCs w:val="24"/>
        </w:rPr>
        <w:t xml:space="preserve"> studies suggest that even modest warming (2-3°C) could expose tropical insects to temperatures exceeding their current thermal limits, potentially triggering widespread extinctions (Deutsch </w:t>
      </w:r>
      <w:r w:rsidR="00447697">
        <w:rPr>
          <w:rFonts w:ascii="Times New Roman" w:hAnsi="Times New Roman" w:cs="Times New Roman"/>
          <w:sz w:val="24"/>
          <w:szCs w:val="24"/>
        </w:rPr>
        <w:t>and Tewksbury</w:t>
      </w:r>
      <w:r w:rsidRPr="00645BF5">
        <w:rPr>
          <w:rFonts w:ascii="Times New Roman" w:hAnsi="Times New Roman" w:cs="Times New Roman"/>
          <w:sz w:val="24"/>
          <w:szCs w:val="24"/>
        </w:rPr>
        <w:t>, 2024).</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Habitat fragmentation further compounds these challenges. The spatial isolation of suitable microhabitats restricts movement and reduces opportunities for dispersal or migration, thereby limiting access to thermal refuges and resources. Species with low dispersal ability or specialized habitat requirements are particularly vulnerable, highlighting the interactive effects of climatic and landscape-level stressors on population viability. Conservation strategies that maintain or restore habitat connectivity are therefore critical for enabling range shifts and facilitating access to microclimatic refugia (Harvey and Tougeron, 2023).</w:t>
      </w:r>
    </w:p>
    <w:p w14:paraId="6563D11B" w14:textId="77777777" w:rsidR="00B73C22" w:rsidRPr="00645BF5" w:rsidRDefault="00B73C22" w:rsidP="00B73C22">
      <w:pPr>
        <w:spacing w:after="0" w:line="240" w:lineRule="auto"/>
        <w:jc w:val="both"/>
        <w:rPr>
          <w:rFonts w:ascii="Times New Roman" w:hAnsi="Times New Roman" w:cs="Times New Roman"/>
          <w:sz w:val="24"/>
          <w:szCs w:val="24"/>
        </w:rPr>
      </w:pPr>
    </w:p>
    <w:p w14:paraId="0277FDF6" w14:textId="50F45D4A" w:rsidR="00B73C22" w:rsidRPr="00645BF5"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 xml:space="preserve">Global change also exerts selective pressures that may alter evolutionary trajectories. Populations exposed to novel combinations of temperature extremes, drought, and chemical stressors may experience shifts in selective regimes that favour rapid plastic responses or the evolution of new physiological and behavioural traits. However, evolutionary responses are constrained by genetic architecture, life-history trade-offs, and the rate of environmental change relative to generation time. Consequently, even highly adaptable taxa such as insects may face limits to their resilience under the pace and magnitude of current climate shifts (Hoffmann and </w:t>
      </w:r>
      <w:proofErr w:type="spellStart"/>
      <w:r w:rsidRPr="00645BF5">
        <w:rPr>
          <w:rFonts w:ascii="Times New Roman" w:hAnsi="Times New Roman" w:cs="Times New Roman"/>
          <w:sz w:val="24"/>
          <w:szCs w:val="24"/>
        </w:rPr>
        <w:t>Sgrò</w:t>
      </w:r>
      <w:proofErr w:type="spellEnd"/>
      <w:r w:rsidRPr="00645BF5">
        <w:rPr>
          <w:rFonts w:ascii="Times New Roman" w:hAnsi="Times New Roman" w:cs="Times New Roman"/>
          <w:sz w:val="24"/>
          <w:szCs w:val="24"/>
        </w:rPr>
        <w:t>, 2023).</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Trophic interactions add another layer of complexity. Climate change can disrupt predator–prey relationships, host–</w:t>
      </w:r>
      <w:proofErr w:type="spellStart"/>
      <w:r w:rsidRPr="00645BF5">
        <w:rPr>
          <w:rFonts w:ascii="Times New Roman" w:hAnsi="Times New Roman" w:cs="Times New Roman"/>
          <w:sz w:val="24"/>
          <w:szCs w:val="24"/>
        </w:rPr>
        <w:t>parasitoid</w:t>
      </w:r>
      <w:proofErr w:type="spellEnd"/>
      <w:r w:rsidRPr="00645BF5">
        <w:rPr>
          <w:rFonts w:ascii="Times New Roman" w:hAnsi="Times New Roman" w:cs="Times New Roman"/>
          <w:sz w:val="24"/>
          <w:szCs w:val="24"/>
        </w:rPr>
        <w:t xml:space="preserve"> dynamics, and plant–herbivore interactions through differential responses among interacting species. For example, if herbivorous insects shift their phenology more rapidly than their host plants, or if predators fail to track prey distributions, entire food webs may be destabilized (Rosenblatt and Schmitz, 2021). Understanding these community-level effects requires integrating physiological responses with ecological network approaches.</w:t>
      </w:r>
    </w:p>
    <w:p w14:paraId="505681A3" w14:textId="77777777" w:rsidR="00B73C22" w:rsidRPr="00645BF5" w:rsidRDefault="00B73C22" w:rsidP="00B73C22">
      <w:pPr>
        <w:spacing w:after="0" w:line="240" w:lineRule="auto"/>
        <w:jc w:val="both"/>
        <w:rPr>
          <w:rFonts w:ascii="Times New Roman" w:hAnsi="Times New Roman" w:cs="Times New Roman"/>
          <w:sz w:val="24"/>
          <w:szCs w:val="24"/>
        </w:rPr>
      </w:pPr>
    </w:p>
    <w:p w14:paraId="45C4BE7E" w14:textId="5D179355" w:rsidR="00B73C22" w:rsidRDefault="00B73C22" w:rsidP="002202EB">
      <w:pPr>
        <w:spacing w:after="0" w:line="240" w:lineRule="auto"/>
        <w:ind w:firstLine="720"/>
        <w:jc w:val="both"/>
        <w:rPr>
          <w:rFonts w:ascii="Times New Roman" w:hAnsi="Times New Roman" w:cs="Times New Roman"/>
          <w:sz w:val="24"/>
          <w:szCs w:val="24"/>
        </w:rPr>
      </w:pPr>
      <w:r w:rsidRPr="00645BF5">
        <w:rPr>
          <w:rFonts w:ascii="Times New Roman" w:hAnsi="Times New Roman" w:cs="Times New Roman"/>
          <w:sz w:val="24"/>
          <w:szCs w:val="24"/>
        </w:rPr>
        <w:t>Understanding these dynamics requires integrative approaches that combine long-term ecological monitoring, experimental manipulations, and functional genomics. Mechanistic models that link thermal tolerance, phenological responses, and dispersal capacity with climate projections are essential for predicting species- and community-level outcomes (Buckley and Kingsolver, 2022). Such frameworks can inform conservation strategies, including the identification of thermal refugia, management of habitat connectivity, and protection of keystone insect taxa that underpin ecosystem services.</w:t>
      </w:r>
      <w:r w:rsidR="002202EB">
        <w:rPr>
          <w:rFonts w:ascii="Times New Roman" w:hAnsi="Times New Roman" w:cs="Times New Roman"/>
          <w:sz w:val="24"/>
          <w:szCs w:val="24"/>
        </w:rPr>
        <w:t xml:space="preserve"> </w:t>
      </w:r>
      <w:r w:rsidRPr="00645BF5">
        <w:rPr>
          <w:rFonts w:ascii="Times New Roman" w:hAnsi="Times New Roman" w:cs="Times New Roman"/>
          <w:sz w:val="24"/>
          <w:szCs w:val="24"/>
        </w:rPr>
        <w:t xml:space="preserve">Recent advances in predictive </w:t>
      </w:r>
      <w:proofErr w:type="spellStart"/>
      <w:r w:rsidRPr="00645BF5">
        <w:rPr>
          <w:rFonts w:ascii="Times New Roman" w:hAnsi="Times New Roman" w:cs="Times New Roman"/>
          <w:sz w:val="24"/>
          <w:szCs w:val="24"/>
        </w:rPr>
        <w:t>modeling</w:t>
      </w:r>
      <w:proofErr w:type="spellEnd"/>
      <w:r w:rsidRPr="00645BF5">
        <w:rPr>
          <w:rFonts w:ascii="Times New Roman" w:hAnsi="Times New Roman" w:cs="Times New Roman"/>
          <w:sz w:val="24"/>
          <w:szCs w:val="24"/>
        </w:rPr>
        <w:t xml:space="preserve"> have incorporated physiological data to improve forecasts of climate change impacts. Species distribution models that include mechanistic representations of thermal tolerance outperform purely correlative approaches, particularly when projecting responses to novel climatic conditions (Sunday </w:t>
      </w:r>
      <w:r w:rsidR="00447697">
        <w:rPr>
          <w:rFonts w:ascii="Times New Roman" w:hAnsi="Times New Roman" w:cs="Times New Roman"/>
          <w:sz w:val="24"/>
          <w:szCs w:val="24"/>
        </w:rPr>
        <w:t>and Bates</w:t>
      </w:r>
      <w:r w:rsidRPr="00645BF5">
        <w:rPr>
          <w:rFonts w:ascii="Times New Roman" w:hAnsi="Times New Roman" w:cs="Times New Roman"/>
          <w:sz w:val="24"/>
          <w:szCs w:val="24"/>
        </w:rPr>
        <w:t xml:space="preserve">, 2021). Similarly, dynamic energy budget models that link temperature effects on metabolism to population dynamics provide mechanistic insights into vulnerability. These approaches highlight the importance of physiological data for conservation planning and underscore the need for </w:t>
      </w:r>
      <w:r w:rsidRPr="00645BF5">
        <w:rPr>
          <w:rFonts w:ascii="Times New Roman" w:hAnsi="Times New Roman" w:cs="Times New Roman"/>
          <w:sz w:val="24"/>
          <w:szCs w:val="24"/>
        </w:rPr>
        <w:lastRenderedPageBreak/>
        <w:t>continued research on insect adaptive capacities.</w:t>
      </w:r>
      <w:r w:rsidR="00447697">
        <w:rPr>
          <w:rFonts w:ascii="Times New Roman" w:hAnsi="Times New Roman" w:cs="Times New Roman"/>
          <w:sz w:val="24"/>
          <w:szCs w:val="24"/>
        </w:rPr>
        <w:t xml:space="preserve"> </w:t>
      </w:r>
      <w:r w:rsidRPr="00645BF5">
        <w:rPr>
          <w:rFonts w:ascii="Times New Roman" w:hAnsi="Times New Roman" w:cs="Times New Roman"/>
          <w:sz w:val="24"/>
          <w:szCs w:val="24"/>
        </w:rPr>
        <w:t>In summary, global change presents multifactorial stress that challenges the very foundations of insect ecological success. The interplay between environmental extremes, adaptive capacity, and evolutionary constraints will determine which species persist, which shift ranges, and which decline, with profound consequences for biodiversity, ecosystem stability, and human well-being.</w:t>
      </w:r>
    </w:p>
    <w:p w14:paraId="0ECAC223" w14:textId="77777777" w:rsidR="00447697" w:rsidRPr="00645BF5" w:rsidRDefault="00447697" w:rsidP="00B73C22">
      <w:pPr>
        <w:spacing w:after="0" w:line="240" w:lineRule="auto"/>
        <w:jc w:val="both"/>
        <w:rPr>
          <w:rFonts w:ascii="Times New Roman" w:hAnsi="Times New Roman" w:cs="Times New Roman"/>
          <w:sz w:val="24"/>
          <w:szCs w:val="24"/>
        </w:rPr>
      </w:pPr>
    </w:p>
    <w:p w14:paraId="61994B97" w14:textId="77777777" w:rsidR="002E0EF6" w:rsidRPr="002E0EF6" w:rsidRDefault="002E0EF6" w:rsidP="003A373F">
      <w:pPr>
        <w:jc w:val="both"/>
        <w:rPr>
          <w:rFonts w:ascii="Times New Roman" w:hAnsi="Times New Roman" w:cs="Times New Roman"/>
          <w:b/>
          <w:bCs/>
          <w:sz w:val="24"/>
          <w:szCs w:val="24"/>
        </w:rPr>
      </w:pPr>
      <w:r w:rsidRPr="002E0EF6">
        <w:rPr>
          <w:rFonts w:ascii="Times New Roman" w:hAnsi="Times New Roman" w:cs="Times New Roman"/>
          <w:b/>
          <w:bCs/>
          <w:sz w:val="24"/>
          <w:szCs w:val="24"/>
        </w:rPr>
        <w:t>7. CONCLUSIONS</w:t>
      </w:r>
    </w:p>
    <w:p w14:paraId="75A25067" w14:textId="05BECD27" w:rsidR="00B73C22" w:rsidRPr="00645BF5" w:rsidRDefault="00B72E3B" w:rsidP="002202EB">
      <w:pPr>
        <w:spacing w:after="0" w:line="240" w:lineRule="auto"/>
        <w:ind w:firstLine="720"/>
        <w:jc w:val="both"/>
        <w:rPr>
          <w:rFonts w:ascii="Times New Roman" w:hAnsi="Times New Roman" w:cs="Times New Roman"/>
          <w:sz w:val="24"/>
          <w:szCs w:val="24"/>
        </w:rPr>
      </w:pPr>
      <w:r w:rsidRPr="00B72E3B">
        <w:rPr>
          <w:rFonts w:ascii="Times New Roman" w:hAnsi="Times New Roman" w:cs="Times New Roman"/>
          <w:sz w:val="24"/>
          <w:szCs w:val="24"/>
        </w:rPr>
        <w:t>Insects represent a pinnacle of evolutionary adaptability, demonstrating that ecological success arises not from singular innovations, but from the integration of behavioural, morphological, physiological, and molecular strategies. These adaptive layers operate synergistically, allowing insects to buffer environmental extremes, optimize resource use, and maintain population persistence across heterogeneous landscapes. Behavioural flexibility</w:t>
      </w:r>
      <w:r w:rsidR="00447697">
        <w:rPr>
          <w:rFonts w:ascii="Times New Roman" w:hAnsi="Times New Roman" w:cs="Times New Roman"/>
          <w:sz w:val="24"/>
          <w:szCs w:val="24"/>
        </w:rPr>
        <w:t xml:space="preserve"> </w:t>
      </w:r>
      <w:r w:rsidRPr="00B72E3B">
        <w:rPr>
          <w:rFonts w:ascii="Times New Roman" w:hAnsi="Times New Roman" w:cs="Times New Roman"/>
          <w:sz w:val="24"/>
          <w:szCs w:val="24"/>
        </w:rPr>
        <w:t>including migration, thermoregulation, and predator avoidance</w:t>
      </w:r>
      <w:r w:rsidR="00447697">
        <w:rPr>
          <w:rFonts w:ascii="Times New Roman" w:hAnsi="Times New Roman" w:cs="Times New Roman"/>
          <w:sz w:val="24"/>
          <w:szCs w:val="24"/>
        </w:rPr>
        <w:t xml:space="preserve"> </w:t>
      </w:r>
      <w:r w:rsidRPr="00B72E3B">
        <w:rPr>
          <w:rFonts w:ascii="Times New Roman" w:hAnsi="Times New Roman" w:cs="Times New Roman"/>
          <w:sz w:val="24"/>
          <w:szCs w:val="24"/>
        </w:rPr>
        <w:t xml:space="preserve">reduces immediate exposure to stressors, while morphological traits such as mimicry, crypsis, and cuticular modification provide structural resilience. Physiological and molecular mechanisms, from heat-shock protein induction to osmolyte accumulation and enzymatic detoxification, stabilize internal homeostasis when environmental extremes cannot be avoided (Huey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2002; Feder </w:t>
      </w:r>
      <w:r w:rsidR="00FC3DD5">
        <w:rPr>
          <w:rFonts w:ascii="Times New Roman" w:hAnsi="Times New Roman" w:cs="Times New Roman"/>
          <w:sz w:val="24"/>
          <w:szCs w:val="24"/>
        </w:rPr>
        <w:t>and</w:t>
      </w:r>
      <w:r w:rsidRPr="00B72E3B">
        <w:rPr>
          <w:rFonts w:ascii="Times New Roman" w:hAnsi="Times New Roman" w:cs="Times New Roman"/>
          <w:sz w:val="24"/>
          <w:szCs w:val="24"/>
        </w:rPr>
        <w:t xml:space="preserve"> Hofmann</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1999; Gibbs</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1998; Dobler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w:t>
      </w:r>
      <w:r w:rsidRPr="003A373F">
        <w:rPr>
          <w:rFonts w:ascii="Times New Roman" w:hAnsi="Times New Roman" w:cs="Times New Roman"/>
          <w:sz w:val="24"/>
          <w:szCs w:val="24"/>
        </w:rPr>
        <w:t xml:space="preserve"> </w:t>
      </w:r>
      <w:r w:rsidR="00B73C22" w:rsidRPr="00645BF5">
        <w:rPr>
          <w:rFonts w:ascii="Times New Roman" w:hAnsi="Times New Roman" w:cs="Times New Roman"/>
          <w:sz w:val="24"/>
          <w:szCs w:val="24"/>
        </w:rPr>
        <w:t>Recent advances have revealed the remarkable depth and complexity of these adaptations. Genomic studies have uncovered the genetic basis of convergent evolution in traits ranging from wing patterns to toxin resistance, demonstrating that evolutionary predictability emerges from shared developmental and biochemical constraints (</w:t>
      </w:r>
      <w:proofErr w:type="spellStart"/>
      <w:r w:rsidR="00B73C22" w:rsidRPr="00645BF5">
        <w:rPr>
          <w:rFonts w:ascii="Times New Roman" w:hAnsi="Times New Roman" w:cs="Times New Roman"/>
          <w:sz w:val="24"/>
          <w:szCs w:val="24"/>
        </w:rPr>
        <w:t>Jiggins</w:t>
      </w:r>
      <w:proofErr w:type="spellEnd"/>
      <w:r w:rsidR="00B73C22" w:rsidRPr="00645BF5">
        <w:rPr>
          <w:rFonts w:ascii="Times New Roman" w:hAnsi="Times New Roman" w:cs="Times New Roman"/>
          <w:sz w:val="24"/>
          <w:szCs w:val="24"/>
        </w:rPr>
        <w:t xml:space="preserve"> and McMillan, 2024; Vogel and Heckel, 2024). Neurobiological research has elucidated the neural circuits underlying complex behaviours including migration, diapause, and anti-predator responses, revealing conserved mechanisms across diverse insect lineages (Merlin and </w:t>
      </w:r>
      <w:proofErr w:type="spellStart"/>
      <w:r w:rsidR="00B73C22" w:rsidRPr="00645BF5">
        <w:rPr>
          <w:rFonts w:ascii="Times New Roman" w:hAnsi="Times New Roman" w:cs="Times New Roman"/>
          <w:sz w:val="24"/>
          <w:szCs w:val="24"/>
        </w:rPr>
        <w:t>Liedvogel</w:t>
      </w:r>
      <w:proofErr w:type="spellEnd"/>
      <w:r w:rsidR="00B73C22" w:rsidRPr="00645BF5">
        <w:rPr>
          <w:rFonts w:ascii="Times New Roman" w:hAnsi="Times New Roman" w:cs="Times New Roman"/>
          <w:sz w:val="24"/>
          <w:szCs w:val="24"/>
        </w:rPr>
        <w:t xml:space="preserve">, 2023; </w:t>
      </w:r>
      <w:proofErr w:type="spellStart"/>
      <w:r w:rsidR="00B73C22" w:rsidRPr="00645BF5">
        <w:rPr>
          <w:rFonts w:ascii="Times New Roman" w:hAnsi="Times New Roman" w:cs="Times New Roman"/>
          <w:sz w:val="24"/>
          <w:szCs w:val="24"/>
        </w:rPr>
        <w:t>Ratcliffe</w:t>
      </w:r>
      <w:proofErr w:type="spellEnd"/>
      <w:r w:rsidR="00B73C22" w:rsidRPr="00645BF5">
        <w:rPr>
          <w:rFonts w:ascii="Times New Roman" w:hAnsi="Times New Roman" w:cs="Times New Roman"/>
          <w:sz w:val="24"/>
          <w:szCs w:val="24"/>
        </w:rPr>
        <w:t xml:space="preserve"> and Conner, 2024). Physiological omics have provided unprecedented resolution into the molecular changes accompanying stress responses, identifying novel protective mechanisms and revealing the integrated nature of adaptive systems (MacMillan and Overgaard, 2024; Sørensen and Overgaard, 2024).</w:t>
      </w:r>
    </w:p>
    <w:p w14:paraId="60D0DCE9" w14:textId="6F05C7E1" w:rsidR="00B72E3B" w:rsidRPr="00B72E3B" w:rsidRDefault="00B72E3B" w:rsidP="002202EB">
      <w:pPr>
        <w:ind w:firstLine="720"/>
        <w:jc w:val="both"/>
        <w:rPr>
          <w:rFonts w:ascii="Times New Roman" w:hAnsi="Times New Roman" w:cs="Times New Roman"/>
          <w:sz w:val="24"/>
          <w:szCs w:val="24"/>
        </w:rPr>
      </w:pPr>
      <w:r w:rsidRPr="00B72E3B">
        <w:rPr>
          <w:rFonts w:ascii="Times New Roman" w:hAnsi="Times New Roman" w:cs="Times New Roman"/>
          <w:sz w:val="24"/>
          <w:szCs w:val="24"/>
        </w:rPr>
        <w:t xml:space="preserve">The evolutionary dynamics of these systems are shaped by a combination of natural selection, developmental plasticity, and intrinsic constraints. Trade-offs between stress tolerance and reproductive output, coupled with genetic and biochemical limitations, determine the boundaries of adaptive potential (Angilletta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2010; Stern</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2013). Recurrent patterns of convergent evolution</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observed in phenomena such as Müllerian mimicry and molecular resistance to plant toxins</w:t>
      </w:r>
      <w:r w:rsidR="00FC3DD5">
        <w:rPr>
          <w:rFonts w:ascii="Times New Roman" w:hAnsi="Times New Roman" w:cs="Times New Roman"/>
          <w:sz w:val="24"/>
          <w:szCs w:val="24"/>
        </w:rPr>
        <w:t xml:space="preserve"> </w:t>
      </w:r>
      <w:r w:rsidRPr="00B72E3B">
        <w:rPr>
          <w:rFonts w:ascii="Times New Roman" w:hAnsi="Times New Roman" w:cs="Times New Roman"/>
          <w:sz w:val="24"/>
          <w:szCs w:val="24"/>
        </w:rPr>
        <w:t xml:space="preserve">highlight both the predictability of adaptive responses and the constraints imposed by shared physiological and developmental architectures (Joron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2011; Zhen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2012).</w:t>
      </w:r>
      <w:r w:rsidR="002202EB">
        <w:rPr>
          <w:rFonts w:ascii="Times New Roman" w:hAnsi="Times New Roman" w:cs="Times New Roman"/>
          <w:sz w:val="24"/>
          <w:szCs w:val="24"/>
        </w:rPr>
        <w:t xml:space="preserve"> </w:t>
      </w:r>
      <w:r w:rsidRPr="00B72E3B">
        <w:rPr>
          <w:rFonts w:ascii="Times New Roman" w:hAnsi="Times New Roman" w:cs="Times New Roman"/>
          <w:sz w:val="24"/>
          <w:szCs w:val="24"/>
        </w:rPr>
        <w:t xml:space="preserve">Under accelerating global change, these integrated systems are increasingly tested. Rising temperatures, shifting precipitation regimes, habitat fragmentation, and altered </w:t>
      </w:r>
      <w:proofErr w:type="spellStart"/>
      <w:r w:rsidRPr="00B72E3B">
        <w:rPr>
          <w:rFonts w:ascii="Times New Roman" w:hAnsi="Times New Roman" w:cs="Times New Roman"/>
          <w:sz w:val="24"/>
          <w:szCs w:val="24"/>
        </w:rPr>
        <w:t>phenologies</w:t>
      </w:r>
      <w:proofErr w:type="spellEnd"/>
      <w:r w:rsidRPr="00B72E3B">
        <w:rPr>
          <w:rFonts w:ascii="Times New Roman" w:hAnsi="Times New Roman" w:cs="Times New Roman"/>
          <w:sz w:val="24"/>
          <w:szCs w:val="24"/>
        </w:rPr>
        <w:t xml:space="preserve"> may exceed the buffering capacities of even highly resilient taxa (Deutsch </w:t>
      </w:r>
      <w:r w:rsidR="003A373F" w:rsidRPr="003A373F">
        <w:rPr>
          <w:rFonts w:ascii="Times New Roman" w:hAnsi="Times New Roman" w:cs="Times New Roman"/>
          <w:i/>
          <w:iCs/>
          <w:sz w:val="24"/>
          <w:szCs w:val="24"/>
        </w:rPr>
        <w:t>et al</w:t>
      </w:r>
      <w:r w:rsidRPr="00B72E3B">
        <w:rPr>
          <w:rFonts w:ascii="Times New Roman" w:hAnsi="Times New Roman" w:cs="Times New Roman"/>
          <w:sz w:val="24"/>
          <w:szCs w:val="24"/>
        </w:rPr>
        <w:t>.</w:t>
      </w:r>
      <w:r w:rsidR="00FC3DD5">
        <w:rPr>
          <w:rFonts w:ascii="Times New Roman" w:hAnsi="Times New Roman" w:cs="Times New Roman"/>
          <w:sz w:val="24"/>
          <w:szCs w:val="24"/>
        </w:rPr>
        <w:t>,</w:t>
      </w:r>
      <w:r w:rsidRPr="00B72E3B">
        <w:rPr>
          <w:rFonts w:ascii="Times New Roman" w:hAnsi="Times New Roman" w:cs="Times New Roman"/>
          <w:sz w:val="24"/>
          <w:szCs w:val="24"/>
        </w:rPr>
        <w:t xml:space="preserve"> 2008; Parmesan</w:t>
      </w:r>
      <w:r w:rsidR="002F4BCF">
        <w:rPr>
          <w:rFonts w:ascii="Times New Roman" w:hAnsi="Times New Roman" w:cs="Times New Roman"/>
          <w:sz w:val="24"/>
          <w:szCs w:val="24"/>
        </w:rPr>
        <w:t>,</w:t>
      </w:r>
      <w:r w:rsidRPr="00B72E3B">
        <w:rPr>
          <w:rFonts w:ascii="Times New Roman" w:hAnsi="Times New Roman" w:cs="Times New Roman"/>
          <w:sz w:val="24"/>
          <w:szCs w:val="24"/>
        </w:rPr>
        <w:t xml:space="preserve"> 2006; Buckley </w:t>
      </w:r>
      <w:r w:rsidR="002F4BCF">
        <w:rPr>
          <w:rFonts w:ascii="Times New Roman" w:hAnsi="Times New Roman" w:cs="Times New Roman"/>
          <w:sz w:val="24"/>
          <w:szCs w:val="24"/>
        </w:rPr>
        <w:t>and</w:t>
      </w:r>
      <w:r w:rsidRPr="00B72E3B">
        <w:rPr>
          <w:rFonts w:ascii="Times New Roman" w:hAnsi="Times New Roman" w:cs="Times New Roman"/>
          <w:sz w:val="24"/>
          <w:szCs w:val="24"/>
        </w:rPr>
        <w:t xml:space="preserve"> Kingsolver</w:t>
      </w:r>
      <w:r w:rsidR="002F4BCF">
        <w:rPr>
          <w:rFonts w:ascii="Times New Roman" w:hAnsi="Times New Roman" w:cs="Times New Roman"/>
          <w:sz w:val="24"/>
          <w:szCs w:val="24"/>
        </w:rPr>
        <w:t>,</w:t>
      </w:r>
      <w:r w:rsidRPr="00B72E3B">
        <w:rPr>
          <w:rFonts w:ascii="Times New Roman" w:hAnsi="Times New Roman" w:cs="Times New Roman"/>
          <w:sz w:val="24"/>
          <w:szCs w:val="24"/>
        </w:rPr>
        <w:t xml:space="preserve"> 2012). Predicting which species will persist requires a holistic understanding of multilayered adaptation, incorporating behavioural plasticity, physiological thresholds, molecular pathways, and ecological interactions. This approach not only informs conservation strategies but also provides critical insights into the evolutionary processes that have enabled insects to dominate terrestrial and freshwater ecosystems for hundreds of millions of years.</w:t>
      </w:r>
      <w:r w:rsidR="00B73C22">
        <w:rPr>
          <w:rFonts w:ascii="Times New Roman" w:hAnsi="Times New Roman" w:cs="Times New Roman"/>
          <w:sz w:val="24"/>
          <w:szCs w:val="24"/>
        </w:rPr>
        <w:t xml:space="preserve"> </w:t>
      </w:r>
      <w:r w:rsidR="00B73C22" w:rsidRPr="00645BF5">
        <w:rPr>
          <w:rFonts w:ascii="Times New Roman" w:hAnsi="Times New Roman" w:cs="Times New Roman"/>
          <w:sz w:val="24"/>
          <w:szCs w:val="24"/>
        </w:rPr>
        <w:t xml:space="preserve">Future research directions should prioritize several key areas. First, integration of genomic, physiological, and ecological approaches to understand how adaptations function in natural contexts rather than solely in laboratory settings. Second, long-term monitoring studies that </w:t>
      </w:r>
      <w:r w:rsidR="00B73C22" w:rsidRPr="00645BF5">
        <w:rPr>
          <w:rFonts w:ascii="Times New Roman" w:hAnsi="Times New Roman" w:cs="Times New Roman"/>
          <w:sz w:val="24"/>
          <w:szCs w:val="24"/>
        </w:rPr>
        <w:lastRenderedPageBreak/>
        <w:t>track evolutionary responses to ongoing climate change, providing empirical tests of predicted adaptive limits. Third, experimental studies that quantify trade-offs and constraints across multiple traits, enabling more realistic predictions of evolutionary trajectories. Fourth, comparative analyses that identify which lineages are most vulnerable and which adaptive solutions are most likely to evolve under novel conditions. Fifth, translational research that applies insights from insect adaptation to challenges in conservation, agriculture, and human health (Stillman and Armstrong, 2024; Chown, 2021).</w:t>
      </w:r>
    </w:p>
    <w:p w14:paraId="47B7B7AD" w14:textId="77777777" w:rsidR="00B72E3B" w:rsidRDefault="00B72E3B" w:rsidP="003A373F">
      <w:pPr>
        <w:ind w:firstLine="720"/>
        <w:jc w:val="both"/>
        <w:rPr>
          <w:rFonts w:ascii="Times New Roman" w:hAnsi="Times New Roman" w:cs="Times New Roman"/>
          <w:sz w:val="24"/>
          <w:szCs w:val="24"/>
        </w:rPr>
      </w:pPr>
      <w:r w:rsidRPr="00B72E3B">
        <w:rPr>
          <w:rFonts w:ascii="Times New Roman" w:hAnsi="Times New Roman" w:cs="Times New Roman"/>
          <w:sz w:val="24"/>
          <w:szCs w:val="24"/>
        </w:rPr>
        <w:t>In conclusion, insects exemplify the principle that resilience emerges from integrative adaptation. The interplay of behavioural, morphological, physiological, and molecular mechanisms allows these organisms to thrive under conditions that challenge most life forms. As environmental stressors intensify, continued research into these interconnected systems is essential to anticipate ecological consequences, preserve biodiversity, and understand the fundamental rules governing adaptive evolution.</w:t>
      </w:r>
    </w:p>
    <w:p w14:paraId="62B7F08B" w14:textId="57DEBEFA" w:rsidR="008569D8" w:rsidRPr="008569D8" w:rsidRDefault="008569D8" w:rsidP="008569D8">
      <w:pPr>
        <w:spacing w:after="200" w:line="276" w:lineRule="auto"/>
        <w:rPr>
          <w:rFonts w:ascii="Arial" w:eastAsia="Times New Roman" w:hAnsi="Arial" w:cs="Arial"/>
          <w:b/>
          <w:bCs/>
          <w:kern w:val="0"/>
          <w:lang w:val="en-GB" w:eastAsia="en-GB"/>
          <w14:ligatures w14:val="none"/>
        </w:rPr>
      </w:pPr>
      <w:r w:rsidRPr="008569D8">
        <w:rPr>
          <w:rFonts w:ascii="Arial" w:eastAsia="Times New Roman" w:hAnsi="Arial" w:cs="Arial"/>
          <w:b/>
          <w:bCs/>
          <w:kern w:val="0"/>
          <w:lang w:val="en-GB" w:eastAsia="en-GB"/>
          <w14:ligatures w14:val="none"/>
        </w:rPr>
        <w:t>COMPETING INTERESTS:</w:t>
      </w:r>
    </w:p>
    <w:p w14:paraId="4593FC02" w14:textId="77777777" w:rsidR="008569D8" w:rsidRPr="008569D8" w:rsidRDefault="008569D8" w:rsidP="008569D8">
      <w:pPr>
        <w:spacing w:after="200" w:line="276" w:lineRule="auto"/>
        <w:rPr>
          <w:rFonts w:ascii="Calibri" w:eastAsia="Times New Roman" w:hAnsi="Calibri" w:cs="Times New Roman"/>
          <w:kern w:val="0"/>
          <w:lang w:val="en-GB" w:eastAsia="en-GB"/>
          <w14:ligatures w14:val="none"/>
        </w:rPr>
      </w:pPr>
      <w:r w:rsidRPr="008569D8">
        <w:rPr>
          <w:rFonts w:ascii="Arial" w:eastAsia="Times New Roman" w:hAnsi="Arial" w:cs="Arial"/>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D3A3155" w14:textId="57BE3ECF" w:rsidR="00701335" w:rsidRPr="00447697" w:rsidRDefault="00701335" w:rsidP="00701335">
      <w:pPr>
        <w:pStyle w:val="NoSpacing"/>
        <w:rPr>
          <w:rFonts w:ascii="Times New Roman" w:hAnsi="Times New Roman" w:cs="Times New Roman"/>
          <w:b/>
          <w:bCs/>
          <w:sz w:val="24"/>
          <w:szCs w:val="24"/>
        </w:rPr>
      </w:pPr>
      <w:bookmarkStart w:id="0" w:name="_Hlk198031404"/>
      <w:r w:rsidRPr="00447697">
        <w:rPr>
          <w:rFonts w:ascii="Times New Roman" w:hAnsi="Times New Roman" w:cs="Times New Roman"/>
          <w:b/>
          <w:bCs/>
          <w:sz w:val="24"/>
          <w:szCs w:val="24"/>
        </w:rPr>
        <w:t>Disclaimer (Artificial intelligence)</w:t>
      </w:r>
      <w:r w:rsidR="00447697" w:rsidRPr="00447697">
        <w:rPr>
          <w:rFonts w:ascii="Times New Roman" w:hAnsi="Times New Roman" w:cs="Times New Roman"/>
          <w:b/>
          <w:bCs/>
          <w:sz w:val="24"/>
          <w:szCs w:val="24"/>
        </w:rPr>
        <w:t>:</w:t>
      </w:r>
    </w:p>
    <w:p w14:paraId="7C834FA2" w14:textId="77777777" w:rsidR="00701335" w:rsidRPr="00447697" w:rsidRDefault="00701335" w:rsidP="00701335">
      <w:pPr>
        <w:pStyle w:val="NoSpacing"/>
        <w:rPr>
          <w:rFonts w:ascii="Times New Roman" w:hAnsi="Times New Roman" w:cs="Times New Roman"/>
          <w:sz w:val="24"/>
          <w:szCs w:val="24"/>
        </w:rPr>
      </w:pPr>
    </w:p>
    <w:p w14:paraId="5492FE2D" w14:textId="77777777" w:rsidR="00701335" w:rsidRPr="00447697" w:rsidRDefault="00701335" w:rsidP="00701335">
      <w:pPr>
        <w:pStyle w:val="NoSpacing"/>
        <w:rPr>
          <w:rFonts w:ascii="Times New Roman" w:hAnsi="Times New Roman" w:cs="Times New Roman"/>
          <w:sz w:val="24"/>
          <w:szCs w:val="24"/>
        </w:rPr>
      </w:pPr>
      <w:r w:rsidRPr="00447697">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bookmarkEnd w:id="0"/>
    <w:p w14:paraId="02E2F42E" w14:textId="77777777" w:rsidR="00447697" w:rsidRDefault="00447697" w:rsidP="003A373F">
      <w:pPr>
        <w:jc w:val="both"/>
        <w:rPr>
          <w:rFonts w:ascii="Times New Roman" w:hAnsi="Times New Roman" w:cs="Times New Roman"/>
          <w:b/>
          <w:bCs/>
          <w:sz w:val="24"/>
          <w:szCs w:val="24"/>
        </w:rPr>
      </w:pPr>
    </w:p>
    <w:p w14:paraId="2F72D24B" w14:textId="03D0F8BC" w:rsidR="00BE020F" w:rsidRDefault="00BE020F" w:rsidP="003A373F">
      <w:pPr>
        <w:jc w:val="both"/>
        <w:rPr>
          <w:rFonts w:ascii="Times New Roman" w:hAnsi="Times New Roman" w:cs="Times New Roman"/>
          <w:b/>
          <w:bCs/>
          <w:sz w:val="24"/>
          <w:szCs w:val="24"/>
        </w:rPr>
      </w:pPr>
      <w:r w:rsidRPr="003A373F">
        <w:rPr>
          <w:rFonts w:ascii="Times New Roman" w:hAnsi="Times New Roman" w:cs="Times New Roman"/>
          <w:b/>
          <w:bCs/>
          <w:sz w:val="24"/>
          <w:szCs w:val="24"/>
        </w:rPr>
        <w:t>References:</w:t>
      </w:r>
    </w:p>
    <w:p w14:paraId="0CAFA90F" w14:textId="77777777" w:rsidR="002202EB" w:rsidRDefault="002202EB" w:rsidP="002202EB">
      <w:pPr>
        <w:pStyle w:val="NormalWeb"/>
        <w:spacing w:before="0" w:beforeAutospacing="0"/>
        <w:ind w:left="426" w:hanging="426"/>
        <w:jc w:val="both"/>
      </w:pPr>
      <w:r>
        <w:t xml:space="preserve">Agrawal, A. A. (2021). The ecology and evolution of plant chemical </w:t>
      </w:r>
      <w:proofErr w:type="spellStart"/>
      <w:r>
        <w:t>defense</w:t>
      </w:r>
      <w:proofErr w:type="spellEnd"/>
      <w:r>
        <w:t xml:space="preserve"> and insect counter-</w:t>
      </w:r>
      <w:proofErr w:type="spellStart"/>
      <w:r>
        <w:t>defense</w:t>
      </w:r>
      <w:proofErr w:type="spellEnd"/>
      <w:r>
        <w:t xml:space="preserve">. </w:t>
      </w:r>
      <w:r>
        <w:rPr>
          <w:rStyle w:val="Emphasis"/>
          <w:rFonts w:eastAsiaTheme="majorEastAsia"/>
        </w:rPr>
        <w:t>The American Naturalist, 198</w:t>
      </w:r>
      <w:r>
        <w:t>(4), 437–452.</w:t>
      </w:r>
    </w:p>
    <w:p w14:paraId="49F55647" w14:textId="77777777" w:rsidR="002202EB" w:rsidRDefault="002202EB" w:rsidP="002202EB">
      <w:pPr>
        <w:pStyle w:val="NormalWeb"/>
        <w:spacing w:before="0" w:beforeAutospacing="0"/>
        <w:ind w:left="426" w:hanging="426"/>
        <w:jc w:val="both"/>
      </w:pPr>
      <w:r>
        <w:t xml:space="preserve">Anderson, R. C. (2009). Do dragonflies migrate across the western Indian Ocean? </w:t>
      </w:r>
      <w:r>
        <w:rPr>
          <w:rStyle w:val="Emphasis"/>
          <w:rFonts w:eastAsiaTheme="majorEastAsia"/>
        </w:rPr>
        <w:t>Journal of Tropical Ecology, 25</w:t>
      </w:r>
      <w:r>
        <w:t>(4), 347–358.</w:t>
      </w:r>
    </w:p>
    <w:p w14:paraId="63FBB39D" w14:textId="77777777" w:rsidR="002202EB" w:rsidRDefault="002202EB" w:rsidP="002202EB">
      <w:pPr>
        <w:pStyle w:val="NormalWeb"/>
        <w:spacing w:before="0" w:beforeAutospacing="0"/>
        <w:ind w:left="426" w:hanging="426"/>
        <w:jc w:val="both"/>
      </w:pPr>
      <w:r>
        <w:t xml:space="preserve">Angilletta, M. J., Cooper, B. S., Schuler, M. S., &amp; Boyles, J. G. (2010). The evolution of thermal physiology in endotherms. </w:t>
      </w:r>
      <w:r>
        <w:rPr>
          <w:rStyle w:val="Emphasis"/>
          <w:rFonts w:eastAsiaTheme="majorEastAsia"/>
        </w:rPr>
        <w:t>Frontiers in Bioscience, 2</w:t>
      </w:r>
      <w:r>
        <w:t>, 861–881.</w:t>
      </w:r>
    </w:p>
    <w:p w14:paraId="4A26755C" w14:textId="77777777" w:rsidR="002202EB" w:rsidRDefault="002202EB" w:rsidP="002202EB">
      <w:pPr>
        <w:pStyle w:val="NormalWeb"/>
        <w:spacing w:before="0" w:beforeAutospacing="0"/>
        <w:ind w:left="426" w:hanging="426"/>
        <w:jc w:val="both"/>
      </w:pPr>
      <w:r>
        <w:t xml:space="preserve">Bates, H. W. (1862). Contributions to an insect fauna of the Amazon Valley: Lepidoptera: </w:t>
      </w:r>
      <w:proofErr w:type="spellStart"/>
      <w:r>
        <w:t>Heliconidæ</w:t>
      </w:r>
      <w:proofErr w:type="spellEnd"/>
      <w:r>
        <w:t xml:space="preserve">. </w:t>
      </w:r>
      <w:r>
        <w:rPr>
          <w:rStyle w:val="Emphasis"/>
          <w:rFonts w:eastAsiaTheme="majorEastAsia"/>
        </w:rPr>
        <w:t>Transactions of the Linnean Society of London, 23</w:t>
      </w:r>
      <w:r>
        <w:t>, 495–566.</w:t>
      </w:r>
    </w:p>
    <w:p w14:paraId="407136C5" w14:textId="77777777" w:rsidR="002202EB" w:rsidRDefault="002202EB" w:rsidP="002202EB">
      <w:pPr>
        <w:pStyle w:val="NormalWeb"/>
        <w:spacing w:before="0" w:beforeAutospacing="0"/>
        <w:ind w:left="426" w:hanging="426"/>
        <w:jc w:val="both"/>
      </w:pPr>
      <w:r>
        <w:t xml:space="preserve">Bazinet, A. L., Marshall, K. E., MacMillan, H. A., Williams, C. M., &amp; Sinclair, B. J. (2010). Rapid changes in desiccation resistance in </w:t>
      </w:r>
      <w:r>
        <w:rPr>
          <w:rStyle w:val="Emphasis"/>
          <w:rFonts w:eastAsiaTheme="majorEastAsia"/>
        </w:rPr>
        <w:t>Drosophila melanogaster</w:t>
      </w:r>
      <w:r>
        <w:t xml:space="preserve"> are facilitated by changes in cuticular permeability. </w:t>
      </w:r>
      <w:r>
        <w:rPr>
          <w:rStyle w:val="Emphasis"/>
          <w:rFonts w:eastAsiaTheme="majorEastAsia"/>
        </w:rPr>
        <w:t>Journal of Insect Physiology, 56</w:t>
      </w:r>
      <w:r>
        <w:t>(12), 1826–1832.</w:t>
      </w:r>
    </w:p>
    <w:p w14:paraId="524EF011" w14:textId="77777777" w:rsidR="002202EB" w:rsidRDefault="002202EB" w:rsidP="002202EB">
      <w:pPr>
        <w:pStyle w:val="NormalWeb"/>
        <w:spacing w:before="0" w:beforeAutospacing="0"/>
        <w:ind w:left="426" w:hanging="426"/>
        <w:jc w:val="both"/>
      </w:pPr>
      <w:r>
        <w:t xml:space="preserve">Benoit, J. B., &amp; Denlinger, D. L. (2022). Mechanisms of desiccation tolerance in insects. </w:t>
      </w:r>
      <w:r>
        <w:rPr>
          <w:rStyle w:val="Emphasis"/>
          <w:rFonts w:eastAsiaTheme="majorEastAsia"/>
        </w:rPr>
        <w:t>Journal of Experimental Biology, 225</w:t>
      </w:r>
      <w:r>
        <w:t>(5), jeb243168.</w:t>
      </w:r>
    </w:p>
    <w:p w14:paraId="395CA779" w14:textId="77777777" w:rsidR="002202EB" w:rsidRDefault="002202EB" w:rsidP="002202EB">
      <w:pPr>
        <w:pStyle w:val="NormalWeb"/>
        <w:spacing w:before="0" w:beforeAutospacing="0"/>
        <w:ind w:left="426" w:hanging="426"/>
        <w:jc w:val="both"/>
      </w:pPr>
      <w:r>
        <w:t xml:space="preserve">Bowler, D. E., &amp; Terblanche, J. S. (2020). Insect thermal tolerance: What’s the relevance of laboratory studies to natural populations? </w:t>
      </w:r>
      <w:r>
        <w:rPr>
          <w:rStyle w:val="Emphasis"/>
          <w:rFonts w:eastAsiaTheme="majorEastAsia"/>
        </w:rPr>
        <w:t>Functional Ecology, 34</w:t>
      </w:r>
      <w:r>
        <w:t>(8), 1528–1541.</w:t>
      </w:r>
    </w:p>
    <w:p w14:paraId="3291AAFE" w14:textId="77777777" w:rsidR="002202EB" w:rsidRDefault="002202EB" w:rsidP="002202EB">
      <w:pPr>
        <w:pStyle w:val="NormalWeb"/>
        <w:spacing w:before="0" w:beforeAutospacing="0"/>
        <w:ind w:left="426" w:hanging="426"/>
        <w:jc w:val="both"/>
      </w:pPr>
      <w:r>
        <w:lastRenderedPageBreak/>
        <w:t xml:space="preserve">Buckley, L. B., &amp; Kingsolver, J. G. (2012). The demographic impacts of shifts in climate means and extremes on alpine butterflies. </w:t>
      </w:r>
      <w:r>
        <w:rPr>
          <w:rStyle w:val="Emphasis"/>
          <w:rFonts w:eastAsiaTheme="majorEastAsia"/>
        </w:rPr>
        <w:t>Functional Ecology, 26</w:t>
      </w:r>
      <w:r>
        <w:t>(4), 969–977.</w:t>
      </w:r>
    </w:p>
    <w:p w14:paraId="1959AA8B" w14:textId="77777777" w:rsidR="002202EB" w:rsidRDefault="002202EB" w:rsidP="002202EB">
      <w:pPr>
        <w:pStyle w:val="NormalWeb"/>
        <w:spacing w:before="0" w:beforeAutospacing="0"/>
        <w:ind w:left="426" w:hanging="426"/>
        <w:jc w:val="both"/>
      </w:pPr>
      <w:r>
        <w:t xml:space="preserve">Buckley, L. B., &amp; Kingsolver, J. G. (2022). Phenological shifts in response to climate change: Mechanisms and consequences. </w:t>
      </w:r>
      <w:r>
        <w:rPr>
          <w:rStyle w:val="Emphasis"/>
          <w:rFonts w:eastAsiaTheme="majorEastAsia"/>
        </w:rPr>
        <w:t>Ecology Letters, 25</w:t>
      </w:r>
      <w:r>
        <w:t>(5), 1156–1172.</w:t>
      </w:r>
    </w:p>
    <w:p w14:paraId="1FF048ED" w14:textId="77777777" w:rsidR="002202EB" w:rsidRDefault="002202EB" w:rsidP="002202EB">
      <w:pPr>
        <w:pStyle w:val="NormalWeb"/>
        <w:spacing w:before="0" w:beforeAutospacing="0"/>
        <w:ind w:left="426" w:hanging="426"/>
        <w:jc w:val="both"/>
      </w:pPr>
      <w:r>
        <w:t xml:space="preserve">Chapman, J. W., &amp; Reynolds, D. R. (2024). Recent advances in insect migration research: From radar to genomics. </w:t>
      </w:r>
      <w:r>
        <w:rPr>
          <w:rStyle w:val="Emphasis"/>
          <w:rFonts w:eastAsiaTheme="majorEastAsia"/>
        </w:rPr>
        <w:t>Annual Review of Entomology, 69</w:t>
      </w:r>
      <w:r>
        <w:t>, 347–367.</w:t>
      </w:r>
    </w:p>
    <w:p w14:paraId="602A68F0" w14:textId="77777777" w:rsidR="002202EB" w:rsidRDefault="002202EB" w:rsidP="002202EB">
      <w:pPr>
        <w:pStyle w:val="NormalWeb"/>
        <w:spacing w:before="0" w:beforeAutospacing="0"/>
        <w:ind w:left="426" w:hanging="426"/>
        <w:jc w:val="both"/>
      </w:pPr>
      <w:r>
        <w:t xml:space="preserve">Chown, S. L. (2021). </w:t>
      </w:r>
      <w:proofErr w:type="spellStart"/>
      <w:r>
        <w:t>Macrophysiology</w:t>
      </w:r>
      <w:proofErr w:type="spellEnd"/>
      <w:r>
        <w:t xml:space="preserve"> and insect conservation. </w:t>
      </w:r>
      <w:r>
        <w:rPr>
          <w:rStyle w:val="Emphasis"/>
          <w:rFonts w:eastAsiaTheme="majorEastAsia"/>
        </w:rPr>
        <w:t>Current Opinion in Insect Science, 47</w:t>
      </w:r>
      <w:r>
        <w:t>, 1–6.</w:t>
      </w:r>
    </w:p>
    <w:p w14:paraId="5608ABE8" w14:textId="77777777" w:rsidR="002202EB" w:rsidRDefault="002202EB" w:rsidP="002202EB">
      <w:pPr>
        <w:pStyle w:val="NormalWeb"/>
        <w:spacing w:before="0" w:beforeAutospacing="0"/>
        <w:ind w:left="426" w:hanging="426"/>
        <w:jc w:val="both"/>
      </w:pPr>
      <w:r>
        <w:t xml:space="preserve">Chown, S. L., Hoffmann, A. A., Kristensen, T. N., Angilletta, M. J., Stenseth, N. C., &amp; </w:t>
      </w:r>
      <w:proofErr w:type="spellStart"/>
      <w:r>
        <w:t>Pertoldi</w:t>
      </w:r>
      <w:proofErr w:type="spellEnd"/>
      <w:r>
        <w:t xml:space="preserve">, C. (2010). Adapting to climate change: A perspective from evolutionary physiology. </w:t>
      </w:r>
      <w:r>
        <w:rPr>
          <w:rStyle w:val="Emphasis"/>
          <w:rFonts w:eastAsiaTheme="majorEastAsia"/>
        </w:rPr>
        <w:t>Climate Research, 43</w:t>
      </w:r>
      <w:r>
        <w:t>(1–2), 3–15.</w:t>
      </w:r>
    </w:p>
    <w:p w14:paraId="25B7D2A0" w14:textId="77777777" w:rsidR="002202EB" w:rsidRDefault="002202EB" w:rsidP="002202EB">
      <w:pPr>
        <w:pStyle w:val="NormalWeb"/>
        <w:spacing w:before="0" w:beforeAutospacing="0"/>
        <w:ind w:left="426" w:hanging="426"/>
        <w:jc w:val="both"/>
      </w:pPr>
      <w:r>
        <w:t xml:space="preserve">Chown, S. L., &amp; Nicolson, S. W. (2004). </w:t>
      </w:r>
      <w:r>
        <w:rPr>
          <w:rStyle w:val="Emphasis"/>
          <w:rFonts w:eastAsiaTheme="majorEastAsia"/>
        </w:rPr>
        <w:t>Insect physiological ecology: Mechanisms and patterns</w:t>
      </w:r>
      <w:r>
        <w:t>. Oxford University Press.</w:t>
      </w:r>
    </w:p>
    <w:p w14:paraId="18181AD2" w14:textId="77777777" w:rsidR="002202EB" w:rsidRDefault="002202EB" w:rsidP="002202EB">
      <w:pPr>
        <w:pStyle w:val="NormalWeb"/>
        <w:spacing w:before="0" w:beforeAutospacing="0"/>
        <w:ind w:left="426" w:hanging="426"/>
        <w:jc w:val="both"/>
      </w:pPr>
      <w:r>
        <w:t xml:space="preserve">Chung, H., &amp; Carroll, S. B. (2023). The evolution of cuticular hydrocarbon diversity in insects. </w:t>
      </w:r>
      <w:r>
        <w:rPr>
          <w:rStyle w:val="Emphasis"/>
          <w:rFonts w:eastAsiaTheme="majorEastAsia"/>
        </w:rPr>
        <w:t>Current Opinion in Insect Science, 57</w:t>
      </w:r>
      <w:r>
        <w:t>, 101030.</w:t>
      </w:r>
    </w:p>
    <w:p w14:paraId="6FC9A3D5" w14:textId="77777777" w:rsidR="002202EB" w:rsidRDefault="002202EB" w:rsidP="002202EB">
      <w:pPr>
        <w:pStyle w:val="NormalWeb"/>
        <w:spacing w:before="0" w:beforeAutospacing="0"/>
        <w:ind w:left="426" w:hanging="426"/>
        <w:jc w:val="both"/>
      </w:pPr>
      <w:r>
        <w:t xml:space="preserve">Conner, W. E. (2014). </w:t>
      </w:r>
      <w:r>
        <w:rPr>
          <w:rStyle w:val="Emphasis"/>
          <w:rFonts w:eastAsiaTheme="majorEastAsia"/>
        </w:rPr>
        <w:t>Tiger moths and the sensory ecology of predation</w:t>
      </w:r>
      <w:r>
        <w:t>. Oxford University Press.</w:t>
      </w:r>
    </w:p>
    <w:p w14:paraId="259F0F67" w14:textId="77777777" w:rsidR="002202EB" w:rsidRDefault="002202EB" w:rsidP="002202EB">
      <w:pPr>
        <w:pStyle w:val="NormalWeb"/>
        <w:spacing w:before="0" w:beforeAutospacing="0"/>
        <w:ind w:left="426" w:hanging="426"/>
        <w:jc w:val="both"/>
      </w:pPr>
      <w:r>
        <w:t xml:space="preserve">Corcoran, A. J., Barber, J. R., &amp; Conner, W. E. (2009). Tiger moth jams bat sonar. </w:t>
      </w:r>
      <w:r>
        <w:rPr>
          <w:rStyle w:val="Emphasis"/>
          <w:rFonts w:eastAsiaTheme="majorEastAsia"/>
        </w:rPr>
        <w:t>Science, 325</w:t>
      </w:r>
      <w:r>
        <w:t>(5938), 325–327.</w:t>
      </w:r>
    </w:p>
    <w:p w14:paraId="621EA0FB" w14:textId="77777777" w:rsidR="002202EB" w:rsidRDefault="002202EB" w:rsidP="002202EB">
      <w:pPr>
        <w:pStyle w:val="NormalWeb"/>
        <w:spacing w:before="0" w:beforeAutospacing="0"/>
        <w:ind w:left="426" w:hanging="426"/>
        <w:jc w:val="both"/>
      </w:pPr>
      <w:r>
        <w:t xml:space="preserve">Cott, H. B. (1940). </w:t>
      </w:r>
      <w:r>
        <w:rPr>
          <w:rStyle w:val="Emphasis"/>
          <w:rFonts w:eastAsiaTheme="majorEastAsia"/>
        </w:rPr>
        <w:t>Adaptive coloration in animals</w:t>
      </w:r>
      <w:r>
        <w:t>. Methuen.</w:t>
      </w:r>
    </w:p>
    <w:p w14:paraId="4C12B0B9" w14:textId="77777777" w:rsidR="002202EB" w:rsidRDefault="002202EB" w:rsidP="002202EB">
      <w:pPr>
        <w:pStyle w:val="NormalWeb"/>
        <w:spacing w:before="0" w:beforeAutospacing="0"/>
        <w:ind w:left="426" w:hanging="426"/>
        <w:jc w:val="both"/>
      </w:pPr>
      <w:r>
        <w:t xml:space="preserve">Cullen, D. A., Cease, A. J., </w:t>
      </w:r>
      <w:proofErr w:type="spellStart"/>
      <w:r>
        <w:t>Latchininsky</w:t>
      </w:r>
      <w:proofErr w:type="spellEnd"/>
      <w:r>
        <w:t xml:space="preserve">, A. V., Ayali, A., Berry, K., Buhl, J., ... &amp; Rogers, S. M. (2017). From molecules to management: Mechanisms and consequences of locust phase </w:t>
      </w:r>
      <w:proofErr w:type="spellStart"/>
      <w:r>
        <w:t>polyphenism</w:t>
      </w:r>
      <w:proofErr w:type="spellEnd"/>
      <w:r>
        <w:t xml:space="preserve">. </w:t>
      </w:r>
      <w:r>
        <w:rPr>
          <w:rStyle w:val="Emphasis"/>
          <w:rFonts w:eastAsiaTheme="majorEastAsia"/>
        </w:rPr>
        <w:t>Advances in Insect Physiology, 53</w:t>
      </w:r>
      <w:r>
        <w:t>, 167–285.</w:t>
      </w:r>
    </w:p>
    <w:p w14:paraId="0412867F" w14:textId="77777777" w:rsidR="002202EB" w:rsidRDefault="002202EB" w:rsidP="002202EB">
      <w:pPr>
        <w:pStyle w:val="NormalWeb"/>
        <w:spacing w:before="0" w:beforeAutospacing="0"/>
        <w:ind w:left="426" w:hanging="426"/>
        <w:jc w:val="both"/>
      </w:pPr>
      <w:r>
        <w:t xml:space="preserve">Cunningham, S. J., &amp; Symonds, M. R. E. (2024). </w:t>
      </w:r>
      <w:proofErr w:type="spellStart"/>
      <w:r>
        <w:t>Behavioral</w:t>
      </w:r>
      <w:proofErr w:type="spellEnd"/>
      <w:r>
        <w:t xml:space="preserve"> plasticity in insects under rapid environmental change: Mechanisms and consequences. </w:t>
      </w:r>
      <w:r>
        <w:rPr>
          <w:rStyle w:val="Emphasis"/>
          <w:rFonts w:eastAsiaTheme="majorEastAsia"/>
        </w:rPr>
        <w:t>Current Opinion in Insect Science, 58</w:t>
      </w:r>
      <w:r>
        <w:t>, 101067.</w:t>
      </w:r>
    </w:p>
    <w:p w14:paraId="55BE6F15" w14:textId="77777777" w:rsidR="002202EB" w:rsidRDefault="002202EB" w:rsidP="002202EB">
      <w:pPr>
        <w:pStyle w:val="NormalWeb"/>
        <w:spacing w:before="0" w:beforeAutospacing="0"/>
        <w:ind w:left="426" w:hanging="426"/>
        <w:jc w:val="both"/>
      </w:pPr>
      <w:r>
        <w:t xml:space="preserve">Cuthill, I. C., &amp; Stevens, M. (2024). Camouflage in insects: Mechanisms and evolution. </w:t>
      </w:r>
      <w:r>
        <w:rPr>
          <w:rStyle w:val="Emphasis"/>
          <w:rFonts w:eastAsiaTheme="majorEastAsia"/>
        </w:rPr>
        <w:t>Current Biology, 34</w:t>
      </w:r>
      <w:r>
        <w:t>(2), R45–R52.</w:t>
      </w:r>
    </w:p>
    <w:p w14:paraId="05B85445" w14:textId="77777777" w:rsidR="002202EB" w:rsidRDefault="002202EB" w:rsidP="002202EB">
      <w:pPr>
        <w:pStyle w:val="NormalWeb"/>
        <w:spacing w:before="0" w:beforeAutospacing="0"/>
        <w:ind w:left="426" w:hanging="426"/>
        <w:jc w:val="both"/>
      </w:pPr>
      <w:r>
        <w:t xml:space="preserve">Denlinger, D. L. (2002). Regulation of diapause. </w:t>
      </w:r>
      <w:r>
        <w:rPr>
          <w:rStyle w:val="Emphasis"/>
          <w:rFonts w:eastAsiaTheme="majorEastAsia"/>
        </w:rPr>
        <w:t>Annual Review of Entomology, 47</w:t>
      </w:r>
      <w:r>
        <w:t>, 93–122.</w:t>
      </w:r>
    </w:p>
    <w:p w14:paraId="0B85942A" w14:textId="77777777" w:rsidR="002202EB" w:rsidRDefault="002202EB" w:rsidP="002202EB">
      <w:pPr>
        <w:pStyle w:val="NormalWeb"/>
        <w:spacing w:before="0" w:beforeAutospacing="0"/>
        <w:ind w:left="426" w:hanging="426"/>
        <w:jc w:val="both"/>
      </w:pPr>
      <w:r>
        <w:t xml:space="preserve">Denlinger, D. L., &amp; Hahn, D. A. (2024). Insect diapause: From molecular mechanisms to climate change responses. </w:t>
      </w:r>
      <w:r>
        <w:rPr>
          <w:rStyle w:val="Emphasis"/>
          <w:rFonts w:eastAsiaTheme="majorEastAsia"/>
        </w:rPr>
        <w:t>Journal of Experimental Biology, 227</w:t>
      </w:r>
      <w:r>
        <w:t>(3), jeb245678.</w:t>
      </w:r>
    </w:p>
    <w:p w14:paraId="1E91D279" w14:textId="77777777" w:rsidR="002202EB" w:rsidRDefault="002202EB" w:rsidP="002202EB">
      <w:pPr>
        <w:pStyle w:val="NormalWeb"/>
        <w:spacing w:before="0" w:beforeAutospacing="0"/>
        <w:ind w:left="426" w:hanging="426"/>
        <w:jc w:val="both"/>
      </w:pPr>
      <w:r>
        <w:t xml:space="preserve">Després, L., David, J. P., &amp; Gallet, C. (2007). The evolutionary ecology of insect resistance to plant chemicals. </w:t>
      </w:r>
      <w:r>
        <w:rPr>
          <w:rStyle w:val="Emphasis"/>
          <w:rFonts w:eastAsiaTheme="majorEastAsia"/>
        </w:rPr>
        <w:t>Trends in Ecology &amp; Evolution, 22</w:t>
      </w:r>
      <w:r>
        <w:t>(6), 298–307.</w:t>
      </w:r>
    </w:p>
    <w:p w14:paraId="5B441CCF" w14:textId="77777777" w:rsidR="002202EB" w:rsidRDefault="002202EB" w:rsidP="002202EB">
      <w:pPr>
        <w:pStyle w:val="NormalWeb"/>
        <w:spacing w:before="0" w:beforeAutospacing="0"/>
        <w:ind w:left="426" w:hanging="426"/>
        <w:jc w:val="both"/>
      </w:pPr>
      <w:r>
        <w:lastRenderedPageBreak/>
        <w:t xml:space="preserve">Deutsch, C. A., Tewksbury, J. J., Huey, R. B., Sheldon, K. S., </w:t>
      </w:r>
      <w:proofErr w:type="spellStart"/>
      <w:r>
        <w:t>Ghalambor</w:t>
      </w:r>
      <w:proofErr w:type="spellEnd"/>
      <w:r>
        <w:t xml:space="preserve">, C. K., Haak, D. C., &amp; Martin, P. R. (2008). Impacts of climate warming on terrestrial ectotherms across latitude. </w:t>
      </w:r>
      <w:r>
        <w:rPr>
          <w:rStyle w:val="Emphasis"/>
          <w:rFonts w:eastAsiaTheme="majorEastAsia"/>
        </w:rPr>
        <w:t>Proceedings of the National Academy of Sciences, 105</w:t>
      </w:r>
      <w:r>
        <w:t>(18), 6668–6672.</w:t>
      </w:r>
    </w:p>
    <w:p w14:paraId="5F121B85" w14:textId="77777777" w:rsidR="002202EB" w:rsidRDefault="002202EB" w:rsidP="002202EB">
      <w:pPr>
        <w:pStyle w:val="NormalWeb"/>
        <w:spacing w:before="0" w:beforeAutospacing="0"/>
        <w:ind w:left="426" w:hanging="426"/>
        <w:jc w:val="both"/>
      </w:pPr>
      <w:r>
        <w:t xml:space="preserve">Deutsch, C. A., &amp; Tewksbury, J. J. (2024). Climate change and insect extinction risk: Updated projections. </w:t>
      </w:r>
      <w:r>
        <w:rPr>
          <w:rStyle w:val="Emphasis"/>
          <w:rFonts w:eastAsiaTheme="majorEastAsia"/>
        </w:rPr>
        <w:t>Science, 383</w:t>
      </w:r>
      <w:r>
        <w:t>(6682), 456–462.</w:t>
      </w:r>
    </w:p>
    <w:p w14:paraId="54B6B3DA" w14:textId="77777777" w:rsidR="002202EB" w:rsidRDefault="002202EB" w:rsidP="002202EB">
      <w:pPr>
        <w:pStyle w:val="NormalWeb"/>
        <w:spacing w:before="0" w:beforeAutospacing="0"/>
        <w:ind w:left="426" w:hanging="426"/>
        <w:jc w:val="both"/>
      </w:pPr>
      <w:r>
        <w:t xml:space="preserve">Dingle, H. (2014). </w:t>
      </w:r>
      <w:r>
        <w:rPr>
          <w:rStyle w:val="Emphasis"/>
          <w:rFonts w:eastAsiaTheme="majorEastAsia"/>
        </w:rPr>
        <w:t>Migration: The biology of life on the move</w:t>
      </w:r>
      <w:r>
        <w:t xml:space="preserve"> (2nd ed.). Oxford University Press.</w:t>
      </w:r>
    </w:p>
    <w:p w14:paraId="001E99AD" w14:textId="77777777" w:rsidR="002202EB" w:rsidRDefault="002202EB" w:rsidP="002202EB">
      <w:pPr>
        <w:pStyle w:val="NormalWeb"/>
        <w:spacing w:before="0" w:beforeAutospacing="0"/>
        <w:ind w:left="426" w:hanging="426"/>
        <w:jc w:val="both"/>
      </w:pPr>
      <w:r>
        <w:t xml:space="preserve">Dobler, S., Dalla, S., Wagschal, V., &amp; Agrawal, A. A. (2012). Community-wide convergent evolution in insect adaptation to toxic cardenolides by substitutions in the Na⁺/K⁺-ATPase. </w:t>
      </w:r>
      <w:r>
        <w:rPr>
          <w:rStyle w:val="Emphasis"/>
          <w:rFonts w:eastAsiaTheme="majorEastAsia"/>
        </w:rPr>
        <w:t>Proceedings of the National Academy of Sciences, 109</w:t>
      </w:r>
      <w:r>
        <w:t>(32), 13040–13045.</w:t>
      </w:r>
    </w:p>
    <w:p w14:paraId="30FA2F68" w14:textId="77777777" w:rsidR="002202EB" w:rsidRDefault="002202EB" w:rsidP="002202EB">
      <w:pPr>
        <w:pStyle w:val="NormalWeb"/>
        <w:spacing w:before="0" w:beforeAutospacing="0"/>
        <w:ind w:left="426" w:hanging="426"/>
        <w:jc w:val="both"/>
      </w:pPr>
      <w:r>
        <w:t xml:space="preserve">Dobler, S., &amp; </w:t>
      </w:r>
      <w:proofErr w:type="spellStart"/>
      <w:r>
        <w:t>Petschenka</w:t>
      </w:r>
      <w:proofErr w:type="spellEnd"/>
      <w:r>
        <w:t xml:space="preserve">, G. (2023). Target-site insensitivity as a mechanism of toxin resistance in insects. </w:t>
      </w:r>
      <w:r>
        <w:rPr>
          <w:rStyle w:val="Emphasis"/>
          <w:rFonts w:eastAsiaTheme="majorEastAsia"/>
        </w:rPr>
        <w:t>Current Opinion in Insect Science, 58</w:t>
      </w:r>
      <w:r>
        <w:t>, 101054.</w:t>
      </w:r>
    </w:p>
    <w:p w14:paraId="08F96D0C" w14:textId="77777777" w:rsidR="002202EB" w:rsidRDefault="002202EB" w:rsidP="002202EB">
      <w:pPr>
        <w:pStyle w:val="NormalWeb"/>
        <w:spacing w:before="0" w:beforeAutospacing="0"/>
        <w:ind w:left="426" w:hanging="426"/>
        <w:jc w:val="both"/>
      </w:pPr>
      <w:r>
        <w:t xml:space="preserve">Duman, J. G. (2001). Antifreeze and ice nucleator proteins in terrestrial arthropods. </w:t>
      </w:r>
      <w:r>
        <w:rPr>
          <w:rStyle w:val="Emphasis"/>
          <w:rFonts w:eastAsiaTheme="majorEastAsia"/>
        </w:rPr>
        <w:t>Annual Review of Physiology, 63</w:t>
      </w:r>
      <w:r>
        <w:t>, 327–357.</w:t>
      </w:r>
    </w:p>
    <w:p w14:paraId="63D91310" w14:textId="77777777" w:rsidR="002202EB" w:rsidRDefault="002202EB" w:rsidP="002202EB">
      <w:pPr>
        <w:pStyle w:val="NormalWeb"/>
        <w:spacing w:before="0" w:beforeAutospacing="0"/>
        <w:ind w:left="426" w:hanging="426"/>
        <w:jc w:val="both"/>
      </w:pPr>
      <w:r>
        <w:t xml:space="preserve">Eisner, T., Eisner, M., &amp; Siegler, M. (2005). </w:t>
      </w:r>
      <w:r>
        <w:rPr>
          <w:rStyle w:val="Emphasis"/>
          <w:rFonts w:eastAsiaTheme="majorEastAsia"/>
        </w:rPr>
        <w:t xml:space="preserve">Secret weapons: </w:t>
      </w:r>
      <w:proofErr w:type="spellStart"/>
      <w:r>
        <w:rPr>
          <w:rStyle w:val="Emphasis"/>
          <w:rFonts w:eastAsiaTheme="majorEastAsia"/>
        </w:rPr>
        <w:t>Defenses</w:t>
      </w:r>
      <w:proofErr w:type="spellEnd"/>
      <w:r>
        <w:rPr>
          <w:rStyle w:val="Emphasis"/>
          <w:rFonts w:eastAsiaTheme="majorEastAsia"/>
        </w:rPr>
        <w:t xml:space="preserve"> of insects, spiders, scorpions, and other many-legged creatures</w:t>
      </w:r>
      <w:r>
        <w:t>. Harvard University Press.</w:t>
      </w:r>
    </w:p>
    <w:p w14:paraId="19BD4560" w14:textId="77777777" w:rsidR="002202EB" w:rsidRDefault="002202EB" w:rsidP="002202EB">
      <w:pPr>
        <w:pStyle w:val="NormalWeb"/>
        <w:spacing w:before="0" w:beforeAutospacing="0"/>
        <w:ind w:left="426" w:hanging="426"/>
        <w:jc w:val="both"/>
      </w:pPr>
      <w:r>
        <w:t xml:space="preserve">Endler, J. A. (1986). </w:t>
      </w:r>
      <w:r>
        <w:rPr>
          <w:rStyle w:val="Emphasis"/>
          <w:rFonts w:eastAsiaTheme="majorEastAsia"/>
        </w:rPr>
        <w:t>Natural selection in the wild</w:t>
      </w:r>
      <w:r>
        <w:t>. Princeton University Press.</w:t>
      </w:r>
    </w:p>
    <w:p w14:paraId="0D1B3152" w14:textId="77777777" w:rsidR="002202EB" w:rsidRDefault="002202EB" w:rsidP="002202EB">
      <w:pPr>
        <w:pStyle w:val="NormalWeb"/>
        <w:spacing w:before="0" w:beforeAutospacing="0"/>
        <w:ind w:left="426" w:hanging="426"/>
        <w:jc w:val="both"/>
      </w:pPr>
      <w:r>
        <w:t xml:space="preserve">Feder, M. E., &amp; Hofmann, G. E. (1999). Heat-shock proteins, molecular chaperones, and the stress response: Evolutionary and ecological physiology. </w:t>
      </w:r>
      <w:r>
        <w:rPr>
          <w:rStyle w:val="Emphasis"/>
          <w:rFonts w:eastAsiaTheme="majorEastAsia"/>
        </w:rPr>
        <w:t>Annual Review of Physiology, 61</w:t>
      </w:r>
      <w:r>
        <w:t>, 243–282.</w:t>
      </w:r>
    </w:p>
    <w:p w14:paraId="673FC82A" w14:textId="77777777" w:rsidR="002202EB" w:rsidRDefault="002202EB" w:rsidP="002202EB">
      <w:pPr>
        <w:pStyle w:val="NormalWeb"/>
        <w:spacing w:before="0" w:beforeAutospacing="0"/>
        <w:ind w:left="426" w:hanging="426"/>
        <w:jc w:val="both"/>
      </w:pPr>
      <w:r>
        <w:t xml:space="preserve">Flatt, T., &amp; Heyland, A. (2023). Life-history evolution and the physiology of trade-offs. </w:t>
      </w:r>
      <w:r>
        <w:rPr>
          <w:rStyle w:val="Emphasis"/>
          <w:rFonts w:eastAsiaTheme="majorEastAsia"/>
        </w:rPr>
        <w:t>Journal of Experimental Biology, 226</w:t>
      </w:r>
      <w:r>
        <w:t>(8), jeb245345.</w:t>
      </w:r>
    </w:p>
    <w:p w14:paraId="14EEE800" w14:textId="77777777" w:rsidR="002202EB" w:rsidRDefault="002202EB" w:rsidP="002202EB">
      <w:pPr>
        <w:pStyle w:val="NormalWeb"/>
        <w:spacing w:before="0" w:beforeAutospacing="0"/>
        <w:ind w:left="426" w:hanging="426"/>
        <w:jc w:val="both"/>
      </w:pPr>
      <w:r>
        <w:t xml:space="preserve">Flockhart, D. T. T., Brower, L. P., Ramirez, M. I., Hobson, K. A., Wassenaar, L. I., Altizer, S., &amp; Norris, D. R. (2017). Regional climate on the breeding grounds predicts variation in the natal origin of monarch butterflies overwintering in Mexico over 38 years. </w:t>
      </w:r>
      <w:r>
        <w:rPr>
          <w:rStyle w:val="Emphasis"/>
          <w:rFonts w:eastAsiaTheme="majorEastAsia"/>
        </w:rPr>
        <w:t>Global Change Biology, 23</w:t>
      </w:r>
      <w:r>
        <w:t>(7), 2565–2576.</w:t>
      </w:r>
    </w:p>
    <w:p w14:paraId="2C46FB54" w14:textId="77777777" w:rsidR="002202EB" w:rsidRDefault="002202EB" w:rsidP="002202EB">
      <w:pPr>
        <w:pStyle w:val="NormalWeb"/>
        <w:spacing w:before="0" w:beforeAutospacing="0"/>
        <w:ind w:left="426" w:hanging="426"/>
        <w:jc w:val="both"/>
      </w:pPr>
      <w:proofErr w:type="spellStart"/>
      <w:r>
        <w:t>Futuyma</w:t>
      </w:r>
      <w:proofErr w:type="spellEnd"/>
      <w:r>
        <w:t xml:space="preserve">, D. J., &amp; Kirkpatrick, M. (2017). </w:t>
      </w:r>
      <w:r>
        <w:rPr>
          <w:rStyle w:val="Emphasis"/>
          <w:rFonts w:eastAsiaTheme="majorEastAsia"/>
        </w:rPr>
        <w:t>Evolution</w:t>
      </w:r>
      <w:r>
        <w:t xml:space="preserve"> (4th ed.). Sinauer Associates.</w:t>
      </w:r>
    </w:p>
    <w:p w14:paraId="3A248940" w14:textId="77777777" w:rsidR="002202EB" w:rsidRDefault="002202EB" w:rsidP="002202EB">
      <w:pPr>
        <w:pStyle w:val="NormalWeb"/>
        <w:spacing w:before="0" w:beforeAutospacing="0"/>
        <w:ind w:left="426" w:hanging="426"/>
        <w:jc w:val="both"/>
      </w:pPr>
      <w:r>
        <w:t xml:space="preserve">Garland, T., &amp; Downs, C. J. (2024). Trade-offs in physiological evolution: New insights from meta-analysis. </w:t>
      </w:r>
      <w:r>
        <w:rPr>
          <w:rStyle w:val="Emphasis"/>
          <w:rFonts w:eastAsiaTheme="majorEastAsia"/>
        </w:rPr>
        <w:t>Physiological and Biochemical Zoology, 97</w:t>
      </w:r>
      <w:r>
        <w:t>(1), 1–18.</w:t>
      </w:r>
    </w:p>
    <w:p w14:paraId="26B23DE2" w14:textId="77777777" w:rsidR="002202EB" w:rsidRDefault="002202EB" w:rsidP="002202EB">
      <w:pPr>
        <w:pStyle w:val="NormalWeb"/>
        <w:spacing w:before="0" w:beforeAutospacing="0"/>
        <w:ind w:left="426" w:hanging="426"/>
        <w:jc w:val="both"/>
      </w:pPr>
      <w:r>
        <w:t xml:space="preserve">Garland, T., Huey, R. B., &amp; Milsom, W. K. (2022). The physiology of exercise in insects. </w:t>
      </w:r>
      <w:r>
        <w:rPr>
          <w:rStyle w:val="Emphasis"/>
          <w:rFonts w:eastAsiaTheme="majorEastAsia"/>
        </w:rPr>
        <w:t>Journal of Experimental Biology, 225</w:t>
      </w:r>
      <w:r>
        <w:t>(Suppl_1), jeb243226.</w:t>
      </w:r>
    </w:p>
    <w:p w14:paraId="1EFCD494" w14:textId="77777777" w:rsidR="002202EB" w:rsidRDefault="002202EB" w:rsidP="002202EB">
      <w:pPr>
        <w:pStyle w:val="NormalWeb"/>
        <w:spacing w:before="0" w:beforeAutospacing="0"/>
        <w:ind w:left="426" w:hanging="426"/>
        <w:jc w:val="both"/>
      </w:pPr>
      <w:r>
        <w:t xml:space="preserve">Gibbs, A. G. (1998). Water-proofing properties of cuticular lipids. </w:t>
      </w:r>
      <w:r>
        <w:rPr>
          <w:rStyle w:val="Emphasis"/>
          <w:rFonts w:eastAsiaTheme="majorEastAsia"/>
        </w:rPr>
        <w:t>American Zoologist, 38</w:t>
      </w:r>
      <w:r>
        <w:t>(3), 471–482.</w:t>
      </w:r>
    </w:p>
    <w:p w14:paraId="6474048F" w14:textId="77777777" w:rsidR="002202EB" w:rsidRDefault="002202EB" w:rsidP="002202EB">
      <w:pPr>
        <w:pStyle w:val="NormalWeb"/>
        <w:spacing w:before="0" w:beforeAutospacing="0"/>
        <w:ind w:left="426" w:hanging="426"/>
        <w:jc w:val="both"/>
      </w:pPr>
      <w:r>
        <w:t xml:space="preserve">Gibbs, A. G., &amp; Rajpurohit, S. (2024). Cuticular hydrocarbons and water balance in insects: Recent advances. </w:t>
      </w:r>
      <w:r>
        <w:rPr>
          <w:rStyle w:val="Emphasis"/>
          <w:rFonts w:eastAsiaTheme="majorEastAsia"/>
        </w:rPr>
        <w:t>Annual Review of Entomology, 69</w:t>
      </w:r>
      <w:r>
        <w:t>, 245–266.</w:t>
      </w:r>
    </w:p>
    <w:p w14:paraId="51DFD723" w14:textId="77777777" w:rsidR="002202EB" w:rsidRDefault="002202EB" w:rsidP="002202EB">
      <w:pPr>
        <w:pStyle w:val="NormalWeb"/>
        <w:spacing w:before="0" w:beforeAutospacing="0"/>
        <w:ind w:left="426" w:hanging="426"/>
        <w:jc w:val="both"/>
      </w:pPr>
      <w:r>
        <w:lastRenderedPageBreak/>
        <w:t>González-</w:t>
      </w:r>
      <w:proofErr w:type="spellStart"/>
      <w:r>
        <w:t>Tokman</w:t>
      </w:r>
      <w:proofErr w:type="spellEnd"/>
      <w:r>
        <w:t xml:space="preserve">, D., &amp; Córdoba-Aguilar, A. (2023). Heat stress and insect reproduction: Mechanisms and consequences. </w:t>
      </w:r>
      <w:r>
        <w:rPr>
          <w:rStyle w:val="Emphasis"/>
          <w:rFonts w:eastAsiaTheme="majorEastAsia"/>
        </w:rPr>
        <w:t>Trends in Ecology &amp; Evolution</w:t>
      </w:r>
      <w:r>
        <w:t>, 38(5), 432–444.</w:t>
      </w:r>
    </w:p>
    <w:p w14:paraId="134D36DB" w14:textId="77777777" w:rsidR="002202EB" w:rsidRDefault="002202EB" w:rsidP="002202EB">
      <w:pPr>
        <w:pStyle w:val="NormalWeb"/>
        <w:spacing w:before="0" w:beforeAutospacing="0"/>
        <w:ind w:left="426" w:hanging="426"/>
        <w:jc w:val="both"/>
      </w:pPr>
      <w:r>
        <w:t xml:space="preserve">Hahn, D. A., &amp; Denlinger, D. L. (2011). Energetics of insect diapause. </w:t>
      </w:r>
      <w:r>
        <w:rPr>
          <w:rStyle w:val="Emphasis"/>
          <w:rFonts w:eastAsiaTheme="majorEastAsia"/>
        </w:rPr>
        <w:t>Annual Review of Entomology</w:t>
      </w:r>
      <w:r>
        <w:t>, 56, 103–121.</w:t>
      </w:r>
    </w:p>
    <w:p w14:paraId="143E1A92" w14:textId="77777777" w:rsidR="002202EB" w:rsidRDefault="002202EB" w:rsidP="002202EB">
      <w:pPr>
        <w:pStyle w:val="NormalWeb"/>
        <w:spacing w:before="0" w:beforeAutospacing="0"/>
        <w:ind w:left="426" w:hanging="426"/>
        <w:jc w:val="both"/>
      </w:pPr>
      <w:r>
        <w:t xml:space="preserve">Hand, S. C., Menze, M. A., Toner, M., Lee, R. E., &amp; Denlinger, D. L. (2016). </w:t>
      </w:r>
      <w:r>
        <w:rPr>
          <w:rStyle w:val="Emphasis"/>
          <w:rFonts w:eastAsiaTheme="majorEastAsia"/>
        </w:rPr>
        <w:t>Diapause and stress tolerance in insects</w:t>
      </w:r>
      <w:r>
        <w:t>. Springer.</w:t>
      </w:r>
    </w:p>
    <w:p w14:paraId="2D8E108F" w14:textId="77777777" w:rsidR="002202EB" w:rsidRDefault="002202EB" w:rsidP="002202EB">
      <w:pPr>
        <w:pStyle w:val="NormalWeb"/>
        <w:spacing w:before="0" w:beforeAutospacing="0"/>
        <w:ind w:left="426" w:hanging="426"/>
        <w:jc w:val="both"/>
      </w:pPr>
      <w:r>
        <w:t xml:space="preserve">Harrison, J. F., &amp; Lammers, J. H. (2024). Integrative approaches to insect adaptation in the Anthropocene. </w:t>
      </w:r>
      <w:r>
        <w:rPr>
          <w:rStyle w:val="Emphasis"/>
          <w:rFonts w:eastAsiaTheme="majorEastAsia"/>
        </w:rPr>
        <w:t>Annual Review of Entomology</w:t>
      </w:r>
      <w:r>
        <w:t>, 69, 1–24.</w:t>
      </w:r>
    </w:p>
    <w:p w14:paraId="3E1DF64C" w14:textId="77777777" w:rsidR="002202EB" w:rsidRDefault="002202EB" w:rsidP="002202EB">
      <w:pPr>
        <w:pStyle w:val="NormalWeb"/>
        <w:spacing w:before="0" w:beforeAutospacing="0"/>
        <w:ind w:left="426" w:hanging="426"/>
        <w:jc w:val="both"/>
      </w:pPr>
      <w:r>
        <w:t xml:space="preserve">Harvey, J. A., &amp; </w:t>
      </w:r>
      <w:proofErr w:type="spellStart"/>
      <w:r>
        <w:t>Tougeron</w:t>
      </w:r>
      <w:proofErr w:type="spellEnd"/>
      <w:r>
        <w:t xml:space="preserve">, K. (2023). Climate change and insect trophic interactions. </w:t>
      </w:r>
      <w:r>
        <w:rPr>
          <w:rStyle w:val="Emphasis"/>
          <w:rFonts w:eastAsiaTheme="majorEastAsia"/>
        </w:rPr>
        <w:t>Annual Review of Entomology</w:t>
      </w:r>
      <w:r>
        <w:t>, 68, 391–412.</w:t>
      </w:r>
    </w:p>
    <w:p w14:paraId="1E7E8BDE" w14:textId="77777777" w:rsidR="002202EB" w:rsidRDefault="002202EB" w:rsidP="002202EB">
      <w:pPr>
        <w:pStyle w:val="NormalWeb"/>
        <w:spacing w:before="0" w:beforeAutospacing="0"/>
        <w:ind w:left="426" w:hanging="426"/>
        <w:jc w:val="both"/>
      </w:pPr>
      <w:r>
        <w:t xml:space="preserve">Heckel, D. G. (2021). The complexity of insect–plant interactions: From genes to communities. </w:t>
      </w:r>
      <w:r>
        <w:rPr>
          <w:rStyle w:val="Emphasis"/>
          <w:rFonts w:eastAsiaTheme="majorEastAsia"/>
        </w:rPr>
        <w:t>Annual Review of Entomology</w:t>
      </w:r>
      <w:r>
        <w:t>, 66, 357–377.</w:t>
      </w:r>
    </w:p>
    <w:p w14:paraId="77C87759" w14:textId="77777777" w:rsidR="002202EB" w:rsidRDefault="002202EB" w:rsidP="002202EB">
      <w:pPr>
        <w:pStyle w:val="NormalWeb"/>
        <w:spacing w:before="0" w:beforeAutospacing="0"/>
        <w:ind w:left="426" w:hanging="426"/>
        <w:jc w:val="both"/>
      </w:pPr>
      <w:r>
        <w:t xml:space="preserve">Heidel-Fischer, H. M., &amp; Vogel, H. (2015). Molecular mechanisms of insect herbivore adaptation to plant </w:t>
      </w:r>
      <w:proofErr w:type="spellStart"/>
      <w:r>
        <w:t>defenses</w:t>
      </w:r>
      <w:proofErr w:type="spellEnd"/>
      <w:r>
        <w:t xml:space="preserve">. </w:t>
      </w:r>
      <w:r>
        <w:rPr>
          <w:rStyle w:val="Emphasis"/>
          <w:rFonts w:eastAsiaTheme="majorEastAsia"/>
        </w:rPr>
        <w:t>Annual Review of Entomology</w:t>
      </w:r>
      <w:r>
        <w:t>, 60, 301–319.</w:t>
      </w:r>
    </w:p>
    <w:p w14:paraId="609777E8" w14:textId="77777777" w:rsidR="002202EB" w:rsidRDefault="002202EB" w:rsidP="002202EB">
      <w:pPr>
        <w:pStyle w:val="NormalWeb"/>
        <w:spacing w:before="0" w:beforeAutospacing="0"/>
        <w:ind w:left="426" w:hanging="426"/>
        <w:jc w:val="both"/>
      </w:pPr>
      <w:r>
        <w:t>Hobson, K. A., Anderson, R. C., Soto, D. X., &amp; Wassenaar, L. I. (2012). Isotopic evidence that dragonflies (</w:t>
      </w:r>
      <w:proofErr w:type="spellStart"/>
      <w:r>
        <w:rPr>
          <w:rStyle w:val="Emphasis"/>
          <w:rFonts w:eastAsiaTheme="majorEastAsia"/>
        </w:rPr>
        <w:t>Pantala</w:t>
      </w:r>
      <w:proofErr w:type="spellEnd"/>
      <w:r>
        <w:rPr>
          <w:rStyle w:val="Emphasis"/>
          <w:rFonts w:eastAsiaTheme="majorEastAsia"/>
        </w:rPr>
        <w:t xml:space="preserve"> </w:t>
      </w:r>
      <w:proofErr w:type="spellStart"/>
      <w:r>
        <w:rPr>
          <w:rStyle w:val="Emphasis"/>
          <w:rFonts w:eastAsiaTheme="majorEastAsia"/>
        </w:rPr>
        <w:t>flavescens</w:t>
      </w:r>
      <w:proofErr w:type="spellEnd"/>
      <w:r>
        <w:t xml:space="preserve">) migrating through the Maldives come from the northern Indian subcontinent. </w:t>
      </w:r>
      <w:proofErr w:type="spellStart"/>
      <w:r>
        <w:rPr>
          <w:rStyle w:val="Emphasis"/>
          <w:rFonts w:eastAsiaTheme="majorEastAsia"/>
        </w:rPr>
        <w:t>PLoS</w:t>
      </w:r>
      <w:proofErr w:type="spellEnd"/>
      <w:r>
        <w:rPr>
          <w:rStyle w:val="Emphasis"/>
          <w:rFonts w:eastAsiaTheme="majorEastAsia"/>
        </w:rPr>
        <w:t xml:space="preserve"> ONE</w:t>
      </w:r>
      <w:r>
        <w:t>, 7(12), e52594.</w:t>
      </w:r>
    </w:p>
    <w:p w14:paraId="2DDFF2BF" w14:textId="77777777" w:rsidR="002202EB" w:rsidRDefault="002202EB" w:rsidP="002202EB">
      <w:pPr>
        <w:pStyle w:val="NormalWeb"/>
        <w:spacing w:before="0" w:beforeAutospacing="0"/>
        <w:ind w:left="426" w:hanging="426"/>
        <w:jc w:val="both"/>
      </w:pPr>
      <w:r>
        <w:t xml:space="preserve">Hoffmann, A. A. (2020). Genetic constraints on adaptation to climate change in insects. </w:t>
      </w:r>
      <w:r>
        <w:rPr>
          <w:rStyle w:val="Emphasis"/>
          <w:rFonts w:eastAsiaTheme="majorEastAsia"/>
        </w:rPr>
        <w:t>Philosophical Transactions of the Royal Society B</w:t>
      </w:r>
      <w:r>
        <w:t>, 375(1806), 20190482.</w:t>
      </w:r>
    </w:p>
    <w:p w14:paraId="03705FB5" w14:textId="77777777" w:rsidR="002202EB" w:rsidRDefault="002202EB" w:rsidP="002202EB">
      <w:pPr>
        <w:pStyle w:val="NormalWeb"/>
        <w:spacing w:before="0" w:beforeAutospacing="0"/>
        <w:ind w:left="426" w:hanging="426"/>
        <w:jc w:val="both"/>
      </w:pPr>
      <w:r>
        <w:t xml:space="preserve">Hoffmann, A. A., &amp; </w:t>
      </w:r>
      <w:proofErr w:type="spellStart"/>
      <w:r>
        <w:t>Sgrò</w:t>
      </w:r>
      <w:proofErr w:type="spellEnd"/>
      <w:r>
        <w:t xml:space="preserve">, C. M. (2023). Climate change and evolutionary adaptation in insects: Integrating genetic and plastic responses. </w:t>
      </w:r>
      <w:r>
        <w:rPr>
          <w:rStyle w:val="Emphasis"/>
          <w:rFonts w:eastAsiaTheme="majorEastAsia"/>
        </w:rPr>
        <w:t>Nature Reviews Genetics</w:t>
      </w:r>
      <w:r>
        <w:t>, 24(8), 492–506.</w:t>
      </w:r>
    </w:p>
    <w:p w14:paraId="09145FD3" w14:textId="77777777" w:rsidR="002202EB" w:rsidRDefault="002202EB" w:rsidP="002202EB">
      <w:pPr>
        <w:pStyle w:val="NormalWeb"/>
        <w:spacing w:before="0" w:beforeAutospacing="0"/>
        <w:ind w:left="426" w:hanging="426"/>
        <w:jc w:val="both"/>
      </w:pPr>
      <w:r>
        <w:t xml:space="preserve">Huey, R. B., Hertz, P. E., &amp; </w:t>
      </w:r>
      <w:proofErr w:type="spellStart"/>
      <w:r>
        <w:t>Sinervo</w:t>
      </w:r>
      <w:proofErr w:type="spellEnd"/>
      <w:r>
        <w:t xml:space="preserve">, B. (2002). </w:t>
      </w:r>
      <w:proofErr w:type="spellStart"/>
      <w:r>
        <w:t>Behavioral</w:t>
      </w:r>
      <w:proofErr w:type="spellEnd"/>
      <w:r>
        <w:t xml:space="preserve"> drive versus </w:t>
      </w:r>
      <w:proofErr w:type="spellStart"/>
      <w:r>
        <w:t>behavioral</w:t>
      </w:r>
      <w:proofErr w:type="spellEnd"/>
      <w:r>
        <w:t xml:space="preserve"> inertia in evolution: A null model approach. </w:t>
      </w:r>
      <w:r>
        <w:rPr>
          <w:rStyle w:val="Emphasis"/>
          <w:rFonts w:eastAsiaTheme="majorEastAsia"/>
        </w:rPr>
        <w:t>The American Naturalist</w:t>
      </w:r>
      <w:r>
        <w:t>, 160(3), 278–287.</w:t>
      </w:r>
    </w:p>
    <w:p w14:paraId="6DACD68D" w14:textId="77777777" w:rsidR="002202EB" w:rsidRDefault="002202EB" w:rsidP="002202EB">
      <w:pPr>
        <w:pStyle w:val="NormalWeb"/>
        <w:spacing w:before="0" w:beforeAutospacing="0"/>
        <w:ind w:left="426" w:hanging="426"/>
        <w:jc w:val="both"/>
      </w:pPr>
      <w:r>
        <w:t xml:space="preserve">Humphreys, R. K., &amp; Ruxton, G. D. (2018). A review of thanatosis (death feigning) as an anti-predator behaviour. </w:t>
      </w:r>
      <w:proofErr w:type="spellStart"/>
      <w:r>
        <w:rPr>
          <w:rStyle w:val="Emphasis"/>
          <w:rFonts w:eastAsiaTheme="majorEastAsia"/>
        </w:rPr>
        <w:t>Behavioral</w:t>
      </w:r>
      <w:proofErr w:type="spellEnd"/>
      <w:r>
        <w:rPr>
          <w:rStyle w:val="Emphasis"/>
          <w:rFonts w:eastAsiaTheme="majorEastAsia"/>
        </w:rPr>
        <w:t xml:space="preserve"> Ecology and </w:t>
      </w:r>
      <w:proofErr w:type="spellStart"/>
      <w:r>
        <w:rPr>
          <w:rStyle w:val="Emphasis"/>
          <w:rFonts w:eastAsiaTheme="majorEastAsia"/>
        </w:rPr>
        <w:t>Sociobiology</w:t>
      </w:r>
      <w:proofErr w:type="spellEnd"/>
      <w:r>
        <w:t>, 72(2), 22.</w:t>
      </w:r>
    </w:p>
    <w:p w14:paraId="1AAFC235" w14:textId="77777777" w:rsidR="002202EB" w:rsidRDefault="002202EB" w:rsidP="002202EB">
      <w:pPr>
        <w:pStyle w:val="NormalWeb"/>
        <w:spacing w:before="0" w:beforeAutospacing="0"/>
        <w:ind w:left="426" w:hanging="426"/>
        <w:jc w:val="both"/>
      </w:pPr>
      <w:r>
        <w:t xml:space="preserve">Humphreys, R. K., &amp; Ruxton, G. D. (2023). Thanatosis in insects: A comprehensive review. </w:t>
      </w:r>
      <w:r>
        <w:rPr>
          <w:rStyle w:val="Emphasis"/>
          <w:rFonts w:eastAsiaTheme="majorEastAsia"/>
        </w:rPr>
        <w:t>Biological Reviews</w:t>
      </w:r>
      <w:r>
        <w:t>, 98(3), 789–807.</w:t>
      </w:r>
    </w:p>
    <w:p w14:paraId="63BA1CC8" w14:textId="77777777" w:rsidR="002202EB" w:rsidRDefault="002202EB" w:rsidP="002202EB">
      <w:pPr>
        <w:pStyle w:val="NormalWeb"/>
        <w:spacing w:before="0" w:beforeAutospacing="0"/>
        <w:ind w:left="426" w:hanging="426"/>
        <w:jc w:val="both"/>
      </w:pPr>
      <w:proofErr w:type="spellStart"/>
      <w:r>
        <w:t>Jiggins</w:t>
      </w:r>
      <w:proofErr w:type="spellEnd"/>
      <w:r>
        <w:t xml:space="preserve">, C. D., &amp; McMillan, W. O. (2024). The genetics of mimicry: From supergenes to regulatory evolution. </w:t>
      </w:r>
      <w:r>
        <w:rPr>
          <w:rStyle w:val="Emphasis"/>
          <w:rFonts w:eastAsiaTheme="majorEastAsia"/>
        </w:rPr>
        <w:t>Nature Reviews Genetics</w:t>
      </w:r>
      <w:r>
        <w:t>, 25(2), 89–104.</w:t>
      </w:r>
    </w:p>
    <w:p w14:paraId="75EF00F7" w14:textId="77777777" w:rsidR="002202EB" w:rsidRDefault="002202EB" w:rsidP="002202EB">
      <w:pPr>
        <w:pStyle w:val="NormalWeb"/>
        <w:spacing w:before="0" w:beforeAutospacing="0"/>
        <w:ind w:left="426" w:hanging="426"/>
        <w:jc w:val="both"/>
      </w:pPr>
      <w:r>
        <w:t xml:space="preserve">Joron, M., </w:t>
      </w:r>
      <w:proofErr w:type="spellStart"/>
      <w:r>
        <w:t>Frezal</w:t>
      </w:r>
      <w:proofErr w:type="spellEnd"/>
      <w:r>
        <w:t xml:space="preserve">, L., Jones, R. T., Chamberlain, N. L., Lee, S. F., Haag, C. R., … &amp; </w:t>
      </w:r>
      <w:proofErr w:type="spellStart"/>
      <w:r>
        <w:t>ffrench</w:t>
      </w:r>
      <w:proofErr w:type="spellEnd"/>
      <w:r>
        <w:t xml:space="preserve">-Constant, R. H. (2011). Chromosomal rearrangements maintain a polymorphic supergene controlling butterfly mimicry. </w:t>
      </w:r>
      <w:r>
        <w:rPr>
          <w:rStyle w:val="Emphasis"/>
          <w:rFonts w:eastAsiaTheme="majorEastAsia"/>
        </w:rPr>
        <w:t>Nature</w:t>
      </w:r>
      <w:r>
        <w:t>, 477, 203–206.</w:t>
      </w:r>
    </w:p>
    <w:p w14:paraId="6D04FB8A" w14:textId="77777777" w:rsidR="002202EB" w:rsidRDefault="002202EB" w:rsidP="002202EB">
      <w:pPr>
        <w:pStyle w:val="NormalWeb"/>
        <w:spacing w:before="0" w:beforeAutospacing="0"/>
        <w:ind w:left="426" w:hanging="426"/>
        <w:jc w:val="both"/>
      </w:pPr>
      <w:r>
        <w:t xml:space="preserve">Kang, C., &amp; Stevens, M. (2023). The ontogeny of camouflage: Developmental plasticity in background matching. </w:t>
      </w:r>
      <w:r>
        <w:rPr>
          <w:rStyle w:val="Emphasis"/>
          <w:rFonts w:eastAsiaTheme="majorEastAsia"/>
        </w:rPr>
        <w:t>Functional Ecology</w:t>
      </w:r>
      <w:r>
        <w:t>, 37(3), 612–624.</w:t>
      </w:r>
    </w:p>
    <w:p w14:paraId="7332C80D" w14:textId="77777777" w:rsidR="002202EB" w:rsidRDefault="002202EB" w:rsidP="002202EB">
      <w:pPr>
        <w:pStyle w:val="NormalWeb"/>
        <w:spacing w:before="0" w:beforeAutospacing="0"/>
        <w:ind w:left="426" w:hanging="426"/>
        <w:jc w:val="both"/>
      </w:pPr>
      <w:r>
        <w:lastRenderedPageBreak/>
        <w:t xml:space="preserve">Kellermann, V., Overgaard, J., Hoffmann, A. A., Fløjgaard, C., Svenning, J. C., &amp; Loeschcke, V. (2018). Upper thermal limits of insects are linked to species distributions and strongly constrained phylogenetically. </w:t>
      </w:r>
      <w:r>
        <w:rPr>
          <w:rStyle w:val="Emphasis"/>
          <w:rFonts w:eastAsiaTheme="majorEastAsia"/>
        </w:rPr>
        <w:t>Proceedings of the National Academy of Sciences</w:t>
      </w:r>
      <w:r>
        <w:t>, 115(40), 10234–10239.</w:t>
      </w:r>
    </w:p>
    <w:p w14:paraId="7E31A2B7" w14:textId="77777777" w:rsidR="002202EB" w:rsidRDefault="002202EB" w:rsidP="002202EB">
      <w:pPr>
        <w:pStyle w:val="NormalWeb"/>
        <w:spacing w:before="0" w:beforeAutospacing="0"/>
        <w:ind w:left="426" w:hanging="426"/>
        <w:jc w:val="both"/>
      </w:pPr>
      <w:r>
        <w:t xml:space="preserve">Kellermann, V., &amp; van </w:t>
      </w:r>
      <w:proofErr w:type="spellStart"/>
      <w:r>
        <w:t>Heerwaarden</w:t>
      </w:r>
      <w:proofErr w:type="spellEnd"/>
      <w:r>
        <w:t xml:space="preserve">, B. (2023). Terrestrial insects and climate change: Adaptive responses in the tropics versus temperate regions. </w:t>
      </w:r>
      <w:r>
        <w:rPr>
          <w:rStyle w:val="Emphasis"/>
          <w:rFonts w:eastAsiaTheme="majorEastAsia"/>
        </w:rPr>
        <w:t>Current Opinion in Insect Science</w:t>
      </w:r>
      <w:r>
        <w:t>, 55, 101001.</w:t>
      </w:r>
    </w:p>
    <w:p w14:paraId="513C3A65" w14:textId="77777777" w:rsidR="002202EB" w:rsidRDefault="002202EB" w:rsidP="002202EB">
      <w:pPr>
        <w:pStyle w:val="NormalWeb"/>
        <w:spacing w:before="0" w:beforeAutospacing="0"/>
        <w:ind w:left="426" w:hanging="426"/>
        <w:jc w:val="both"/>
      </w:pPr>
      <w:r>
        <w:t xml:space="preserve">Kennedy, J. S. (1985). </w:t>
      </w:r>
      <w:r>
        <w:rPr>
          <w:rStyle w:val="Emphasis"/>
          <w:rFonts w:eastAsiaTheme="majorEastAsia"/>
        </w:rPr>
        <w:t>The migration of the desert locust (Schistocerca gregaria): A textbook of locust behaviour</w:t>
      </w:r>
      <w:r>
        <w:t>. Cambridge University Press.</w:t>
      </w:r>
    </w:p>
    <w:p w14:paraId="0E990E89" w14:textId="77777777" w:rsidR="002202EB" w:rsidRDefault="002202EB" w:rsidP="002202EB">
      <w:pPr>
        <w:pStyle w:val="NormalWeb"/>
        <w:spacing w:before="0" w:beforeAutospacing="0"/>
        <w:ind w:left="426" w:hanging="426"/>
        <w:jc w:val="both"/>
      </w:pPr>
      <w:proofErr w:type="spellStart"/>
      <w:r>
        <w:t>Koštál</w:t>
      </w:r>
      <w:proofErr w:type="spellEnd"/>
      <w:r>
        <w:t xml:space="preserve">, V. (2006). Eco-physiological phases of insect diapause. </w:t>
      </w:r>
      <w:r>
        <w:rPr>
          <w:rStyle w:val="Emphasis"/>
          <w:rFonts w:eastAsiaTheme="majorEastAsia"/>
        </w:rPr>
        <w:t>Journal of Insect Physiology</w:t>
      </w:r>
      <w:r>
        <w:t>, 52(2), 113–127.</w:t>
      </w:r>
    </w:p>
    <w:p w14:paraId="20CF4915" w14:textId="77777777" w:rsidR="002202EB" w:rsidRDefault="002202EB" w:rsidP="002202EB">
      <w:pPr>
        <w:pStyle w:val="NormalWeb"/>
        <w:spacing w:before="0" w:beforeAutospacing="0"/>
        <w:ind w:left="426" w:hanging="426"/>
        <w:jc w:val="both"/>
      </w:pPr>
      <w:proofErr w:type="spellStart"/>
      <w:r>
        <w:t>Koštál</w:t>
      </w:r>
      <w:proofErr w:type="spellEnd"/>
      <w:r>
        <w:t xml:space="preserve">, V., &amp; </w:t>
      </w:r>
      <w:proofErr w:type="spellStart"/>
      <w:r>
        <w:t>Grgac</w:t>
      </w:r>
      <w:proofErr w:type="spellEnd"/>
      <w:r>
        <w:t xml:space="preserve">, R. (2021). Cryoprotective systems in overwintering insects. </w:t>
      </w:r>
      <w:r>
        <w:rPr>
          <w:rStyle w:val="Emphasis"/>
          <w:rFonts w:eastAsiaTheme="majorEastAsia"/>
        </w:rPr>
        <w:t>Journal of Thermal Biology</w:t>
      </w:r>
      <w:r>
        <w:t>, 98, 102947.</w:t>
      </w:r>
    </w:p>
    <w:p w14:paraId="4B335DA8" w14:textId="77777777" w:rsidR="002202EB" w:rsidRDefault="002202EB" w:rsidP="002202EB">
      <w:pPr>
        <w:pStyle w:val="NormalWeb"/>
        <w:spacing w:before="0" w:beforeAutospacing="0"/>
        <w:ind w:left="426" w:hanging="426"/>
        <w:jc w:val="both"/>
      </w:pPr>
      <w:proofErr w:type="spellStart"/>
      <w:r>
        <w:t>Koštál</w:t>
      </w:r>
      <w:proofErr w:type="spellEnd"/>
      <w:r>
        <w:t xml:space="preserve">, V., Korbelová, J., </w:t>
      </w:r>
      <w:proofErr w:type="spellStart"/>
      <w:r>
        <w:t>Rozsypal</w:t>
      </w:r>
      <w:proofErr w:type="spellEnd"/>
      <w:r>
        <w:t xml:space="preserve">, J., </w:t>
      </w:r>
      <w:proofErr w:type="spellStart"/>
      <w:r>
        <w:t>Zahradníčková</w:t>
      </w:r>
      <w:proofErr w:type="spellEnd"/>
      <w:r>
        <w:t xml:space="preserve">, H., </w:t>
      </w:r>
      <w:proofErr w:type="spellStart"/>
      <w:r>
        <w:t>Cimlová</w:t>
      </w:r>
      <w:proofErr w:type="spellEnd"/>
      <w:r>
        <w:t xml:space="preserve">, J., </w:t>
      </w:r>
      <w:proofErr w:type="spellStart"/>
      <w:r>
        <w:t>Tomčala</w:t>
      </w:r>
      <w:proofErr w:type="spellEnd"/>
      <w:r>
        <w:t xml:space="preserve">, A., &amp; Šimek, P. (2011). Long-term cold acclimation extends survival time at 0°C and modifies the metabolomic profiles of the larvae of the fruit fly </w:t>
      </w:r>
      <w:r>
        <w:rPr>
          <w:rStyle w:val="Emphasis"/>
          <w:rFonts w:eastAsiaTheme="majorEastAsia"/>
        </w:rPr>
        <w:t>Drosophila melanogaster</w:t>
      </w:r>
      <w:r>
        <w:t xml:space="preserve">. </w:t>
      </w:r>
      <w:proofErr w:type="spellStart"/>
      <w:r>
        <w:rPr>
          <w:rStyle w:val="Emphasis"/>
          <w:rFonts w:eastAsiaTheme="majorEastAsia"/>
        </w:rPr>
        <w:t>PLoS</w:t>
      </w:r>
      <w:proofErr w:type="spellEnd"/>
      <w:r>
        <w:rPr>
          <w:rStyle w:val="Emphasis"/>
          <w:rFonts w:eastAsiaTheme="majorEastAsia"/>
        </w:rPr>
        <w:t xml:space="preserve"> ONE</w:t>
      </w:r>
      <w:r>
        <w:t>, 6(9), e25025.</w:t>
      </w:r>
    </w:p>
    <w:p w14:paraId="0C9CC443" w14:textId="77777777" w:rsidR="002202EB" w:rsidRDefault="002202EB" w:rsidP="002202EB">
      <w:pPr>
        <w:pStyle w:val="NormalWeb"/>
        <w:spacing w:before="0" w:beforeAutospacing="0"/>
        <w:ind w:left="426" w:hanging="426"/>
        <w:jc w:val="both"/>
      </w:pPr>
      <w:r>
        <w:t xml:space="preserve">Kozak, K. M., &amp; Joron, M. (2022). Supergene evolution in </w:t>
      </w:r>
      <w:proofErr w:type="spellStart"/>
      <w:r>
        <w:rPr>
          <w:rStyle w:val="Emphasis"/>
          <w:rFonts w:eastAsiaTheme="majorEastAsia"/>
        </w:rPr>
        <w:t>Heliconius</w:t>
      </w:r>
      <w:proofErr w:type="spellEnd"/>
      <w:r>
        <w:t xml:space="preserve"> butterflies: From polymorphism to speciation. </w:t>
      </w:r>
      <w:r>
        <w:rPr>
          <w:rStyle w:val="Emphasis"/>
          <w:rFonts w:eastAsiaTheme="majorEastAsia"/>
        </w:rPr>
        <w:t>Annual Review of Ecology, Evolution, and Systematics</w:t>
      </w:r>
      <w:r>
        <w:t>, 53, 127–148.</w:t>
      </w:r>
    </w:p>
    <w:p w14:paraId="7521E3BA" w14:textId="77777777" w:rsidR="002202EB" w:rsidRDefault="002202EB" w:rsidP="002202EB">
      <w:pPr>
        <w:pStyle w:val="NormalWeb"/>
        <w:spacing w:before="0" w:beforeAutospacing="0"/>
        <w:ind w:left="426" w:hanging="426"/>
        <w:jc w:val="both"/>
      </w:pPr>
      <w:r>
        <w:t xml:space="preserve">Lee, R. E. (2010). A primer on insect cold-tolerance. In D. L. Denlinger &amp; R. E. Lee (Eds.), </w:t>
      </w:r>
      <w:r>
        <w:rPr>
          <w:rStyle w:val="Emphasis"/>
          <w:rFonts w:eastAsiaTheme="majorEastAsia"/>
        </w:rPr>
        <w:t>Low temperature biology of insects</w:t>
      </w:r>
      <w:r>
        <w:t xml:space="preserve"> (pp. 3–34). Cambridge University Press.</w:t>
      </w:r>
    </w:p>
    <w:p w14:paraId="302A48EA" w14:textId="77777777" w:rsidR="002202EB" w:rsidRDefault="002202EB" w:rsidP="002202EB">
      <w:pPr>
        <w:pStyle w:val="NormalWeb"/>
        <w:spacing w:before="0" w:beforeAutospacing="0"/>
        <w:ind w:left="426" w:hanging="426"/>
        <w:jc w:val="both"/>
      </w:pPr>
      <w:r>
        <w:t xml:space="preserve">MacLean, H. J., &amp; Overgaard, J. (2020). Climate change and insect heat tolerance: Testing predictions. </w:t>
      </w:r>
      <w:r>
        <w:rPr>
          <w:rStyle w:val="Emphasis"/>
          <w:rFonts w:eastAsiaTheme="majorEastAsia"/>
        </w:rPr>
        <w:t>Global Change Biology</w:t>
      </w:r>
      <w:r>
        <w:t>, 26(9), 4856–4868.</w:t>
      </w:r>
    </w:p>
    <w:p w14:paraId="613BF3AD" w14:textId="77777777" w:rsidR="002202EB" w:rsidRDefault="002202EB" w:rsidP="002202EB">
      <w:pPr>
        <w:pStyle w:val="NormalWeb"/>
        <w:spacing w:before="0" w:beforeAutospacing="0"/>
        <w:ind w:left="426" w:hanging="426"/>
        <w:jc w:val="both"/>
      </w:pPr>
      <w:r>
        <w:t xml:space="preserve">MacMillan, H. A., &amp; Overgaard, J. (2024). The physiology of insect cold tolerance: New insights from omics approaches. </w:t>
      </w:r>
      <w:r>
        <w:rPr>
          <w:rStyle w:val="Emphasis"/>
          <w:rFonts w:eastAsiaTheme="majorEastAsia"/>
        </w:rPr>
        <w:t>Journal of Experimental Biology</w:t>
      </w:r>
      <w:r>
        <w:t>, 227(4), jeb246201.</w:t>
      </w:r>
    </w:p>
    <w:p w14:paraId="5400164D" w14:textId="77777777" w:rsidR="002202EB" w:rsidRDefault="002202EB" w:rsidP="002202EB">
      <w:pPr>
        <w:pStyle w:val="NormalWeb"/>
        <w:spacing w:before="0" w:beforeAutospacing="0"/>
        <w:ind w:left="426" w:hanging="426"/>
        <w:jc w:val="both"/>
      </w:pPr>
      <w:r>
        <w:t xml:space="preserve">Merlin, C., &amp; </w:t>
      </w:r>
      <w:proofErr w:type="spellStart"/>
      <w:r>
        <w:t>Liedvogel</w:t>
      </w:r>
      <w:proofErr w:type="spellEnd"/>
      <w:r>
        <w:t xml:space="preserve">, M. (2023). The genetics and neurobiology of butterfly migration. </w:t>
      </w:r>
      <w:r>
        <w:rPr>
          <w:rStyle w:val="Emphasis"/>
          <w:rFonts w:eastAsiaTheme="majorEastAsia"/>
        </w:rPr>
        <w:t>Current Opinion in Neurobiology</w:t>
      </w:r>
      <w:r>
        <w:t>, 80, 102708.</w:t>
      </w:r>
    </w:p>
    <w:p w14:paraId="22647BBD" w14:textId="77777777" w:rsidR="002202EB" w:rsidRDefault="002202EB" w:rsidP="002202EB">
      <w:pPr>
        <w:pStyle w:val="NormalWeb"/>
        <w:spacing w:before="0" w:beforeAutospacing="0"/>
        <w:ind w:left="426" w:hanging="426"/>
        <w:jc w:val="both"/>
      </w:pPr>
      <w:r>
        <w:t xml:space="preserve">Mitchell, A., &amp; </w:t>
      </w:r>
      <w:proofErr w:type="spellStart"/>
      <w:r>
        <w:t>Chivers</w:t>
      </w:r>
      <w:proofErr w:type="spellEnd"/>
      <w:r>
        <w:t xml:space="preserve">, D. P. (2023). Learning and memory in insect anti-predator </w:t>
      </w:r>
      <w:proofErr w:type="spellStart"/>
      <w:r>
        <w:t>behavior</w:t>
      </w:r>
      <w:proofErr w:type="spellEnd"/>
      <w:r>
        <w:t xml:space="preserve">. </w:t>
      </w:r>
      <w:proofErr w:type="spellStart"/>
      <w:r>
        <w:rPr>
          <w:rStyle w:val="Emphasis"/>
          <w:rFonts w:eastAsiaTheme="majorEastAsia"/>
        </w:rPr>
        <w:t>Behavioral</w:t>
      </w:r>
      <w:proofErr w:type="spellEnd"/>
      <w:r>
        <w:rPr>
          <w:rStyle w:val="Emphasis"/>
          <w:rFonts w:eastAsiaTheme="majorEastAsia"/>
        </w:rPr>
        <w:t xml:space="preserve"> Ecology and </w:t>
      </w:r>
      <w:proofErr w:type="spellStart"/>
      <w:r>
        <w:rPr>
          <w:rStyle w:val="Emphasis"/>
          <w:rFonts w:eastAsiaTheme="majorEastAsia"/>
        </w:rPr>
        <w:t>Sociobiology</w:t>
      </w:r>
      <w:proofErr w:type="spellEnd"/>
      <w:r>
        <w:t>, 77(3), 1–15.</w:t>
      </w:r>
    </w:p>
    <w:p w14:paraId="03EBCD7E" w14:textId="77777777" w:rsidR="002202EB" w:rsidRDefault="002202EB" w:rsidP="002202EB">
      <w:pPr>
        <w:pStyle w:val="NormalWeb"/>
        <w:spacing w:before="0" w:beforeAutospacing="0"/>
        <w:ind w:left="426" w:hanging="426"/>
        <w:jc w:val="both"/>
      </w:pPr>
      <w:r>
        <w:t xml:space="preserve">Miyatake, T., Nakayama, S., Shimizu, T., &amp; Miyatake, Y. (2008). The incidence of death-feigning </w:t>
      </w:r>
      <w:proofErr w:type="spellStart"/>
      <w:r>
        <w:t>behavior</w:t>
      </w:r>
      <w:proofErr w:type="spellEnd"/>
      <w:r>
        <w:t xml:space="preserve"> and its related traits in the red flour beetle </w:t>
      </w:r>
      <w:proofErr w:type="spellStart"/>
      <w:r>
        <w:rPr>
          <w:rStyle w:val="Emphasis"/>
          <w:rFonts w:eastAsiaTheme="majorEastAsia"/>
        </w:rPr>
        <w:t>Tribolium</w:t>
      </w:r>
      <w:proofErr w:type="spellEnd"/>
      <w:r>
        <w:rPr>
          <w:rStyle w:val="Emphasis"/>
          <w:rFonts w:eastAsiaTheme="majorEastAsia"/>
        </w:rPr>
        <w:t xml:space="preserve"> </w:t>
      </w:r>
      <w:proofErr w:type="spellStart"/>
      <w:r>
        <w:rPr>
          <w:rStyle w:val="Emphasis"/>
          <w:rFonts w:eastAsiaTheme="majorEastAsia"/>
        </w:rPr>
        <w:t>castaneum</w:t>
      </w:r>
      <w:proofErr w:type="spellEnd"/>
      <w:r>
        <w:t xml:space="preserve">. </w:t>
      </w:r>
      <w:r>
        <w:rPr>
          <w:rStyle w:val="Emphasis"/>
          <w:rFonts w:eastAsiaTheme="majorEastAsia"/>
        </w:rPr>
        <w:t>Journal of Ethology</w:t>
      </w:r>
      <w:r>
        <w:t>, 26(1), 175–181.</w:t>
      </w:r>
    </w:p>
    <w:p w14:paraId="0837075C" w14:textId="77777777" w:rsidR="002202EB" w:rsidRDefault="002202EB" w:rsidP="002202EB">
      <w:pPr>
        <w:pStyle w:val="NormalWeb"/>
        <w:spacing w:before="0" w:beforeAutospacing="0"/>
        <w:ind w:left="426" w:hanging="426"/>
        <w:jc w:val="both"/>
      </w:pPr>
      <w:r>
        <w:t xml:space="preserve">Montgomery, S. H., &amp; Merrill, R. M. (2023). The neurobiology of mimicry: How predators shape prey signals. </w:t>
      </w:r>
      <w:r>
        <w:rPr>
          <w:rStyle w:val="Emphasis"/>
          <w:rFonts w:eastAsiaTheme="majorEastAsia"/>
        </w:rPr>
        <w:t>Current Opinion in Neurobiology</w:t>
      </w:r>
      <w:r>
        <w:t>, 80, 102701.</w:t>
      </w:r>
    </w:p>
    <w:p w14:paraId="42220AD2" w14:textId="77777777" w:rsidR="002202EB" w:rsidRDefault="002202EB" w:rsidP="002202EB">
      <w:pPr>
        <w:pStyle w:val="NormalWeb"/>
        <w:spacing w:before="0" w:beforeAutospacing="0"/>
        <w:ind w:left="426" w:hanging="426"/>
        <w:jc w:val="both"/>
      </w:pPr>
      <w:r>
        <w:lastRenderedPageBreak/>
        <w:t xml:space="preserve">Müller, F. (1879). </w:t>
      </w:r>
      <w:proofErr w:type="spellStart"/>
      <w:r>
        <w:rPr>
          <w:rStyle w:val="Emphasis"/>
          <w:rFonts w:eastAsiaTheme="majorEastAsia"/>
        </w:rPr>
        <w:t>Ituna</w:t>
      </w:r>
      <w:proofErr w:type="spellEnd"/>
      <w:r>
        <w:t xml:space="preserve"> and </w:t>
      </w:r>
      <w:proofErr w:type="spellStart"/>
      <w:r>
        <w:rPr>
          <w:rStyle w:val="Emphasis"/>
          <w:rFonts w:eastAsiaTheme="majorEastAsia"/>
        </w:rPr>
        <w:t>Thyridia</w:t>
      </w:r>
      <w:proofErr w:type="spellEnd"/>
      <w:r>
        <w:t xml:space="preserve">: A remarkable case of mimicry in butterflies. </w:t>
      </w:r>
      <w:r>
        <w:rPr>
          <w:rStyle w:val="Emphasis"/>
          <w:rFonts w:eastAsiaTheme="majorEastAsia"/>
        </w:rPr>
        <w:t>Transactions of the Entomological Society of London</w:t>
      </w:r>
      <w:r>
        <w:t>, 1879, xx–xxix.</w:t>
      </w:r>
    </w:p>
    <w:p w14:paraId="2F05EF2F" w14:textId="77777777" w:rsidR="002202EB" w:rsidRDefault="002202EB" w:rsidP="002202EB">
      <w:pPr>
        <w:pStyle w:val="NormalWeb"/>
        <w:spacing w:before="0" w:beforeAutospacing="0"/>
        <w:ind w:left="426" w:hanging="426"/>
        <w:jc w:val="both"/>
      </w:pPr>
      <w:r>
        <w:t xml:space="preserve">Parmesan, C. (2006). Ecological and evolutionary responses to recent climate change. </w:t>
      </w:r>
      <w:r>
        <w:rPr>
          <w:rStyle w:val="Emphasis"/>
          <w:rFonts w:eastAsiaTheme="majorEastAsia"/>
        </w:rPr>
        <w:t>Annual Review of Ecology, Evolution, and Systematics</w:t>
      </w:r>
      <w:r>
        <w:t>, 37, 637–669.</w:t>
      </w:r>
    </w:p>
    <w:p w14:paraId="11B5B033" w14:textId="77777777" w:rsidR="002202EB" w:rsidRDefault="002202EB" w:rsidP="002202EB">
      <w:pPr>
        <w:pStyle w:val="NormalWeb"/>
        <w:spacing w:before="0" w:beforeAutospacing="0"/>
        <w:ind w:left="426" w:hanging="426"/>
        <w:jc w:val="both"/>
      </w:pPr>
      <w:r>
        <w:t xml:space="preserve">Parmesan, C., &amp; </w:t>
      </w:r>
      <w:proofErr w:type="spellStart"/>
      <w:r>
        <w:t>Morecroft</w:t>
      </w:r>
      <w:proofErr w:type="spellEnd"/>
      <w:r>
        <w:t xml:space="preserve">, M. D. (2022). Observed impacts of climate change on insect populations. </w:t>
      </w:r>
      <w:r>
        <w:rPr>
          <w:rStyle w:val="Emphasis"/>
          <w:rFonts w:eastAsiaTheme="majorEastAsia"/>
        </w:rPr>
        <w:t>Biological Conservation</w:t>
      </w:r>
      <w:r>
        <w:t>, 268, 109504.</w:t>
      </w:r>
    </w:p>
    <w:p w14:paraId="02354B01" w14:textId="77777777" w:rsidR="002202EB" w:rsidRDefault="002202EB" w:rsidP="002202EB">
      <w:pPr>
        <w:pStyle w:val="NormalWeb"/>
        <w:spacing w:before="0" w:beforeAutospacing="0"/>
        <w:ind w:left="426" w:hanging="426"/>
        <w:jc w:val="both"/>
      </w:pPr>
      <w:proofErr w:type="spellStart"/>
      <w:r>
        <w:t>Pener</w:t>
      </w:r>
      <w:proofErr w:type="spellEnd"/>
      <w:r>
        <w:t xml:space="preserve">, M. P., &amp; Simpson, S. J. (2009). Locust phase </w:t>
      </w:r>
      <w:proofErr w:type="spellStart"/>
      <w:r>
        <w:t>polyphenism</w:t>
      </w:r>
      <w:proofErr w:type="spellEnd"/>
      <w:r>
        <w:t xml:space="preserve">: An update. </w:t>
      </w:r>
      <w:r>
        <w:rPr>
          <w:rStyle w:val="Emphasis"/>
          <w:rFonts w:eastAsiaTheme="majorEastAsia"/>
        </w:rPr>
        <w:t>Advances in Insect Physiology</w:t>
      </w:r>
      <w:r>
        <w:t>, 36, 1–272.</w:t>
      </w:r>
    </w:p>
    <w:p w14:paraId="518B1ADD" w14:textId="77777777" w:rsidR="002202EB" w:rsidRDefault="002202EB" w:rsidP="002202EB">
      <w:pPr>
        <w:pStyle w:val="NormalWeb"/>
        <w:spacing w:before="0" w:beforeAutospacing="0"/>
        <w:ind w:left="426" w:hanging="426"/>
        <w:jc w:val="both"/>
      </w:pPr>
      <w:proofErr w:type="spellStart"/>
      <w:r>
        <w:t>Pincebourde</w:t>
      </w:r>
      <w:proofErr w:type="spellEnd"/>
      <w:r>
        <w:t xml:space="preserve">, S., &amp; Woods, H. A. (2023). Microclimates and insect thermal ecology. </w:t>
      </w:r>
      <w:r>
        <w:rPr>
          <w:rStyle w:val="Emphasis"/>
          <w:rFonts w:eastAsiaTheme="majorEastAsia"/>
        </w:rPr>
        <w:t>Annual Review of Entomology</w:t>
      </w:r>
      <w:r>
        <w:t>, 68, 259–279.</w:t>
      </w:r>
    </w:p>
    <w:p w14:paraId="60925E49" w14:textId="77777777" w:rsidR="002202EB" w:rsidRDefault="002202EB" w:rsidP="002202EB">
      <w:pPr>
        <w:pStyle w:val="NormalWeb"/>
        <w:spacing w:before="0" w:beforeAutospacing="0"/>
        <w:ind w:left="426" w:hanging="426"/>
        <w:jc w:val="both"/>
      </w:pPr>
      <w:r>
        <w:t xml:space="preserve">Ragland, G. J., &amp; Armbruster, P. A. (2023). Evolutionary physiology of insect diapause. </w:t>
      </w:r>
      <w:r>
        <w:rPr>
          <w:rStyle w:val="Emphasis"/>
          <w:rFonts w:eastAsiaTheme="majorEastAsia"/>
        </w:rPr>
        <w:t>Annual Review of Entomology</w:t>
      </w:r>
      <w:r>
        <w:t>, 68, 189–208.</w:t>
      </w:r>
    </w:p>
    <w:p w14:paraId="6A380ABB" w14:textId="77777777" w:rsidR="002202EB" w:rsidRDefault="002202EB" w:rsidP="002202EB">
      <w:pPr>
        <w:pStyle w:val="NormalWeb"/>
        <w:spacing w:before="0" w:beforeAutospacing="0"/>
        <w:ind w:left="426" w:hanging="426"/>
        <w:jc w:val="both"/>
      </w:pPr>
      <w:r>
        <w:t xml:space="preserve">Ratcliffe, J. M., &amp; Conner, W. E. (2024). Predator–prey arms races: Insights from bat–moth interactions. </w:t>
      </w:r>
      <w:r>
        <w:rPr>
          <w:rStyle w:val="Emphasis"/>
          <w:rFonts w:eastAsiaTheme="majorEastAsia"/>
        </w:rPr>
        <w:t>Annual Review of Entomology</w:t>
      </w:r>
      <w:r>
        <w:t>, 69, 425–445.</w:t>
      </w:r>
    </w:p>
    <w:p w14:paraId="03009D93" w14:textId="77777777" w:rsidR="002202EB" w:rsidRDefault="002202EB" w:rsidP="002202EB">
      <w:pPr>
        <w:pStyle w:val="NormalWeb"/>
        <w:spacing w:before="0" w:beforeAutospacing="0"/>
        <w:ind w:left="426" w:hanging="426"/>
        <w:jc w:val="both"/>
      </w:pPr>
      <w:r>
        <w:t xml:space="preserve">Reppert, S. M., Guerra, P. A., &amp; Merlin, C. (2010). Neurobiology of monarch butterfly migration. </w:t>
      </w:r>
      <w:r>
        <w:rPr>
          <w:rStyle w:val="Emphasis"/>
          <w:rFonts w:eastAsiaTheme="majorEastAsia"/>
        </w:rPr>
        <w:t>Annual Review of Entomology</w:t>
      </w:r>
      <w:r>
        <w:t>, 55, 351–368.</w:t>
      </w:r>
    </w:p>
    <w:p w14:paraId="49A9CA9F" w14:textId="77777777" w:rsidR="002202EB" w:rsidRDefault="002202EB" w:rsidP="002202EB">
      <w:pPr>
        <w:pStyle w:val="NormalWeb"/>
        <w:spacing w:before="0" w:beforeAutospacing="0"/>
        <w:ind w:left="426" w:hanging="426"/>
        <w:jc w:val="both"/>
      </w:pPr>
      <w:r>
        <w:t xml:space="preserve">Rosenblatt, A. E., &amp; Schmitz, O. J. (2021). Climate change and predator–prey dynamics in insect communities. </w:t>
      </w:r>
      <w:r>
        <w:rPr>
          <w:rStyle w:val="Emphasis"/>
          <w:rFonts w:eastAsiaTheme="majorEastAsia"/>
        </w:rPr>
        <w:t>Functional Ecology</w:t>
      </w:r>
      <w:r>
        <w:t>, 35(2), 334–345.</w:t>
      </w:r>
    </w:p>
    <w:p w14:paraId="11CF14C7" w14:textId="77777777" w:rsidR="002202EB" w:rsidRDefault="002202EB" w:rsidP="002202EB">
      <w:pPr>
        <w:pStyle w:val="NormalWeb"/>
        <w:spacing w:before="0" w:beforeAutospacing="0"/>
        <w:ind w:left="426" w:hanging="426"/>
        <w:jc w:val="both"/>
      </w:pPr>
      <w:r>
        <w:t xml:space="preserve">Rosenblum, E. B., Parent, C. E., &amp; Brandt, E. E. (2014). The molecular basis of phenotypic convergence. </w:t>
      </w:r>
      <w:r>
        <w:rPr>
          <w:rStyle w:val="Emphasis"/>
          <w:rFonts w:eastAsiaTheme="majorEastAsia"/>
        </w:rPr>
        <w:t>Annual Review of Ecology, Evolution, and Systematics</w:t>
      </w:r>
      <w:r>
        <w:t>, 45, 203–226.</w:t>
      </w:r>
    </w:p>
    <w:p w14:paraId="505CC6B2" w14:textId="77777777" w:rsidR="002202EB" w:rsidRDefault="002202EB" w:rsidP="002202EB">
      <w:pPr>
        <w:pStyle w:val="NormalWeb"/>
        <w:spacing w:before="0" w:beforeAutospacing="0"/>
        <w:ind w:left="426" w:hanging="426"/>
        <w:jc w:val="both"/>
      </w:pPr>
      <w:r>
        <w:t xml:space="preserve">Ruxton, G. D., Allen, W. L., Sherratt, T. N., &amp; Speed, M. P. (2018). </w:t>
      </w:r>
      <w:r>
        <w:rPr>
          <w:rStyle w:val="Emphasis"/>
          <w:rFonts w:eastAsiaTheme="majorEastAsia"/>
        </w:rPr>
        <w:t>Avoiding attack: The evolutionary ecology of crypsis, aposematism, and mimicry</w:t>
      </w:r>
      <w:r>
        <w:t xml:space="preserve"> (2nd ed.). Oxford University Press.</w:t>
      </w:r>
    </w:p>
    <w:p w14:paraId="123F818B" w14:textId="77777777" w:rsidR="002202EB" w:rsidRDefault="002202EB" w:rsidP="002202EB">
      <w:pPr>
        <w:pStyle w:val="NormalWeb"/>
        <w:spacing w:before="0" w:beforeAutospacing="0"/>
        <w:ind w:left="426" w:hanging="426"/>
        <w:jc w:val="both"/>
      </w:pPr>
      <w:r>
        <w:t xml:space="preserve">Sih, A., Ferrari, M. C. O., &amp; Harris, D. J. (2011). Evolution and behavioural responses to human-induced rapid environmental change. </w:t>
      </w:r>
      <w:r>
        <w:rPr>
          <w:rStyle w:val="Emphasis"/>
          <w:rFonts w:eastAsiaTheme="majorEastAsia"/>
        </w:rPr>
        <w:t>Evolutionary Applications</w:t>
      </w:r>
      <w:r>
        <w:t>, 4(2), 367–387.</w:t>
      </w:r>
    </w:p>
    <w:p w14:paraId="29597409" w14:textId="77777777" w:rsidR="002202EB" w:rsidRDefault="002202EB" w:rsidP="002202EB">
      <w:pPr>
        <w:pStyle w:val="NormalWeb"/>
        <w:spacing w:before="0" w:beforeAutospacing="0"/>
        <w:ind w:left="426" w:hanging="426"/>
        <w:jc w:val="both"/>
      </w:pPr>
      <w:r>
        <w:t xml:space="preserve">Sinclair, B. J., &amp; Andersen, M. K. (2023). Cold tolerance in insects: From mechanisms to macroecology. </w:t>
      </w:r>
      <w:r>
        <w:rPr>
          <w:rStyle w:val="Emphasis"/>
          <w:rFonts w:eastAsiaTheme="majorEastAsia"/>
        </w:rPr>
        <w:t>Annual Review of Entomology</w:t>
      </w:r>
      <w:r>
        <w:t>, 68, 315–336.</w:t>
      </w:r>
    </w:p>
    <w:p w14:paraId="67C53C22" w14:textId="77777777" w:rsidR="002202EB" w:rsidRDefault="002202EB" w:rsidP="002202EB">
      <w:pPr>
        <w:pStyle w:val="NormalWeb"/>
        <w:spacing w:before="0" w:beforeAutospacing="0"/>
        <w:ind w:left="426" w:hanging="426"/>
        <w:jc w:val="both"/>
      </w:pPr>
      <w:r>
        <w:t xml:space="preserve">Sinclair, B. J., Gibbs, A. G., &amp; Roberts, S. P. (2015). Insect cold tolerance: How insects survive and recover from cold shock and freezing. In </w:t>
      </w:r>
      <w:r>
        <w:rPr>
          <w:rStyle w:val="Emphasis"/>
          <w:rFonts w:eastAsiaTheme="majorEastAsia"/>
        </w:rPr>
        <w:t>Insect cold tolerance</w:t>
      </w:r>
      <w:r>
        <w:t xml:space="preserve"> (pp. 1–xx). Cambridge University Press.</w:t>
      </w:r>
    </w:p>
    <w:p w14:paraId="14A0CD67" w14:textId="77777777" w:rsidR="002202EB" w:rsidRDefault="002202EB" w:rsidP="002202EB">
      <w:pPr>
        <w:pStyle w:val="NormalWeb"/>
        <w:spacing w:before="0" w:beforeAutospacing="0"/>
        <w:ind w:left="426" w:hanging="426"/>
        <w:jc w:val="both"/>
      </w:pPr>
      <w:r>
        <w:t xml:space="preserve">Sinclair, B. J., &amp; Marshall, K. E. (2022). The many roles of fats in overwintering insects. </w:t>
      </w:r>
      <w:r>
        <w:rPr>
          <w:rStyle w:val="Emphasis"/>
          <w:rFonts w:eastAsiaTheme="majorEastAsia"/>
        </w:rPr>
        <w:t>Journal of Experimental Biology</w:t>
      </w:r>
      <w:r>
        <w:t>, 225(Suppl_1), jeb243284.</w:t>
      </w:r>
    </w:p>
    <w:p w14:paraId="77F4B537" w14:textId="77777777" w:rsidR="002202EB" w:rsidRDefault="002202EB" w:rsidP="002202EB">
      <w:pPr>
        <w:pStyle w:val="NormalWeb"/>
        <w:spacing w:before="0" w:beforeAutospacing="0"/>
        <w:ind w:left="426" w:hanging="426"/>
        <w:jc w:val="both"/>
      </w:pPr>
      <w:proofErr w:type="spellStart"/>
      <w:r>
        <w:t>Skelhorn</w:t>
      </w:r>
      <w:proofErr w:type="spellEnd"/>
      <w:r>
        <w:t xml:space="preserve">, J., Rowland, H. M., &amp; Ruxton, G. D. (2010). The evolution and ecology of masquerade. </w:t>
      </w:r>
      <w:r>
        <w:rPr>
          <w:rStyle w:val="Emphasis"/>
          <w:rFonts w:eastAsiaTheme="majorEastAsia"/>
        </w:rPr>
        <w:t>Biological Journal of the Linnean Society</w:t>
      </w:r>
      <w:r>
        <w:t>, 99(1), 1–8.</w:t>
      </w:r>
    </w:p>
    <w:p w14:paraId="01D90628" w14:textId="77777777" w:rsidR="002202EB" w:rsidRDefault="002202EB" w:rsidP="002202EB">
      <w:pPr>
        <w:pStyle w:val="NormalWeb"/>
        <w:spacing w:before="0" w:beforeAutospacing="0"/>
        <w:ind w:left="426" w:hanging="426"/>
        <w:jc w:val="both"/>
      </w:pPr>
      <w:r>
        <w:lastRenderedPageBreak/>
        <w:t xml:space="preserve">Sørensen, J. G., Kristensen, T. N., &amp; Loeschcke, V. (2003). The evolutionary and ecological role of heat shock proteins. </w:t>
      </w:r>
      <w:r>
        <w:rPr>
          <w:rStyle w:val="Emphasis"/>
          <w:rFonts w:eastAsiaTheme="majorEastAsia"/>
        </w:rPr>
        <w:t>Ecology Letters</w:t>
      </w:r>
      <w:r>
        <w:t>, 6(11), 1025–1037.</w:t>
      </w:r>
    </w:p>
    <w:p w14:paraId="7DCDD3B7" w14:textId="77777777" w:rsidR="002202EB" w:rsidRDefault="002202EB" w:rsidP="002202EB">
      <w:pPr>
        <w:pStyle w:val="NormalWeb"/>
        <w:spacing w:before="0" w:beforeAutospacing="0"/>
        <w:ind w:left="426" w:hanging="426"/>
        <w:jc w:val="both"/>
      </w:pPr>
      <w:r>
        <w:t xml:space="preserve">Sørensen, J. G., &amp; Overgaard, J. (2024). Heat shock proteins and thermal tolerance in insects: New perspectives. </w:t>
      </w:r>
      <w:r>
        <w:rPr>
          <w:rStyle w:val="Emphasis"/>
          <w:rFonts w:eastAsiaTheme="majorEastAsia"/>
        </w:rPr>
        <w:t>Cell Stress and Chaperones</w:t>
      </w:r>
      <w:r>
        <w:t>, 29(1), 1–15.</w:t>
      </w:r>
    </w:p>
    <w:p w14:paraId="5C40139C" w14:textId="77777777" w:rsidR="002202EB" w:rsidRDefault="002202EB" w:rsidP="002202EB">
      <w:pPr>
        <w:pStyle w:val="NormalWeb"/>
        <w:spacing w:before="0" w:beforeAutospacing="0"/>
        <w:ind w:left="426" w:hanging="426"/>
        <w:jc w:val="both"/>
      </w:pPr>
      <w:r>
        <w:t xml:space="preserve">Stern, D. L. (2013). The genetic causes of convergent evolution. </w:t>
      </w:r>
      <w:r>
        <w:rPr>
          <w:rStyle w:val="Emphasis"/>
          <w:rFonts w:eastAsiaTheme="majorEastAsia"/>
        </w:rPr>
        <w:t>Nature Reviews Genetics</w:t>
      </w:r>
      <w:r>
        <w:t>, 14(11), 751–764.</w:t>
      </w:r>
    </w:p>
    <w:p w14:paraId="213D2975" w14:textId="77777777" w:rsidR="002202EB" w:rsidRDefault="002202EB" w:rsidP="002202EB">
      <w:pPr>
        <w:pStyle w:val="NormalWeb"/>
        <w:spacing w:before="0" w:beforeAutospacing="0"/>
        <w:ind w:left="426" w:hanging="426"/>
        <w:jc w:val="both"/>
      </w:pPr>
      <w:r>
        <w:t xml:space="preserve">Stevens, M., &amp; </w:t>
      </w:r>
      <w:proofErr w:type="spellStart"/>
      <w:r>
        <w:t>Merilaita</w:t>
      </w:r>
      <w:proofErr w:type="spellEnd"/>
      <w:r>
        <w:t xml:space="preserve">, S. (2009). Animal camouflage: Current issues and new perspectives. </w:t>
      </w:r>
      <w:r>
        <w:rPr>
          <w:rStyle w:val="Emphasis"/>
          <w:rFonts w:eastAsiaTheme="majorEastAsia"/>
        </w:rPr>
        <w:t>Philosophical Transactions of the Royal Society B</w:t>
      </w:r>
      <w:r>
        <w:t>, 364(1516), 423–427.</w:t>
      </w:r>
    </w:p>
    <w:p w14:paraId="426C228E" w14:textId="77777777" w:rsidR="002202EB" w:rsidRDefault="002202EB" w:rsidP="002202EB">
      <w:pPr>
        <w:pStyle w:val="NormalWeb"/>
        <w:spacing w:before="0" w:beforeAutospacing="0"/>
        <w:ind w:left="426" w:hanging="426"/>
        <w:jc w:val="both"/>
      </w:pPr>
      <w:r>
        <w:t xml:space="preserve">Stillman, J. H., &amp; Armstrong, E. J. (2024). Genomics of physiological adaptation in insects. </w:t>
      </w:r>
      <w:r>
        <w:rPr>
          <w:rStyle w:val="Emphasis"/>
          <w:rFonts w:eastAsiaTheme="majorEastAsia"/>
        </w:rPr>
        <w:t>Journal of Experimental Biology</w:t>
      </w:r>
      <w:r>
        <w:t>, 227(2), jeb245890.</w:t>
      </w:r>
    </w:p>
    <w:p w14:paraId="49766C24" w14:textId="77777777" w:rsidR="002202EB" w:rsidRDefault="002202EB" w:rsidP="002202EB">
      <w:pPr>
        <w:pStyle w:val="NormalWeb"/>
        <w:spacing w:before="0" w:beforeAutospacing="0"/>
        <w:ind w:left="426" w:hanging="426"/>
        <w:jc w:val="both"/>
      </w:pPr>
      <w:r>
        <w:t xml:space="preserve">Storey, K. B., &amp; Storey, J. M. (2012). Insect cold hardiness: Metabolic, gene, and protein adaptation. </w:t>
      </w:r>
      <w:r>
        <w:rPr>
          <w:rStyle w:val="Emphasis"/>
          <w:rFonts w:eastAsiaTheme="majorEastAsia"/>
        </w:rPr>
        <w:t>Canadian Journal of Zoology</w:t>
      </w:r>
      <w:r>
        <w:t>, 90(4), 456–475.</w:t>
      </w:r>
    </w:p>
    <w:p w14:paraId="5F1F70A7" w14:textId="77777777" w:rsidR="002202EB" w:rsidRDefault="002202EB" w:rsidP="002202EB">
      <w:pPr>
        <w:pStyle w:val="NormalWeb"/>
        <w:spacing w:before="0" w:beforeAutospacing="0"/>
        <w:ind w:left="426" w:hanging="426"/>
        <w:jc w:val="both"/>
      </w:pPr>
      <w:r>
        <w:t xml:space="preserve">Sunday, J. M., &amp; Bates, A. E. (2022). Behavioural buffering of thermal stress in ectotherms: A global synthesis. </w:t>
      </w:r>
      <w:r>
        <w:rPr>
          <w:rStyle w:val="Emphasis"/>
          <w:rFonts w:eastAsiaTheme="majorEastAsia"/>
        </w:rPr>
        <w:t>Ecology Letters</w:t>
      </w:r>
      <w:r>
        <w:t>, 25(4), 892–905.</w:t>
      </w:r>
    </w:p>
    <w:p w14:paraId="54318CC2" w14:textId="77777777" w:rsidR="002202EB" w:rsidRDefault="002202EB" w:rsidP="002202EB">
      <w:pPr>
        <w:pStyle w:val="NormalWeb"/>
        <w:spacing w:before="0" w:beforeAutospacing="0"/>
        <w:ind w:left="426" w:hanging="426"/>
        <w:jc w:val="both"/>
      </w:pPr>
      <w:r>
        <w:t xml:space="preserve">Sunday, J. M., &amp; Bates, A. E. (2021). Thermal tolerance and climate vulnerability of insects: A global analysis. </w:t>
      </w:r>
      <w:r>
        <w:rPr>
          <w:rStyle w:val="Emphasis"/>
          <w:rFonts w:eastAsiaTheme="majorEastAsia"/>
        </w:rPr>
        <w:t>Nature Climate Change</w:t>
      </w:r>
      <w:r>
        <w:t>, 11(8), 689–695.</w:t>
      </w:r>
    </w:p>
    <w:p w14:paraId="0BF1E35E" w14:textId="77777777" w:rsidR="002202EB" w:rsidRDefault="002202EB" w:rsidP="002202EB">
      <w:pPr>
        <w:pStyle w:val="NormalWeb"/>
        <w:spacing w:before="0" w:beforeAutospacing="0"/>
        <w:ind w:left="426" w:hanging="426"/>
        <w:jc w:val="both"/>
      </w:pPr>
      <w:r>
        <w:t xml:space="preserve">Sunday, J. M., Bates, A. E., &amp; </w:t>
      </w:r>
      <w:proofErr w:type="spellStart"/>
      <w:r>
        <w:t>Dulvy</w:t>
      </w:r>
      <w:proofErr w:type="spellEnd"/>
      <w:r>
        <w:t xml:space="preserve">, N. K. (2011). Global analysis of thermal tolerance and latitude in ectotherms. </w:t>
      </w:r>
      <w:r>
        <w:rPr>
          <w:rStyle w:val="Emphasis"/>
          <w:rFonts w:eastAsiaTheme="majorEastAsia"/>
        </w:rPr>
        <w:t>Proceedings of the Royal Society B</w:t>
      </w:r>
      <w:r>
        <w:t>, 278(1713), 1823–1830.</w:t>
      </w:r>
    </w:p>
    <w:p w14:paraId="59AC4E69" w14:textId="77777777" w:rsidR="002202EB" w:rsidRDefault="002202EB" w:rsidP="002202EB">
      <w:pPr>
        <w:pStyle w:val="NormalWeb"/>
        <w:spacing w:before="0" w:beforeAutospacing="0"/>
        <w:ind w:left="426" w:hanging="426"/>
        <w:jc w:val="both"/>
      </w:pPr>
      <w:r>
        <w:t xml:space="preserve">Tauber, M. J., Tauber, C. A., &amp; Masaki, S. (1986). </w:t>
      </w:r>
      <w:r>
        <w:rPr>
          <w:rStyle w:val="Emphasis"/>
          <w:rFonts w:eastAsiaTheme="majorEastAsia"/>
        </w:rPr>
        <w:t>Seasonal adaptations of insects</w:t>
      </w:r>
      <w:r>
        <w:t>. Oxford University Press.</w:t>
      </w:r>
    </w:p>
    <w:p w14:paraId="4248F400" w14:textId="77777777" w:rsidR="002202EB" w:rsidRDefault="002202EB" w:rsidP="002202EB">
      <w:pPr>
        <w:pStyle w:val="NormalWeb"/>
        <w:spacing w:before="0" w:beforeAutospacing="0"/>
        <w:ind w:left="426" w:hanging="426"/>
        <w:jc w:val="both"/>
      </w:pPr>
      <w:r>
        <w:t xml:space="preserve">Tauber, M. J., Tauber, C. A., &amp; Tauber, C. A. (2014). Natural history of trash-carrying in green lacewings. </w:t>
      </w:r>
      <w:r>
        <w:rPr>
          <w:rStyle w:val="Emphasis"/>
          <w:rFonts w:eastAsiaTheme="majorEastAsia"/>
        </w:rPr>
        <w:t>Annual Review of Entomology</w:t>
      </w:r>
      <w:r>
        <w:t>, 59, 373–390.</w:t>
      </w:r>
    </w:p>
    <w:p w14:paraId="03C58663" w14:textId="77777777" w:rsidR="002202EB" w:rsidRDefault="002202EB" w:rsidP="002202EB">
      <w:pPr>
        <w:pStyle w:val="NormalWeb"/>
        <w:spacing w:before="0" w:beforeAutospacing="0"/>
        <w:ind w:left="426" w:hanging="426"/>
        <w:jc w:val="both"/>
      </w:pPr>
      <w:r>
        <w:t xml:space="preserve">Teets, N. M., &amp; Gantz, J. D. (2021). Osmotic and ionic regulation in desiccating insects. </w:t>
      </w:r>
      <w:r>
        <w:rPr>
          <w:rStyle w:val="Emphasis"/>
          <w:rFonts w:eastAsiaTheme="majorEastAsia"/>
        </w:rPr>
        <w:t>Comparative Biochemistry and Physiology A</w:t>
      </w:r>
      <w:r>
        <w:t>, 258, 110984.</w:t>
      </w:r>
    </w:p>
    <w:p w14:paraId="4BC12409" w14:textId="77777777" w:rsidR="002202EB" w:rsidRDefault="002202EB" w:rsidP="002202EB">
      <w:pPr>
        <w:pStyle w:val="NormalWeb"/>
        <w:spacing w:before="0" w:beforeAutospacing="0"/>
        <w:ind w:left="426" w:hanging="426"/>
        <w:jc w:val="both"/>
      </w:pPr>
      <w:r>
        <w:t xml:space="preserve">Teets, N. M., &amp; Hahn, D. A. (2022). Hormonal regulation of insect cold hardiness. </w:t>
      </w:r>
      <w:r>
        <w:rPr>
          <w:rStyle w:val="Emphasis"/>
          <w:rFonts w:eastAsiaTheme="majorEastAsia"/>
        </w:rPr>
        <w:t>Current Opinion in Insect Science</w:t>
      </w:r>
      <w:r>
        <w:t>, 53, 100944.</w:t>
      </w:r>
    </w:p>
    <w:p w14:paraId="4B903D38" w14:textId="77777777" w:rsidR="002202EB" w:rsidRDefault="002202EB" w:rsidP="002202EB">
      <w:pPr>
        <w:pStyle w:val="NormalWeb"/>
        <w:spacing w:before="0" w:beforeAutospacing="0"/>
        <w:ind w:left="426" w:hanging="426"/>
        <w:jc w:val="both"/>
      </w:pPr>
      <w:proofErr w:type="spellStart"/>
      <w:r>
        <w:t>Tougeron</w:t>
      </w:r>
      <w:proofErr w:type="spellEnd"/>
      <w:r>
        <w:t xml:space="preserve">, K., &amp; Hance, T. (2022). Diapause under climate change: Impacts on phenology and population dynamics. </w:t>
      </w:r>
      <w:r>
        <w:rPr>
          <w:rStyle w:val="Emphasis"/>
          <w:rFonts w:eastAsiaTheme="majorEastAsia"/>
        </w:rPr>
        <w:t>Current Opinion in Insect Science</w:t>
      </w:r>
      <w:r>
        <w:t>, 52, 100924.</w:t>
      </w:r>
    </w:p>
    <w:p w14:paraId="77895FE9" w14:textId="77777777" w:rsidR="002202EB" w:rsidRDefault="002202EB" w:rsidP="002202EB">
      <w:pPr>
        <w:pStyle w:val="NormalWeb"/>
        <w:spacing w:before="0" w:beforeAutospacing="0"/>
        <w:ind w:left="426" w:hanging="426"/>
        <w:jc w:val="both"/>
      </w:pPr>
      <w:r>
        <w:t xml:space="preserve">Vogel, H., &amp; Heckel, D. G. (2024). The molecular basis of insect–plant coevolution: Detoxification enzymes and beyond. </w:t>
      </w:r>
      <w:r>
        <w:rPr>
          <w:rStyle w:val="Emphasis"/>
          <w:rFonts w:eastAsiaTheme="majorEastAsia"/>
        </w:rPr>
        <w:t>Annual Review of Entomology</w:t>
      </w:r>
      <w:r>
        <w:t>, 69, 189–208.</w:t>
      </w:r>
    </w:p>
    <w:p w14:paraId="6C31744A" w14:textId="77777777" w:rsidR="002202EB" w:rsidRDefault="002202EB" w:rsidP="002202EB">
      <w:pPr>
        <w:pStyle w:val="NormalWeb"/>
        <w:spacing w:before="0" w:beforeAutospacing="0"/>
        <w:ind w:left="426" w:hanging="426"/>
        <w:jc w:val="both"/>
      </w:pPr>
      <w:r>
        <w:t xml:space="preserve">Wagner, D. L., &amp; Fox, R. (2021). Insect declines and climate change: A synthesis. </w:t>
      </w:r>
      <w:r>
        <w:rPr>
          <w:rStyle w:val="Emphasis"/>
          <w:rFonts w:eastAsiaTheme="majorEastAsia"/>
        </w:rPr>
        <w:t>Annual Review of Entomology</w:t>
      </w:r>
      <w:r>
        <w:t>, 66, 457–477.</w:t>
      </w:r>
    </w:p>
    <w:p w14:paraId="40472475" w14:textId="77777777" w:rsidR="002202EB" w:rsidRDefault="002202EB" w:rsidP="002202EB">
      <w:pPr>
        <w:pStyle w:val="NormalWeb"/>
        <w:spacing w:before="0" w:beforeAutospacing="0"/>
        <w:ind w:left="426" w:hanging="426"/>
        <w:jc w:val="both"/>
      </w:pPr>
      <w:r>
        <w:lastRenderedPageBreak/>
        <w:t xml:space="preserve">Wallbank, R. W., Baxter, S. W., Pardo-Diaz, C., Hanly, J. J., Martin, S. H., Mallet, J., … &amp; </w:t>
      </w:r>
      <w:proofErr w:type="spellStart"/>
      <w:r>
        <w:t>Jiggins</w:t>
      </w:r>
      <w:proofErr w:type="spellEnd"/>
      <w:r>
        <w:t xml:space="preserve">, C. D. (2016). Evolutionary novelty in a butterfly wing pattern through enhancer shuffling. </w:t>
      </w:r>
      <w:proofErr w:type="spellStart"/>
      <w:r>
        <w:rPr>
          <w:rStyle w:val="Emphasis"/>
          <w:rFonts w:eastAsiaTheme="majorEastAsia"/>
        </w:rPr>
        <w:t>PLoS</w:t>
      </w:r>
      <w:proofErr w:type="spellEnd"/>
      <w:r>
        <w:rPr>
          <w:rStyle w:val="Emphasis"/>
          <w:rFonts w:eastAsiaTheme="majorEastAsia"/>
        </w:rPr>
        <w:t xml:space="preserve"> Biology</w:t>
      </w:r>
      <w:r>
        <w:t>, 14(1), e1002353.</w:t>
      </w:r>
    </w:p>
    <w:p w14:paraId="044E73CD" w14:textId="77777777" w:rsidR="002202EB" w:rsidRDefault="002202EB" w:rsidP="002202EB">
      <w:pPr>
        <w:pStyle w:val="NormalWeb"/>
        <w:spacing w:before="0" w:beforeAutospacing="0"/>
        <w:ind w:left="426" w:hanging="426"/>
        <w:jc w:val="both"/>
      </w:pPr>
      <w:r>
        <w:t xml:space="preserve">Wang, X., &amp; Kang, L. (2020). Molecular mechanisms of phase change in locusts. </w:t>
      </w:r>
      <w:r>
        <w:rPr>
          <w:rStyle w:val="Emphasis"/>
          <w:rFonts w:eastAsiaTheme="majorEastAsia"/>
        </w:rPr>
        <w:t>Annual Review of Entomology</w:t>
      </w:r>
      <w:r>
        <w:t>, 65, 321–340.</w:t>
      </w:r>
    </w:p>
    <w:p w14:paraId="50BD2409" w14:textId="77777777" w:rsidR="002202EB" w:rsidRDefault="002202EB" w:rsidP="002202EB">
      <w:pPr>
        <w:pStyle w:val="NormalWeb"/>
        <w:spacing w:before="0" w:beforeAutospacing="0"/>
        <w:ind w:left="426" w:hanging="426"/>
        <w:jc w:val="both"/>
      </w:pPr>
      <w:r>
        <w:t xml:space="preserve">West-Eberhard, M. J. (2003). </w:t>
      </w:r>
      <w:r>
        <w:rPr>
          <w:rStyle w:val="Emphasis"/>
          <w:rFonts w:eastAsiaTheme="majorEastAsia"/>
        </w:rPr>
        <w:t>Developmental plasticity and evolution</w:t>
      </w:r>
      <w:r>
        <w:t>. Oxford University Press.</w:t>
      </w:r>
    </w:p>
    <w:p w14:paraId="031C5FB0" w14:textId="77777777" w:rsidR="002202EB" w:rsidRDefault="002202EB" w:rsidP="002202EB">
      <w:pPr>
        <w:pStyle w:val="NormalWeb"/>
        <w:spacing w:before="0" w:beforeAutospacing="0"/>
        <w:ind w:left="426" w:hanging="426"/>
        <w:jc w:val="both"/>
      </w:pPr>
      <w:r>
        <w:t xml:space="preserve">Williams, C. M., &amp; Ragland, G. J. (2022). The genetic architecture of thermal adaptation. </w:t>
      </w:r>
      <w:r>
        <w:rPr>
          <w:rStyle w:val="Emphasis"/>
          <w:rFonts w:eastAsiaTheme="majorEastAsia"/>
        </w:rPr>
        <w:t>Current Opinion in Insect Science</w:t>
      </w:r>
      <w:r>
        <w:t>, 53, 100946.</w:t>
      </w:r>
    </w:p>
    <w:p w14:paraId="728FA46C" w14:textId="77777777" w:rsidR="002202EB" w:rsidRDefault="002202EB" w:rsidP="002202EB">
      <w:pPr>
        <w:pStyle w:val="NormalWeb"/>
        <w:spacing w:before="0" w:beforeAutospacing="0"/>
        <w:ind w:left="426" w:hanging="426"/>
        <w:jc w:val="both"/>
      </w:pPr>
      <w:r>
        <w:t xml:space="preserve">Zachariassen, K. E. (1985). Physiology of cold tolerance in insects. </w:t>
      </w:r>
      <w:r>
        <w:rPr>
          <w:rStyle w:val="Emphasis"/>
          <w:rFonts w:eastAsiaTheme="majorEastAsia"/>
        </w:rPr>
        <w:t>Physiological Reviews</w:t>
      </w:r>
      <w:r>
        <w:t>, 65(4), 799–832.</w:t>
      </w:r>
    </w:p>
    <w:p w14:paraId="0BA3BA00" w14:textId="77777777" w:rsidR="002202EB" w:rsidRDefault="002202EB" w:rsidP="002202EB">
      <w:pPr>
        <w:pStyle w:val="NormalWeb"/>
        <w:spacing w:before="0" w:beforeAutospacing="0"/>
        <w:ind w:left="426" w:hanging="426"/>
        <w:jc w:val="both"/>
      </w:pPr>
      <w:r>
        <w:t xml:space="preserve">Zhen, Y., Aardema, M. L., Medina, E. M., Schumer, M., &amp; </w:t>
      </w:r>
      <w:proofErr w:type="spellStart"/>
      <w:r>
        <w:t>Andolfatto</w:t>
      </w:r>
      <w:proofErr w:type="spellEnd"/>
      <w:r>
        <w:t xml:space="preserve">, P. (2012). Parallel molecular evolution in an herbivore community. </w:t>
      </w:r>
      <w:r>
        <w:rPr>
          <w:rStyle w:val="Emphasis"/>
          <w:rFonts w:eastAsiaTheme="majorEastAsia"/>
        </w:rPr>
        <w:t>Science</w:t>
      </w:r>
      <w:r>
        <w:t>, 337(6102), 1634–1637.</w:t>
      </w:r>
    </w:p>
    <w:p w14:paraId="232358A9" w14:textId="77777777" w:rsidR="002202EB" w:rsidRDefault="002202EB" w:rsidP="002202EB">
      <w:pPr>
        <w:ind w:left="426" w:hanging="426"/>
        <w:jc w:val="both"/>
      </w:pPr>
    </w:p>
    <w:p w14:paraId="354AABDA" w14:textId="77777777" w:rsidR="002202EB" w:rsidRPr="003A373F" w:rsidRDefault="002202EB" w:rsidP="003A373F">
      <w:pPr>
        <w:jc w:val="both"/>
        <w:rPr>
          <w:rFonts w:ascii="Times New Roman" w:hAnsi="Times New Roman" w:cs="Times New Roman"/>
          <w:b/>
          <w:bCs/>
          <w:sz w:val="24"/>
          <w:szCs w:val="24"/>
        </w:rPr>
      </w:pPr>
      <w:bookmarkStart w:id="1" w:name="_GoBack"/>
      <w:bookmarkEnd w:id="1"/>
    </w:p>
    <w:sectPr w:rsidR="002202EB" w:rsidRPr="003A373F" w:rsidSect="00EF49BF">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5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A14EB" w14:textId="77777777" w:rsidR="00583523" w:rsidRDefault="00583523" w:rsidP="001F4BD9">
      <w:pPr>
        <w:spacing w:after="0" w:line="240" w:lineRule="auto"/>
      </w:pPr>
      <w:r>
        <w:separator/>
      </w:r>
    </w:p>
  </w:endnote>
  <w:endnote w:type="continuationSeparator" w:id="0">
    <w:p w14:paraId="38CC4BD7" w14:textId="77777777" w:rsidR="00583523" w:rsidRDefault="00583523" w:rsidP="001F4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9FF1D" w14:textId="77777777" w:rsidR="001F4BD9" w:rsidRDefault="001F4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A80E" w14:textId="77777777" w:rsidR="001F4BD9" w:rsidRDefault="001F4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0050" w14:textId="77777777" w:rsidR="001F4BD9" w:rsidRDefault="001F4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5843A" w14:textId="77777777" w:rsidR="00583523" w:rsidRDefault="00583523" w:rsidP="001F4BD9">
      <w:pPr>
        <w:spacing w:after="0" w:line="240" w:lineRule="auto"/>
      </w:pPr>
      <w:r>
        <w:separator/>
      </w:r>
    </w:p>
  </w:footnote>
  <w:footnote w:type="continuationSeparator" w:id="0">
    <w:p w14:paraId="7AEA06EA" w14:textId="77777777" w:rsidR="00583523" w:rsidRDefault="00583523" w:rsidP="001F4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6F9F" w14:textId="152E7603" w:rsidR="001F4BD9" w:rsidRDefault="00583523">
    <w:pPr>
      <w:pStyle w:val="Header"/>
    </w:pPr>
    <w:r>
      <w:rPr>
        <w:noProof/>
      </w:rPr>
      <w:pict w14:anchorId="31FEC0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5" o:spid="_x0000_s2050" type="#_x0000_t136" style="position:absolute;margin-left:0;margin-top:0;width:526.2pt;height:99.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154C0" w14:textId="3F968B12" w:rsidR="001F4BD9" w:rsidRDefault="00583523">
    <w:pPr>
      <w:pStyle w:val="Header"/>
    </w:pPr>
    <w:r>
      <w:rPr>
        <w:noProof/>
      </w:rPr>
      <w:pict w14:anchorId="5930C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6" o:spid="_x0000_s2051" type="#_x0000_t136" style="position:absolute;margin-left:0;margin-top:0;width:526.2pt;height:99.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0851D" w14:textId="46056FF4" w:rsidR="001F4BD9" w:rsidRDefault="00583523">
    <w:pPr>
      <w:pStyle w:val="Header"/>
    </w:pPr>
    <w:r>
      <w:rPr>
        <w:noProof/>
      </w:rPr>
      <w:pict w14:anchorId="1CA37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7844" o:spid="_x0000_s2049" type="#_x0000_t136" style="position:absolute;margin-left:0;margin-top:0;width:526.2pt;height:99.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EF6"/>
    <w:rsid w:val="00076BCF"/>
    <w:rsid w:val="000B5F66"/>
    <w:rsid w:val="000F2EFD"/>
    <w:rsid w:val="00112C2C"/>
    <w:rsid w:val="00166E64"/>
    <w:rsid w:val="001F4BD9"/>
    <w:rsid w:val="001F5C7D"/>
    <w:rsid w:val="00204307"/>
    <w:rsid w:val="002202EB"/>
    <w:rsid w:val="00260B2E"/>
    <w:rsid w:val="002E0EF6"/>
    <w:rsid w:val="002E5AF9"/>
    <w:rsid w:val="002E7798"/>
    <w:rsid w:val="002F4BCF"/>
    <w:rsid w:val="00376058"/>
    <w:rsid w:val="003A373F"/>
    <w:rsid w:val="003D2D59"/>
    <w:rsid w:val="00447697"/>
    <w:rsid w:val="00451606"/>
    <w:rsid w:val="004910DF"/>
    <w:rsid w:val="004914C3"/>
    <w:rsid w:val="0054262E"/>
    <w:rsid w:val="00555D39"/>
    <w:rsid w:val="005755B4"/>
    <w:rsid w:val="00583523"/>
    <w:rsid w:val="005B2575"/>
    <w:rsid w:val="005D70AB"/>
    <w:rsid w:val="006020F0"/>
    <w:rsid w:val="00663046"/>
    <w:rsid w:val="0066730A"/>
    <w:rsid w:val="00680A6A"/>
    <w:rsid w:val="006A2E2E"/>
    <w:rsid w:val="006A4776"/>
    <w:rsid w:val="006E4A13"/>
    <w:rsid w:val="00701335"/>
    <w:rsid w:val="0070665B"/>
    <w:rsid w:val="00715F84"/>
    <w:rsid w:val="00782F4B"/>
    <w:rsid w:val="00813F91"/>
    <w:rsid w:val="0085556A"/>
    <w:rsid w:val="008569D8"/>
    <w:rsid w:val="00857165"/>
    <w:rsid w:val="0096767D"/>
    <w:rsid w:val="009973CD"/>
    <w:rsid w:val="009A6EC0"/>
    <w:rsid w:val="00A60AD9"/>
    <w:rsid w:val="00B23514"/>
    <w:rsid w:val="00B72E3B"/>
    <w:rsid w:val="00B73C22"/>
    <w:rsid w:val="00BE020F"/>
    <w:rsid w:val="00C068E0"/>
    <w:rsid w:val="00C31B39"/>
    <w:rsid w:val="00C34A30"/>
    <w:rsid w:val="00CF137F"/>
    <w:rsid w:val="00DA6E59"/>
    <w:rsid w:val="00DB5906"/>
    <w:rsid w:val="00DD3CA2"/>
    <w:rsid w:val="00DE1333"/>
    <w:rsid w:val="00DE79CB"/>
    <w:rsid w:val="00E55A7B"/>
    <w:rsid w:val="00E9597A"/>
    <w:rsid w:val="00EF1237"/>
    <w:rsid w:val="00EF49BF"/>
    <w:rsid w:val="00F11B2B"/>
    <w:rsid w:val="00FC0C06"/>
    <w:rsid w:val="00FC3D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408C8A"/>
  <w15:chartTrackingRefBased/>
  <w15:docId w15:val="{63D82DB8-E25E-4ACC-9838-CB1C1F48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E0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0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0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0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0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0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0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0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0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0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0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0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0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0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EF6"/>
    <w:rPr>
      <w:rFonts w:eastAsiaTheme="majorEastAsia" w:cstheme="majorBidi"/>
      <w:color w:val="272727" w:themeColor="text1" w:themeTint="D8"/>
    </w:rPr>
  </w:style>
  <w:style w:type="paragraph" w:styleId="Title">
    <w:name w:val="Title"/>
    <w:basedOn w:val="Normal"/>
    <w:next w:val="Normal"/>
    <w:link w:val="TitleChar"/>
    <w:uiPriority w:val="10"/>
    <w:qFormat/>
    <w:rsid w:val="002E0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EF6"/>
    <w:pPr>
      <w:spacing w:before="160"/>
      <w:jc w:val="center"/>
    </w:pPr>
    <w:rPr>
      <w:i/>
      <w:iCs/>
      <w:color w:val="404040" w:themeColor="text1" w:themeTint="BF"/>
    </w:rPr>
  </w:style>
  <w:style w:type="character" w:customStyle="1" w:styleId="QuoteChar">
    <w:name w:val="Quote Char"/>
    <w:basedOn w:val="DefaultParagraphFont"/>
    <w:link w:val="Quote"/>
    <w:uiPriority w:val="29"/>
    <w:rsid w:val="002E0EF6"/>
    <w:rPr>
      <w:i/>
      <w:iCs/>
      <w:color w:val="404040" w:themeColor="text1" w:themeTint="BF"/>
    </w:rPr>
  </w:style>
  <w:style w:type="paragraph" w:styleId="ListParagraph">
    <w:name w:val="List Paragraph"/>
    <w:basedOn w:val="Normal"/>
    <w:uiPriority w:val="34"/>
    <w:qFormat/>
    <w:rsid w:val="002E0EF6"/>
    <w:pPr>
      <w:ind w:left="720"/>
      <w:contextualSpacing/>
    </w:pPr>
  </w:style>
  <w:style w:type="character" w:styleId="IntenseEmphasis">
    <w:name w:val="Intense Emphasis"/>
    <w:basedOn w:val="DefaultParagraphFont"/>
    <w:uiPriority w:val="21"/>
    <w:qFormat/>
    <w:rsid w:val="002E0EF6"/>
    <w:rPr>
      <w:i/>
      <w:iCs/>
      <w:color w:val="2F5496" w:themeColor="accent1" w:themeShade="BF"/>
    </w:rPr>
  </w:style>
  <w:style w:type="paragraph" w:styleId="IntenseQuote">
    <w:name w:val="Intense Quote"/>
    <w:basedOn w:val="Normal"/>
    <w:next w:val="Normal"/>
    <w:link w:val="IntenseQuoteChar"/>
    <w:uiPriority w:val="30"/>
    <w:qFormat/>
    <w:rsid w:val="002E0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0EF6"/>
    <w:rPr>
      <w:i/>
      <w:iCs/>
      <w:color w:val="2F5496" w:themeColor="accent1" w:themeShade="BF"/>
    </w:rPr>
  </w:style>
  <w:style w:type="character" w:styleId="IntenseReference">
    <w:name w:val="Intense Reference"/>
    <w:basedOn w:val="DefaultParagraphFont"/>
    <w:uiPriority w:val="32"/>
    <w:qFormat/>
    <w:rsid w:val="002E0EF6"/>
    <w:rPr>
      <w:b/>
      <w:bCs/>
      <w:smallCaps/>
      <w:color w:val="2F5496" w:themeColor="accent1" w:themeShade="BF"/>
      <w:spacing w:val="5"/>
    </w:rPr>
  </w:style>
  <w:style w:type="character" w:styleId="Emphasis">
    <w:name w:val="Emphasis"/>
    <w:uiPriority w:val="20"/>
    <w:qFormat/>
    <w:rsid w:val="00112C2C"/>
    <w:rPr>
      <w:i/>
      <w:iCs/>
    </w:rPr>
  </w:style>
  <w:style w:type="character" w:styleId="Hyperlink">
    <w:name w:val="Hyperlink"/>
    <w:uiPriority w:val="99"/>
    <w:unhideWhenUsed/>
    <w:rsid w:val="00112C2C"/>
    <w:rPr>
      <w:color w:val="0563C1"/>
      <w:u w:val="single"/>
    </w:rPr>
  </w:style>
  <w:style w:type="character" w:customStyle="1" w:styleId="UnresolvedMention1">
    <w:name w:val="Unresolved Mention1"/>
    <w:basedOn w:val="DefaultParagraphFont"/>
    <w:uiPriority w:val="99"/>
    <w:semiHidden/>
    <w:unhideWhenUsed/>
    <w:rsid w:val="002E7798"/>
    <w:rPr>
      <w:color w:val="605E5C"/>
      <w:shd w:val="clear" w:color="auto" w:fill="E1DFDD"/>
    </w:rPr>
  </w:style>
  <w:style w:type="paragraph" w:styleId="Header">
    <w:name w:val="header"/>
    <w:basedOn w:val="Normal"/>
    <w:link w:val="HeaderChar"/>
    <w:uiPriority w:val="99"/>
    <w:unhideWhenUsed/>
    <w:rsid w:val="001F4B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BD9"/>
  </w:style>
  <w:style w:type="paragraph" w:styleId="Footer">
    <w:name w:val="footer"/>
    <w:basedOn w:val="Normal"/>
    <w:link w:val="FooterChar"/>
    <w:uiPriority w:val="99"/>
    <w:unhideWhenUsed/>
    <w:rsid w:val="001F4B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BD9"/>
  </w:style>
  <w:style w:type="paragraph" w:styleId="NoSpacing">
    <w:name w:val="No Spacing"/>
    <w:uiPriority w:val="1"/>
    <w:qFormat/>
    <w:rsid w:val="00701335"/>
    <w:pPr>
      <w:spacing w:after="0" w:line="240" w:lineRule="auto"/>
    </w:pPr>
    <w:rPr>
      <w:lang w:val="en-US"/>
    </w:rPr>
  </w:style>
  <w:style w:type="paragraph" w:styleId="NormalWeb">
    <w:name w:val="Normal (Web)"/>
    <w:basedOn w:val="Normal"/>
    <w:uiPriority w:val="99"/>
    <w:semiHidden/>
    <w:unhideWhenUsed/>
    <w:rsid w:val="00DB590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46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6E3F-1C11-45A6-B3A6-D79F0F213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11596</Words>
  <Characters>66102</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 vel</dc:creator>
  <cp:keywords/>
  <dc:description/>
  <cp:lastModifiedBy>SDI CPU 1117</cp:lastModifiedBy>
  <cp:revision>4</cp:revision>
  <dcterms:created xsi:type="dcterms:W3CDTF">2026-03-02T08:18:00Z</dcterms:created>
  <dcterms:modified xsi:type="dcterms:W3CDTF">2026-03-04T10:27:00Z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ee83ef83-94e1-4195-b3de-a18dd4bf2d0f</vt:lpwstr>
  </property>
</Properties>
</file>