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50041" w14:textId="1EA35FC5" w:rsidR="00823B7D" w:rsidRPr="00823B7D" w:rsidRDefault="00823B7D" w:rsidP="00823B7D">
      <w:pPr>
        <w:rPr>
          <w:rFonts w:ascii="Times New Roman" w:hAnsi="Times New Roman" w:cs="Times New Roman"/>
          <w:b/>
          <w:bCs/>
          <w:sz w:val="28"/>
          <w:szCs w:val="28"/>
          <w:u w:val="single"/>
        </w:rPr>
      </w:pPr>
      <w:r w:rsidRPr="00823B7D">
        <w:rPr>
          <w:rFonts w:ascii="Times New Roman" w:hAnsi="Times New Roman" w:cs="Times New Roman"/>
          <w:b/>
          <w:bCs/>
          <w:sz w:val="28"/>
          <w:szCs w:val="28"/>
          <w:u w:val="single"/>
        </w:rPr>
        <w:t>Original Research Article</w:t>
      </w:r>
    </w:p>
    <w:p w14:paraId="182E42D2" w14:textId="3867EFBD" w:rsidR="00FB510A" w:rsidRDefault="00EF0D55" w:rsidP="00EF0D55">
      <w:pPr>
        <w:jc w:val="center"/>
        <w:rPr>
          <w:rFonts w:ascii="Times New Roman" w:hAnsi="Times New Roman" w:cs="Times New Roman"/>
          <w:b/>
          <w:bCs/>
          <w:sz w:val="28"/>
          <w:szCs w:val="28"/>
        </w:rPr>
      </w:pPr>
      <w:r w:rsidRPr="00EF0D55">
        <w:rPr>
          <w:rFonts w:ascii="Times New Roman" w:hAnsi="Times New Roman" w:cs="Times New Roman"/>
          <w:b/>
          <w:bCs/>
          <w:sz w:val="28"/>
          <w:szCs w:val="28"/>
        </w:rPr>
        <w:t>Effect of Training on Disease Management and Antibiotic Usage in Poultry Farming: Implications for Poultry Health, Welfare, and Antimicrobial Resistance</w:t>
      </w:r>
    </w:p>
    <w:p w14:paraId="6867BA60" w14:textId="77777777" w:rsidR="004F29CD" w:rsidRDefault="004F29CD" w:rsidP="00353BD0">
      <w:pPr>
        <w:jc w:val="center"/>
        <w:rPr>
          <w:rFonts w:ascii="Times New Roman" w:hAnsi="Times New Roman" w:cs="Times New Roman"/>
          <w:b/>
          <w:bCs/>
          <w:sz w:val="24"/>
          <w:szCs w:val="24"/>
        </w:rPr>
      </w:pPr>
      <w:bookmarkStart w:id="0" w:name="_GoBack"/>
      <w:bookmarkEnd w:id="0"/>
    </w:p>
    <w:p w14:paraId="1864A0F6" w14:textId="009AA99D" w:rsidR="00EF0D55" w:rsidRPr="0052572D" w:rsidRDefault="00EF0D55" w:rsidP="0052572D">
      <w:pPr>
        <w:spacing w:before="240"/>
        <w:jc w:val="center"/>
        <w:rPr>
          <w:rFonts w:ascii="Times New Roman" w:hAnsi="Times New Roman" w:cs="Times New Roman"/>
          <w:b/>
          <w:bCs/>
          <w:sz w:val="24"/>
          <w:szCs w:val="24"/>
        </w:rPr>
      </w:pPr>
      <w:r w:rsidRPr="0052572D">
        <w:rPr>
          <w:rFonts w:ascii="Times New Roman" w:hAnsi="Times New Roman" w:cs="Times New Roman"/>
          <w:b/>
          <w:bCs/>
          <w:sz w:val="24"/>
          <w:szCs w:val="24"/>
        </w:rPr>
        <w:t>Abstract</w:t>
      </w:r>
    </w:p>
    <w:p w14:paraId="0912D3EF" w14:textId="541EA11B" w:rsidR="00F7615F" w:rsidRPr="006A7700" w:rsidRDefault="00F7615F"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 widespread use of antibiotics in poultry farming has raised significant concerns regarding antimicrobial resistance (AMR), animal health, and food safety. This study evaluated the effect of farmer training on disease management practices, antibiotic usage patterns, and poultry health outcomes in commercial poultry farms in Nalgonda district, Telangana, India. A comparative cross-sectional study was conducted involving 60 farms, categorized into trained (n = 30) and untrained (n = 30) groups. Data were collected through structured questionnaires, field observations, veterinary records, and hematological analysis.</w:t>
      </w:r>
      <w:r w:rsidR="0002716B" w:rsidRPr="006A7700">
        <w:rPr>
          <w:rFonts w:ascii="Times New Roman" w:hAnsi="Times New Roman" w:cs="Times New Roman"/>
          <w:sz w:val="24"/>
          <w:szCs w:val="24"/>
        </w:rPr>
        <w:t xml:space="preserve"> </w:t>
      </w:r>
      <w:r w:rsidRPr="006A7700">
        <w:rPr>
          <w:rFonts w:ascii="Times New Roman" w:hAnsi="Times New Roman" w:cs="Times New Roman"/>
          <w:sz w:val="24"/>
          <w:szCs w:val="24"/>
        </w:rPr>
        <w:t>Trained farmers exhibited significantly better disease management practices, including higher vaccination compliance (92% vs. 63%), improved biosecurity measures, and greater reliance on veterinary consultation than untrained farmers. Antibiotic usage decreased by 35–40% in trained farms, with a shift from prophylactic to therapeutic use. Poultry health indicators improved markedly in trained farms, with lower mortality (4.8% vs. 9.6%), morbidity (11.2% vs. 21.5%), and feed conversion ratio (1.65 vs. 1.92). Hematological parameters indicated enhanced immune status and reduced physiological stress in birds from trained farms. A strong negative correlation (r = –0.71) was observed between biosecurity practices and disease incidence.</w:t>
      </w:r>
      <w:r w:rsidR="0002716B" w:rsidRPr="006A7700">
        <w:rPr>
          <w:rFonts w:ascii="Times New Roman" w:hAnsi="Times New Roman" w:cs="Times New Roman"/>
          <w:sz w:val="24"/>
          <w:szCs w:val="24"/>
        </w:rPr>
        <w:t xml:space="preserve"> </w:t>
      </w:r>
      <w:r w:rsidRPr="006A7700">
        <w:rPr>
          <w:rFonts w:ascii="Times New Roman" w:hAnsi="Times New Roman" w:cs="Times New Roman"/>
          <w:sz w:val="24"/>
          <w:szCs w:val="24"/>
        </w:rPr>
        <w:t>The study concludes that training plays a crucial role in improving disease management, reducing antibiotic misuse, and enhancing poultry health and productivity. Strengthening capacity-building programs is essential for sustainable poultry production and effective mitigation of antimicrobial resistance.</w:t>
      </w:r>
    </w:p>
    <w:p w14:paraId="32593604" w14:textId="77777777" w:rsidR="00F7615F" w:rsidRPr="006A7700" w:rsidRDefault="00F7615F"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b/>
          <w:bCs/>
          <w:sz w:val="24"/>
          <w:szCs w:val="24"/>
        </w:rPr>
        <w:t>Keywords:</w:t>
      </w:r>
      <w:r w:rsidRPr="006A7700">
        <w:rPr>
          <w:rFonts w:ascii="Times New Roman" w:hAnsi="Times New Roman" w:cs="Times New Roman"/>
          <w:sz w:val="24"/>
          <w:szCs w:val="24"/>
        </w:rPr>
        <w:t xml:space="preserve"> Poultry farming, Antibiotic usage, Disease management, Farmer training, Biosecurity, Antimicrobial resistance, Poultry health</w:t>
      </w:r>
    </w:p>
    <w:p w14:paraId="7DF1823C" w14:textId="48B6A6CB" w:rsidR="00E348B1" w:rsidRPr="006A7700" w:rsidRDefault="00E348B1"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1. INTRODUCTION</w:t>
      </w:r>
    </w:p>
    <w:p w14:paraId="351E2ABD" w14:textId="4B8048FE"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 xml:space="preserve">The global poultry sector has emerged as one of the most dynamic and rapidly expanding segments of animal agriculture, playing a critical role in ensuring food security, nutritional supplementation, and livelihood generation across both developed and developing countries. </w:t>
      </w:r>
      <w:r w:rsidR="00932895" w:rsidRPr="006639ED">
        <w:rPr>
          <w:rFonts w:ascii="Times New Roman" w:hAnsi="Times New Roman" w:cs="Times New Roman"/>
          <w:sz w:val="24"/>
          <w:szCs w:val="24"/>
        </w:rPr>
        <w:t>Poultry meat and eggs constitute affordable and high-quality sources of animal protein</w:t>
      </w:r>
      <w:r w:rsidRPr="006639ED">
        <w:rPr>
          <w:rFonts w:ascii="Times New Roman" w:hAnsi="Times New Roman" w:cs="Times New Roman"/>
          <w:sz w:val="24"/>
          <w:szCs w:val="24"/>
        </w:rPr>
        <w:t xml:space="preserve">, </w:t>
      </w:r>
      <w:r w:rsidR="00FA23E9" w:rsidRPr="006639ED">
        <w:rPr>
          <w:rFonts w:ascii="Times New Roman" w:hAnsi="Times New Roman" w:cs="Times New Roman"/>
          <w:sz w:val="24"/>
          <w:szCs w:val="24"/>
        </w:rPr>
        <w:t xml:space="preserve">contributing significantly to human nutrition and food security </w:t>
      </w:r>
      <w:r w:rsidRPr="006639ED">
        <w:rPr>
          <w:rFonts w:ascii="Times New Roman" w:hAnsi="Times New Roman" w:cs="Times New Roman"/>
          <w:sz w:val="24"/>
          <w:szCs w:val="24"/>
        </w:rPr>
        <w:t>(</w:t>
      </w:r>
      <w:r w:rsidR="007C142E" w:rsidRPr="006639ED">
        <w:rPr>
          <w:rFonts w:ascii="Times New Roman" w:hAnsi="Times New Roman" w:cs="Times New Roman"/>
          <w:sz w:val="24"/>
          <w:szCs w:val="24"/>
        </w:rPr>
        <w:t>Van Boeckel et al., 2015</w:t>
      </w:r>
      <w:r w:rsidRPr="006639ED">
        <w:rPr>
          <w:rFonts w:ascii="Times New Roman" w:hAnsi="Times New Roman" w:cs="Times New Roman"/>
          <w:sz w:val="24"/>
          <w:szCs w:val="24"/>
        </w:rPr>
        <w:t>). In India, the poultry industry has experienced substantial growth over the past few decades, driven by technological advancements, improved genetics, and increasing consumer demand. However, this intensification has also introduced several challenges, particularly related to disease management, animal health, and sustainability.</w:t>
      </w:r>
    </w:p>
    <w:p w14:paraId="615A60B6"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One of the most pressing concerns in modern poultry production systems is the increasing incidence of infectious diseases, including bacterial, viral, and parasitic infections, which significantly impact productivity and economic returns (</w:t>
      </w:r>
      <w:proofErr w:type="spellStart"/>
      <w:r w:rsidRPr="006639ED">
        <w:rPr>
          <w:rFonts w:ascii="Times New Roman" w:hAnsi="Times New Roman" w:cs="Times New Roman"/>
          <w:sz w:val="24"/>
          <w:szCs w:val="24"/>
        </w:rPr>
        <w:t>Fasina</w:t>
      </w:r>
      <w:proofErr w:type="spellEnd"/>
      <w:r w:rsidRPr="006639ED">
        <w:rPr>
          <w:rFonts w:ascii="Times New Roman" w:hAnsi="Times New Roman" w:cs="Times New Roman"/>
          <w:sz w:val="24"/>
          <w:szCs w:val="24"/>
        </w:rPr>
        <w:t xml:space="preserve"> et al., 2012; Permin &amp; Hansen, 1998). High stocking densities, inadequate ventilation, poor hygiene, and suboptimal biosecurity measures often exacerbate disease transmission in poultry farms (Estevez, 2007; Dawkins et al., 2004). As a result, poultry farmers frequently rely on antibiotics for disease prevention and treatment.</w:t>
      </w:r>
    </w:p>
    <w:p w14:paraId="633D0DF7"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lastRenderedPageBreak/>
        <w:t>Antibiotics have been widely used in poultry production not only for therapeutic purposes but also for prophylactic and growth-promoting functions (Marshall &amp; Levy, 2011; Landers et al., 2012). While these practices have historically contributed to increased productivity, their indiscriminate and excessive use has led to the emergence and spread of antimicrobial resistance (AMR), a major global public health threat (Van Boeckel et al., 2015; O’Neill, 2016). Resistant bacteria originating from poultry farms can be transmitted to humans through contaminated food products, environmental pathways, and direct contact, thereby posing significant risks to human health (</w:t>
      </w:r>
      <w:proofErr w:type="spellStart"/>
      <w:r w:rsidRPr="006639ED">
        <w:rPr>
          <w:rFonts w:ascii="Times New Roman" w:hAnsi="Times New Roman" w:cs="Times New Roman"/>
          <w:sz w:val="24"/>
          <w:szCs w:val="24"/>
        </w:rPr>
        <w:t>Silbergeld</w:t>
      </w:r>
      <w:proofErr w:type="spellEnd"/>
      <w:r w:rsidRPr="006639ED">
        <w:rPr>
          <w:rFonts w:ascii="Times New Roman" w:hAnsi="Times New Roman" w:cs="Times New Roman"/>
          <w:sz w:val="24"/>
          <w:szCs w:val="24"/>
        </w:rPr>
        <w:t xml:space="preserve"> et al., 2008; Woolhouse et al., 2015).</w:t>
      </w:r>
    </w:p>
    <w:p w14:paraId="384DB37E"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Recent studies have highlighted that antimicrobial usage in livestock, particularly in poultry, accounts for a substantial proportion of total antibiotic consumption worldwide (Van Boeckel et al., 2015). In developing countries, the lack of regulatory enforcement, easy access to antibiotics, and limited awareness among farmers further contribute to irrational antibiotic usage (Nhung et al., 2017; Manyi-Loh et al., 2018). Moreover, sub-therapeutic dosing and improper withdrawal periods increase the risk of antibiotic residues in poultry products, raising food safety concerns (Tang et al., 2017).</w:t>
      </w:r>
    </w:p>
    <w:p w14:paraId="17EBBECB"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Effective disease management in poultry farming requires a comprehensive approach encompassing biosecurity measures, vaccination programs, proper nutrition, environmental management, and timely disease diagnosis (</w:t>
      </w:r>
      <w:proofErr w:type="spellStart"/>
      <w:r w:rsidRPr="006639ED">
        <w:rPr>
          <w:rFonts w:ascii="Times New Roman" w:hAnsi="Times New Roman" w:cs="Times New Roman"/>
          <w:sz w:val="24"/>
          <w:szCs w:val="24"/>
        </w:rPr>
        <w:t>Fasina</w:t>
      </w:r>
      <w:proofErr w:type="spellEnd"/>
      <w:r w:rsidRPr="006639ED">
        <w:rPr>
          <w:rFonts w:ascii="Times New Roman" w:hAnsi="Times New Roman" w:cs="Times New Roman"/>
          <w:sz w:val="24"/>
          <w:szCs w:val="24"/>
        </w:rPr>
        <w:t xml:space="preserve"> et al., 2012). Among these, biosecurity is considered the first line of defense against disease outbreaks, involving practices such as controlled farm access, sanitation, disinfection, and waste management (Permin &amp; Hansen, 1998). However, the successful implementation of these practices largely depends on the knowledge, skills, and attitudes of poultry farmers.</w:t>
      </w:r>
    </w:p>
    <w:p w14:paraId="4A03394D"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 xml:space="preserve">In this context, training and capacity-building interventions play a crucial role in enhancing farmers’ managerial competence and promoting scientific poultry farming practices. Training programs aim to improve farmers’ understanding of disease prevention, rational antibiotic use, and biosecurity measures, thereby reducing disease incidence and improving overall farm productivity (Dione et al., 2016; Caudell et al., 2020). Evidence suggests that farmers who receive formal training are more likely to adopt best management practices, reduce antibiotic misuse, and improve animal welfare (Postma et al., 2016; </w:t>
      </w:r>
      <w:proofErr w:type="spellStart"/>
      <w:r w:rsidRPr="006639ED">
        <w:rPr>
          <w:rFonts w:ascii="Times New Roman" w:hAnsi="Times New Roman" w:cs="Times New Roman"/>
          <w:sz w:val="24"/>
          <w:szCs w:val="24"/>
        </w:rPr>
        <w:t>Speksnijder</w:t>
      </w:r>
      <w:proofErr w:type="spellEnd"/>
      <w:r w:rsidRPr="006639ED">
        <w:rPr>
          <w:rFonts w:ascii="Times New Roman" w:hAnsi="Times New Roman" w:cs="Times New Roman"/>
          <w:sz w:val="24"/>
          <w:szCs w:val="24"/>
        </w:rPr>
        <w:t xml:space="preserve"> et al., 2015).</w:t>
      </w:r>
    </w:p>
    <w:p w14:paraId="78BA2AB7"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From a zoological perspective, disease management and antibiotic usage have direct implications for poultry physiology, immune function, and overall health. Stress induced by poor management conditions can alter endocrine responses, suppress immune function, and increase susceptibility to diseases (Klasing, 2007; Kidd, 2004). Conversely, improved management practices and reduced disease burden contribute to better physiological performance, as reflected in parameters such as growth rate, feed conversion efficiency, and hematological profiles.</w:t>
      </w:r>
    </w:p>
    <w:p w14:paraId="1905B654"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Despite the recognized importance of training in poultry farming, there remains a significant gap in empirical research examining the direct impact of training on disease management practices, antibiotic usage patterns, and physiological health outcomes in poultry systems, particularly in the Indian context. Most existing studies focus either on antimicrobial resistance or farmer behavior independently, without integrating these aspects into a comprehensive framework.</w:t>
      </w:r>
    </w:p>
    <w:p w14:paraId="0B307422" w14:textId="77777777" w:rsidR="00E348B1" w:rsidRPr="006639ED" w:rsidRDefault="00E348B1"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 xml:space="preserve">Therefore, the present study aims to address this gap by systematically evaluating the effect of training on disease management practices and antibiotic usage in poultry farming, with a specific focus on poultry health, physiological performance, and biosecurity practices. By </w:t>
      </w:r>
      <w:r w:rsidRPr="006639ED">
        <w:rPr>
          <w:rFonts w:ascii="Times New Roman" w:hAnsi="Times New Roman" w:cs="Times New Roman"/>
          <w:sz w:val="24"/>
          <w:szCs w:val="24"/>
        </w:rPr>
        <w:lastRenderedPageBreak/>
        <w:t>comparing trained and untrained farmers, this study provides valuable insights into the role of capacity building in promoting sustainable poultry production and mitigating antimicrobial resistance.</w:t>
      </w:r>
    </w:p>
    <w:p w14:paraId="29EA5D1C" w14:textId="0A3353EE"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 MATERIALS AND METHODS</w:t>
      </w:r>
    </w:p>
    <w:p w14:paraId="1F02BB50" w14:textId="7FBBBEFB"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2.1 Study Area</w:t>
      </w:r>
    </w:p>
    <w:p w14:paraId="023622BC" w14:textId="332FD085" w:rsidR="00F03E9B" w:rsidRPr="006A7700" w:rsidRDefault="006A2AE6"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The present study was conducted in Nalgonda district, Telangana, India (approximately 17°03′–17°10′ N, 79°15′–79°30′ E)</w:t>
      </w:r>
      <w:r w:rsidR="001C7645" w:rsidRPr="006639ED">
        <w:rPr>
          <w:rFonts w:ascii="Times New Roman" w:hAnsi="Times New Roman" w:cs="Times New Roman"/>
          <w:sz w:val="24"/>
          <w:szCs w:val="24"/>
        </w:rPr>
        <w:t xml:space="preserve"> (Fig. 1)</w:t>
      </w:r>
      <w:r w:rsidR="00F03E9B" w:rsidRPr="006639ED">
        <w:rPr>
          <w:rFonts w:ascii="Times New Roman" w:hAnsi="Times New Roman" w:cs="Times New Roman"/>
          <w:sz w:val="24"/>
          <w:szCs w:val="24"/>
        </w:rPr>
        <w:t>. The region is characterized by a semi-arid tropical climate, with an average annual rainfall ranging from 700 to 900 mm and temperature fluctuations between 20°C and 42°C. Such environmental conditions are known to influence poultry physiology, disease susceptibility, and production performance (Dawkins et al., 2004; Estevez, 2007). The district has a well-developed poultry sector comprising both broiler and layer farming systems, making it suitable for studying disease dynamics and management practices under field conditions</w:t>
      </w:r>
      <w:r w:rsidR="00F03E9B" w:rsidRPr="006A7700">
        <w:rPr>
          <w:rFonts w:ascii="Times New Roman" w:hAnsi="Times New Roman" w:cs="Times New Roman"/>
          <w:sz w:val="24"/>
          <w:szCs w:val="24"/>
        </w:rPr>
        <w:t>.</w:t>
      </w:r>
    </w:p>
    <w:p w14:paraId="3E94925E" w14:textId="15C855ED" w:rsidR="00CA4D9A" w:rsidRPr="006A7700" w:rsidRDefault="00CA4D9A" w:rsidP="006A7700">
      <w:pPr>
        <w:spacing w:before="240" w:line="240" w:lineRule="auto"/>
        <w:jc w:val="center"/>
        <w:rPr>
          <w:rFonts w:ascii="Times New Roman" w:hAnsi="Times New Roman" w:cs="Times New Roman"/>
          <w:sz w:val="24"/>
          <w:szCs w:val="24"/>
        </w:rPr>
      </w:pPr>
      <w:r w:rsidRPr="006A7700">
        <w:rPr>
          <w:rFonts w:ascii="Times New Roman" w:hAnsi="Times New Roman" w:cs="Times New Roman"/>
          <w:noProof/>
          <w:sz w:val="24"/>
          <w:szCs w:val="24"/>
        </w:rPr>
        <w:drawing>
          <wp:inline distT="0" distB="0" distL="0" distR="0" wp14:anchorId="0A741D4F" wp14:editId="59D34851">
            <wp:extent cx="5074920" cy="3821430"/>
            <wp:effectExtent l="19050" t="19050" r="11430" b="26670"/>
            <wp:docPr id="394011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0868" cy="3825909"/>
                    </a:xfrm>
                    <a:prstGeom prst="rect">
                      <a:avLst/>
                    </a:prstGeom>
                    <a:noFill/>
                    <a:ln>
                      <a:solidFill>
                        <a:schemeClr val="tx1"/>
                      </a:solidFill>
                    </a:ln>
                  </pic:spPr>
                </pic:pic>
              </a:graphicData>
            </a:graphic>
          </wp:inline>
        </w:drawing>
      </w:r>
    </w:p>
    <w:p w14:paraId="325FEF0E" w14:textId="439365C5" w:rsidR="00CA4D9A" w:rsidRPr="006A7700" w:rsidRDefault="00CA4D9A" w:rsidP="006A7700">
      <w:pPr>
        <w:spacing w:before="240" w:line="240" w:lineRule="auto"/>
        <w:jc w:val="center"/>
        <w:rPr>
          <w:rFonts w:ascii="Times New Roman" w:hAnsi="Times New Roman" w:cs="Times New Roman"/>
          <w:b/>
          <w:bCs/>
          <w:sz w:val="24"/>
          <w:szCs w:val="24"/>
        </w:rPr>
      </w:pPr>
      <w:r w:rsidRPr="006A7700">
        <w:rPr>
          <w:rFonts w:ascii="Times New Roman" w:hAnsi="Times New Roman" w:cs="Times New Roman"/>
          <w:b/>
          <w:bCs/>
          <w:sz w:val="24"/>
          <w:szCs w:val="24"/>
        </w:rPr>
        <w:t>Fig. 1. Map Showing Nalgonda District</w:t>
      </w:r>
    </w:p>
    <w:p w14:paraId="71DF471B" w14:textId="287D9313"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2.2 Study Design</w:t>
      </w:r>
    </w:p>
    <w:p w14:paraId="316FCEF4" w14:textId="0F38F4C5"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A comparative cross-sectional study design was adopted to evaluate the effect of training on disease management practices, antibiotic usage, and poultry health indicators. Cross-sectional designs are widely used in veterinary epidemiology to assess associations between management practices and health outcomes (</w:t>
      </w:r>
      <w:proofErr w:type="spellStart"/>
      <w:r w:rsidRPr="006639ED">
        <w:rPr>
          <w:rFonts w:ascii="Times New Roman" w:hAnsi="Times New Roman" w:cs="Times New Roman"/>
          <w:sz w:val="24"/>
          <w:szCs w:val="24"/>
        </w:rPr>
        <w:t>Dohoo</w:t>
      </w:r>
      <w:proofErr w:type="spellEnd"/>
      <w:r w:rsidRPr="006639ED">
        <w:rPr>
          <w:rFonts w:ascii="Times New Roman" w:hAnsi="Times New Roman" w:cs="Times New Roman"/>
          <w:sz w:val="24"/>
          <w:szCs w:val="24"/>
        </w:rPr>
        <w:t xml:space="preserve"> et al., 2009; Thrusfield, 2018). The study was conducted over six months, covering at least two production cycles, to capture temporal variations in disease incidence and management practices.</w:t>
      </w:r>
    </w:p>
    <w:p w14:paraId="296328BB" w14:textId="7D786A47"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lastRenderedPageBreak/>
        <w:t>2.3 Sampling Strategy and Sample Size</w:t>
      </w:r>
    </w:p>
    <w:p w14:paraId="5C1E495A"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A multistage random sampling method was employed to ensure representativeness of the study population (Cochran, 1977). Initially, mandals with high poultry density were identified, followed by the selection of villages and farms within those mandals. A total of sixty poultry farms were selected, comprising thirty trained farms and thirty untrained farms. Farmers in the trained group had received formal training from veterinary departments or agricultural extension agencies, while those in the untrained group had no formal exposure to training programs.</w:t>
      </w:r>
    </w:p>
    <w:p w14:paraId="035F45BB" w14:textId="4A9416B6"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Inclusion criteria were defined to ensure uniformity among farms, including a minimum flock size of 500 birds and at least two years of operational experience. Farms lacking reliable records or involved in experimental trials were excluded. Similar sampling frameworks have been successfully used in livestock and poultry studies to evaluate management interventions (Dione et al., 2016; Caudell et al., 2020).</w:t>
      </w:r>
    </w:p>
    <w:p w14:paraId="7902C024" w14:textId="7649A80D"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2.4 Data Collection Methods</w:t>
      </w:r>
    </w:p>
    <w:p w14:paraId="79922188"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Data were collected using a combination of structured questionnaires, direct farm observations, veterinary record analysis, and laboratory investigations, following standard methodologies used in animal health research.</w:t>
      </w:r>
    </w:p>
    <w:p w14:paraId="761D535E"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A pre-tested structured questionnaire based on the Knowledge–Attitude–Practice (KAP) framework was administered to poultry farmers to assess their awareness and practices related to disease management and antibiotic usage. The KAP approach is widely used in studies evaluating farmer behavior and antimicrobial use in livestock systems (Dione et al., 2016; Caudell et al., 2020).</w:t>
      </w:r>
    </w:p>
    <w:p w14:paraId="5E142BD1"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Field observations were conducted to validate questionnaire responses and assess farm management practices, including hygiene, litter management, ventilation, stocking density, and waste disposal. Such observational assessments are essential for evaluating actual implementation of biosecurity measures (</w:t>
      </w:r>
      <w:proofErr w:type="spellStart"/>
      <w:r w:rsidRPr="006639ED">
        <w:rPr>
          <w:rFonts w:ascii="Times New Roman" w:hAnsi="Times New Roman" w:cs="Times New Roman"/>
          <w:sz w:val="24"/>
          <w:szCs w:val="24"/>
        </w:rPr>
        <w:t>Fasina</w:t>
      </w:r>
      <w:proofErr w:type="spellEnd"/>
      <w:r w:rsidRPr="006639ED">
        <w:rPr>
          <w:rFonts w:ascii="Times New Roman" w:hAnsi="Times New Roman" w:cs="Times New Roman"/>
          <w:sz w:val="24"/>
          <w:szCs w:val="24"/>
        </w:rPr>
        <w:t xml:space="preserve"> et al., 2012).</w:t>
      </w:r>
    </w:p>
    <w:p w14:paraId="60D03FFE" w14:textId="3841446E"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Veterinary records maintained at the farms were analyzed to obtain reliable data on disease incidence, vaccination schedules, antibiotic treatments, mortality, and morbidity. Record-based assessments are considered reliable for epidemiological studies in livestock systems (Thrusfield, 2018).</w:t>
      </w:r>
    </w:p>
    <w:p w14:paraId="3033D8CD" w14:textId="3F1C96A4"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2.5 Measurement of Disease Management Practices</w:t>
      </w:r>
    </w:p>
    <w:p w14:paraId="50110F08"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Disease management practices were assessed by evaluating vaccination compliance, frequency of veterinary consultation, and methods of disease diagnosis. Vaccination compliance was determined based on adherence to recommended vaccination schedules, which are critical for disease prevention in poultry (Permin &amp; Hansen, 1998). Veterinary consultation was assessed based on the involvement of qualified professionals in disease diagnosis and treatment.</w:t>
      </w:r>
    </w:p>
    <w:p w14:paraId="2CD6C4CD" w14:textId="6362CBFB"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A composite disease management score was developed to quantify these practices, enabling comparison between trained and untrained farms. Similar scoring approaches have been used in previous studies to evaluate farm management efficiency (</w:t>
      </w:r>
      <w:proofErr w:type="spellStart"/>
      <w:r w:rsidRPr="006639ED">
        <w:rPr>
          <w:rFonts w:ascii="Times New Roman" w:hAnsi="Times New Roman" w:cs="Times New Roman"/>
          <w:sz w:val="24"/>
          <w:szCs w:val="24"/>
        </w:rPr>
        <w:t>Fasina</w:t>
      </w:r>
      <w:proofErr w:type="spellEnd"/>
      <w:r w:rsidRPr="006639ED">
        <w:rPr>
          <w:rFonts w:ascii="Times New Roman" w:hAnsi="Times New Roman" w:cs="Times New Roman"/>
          <w:sz w:val="24"/>
          <w:szCs w:val="24"/>
        </w:rPr>
        <w:t xml:space="preserve"> et al., 2012).</w:t>
      </w:r>
    </w:p>
    <w:p w14:paraId="4648ABF0" w14:textId="1A0A59EB"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2.6 Assessment of Antibiotic Usage</w:t>
      </w:r>
    </w:p>
    <w:p w14:paraId="6CF8EA41"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lastRenderedPageBreak/>
        <w:t>Antibiotic usage was evaluated in detail to assess patterns of use and their association with training. Data were collected on frequency of antibiotic administration, types of antibiotics used, and purpose of use, including prophylactic and therapeutic applications. The use of broad-spectrum antibiotics was also recorded.</w:t>
      </w:r>
    </w:p>
    <w:p w14:paraId="3B8953DD" w14:textId="2156C74B" w:rsidR="00F03E9B" w:rsidRPr="006639ED" w:rsidRDefault="009C417E"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Antibiotic usage was standardized using defined daily dose (DDD) metrics, expressed as the assumed average maintenance dose per day for a drug used for its main indication (Postma et al., 2016)</w:t>
      </w:r>
      <w:r w:rsidR="00F03E9B" w:rsidRPr="006639ED">
        <w:rPr>
          <w:rFonts w:ascii="Times New Roman" w:hAnsi="Times New Roman" w:cs="Times New Roman"/>
          <w:sz w:val="24"/>
          <w:szCs w:val="24"/>
        </w:rPr>
        <w:t>. This approach allows comparison of antibiotic usage across farms and facilitates evaluation of intervention outcomes. The importance of monitoring antibiotic usage has been emphasized in several studies addressing antimicrobial resistance (Van Boeckel et al., 2015; Nhung et al., 2017).</w:t>
      </w:r>
    </w:p>
    <w:p w14:paraId="1E6323FF" w14:textId="14E13C9C"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2.7 Evaluation of Poultry Health and Physiological Parameters</w:t>
      </w:r>
    </w:p>
    <w:p w14:paraId="5C68B7E4"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Poultry health and physiological performance were assessed using both production and laboratory-based indicators. Production parameters included mortality rate, morbidity rate, feed conversion ratio (FCR), and body weight gain. These parameters are widely used as indicators of productivity and health status in poultry farming (Kidd, 2004; Klasing, 2007).</w:t>
      </w:r>
    </w:p>
    <w:p w14:paraId="38637FE5" w14:textId="77777777"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Blood samples were collected from randomly selected birds and analyzed for hematological parameters, including hemoglobin concentration, total leukocyte count, and differential leukocyte count, following standard protocols in avian hematology (Campbell, 2015). These parameters provide insights into immune status and physiological condition of birds.</w:t>
      </w:r>
    </w:p>
    <w:p w14:paraId="739D46CE" w14:textId="29684BA8"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Stress levels were evaluated using the heterophil-to-lymphocyte (H/L) ratio, which is a well-established indicator of stress in poultry (Dawkins et al., 2004).</w:t>
      </w:r>
    </w:p>
    <w:p w14:paraId="73B2428C" w14:textId="478B7DF9"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2.8 Biosecurity Assessment</w:t>
      </w:r>
    </w:p>
    <w:p w14:paraId="2DAA62FB" w14:textId="10169C60" w:rsidR="00F03E9B" w:rsidRPr="006639ED" w:rsidRDefault="00F03E9B"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Biosecurity practices were assessed using a composite biosecurity index, incorporating parameters such as sanitation, disinfection, controlled access, isolation of diseased birds, and pest control. Biosecurity is considered a key factor in preventing disease outbreaks and reducing antibiotic dependency (</w:t>
      </w:r>
      <w:proofErr w:type="spellStart"/>
      <w:r w:rsidRPr="006639ED">
        <w:rPr>
          <w:rFonts w:ascii="Times New Roman" w:hAnsi="Times New Roman" w:cs="Times New Roman"/>
          <w:sz w:val="24"/>
          <w:szCs w:val="24"/>
        </w:rPr>
        <w:t>Fasina</w:t>
      </w:r>
      <w:proofErr w:type="spellEnd"/>
      <w:r w:rsidRPr="006639ED">
        <w:rPr>
          <w:rFonts w:ascii="Times New Roman" w:hAnsi="Times New Roman" w:cs="Times New Roman"/>
          <w:sz w:val="24"/>
          <w:szCs w:val="24"/>
        </w:rPr>
        <w:t xml:space="preserve"> et al., 2012; Permin &amp; Hansen, 1998).</w:t>
      </w:r>
    </w:p>
    <w:p w14:paraId="7CA3FA2B" w14:textId="0EF92B0E"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2.9 Data Quality Control</w:t>
      </w:r>
    </w:p>
    <w:p w14:paraId="42CD3002" w14:textId="2ECBB7C2" w:rsidR="00F03E9B" w:rsidRPr="006A7700" w:rsidRDefault="00F03E9B"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 xml:space="preserve">Data quality was ensured through pre-testing of questionnaires, cross-verification of farmer </w:t>
      </w:r>
      <w:r w:rsidRPr="006639ED">
        <w:rPr>
          <w:rFonts w:ascii="Times New Roman" w:hAnsi="Times New Roman" w:cs="Times New Roman"/>
          <w:sz w:val="24"/>
          <w:szCs w:val="24"/>
        </w:rPr>
        <w:t>responses with farm records, and standardization of laboratory procedures. Duplicate sampling and repeated measurements were conducted where necessary to ensure reliability. Such quality control measures are essential for ensuring validity in epidemiological studies (</w:t>
      </w:r>
      <w:proofErr w:type="spellStart"/>
      <w:r w:rsidRPr="006639ED">
        <w:rPr>
          <w:rFonts w:ascii="Times New Roman" w:hAnsi="Times New Roman" w:cs="Times New Roman"/>
          <w:sz w:val="24"/>
          <w:szCs w:val="24"/>
        </w:rPr>
        <w:t>Dohoo</w:t>
      </w:r>
      <w:proofErr w:type="spellEnd"/>
      <w:r w:rsidRPr="006639ED">
        <w:rPr>
          <w:rFonts w:ascii="Times New Roman" w:hAnsi="Times New Roman" w:cs="Times New Roman"/>
          <w:sz w:val="24"/>
          <w:szCs w:val="24"/>
        </w:rPr>
        <w:t xml:space="preserve"> et al., 2009).</w:t>
      </w:r>
    </w:p>
    <w:p w14:paraId="54B792BE" w14:textId="6F262E38" w:rsidR="00F03E9B" w:rsidRPr="006A7700" w:rsidRDefault="00F03E9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2.10 Statistical Analysis</w:t>
      </w:r>
    </w:p>
    <w:p w14:paraId="174AB94D" w14:textId="0CBC19FB" w:rsidR="00F03E9B" w:rsidRPr="006639ED" w:rsidRDefault="00DC1045" w:rsidP="006A7700">
      <w:pPr>
        <w:spacing w:before="240" w:line="240" w:lineRule="auto"/>
        <w:jc w:val="both"/>
        <w:rPr>
          <w:rFonts w:ascii="Times New Roman" w:hAnsi="Times New Roman" w:cs="Times New Roman"/>
          <w:sz w:val="24"/>
          <w:szCs w:val="24"/>
        </w:rPr>
      </w:pPr>
      <w:r w:rsidRPr="006639ED">
        <w:rPr>
          <w:rFonts w:ascii="Times New Roman" w:hAnsi="Times New Roman" w:cs="Times New Roman"/>
          <w:sz w:val="24"/>
          <w:szCs w:val="24"/>
        </w:rPr>
        <w:t>Statistical analysis was performed using SPSS version 25.0 (IBM Corp., USA) and R software</w:t>
      </w:r>
      <w:r w:rsidR="00F03E9B" w:rsidRPr="006639ED">
        <w:rPr>
          <w:rFonts w:ascii="Times New Roman" w:hAnsi="Times New Roman" w:cs="Times New Roman"/>
          <w:sz w:val="24"/>
          <w:szCs w:val="24"/>
        </w:rPr>
        <w:t xml:space="preserve">. Descriptive statistics were calculated for all variables, and Student’s t-test was used to compare means between trained and untrained groups. The chi-square test was applied for categorical variables, and Pearson correlation analysis was used to examine relationships between biosecurity practices, antibiotic usage, and disease incidence. Regression analysis was conducted to evaluate the effect of training on antibiotic usage and poultry health outcomes. A significance level of </w:t>
      </w:r>
      <w:r w:rsidR="00F03E9B" w:rsidRPr="006639ED">
        <w:rPr>
          <w:rFonts w:ascii="Times New Roman" w:hAnsi="Times New Roman" w:cs="Times New Roman"/>
          <w:i/>
          <w:iCs/>
          <w:sz w:val="24"/>
          <w:szCs w:val="24"/>
        </w:rPr>
        <w:t>p</w:t>
      </w:r>
      <w:r w:rsidR="00F03E9B" w:rsidRPr="006639ED">
        <w:rPr>
          <w:rFonts w:ascii="Times New Roman" w:hAnsi="Times New Roman" w:cs="Times New Roman"/>
          <w:sz w:val="24"/>
          <w:szCs w:val="24"/>
        </w:rPr>
        <w:t xml:space="preserve"> &lt; 0.05 was considered statistically significant (Zar, 2010; Snedecor &amp; Cochran, 1989).</w:t>
      </w:r>
    </w:p>
    <w:p w14:paraId="0CECD16B" w14:textId="6ABBDBDE" w:rsidR="00257477" w:rsidRPr="006A7700" w:rsidRDefault="00E9173C"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lastRenderedPageBreak/>
        <w:t>3. RESULTS</w:t>
      </w:r>
    </w:p>
    <w:p w14:paraId="742AAFCA" w14:textId="71264497" w:rsidR="00257477" w:rsidRPr="006A7700" w:rsidRDefault="00EC1E5E"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3</w:t>
      </w:r>
      <w:r w:rsidR="00257477" w:rsidRPr="006A7700">
        <w:rPr>
          <w:rFonts w:ascii="Times New Roman" w:hAnsi="Times New Roman" w:cs="Times New Roman"/>
          <w:b/>
          <w:bCs/>
          <w:sz w:val="24"/>
          <w:szCs w:val="24"/>
        </w:rPr>
        <w:t>.1 Disease Management Practices among Trained and Untrained Farmers</w:t>
      </w:r>
    </w:p>
    <w:p w14:paraId="24A6C1E2"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 comparative evaluation of disease management practices revealed significant differences between trained and untrained poultry farmers, indicating the positive influence of training on scientific farm management. Trained farmers demonstrated higher adherence to vaccination schedules, improved disease monitoring, and greater reliance on veterinary consultation.</w:t>
      </w:r>
    </w:p>
    <w:p w14:paraId="2C68CB5A"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Vaccination compliance was significantly higher among trained farmers, with 92% adherence compared to 63% in untrained farms (</w:t>
      </w:r>
      <w:r w:rsidRPr="006A7700">
        <w:rPr>
          <w:rFonts w:ascii="Times New Roman" w:hAnsi="Times New Roman" w:cs="Times New Roman"/>
          <w:i/>
          <w:iCs/>
          <w:sz w:val="24"/>
          <w:szCs w:val="24"/>
        </w:rPr>
        <w:t>p</w:t>
      </w:r>
      <w:r w:rsidRPr="006A7700">
        <w:rPr>
          <w:rFonts w:ascii="Times New Roman" w:hAnsi="Times New Roman" w:cs="Times New Roman"/>
          <w:sz w:val="24"/>
          <w:szCs w:val="24"/>
        </w:rPr>
        <w:t xml:space="preserve"> &lt; 0.01). Similarly, regular veterinary consultation was observed in 78% of trained farms, whereas only 41% of untrained farmers sought professional guidance (</w:t>
      </w:r>
      <w:r w:rsidRPr="006A7700">
        <w:rPr>
          <w:rFonts w:ascii="Times New Roman" w:hAnsi="Times New Roman" w:cs="Times New Roman"/>
          <w:i/>
          <w:iCs/>
          <w:sz w:val="24"/>
          <w:szCs w:val="24"/>
        </w:rPr>
        <w:t>p</w:t>
      </w:r>
      <w:r w:rsidRPr="006A7700">
        <w:rPr>
          <w:rFonts w:ascii="Times New Roman" w:hAnsi="Times New Roman" w:cs="Times New Roman"/>
          <w:sz w:val="24"/>
          <w:szCs w:val="24"/>
        </w:rPr>
        <w:t xml:space="preserve"> &lt; 0.05). Early disease detection practices were also more prevalent in trained farms, reflecting improved awareness and technical knowledge.</w:t>
      </w:r>
    </w:p>
    <w:p w14:paraId="4B4E03C7" w14:textId="400F07EA"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 composite disease management score was significantly higher in trained farms (8.4 ± 0.8) compared to untrained farms (5.3 ± 1.2), indicating superior implementation of disease control strategies</w:t>
      </w:r>
      <w:r w:rsidR="007C7E6A" w:rsidRPr="006A7700">
        <w:rPr>
          <w:rFonts w:ascii="Times New Roman" w:hAnsi="Times New Roman" w:cs="Times New Roman"/>
          <w:sz w:val="24"/>
          <w:szCs w:val="24"/>
        </w:rPr>
        <w:t xml:space="preserve"> (Table 1)</w:t>
      </w:r>
      <w:r w:rsidRPr="006A7700">
        <w:rPr>
          <w:rFonts w:ascii="Times New Roman" w:hAnsi="Times New Roman" w:cs="Times New Roman"/>
          <w:sz w:val="24"/>
          <w:szCs w:val="24"/>
        </w:rPr>
        <w:t>.</w:t>
      </w:r>
    </w:p>
    <w:p w14:paraId="0AF3B918" w14:textId="77777777" w:rsidR="00257477" w:rsidRPr="006A7700" w:rsidRDefault="00257477" w:rsidP="006A7700">
      <w:pPr>
        <w:spacing w:before="240" w:line="240" w:lineRule="auto"/>
        <w:jc w:val="center"/>
        <w:rPr>
          <w:rFonts w:ascii="Times New Roman" w:hAnsi="Times New Roman" w:cs="Times New Roman"/>
          <w:b/>
          <w:bCs/>
          <w:sz w:val="24"/>
          <w:szCs w:val="24"/>
        </w:rPr>
      </w:pPr>
      <w:r w:rsidRPr="006A7700">
        <w:rPr>
          <w:rFonts w:ascii="Times New Roman" w:hAnsi="Times New Roman" w:cs="Times New Roman"/>
          <w:b/>
          <w:bCs/>
          <w:sz w:val="24"/>
          <w:szCs w:val="24"/>
        </w:rPr>
        <w:t>Table 1. Comparison of Disease Management Practices between Trained and Untrained Farms</w:t>
      </w:r>
    </w:p>
    <w:tbl>
      <w:tblPr>
        <w:tblStyle w:val="TableGrid"/>
        <w:tblW w:w="5000" w:type="pct"/>
        <w:tblLook w:val="04A0" w:firstRow="1" w:lastRow="0" w:firstColumn="1" w:lastColumn="0" w:noHBand="0" w:noVBand="1"/>
      </w:tblPr>
      <w:tblGrid>
        <w:gridCol w:w="2779"/>
        <w:gridCol w:w="2443"/>
        <w:gridCol w:w="2714"/>
        <w:gridCol w:w="1080"/>
      </w:tblGrid>
      <w:tr w:rsidR="00257477" w:rsidRPr="006A7700" w14:paraId="61EF4DC2" w14:textId="77777777" w:rsidTr="0014784C">
        <w:tc>
          <w:tcPr>
            <w:tcW w:w="1541" w:type="pct"/>
            <w:vAlign w:val="center"/>
            <w:hideMark/>
          </w:tcPr>
          <w:p w14:paraId="4310925A" w14:textId="77777777" w:rsidR="00257477" w:rsidRPr="006A7700" w:rsidRDefault="00257477" w:rsidP="006A7700">
            <w:pPr>
              <w:spacing w:before="240"/>
              <w:jc w:val="center"/>
              <w:rPr>
                <w:rFonts w:ascii="Times New Roman" w:hAnsi="Times New Roman" w:cs="Times New Roman"/>
                <w:b/>
                <w:bCs/>
                <w:sz w:val="24"/>
                <w:szCs w:val="24"/>
              </w:rPr>
            </w:pPr>
            <w:r w:rsidRPr="006A7700">
              <w:rPr>
                <w:rFonts w:ascii="Times New Roman" w:hAnsi="Times New Roman" w:cs="Times New Roman"/>
                <w:b/>
                <w:bCs/>
                <w:sz w:val="24"/>
                <w:szCs w:val="24"/>
              </w:rPr>
              <w:t>Parameter</w:t>
            </w:r>
          </w:p>
        </w:tc>
        <w:tc>
          <w:tcPr>
            <w:tcW w:w="1355" w:type="pct"/>
            <w:vAlign w:val="center"/>
            <w:hideMark/>
          </w:tcPr>
          <w:p w14:paraId="6DCB6F38" w14:textId="77777777" w:rsidR="00257477" w:rsidRPr="006A7700" w:rsidRDefault="00257477" w:rsidP="006A7700">
            <w:pPr>
              <w:spacing w:before="240"/>
              <w:jc w:val="center"/>
              <w:rPr>
                <w:rFonts w:ascii="Times New Roman" w:hAnsi="Times New Roman" w:cs="Times New Roman"/>
                <w:b/>
                <w:bCs/>
                <w:sz w:val="24"/>
                <w:szCs w:val="24"/>
              </w:rPr>
            </w:pPr>
            <w:r w:rsidRPr="006A7700">
              <w:rPr>
                <w:rFonts w:ascii="Times New Roman" w:hAnsi="Times New Roman" w:cs="Times New Roman"/>
                <w:b/>
                <w:bCs/>
                <w:sz w:val="24"/>
                <w:szCs w:val="24"/>
              </w:rPr>
              <w:t>Trained Farms (%)</w:t>
            </w:r>
          </w:p>
        </w:tc>
        <w:tc>
          <w:tcPr>
            <w:tcW w:w="1505" w:type="pct"/>
            <w:vAlign w:val="center"/>
            <w:hideMark/>
          </w:tcPr>
          <w:p w14:paraId="3076A018" w14:textId="77777777" w:rsidR="00257477" w:rsidRPr="006A7700" w:rsidRDefault="00257477" w:rsidP="006A7700">
            <w:pPr>
              <w:spacing w:before="240"/>
              <w:jc w:val="center"/>
              <w:rPr>
                <w:rFonts w:ascii="Times New Roman" w:hAnsi="Times New Roman" w:cs="Times New Roman"/>
                <w:b/>
                <w:bCs/>
                <w:sz w:val="24"/>
                <w:szCs w:val="24"/>
              </w:rPr>
            </w:pPr>
            <w:r w:rsidRPr="006A7700">
              <w:rPr>
                <w:rFonts w:ascii="Times New Roman" w:hAnsi="Times New Roman" w:cs="Times New Roman"/>
                <w:b/>
                <w:bCs/>
                <w:sz w:val="24"/>
                <w:szCs w:val="24"/>
              </w:rPr>
              <w:t>Untrained Farms (%)</w:t>
            </w:r>
          </w:p>
        </w:tc>
        <w:tc>
          <w:tcPr>
            <w:tcW w:w="599" w:type="pct"/>
            <w:hideMark/>
          </w:tcPr>
          <w:p w14:paraId="51E89029" w14:textId="77777777" w:rsidR="00257477" w:rsidRPr="006A7700" w:rsidRDefault="00257477" w:rsidP="006A7700">
            <w:pPr>
              <w:spacing w:before="240"/>
              <w:jc w:val="center"/>
              <w:rPr>
                <w:rFonts w:ascii="Times New Roman" w:hAnsi="Times New Roman" w:cs="Times New Roman"/>
                <w:b/>
                <w:bCs/>
                <w:sz w:val="24"/>
                <w:szCs w:val="24"/>
              </w:rPr>
            </w:pPr>
            <w:r w:rsidRPr="006A7700">
              <w:rPr>
                <w:rFonts w:ascii="Times New Roman" w:hAnsi="Times New Roman" w:cs="Times New Roman"/>
                <w:b/>
                <w:bCs/>
                <w:i/>
                <w:iCs/>
                <w:sz w:val="24"/>
                <w:szCs w:val="24"/>
              </w:rPr>
              <w:t>p</w:t>
            </w:r>
            <w:r w:rsidRPr="006A7700">
              <w:rPr>
                <w:rFonts w:ascii="Times New Roman" w:hAnsi="Times New Roman" w:cs="Times New Roman"/>
                <w:b/>
                <w:bCs/>
                <w:sz w:val="24"/>
                <w:szCs w:val="24"/>
              </w:rPr>
              <w:t>-value</w:t>
            </w:r>
          </w:p>
        </w:tc>
      </w:tr>
      <w:tr w:rsidR="00257477" w:rsidRPr="006A7700" w14:paraId="58508344" w14:textId="77777777" w:rsidTr="0014784C">
        <w:tc>
          <w:tcPr>
            <w:tcW w:w="1541" w:type="pct"/>
            <w:vAlign w:val="center"/>
            <w:hideMark/>
          </w:tcPr>
          <w:p w14:paraId="3486F5A7"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Vaccination compliance</w:t>
            </w:r>
          </w:p>
        </w:tc>
        <w:tc>
          <w:tcPr>
            <w:tcW w:w="1355" w:type="pct"/>
            <w:vAlign w:val="center"/>
            <w:hideMark/>
          </w:tcPr>
          <w:p w14:paraId="388AC9E8"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92</w:t>
            </w:r>
          </w:p>
        </w:tc>
        <w:tc>
          <w:tcPr>
            <w:tcW w:w="1505" w:type="pct"/>
            <w:vAlign w:val="center"/>
            <w:hideMark/>
          </w:tcPr>
          <w:p w14:paraId="3F7092A3"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63</w:t>
            </w:r>
          </w:p>
        </w:tc>
        <w:tc>
          <w:tcPr>
            <w:tcW w:w="599" w:type="pct"/>
            <w:vAlign w:val="center"/>
            <w:hideMark/>
          </w:tcPr>
          <w:p w14:paraId="5CB64A62"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558B84DD" w14:textId="77777777" w:rsidTr="0014784C">
        <w:tc>
          <w:tcPr>
            <w:tcW w:w="1541" w:type="pct"/>
            <w:vAlign w:val="center"/>
            <w:hideMark/>
          </w:tcPr>
          <w:p w14:paraId="23C8B699"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Veterinary consultation</w:t>
            </w:r>
          </w:p>
        </w:tc>
        <w:tc>
          <w:tcPr>
            <w:tcW w:w="1355" w:type="pct"/>
            <w:vAlign w:val="center"/>
            <w:hideMark/>
          </w:tcPr>
          <w:p w14:paraId="6611DED3"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78</w:t>
            </w:r>
          </w:p>
        </w:tc>
        <w:tc>
          <w:tcPr>
            <w:tcW w:w="1505" w:type="pct"/>
            <w:vAlign w:val="center"/>
            <w:hideMark/>
          </w:tcPr>
          <w:p w14:paraId="569E3D49"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41</w:t>
            </w:r>
          </w:p>
        </w:tc>
        <w:tc>
          <w:tcPr>
            <w:tcW w:w="599" w:type="pct"/>
            <w:vAlign w:val="center"/>
            <w:hideMark/>
          </w:tcPr>
          <w:p w14:paraId="0FA2044C"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&lt;0.05</w:t>
            </w:r>
          </w:p>
        </w:tc>
      </w:tr>
      <w:tr w:rsidR="00257477" w:rsidRPr="006A7700" w14:paraId="2F7F0F02" w14:textId="77777777" w:rsidTr="0014784C">
        <w:tc>
          <w:tcPr>
            <w:tcW w:w="1541" w:type="pct"/>
            <w:vAlign w:val="center"/>
            <w:hideMark/>
          </w:tcPr>
          <w:p w14:paraId="64750765"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Early disease detection</w:t>
            </w:r>
          </w:p>
        </w:tc>
        <w:tc>
          <w:tcPr>
            <w:tcW w:w="1355" w:type="pct"/>
            <w:vAlign w:val="center"/>
            <w:hideMark/>
          </w:tcPr>
          <w:p w14:paraId="78A9AA38"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81</w:t>
            </w:r>
          </w:p>
        </w:tc>
        <w:tc>
          <w:tcPr>
            <w:tcW w:w="1505" w:type="pct"/>
            <w:vAlign w:val="center"/>
            <w:hideMark/>
          </w:tcPr>
          <w:p w14:paraId="1FF42234"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49</w:t>
            </w:r>
          </w:p>
        </w:tc>
        <w:tc>
          <w:tcPr>
            <w:tcW w:w="599" w:type="pct"/>
            <w:vAlign w:val="center"/>
            <w:hideMark/>
          </w:tcPr>
          <w:p w14:paraId="73D0E21B"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7C641D80" w14:textId="77777777" w:rsidTr="0014784C">
        <w:tc>
          <w:tcPr>
            <w:tcW w:w="1541" w:type="pct"/>
            <w:vAlign w:val="center"/>
            <w:hideMark/>
          </w:tcPr>
          <w:p w14:paraId="386F9A77"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Record maintenance</w:t>
            </w:r>
          </w:p>
        </w:tc>
        <w:tc>
          <w:tcPr>
            <w:tcW w:w="1355" w:type="pct"/>
            <w:vAlign w:val="center"/>
            <w:hideMark/>
          </w:tcPr>
          <w:p w14:paraId="2C859FCC"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86</w:t>
            </w:r>
          </w:p>
        </w:tc>
        <w:tc>
          <w:tcPr>
            <w:tcW w:w="1505" w:type="pct"/>
            <w:vAlign w:val="center"/>
            <w:hideMark/>
          </w:tcPr>
          <w:p w14:paraId="1D502369"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52</w:t>
            </w:r>
          </w:p>
        </w:tc>
        <w:tc>
          <w:tcPr>
            <w:tcW w:w="599" w:type="pct"/>
            <w:vAlign w:val="center"/>
            <w:hideMark/>
          </w:tcPr>
          <w:p w14:paraId="266B45DE" w14:textId="77777777" w:rsidR="00257477" w:rsidRPr="006A7700" w:rsidRDefault="00257477" w:rsidP="006A7700">
            <w:pPr>
              <w:spacing w:before="240"/>
              <w:jc w:val="center"/>
              <w:rPr>
                <w:rFonts w:ascii="Times New Roman" w:hAnsi="Times New Roman" w:cs="Times New Roman"/>
                <w:sz w:val="24"/>
                <w:szCs w:val="24"/>
              </w:rPr>
            </w:pPr>
            <w:r w:rsidRPr="006A7700">
              <w:rPr>
                <w:rFonts w:ascii="Times New Roman" w:hAnsi="Times New Roman" w:cs="Times New Roman"/>
                <w:sz w:val="24"/>
                <w:szCs w:val="24"/>
              </w:rPr>
              <w:t>&lt;0.01</w:t>
            </w:r>
          </w:p>
        </w:tc>
      </w:tr>
    </w:tbl>
    <w:p w14:paraId="693EB30F" w14:textId="77777777" w:rsidR="00115812" w:rsidRPr="00612A78" w:rsidRDefault="00115812"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i/>
          <w:iCs/>
          <w:sz w:val="24"/>
          <w:szCs w:val="24"/>
        </w:rPr>
        <w:t>Values are expressed as Mean ± SD; n = 30 farms per group</w:t>
      </w:r>
    </w:p>
    <w:p w14:paraId="74CCD968" w14:textId="58204688"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These results clearly demonstrate that training significantly enhances farmers’ capacity to adopt scientific disease management practices, thereby reducing disease risk.</w:t>
      </w:r>
    </w:p>
    <w:p w14:paraId="71BD601E" w14:textId="12AD6311" w:rsidR="00257477" w:rsidRPr="006A7700" w:rsidRDefault="00EC1E5E"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3</w:t>
      </w:r>
      <w:r w:rsidR="00257477" w:rsidRPr="006A7700">
        <w:rPr>
          <w:rFonts w:ascii="Times New Roman" w:hAnsi="Times New Roman" w:cs="Times New Roman"/>
          <w:b/>
          <w:bCs/>
          <w:sz w:val="24"/>
          <w:szCs w:val="24"/>
        </w:rPr>
        <w:t>.2 Antibiotic Usage Patterns in Poultry Farms</w:t>
      </w:r>
    </w:p>
    <w:p w14:paraId="091D4A20"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Antibiotic usage patterns varied significantly between trained and untrained farms, with trained farmers exhibiting more rational and reduced use of antibiotics. The average number of antibiotic treatments per production cycle was significantly lower in trained farms (1.8 ± 0.6) compared to untrained farms (3.2 ± 0.9) (</w:t>
      </w:r>
      <w:r w:rsidRPr="006A7700">
        <w:rPr>
          <w:rFonts w:ascii="Times New Roman" w:hAnsi="Times New Roman" w:cs="Times New Roman"/>
          <w:i/>
          <w:iCs/>
          <w:sz w:val="24"/>
          <w:szCs w:val="24"/>
        </w:rPr>
        <w:t>p</w:t>
      </w:r>
      <w:r w:rsidRPr="006A7700">
        <w:rPr>
          <w:rFonts w:ascii="Times New Roman" w:hAnsi="Times New Roman" w:cs="Times New Roman"/>
          <w:sz w:val="24"/>
          <w:szCs w:val="24"/>
        </w:rPr>
        <w:t xml:space="preserve"> &lt; 0.01).</w:t>
      </w:r>
    </w:p>
    <w:p w14:paraId="43B15E67"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A major distinction was observed in the purpose of antibiotic usage. Trained farmers predominantly used antibiotics for therapeutic purposes (74%), based on clinical diagnosis and veterinary advice. In contrast, untrained farmers relied heavily on prophylactic antibiotic use (68%), often without proper diagnosis.</w:t>
      </w:r>
    </w:p>
    <w:p w14:paraId="067F78C7" w14:textId="30173292"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lastRenderedPageBreak/>
        <w:t>The use of broad-spectrum antibiotics was considerably higher in untrained farms, whereas trained farmers showed a preference for targeted antibiotic therapy, indicating better awareness of antimicrobial stewardship principles</w:t>
      </w:r>
      <w:r w:rsidR="007C7E6A" w:rsidRPr="006A7700">
        <w:rPr>
          <w:rFonts w:ascii="Times New Roman" w:hAnsi="Times New Roman" w:cs="Times New Roman"/>
          <w:sz w:val="24"/>
          <w:szCs w:val="24"/>
        </w:rPr>
        <w:t xml:space="preserve"> (Table 2)</w:t>
      </w:r>
      <w:r w:rsidRPr="006A7700">
        <w:rPr>
          <w:rFonts w:ascii="Times New Roman" w:hAnsi="Times New Roman" w:cs="Times New Roman"/>
          <w:sz w:val="24"/>
          <w:szCs w:val="24"/>
        </w:rPr>
        <w:t>.</w:t>
      </w:r>
    </w:p>
    <w:p w14:paraId="63491839" w14:textId="77777777" w:rsidR="00257477" w:rsidRPr="006A7700" w:rsidRDefault="00257477" w:rsidP="006A7700">
      <w:pPr>
        <w:spacing w:before="240" w:line="240" w:lineRule="auto"/>
        <w:jc w:val="center"/>
        <w:rPr>
          <w:rFonts w:ascii="Times New Roman" w:hAnsi="Times New Roman" w:cs="Times New Roman"/>
          <w:b/>
          <w:bCs/>
          <w:sz w:val="24"/>
          <w:szCs w:val="24"/>
        </w:rPr>
      </w:pPr>
      <w:r w:rsidRPr="006A7700">
        <w:rPr>
          <w:rFonts w:ascii="Times New Roman" w:hAnsi="Times New Roman" w:cs="Times New Roman"/>
          <w:b/>
          <w:bCs/>
          <w:sz w:val="24"/>
          <w:szCs w:val="24"/>
        </w:rPr>
        <w:t>Table 2. Antibiotic Usage Patterns in Trained and Untrained Farms</w:t>
      </w:r>
    </w:p>
    <w:tbl>
      <w:tblPr>
        <w:tblStyle w:val="TableGrid"/>
        <w:tblW w:w="5000" w:type="pct"/>
        <w:tblLook w:val="04A0" w:firstRow="1" w:lastRow="0" w:firstColumn="1" w:lastColumn="0" w:noHBand="0" w:noVBand="1"/>
      </w:tblPr>
      <w:tblGrid>
        <w:gridCol w:w="3710"/>
        <w:gridCol w:w="1967"/>
        <w:gridCol w:w="2241"/>
        <w:gridCol w:w="1098"/>
      </w:tblGrid>
      <w:tr w:rsidR="00257477" w:rsidRPr="006A7700" w14:paraId="4D45990C" w14:textId="77777777" w:rsidTr="00EC1E5E">
        <w:tc>
          <w:tcPr>
            <w:tcW w:w="2057" w:type="pct"/>
            <w:vAlign w:val="center"/>
            <w:hideMark/>
          </w:tcPr>
          <w:p w14:paraId="063329D0" w14:textId="77777777" w:rsidR="00257477" w:rsidRPr="006A7700" w:rsidRDefault="00257477" w:rsidP="006A7700">
            <w:pPr>
              <w:spacing w:before="240"/>
              <w:rPr>
                <w:rFonts w:ascii="Times New Roman" w:hAnsi="Times New Roman" w:cs="Times New Roman"/>
                <w:b/>
                <w:bCs/>
                <w:sz w:val="24"/>
                <w:szCs w:val="24"/>
              </w:rPr>
            </w:pPr>
            <w:r w:rsidRPr="006A7700">
              <w:rPr>
                <w:rFonts w:ascii="Times New Roman" w:hAnsi="Times New Roman" w:cs="Times New Roman"/>
                <w:b/>
                <w:bCs/>
                <w:sz w:val="24"/>
                <w:szCs w:val="24"/>
              </w:rPr>
              <w:t>Parameter</w:t>
            </w:r>
          </w:p>
        </w:tc>
        <w:tc>
          <w:tcPr>
            <w:tcW w:w="1091" w:type="pct"/>
            <w:vAlign w:val="center"/>
            <w:hideMark/>
          </w:tcPr>
          <w:p w14:paraId="73D7C1A3" w14:textId="77777777" w:rsidR="00257477" w:rsidRPr="006A7700" w:rsidRDefault="00257477" w:rsidP="006A7700">
            <w:pPr>
              <w:spacing w:before="240"/>
              <w:rPr>
                <w:rFonts w:ascii="Times New Roman" w:hAnsi="Times New Roman" w:cs="Times New Roman"/>
                <w:b/>
                <w:bCs/>
                <w:sz w:val="24"/>
                <w:szCs w:val="24"/>
              </w:rPr>
            </w:pPr>
            <w:r w:rsidRPr="006A7700">
              <w:rPr>
                <w:rFonts w:ascii="Times New Roman" w:hAnsi="Times New Roman" w:cs="Times New Roman"/>
                <w:b/>
                <w:bCs/>
                <w:sz w:val="24"/>
                <w:szCs w:val="24"/>
              </w:rPr>
              <w:t>Trained Farms</w:t>
            </w:r>
          </w:p>
        </w:tc>
        <w:tc>
          <w:tcPr>
            <w:tcW w:w="1243" w:type="pct"/>
            <w:vAlign w:val="center"/>
            <w:hideMark/>
          </w:tcPr>
          <w:p w14:paraId="372C8972" w14:textId="77777777" w:rsidR="00257477" w:rsidRPr="006A7700" w:rsidRDefault="00257477" w:rsidP="006A7700">
            <w:pPr>
              <w:spacing w:before="240"/>
              <w:rPr>
                <w:rFonts w:ascii="Times New Roman" w:hAnsi="Times New Roman" w:cs="Times New Roman"/>
                <w:b/>
                <w:bCs/>
                <w:sz w:val="24"/>
                <w:szCs w:val="24"/>
              </w:rPr>
            </w:pPr>
            <w:r w:rsidRPr="006A7700">
              <w:rPr>
                <w:rFonts w:ascii="Times New Roman" w:hAnsi="Times New Roman" w:cs="Times New Roman"/>
                <w:b/>
                <w:bCs/>
                <w:sz w:val="24"/>
                <w:szCs w:val="24"/>
              </w:rPr>
              <w:t>Untrained Farms</w:t>
            </w:r>
          </w:p>
        </w:tc>
        <w:tc>
          <w:tcPr>
            <w:tcW w:w="609" w:type="pct"/>
            <w:vAlign w:val="center"/>
            <w:hideMark/>
          </w:tcPr>
          <w:p w14:paraId="42A19E60" w14:textId="77777777" w:rsidR="00257477" w:rsidRPr="006A7700" w:rsidRDefault="00257477" w:rsidP="006A7700">
            <w:pPr>
              <w:spacing w:before="240"/>
              <w:rPr>
                <w:rFonts w:ascii="Times New Roman" w:hAnsi="Times New Roman" w:cs="Times New Roman"/>
                <w:b/>
                <w:bCs/>
                <w:sz w:val="24"/>
                <w:szCs w:val="24"/>
              </w:rPr>
            </w:pPr>
            <w:r w:rsidRPr="006A7700">
              <w:rPr>
                <w:rFonts w:ascii="Times New Roman" w:hAnsi="Times New Roman" w:cs="Times New Roman"/>
                <w:b/>
                <w:bCs/>
                <w:i/>
                <w:iCs/>
                <w:sz w:val="24"/>
                <w:szCs w:val="24"/>
              </w:rPr>
              <w:t>p</w:t>
            </w:r>
            <w:r w:rsidRPr="006A7700">
              <w:rPr>
                <w:rFonts w:ascii="Times New Roman" w:hAnsi="Times New Roman" w:cs="Times New Roman"/>
                <w:b/>
                <w:bCs/>
                <w:sz w:val="24"/>
                <w:szCs w:val="24"/>
              </w:rPr>
              <w:t>-value</w:t>
            </w:r>
          </w:p>
        </w:tc>
      </w:tr>
      <w:tr w:rsidR="00257477" w:rsidRPr="006A7700" w14:paraId="219EBDCA" w14:textId="77777777" w:rsidTr="00EC1E5E">
        <w:tc>
          <w:tcPr>
            <w:tcW w:w="2057" w:type="pct"/>
            <w:vAlign w:val="center"/>
            <w:hideMark/>
          </w:tcPr>
          <w:p w14:paraId="020D48D7"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Antibiotic frequency (per cycle)</w:t>
            </w:r>
          </w:p>
        </w:tc>
        <w:tc>
          <w:tcPr>
            <w:tcW w:w="1091" w:type="pct"/>
            <w:vAlign w:val="center"/>
            <w:hideMark/>
          </w:tcPr>
          <w:p w14:paraId="52B00DA9"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1.8 ± 0.6</w:t>
            </w:r>
          </w:p>
        </w:tc>
        <w:tc>
          <w:tcPr>
            <w:tcW w:w="1243" w:type="pct"/>
            <w:vAlign w:val="center"/>
            <w:hideMark/>
          </w:tcPr>
          <w:p w14:paraId="4708F705"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3.2 ± 0.9</w:t>
            </w:r>
          </w:p>
        </w:tc>
        <w:tc>
          <w:tcPr>
            <w:tcW w:w="609" w:type="pct"/>
            <w:vAlign w:val="center"/>
            <w:hideMark/>
          </w:tcPr>
          <w:p w14:paraId="3DF95781"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6E543264" w14:textId="77777777" w:rsidTr="00EC1E5E">
        <w:tc>
          <w:tcPr>
            <w:tcW w:w="2057" w:type="pct"/>
            <w:vAlign w:val="center"/>
            <w:hideMark/>
          </w:tcPr>
          <w:p w14:paraId="61E3C4A0"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Therapeutic use (%)</w:t>
            </w:r>
          </w:p>
        </w:tc>
        <w:tc>
          <w:tcPr>
            <w:tcW w:w="1091" w:type="pct"/>
            <w:vAlign w:val="center"/>
            <w:hideMark/>
          </w:tcPr>
          <w:p w14:paraId="79FB0A95"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74</w:t>
            </w:r>
          </w:p>
        </w:tc>
        <w:tc>
          <w:tcPr>
            <w:tcW w:w="1243" w:type="pct"/>
            <w:vAlign w:val="center"/>
            <w:hideMark/>
          </w:tcPr>
          <w:p w14:paraId="2ED1FBE1"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32</w:t>
            </w:r>
          </w:p>
        </w:tc>
        <w:tc>
          <w:tcPr>
            <w:tcW w:w="609" w:type="pct"/>
            <w:vAlign w:val="center"/>
            <w:hideMark/>
          </w:tcPr>
          <w:p w14:paraId="48B8A30E"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7496AA0B" w14:textId="77777777" w:rsidTr="00EC1E5E">
        <w:tc>
          <w:tcPr>
            <w:tcW w:w="2057" w:type="pct"/>
            <w:vAlign w:val="center"/>
            <w:hideMark/>
          </w:tcPr>
          <w:p w14:paraId="2F1E0C28"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Prophylactic use (%)</w:t>
            </w:r>
          </w:p>
        </w:tc>
        <w:tc>
          <w:tcPr>
            <w:tcW w:w="1091" w:type="pct"/>
            <w:vAlign w:val="center"/>
            <w:hideMark/>
          </w:tcPr>
          <w:p w14:paraId="2EC52EAD"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26</w:t>
            </w:r>
          </w:p>
        </w:tc>
        <w:tc>
          <w:tcPr>
            <w:tcW w:w="1243" w:type="pct"/>
            <w:vAlign w:val="center"/>
            <w:hideMark/>
          </w:tcPr>
          <w:p w14:paraId="5D9C7C03"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68</w:t>
            </w:r>
          </w:p>
        </w:tc>
        <w:tc>
          <w:tcPr>
            <w:tcW w:w="609" w:type="pct"/>
            <w:vAlign w:val="center"/>
            <w:hideMark/>
          </w:tcPr>
          <w:p w14:paraId="574E5EC6"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39FFF3BD" w14:textId="77777777" w:rsidTr="00EC1E5E">
        <w:tc>
          <w:tcPr>
            <w:tcW w:w="2057" w:type="pct"/>
            <w:vAlign w:val="center"/>
            <w:hideMark/>
          </w:tcPr>
          <w:p w14:paraId="53065936"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Broad-spectrum usage (%)</w:t>
            </w:r>
          </w:p>
        </w:tc>
        <w:tc>
          <w:tcPr>
            <w:tcW w:w="1091" w:type="pct"/>
            <w:vAlign w:val="center"/>
            <w:hideMark/>
          </w:tcPr>
          <w:p w14:paraId="35995824"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38</w:t>
            </w:r>
          </w:p>
        </w:tc>
        <w:tc>
          <w:tcPr>
            <w:tcW w:w="1243" w:type="pct"/>
            <w:vAlign w:val="center"/>
            <w:hideMark/>
          </w:tcPr>
          <w:p w14:paraId="56D729A7"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71</w:t>
            </w:r>
          </w:p>
        </w:tc>
        <w:tc>
          <w:tcPr>
            <w:tcW w:w="609" w:type="pct"/>
            <w:vAlign w:val="center"/>
            <w:hideMark/>
          </w:tcPr>
          <w:p w14:paraId="1765DDF0" w14:textId="77777777" w:rsidR="00257477" w:rsidRPr="006A7700" w:rsidRDefault="00257477" w:rsidP="006A7700">
            <w:pPr>
              <w:spacing w:before="240"/>
              <w:rPr>
                <w:rFonts w:ascii="Times New Roman" w:hAnsi="Times New Roman" w:cs="Times New Roman"/>
                <w:sz w:val="24"/>
                <w:szCs w:val="24"/>
              </w:rPr>
            </w:pPr>
            <w:r w:rsidRPr="006A7700">
              <w:rPr>
                <w:rFonts w:ascii="Times New Roman" w:hAnsi="Times New Roman" w:cs="Times New Roman"/>
                <w:sz w:val="24"/>
                <w:szCs w:val="24"/>
              </w:rPr>
              <w:t>&lt;0.01</w:t>
            </w:r>
          </w:p>
        </w:tc>
      </w:tr>
    </w:tbl>
    <w:p w14:paraId="61898EED" w14:textId="148D66F4" w:rsidR="00B66CB4" w:rsidRPr="006A7700" w:rsidRDefault="00B66CB4" w:rsidP="006A7700">
      <w:pPr>
        <w:spacing w:before="240" w:line="240" w:lineRule="auto"/>
        <w:jc w:val="both"/>
        <w:rPr>
          <w:rFonts w:ascii="Times New Roman" w:hAnsi="Times New Roman" w:cs="Times New Roman"/>
          <w:i/>
          <w:iCs/>
          <w:sz w:val="24"/>
          <w:szCs w:val="24"/>
        </w:rPr>
      </w:pPr>
      <w:r w:rsidRPr="006A7700">
        <w:rPr>
          <w:rFonts w:ascii="Times New Roman" w:hAnsi="Times New Roman" w:cs="Times New Roman"/>
          <w:i/>
          <w:iCs/>
          <w:sz w:val="24"/>
          <w:szCs w:val="24"/>
        </w:rPr>
        <w:t>Values are expressed as Mean ± SD; n = 30 farms per group</w:t>
      </w:r>
    </w:p>
    <w:p w14:paraId="62CBC93D" w14:textId="7875FD76"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Overall, a reduction of approximately 35–40% in antibiotic usage was observed in trained farms, highlighting the effectiveness of training in promoting rational antibiotic use.</w:t>
      </w:r>
    </w:p>
    <w:p w14:paraId="3EF41E20" w14:textId="5A797B25" w:rsidR="00257477" w:rsidRPr="006A7700" w:rsidRDefault="00EC1E5E"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3</w:t>
      </w:r>
      <w:r w:rsidR="00257477" w:rsidRPr="006A7700">
        <w:rPr>
          <w:rFonts w:ascii="Times New Roman" w:hAnsi="Times New Roman" w:cs="Times New Roman"/>
          <w:b/>
          <w:bCs/>
          <w:sz w:val="24"/>
          <w:szCs w:val="24"/>
        </w:rPr>
        <w:t>.3 Poultry Health and Physiological Performance</w:t>
      </w:r>
    </w:p>
    <w:p w14:paraId="363479DB"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 evaluation of poultry health indicators revealed significant improvements in trained farms, indicating better physiological performance and disease resistance.</w:t>
      </w:r>
    </w:p>
    <w:p w14:paraId="1633A44C"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Mortality rates were significantly lower in trained farms (4.8% ± 1.2) compared to untrained farms (9.6% ± 2.1) (p &lt; 0.01). Similarly, morbidity rates were reduced in trained farms (11.2% ± 2.5) compared to untrained farms (21.5% ± 3.8).</w:t>
      </w:r>
    </w:p>
    <w:p w14:paraId="5632B400"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Feed Conversion Ratio (FCR), a key indicator of production efficiency, was significantly improved in trained farms (1.65 ± 0.08) compared to untrained farms (1.92 ± 0.11) (p &lt; 0.05), indicating better feed utilization and physiological efficiency.</w:t>
      </w:r>
    </w:p>
    <w:p w14:paraId="72304D46" w14:textId="1D135C16"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Hematological analysis revealed higher hemoglobin levels and total leukocyte counts in birds from trained farms, indicating improved immune status. The heterophil-to-lymphocyte (H/L) ratio was significantly lower in trained farms, reflecting reduced physiological stress</w:t>
      </w:r>
      <w:r w:rsidR="007C7E6A" w:rsidRPr="006A7700">
        <w:rPr>
          <w:rFonts w:ascii="Times New Roman" w:hAnsi="Times New Roman" w:cs="Times New Roman"/>
          <w:sz w:val="24"/>
          <w:szCs w:val="24"/>
        </w:rPr>
        <w:t xml:space="preserve"> (Table 3)</w:t>
      </w:r>
      <w:r w:rsidRPr="006A7700">
        <w:rPr>
          <w:rFonts w:ascii="Times New Roman" w:hAnsi="Times New Roman" w:cs="Times New Roman"/>
          <w:sz w:val="24"/>
          <w:szCs w:val="24"/>
        </w:rPr>
        <w:t>.</w:t>
      </w:r>
    </w:p>
    <w:p w14:paraId="42115823" w14:textId="006FF594" w:rsidR="00257477" w:rsidRPr="006A7700" w:rsidRDefault="00DC044C" w:rsidP="006A7700">
      <w:pPr>
        <w:spacing w:before="240" w:line="240" w:lineRule="auto"/>
        <w:jc w:val="center"/>
        <w:rPr>
          <w:rFonts w:ascii="Times New Roman" w:hAnsi="Times New Roman" w:cs="Times New Roman"/>
          <w:b/>
          <w:bCs/>
          <w:sz w:val="24"/>
          <w:szCs w:val="24"/>
        </w:rPr>
      </w:pPr>
      <w:r w:rsidRPr="006A7700">
        <w:rPr>
          <w:rFonts w:ascii="Times New Roman" w:hAnsi="Times New Roman" w:cs="Times New Roman"/>
          <w:b/>
          <w:bCs/>
          <w:sz w:val="24"/>
          <w:szCs w:val="24"/>
        </w:rPr>
        <w:t>Table 3. Poultry Health and Physiological Parameters (n = 30 farms per group)</w:t>
      </w:r>
    </w:p>
    <w:tbl>
      <w:tblPr>
        <w:tblStyle w:val="TableGrid"/>
        <w:tblW w:w="5000" w:type="pct"/>
        <w:tblLook w:val="04A0" w:firstRow="1" w:lastRow="0" w:firstColumn="1" w:lastColumn="0" w:noHBand="0" w:noVBand="1"/>
      </w:tblPr>
      <w:tblGrid>
        <w:gridCol w:w="2765"/>
        <w:gridCol w:w="2318"/>
        <w:gridCol w:w="2640"/>
        <w:gridCol w:w="1293"/>
      </w:tblGrid>
      <w:tr w:rsidR="00257477" w:rsidRPr="006A7700" w14:paraId="043041EF" w14:textId="77777777" w:rsidTr="00EC1E5E">
        <w:tc>
          <w:tcPr>
            <w:tcW w:w="1533" w:type="pct"/>
            <w:hideMark/>
          </w:tcPr>
          <w:p w14:paraId="2E6F0B29"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Parameter</w:t>
            </w:r>
          </w:p>
        </w:tc>
        <w:tc>
          <w:tcPr>
            <w:tcW w:w="1285" w:type="pct"/>
            <w:hideMark/>
          </w:tcPr>
          <w:p w14:paraId="750BF291"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Trained Farms</w:t>
            </w:r>
          </w:p>
        </w:tc>
        <w:tc>
          <w:tcPr>
            <w:tcW w:w="1464" w:type="pct"/>
            <w:hideMark/>
          </w:tcPr>
          <w:p w14:paraId="66659A3C"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Untrained Farms</w:t>
            </w:r>
          </w:p>
        </w:tc>
        <w:tc>
          <w:tcPr>
            <w:tcW w:w="717" w:type="pct"/>
            <w:hideMark/>
          </w:tcPr>
          <w:p w14:paraId="62DAEFD9"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p-value</w:t>
            </w:r>
          </w:p>
        </w:tc>
      </w:tr>
      <w:tr w:rsidR="00257477" w:rsidRPr="006A7700" w14:paraId="700AF7EF" w14:textId="77777777" w:rsidTr="00EC1E5E">
        <w:tc>
          <w:tcPr>
            <w:tcW w:w="1533" w:type="pct"/>
            <w:hideMark/>
          </w:tcPr>
          <w:p w14:paraId="4A5E2918"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Mortality (%)</w:t>
            </w:r>
          </w:p>
        </w:tc>
        <w:tc>
          <w:tcPr>
            <w:tcW w:w="1285" w:type="pct"/>
            <w:hideMark/>
          </w:tcPr>
          <w:p w14:paraId="195B4B33"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4.8 ± 1.2</w:t>
            </w:r>
          </w:p>
        </w:tc>
        <w:tc>
          <w:tcPr>
            <w:tcW w:w="1464" w:type="pct"/>
            <w:hideMark/>
          </w:tcPr>
          <w:p w14:paraId="5E608FF5"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9.6 ± 2.1</w:t>
            </w:r>
          </w:p>
        </w:tc>
        <w:tc>
          <w:tcPr>
            <w:tcW w:w="717" w:type="pct"/>
            <w:hideMark/>
          </w:tcPr>
          <w:p w14:paraId="397F9F31"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75136B29" w14:textId="77777777" w:rsidTr="00EC1E5E">
        <w:tc>
          <w:tcPr>
            <w:tcW w:w="1533" w:type="pct"/>
            <w:hideMark/>
          </w:tcPr>
          <w:p w14:paraId="6FD6838F"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Morbidity (%)</w:t>
            </w:r>
          </w:p>
        </w:tc>
        <w:tc>
          <w:tcPr>
            <w:tcW w:w="1285" w:type="pct"/>
            <w:hideMark/>
          </w:tcPr>
          <w:p w14:paraId="1381E8FB"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11.2 ± 2.5</w:t>
            </w:r>
          </w:p>
        </w:tc>
        <w:tc>
          <w:tcPr>
            <w:tcW w:w="1464" w:type="pct"/>
            <w:hideMark/>
          </w:tcPr>
          <w:p w14:paraId="79D3AB8A"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21.5 ± 3.8</w:t>
            </w:r>
          </w:p>
        </w:tc>
        <w:tc>
          <w:tcPr>
            <w:tcW w:w="717" w:type="pct"/>
            <w:hideMark/>
          </w:tcPr>
          <w:p w14:paraId="4868BC7A"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04BB391D" w14:textId="77777777" w:rsidTr="00EC1E5E">
        <w:tc>
          <w:tcPr>
            <w:tcW w:w="1533" w:type="pct"/>
            <w:hideMark/>
          </w:tcPr>
          <w:p w14:paraId="0502F1BE"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FCR</w:t>
            </w:r>
          </w:p>
        </w:tc>
        <w:tc>
          <w:tcPr>
            <w:tcW w:w="1285" w:type="pct"/>
            <w:hideMark/>
          </w:tcPr>
          <w:p w14:paraId="5D00C496"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1.65 ± 0.08</w:t>
            </w:r>
          </w:p>
        </w:tc>
        <w:tc>
          <w:tcPr>
            <w:tcW w:w="1464" w:type="pct"/>
            <w:hideMark/>
          </w:tcPr>
          <w:p w14:paraId="0182A209"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1.92 ± 0.11</w:t>
            </w:r>
          </w:p>
        </w:tc>
        <w:tc>
          <w:tcPr>
            <w:tcW w:w="717" w:type="pct"/>
            <w:hideMark/>
          </w:tcPr>
          <w:p w14:paraId="0B8EEA32"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&lt;0.05</w:t>
            </w:r>
          </w:p>
        </w:tc>
      </w:tr>
      <w:tr w:rsidR="00257477" w:rsidRPr="006A7700" w14:paraId="14ADBB07" w14:textId="77777777" w:rsidTr="00EC1E5E">
        <w:tc>
          <w:tcPr>
            <w:tcW w:w="1533" w:type="pct"/>
            <w:hideMark/>
          </w:tcPr>
          <w:p w14:paraId="1D8ACE50"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Hemoglobin (g/dL)</w:t>
            </w:r>
          </w:p>
        </w:tc>
        <w:tc>
          <w:tcPr>
            <w:tcW w:w="1285" w:type="pct"/>
            <w:hideMark/>
          </w:tcPr>
          <w:p w14:paraId="71199ACE"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10.8 ± 0.7</w:t>
            </w:r>
          </w:p>
        </w:tc>
        <w:tc>
          <w:tcPr>
            <w:tcW w:w="1464" w:type="pct"/>
            <w:hideMark/>
          </w:tcPr>
          <w:p w14:paraId="7E54BAD2"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9.2 ± 0.6</w:t>
            </w:r>
          </w:p>
        </w:tc>
        <w:tc>
          <w:tcPr>
            <w:tcW w:w="717" w:type="pct"/>
            <w:hideMark/>
          </w:tcPr>
          <w:p w14:paraId="138FF4C4"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&lt;0.05</w:t>
            </w:r>
          </w:p>
        </w:tc>
      </w:tr>
      <w:tr w:rsidR="00257477" w:rsidRPr="006A7700" w14:paraId="53CAC47B" w14:textId="77777777" w:rsidTr="00EC1E5E">
        <w:tc>
          <w:tcPr>
            <w:tcW w:w="1533" w:type="pct"/>
            <w:hideMark/>
          </w:tcPr>
          <w:p w14:paraId="67ECBB61"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TLC (×10³/µL)</w:t>
            </w:r>
          </w:p>
        </w:tc>
        <w:tc>
          <w:tcPr>
            <w:tcW w:w="1285" w:type="pct"/>
            <w:hideMark/>
          </w:tcPr>
          <w:p w14:paraId="7FDD6F25"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24.5 ± 2.1</w:t>
            </w:r>
          </w:p>
        </w:tc>
        <w:tc>
          <w:tcPr>
            <w:tcW w:w="1464" w:type="pct"/>
            <w:hideMark/>
          </w:tcPr>
          <w:p w14:paraId="6CFDE8C2"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20.2 ± 1.8</w:t>
            </w:r>
          </w:p>
        </w:tc>
        <w:tc>
          <w:tcPr>
            <w:tcW w:w="717" w:type="pct"/>
            <w:hideMark/>
          </w:tcPr>
          <w:p w14:paraId="63D7404D"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&lt;0.05</w:t>
            </w:r>
          </w:p>
        </w:tc>
      </w:tr>
      <w:tr w:rsidR="00257477" w:rsidRPr="006A7700" w14:paraId="35CC4FC7" w14:textId="77777777" w:rsidTr="00EC1E5E">
        <w:tc>
          <w:tcPr>
            <w:tcW w:w="1533" w:type="pct"/>
            <w:hideMark/>
          </w:tcPr>
          <w:p w14:paraId="24E07BDA"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lastRenderedPageBreak/>
              <w:t>H/L ratio</w:t>
            </w:r>
          </w:p>
        </w:tc>
        <w:tc>
          <w:tcPr>
            <w:tcW w:w="1285" w:type="pct"/>
            <w:hideMark/>
          </w:tcPr>
          <w:p w14:paraId="52FC1384"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0.42 ± 0.05</w:t>
            </w:r>
          </w:p>
        </w:tc>
        <w:tc>
          <w:tcPr>
            <w:tcW w:w="1464" w:type="pct"/>
            <w:hideMark/>
          </w:tcPr>
          <w:p w14:paraId="2B858712"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0.61 ± 0.07</w:t>
            </w:r>
          </w:p>
        </w:tc>
        <w:tc>
          <w:tcPr>
            <w:tcW w:w="717" w:type="pct"/>
            <w:hideMark/>
          </w:tcPr>
          <w:p w14:paraId="3C9B8865"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bl>
    <w:p w14:paraId="2E7B4BB6" w14:textId="5E3A03DC" w:rsidR="00EC1E5E" w:rsidRPr="006A7700" w:rsidRDefault="00B66CB4" w:rsidP="006A7700">
      <w:pPr>
        <w:spacing w:before="240" w:line="240" w:lineRule="auto"/>
        <w:jc w:val="both"/>
        <w:rPr>
          <w:rFonts w:ascii="Times New Roman" w:hAnsi="Times New Roman" w:cs="Times New Roman"/>
          <w:i/>
          <w:iCs/>
          <w:sz w:val="24"/>
          <w:szCs w:val="24"/>
        </w:rPr>
      </w:pPr>
      <w:r w:rsidRPr="006A7700">
        <w:rPr>
          <w:rFonts w:ascii="Times New Roman" w:hAnsi="Times New Roman" w:cs="Times New Roman"/>
          <w:i/>
          <w:iCs/>
          <w:sz w:val="24"/>
          <w:szCs w:val="24"/>
        </w:rPr>
        <w:t>Values are expressed as Mean ± SD; n = 30 farms per group</w:t>
      </w:r>
    </w:p>
    <w:p w14:paraId="50CF4FF1" w14:textId="65CE2E39"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These findings indicate that improved management practices in trained farms contribute to enhanced physiological health and reduced stress in poultry birds.</w:t>
      </w:r>
    </w:p>
    <w:p w14:paraId="3C3AAA17" w14:textId="4769E537" w:rsidR="00257477" w:rsidRPr="006A7700" w:rsidRDefault="00D030B0"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3</w:t>
      </w:r>
      <w:r w:rsidR="00257477" w:rsidRPr="006A7700">
        <w:rPr>
          <w:rFonts w:ascii="Times New Roman" w:hAnsi="Times New Roman" w:cs="Times New Roman"/>
          <w:b/>
          <w:bCs/>
          <w:sz w:val="24"/>
          <w:szCs w:val="24"/>
        </w:rPr>
        <w:t>.4 Relationship between Biosecurity Practices and Disease Incidence</w:t>
      </w:r>
    </w:p>
    <w:p w14:paraId="319C1085" w14:textId="77777777"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Biosecurity practices were significantly better in trained farms, as reflected by a higher biosecurity index (8.2 ± 0.9) compared to untrained farms (5.1 ± 1.3) (p &lt; 0.01). Key practices such as footbath usage, visitor restriction, and isolation of diseased birds were more consistently implemented in trained farms.</w:t>
      </w:r>
    </w:p>
    <w:p w14:paraId="4B3281D4" w14:textId="278B9BA5"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Correlation analysis revealed a strong negative relationship between biosecurity index and disease incidence (r = –0.71, p &lt; 0.01), indicating that improved biosecurity practices are associated with reduced disease occurrence</w:t>
      </w:r>
      <w:r w:rsidR="007C7E6A" w:rsidRPr="006A7700">
        <w:rPr>
          <w:rFonts w:ascii="Times New Roman" w:hAnsi="Times New Roman" w:cs="Times New Roman"/>
          <w:sz w:val="24"/>
          <w:szCs w:val="24"/>
        </w:rPr>
        <w:t xml:space="preserve"> (Table 4)</w:t>
      </w:r>
      <w:r w:rsidRPr="006A7700">
        <w:rPr>
          <w:rFonts w:ascii="Times New Roman" w:hAnsi="Times New Roman" w:cs="Times New Roman"/>
          <w:sz w:val="24"/>
          <w:szCs w:val="24"/>
        </w:rPr>
        <w:t>.</w:t>
      </w:r>
    </w:p>
    <w:p w14:paraId="6BAB6EBD" w14:textId="77777777" w:rsidR="00257477" w:rsidRPr="006A7700" w:rsidRDefault="00257477" w:rsidP="006A7700">
      <w:pPr>
        <w:spacing w:before="240" w:line="240" w:lineRule="auto"/>
        <w:jc w:val="center"/>
        <w:rPr>
          <w:rFonts w:ascii="Times New Roman" w:hAnsi="Times New Roman" w:cs="Times New Roman"/>
          <w:b/>
          <w:bCs/>
          <w:sz w:val="24"/>
          <w:szCs w:val="24"/>
        </w:rPr>
      </w:pPr>
      <w:r w:rsidRPr="006A7700">
        <w:rPr>
          <w:rFonts w:ascii="Times New Roman" w:hAnsi="Times New Roman" w:cs="Times New Roman"/>
          <w:b/>
          <w:bCs/>
          <w:sz w:val="24"/>
          <w:szCs w:val="24"/>
        </w:rPr>
        <w:t>Table 4. Biosecurity Practices and Disease Incidence</w:t>
      </w:r>
    </w:p>
    <w:tbl>
      <w:tblPr>
        <w:tblStyle w:val="TableGrid"/>
        <w:tblW w:w="5000" w:type="pct"/>
        <w:tblLook w:val="04A0" w:firstRow="1" w:lastRow="0" w:firstColumn="1" w:lastColumn="0" w:noHBand="0" w:noVBand="1"/>
      </w:tblPr>
      <w:tblGrid>
        <w:gridCol w:w="3004"/>
        <w:gridCol w:w="2231"/>
        <w:gridCol w:w="2539"/>
        <w:gridCol w:w="1242"/>
      </w:tblGrid>
      <w:tr w:rsidR="00257477" w:rsidRPr="006A7700" w14:paraId="49510654" w14:textId="77777777" w:rsidTr="00B66CB4">
        <w:tc>
          <w:tcPr>
            <w:tcW w:w="1666" w:type="pct"/>
            <w:hideMark/>
          </w:tcPr>
          <w:p w14:paraId="2AC448DD"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Parameter</w:t>
            </w:r>
          </w:p>
        </w:tc>
        <w:tc>
          <w:tcPr>
            <w:tcW w:w="1237" w:type="pct"/>
            <w:hideMark/>
          </w:tcPr>
          <w:p w14:paraId="472C1808"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Trained Farms</w:t>
            </w:r>
          </w:p>
        </w:tc>
        <w:tc>
          <w:tcPr>
            <w:tcW w:w="1408" w:type="pct"/>
            <w:hideMark/>
          </w:tcPr>
          <w:p w14:paraId="01A2CB45"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Untrained Farms</w:t>
            </w:r>
          </w:p>
        </w:tc>
        <w:tc>
          <w:tcPr>
            <w:tcW w:w="689" w:type="pct"/>
            <w:hideMark/>
          </w:tcPr>
          <w:p w14:paraId="5D5CB9CE"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p-value</w:t>
            </w:r>
          </w:p>
        </w:tc>
      </w:tr>
      <w:tr w:rsidR="00257477" w:rsidRPr="006A7700" w14:paraId="25F5BDD8" w14:textId="77777777" w:rsidTr="00B66CB4">
        <w:tc>
          <w:tcPr>
            <w:tcW w:w="1666" w:type="pct"/>
            <w:hideMark/>
          </w:tcPr>
          <w:p w14:paraId="446C986F"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Biosecurity index</w:t>
            </w:r>
          </w:p>
        </w:tc>
        <w:tc>
          <w:tcPr>
            <w:tcW w:w="1237" w:type="pct"/>
            <w:hideMark/>
          </w:tcPr>
          <w:p w14:paraId="1520C4F3"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8.2 ± 0.9</w:t>
            </w:r>
          </w:p>
        </w:tc>
        <w:tc>
          <w:tcPr>
            <w:tcW w:w="1408" w:type="pct"/>
            <w:hideMark/>
          </w:tcPr>
          <w:p w14:paraId="253063F6"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5.1 ± 1.3</w:t>
            </w:r>
          </w:p>
        </w:tc>
        <w:tc>
          <w:tcPr>
            <w:tcW w:w="689" w:type="pct"/>
            <w:hideMark/>
          </w:tcPr>
          <w:p w14:paraId="4C77AB5C"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5982958D" w14:textId="77777777" w:rsidTr="00B66CB4">
        <w:tc>
          <w:tcPr>
            <w:tcW w:w="1666" w:type="pct"/>
            <w:hideMark/>
          </w:tcPr>
          <w:p w14:paraId="5F80BDA4"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Disease incidence (%)</w:t>
            </w:r>
          </w:p>
        </w:tc>
        <w:tc>
          <w:tcPr>
            <w:tcW w:w="1237" w:type="pct"/>
            <w:hideMark/>
          </w:tcPr>
          <w:p w14:paraId="68F822EE"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12.4</w:t>
            </w:r>
          </w:p>
        </w:tc>
        <w:tc>
          <w:tcPr>
            <w:tcW w:w="1408" w:type="pct"/>
            <w:hideMark/>
          </w:tcPr>
          <w:p w14:paraId="1260E2F3"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25.8</w:t>
            </w:r>
          </w:p>
        </w:tc>
        <w:tc>
          <w:tcPr>
            <w:tcW w:w="689" w:type="pct"/>
            <w:hideMark/>
          </w:tcPr>
          <w:p w14:paraId="29EF39A1"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6D3A8640" w14:textId="77777777" w:rsidTr="00B66CB4">
        <w:tc>
          <w:tcPr>
            <w:tcW w:w="1666" w:type="pct"/>
            <w:hideMark/>
          </w:tcPr>
          <w:p w14:paraId="01B027AE"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Correlation (r)</w:t>
            </w:r>
          </w:p>
        </w:tc>
        <w:tc>
          <w:tcPr>
            <w:tcW w:w="1237" w:type="pct"/>
            <w:hideMark/>
          </w:tcPr>
          <w:p w14:paraId="5DEEEF70"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-0.71</w:t>
            </w:r>
          </w:p>
        </w:tc>
        <w:tc>
          <w:tcPr>
            <w:tcW w:w="1408" w:type="pct"/>
            <w:hideMark/>
          </w:tcPr>
          <w:p w14:paraId="3264827E"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w:t>
            </w:r>
          </w:p>
        </w:tc>
        <w:tc>
          <w:tcPr>
            <w:tcW w:w="689" w:type="pct"/>
            <w:hideMark/>
          </w:tcPr>
          <w:p w14:paraId="54EEEE58"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w:t>
            </w:r>
          </w:p>
        </w:tc>
      </w:tr>
    </w:tbl>
    <w:p w14:paraId="6C945BCC" w14:textId="04E44280" w:rsidR="00EC1E5E" w:rsidRPr="006A7700" w:rsidRDefault="00B66CB4" w:rsidP="006A7700">
      <w:pPr>
        <w:spacing w:before="240" w:line="240" w:lineRule="auto"/>
        <w:jc w:val="both"/>
        <w:rPr>
          <w:rFonts w:ascii="Times New Roman" w:hAnsi="Times New Roman" w:cs="Times New Roman"/>
          <w:i/>
          <w:iCs/>
          <w:sz w:val="24"/>
          <w:szCs w:val="24"/>
        </w:rPr>
      </w:pPr>
      <w:r w:rsidRPr="006A7700">
        <w:rPr>
          <w:rFonts w:ascii="Times New Roman" w:hAnsi="Times New Roman" w:cs="Times New Roman"/>
          <w:i/>
          <w:iCs/>
          <w:sz w:val="24"/>
          <w:szCs w:val="24"/>
        </w:rPr>
        <w:t>Values are expressed as Mean ± SD; n = 30 farms per group</w:t>
      </w:r>
    </w:p>
    <w:p w14:paraId="3B374C00" w14:textId="20295451"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These results highlight the critical role of biosecurity in disease prevention and emphasize the importance of training in improving farm-level practices.</w:t>
      </w:r>
    </w:p>
    <w:p w14:paraId="536B6428" w14:textId="30EDD583" w:rsidR="00257477" w:rsidRPr="006A7700" w:rsidRDefault="00D030B0"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3</w:t>
      </w:r>
      <w:r w:rsidR="00257477" w:rsidRPr="006A7700">
        <w:rPr>
          <w:rFonts w:ascii="Times New Roman" w:hAnsi="Times New Roman" w:cs="Times New Roman"/>
          <w:b/>
          <w:bCs/>
          <w:sz w:val="24"/>
          <w:szCs w:val="24"/>
        </w:rPr>
        <w:t>.5 Integrated Effect of Training on Poultry Farming System</w:t>
      </w:r>
    </w:p>
    <w:p w14:paraId="59EE294C" w14:textId="1DB49EEC"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 xml:space="preserve">Regression analysis demonstrated that training had a significant impact on reducing antibiotic usage (β = –0.62, </w:t>
      </w:r>
      <w:r w:rsidRPr="006A7700">
        <w:rPr>
          <w:rFonts w:ascii="Times New Roman" w:hAnsi="Times New Roman" w:cs="Times New Roman"/>
          <w:i/>
          <w:iCs/>
          <w:sz w:val="24"/>
          <w:szCs w:val="24"/>
        </w:rPr>
        <w:t>p</w:t>
      </w:r>
      <w:r w:rsidRPr="006A7700">
        <w:rPr>
          <w:rFonts w:ascii="Times New Roman" w:hAnsi="Times New Roman" w:cs="Times New Roman"/>
          <w:sz w:val="24"/>
          <w:szCs w:val="24"/>
        </w:rPr>
        <w:t xml:space="preserve"> &lt; 0.01) and improving poultry health indicators. Training also indirectly influenced poultry health through improved disease management and biosecurity practices</w:t>
      </w:r>
      <w:r w:rsidR="007C7E6A" w:rsidRPr="006A7700">
        <w:rPr>
          <w:rFonts w:ascii="Times New Roman" w:hAnsi="Times New Roman" w:cs="Times New Roman"/>
          <w:sz w:val="24"/>
          <w:szCs w:val="24"/>
        </w:rPr>
        <w:t xml:space="preserve"> (Table 5)</w:t>
      </w:r>
      <w:r w:rsidRPr="006A7700">
        <w:rPr>
          <w:rFonts w:ascii="Times New Roman" w:hAnsi="Times New Roman" w:cs="Times New Roman"/>
          <w:sz w:val="24"/>
          <w:szCs w:val="24"/>
        </w:rPr>
        <w:t>.</w:t>
      </w:r>
    </w:p>
    <w:p w14:paraId="20B32F7D" w14:textId="77777777" w:rsidR="00257477" w:rsidRPr="006A7700" w:rsidRDefault="00257477" w:rsidP="006A7700">
      <w:pPr>
        <w:spacing w:before="240" w:line="240" w:lineRule="auto"/>
        <w:jc w:val="center"/>
        <w:rPr>
          <w:rFonts w:ascii="Times New Roman" w:hAnsi="Times New Roman" w:cs="Times New Roman"/>
          <w:b/>
          <w:bCs/>
          <w:sz w:val="24"/>
          <w:szCs w:val="24"/>
        </w:rPr>
      </w:pPr>
      <w:r w:rsidRPr="006A7700">
        <w:rPr>
          <w:rFonts w:ascii="Times New Roman" w:hAnsi="Times New Roman" w:cs="Times New Roman"/>
          <w:b/>
          <w:bCs/>
          <w:sz w:val="24"/>
          <w:szCs w:val="24"/>
        </w:rPr>
        <w:t>Table 5. Regression Analysis of Training Effects</w:t>
      </w:r>
    </w:p>
    <w:tbl>
      <w:tblPr>
        <w:tblStyle w:val="TableGrid"/>
        <w:tblW w:w="5000" w:type="pct"/>
        <w:tblLook w:val="04A0" w:firstRow="1" w:lastRow="0" w:firstColumn="1" w:lastColumn="0" w:noHBand="0" w:noVBand="1"/>
      </w:tblPr>
      <w:tblGrid>
        <w:gridCol w:w="5982"/>
        <w:gridCol w:w="1564"/>
        <w:gridCol w:w="1470"/>
      </w:tblGrid>
      <w:tr w:rsidR="00257477" w:rsidRPr="006A7700" w14:paraId="36A215CA" w14:textId="77777777" w:rsidTr="00EC1E5E">
        <w:tc>
          <w:tcPr>
            <w:tcW w:w="3238" w:type="pct"/>
            <w:hideMark/>
          </w:tcPr>
          <w:p w14:paraId="153190F3"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Variable</w:t>
            </w:r>
          </w:p>
        </w:tc>
        <w:tc>
          <w:tcPr>
            <w:tcW w:w="847" w:type="pct"/>
            <w:hideMark/>
          </w:tcPr>
          <w:p w14:paraId="29927925"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Beta (β)</w:t>
            </w:r>
          </w:p>
        </w:tc>
        <w:tc>
          <w:tcPr>
            <w:tcW w:w="795" w:type="pct"/>
            <w:hideMark/>
          </w:tcPr>
          <w:p w14:paraId="733E4320" w14:textId="77777777" w:rsidR="00257477" w:rsidRPr="006A7700" w:rsidRDefault="00257477" w:rsidP="006A7700">
            <w:pPr>
              <w:spacing w:before="240"/>
              <w:jc w:val="both"/>
              <w:rPr>
                <w:rFonts w:ascii="Times New Roman" w:hAnsi="Times New Roman" w:cs="Times New Roman"/>
                <w:b/>
                <w:bCs/>
                <w:sz w:val="24"/>
                <w:szCs w:val="24"/>
              </w:rPr>
            </w:pPr>
            <w:r w:rsidRPr="006A7700">
              <w:rPr>
                <w:rFonts w:ascii="Times New Roman" w:hAnsi="Times New Roman" w:cs="Times New Roman"/>
                <w:b/>
                <w:bCs/>
                <w:sz w:val="24"/>
                <w:szCs w:val="24"/>
              </w:rPr>
              <w:t>p-value</w:t>
            </w:r>
          </w:p>
        </w:tc>
      </w:tr>
      <w:tr w:rsidR="00257477" w:rsidRPr="006A7700" w14:paraId="1D300EC7" w14:textId="77777777" w:rsidTr="00EC1E5E">
        <w:tc>
          <w:tcPr>
            <w:tcW w:w="3238" w:type="pct"/>
            <w:hideMark/>
          </w:tcPr>
          <w:p w14:paraId="032AC745"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Training → Antibiotic usage</w:t>
            </w:r>
          </w:p>
        </w:tc>
        <w:tc>
          <w:tcPr>
            <w:tcW w:w="847" w:type="pct"/>
            <w:hideMark/>
          </w:tcPr>
          <w:p w14:paraId="1B2B503A"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-0.62</w:t>
            </w:r>
          </w:p>
        </w:tc>
        <w:tc>
          <w:tcPr>
            <w:tcW w:w="795" w:type="pct"/>
            <w:hideMark/>
          </w:tcPr>
          <w:p w14:paraId="67B1705A"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0DE74E23" w14:textId="77777777" w:rsidTr="00EC1E5E">
        <w:tc>
          <w:tcPr>
            <w:tcW w:w="3238" w:type="pct"/>
            <w:hideMark/>
          </w:tcPr>
          <w:p w14:paraId="57B3B937"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Training → Mortality</w:t>
            </w:r>
          </w:p>
        </w:tc>
        <w:tc>
          <w:tcPr>
            <w:tcW w:w="847" w:type="pct"/>
            <w:hideMark/>
          </w:tcPr>
          <w:p w14:paraId="24D5536A"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-0.55</w:t>
            </w:r>
          </w:p>
        </w:tc>
        <w:tc>
          <w:tcPr>
            <w:tcW w:w="795" w:type="pct"/>
            <w:hideMark/>
          </w:tcPr>
          <w:p w14:paraId="26EDDA95"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r w:rsidR="00257477" w:rsidRPr="006A7700" w14:paraId="2351164B" w14:textId="77777777" w:rsidTr="00EC1E5E">
        <w:tc>
          <w:tcPr>
            <w:tcW w:w="3238" w:type="pct"/>
            <w:hideMark/>
          </w:tcPr>
          <w:p w14:paraId="7DAD5D8B"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Training → FCR</w:t>
            </w:r>
          </w:p>
        </w:tc>
        <w:tc>
          <w:tcPr>
            <w:tcW w:w="847" w:type="pct"/>
            <w:hideMark/>
          </w:tcPr>
          <w:p w14:paraId="7EEA8C9C"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-0.48</w:t>
            </w:r>
          </w:p>
        </w:tc>
        <w:tc>
          <w:tcPr>
            <w:tcW w:w="795" w:type="pct"/>
            <w:hideMark/>
          </w:tcPr>
          <w:p w14:paraId="07214B44"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&lt;0.05</w:t>
            </w:r>
          </w:p>
        </w:tc>
      </w:tr>
      <w:tr w:rsidR="00257477" w:rsidRPr="006A7700" w14:paraId="736BB5A7" w14:textId="77777777" w:rsidTr="00EC1E5E">
        <w:tc>
          <w:tcPr>
            <w:tcW w:w="3238" w:type="pct"/>
            <w:hideMark/>
          </w:tcPr>
          <w:p w14:paraId="78D103A0"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lastRenderedPageBreak/>
              <w:t>Biosecurity → Disease incidence</w:t>
            </w:r>
          </w:p>
        </w:tc>
        <w:tc>
          <w:tcPr>
            <w:tcW w:w="847" w:type="pct"/>
            <w:hideMark/>
          </w:tcPr>
          <w:p w14:paraId="0584FCCD"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-0.71</w:t>
            </w:r>
          </w:p>
        </w:tc>
        <w:tc>
          <w:tcPr>
            <w:tcW w:w="795" w:type="pct"/>
            <w:hideMark/>
          </w:tcPr>
          <w:p w14:paraId="59E2F8B2" w14:textId="77777777" w:rsidR="00257477" w:rsidRPr="006A7700" w:rsidRDefault="00257477" w:rsidP="006A7700">
            <w:pPr>
              <w:spacing w:before="240"/>
              <w:jc w:val="both"/>
              <w:rPr>
                <w:rFonts w:ascii="Times New Roman" w:hAnsi="Times New Roman" w:cs="Times New Roman"/>
                <w:sz w:val="24"/>
                <w:szCs w:val="24"/>
              </w:rPr>
            </w:pPr>
            <w:r w:rsidRPr="006A7700">
              <w:rPr>
                <w:rFonts w:ascii="Times New Roman" w:hAnsi="Times New Roman" w:cs="Times New Roman"/>
                <w:sz w:val="24"/>
                <w:szCs w:val="24"/>
              </w:rPr>
              <w:t>&lt;0.01</w:t>
            </w:r>
          </w:p>
        </w:tc>
      </w:tr>
    </w:tbl>
    <w:p w14:paraId="1E126E16" w14:textId="77777777" w:rsidR="00EC1E5E" w:rsidRPr="006A7700" w:rsidRDefault="00EC1E5E" w:rsidP="006A7700">
      <w:pPr>
        <w:spacing w:before="240" w:line="240" w:lineRule="auto"/>
        <w:jc w:val="both"/>
        <w:rPr>
          <w:rFonts w:ascii="Times New Roman" w:hAnsi="Times New Roman" w:cs="Times New Roman"/>
          <w:sz w:val="24"/>
          <w:szCs w:val="24"/>
        </w:rPr>
      </w:pPr>
    </w:p>
    <w:p w14:paraId="0624C494" w14:textId="1292A00A" w:rsidR="00257477" w:rsidRPr="006A7700" w:rsidRDefault="00257477"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 integrated analysis confirms that training plays a central role in improving disease management, reducing antibiotic dependency, and enhancing poultry health and productivity.</w:t>
      </w:r>
    </w:p>
    <w:p w14:paraId="417E59DA" w14:textId="4DC391D0" w:rsidR="00670C2B" w:rsidRPr="006A7700" w:rsidRDefault="00670C2B"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5. DISCUSSION</w:t>
      </w:r>
    </w:p>
    <w:p w14:paraId="572A3DD8" w14:textId="25F8827C"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The present study provides comprehensive evidence that training significantly influences disease management practices, antibiotic usage patterns, and poultry health outcomes in commercial poultry systems. The findings clearly demonstrate that trained farmers exhibit superior management practices, reduced dependence on antibiotics, and improved physiological performance of poultry birds. These results align with global concerns regarding antimicrobial resistance (AMR) and emphasize the importance of capacity-building interventions in sustainable livestock production systems.</w:t>
      </w:r>
    </w:p>
    <w:p w14:paraId="184C620C" w14:textId="3F4CEEA9"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The results of the present study indicate that trained farmers adopt significantly improved disease management practices, including higher vaccination compliance, timely disease diagnosis, and increased veterinary consultation. These findings are consistent with previous studies that highlight the role of farmer education in enhancing disease prevention strategies and reducing disease incidence (</w:t>
      </w:r>
      <w:proofErr w:type="spellStart"/>
      <w:r w:rsidRPr="00612A78">
        <w:rPr>
          <w:rFonts w:ascii="Times New Roman" w:hAnsi="Times New Roman" w:cs="Times New Roman"/>
          <w:sz w:val="24"/>
          <w:szCs w:val="24"/>
        </w:rPr>
        <w:t>Fasina</w:t>
      </w:r>
      <w:proofErr w:type="spellEnd"/>
      <w:r w:rsidRPr="00612A78">
        <w:rPr>
          <w:rFonts w:ascii="Times New Roman" w:hAnsi="Times New Roman" w:cs="Times New Roman"/>
          <w:sz w:val="24"/>
          <w:szCs w:val="24"/>
        </w:rPr>
        <w:t xml:space="preserve"> et al., 2012; Dione et al., 2016; Caudell et al., 2020).</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 xml:space="preserve">Improved vaccination adherence among trained farmers is particularly noteworthy, as vaccination is a primary preventive tool against infectious diseases in poultry (Permin &amp; Hansen, 1998). Studies have shown that inadequate vaccination coverage can lead to frequent disease outbreaks, necessitating increased antibiotic use (Rahman et al., 2019). The higher disease management score observed in trained farms in the present study supports the findings of </w:t>
      </w:r>
      <w:proofErr w:type="spellStart"/>
      <w:r w:rsidRPr="00612A78">
        <w:rPr>
          <w:rFonts w:ascii="Times New Roman" w:hAnsi="Times New Roman" w:cs="Times New Roman"/>
          <w:sz w:val="24"/>
          <w:szCs w:val="24"/>
        </w:rPr>
        <w:t>Speksnijder</w:t>
      </w:r>
      <w:proofErr w:type="spellEnd"/>
      <w:r w:rsidRPr="00612A78">
        <w:rPr>
          <w:rFonts w:ascii="Times New Roman" w:hAnsi="Times New Roman" w:cs="Times New Roman"/>
          <w:sz w:val="24"/>
          <w:szCs w:val="24"/>
        </w:rPr>
        <w:t xml:space="preserve"> et al. (2015) and Postma et al. (2016), who reported that training programs significantly improve farm-level management practices and disease control efficiency.</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Furthermore, the increased reliance on veterinary consultation among trained farmers indicates improved decision-making ability and awareness of scientific poultry management. Similar observations have been reported in livestock systems, where access to professional guidance significantly reduces disease burden and improves productivity (Caudell et al., 2020; Dione et al., 2016).</w:t>
      </w:r>
    </w:p>
    <w:p w14:paraId="722D7C74" w14:textId="0DE89A6D"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One of the most significant findings of this study is the substantial reduction in antibiotic usage among trained poultry farmers. The observed decrease of approximately 35–40% in antibiotic usage in trained farms is consistent with global efforts to promote antimicrobial stewardship in livestock systems (Van Boeckel et al., 2015; Tang et al., 2017).</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The predominance of prophylactic antibiotic use in untrained farms reflects a lack of awareness regarding rational drug use and contributes to the development of antimicrobial resistance (Marshall &amp; Levy, 2011; Landers et al., 2012). In contrast, trained farmers exhibited a shift toward therapeutic antibiotic use based on clinical diagnosis, indicating improved understanding of appropriate treatment strategies.</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 xml:space="preserve">These findings are supported by studies demonstrating that educational interventions significantly reduce antimicrobial usage in livestock systems (Postma et al., 2016; </w:t>
      </w:r>
      <w:proofErr w:type="spellStart"/>
      <w:r w:rsidRPr="00612A78">
        <w:rPr>
          <w:rFonts w:ascii="Times New Roman" w:hAnsi="Times New Roman" w:cs="Times New Roman"/>
          <w:sz w:val="24"/>
          <w:szCs w:val="24"/>
        </w:rPr>
        <w:t>Speksnijder</w:t>
      </w:r>
      <w:proofErr w:type="spellEnd"/>
      <w:r w:rsidRPr="00612A78">
        <w:rPr>
          <w:rFonts w:ascii="Times New Roman" w:hAnsi="Times New Roman" w:cs="Times New Roman"/>
          <w:sz w:val="24"/>
          <w:szCs w:val="24"/>
        </w:rPr>
        <w:t xml:space="preserve"> et al., 2015). Similarly, Caudell et al. (2020) reported that farmer knowledge and training are key determinants of antibiotic use behavior in animal production systems.</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 xml:space="preserve">The reduction in broad-spectrum antibiotic usage among trained farmers is particularly important, as such antibiotics are known to exert strong selective pressure on microbial populations, accelerating the emergence of resistant strains (Nhung et al., 2017; Manyi-Loh et al., 2018). </w:t>
      </w:r>
      <w:r w:rsidRPr="00612A78">
        <w:rPr>
          <w:rFonts w:ascii="Times New Roman" w:hAnsi="Times New Roman" w:cs="Times New Roman"/>
          <w:sz w:val="24"/>
          <w:szCs w:val="24"/>
        </w:rPr>
        <w:lastRenderedPageBreak/>
        <w:t>Therefore, the shift toward targeted antibiotic therapy observed in the present study represents a positive step toward mitigating AMR risks.</w:t>
      </w:r>
    </w:p>
    <w:p w14:paraId="598F34DD" w14:textId="240DB260"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The present study demonstrates that improved disease management and reduced antibiotic usage are associated with enhanced poultry health and physiological performance. The significantly lower mortality and morbidity rates observed in trained farms indicate better disease control and overall flock health.</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Improved feed conversion ratio (FCR) in trained farms suggests enhanced metabolic efficiency and nutrient utilization, which are critical indicators of poultry productivity (Kidd, 2004). This finding is consistent with previous studies that have shown that improved management practices and reduced stress lead to better growth performance in poultry (Klasing, 2007).</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Hematological analysis revealed higher hemoglobin levels and leukocyte counts in birds from trained farms, indicating improved immune status and physiological resilience. These findings are in agreement with studies demonstrating that proper nutrition, reduced stress, and improved management practices enhance immune function in poultry (Klasing, 2007; Campbell, 2015</w:t>
      </w:r>
      <w:proofErr w:type="gramStart"/>
      <w:r w:rsidRPr="00612A78">
        <w:rPr>
          <w:rFonts w:ascii="Times New Roman" w:hAnsi="Times New Roman" w:cs="Times New Roman"/>
          <w:sz w:val="24"/>
          <w:szCs w:val="24"/>
        </w:rPr>
        <w:t>).The</w:t>
      </w:r>
      <w:proofErr w:type="gramEnd"/>
      <w:r w:rsidRPr="00612A78">
        <w:rPr>
          <w:rFonts w:ascii="Times New Roman" w:hAnsi="Times New Roman" w:cs="Times New Roman"/>
          <w:sz w:val="24"/>
          <w:szCs w:val="24"/>
        </w:rPr>
        <w:t xml:space="preserve"> lower heterophil-to-lymphocyte (H/L) ratio observed in trained farms further supports the conclusion that birds in these farms experience reduced physiological stress. Stress is known to suppress immune function and increase susceptibility to diseases (Dawkins et al., 2004; Estevez, 2007). Therefore, the improved stress profile observed in trained farms reflects better welfare conditions and management practices.</w:t>
      </w:r>
    </w:p>
    <w:p w14:paraId="377156D0" w14:textId="12FF87C2"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The strong negative correlation between biosecurity practices and disease incidence observed in this study highlights the critical role of biosecurity in poultry health management. Farms with higher biosecurity scores exhibited significantly lower disease incidence and reduced antibiotic usage.</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These findings are consistent with previous studies emphasizing that biosecurity measures, such as sanitation, controlled access, and isolation of diseased birds, are essential for preventing disease outbreaks (</w:t>
      </w:r>
      <w:proofErr w:type="spellStart"/>
      <w:r w:rsidRPr="00612A78">
        <w:rPr>
          <w:rFonts w:ascii="Times New Roman" w:hAnsi="Times New Roman" w:cs="Times New Roman"/>
          <w:sz w:val="24"/>
          <w:szCs w:val="24"/>
        </w:rPr>
        <w:t>Fasina</w:t>
      </w:r>
      <w:proofErr w:type="spellEnd"/>
      <w:r w:rsidRPr="00612A78">
        <w:rPr>
          <w:rFonts w:ascii="Times New Roman" w:hAnsi="Times New Roman" w:cs="Times New Roman"/>
          <w:sz w:val="24"/>
          <w:szCs w:val="24"/>
        </w:rPr>
        <w:t xml:space="preserve"> et al., 2012; Permin &amp; Hansen, 1998). Improved biosecurity reduces pathogen load in the environment, thereby minimizing the need for antibiotic interventions.</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The results also indicate that training plays a crucial role in promoting the adoption of biosecurity practices. Trained farmers were more likely to implement effective biosecurity measures, which in turn contributed to improved health outcomes and reduced antibiotic dependency. Similar findings have been reported in livestock systems, where farmer education is directly linked to improved biosecurity compliance (Dione et al., 2016).</w:t>
      </w:r>
    </w:p>
    <w:p w14:paraId="606FDF37" w14:textId="14840476"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The findings of the present study have significant implications for addressing antimicrobial resistance in poultry production systems. The reduction in antibiotic usage observed in trained farms contributes to lowering the selective pressure on microbial populations, thereby reducing the emergence and spread of resistant pathogens (Van Boeckel et al., 2015; Woolhouse et al., 2015).</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The indiscriminate use of antibiotics in untrained farms, particularly for prophylactic purposes, poses a serious risk for the development of AMR, which can have far-reaching consequences for both animal and human health (</w:t>
      </w:r>
      <w:proofErr w:type="spellStart"/>
      <w:r w:rsidRPr="00612A78">
        <w:rPr>
          <w:rFonts w:ascii="Times New Roman" w:hAnsi="Times New Roman" w:cs="Times New Roman"/>
          <w:sz w:val="24"/>
          <w:szCs w:val="24"/>
        </w:rPr>
        <w:t>Silbergeld</w:t>
      </w:r>
      <w:proofErr w:type="spellEnd"/>
      <w:r w:rsidRPr="00612A78">
        <w:rPr>
          <w:rFonts w:ascii="Times New Roman" w:hAnsi="Times New Roman" w:cs="Times New Roman"/>
          <w:sz w:val="24"/>
          <w:szCs w:val="24"/>
        </w:rPr>
        <w:t xml:space="preserve"> et al., 2008; O’Neill, 2016). The transmission of resistant bacteria from poultry to humans through food chains and environmental pathways has been well documented (Marshall &amp; Levy, 2011).</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The present study highlights that training and capacity-building interventions can play a pivotal role in mitigating AMR by promoting rational antibiotic use and improving disease prevention strategies. These findings are in line with global recommendations by the World Health Organization and Food and Agriculture Organization, which emphasize the importance of education and awareness in combating AMR (WHO, 2017; FAO, 2020).</w:t>
      </w:r>
    </w:p>
    <w:p w14:paraId="5DEAFBAC" w14:textId="6B9C86E9"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lastRenderedPageBreak/>
        <w:t>The integrated analysis of the present study indicates that training has a multifaceted impact on poultry farming systems. Training not only improves disease management practices but also reduces antibiotic usage and enhances poultry health and productivity.</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The observed relationships between training, biosecurity, disease incidence, and antibiotic usage suggest that training acts as a central factor influencing multiple components of the poultry production system. These findings support the concept that sustainable poultry farming requires an integrated approach combining management practices, animal health, and responsible antibiotic use.</w:t>
      </w:r>
    </w:p>
    <w:p w14:paraId="38980E05" w14:textId="1E8C3583" w:rsidR="00670C2B"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While several studies have examined antimicrobial usage and farmer behavior independently, very few studies have integrated these aspects with physiological health indicators in poultry. The present study addresses this gap by combining management practices, antibiotic usage, and physiological parameters into a single analytical framework.</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Similar integrated approaches have been recommended in recent studies on One Health and sustainable livestock production systems (Caudell et al., 2020; Nhung et al., 2020). By providing field-based evidence from India, this study contributes to the global understanding of the role of training in improving poultry health and reducing AMR risks.</w:t>
      </w:r>
    </w:p>
    <w:p w14:paraId="038F8FBB" w14:textId="4CE7D8BE" w:rsidR="00EF0D55" w:rsidRPr="00612A78" w:rsidRDefault="00670C2B" w:rsidP="006A7700">
      <w:pPr>
        <w:spacing w:before="240" w:line="240" w:lineRule="auto"/>
        <w:jc w:val="both"/>
        <w:rPr>
          <w:rFonts w:ascii="Times New Roman" w:hAnsi="Times New Roman" w:cs="Times New Roman"/>
          <w:sz w:val="24"/>
          <w:szCs w:val="24"/>
        </w:rPr>
      </w:pPr>
      <w:r w:rsidRPr="00612A78">
        <w:rPr>
          <w:rFonts w:ascii="Times New Roman" w:hAnsi="Times New Roman" w:cs="Times New Roman"/>
          <w:sz w:val="24"/>
          <w:szCs w:val="24"/>
        </w:rPr>
        <w:t>Although the study provides robust evidence, certain limitations should be acknowledged. The cross-sectional design limits causal inference, and longitudinal studies are needed to establish long-term effects of training. Additionally, molecular studies on antimicrobial resistance patterns would further strengthen the findings.</w:t>
      </w:r>
      <w:r w:rsidR="00612A78" w:rsidRPr="00612A78">
        <w:rPr>
          <w:rFonts w:ascii="Times New Roman" w:hAnsi="Times New Roman" w:cs="Times New Roman"/>
          <w:sz w:val="24"/>
          <w:szCs w:val="24"/>
        </w:rPr>
        <w:t xml:space="preserve"> </w:t>
      </w:r>
      <w:r w:rsidRPr="00612A78">
        <w:rPr>
          <w:rFonts w:ascii="Times New Roman" w:hAnsi="Times New Roman" w:cs="Times New Roman"/>
          <w:sz w:val="24"/>
          <w:szCs w:val="24"/>
        </w:rPr>
        <w:t>Future research should focus on integrating microbiological analysis, genomic studies of resistant pathogens, and evaluation of alternative disease control strategies such as probiotics and vaccination-based approaches.</w:t>
      </w:r>
    </w:p>
    <w:p w14:paraId="758D0C55" w14:textId="09A0A259" w:rsidR="00625B98" w:rsidRPr="006A7700" w:rsidRDefault="00625B98"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5. CONCLUSION</w:t>
      </w:r>
    </w:p>
    <w:p w14:paraId="4580373F" w14:textId="14A8A480" w:rsidR="00625B98" w:rsidRDefault="00625B98" w:rsidP="006A7700">
      <w:pPr>
        <w:spacing w:before="240" w:line="240" w:lineRule="auto"/>
        <w:jc w:val="both"/>
        <w:rPr>
          <w:rFonts w:ascii="Times New Roman" w:hAnsi="Times New Roman" w:cs="Times New Roman"/>
          <w:sz w:val="24"/>
          <w:szCs w:val="24"/>
        </w:rPr>
      </w:pPr>
      <w:r w:rsidRPr="006A7700">
        <w:rPr>
          <w:rFonts w:ascii="Times New Roman" w:hAnsi="Times New Roman" w:cs="Times New Roman"/>
          <w:sz w:val="24"/>
          <w:szCs w:val="24"/>
        </w:rPr>
        <w:t>The present study clearly demonstrates that training plays a pivotal role in improving disease management practices, promoting rational antibiotic usage, and enhancing overall poultry health and productivity. Trained farmers exhibited higher vaccination compliance, better biosecurity implementation, and more frequent veterinary consultation, which collectively contributed to reduced disease incidence and improved flock performance.</w:t>
      </w:r>
      <w:r w:rsidR="00612A78">
        <w:rPr>
          <w:rFonts w:ascii="Times New Roman" w:hAnsi="Times New Roman" w:cs="Times New Roman"/>
          <w:sz w:val="24"/>
          <w:szCs w:val="24"/>
        </w:rPr>
        <w:t xml:space="preserve"> </w:t>
      </w:r>
      <w:r w:rsidRPr="006A7700">
        <w:rPr>
          <w:rFonts w:ascii="Times New Roman" w:hAnsi="Times New Roman" w:cs="Times New Roman"/>
          <w:sz w:val="24"/>
          <w:szCs w:val="24"/>
        </w:rPr>
        <w:t>A significant reduction in antibiotic usage, particularly prophylactic and broad-spectrum applications, was observed among trained farmers, indicating improved awareness of antimicrobial stewardship. This reduction was accompanied by lower mortality and morbidity rates, improved feed conversion efficiency, and better physiological health indicators, reflecting enhanced immune status and reduced stress in poultry birds.</w:t>
      </w:r>
      <w:r w:rsidR="00612A78">
        <w:rPr>
          <w:rFonts w:ascii="Times New Roman" w:hAnsi="Times New Roman" w:cs="Times New Roman"/>
          <w:sz w:val="24"/>
          <w:szCs w:val="24"/>
        </w:rPr>
        <w:t xml:space="preserve"> </w:t>
      </w:r>
      <w:r w:rsidRPr="006A7700">
        <w:rPr>
          <w:rFonts w:ascii="Times New Roman" w:hAnsi="Times New Roman" w:cs="Times New Roman"/>
          <w:sz w:val="24"/>
          <w:szCs w:val="24"/>
        </w:rPr>
        <w:t>Overall, the study highlights that structured training and capacity-building interventions are essential for achieving sustainable poultry production, minimizing antimicrobial resistance risks, and improving animal welfare. Strengthening farmer education programs and extension services can serve as a key strategy for promoting scientific poultry management and ensuring long-term productivity and food safety.</w:t>
      </w:r>
    </w:p>
    <w:p w14:paraId="5B1934EA" w14:textId="77777777" w:rsidR="00AF39FE" w:rsidRDefault="00AF39FE" w:rsidP="006A7700">
      <w:pPr>
        <w:spacing w:before="240" w:line="240" w:lineRule="auto"/>
        <w:jc w:val="both"/>
        <w:rPr>
          <w:rFonts w:ascii="Times New Roman" w:hAnsi="Times New Roman" w:cs="Times New Roman"/>
          <w:sz w:val="24"/>
          <w:szCs w:val="24"/>
        </w:rPr>
      </w:pPr>
    </w:p>
    <w:p w14:paraId="764FF0B4" w14:textId="77777777" w:rsidR="00AF39FE" w:rsidRPr="00AF39FE" w:rsidRDefault="00AF39FE" w:rsidP="00AF39FE">
      <w:pPr>
        <w:spacing w:before="240" w:line="240" w:lineRule="auto"/>
        <w:jc w:val="both"/>
        <w:rPr>
          <w:rFonts w:ascii="Times New Roman" w:hAnsi="Times New Roman" w:cs="Times New Roman"/>
          <w:sz w:val="24"/>
          <w:szCs w:val="24"/>
        </w:rPr>
      </w:pPr>
      <w:r w:rsidRPr="00AF39FE">
        <w:rPr>
          <w:rFonts w:ascii="Times New Roman" w:hAnsi="Times New Roman" w:cs="Times New Roman"/>
          <w:sz w:val="24"/>
          <w:szCs w:val="24"/>
        </w:rPr>
        <w:t>COMPETING INTERESTS DISCLAIMER:</w:t>
      </w:r>
    </w:p>
    <w:p w14:paraId="08878090" w14:textId="73D2101D" w:rsidR="00AF39FE" w:rsidRPr="006A7700" w:rsidRDefault="00AF39FE" w:rsidP="00AF39FE">
      <w:pPr>
        <w:spacing w:before="240" w:line="240" w:lineRule="auto"/>
        <w:jc w:val="both"/>
        <w:rPr>
          <w:rFonts w:ascii="Times New Roman" w:hAnsi="Times New Roman" w:cs="Times New Roman"/>
          <w:sz w:val="24"/>
          <w:szCs w:val="24"/>
        </w:rPr>
      </w:pPr>
      <w:r w:rsidRPr="00AF39F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FE53EDE" w14:textId="4FD2BC6E" w:rsidR="007977E1" w:rsidRPr="006A7700" w:rsidRDefault="008C4836" w:rsidP="006A7700">
      <w:pPr>
        <w:spacing w:before="240" w:line="240" w:lineRule="auto"/>
        <w:jc w:val="both"/>
        <w:rPr>
          <w:rFonts w:ascii="Times New Roman" w:hAnsi="Times New Roman" w:cs="Times New Roman"/>
          <w:b/>
          <w:bCs/>
          <w:sz w:val="24"/>
          <w:szCs w:val="24"/>
        </w:rPr>
      </w:pPr>
      <w:r w:rsidRPr="006A7700">
        <w:rPr>
          <w:rFonts w:ascii="Times New Roman" w:hAnsi="Times New Roman" w:cs="Times New Roman"/>
          <w:b/>
          <w:bCs/>
          <w:sz w:val="24"/>
          <w:szCs w:val="24"/>
        </w:rPr>
        <w:t>6. REFERENCES</w:t>
      </w:r>
    </w:p>
    <w:p w14:paraId="5D1C844B" w14:textId="77777777" w:rsidR="000A0B31"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lastRenderedPageBreak/>
        <w:t xml:space="preserve">Campbell, T. W. (2015). </w:t>
      </w:r>
      <w:r w:rsidRPr="006A7700">
        <w:rPr>
          <w:rFonts w:ascii="Times New Roman" w:hAnsi="Times New Roman" w:cs="Times New Roman"/>
          <w:i/>
          <w:iCs/>
          <w:sz w:val="24"/>
          <w:szCs w:val="24"/>
        </w:rPr>
        <w:t>Avian hematology and cytology</w:t>
      </w:r>
      <w:r w:rsidRPr="006A7700">
        <w:rPr>
          <w:rFonts w:ascii="Times New Roman" w:hAnsi="Times New Roman" w:cs="Times New Roman"/>
          <w:sz w:val="24"/>
          <w:szCs w:val="24"/>
        </w:rPr>
        <w:t xml:space="preserve"> (3rd ed.). Wiley.</w:t>
      </w:r>
    </w:p>
    <w:p w14:paraId="2E76359C" w14:textId="77777777" w:rsidR="000A0B31" w:rsidRPr="006A7700" w:rsidRDefault="000A0B31"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Caudell, M. A., Dorado-García, A., Eckford, S., Creese, C., Byarugaba, D. K., </w:t>
      </w:r>
      <w:proofErr w:type="spellStart"/>
      <w:r w:rsidRPr="006A7700">
        <w:rPr>
          <w:rFonts w:ascii="Times New Roman" w:hAnsi="Times New Roman" w:cs="Times New Roman"/>
          <w:sz w:val="24"/>
          <w:szCs w:val="24"/>
        </w:rPr>
        <w:t>Afakye</w:t>
      </w:r>
      <w:proofErr w:type="spellEnd"/>
      <w:r w:rsidRPr="006A7700">
        <w:rPr>
          <w:rFonts w:ascii="Times New Roman" w:hAnsi="Times New Roman" w:cs="Times New Roman"/>
          <w:sz w:val="24"/>
          <w:szCs w:val="24"/>
        </w:rPr>
        <w:t xml:space="preserve">, K., Chansa-Kabali, T., </w:t>
      </w:r>
      <w:proofErr w:type="spellStart"/>
      <w:r w:rsidRPr="006A7700">
        <w:rPr>
          <w:rFonts w:ascii="Times New Roman" w:hAnsi="Times New Roman" w:cs="Times New Roman"/>
          <w:sz w:val="24"/>
          <w:szCs w:val="24"/>
        </w:rPr>
        <w:t>Fasina</w:t>
      </w:r>
      <w:proofErr w:type="spellEnd"/>
      <w:r w:rsidRPr="006A7700">
        <w:rPr>
          <w:rFonts w:ascii="Times New Roman" w:hAnsi="Times New Roman" w:cs="Times New Roman"/>
          <w:sz w:val="24"/>
          <w:szCs w:val="24"/>
        </w:rPr>
        <w:t xml:space="preserve">, F. O., Kabali, E., Kiambi, S., Kimani, T., </w:t>
      </w:r>
      <w:proofErr w:type="spellStart"/>
      <w:r w:rsidRPr="006A7700">
        <w:rPr>
          <w:rFonts w:ascii="Times New Roman" w:hAnsi="Times New Roman" w:cs="Times New Roman"/>
          <w:sz w:val="24"/>
          <w:szCs w:val="24"/>
        </w:rPr>
        <w:t>Mainda</w:t>
      </w:r>
      <w:proofErr w:type="spellEnd"/>
      <w:r w:rsidRPr="006A7700">
        <w:rPr>
          <w:rFonts w:ascii="Times New Roman" w:hAnsi="Times New Roman" w:cs="Times New Roman"/>
          <w:sz w:val="24"/>
          <w:szCs w:val="24"/>
        </w:rPr>
        <w:t xml:space="preserve">, G., Makita, K., Mugisha, A., Mutua, F., Ogola, E., Odoch, T., Okeke, I. N., Price, L. B., &amp; Thomas, L. F. (2020). Toward a bottom-up understanding of antimicrobial use and resistance on the farm: A knowledge, attitudes, and practices survey across livestock systems in five African countries. </w:t>
      </w:r>
      <w:r w:rsidRPr="006A7700">
        <w:rPr>
          <w:rFonts w:ascii="Times New Roman" w:hAnsi="Times New Roman" w:cs="Times New Roman"/>
          <w:i/>
          <w:iCs/>
          <w:sz w:val="24"/>
          <w:szCs w:val="24"/>
        </w:rPr>
        <w:t>One Health</w:t>
      </w:r>
      <w:r w:rsidRPr="006A7700">
        <w:rPr>
          <w:rFonts w:ascii="Times New Roman" w:hAnsi="Times New Roman" w:cs="Times New Roman"/>
          <w:sz w:val="24"/>
          <w:szCs w:val="24"/>
        </w:rPr>
        <w:t>, 10, 100165.</w:t>
      </w:r>
      <w:r w:rsidRPr="006A7700">
        <w:rPr>
          <w:rFonts w:ascii="Times New Roman" w:hAnsi="Times New Roman" w:cs="Times New Roman"/>
          <w:sz w:val="24"/>
          <w:szCs w:val="24"/>
        </w:rPr>
        <w:br/>
      </w:r>
      <w:hyperlink r:id="rId8" w:tgtFrame="_new" w:history="1">
        <w:r w:rsidRPr="006A7700">
          <w:rPr>
            <w:rStyle w:val="Hyperlink"/>
            <w:rFonts w:ascii="Times New Roman" w:hAnsi="Times New Roman" w:cs="Times New Roman"/>
            <w:sz w:val="24"/>
            <w:szCs w:val="24"/>
          </w:rPr>
          <w:t>https://doi.org/10.1016/j.onehlt.2020.100165</w:t>
        </w:r>
      </w:hyperlink>
    </w:p>
    <w:p w14:paraId="51DC6E69" w14:textId="608C1F6F"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Cochran, W. G. (1977). </w:t>
      </w:r>
      <w:r w:rsidRPr="006A7700">
        <w:rPr>
          <w:rFonts w:ascii="Times New Roman" w:hAnsi="Times New Roman" w:cs="Times New Roman"/>
          <w:i/>
          <w:iCs/>
          <w:sz w:val="24"/>
          <w:szCs w:val="24"/>
        </w:rPr>
        <w:t>Sampling Techniques</w:t>
      </w:r>
      <w:r w:rsidRPr="006A7700">
        <w:rPr>
          <w:rFonts w:ascii="Times New Roman" w:hAnsi="Times New Roman" w:cs="Times New Roman"/>
          <w:sz w:val="24"/>
          <w:szCs w:val="24"/>
        </w:rPr>
        <w:t xml:space="preserve"> (3rd ed.). Wiley</w:t>
      </w:r>
      <w:r w:rsidR="00877386" w:rsidRPr="006A7700">
        <w:rPr>
          <w:rFonts w:ascii="Times New Roman" w:hAnsi="Times New Roman" w:cs="Times New Roman"/>
          <w:sz w:val="24"/>
          <w:szCs w:val="24"/>
        </w:rPr>
        <w:t>, New York.</w:t>
      </w:r>
    </w:p>
    <w:p w14:paraId="14E99B17" w14:textId="77777777" w:rsidR="00097FEB"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Dawkins, M. S., Donnelly, C. A., &amp; Jones, T. A. (2004). Chicken welfare is influenced by environmental conditions. </w:t>
      </w:r>
      <w:r w:rsidRPr="006A7700">
        <w:rPr>
          <w:rFonts w:ascii="Times New Roman" w:hAnsi="Times New Roman" w:cs="Times New Roman"/>
          <w:i/>
          <w:iCs/>
          <w:sz w:val="24"/>
          <w:szCs w:val="24"/>
        </w:rPr>
        <w:t>British Poultry Science</w:t>
      </w:r>
      <w:r w:rsidRPr="006A7700">
        <w:rPr>
          <w:rFonts w:ascii="Times New Roman" w:hAnsi="Times New Roman" w:cs="Times New Roman"/>
          <w:sz w:val="24"/>
          <w:szCs w:val="24"/>
        </w:rPr>
        <w:t xml:space="preserve">, 45(4), 429–436. </w:t>
      </w:r>
      <w:hyperlink r:id="rId9" w:history="1">
        <w:r w:rsidRPr="006A7700">
          <w:rPr>
            <w:rStyle w:val="Hyperlink"/>
            <w:rFonts w:ascii="Times New Roman" w:hAnsi="Times New Roman" w:cs="Times New Roman"/>
            <w:sz w:val="24"/>
            <w:szCs w:val="24"/>
          </w:rPr>
          <w:t>https://doi.org/10.1080/00071660410001730829</w:t>
        </w:r>
      </w:hyperlink>
    </w:p>
    <w:p w14:paraId="20B8E926" w14:textId="597794D3" w:rsidR="00097FEB" w:rsidRPr="006A7700" w:rsidRDefault="00097FEB"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Dione, M. M., Ouma, E. A., Roesel, K., Kungu, J., Lule, P., &amp; Wieland, B. (2016). Risk factors for antimicrobial use in smallholder livestock production systems in developing countries. </w:t>
      </w:r>
      <w:r w:rsidRPr="006A7700">
        <w:rPr>
          <w:rFonts w:ascii="Times New Roman" w:hAnsi="Times New Roman" w:cs="Times New Roman"/>
          <w:i/>
          <w:iCs/>
          <w:sz w:val="24"/>
          <w:szCs w:val="24"/>
        </w:rPr>
        <w:t>BMC Veterinary Research</w:t>
      </w:r>
      <w:r w:rsidRPr="006A7700">
        <w:rPr>
          <w:rFonts w:ascii="Times New Roman" w:hAnsi="Times New Roman" w:cs="Times New Roman"/>
          <w:sz w:val="24"/>
          <w:szCs w:val="24"/>
        </w:rPr>
        <w:t xml:space="preserve">, 12, 34. </w:t>
      </w:r>
      <w:hyperlink r:id="rId10" w:history="1">
        <w:r w:rsidRPr="006A7700">
          <w:rPr>
            <w:rStyle w:val="Hyperlink"/>
            <w:rFonts w:ascii="Times New Roman" w:hAnsi="Times New Roman" w:cs="Times New Roman"/>
            <w:sz w:val="24"/>
            <w:szCs w:val="24"/>
          </w:rPr>
          <w:t>https://doi.org/10.1186/s12917-016-0659-1</w:t>
        </w:r>
      </w:hyperlink>
    </w:p>
    <w:p w14:paraId="369C944C"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proofErr w:type="spellStart"/>
      <w:r w:rsidRPr="006A7700">
        <w:rPr>
          <w:rFonts w:ascii="Times New Roman" w:hAnsi="Times New Roman" w:cs="Times New Roman"/>
          <w:sz w:val="24"/>
          <w:szCs w:val="24"/>
        </w:rPr>
        <w:t>Dohoo</w:t>
      </w:r>
      <w:proofErr w:type="spellEnd"/>
      <w:r w:rsidRPr="006A7700">
        <w:rPr>
          <w:rFonts w:ascii="Times New Roman" w:hAnsi="Times New Roman" w:cs="Times New Roman"/>
          <w:sz w:val="24"/>
          <w:szCs w:val="24"/>
        </w:rPr>
        <w:t xml:space="preserve">, I., Martin, W., &amp; Stryhn, H. (2009). </w:t>
      </w:r>
      <w:r w:rsidRPr="006A7700">
        <w:rPr>
          <w:rFonts w:ascii="Times New Roman" w:hAnsi="Times New Roman" w:cs="Times New Roman"/>
          <w:i/>
          <w:iCs/>
          <w:sz w:val="24"/>
          <w:szCs w:val="24"/>
        </w:rPr>
        <w:t>Veterinary Epidemiologic Research</w:t>
      </w:r>
      <w:r w:rsidRPr="006A7700">
        <w:rPr>
          <w:rFonts w:ascii="Times New Roman" w:hAnsi="Times New Roman" w:cs="Times New Roman"/>
          <w:sz w:val="24"/>
          <w:szCs w:val="24"/>
        </w:rPr>
        <w:t xml:space="preserve"> (2nd ed.). VER Inc. </w:t>
      </w:r>
    </w:p>
    <w:p w14:paraId="69AEB0BA" w14:textId="77777777" w:rsidR="00772BCB"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Estevez, I. (2007). Density allowances for broilers: Where to set the limits? </w:t>
      </w:r>
      <w:r w:rsidRPr="006A7700">
        <w:rPr>
          <w:rFonts w:ascii="Times New Roman" w:hAnsi="Times New Roman" w:cs="Times New Roman"/>
          <w:i/>
          <w:iCs/>
          <w:sz w:val="24"/>
          <w:szCs w:val="24"/>
        </w:rPr>
        <w:t>Poultry Science</w:t>
      </w:r>
      <w:r w:rsidRPr="006A7700">
        <w:rPr>
          <w:rFonts w:ascii="Times New Roman" w:hAnsi="Times New Roman" w:cs="Times New Roman"/>
          <w:sz w:val="24"/>
          <w:szCs w:val="24"/>
        </w:rPr>
        <w:t xml:space="preserve">, 86(6), 1265–1272. </w:t>
      </w:r>
      <w:hyperlink r:id="rId11" w:history="1">
        <w:r w:rsidRPr="006A7700">
          <w:rPr>
            <w:rStyle w:val="Hyperlink"/>
            <w:rFonts w:ascii="Times New Roman" w:hAnsi="Times New Roman" w:cs="Times New Roman"/>
            <w:sz w:val="24"/>
            <w:szCs w:val="24"/>
          </w:rPr>
          <w:t>https://doi.org/10.1093/ps/86.6.1265</w:t>
        </w:r>
      </w:hyperlink>
    </w:p>
    <w:p w14:paraId="226CD9A6" w14:textId="39CE86FB" w:rsidR="009070DE" w:rsidRPr="006A7700" w:rsidRDefault="009070DE"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FAO. (2020). </w:t>
      </w:r>
      <w:r w:rsidRPr="006A7700">
        <w:rPr>
          <w:rFonts w:ascii="Times New Roman" w:hAnsi="Times New Roman" w:cs="Times New Roman"/>
          <w:i/>
          <w:iCs/>
          <w:sz w:val="24"/>
          <w:szCs w:val="24"/>
        </w:rPr>
        <w:t>Antimicrobial resistance in food systems</w:t>
      </w:r>
      <w:r w:rsidRPr="006A7700">
        <w:rPr>
          <w:rFonts w:ascii="Times New Roman" w:hAnsi="Times New Roman" w:cs="Times New Roman"/>
          <w:sz w:val="24"/>
          <w:szCs w:val="24"/>
        </w:rPr>
        <w:t xml:space="preserve">. FAO. </w:t>
      </w:r>
      <w:hyperlink r:id="rId12" w:history="1">
        <w:r w:rsidRPr="006A7700">
          <w:rPr>
            <w:rStyle w:val="Hyperlink"/>
            <w:rFonts w:ascii="Times New Roman" w:hAnsi="Times New Roman" w:cs="Times New Roman"/>
            <w:sz w:val="24"/>
            <w:szCs w:val="24"/>
          </w:rPr>
          <w:t>https://doi.org/10.4060/cb8553en</w:t>
        </w:r>
      </w:hyperlink>
    </w:p>
    <w:p w14:paraId="4F8B1586" w14:textId="593FF5E7" w:rsidR="00477FB6" w:rsidRPr="006A7700" w:rsidRDefault="00477FB6" w:rsidP="006A7700">
      <w:pPr>
        <w:spacing w:before="240" w:line="240" w:lineRule="auto"/>
        <w:ind w:left="720" w:hanging="630"/>
        <w:jc w:val="both"/>
        <w:rPr>
          <w:rFonts w:ascii="Times New Roman" w:hAnsi="Times New Roman" w:cs="Times New Roman"/>
          <w:sz w:val="24"/>
          <w:szCs w:val="24"/>
        </w:rPr>
      </w:pPr>
      <w:proofErr w:type="spellStart"/>
      <w:r w:rsidRPr="006A7700">
        <w:rPr>
          <w:rFonts w:ascii="Times New Roman" w:hAnsi="Times New Roman" w:cs="Times New Roman"/>
          <w:sz w:val="24"/>
          <w:szCs w:val="24"/>
        </w:rPr>
        <w:t>Fasina</w:t>
      </w:r>
      <w:proofErr w:type="spellEnd"/>
      <w:r w:rsidRPr="006A7700">
        <w:rPr>
          <w:rFonts w:ascii="Times New Roman" w:hAnsi="Times New Roman" w:cs="Times New Roman"/>
          <w:sz w:val="24"/>
          <w:szCs w:val="24"/>
        </w:rPr>
        <w:t xml:space="preserve">, F. O., Lazarus, D. D., Spencer, B. T., Makinde, A. A., &amp; Bastos, A. D. S. (2012). Cost implications of biosecurity measures in poultry production in Nigeria. </w:t>
      </w:r>
      <w:r w:rsidRPr="006A7700">
        <w:rPr>
          <w:rFonts w:ascii="Times New Roman" w:hAnsi="Times New Roman" w:cs="Times New Roman"/>
          <w:i/>
          <w:iCs/>
          <w:sz w:val="24"/>
          <w:szCs w:val="24"/>
        </w:rPr>
        <w:t>Preventive Veterinary Medicine</w:t>
      </w:r>
      <w:r w:rsidRPr="006A7700">
        <w:rPr>
          <w:rFonts w:ascii="Times New Roman" w:hAnsi="Times New Roman" w:cs="Times New Roman"/>
          <w:sz w:val="24"/>
          <w:szCs w:val="24"/>
        </w:rPr>
        <w:t>, 103(2–3), 154–163.</w:t>
      </w:r>
      <w:r w:rsidRPr="006A7700">
        <w:rPr>
          <w:rFonts w:ascii="Times New Roman" w:hAnsi="Times New Roman" w:cs="Times New Roman"/>
          <w:sz w:val="24"/>
          <w:szCs w:val="24"/>
        </w:rPr>
        <w:br/>
      </w:r>
      <w:hyperlink r:id="rId13" w:tgtFrame="_new" w:history="1">
        <w:r w:rsidRPr="006A7700">
          <w:rPr>
            <w:rStyle w:val="Hyperlink"/>
            <w:rFonts w:ascii="Times New Roman" w:hAnsi="Times New Roman" w:cs="Times New Roman"/>
            <w:sz w:val="24"/>
            <w:szCs w:val="24"/>
          </w:rPr>
          <w:t>https://doi.org/10.1016/j.prevetmed.2011.10.006</w:t>
        </w:r>
      </w:hyperlink>
    </w:p>
    <w:p w14:paraId="4E88BD96"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Kidd, M. T. (2004). Nutritional modulation of immune function in broilers. </w:t>
      </w:r>
      <w:r w:rsidRPr="006A7700">
        <w:rPr>
          <w:rFonts w:ascii="Times New Roman" w:hAnsi="Times New Roman" w:cs="Times New Roman"/>
          <w:i/>
          <w:iCs/>
          <w:sz w:val="24"/>
          <w:szCs w:val="24"/>
        </w:rPr>
        <w:t>Poultry Science</w:t>
      </w:r>
      <w:r w:rsidRPr="006A7700">
        <w:rPr>
          <w:rFonts w:ascii="Times New Roman" w:hAnsi="Times New Roman" w:cs="Times New Roman"/>
          <w:sz w:val="24"/>
          <w:szCs w:val="24"/>
        </w:rPr>
        <w:t xml:space="preserve">, 83(4), 650–657. </w:t>
      </w:r>
      <w:hyperlink r:id="rId14" w:history="1">
        <w:r w:rsidRPr="006A7700">
          <w:rPr>
            <w:rStyle w:val="Hyperlink"/>
            <w:rFonts w:ascii="Times New Roman" w:hAnsi="Times New Roman" w:cs="Times New Roman"/>
            <w:sz w:val="24"/>
            <w:szCs w:val="24"/>
          </w:rPr>
          <w:t>https://doi.org/10.1093/ps/83.4.650</w:t>
        </w:r>
      </w:hyperlink>
    </w:p>
    <w:p w14:paraId="6EDDFB3B"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Klasing, K. C. (2007). Nutrition and immune function in poultry. </w:t>
      </w:r>
      <w:r w:rsidRPr="006A7700">
        <w:rPr>
          <w:rFonts w:ascii="Times New Roman" w:hAnsi="Times New Roman" w:cs="Times New Roman"/>
          <w:i/>
          <w:iCs/>
          <w:sz w:val="24"/>
          <w:szCs w:val="24"/>
        </w:rPr>
        <w:t>Journal of Animal Science</w:t>
      </w:r>
      <w:r w:rsidRPr="006A7700">
        <w:rPr>
          <w:rFonts w:ascii="Times New Roman" w:hAnsi="Times New Roman" w:cs="Times New Roman"/>
          <w:sz w:val="24"/>
          <w:szCs w:val="24"/>
        </w:rPr>
        <w:t xml:space="preserve">, 85(13_suppl), E138–E144. </w:t>
      </w:r>
      <w:hyperlink r:id="rId15" w:history="1">
        <w:r w:rsidRPr="006A7700">
          <w:rPr>
            <w:rStyle w:val="Hyperlink"/>
            <w:rFonts w:ascii="Times New Roman" w:hAnsi="Times New Roman" w:cs="Times New Roman"/>
            <w:sz w:val="24"/>
            <w:szCs w:val="24"/>
          </w:rPr>
          <w:t>https://doi.org/10.2527/jas.2006-091</w:t>
        </w:r>
      </w:hyperlink>
    </w:p>
    <w:p w14:paraId="54FBFB2C"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Landers, T. F., Cohen, B., Wittum, T. E., &amp; Larson, E. L. (2012). A review of antibiotic use in food animals: Perspective, policy, and potential. </w:t>
      </w:r>
      <w:r w:rsidRPr="006A7700">
        <w:rPr>
          <w:rFonts w:ascii="Times New Roman" w:hAnsi="Times New Roman" w:cs="Times New Roman"/>
          <w:i/>
          <w:iCs/>
          <w:sz w:val="24"/>
          <w:szCs w:val="24"/>
        </w:rPr>
        <w:t>Public Health Reports</w:t>
      </w:r>
      <w:r w:rsidRPr="006A7700">
        <w:rPr>
          <w:rFonts w:ascii="Times New Roman" w:hAnsi="Times New Roman" w:cs="Times New Roman"/>
          <w:sz w:val="24"/>
          <w:szCs w:val="24"/>
        </w:rPr>
        <w:t xml:space="preserve">, 127(1), 4–22. </w:t>
      </w:r>
      <w:hyperlink r:id="rId16" w:history="1">
        <w:r w:rsidRPr="006A7700">
          <w:rPr>
            <w:rStyle w:val="Hyperlink"/>
            <w:rFonts w:ascii="Times New Roman" w:hAnsi="Times New Roman" w:cs="Times New Roman"/>
            <w:sz w:val="24"/>
            <w:szCs w:val="24"/>
          </w:rPr>
          <w:t>https://doi.org/10.1177/003335491212700103</w:t>
        </w:r>
      </w:hyperlink>
    </w:p>
    <w:p w14:paraId="61DFA0D2"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Manyi-Loh, C., </w:t>
      </w:r>
      <w:proofErr w:type="spellStart"/>
      <w:r w:rsidRPr="006A7700">
        <w:rPr>
          <w:rFonts w:ascii="Times New Roman" w:hAnsi="Times New Roman" w:cs="Times New Roman"/>
          <w:sz w:val="24"/>
          <w:szCs w:val="24"/>
        </w:rPr>
        <w:t>Mamphweli</w:t>
      </w:r>
      <w:proofErr w:type="spellEnd"/>
      <w:r w:rsidRPr="006A7700">
        <w:rPr>
          <w:rFonts w:ascii="Times New Roman" w:hAnsi="Times New Roman" w:cs="Times New Roman"/>
          <w:sz w:val="24"/>
          <w:szCs w:val="24"/>
        </w:rPr>
        <w:t xml:space="preserve">, S., Meyer, E., Okoh, A. (2018). Antibiotic use in agriculture and resistance. </w:t>
      </w:r>
      <w:r w:rsidRPr="006A7700">
        <w:rPr>
          <w:rFonts w:ascii="Times New Roman" w:hAnsi="Times New Roman" w:cs="Times New Roman"/>
          <w:i/>
          <w:iCs/>
          <w:sz w:val="24"/>
          <w:szCs w:val="24"/>
        </w:rPr>
        <w:t>Molecules</w:t>
      </w:r>
      <w:r w:rsidRPr="006A7700">
        <w:rPr>
          <w:rFonts w:ascii="Times New Roman" w:hAnsi="Times New Roman" w:cs="Times New Roman"/>
          <w:sz w:val="24"/>
          <w:szCs w:val="24"/>
        </w:rPr>
        <w:t xml:space="preserve">, 23(4), 795. </w:t>
      </w:r>
      <w:hyperlink r:id="rId17" w:tgtFrame="_new" w:history="1">
        <w:r w:rsidRPr="006A7700">
          <w:rPr>
            <w:rStyle w:val="Hyperlink"/>
            <w:rFonts w:ascii="Times New Roman" w:hAnsi="Times New Roman" w:cs="Times New Roman"/>
            <w:sz w:val="24"/>
            <w:szCs w:val="24"/>
          </w:rPr>
          <w:t>https://doi.org/10.3390/molecules23040795</w:t>
        </w:r>
      </w:hyperlink>
      <w:r w:rsidRPr="006A7700">
        <w:rPr>
          <w:rFonts w:ascii="Times New Roman" w:hAnsi="Times New Roman" w:cs="Times New Roman"/>
          <w:sz w:val="24"/>
          <w:szCs w:val="24"/>
        </w:rPr>
        <w:t xml:space="preserve"> </w:t>
      </w:r>
    </w:p>
    <w:p w14:paraId="5B299053"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Marshall, B. M., &amp; Levy, S. B. (2011). Food animals and antimicrobials: Impacts on human health. </w:t>
      </w:r>
      <w:r w:rsidRPr="006A7700">
        <w:rPr>
          <w:rFonts w:ascii="Times New Roman" w:hAnsi="Times New Roman" w:cs="Times New Roman"/>
          <w:i/>
          <w:iCs/>
          <w:sz w:val="24"/>
          <w:szCs w:val="24"/>
        </w:rPr>
        <w:t>Clinical Microbiology Reviews</w:t>
      </w:r>
      <w:r w:rsidRPr="006A7700">
        <w:rPr>
          <w:rFonts w:ascii="Times New Roman" w:hAnsi="Times New Roman" w:cs="Times New Roman"/>
          <w:sz w:val="24"/>
          <w:szCs w:val="24"/>
        </w:rPr>
        <w:t xml:space="preserve">, 24(4), 718–733. </w:t>
      </w:r>
      <w:hyperlink r:id="rId18" w:history="1">
        <w:r w:rsidRPr="006A7700">
          <w:rPr>
            <w:rStyle w:val="Hyperlink"/>
            <w:rFonts w:ascii="Times New Roman" w:hAnsi="Times New Roman" w:cs="Times New Roman"/>
            <w:sz w:val="24"/>
            <w:szCs w:val="24"/>
          </w:rPr>
          <w:t>https://doi.org/10.1128/CMR.00002-11</w:t>
        </w:r>
      </w:hyperlink>
    </w:p>
    <w:p w14:paraId="6492998A"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lastRenderedPageBreak/>
        <w:t xml:space="preserve">Nhung, N. T., </w:t>
      </w:r>
      <w:proofErr w:type="spellStart"/>
      <w:r w:rsidRPr="006A7700">
        <w:rPr>
          <w:rFonts w:ascii="Times New Roman" w:hAnsi="Times New Roman" w:cs="Times New Roman"/>
          <w:sz w:val="24"/>
          <w:szCs w:val="24"/>
        </w:rPr>
        <w:t>Chansiripornchai</w:t>
      </w:r>
      <w:proofErr w:type="spellEnd"/>
      <w:r w:rsidRPr="006A7700">
        <w:rPr>
          <w:rFonts w:ascii="Times New Roman" w:hAnsi="Times New Roman" w:cs="Times New Roman"/>
          <w:sz w:val="24"/>
          <w:szCs w:val="24"/>
        </w:rPr>
        <w:t xml:space="preserve">, N., &amp; </w:t>
      </w:r>
      <w:proofErr w:type="spellStart"/>
      <w:r w:rsidRPr="006A7700">
        <w:rPr>
          <w:rFonts w:ascii="Times New Roman" w:hAnsi="Times New Roman" w:cs="Times New Roman"/>
          <w:sz w:val="24"/>
          <w:szCs w:val="24"/>
        </w:rPr>
        <w:t>Carrique</w:t>
      </w:r>
      <w:proofErr w:type="spellEnd"/>
      <w:r w:rsidRPr="006A7700">
        <w:rPr>
          <w:rFonts w:ascii="Times New Roman" w:hAnsi="Times New Roman" w:cs="Times New Roman"/>
          <w:sz w:val="24"/>
          <w:szCs w:val="24"/>
        </w:rPr>
        <w:t xml:space="preserve">-Mas, J. J. (2017). Antimicrobial resistance in bacterial poultry pathogens: A review. </w:t>
      </w:r>
      <w:r w:rsidRPr="006A7700">
        <w:rPr>
          <w:rFonts w:ascii="Times New Roman" w:hAnsi="Times New Roman" w:cs="Times New Roman"/>
          <w:i/>
          <w:iCs/>
          <w:sz w:val="24"/>
          <w:szCs w:val="24"/>
        </w:rPr>
        <w:t>Veterinary Sciences</w:t>
      </w:r>
      <w:r w:rsidRPr="006A7700">
        <w:rPr>
          <w:rFonts w:ascii="Times New Roman" w:hAnsi="Times New Roman" w:cs="Times New Roman"/>
          <w:sz w:val="24"/>
          <w:szCs w:val="24"/>
        </w:rPr>
        <w:t xml:space="preserve">, 4(3), 33. </w:t>
      </w:r>
      <w:hyperlink r:id="rId19" w:history="1">
        <w:r w:rsidRPr="006A7700">
          <w:rPr>
            <w:rStyle w:val="Hyperlink"/>
            <w:rFonts w:ascii="Times New Roman" w:hAnsi="Times New Roman" w:cs="Times New Roman"/>
            <w:sz w:val="24"/>
            <w:szCs w:val="24"/>
          </w:rPr>
          <w:t>https://doi.org/10.3390/vetsci4030033</w:t>
        </w:r>
      </w:hyperlink>
    </w:p>
    <w:p w14:paraId="7C8D6334" w14:textId="137911B9" w:rsidR="00A24D1F" w:rsidRPr="006A7700" w:rsidRDefault="00A24D1F"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lang w:val="pt-BR"/>
        </w:rPr>
        <w:t xml:space="preserve">Nhung, N. T., Cuong, N. V., Thwaites, G., &amp; Carrique-Mas, J. J. (2020). </w:t>
      </w:r>
      <w:r w:rsidRPr="006A7700">
        <w:rPr>
          <w:rFonts w:ascii="Times New Roman" w:hAnsi="Times New Roman" w:cs="Times New Roman"/>
          <w:sz w:val="24"/>
          <w:szCs w:val="24"/>
        </w:rPr>
        <w:t xml:space="preserve">Antimicrobial usage and antimicrobial resistance in animal production in Southeast Asia: A review. </w:t>
      </w:r>
      <w:r w:rsidRPr="006A7700">
        <w:rPr>
          <w:rFonts w:ascii="Times New Roman" w:hAnsi="Times New Roman" w:cs="Times New Roman"/>
          <w:i/>
          <w:iCs/>
          <w:sz w:val="24"/>
          <w:szCs w:val="24"/>
        </w:rPr>
        <w:t>Frontiers in Veterinary Science</w:t>
      </w:r>
      <w:r w:rsidRPr="006A7700">
        <w:rPr>
          <w:rFonts w:ascii="Times New Roman" w:hAnsi="Times New Roman" w:cs="Times New Roman"/>
          <w:sz w:val="24"/>
          <w:szCs w:val="24"/>
        </w:rPr>
        <w:t xml:space="preserve">, 7, 43. </w:t>
      </w:r>
      <w:hyperlink r:id="rId20" w:history="1">
        <w:r w:rsidRPr="006A7700">
          <w:rPr>
            <w:rStyle w:val="Hyperlink"/>
            <w:rFonts w:ascii="Times New Roman" w:hAnsi="Times New Roman" w:cs="Times New Roman"/>
            <w:sz w:val="24"/>
            <w:szCs w:val="24"/>
          </w:rPr>
          <w:t>https://doi.org/10.3389/fvets.2020.00043</w:t>
        </w:r>
      </w:hyperlink>
    </w:p>
    <w:p w14:paraId="4D7B7FF6"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O’Neill, J. (2016). Tackling drug-resistant infections globally: Final report and recommendations. </w:t>
      </w:r>
      <w:r w:rsidRPr="006A7700">
        <w:rPr>
          <w:rFonts w:ascii="Times New Roman" w:hAnsi="Times New Roman" w:cs="Times New Roman"/>
          <w:i/>
          <w:iCs/>
          <w:sz w:val="24"/>
          <w:szCs w:val="24"/>
        </w:rPr>
        <w:t>The Lancet</w:t>
      </w:r>
      <w:r w:rsidRPr="006A7700">
        <w:rPr>
          <w:rFonts w:ascii="Times New Roman" w:hAnsi="Times New Roman" w:cs="Times New Roman"/>
          <w:sz w:val="24"/>
          <w:szCs w:val="24"/>
        </w:rPr>
        <w:t xml:space="preserve">, 387(10014), 236–238. </w:t>
      </w:r>
      <w:hyperlink r:id="rId21" w:history="1">
        <w:r w:rsidRPr="006A7700">
          <w:rPr>
            <w:rStyle w:val="Hyperlink"/>
            <w:rFonts w:ascii="Times New Roman" w:hAnsi="Times New Roman" w:cs="Times New Roman"/>
            <w:sz w:val="24"/>
            <w:szCs w:val="24"/>
          </w:rPr>
          <w:t>https://doi.org/10.1016/S0140-6736(16)31123-9</w:t>
        </w:r>
      </w:hyperlink>
    </w:p>
    <w:p w14:paraId="15E8CC59"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Permin, A., &amp; Hansen, J. W. (1998). Epidemiology, diagnosis and control of poultry parasites. FAO Animal Health Manual.</w:t>
      </w:r>
    </w:p>
    <w:p w14:paraId="2C228DB4" w14:textId="7A1C36F5" w:rsidR="003B39A9" w:rsidRPr="006A7700" w:rsidRDefault="003B39A9"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Postma, M., </w:t>
      </w:r>
      <w:proofErr w:type="spellStart"/>
      <w:r w:rsidRPr="006A7700">
        <w:rPr>
          <w:rFonts w:ascii="Times New Roman" w:hAnsi="Times New Roman" w:cs="Times New Roman"/>
          <w:sz w:val="24"/>
          <w:szCs w:val="24"/>
        </w:rPr>
        <w:t>Backhans</w:t>
      </w:r>
      <w:proofErr w:type="spellEnd"/>
      <w:r w:rsidRPr="006A7700">
        <w:rPr>
          <w:rFonts w:ascii="Times New Roman" w:hAnsi="Times New Roman" w:cs="Times New Roman"/>
          <w:sz w:val="24"/>
          <w:szCs w:val="24"/>
        </w:rPr>
        <w:t xml:space="preserve">, A., </w:t>
      </w:r>
      <w:proofErr w:type="spellStart"/>
      <w:r w:rsidRPr="006A7700">
        <w:rPr>
          <w:rFonts w:ascii="Times New Roman" w:hAnsi="Times New Roman" w:cs="Times New Roman"/>
          <w:sz w:val="24"/>
          <w:szCs w:val="24"/>
        </w:rPr>
        <w:t>Collineau</w:t>
      </w:r>
      <w:proofErr w:type="spellEnd"/>
      <w:r w:rsidRPr="006A7700">
        <w:rPr>
          <w:rFonts w:ascii="Times New Roman" w:hAnsi="Times New Roman" w:cs="Times New Roman"/>
          <w:sz w:val="24"/>
          <w:szCs w:val="24"/>
        </w:rPr>
        <w:t xml:space="preserve">, L., </w:t>
      </w:r>
      <w:proofErr w:type="spellStart"/>
      <w:r w:rsidRPr="006A7700">
        <w:rPr>
          <w:rFonts w:ascii="Times New Roman" w:hAnsi="Times New Roman" w:cs="Times New Roman"/>
          <w:sz w:val="24"/>
          <w:szCs w:val="24"/>
        </w:rPr>
        <w:t>Loesken</w:t>
      </w:r>
      <w:proofErr w:type="spellEnd"/>
      <w:r w:rsidRPr="006A7700">
        <w:rPr>
          <w:rFonts w:ascii="Times New Roman" w:hAnsi="Times New Roman" w:cs="Times New Roman"/>
          <w:sz w:val="24"/>
          <w:szCs w:val="24"/>
        </w:rPr>
        <w:t xml:space="preserve">, S., </w:t>
      </w:r>
      <w:proofErr w:type="spellStart"/>
      <w:r w:rsidRPr="006A7700">
        <w:rPr>
          <w:rFonts w:ascii="Times New Roman" w:hAnsi="Times New Roman" w:cs="Times New Roman"/>
          <w:sz w:val="24"/>
          <w:szCs w:val="24"/>
        </w:rPr>
        <w:t>Sjölund</w:t>
      </w:r>
      <w:proofErr w:type="spellEnd"/>
      <w:r w:rsidRPr="006A7700">
        <w:rPr>
          <w:rFonts w:ascii="Times New Roman" w:hAnsi="Times New Roman" w:cs="Times New Roman"/>
          <w:sz w:val="24"/>
          <w:szCs w:val="24"/>
        </w:rPr>
        <w:t xml:space="preserve">, M., Belloc, C., Emanuelson, U., </w:t>
      </w:r>
      <w:proofErr w:type="spellStart"/>
      <w:r w:rsidRPr="006A7700">
        <w:rPr>
          <w:rFonts w:ascii="Times New Roman" w:hAnsi="Times New Roman" w:cs="Times New Roman"/>
          <w:sz w:val="24"/>
          <w:szCs w:val="24"/>
        </w:rPr>
        <w:t>Beilage</w:t>
      </w:r>
      <w:proofErr w:type="spellEnd"/>
      <w:r w:rsidRPr="006A7700">
        <w:rPr>
          <w:rFonts w:ascii="Times New Roman" w:hAnsi="Times New Roman" w:cs="Times New Roman"/>
          <w:sz w:val="24"/>
          <w:szCs w:val="24"/>
        </w:rPr>
        <w:t xml:space="preserve">, E. G., Nielsen, E. O., </w:t>
      </w:r>
      <w:proofErr w:type="spellStart"/>
      <w:r w:rsidRPr="006A7700">
        <w:rPr>
          <w:rFonts w:ascii="Times New Roman" w:hAnsi="Times New Roman" w:cs="Times New Roman"/>
          <w:sz w:val="24"/>
          <w:szCs w:val="24"/>
        </w:rPr>
        <w:t>Stärk</w:t>
      </w:r>
      <w:proofErr w:type="spellEnd"/>
      <w:r w:rsidRPr="006A7700">
        <w:rPr>
          <w:rFonts w:ascii="Times New Roman" w:hAnsi="Times New Roman" w:cs="Times New Roman"/>
          <w:sz w:val="24"/>
          <w:szCs w:val="24"/>
        </w:rPr>
        <w:t xml:space="preserve">, K. D. C., &amp; Dewulf, J. (2016). Evaluation of the relationship between biosecurity and production/antimicrobial treatment characteristics in pig herds. </w:t>
      </w:r>
      <w:r w:rsidRPr="006A7700">
        <w:rPr>
          <w:rFonts w:ascii="Times New Roman" w:hAnsi="Times New Roman" w:cs="Times New Roman"/>
          <w:i/>
          <w:iCs/>
          <w:sz w:val="24"/>
          <w:szCs w:val="24"/>
        </w:rPr>
        <w:t>Journal of Antimicrobial Chemotherapy</w:t>
      </w:r>
      <w:r w:rsidRPr="006A7700">
        <w:rPr>
          <w:rFonts w:ascii="Times New Roman" w:hAnsi="Times New Roman" w:cs="Times New Roman"/>
          <w:sz w:val="24"/>
          <w:szCs w:val="24"/>
        </w:rPr>
        <w:t>, 71(7), 1904–1914.</w:t>
      </w:r>
      <w:r w:rsidRPr="006A7700">
        <w:rPr>
          <w:rFonts w:ascii="Times New Roman" w:hAnsi="Times New Roman" w:cs="Times New Roman"/>
          <w:sz w:val="24"/>
          <w:szCs w:val="24"/>
        </w:rPr>
        <w:br/>
      </w:r>
      <w:hyperlink r:id="rId22" w:tgtFrame="_new" w:history="1">
        <w:r w:rsidRPr="006A7700">
          <w:rPr>
            <w:rStyle w:val="Hyperlink"/>
            <w:rFonts w:ascii="Times New Roman" w:hAnsi="Times New Roman" w:cs="Times New Roman"/>
            <w:sz w:val="24"/>
            <w:szCs w:val="24"/>
          </w:rPr>
          <w:t>https://doi.org/10.1093/jac/dkw087</w:t>
        </w:r>
      </w:hyperlink>
    </w:p>
    <w:p w14:paraId="03AD85FD" w14:textId="3265218A" w:rsidR="00024799" w:rsidRPr="006A7700" w:rsidRDefault="00024799"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Rahman, M. A., Rahman, M. M., Rahman, M. S., Nazir, K. H. M. N. H., &amp; Islam, M. A. (2019). Antibiotic usage and resistance in poultry farming: A systematic review. </w:t>
      </w:r>
      <w:r w:rsidRPr="006A7700">
        <w:rPr>
          <w:rFonts w:ascii="Times New Roman" w:hAnsi="Times New Roman" w:cs="Times New Roman"/>
          <w:i/>
          <w:iCs/>
          <w:sz w:val="24"/>
          <w:szCs w:val="24"/>
        </w:rPr>
        <w:t>Antibiotics</w:t>
      </w:r>
      <w:r w:rsidRPr="006A7700">
        <w:rPr>
          <w:rFonts w:ascii="Times New Roman" w:hAnsi="Times New Roman" w:cs="Times New Roman"/>
          <w:sz w:val="24"/>
          <w:szCs w:val="24"/>
        </w:rPr>
        <w:t xml:space="preserve">, 8(1), 32. </w:t>
      </w:r>
      <w:hyperlink r:id="rId23" w:history="1">
        <w:r w:rsidRPr="006A7700">
          <w:rPr>
            <w:rStyle w:val="Hyperlink"/>
            <w:rFonts w:ascii="Times New Roman" w:hAnsi="Times New Roman" w:cs="Times New Roman"/>
            <w:sz w:val="24"/>
            <w:szCs w:val="24"/>
          </w:rPr>
          <w:t>https://doi.org/10.3390/antibiotics8010032</w:t>
        </w:r>
      </w:hyperlink>
    </w:p>
    <w:p w14:paraId="26F01ED7" w14:textId="0BF79D15" w:rsidR="00FF2583" w:rsidRPr="006A7700" w:rsidRDefault="00FF2583"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Roth, N., </w:t>
      </w:r>
      <w:proofErr w:type="spellStart"/>
      <w:r w:rsidRPr="006A7700">
        <w:rPr>
          <w:rFonts w:ascii="Times New Roman" w:hAnsi="Times New Roman" w:cs="Times New Roman"/>
          <w:sz w:val="24"/>
          <w:szCs w:val="24"/>
        </w:rPr>
        <w:t>Käsbohrer</w:t>
      </w:r>
      <w:proofErr w:type="spellEnd"/>
      <w:r w:rsidRPr="006A7700">
        <w:rPr>
          <w:rFonts w:ascii="Times New Roman" w:hAnsi="Times New Roman" w:cs="Times New Roman"/>
          <w:sz w:val="24"/>
          <w:szCs w:val="24"/>
        </w:rPr>
        <w:t xml:space="preserve">, A., Mayrhofer, S., Zitz, U., Hofacre, C., &amp; </w:t>
      </w:r>
      <w:proofErr w:type="spellStart"/>
      <w:r w:rsidRPr="006A7700">
        <w:rPr>
          <w:rFonts w:ascii="Times New Roman" w:hAnsi="Times New Roman" w:cs="Times New Roman"/>
          <w:sz w:val="24"/>
          <w:szCs w:val="24"/>
        </w:rPr>
        <w:t>Domig</w:t>
      </w:r>
      <w:proofErr w:type="spellEnd"/>
      <w:r w:rsidRPr="006A7700">
        <w:rPr>
          <w:rFonts w:ascii="Times New Roman" w:hAnsi="Times New Roman" w:cs="Times New Roman"/>
          <w:sz w:val="24"/>
          <w:szCs w:val="24"/>
        </w:rPr>
        <w:t xml:space="preserve">, K. J. (2019). The application of antibiotics in broiler production and the resulting antibiotic resistance in </w:t>
      </w:r>
      <w:r w:rsidRPr="006A7700">
        <w:rPr>
          <w:rFonts w:ascii="Times New Roman" w:hAnsi="Times New Roman" w:cs="Times New Roman"/>
          <w:i/>
          <w:iCs/>
          <w:sz w:val="24"/>
          <w:szCs w:val="24"/>
        </w:rPr>
        <w:t>Escherichia coli</w:t>
      </w:r>
      <w:r w:rsidRPr="006A7700">
        <w:rPr>
          <w:rFonts w:ascii="Times New Roman" w:hAnsi="Times New Roman" w:cs="Times New Roman"/>
          <w:sz w:val="24"/>
          <w:szCs w:val="24"/>
        </w:rPr>
        <w:t xml:space="preserve">: A global overview. </w:t>
      </w:r>
      <w:r w:rsidRPr="006A7700">
        <w:rPr>
          <w:rFonts w:ascii="Times New Roman" w:hAnsi="Times New Roman" w:cs="Times New Roman"/>
          <w:i/>
          <w:iCs/>
          <w:sz w:val="24"/>
          <w:szCs w:val="24"/>
        </w:rPr>
        <w:t>Frontiers in Microbiology</w:t>
      </w:r>
      <w:r w:rsidRPr="006A7700">
        <w:rPr>
          <w:rFonts w:ascii="Times New Roman" w:hAnsi="Times New Roman" w:cs="Times New Roman"/>
          <w:sz w:val="24"/>
          <w:szCs w:val="24"/>
        </w:rPr>
        <w:t>, 10, 2636.</w:t>
      </w:r>
      <w:r w:rsidRPr="006A7700">
        <w:rPr>
          <w:rFonts w:ascii="Times New Roman" w:hAnsi="Times New Roman" w:cs="Times New Roman"/>
          <w:sz w:val="24"/>
          <w:szCs w:val="24"/>
        </w:rPr>
        <w:br/>
      </w:r>
      <w:hyperlink r:id="rId24" w:tgtFrame="_new" w:history="1">
        <w:r w:rsidRPr="006A7700">
          <w:rPr>
            <w:rStyle w:val="Hyperlink"/>
            <w:rFonts w:ascii="Times New Roman" w:hAnsi="Times New Roman" w:cs="Times New Roman"/>
            <w:sz w:val="24"/>
            <w:szCs w:val="24"/>
          </w:rPr>
          <w:t>https://doi.org/10.3389/fmicb.2019.02636</w:t>
        </w:r>
      </w:hyperlink>
    </w:p>
    <w:p w14:paraId="421E23B4"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proofErr w:type="spellStart"/>
      <w:r w:rsidRPr="006A7700">
        <w:rPr>
          <w:rFonts w:ascii="Times New Roman" w:hAnsi="Times New Roman" w:cs="Times New Roman"/>
          <w:sz w:val="24"/>
          <w:szCs w:val="24"/>
        </w:rPr>
        <w:t>Silbergeld</w:t>
      </w:r>
      <w:proofErr w:type="spellEnd"/>
      <w:r w:rsidRPr="006A7700">
        <w:rPr>
          <w:rFonts w:ascii="Times New Roman" w:hAnsi="Times New Roman" w:cs="Times New Roman"/>
          <w:sz w:val="24"/>
          <w:szCs w:val="24"/>
        </w:rPr>
        <w:t xml:space="preserve">, E. K., Graham, J., &amp; Price, L. B. (2008). Industrial food animal production, antimicrobial resistance, and human health. </w:t>
      </w:r>
      <w:r w:rsidRPr="006A7700">
        <w:rPr>
          <w:rFonts w:ascii="Times New Roman" w:hAnsi="Times New Roman" w:cs="Times New Roman"/>
          <w:i/>
          <w:iCs/>
          <w:sz w:val="24"/>
          <w:szCs w:val="24"/>
        </w:rPr>
        <w:t>Annual Review of Public Health</w:t>
      </w:r>
      <w:r w:rsidRPr="006A7700">
        <w:rPr>
          <w:rFonts w:ascii="Times New Roman" w:hAnsi="Times New Roman" w:cs="Times New Roman"/>
          <w:sz w:val="24"/>
          <w:szCs w:val="24"/>
        </w:rPr>
        <w:t xml:space="preserve">, 29, 151–169. </w:t>
      </w:r>
      <w:hyperlink r:id="rId25" w:history="1">
        <w:r w:rsidRPr="006A7700">
          <w:rPr>
            <w:rStyle w:val="Hyperlink"/>
            <w:rFonts w:ascii="Times New Roman" w:hAnsi="Times New Roman" w:cs="Times New Roman"/>
            <w:sz w:val="24"/>
            <w:szCs w:val="24"/>
          </w:rPr>
          <w:t>https://doi.org/10.1146/annurev.publhealth.29.020907.090904</w:t>
        </w:r>
      </w:hyperlink>
    </w:p>
    <w:p w14:paraId="194C8A62"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Snedecor, G. W., &amp; Cochran, W. G. (1989). </w:t>
      </w:r>
      <w:r w:rsidRPr="006A7700">
        <w:rPr>
          <w:rFonts w:ascii="Times New Roman" w:hAnsi="Times New Roman" w:cs="Times New Roman"/>
          <w:i/>
          <w:iCs/>
          <w:sz w:val="24"/>
          <w:szCs w:val="24"/>
        </w:rPr>
        <w:t>Statistical Methods</w:t>
      </w:r>
      <w:r w:rsidRPr="006A7700">
        <w:rPr>
          <w:rFonts w:ascii="Times New Roman" w:hAnsi="Times New Roman" w:cs="Times New Roman"/>
          <w:sz w:val="24"/>
          <w:szCs w:val="24"/>
        </w:rPr>
        <w:t xml:space="preserve"> (8th ed.). Iowa State University Press. </w:t>
      </w:r>
    </w:p>
    <w:p w14:paraId="5BBB6635" w14:textId="4D61D51B" w:rsidR="008D3526" w:rsidRPr="006A7700" w:rsidRDefault="008D3526" w:rsidP="006A7700">
      <w:pPr>
        <w:spacing w:before="240" w:line="240" w:lineRule="auto"/>
        <w:ind w:left="720" w:hanging="630"/>
        <w:jc w:val="both"/>
        <w:rPr>
          <w:rFonts w:ascii="Times New Roman" w:hAnsi="Times New Roman" w:cs="Times New Roman"/>
          <w:sz w:val="24"/>
          <w:szCs w:val="24"/>
        </w:rPr>
      </w:pPr>
      <w:proofErr w:type="spellStart"/>
      <w:r w:rsidRPr="006A7700">
        <w:rPr>
          <w:rFonts w:ascii="Times New Roman" w:hAnsi="Times New Roman" w:cs="Times New Roman"/>
          <w:sz w:val="24"/>
          <w:szCs w:val="24"/>
        </w:rPr>
        <w:t>Speksnijder</w:t>
      </w:r>
      <w:proofErr w:type="spellEnd"/>
      <w:r w:rsidRPr="006A7700">
        <w:rPr>
          <w:rFonts w:ascii="Times New Roman" w:hAnsi="Times New Roman" w:cs="Times New Roman"/>
          <w:sz w:val="24"/>
          <w:szCs w:val="24"/>
        </w:rPr>
        <w:t xml:space="preserve">, D. C., Jaarsma, A. D. C., Verheij, T. J. M., &amp; Wagenaar, J. A. (2015). Attitudes and perceptions of Dutch veterinarians on their role in the reduction of antimicrobial use in farm animals. </w:t>
      </w:r>
      <w:r w:rsidRPr="006A7700">
        <w:rPr>
          <w:rFonts w:ascii="Times New Roman" w:hAnsi="Times New Roman" w:cs="Times New Roman"/>
          <w:i/>
          <w:iCs/>
          <w:sz w:val="24"/>
          <w:szCs w:val="24"/>
        </w:rPr>
        <w:t>Preventive Veterinary Medicine</w:t>
      </w:r>
      <w:r w:rsidRPr="006A7700">
        <w:rPr>
          <w:rFonts w:ascii="Times New Roman" w:hAnsi="Times New Roman" w:cs="Times New Roman"/>
          <w:sz w:val="24"/>
          <w:szCs w:val="24"/>
        </w:rPr>
        <w:t>, 121(3–4), 365–373.</w:t>
      </w:r>
      <w:r w:rsidRPr="006A7700">
        <w:rPr>
          <w:rFonts w:ascii="Times New Roman" w:hAnsi="Times New Roman" w:cs="Times New Roman"/>
          <w:sz w:val="24"/>
          <w:szCs w:val="24"/>
        </w:rPr>
        <w:br/>
      </w:r>
      <w:hyperlink r:id="rId26" w:tgtFrame="_new" w:history="1">
        <w:r w:rsidRPr="006A7700">
          <w:rPr>
            <w:rStyle w:val="Hyperlink"/>
            <w:rFonts w:ascii="Times New Roman" w:hAnsi="Times New Roman" w:cs="Times New Roman"/>
            <w:sz w:val="24"/>
            <w:szCs w:val="24"/>
          </w:rPr>
          <w:t>https://doi.org/10.1016/j.prevetmed.2015.07.003</w:t>
        </w:r>
      </w:hyperlink>
    </w:p>
    <w:p w14:paraId="5A8C77FA"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Tang, K. L., Caffrey, N. P., Nóbrega, D. B., Cork, S. C., Ronksley, P. E., Barkema, H. W., Polachek, A. J., Ganshorn, H., Sharma, N., Kellner, J. D., &amp; Ghali, W. A. (2017). Restricting antibiotic use in food-producing animals reduces resistance. </w:t>
      </w:r>
      <w:r w:rsidRPr="006A7700">
        <w:rPr>
          <w:rFonts w:ascii="Times New Roman" w:hAnsi="Times New Roman" w:cs="Times New Roman"/>
          <w:i/>
          <w:iCs/>
          <w:sz w:val="24"/>
          <w:szCs w:val="24"/>
        </w:rPr>
        <w:t>The Lancet Planetary Health</w:t>
      </w:r>
      <w:r w:rsidRPr="006A7700">
        <w:rPr>
          <w:rFonts w:ascii="Times New Roman" w:hAnsi="Times New Roman" w:cs="Times New Roman"/>
          <w:sz w:val="24"/>
          <w:szCs w:val="24"/>
        </w:rPr>
        <w:t xml:space="preserve">, 1(8), e316–e327. </w:t>
      </w:r>
      <w:hyperlink r:id="rId27" w:history="1">
        <w:r w:rsidRPr="006A7700">
          <w:rPr>
            <w:rStyle w:val="Hyperlink"/>
            <w:rFonts w:ascii="Times New Roman" w:hAnsi="Times New Roman" w:cs="Times New Roman"/>
            <w:sz w:val="24"/>
            <w:szCs w:val="24"/>
          </w:rPr>
          <w:t>https://doi.org/10.1016/S2542-5196(17)30141-9</w:t>
        </w:r>
      </w:hyperlink>
    </w:p>
    <w:p w14:paraId="59E3A728"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Thrusfield, M. (2018). </w:t>
      </w:r>
      <w:r w:rsidRPr="006A7700">
        <w:rPr>
          <w:rFonts w:ascii="Times New Roman" w:hAnsi="Times New Roman" w:cs="Times New Roman"/>
          <w:i/>
          <w:iCs/>
          <w:sz w:val="24"/>
          <w:szCs w:val="24"/>
        </w:rPr>
        <w:t>Veterinary Epidemiology</w:t>
      </w:r>
      <w:r w:rsidRPr="006A7700">
        <w:rPr>
          <w:rFonts w:ascii="Times New Roman" w:hAnsi="Times New Roman" w:cs="Times New Roman"/>
          <w:sz w:val="24"/>
          <w:szCs w:val="24"/>
        </w:rPr>
        <w:t xml:space="preserve"> (4th ed.). Wiley-Blackwell</w:t>
      </w:r>
    </w:p>
    <w:p w14:paraId="0D90949B"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Van den Bogaard, A. E., &amp; </w:t>
      </w:r>
      <w:proofErr w:type="spellStart"/>
      <w:r w:rsidRPr="006A7700">
        <w:rPr>
          <w:rFonts w:ascii="Times New Roman" w:hAnsi="Times New Roman" w:cs="Times New Roman"/>
          <w:sz w:val="24"/>
          <w:szCs w:val="24"/>
        </w:rPr>
        <w:t>Stobberingh</w:t>
      </w:r>
      <w:proofErr w:type="spellEnd"/>
      <w:r w:rsidRPr="006A7700">
        <w:rPr>
          <w:rFonts w:ascii="Times New Roman" w:hAnsi="Times New Roman" w:cs="Times New Roman"/>
          <w:sz w:val="24"/>
          <w:szCs w:val="24"/>
        </w:rPr>
        <w:t xml:space="preserve">, E. E. (2000). Epidemiology of antibiotic resistance. </w:t>
      </w:r>
      <w:r w:rsidRPr="006A7700">
        <w:rPr>
          <w:rFonts w:ascii="Times New Roman" w:hAnsi="Times New Roman" w:cs="Times New Roman"/>
          <w:i/>
          <w:iCs/>
          <w:sz w:val="24"/>
          <w:szCs w:val="24"/>
        </w:rPr>
        <w:t>The Lancet Infectious Diseases</w:t>
      </w:r>
      <w:r w:rsidRPr="006A7700">
        <w:rPr>
          <w:rFonts w:ascii="Times New Roman" w:hAnsi="Times New Roman" w:cs="Times New Roman"/>
          <w:sz w:val="24"/>
          <w:szCs w:val="24"/>
        </w:rPr>
        <w:t xml:space="preserve">, 1(1), 29–35. </w:t>
      </w:r>
      <w:hyperlink r:id="rId28" w:history="1">
        <w:r w:rsidRPr="006A7700">
          <w:rPr>
            <w:rStyle w:val="Hyperlink"/>
            <w:rFonts w:ascii="Times New Roman" w:hAnsi="Times New Roman" w:cs="Times New Roman"/>
            <w:sz w:val="24"/>
            <w:szCs w:val="24"/>
          </w:rPr>
          <w:t>https://doi.org/10.1016/S1473-3099(00)00036-7</w:t>
        </w:r>
      </w:hyperlink>
    </w:p>
    <w:p w14:paraId="7EA1C76F" w14:textId="77777777" w:rsidR="00430905"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lastRenderedPageBreak/>
        <w:t xml:space="preserve">Van Boeckel, T. P., Brower, C., Gilbert, M., Grenfell, B. T., Levin, S. A., Robinson, T. P., </w:t>
      </w:r>
      <w:proofErr w:type="spellStart"/>
      <w:r w:rsidRPr="006A7700">
        <w:rPr>
          <w:rFonts w:ascii="Times New Roman" w:hAnsi="Times New Roman" w:cs="Times New Roman"/>
          <w:sz w:val="24"/>
          <w:szCs w:val="24"/>
        </w:rPr>
        <w:t>Teillant</w:t>
      </w:r>
      <w:proofErr w:type="spellEnd"/>
      <w:r w:rsidRPr="006A7700">
        <w:rPr>
          <w:rFonts w:ascii="Times New Roman" w:hAnsi="Times New Roman" w:cs="Times New Roman"/>
          <w:sz w:val="24"/>
          <w:szCs w:val="24"/>
        </w:rPr>
        <w:t xml:space="preserve">, A., &amp; Laxminarayan, R. (2015). Global trends in antimicrobial use in food animals. </w:t>
      </w:r>
      <w:r w:rsidRPr="006A7700">
        <w:rPr>
          <w:rFonts w:ascii="Times New Roman" w:hAnsi="Times New Roman" w:cs="Times New Roman"/>
          <w:i/>
          <w:iCs/>
          <w:sz w:val="24"/>
          <w:szCs w:val="24"/>
        </w:rPr>
        <w:t>Proceedings of the National Academy of Sciences</w:t>
      </w:r>
      <w:r w:rsidRPr="006A7700">
        <w:rPr>
          <w:rFonts w:ascii="Times New Roman" w:hAnsi="Times New Roman" w:cs="Times New Roman"/>
          <w:sz w:val="24"/>
          <w:szCs w:val="24"/>
        </w:rPr>
        <w:t xml:space="preserve">, 112(18), 5649–5654. </w:t>
      </w:r>
      <w:hyperlink r:id="rId29" w:history="1">
        <w:r w:rsidRPr="006A7700">
          <w:rPr>
            <w:rStyle w:val="Hyperlink"/>
            <w:rFonts w:ascii="Times New Roman" w:hAnsi="Times New Roman" w:cs="Times New Roman"/>
            <w:sz w:val="24"/>
            <w:szCs w:val="24"/>
          </w:rPr>
          <w:t>https://doi.org/10.1073/pnas.1503141112</w:t>
        </w:r>
      </w:hyperlink>
    </w:p>
    <w:p w14:paraId="5E7E6221" w14:textId="77777777" w:rsidR="00602414"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Woolhouse, M., Ward, M., van </w:t>
      </w:r>
      <w:proofErr w:type="spellStart"/>
      <w:r w:rsidRPr="006A7700">
        <w:rPr>
          <w:rFonts w:ascii="Times New Roman" w:hAnsi="Times New Roman" w:cs="Times New Roman"/>
          <w:sz w:val="24"/>
          <w:szCs w:val="24"/>
        </w:rPr>
        <w:t>Bunnik</w:t>
      </w:r>
      <w:proofErr w:type="spellEnd"/>
      <w:r w:rsidRPr="006A7700">
        <w:rPr>
          <w:rFonts w:ascii="Times New Roman" w:hAnsi="Times New Roman" w:cs="Times New Roman"/>
          <w:sz w:val="24"/>
          <w:szCs w:val="24"/>
        </w:rPr>
        <w:t xml:space="preserve">, B., &amp; Farrar, J. (2015). Antimicrobial resistance in humans, livestock and the wider environment. </w:t>
      </w:r>
      <w:r w:rsidRPr="006A7700">
        <w:rPr>
          <w:rFonts w:ascii="Times New Roman" w:hAnsi="Times New Roman" w:cs="Times New Roman"/>
          <w:i/>
          <w:iCs/>
          <w:sz w:val="24"/>
          <w:szCs w:val="24"/>
        </w:rPr>
        <w:t>Philosophical Transactions of the Royal Society B</w:t>
      </w:r>
      <w:r w:rsidRPr="006A7700">
        <w:rPr>
          <w:rFonts w:ascii="Times New Roman" w:hAnsi="Times New Roman" w:cs="Times New Roman"/>
          <w:sz w:val="24"/>
          <w:szCs w:val="24"/>
        </w:rPr>
        <w:t xml:space="preserve">, 370(1670), 20140083. </w:t>
      </w:r>
      <w:hyperlink r:id="rId30" w:tgtFrame="_new" w:history="1">
        <w:r w:rsidRPr="006A7700">
          <w:rPr>
            <w:rStyle w:val="Hyperlink"/>
            <w:rFonts w:ascii="Times New Roman" w:hAnsi="Times New Roman" w:cs="Times New Roman"/>
            <w:sz w:val="24"/>
            <w:szCs w:val="24"/>
          </w:rPr>
          <w:t>https://doi.org/10.1098/rstb.2014.0083</w:t>
        </w:r>
      </w:hyperlink>
    </w:p>
    <w:p w14:paraId="761FE8D5" w14:textId="01F9D3AA" w:rsidR="00351E26" w:rsidRPr="006A7700" w:rsidRDefault="00351E26"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WHO. (2017). </w:t>
      </w:r>
      <w:r w:rsidRPr="006A7700">
        <w:rPr>
          <w:rFonts w:ascii="Times New Roman" w:hAnsi="Times New Roman" w:cs="Times New Roman"/>
          <w:i/>
          <w:iCs/>
          <w:sz w:val="24"/>
          <w:szCs w:val="24"/>
        </w:rPr>
        <w:t>Global action plan on antimicrobial resistance</w:t>
      </w:r>
      <w:r w:rsidRPr="006A7700">
        <w:rPr>
          <w:rFonts w:ascii="Times New Roman" w:hAnsi="Times New Roman" w:cs="Times New Roman"/>
          <w:sz w:val="24"/>
          <w:szCs w:val="24"/>
        </w:rPr>
        <w:t>. World Health Organization.</w:t>
      </w:r>
      <w:r w:rsidRPr="006A7700">
        <w:rPr>
          <w:rFonts w:ascii="Times New Roman" w:hAnsi="Times New Roman" w:cs="Times New Roman"/>
          <w:sz w:val="24"/>
          <w:szCs w:val="24"/>
        </w:rPr>
        <w:br/>
      </w:r>
      <w:hyperlink r:id="rId31" w:tgtFrame="_new" w:history="1">
        <w:r w:rsidRPr="006A7700">
          <w:rPr>
            <w:rStyle w:val="Hyperlink"/>
            <w:rFonts w:ascii="Times New Roman" w:hAnsi="Times New Roman" w:cs="Times New Roman"/>
            <w:sz w:val="24"/>
            <w:szCs w:val="24"/>
          </w:rPr>
          <w:t>https://www.who.int/publications/i/item/9789241509763</w:t>
        </w:r>
      </w:hyperlink>
    </w:p>
    <w:p w14:paraId="55374132" w14:textId="7D2F8BC4" w:rsidR="00895C58" w:rsidRPr="006A7700" w:rsidRDefault="00430905" w:rsidP="006A7700">
      <w:pPr>
        <w:spacing w:before="240" w:line="240" w:lineRule="auto"/>
        <w:ind w:left="720" w:hanging="630"/>
        <w:jc w:val="both"/>
        <w:rPr>
          <w:rFonts w:ascii="Times New Roman" w:hAnsi="Times New Roman" w:cs="Times New Roman"/>
          <w:sz w:val="24"/>
          <w:szCs w:val="24"/>
        </w:rPr>
      </w:pPr>
      <w:r w:rsidRPr="006A7700">
        <w:rPr>
          <w:rFonts w:ascii="Times New Roman" w:hAnsi="Times New Roman" w:cs="Times New Roman"/>
          <w:sz w:val="24"/>
          <w:szCs w:val="24"/>
        </w:rPr>
        <w:t xml:space="preserve">Zar, J. H. (2010). </w:t>
      </w:r>
      <w:r w:rsidRPr="006A7700">
        <w:rPr>
          <w:rFonts w:ascii="Times New Roman" w:hAnsi="Times New Roman" w:cs="Times New Roman"/>
          <w:i/>
          <w:iCs/>
          <w:sz w:val="24"/>
          <w:szCs w:val="24"/>
        </w:rPr>
        <w:t>Biostatistical Analysis</w:t>
      </w:r>
      <w:r w:rsidRPr="006A7700">
        <w:rPr>
          <w:rFonts w:ascii="Times New Roman" w:hAnsi="Times New Roman" w:cs="Times New Roman"/>
          <w:sz w:val="24"/>
          <w:szCs w:val="24"/>
        </w:rPr>
        <w:t xml:space="preserve"> (5th ed.). Pearson.</w:t>
      </w:r>
    </w:p>
    <w:sectPr w:rsidR="00895C58" w:rsidRPr="006A7700" w:rsidSect="00DA275C">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51FD6" w14:textId="77777777" w:rsidR="00C9194D" w:rsidRDefault="00C9194D" w:rsidP="005331CC">
      <w:pPr>
        <w:spacing w:after="0" w:line="240" w:lineRule="auto"/>
      </w:pPr>
      <w:r>
        <w:separator/>
      </w:r>
    </w:p>
  </w:endnote>
  <w:endnote w:type="continuationSeparator" w:id="0">
    <w:p w14:paraId="2AAB437D" w14:textId="77777777" w:rsidR="00C9194D" w:rsidRDefault="00C9194D" w:rsidP="00533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1765" w14:textId="77777777" w:rsidR="005331CC" w:rsidRDefault="00533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73D8" w14:textId="77777777" w:rsidR="005331CC" w:rsidRDefault="00533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8D3B" w14:textId="77777777" w:rsidR="005331CC" w:rsidRDefault="00533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983B0" w14:textId="77777777" w:rsidR="00C9194D" w:rsidRDefault="00C9194D" w:rsidP="005331CC">
      <w:pPr>
        <w:spacing w:after="0" w:line="240" w:lineRule="auto"/>
      </w:pPr>
      <w:r>
        <w:separator/>
      </w:r>
    </w:p>
  </w:footnote>
  <w:footnote w:type="continuationSeparator" w:id="0">
    <w:p w14:paraId="09BB3A3C" w14:textId="77777777" w:rsidR="00C9194D" w:rsidRDefault="00C9194D" w:rsidP="00533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28749" w14:textId="6D33E46A" w:rsidR="005331CC" w:rsidRDefault="005331CC">
    <w:pPr>
      <w:pStyle w:val="Header"/>
    </w:pPr>
    <w:r>
      <w:rPr>
        <w:noProof/>
      </w:rPr>
      <w:pict w14:anchorId="1D053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76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45AA" w14:textId="46B77202" w:rsidR="005331CC" w:rsidRDefault="005331CC">
    <w:pPr>
      <w:pStyle w:val="Header"/>
    </w:pPr>
    <w:r>
      <w:rPr>
        <w:noProof/>
      </w:rPr>
      <w:pict w14:anchorId="075E4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76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B60C" w14:textId="0909F7A8" w:rsidR="005331CC" w:rsidRDefault="005331CC">
    <w:pPr>
      <w:pStyle w:val="Header"/>
    </w:pPr>
    <w:r>
      <w:rPr>
        <w:noProof/>
      </w:rPr>
      <w:pict w14:anchorId="30069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76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0154"/>
    <w:multiLevelType w:val="multilevel"/>
    <w:tmpl w:val="69A2D1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D4624"/>
    <w:multiLevelType w:val="multilevel"/>
    <w:tmpl w:val="2892B3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D0C62"/>
    <w:multiLevelType w:val="multilevel"/>
    <w:tmpl w:val="885259F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0D2A21"/>
    <w:multiLevelType w:val="multilevel"/>
    <w:tmpl w:val="C95ED5C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104347"/>
    <w:multiLevelType w:val="multilevel"/>
    <w:tmpl w:val="8786C2F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7E0BE8"/>
    <w:multiLevelType w:val="multilevel"/>
    <w:tmpl w:val="C52A8B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26703A"/>
    <w:multiLevelType w:val="multilevel"/>
    <w:tmpl w:val="594AD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C6633E"/>
    <w:multiLevelType w:val="multilevel"/>
    <w:tmpl w:val="FC06025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02422F"/>
    <w:multiLevelType w:val="multilevel"/>
    <w:tmpl w:val="842E77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BD4DD7"/>
    <w:multiLevelType w:val="multilevel"/>
    <w:tmpl w:val="D132107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6F60B4"/>
    <w:multiLevelType w:val="multilevel"/>
    <w:tmpl w:val="5BE4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1A68B0"/>
    <w:multiLevelType w:val="multilevel"/>
    <w:tmpl w:val="FA4CE5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96214B"/>
    <w:multiLevelType w:val="multilevel"/>
    <w:tmpl w:val="FFA273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11"/>
  </w:num>
  <w:num w:numId="4">
    <w:abstractNumId w:val="3"/>
  </w:num>
  <w:num w:numId="5">
    <w:abstractNumId w:val="9"/>
  </w:num>
  <w:num w:numId="6">
    <w:abstractNumId w:val="12"/>
  </w:num>
  <w:num w:numId="7">
    <w:abstractNumId w:val="4"/>
  </w:num>
  <w:num w:numId="8">
    <w:abstractNumId w:val="10"/>
  </w:num>
  <w:num w:numId="9">
    <w:abstractNumId w:val="0"/>
  </w:num>
  <w:num w:numId="10">
    <w:abstractNumId w:val="5"/>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F5"/>
    <w:rsid w:val="00024799"/>
    <w:rsid w:val="0002716B"/>
    <w:rsid w:val="0007061D"/>
    <w:rsid w:val="00097FEB"/>
    <w:rsid w:val="000A0B31"/>
    <w:rsid w:val="000E62DE"/>
    <w:rsid w:val="000F5AAC"/>
    <w:rsid w:val="001077F3"/>
    <w:rsid w:val="00115812"/>
    <w:rsid w:val="001444A6"/>
    <w:rsid w:val="0014784C"/>
    <w:rsid w:val="00165258"/>
    <w:rsid w:val="001C7645"/>
    <w:rsid w:val="0021478D"/>
    <w:rsid w:val="00237574"/>
    <w:rsid w:val="00250AD2"/>
    <w:rsid w:val="00257477"/>
    <w:rsid w:val="0027359C"/>
    <w:rsid w:val="00317643"/>
    <w:rsid w:val="00351E26"/>
    <w:rsid w:val="00353BD0"/>
    <w:rsid w:val="00373EBD"/>
    <w:rsid w:val="003B39A9"/>
    <w:rsid w:val="00422106"/>
    <w:rsid w:val="00430905"/>
    <w:rsid w:val="00477FB6"/>
    <w:rsid w:val="00493B67"/>
    <w:rsid w:val="004B2728"/>
    <w:rsid w:val="004E48A5"/>
    <w:rsid w:val="004F29CD"/>
    <w:rsid w:val="004F3140"/>
    <w:rsid w:val="0052572D"/>
    <w:rsid w:val="005331CC"/>
    <w:rsid w:val="00564A29"/>
    <w:rsid w:val="00602414"/>
    <w:rsid w:val="00612A78"/>
    <w:rsid w:val="00625B98"/>
    <w:rsid w:val="006639ED"/>
    <w:rsid w:val="00670C2B"/>
    <w:rsid w:val="006A2AE6"/>
    <w:rsid w:val="006A7700"/>
    <w:rsid w:val="006B1A91"/>
    <w:rsid w:val="00717FE1"/>
    <w:rsid w:val="00772BCB"/>
    <w:rsid w:val="00773BD7"/>
    <w:rsid w:val="007977E1"/>
    <w:rsid w:val="007C142E"/>
    <w:rsid w:val="007C7E6A"/>
    <w:rsid w:val="007D19B4"/>
    <w:rsid w:val="00823B7D"/>
    <w:rsid w:val="00864C60"/>
    <w:rsid w:val="00877386"/>
    <w:rsid w:val="00895C58"/>
    <w:rsid w:val="008C4836"/>
    <w:rsid w:val="008D3526"/>
    <w:rsid w:val="009070DE"/>
    <w:rsid w:val="00914E62"/>
    <w:rsid w:val="00932895"/>
    <w:rsid w:val="009A6AC7"/>
    <w:rsid w:val="009C417E"/>
    <w:rsid w:val="00A24D1F"/>
    <w:rsid w:val="00AF39FE"/>
    <w:rsid w:val="00B66CB4"/>
    <w:rsid w:val="00BB3D1B"/>
    <w:rsid w:val="00BC7F2C"/>
    <w:rsid w:val="00C56CF5"/>
    <w:rsid w:val="00C838F5"/>
    <w:rsid w:val="00C9194D"/>
    <w:rsid w:val="00CA4D9A"/>
    <w:rsid w:val="00D030B0"/>
    <w:rsid w:val="00DA275C"/>
    <w:rsid w:val="00DC044C"/>
    <w:rsid w:val="00DC1045"/>
    <w:rsid w:val="00E037BB"/>
    <w:rsid w:val="00E348B1"/>
    <w:rsid w:val="00E9173C"/>
    <w:rsid w:val="00E93BD3"/>
    <w:rsid w:val="00EC1E5E"/>
    <w:rsid w:val="00EC566A"/>
    <w:rsid w:val="00EF0D55"/>
    <w:rsid w:val="00F03E9B"/>
    <w:rsid w:val="00F74A7F"/>
    <w:rsid w:val="00F7615F"/>
    <w:rsid w:val="00FA23E9"/>
    <w:rsid w:val="00FB510A"/>
    <w:rsid w:val="00FD36C6"/>
    <w:rsid w:val="00FE00DC"/>
    <w:rsid w:val="00FF258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53EBBD"/>
  <w15:chartTrackingRefBased/>
  <w15:docId w15:val="{444659F2-FDA6-4F35-AD16-39BC4244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Gautami"/>
        <w:kern w:val="2"/>
        <w:sz w:val="22"/>
        <w:szCs w:val="22"/>
        <w:lang w:val="en-US"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C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6C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6C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C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6C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6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C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C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C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6C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6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F5"/>
    <w:rPr>
      <w:rFonts w:eastAsiaTheme="majorEastAsia" w:cstheme="majorBidi"/>
      <w:color w:val="272727" w:themeColor="text1" w:themeTint="D8"/>
    </w:rPr>
  </w:style>
  <w:style w:type="paragraph" w:styleId="Title">
    <w:name w:val="Title"/>
    <w:basedOn w:val="Normal"/>
    <w:next w:val="Normal"/>
    <w:link w:val="TitleChar"/>
    <w:uiPriority w:val="10"/>
    <w:qFormat/>
    <w:rsid w:val="00C5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F5"/>
    <w:pPr>
      <w:spacing w:before="160"/>
      <w:jc w:val="center"/>
    </w:pPr>
    <w:rPr>
      <w:i/>
      <w:iCs/>
      <w:color w:val="404040" w:themeColor="text1" w:themeTint="BF"/>
    </w:rPr>
  </w:style>
  <w:style w:type="character" w:customStyle="1" w:styleId="QuoteChar">
    <w:name w:val="Quote Char"/>
    <w:basedOn w:val="DefaultParagraphFont"/>
    <w:link w:val="Quote"/>
    <w:uiPriority w:val="29"/>
    <w:rsid w:val="00C56CF5"/>
    <w:rPr>
      <w:i/>
      <w:iCs/>
      <w:color w:val="404040" w:themeColor="text1" w:themeTint="BF"/>
    </w:rPr>
  </w:style>
  <w:style w:type="paragraph" w:styleId="ListParagraph">
    <w:name w:val="List Paragraph"/>
    <w:basedOn w:val="Normal"/>
    <w:uiPriority w:val="34"/>
    <w:qFormat/>
    <w:rsid w:val="00C56CF5"/>
    <w:pPr>
      <w:ind w:left="720"/>
      <w:contextualSpacing/>
    </w:pPr>
  </w:style>
  <w:style w:type="character" w:styleId="IntenseEmphasis">
    <w:name w:val="Intense Emphasis"/>
    <w:basedOn w:val="DefaultParagraphFont"/>
    <w:uiPriority w:val="21"/>
    <w:qFormat/>
    <w:rsid w:val="00C56CF5"/>
    <w:rPr>
      <w:i/>
      <w:iCs/>
      <w:color w:val="2F5496" w:themeColor="accent1" w:themeShade="BF"/>
    </w:rPr>
  </w:style>
  <w:style w:type="paragraph" w:styleId="IntenseQuote">
    <w:name w:val="Intense Quote"/>
    <w:basedOn w:val="Normal"/>
    <w:next w:val="Normal"/>
    <w:link w:val="IntenseQuoteChar"/>
    <w:uiPriority w:val="30"/>
    <w:qFormat/>
    <w:rsid w:val="00C56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CF5"/>
    <w:rPr>
      <w:i/>
      <w:iCs/>
      <w:color w:val="2F5496" w:themeColor="accent1" w:themeShade="BF"/>
    </w:rPr>
  </w:style>
  <w:style w:type="character" w:styleId="IntenseReference">
    <w:name w:val="Intense Reference"/>
    <w:basedOn w:val="DefaultParagraphFont"/>
    <w:uiPriority w:val="32"/>
    <w:qFormat/>
    <w:rsid w:val="00C56CF5"/>
    <w:rPr>
      <w:b/>
      <w:bCs/>
      <w:smallCaps/>
      <w:color w:val="2F5496" w:themeColor="accent1" w:themeShade="BF"/>
      <w:spacing w:val="5"/>
    </w:rPr>
  </w:style>
  <w:style w:type="table" w:styleId="TableGrid">
    <w:name w:val="Table Grid"/>
    <w:basedOn w:val="TableNormal"/>
    <w:uiPriority w:val="39"/>
    <w:rsid w:val="00EC1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B98"/>
    <w:rPr>
      <w:color w:val="0563C1" w:themeColor="hyperlink"/>
      <w:u w:val="single"/>
    </w:rPr>
  </w:style>
  <w:style w:type="character" w:styleId="UnresolvedMention">
    <w:name w:val="Unresolved Mention"/>
    <w:basedOn w:val="DefaultParagraphFont"/>
    <w:uiPriority w:val="99"/>
    <w:semiHidden/>
    <w:unhideWhenUsed/>
    <w:rsid w:val="00625B98"/>
    <w:rPr>
      <w:color w:val="605E5C"/>
      <w:shd w:val="clear" w:color="auto" w:fill="E1DFDD"/>
    </w:rPr>
  </w:style>
  <w:style w:type="paragraph" w:styleId="NormalWeb">
    <w:name w:val="Normal (Web)"/>
    <w:basedOn w:val="Normal"/>
    <w:uiPriority w:val="99"/>
    <w:semiHidden/>
    <w:unhideWhenUsed/>
    <w:rsid w:val="00317643"/>
    <w:rPr>
      <w:rFonts w:ascii="Times New Roman" w:hAnsi="Times New Roman" w:cs="Times New Roman"/>
      <w:sz w:val="24"/>
      <w:szCs w:val="24"/>
    </w:rPr>
  </w:style>
  <w:style w:type="paragraph" w:styleId="Header">
    <w:name w:val="header"/>
    <w:basedOn w:val="Normal"/>
    <w:link w:val="HeaderChar"/>
    <w:uiPriority w:val="99"/>
    <w:unhideWhenUsed/>
    <w:rsid w:val="00533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1CC"/>
  </w:style>
  <w:style w:type="paragraph" w:styleId="Footer">
    <w:name w:val="footer"/>
    <w:basedOn w:val="Normal"/>
    <w:link w:val="FooterChar"/>
    <w:uiPriority w:val="99"/>
    <w:unhideWhenUsed/>
    <w:rsid w:val="00533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revetmed.2011.10.006" TargetMode="External"/><Relationship Id="rId18" Type="http://schemas.openxmlformats.org/officeDocument/2006/relationships/hyperlink" Target="https://doi.org/10.1128/CMR.00002-11" TargetMode="External"/><Relationship Id="rId26" Type="http://schemas.openxmlformats.org/officeDocument/2006/relationships/hyperlink" Target="https://doi.org/10.1016/j.prevetmed.2015.07.003" TargetMode="External"/><Relationship Id="rId39" Type="http://schemas.openxmlformats.org/officeDocument/2006/relationships/theme" Target="theme/theme1.xml"/><Relationship Id="rId21" Type="http://schemas.openxmlformats.org/officeDocument/2006/relationships/hyperlink" Target="https://doi.org/10.1016/S0140-6736(16)31123-9"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oi.org/10.4060/cb8553en" TargetMode="External"/><Relationship Id="rId17" Type="http://schemas.openxmlformats.org/officeDocument/2006/relationships/hyperlink" Target="https://doi.org/10.3390/molecules23040795" TargetMode="External"/><Relationship Id="rId25" Type="http://schemas.openxmlformats.org/officeDocument/2006/relationships/hyperlink" Target="https://doi.org/10.1146/annurev.publhealth.29.020907.09090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003335491212700103" TargetMode="External"/><Relationship Id="rId20" Type="http://schemas.openxmlformats.org/officeDocument/2006/relationships/hyperlink" Target="https://doi.org/10.3389/fvets.2020.00043" TargetMode="External"/><Relationship Id="rId29" Type="http://schemas.openxmlformats.org/officeDocument/2006/relationships/hyperlink" Target="https://doi.org/10.1073/pnas.15031411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ps/86.6.1265" TargetMode="External"/><Relationship Id="rId24" Type="http://schemas.openxmlformats.org/officeDocument/2006/relationships/hyperlink" Target="https://doi.org/10.3389/fmicb.2019.0263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527/jas.2006-091" TargetMode="External"/><Relationship Id="rId23" Type="http://schemas.openxmlformats.org/officeDocument/2006/relationships/hyperlink" Target="https://doi.org/10.3390/antibiotics8010032" TargetMode="External"/><Relationship Id="rId28" Type="http://schemas.openxmlformats.org/officeDocument/2006/relationships/hyperlink" Target="https://doi.org/10.1016/S1473-3099(00)00036-7" TargetMode="External"/><Relationship Id="rId36" Type="http://schemas.openxmlformats.org/officeDocument/2006/relationships/header" Target="header3.xml"/><Relationship Id="rId10" Type="http://schemas.openxmlformats.org/officeDocument/2006/relationships/hyperlink" Target="https://doi.org/10.1186/s12917-016-0659-1" TargetMode="External"/><Relationship Id="rId19" Type="http://schemas.openxmlformats.org/officeDocument/2006/relationships/hyperlink" Target="https://doi.org/10.3390/vetsci4030033" TargetMode="External"/><Relationship Id="rId31" Type="http://schemas.openxmlformats.org/officeDocument/2006/relationships/hyperlink" Target="https://www.who.int/publications/i/item/9789241509763" TargetMode="External"/><Relationship Id="rId4" Type="http://schemas.openxmlformats.org/officeDocument/2006/relationships/webSettings" Target="webSettings.xml"/><Relationship Id="rId9" Type="http://schemas.openxmlformats.org/officeDocument/2006/relationships/hyperlink" Target="https://doi.org/10.1080/00071660410001730829" TargetMode="External"/><Relationship Id="rId14" Type="http://schemas.openxmlformats.org/officeDocument/2006/relationships/hyperlink" Target="https://doi.org/10.1093/ps/83.4.650" TargetMode="External"/><Relationship Id="rId22" Type="http://schemas.openxmlformats.org/officeDocument/2006/relationships/hyperlink" Target="https://doi.org/10.1093/jac/dkw087" TargetMode="External"/><Relationship Id="rId27" Type="http://schemas.openxmlformats.org/officeDocument/2006/relationships/hyperlink" Target="https://doi.org/10.1016/S2542-5196(17)30141-9" TargetMode="External"/><Relationship Id="rId30" Type="http://schemas.openxmlformats.org/officeDocument/2006/relationships/hyperlink" Target="https://doi.org/10.1098/rstb.2014.0083" TargetMode="External"/><Relationship Id="rId35" Type="http://schemas.openxmlformats.org/officeDocument/2006/relationships/footer" Target="footer2.xml"/><Relationship Id="rId8" Type="http://schemas.openxmlformats.org/officeDocument/2006/relationships/hyperlink" Target="https://doi.org/10.1016/j.onehlt.2020.10016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14</Pages>
  <Words>5963</Words>
  <Characters>33992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Modala Mallesh</dc:creator>
  <cp:keywords/>
  <dc:description/>
  <cp:lastModifiedBy>SDI 1084</cp:lastModifiedBy>
  <cp:revision>101</cp:revision>
  <cp:lastPrinted>2026-03-23T13:25:00Z</cp:lastPrinted>
  <dcterms:created xsi:type="dcterms:W3CDTF">2026-03-23T02:42:00Z</dcterms:created>
  <dcterms:modified xsi:type="dcterms:W3CDTF">2026-03-24T13:40:00Z</dcterms:modified>
</cp:coreProperties>
</file>