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01B55" w14:textId="77777777" w:rsidR="004B71DF" w:rsidRDefault="004B71DF" w:rsidP="004B71DF">
      <w:pPr>
        <w:pStyle w:val="Heading1"/>
        <w:jc w:val="center"/>
        <w:rPr>
          <w:rFonts w:ascii="Times New Roman" w:hAnsi="Times New Roman"/>
          <w:b/>
          <w:bCs/>
          <w:sz w:val="24"/>
          <w:szCs w:val="24"/>
          <w:lang w:bidi="ar-EG"/>
        </w:rPr>
      </w:pPr>
      <w:r w:rsidRPr="00623D70">
        <w:rPr>
          <w:rFonts w:ascii="Times New Roman" w:hAnsi="Times New Roman" w:hint="cs"/>
          <w:b/>
          <w:bCs/>
          <w:sz w:val="24"/>
          <w:szCs w:val="24"/>
          <w:rtl/>
          <w:lang w:bidi="ar-EG"/>
        </w:rPr>
        <w:t>B</w:t>
      </w:r>
      <w:r w:rsidRPr="00623D70">
        <w:rPr>
          <w:rFonts w:ascii="Times New Roman" w:hAnsi="Times New Roman"/>
          <w:b/>
          <w:bCs/>
          <w:sz w:val="24"/>
          <w:szCs w:val="24"/>
          <w:rtl/>
          <w:lang w:bidi="ar-EG"/>
        </w:rPr>
        <w:t>iometric Relationships, Sex Ratio, and Seasonal Condition Factor of Sardinella maderensis in the Eastern Mediterranean</w:t>
      </w:r>
    </w:p>
    <w:p w14:paraId="05270916" w14:textId="77777777" w:rsidR="004E04A8" w:rsidRDefault="004E04A8" w:rsidP="004B71DF">
      <w:pPr>
        <w:pStyle w:val="Heading1"/>
        <w:rPr>
          <w:rFonts w:ascii="Times New Roman" w:hAnsi="Times New Roman"/>
          <w:b/>
          <w:bCs/>
          <w:sz w:val="24"/>
          <w:szCs w:val="24"/>
          <w:rtl/>
        </w:rPr>
      </w:pPr>
    </w:p>
    <w:p w14:paraId="655E1264" w14:textId="77777777" w:rsidR="004E04A8" w:rsidRDefault="004E04A8" w:rsidP="004B71DF">
      <w:pPr>
        <w:pStyle w:val="Heading1"/>
        <w:rPr>
          <w:rFonts w:ascii="Times New Roman" w:hAnsi="Times New Roman"/>
          <w:b/>
          <w:bCs/>
          <w:sz w:val="24"/>
          <w:szCs w:val="24"/>
          <w:rtl/>
        </w:rPr>
      </w:pPr>
    </w:p>
    <w:p w14:paraId="7B1559BA" w14:textId="45944D16" w:rsidR="004B71DF" w:rsidRPr="00DA2DC4" w:rsidRDefault="004B71DF" w:rsidP="004B71DF">
      <w:pPr>
        <w:pStyle w:val="Heading1"/>
        <w:rPr>
          <w:rFonts w:ascii="Times New Roman" w:hAnsi="Times New Roman"/>
          <w:b/>
          <w:bCs/>
          <w:sz w:val="24"/>
          <w:szCs w:val="24"/>
          <w:rtl/>
        </w:rPr>
      </w:pPr>
      <w:bookmarkStart w:id="0" w:name="_GoBack"/>
      <w:bookmarkEnd w:id="0"/>
      <w:r w:rsidRPr="00DA2DC4">
        <w:rPr>
          <w:rFonts w:ascii="Times New Roman" w:hAnsi="Times New Roman"/>
          <w:b/>
          <w:bCs/>
          <w:sz w:val="24"/>
          <w:szCs w:val="24"/>
          <w:rtl/>
        </w:rPr>
        <w:t>Abstract</w:t>
      </w:r>
    </w:p>
    <w:p w14:paraId="7D202A34" w14:textId="77777777" w:rsidR="00897CAC" w:rsidRPr="00EF4A71" w:rsidRDefault="00897CAC" w:rsidP="00D333F9">
      <w:pPr>
        <w:bidi w:val="0"/>
        <w:jc w:val="right"/>
        <w:rPr>
          <w:rFonts w:ascii="Times New Roman" w:hAnsi="Times New Roman" w:cs="Times New Roman"/>
          <w:sz w:val="24"/>
          <w:szCs w:val="24"/>
          <w:lang w:bidi="ar-DZ"/>
        </w:rPr>
      </w:pPr>
    </w:p>
    <w:p w14:paraId="560013D6" w14:textId="77777777" w:rsidR="00623D70" w:rsidRDefault="00897CAC" w:rsidP="00D333F9">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African sardine Sardinella maderensis is an economically important small pelagic species widely distributed along the Eastern Mediterranean coast. Understanding its biological characteristics is essential for sustainable fisheries management. This study investigates the length–weight relationship (LWR), length–frequency distribution, sex-related size structure, and seasonal variation of the condition factor (K) of S. maderen</w:t>
      </w:r>
      <w:r w:rsidR="00623D70">
        <w:rPr>
          <w:rFonts w:ascii="Times New Roman" w:hAnsi="Times New Roman" w:cs="Times New Roman"/>
          <w:sz w:val="24"/>
          <w:szCs w:val="24"/>
          <w:lang w:bidi="ar-DZ"/>
        </w:rPr>
        <w:t xml:space="preserve">sis. A total of 390 </w:t>
      </w:r>
      <w:proofErr w:type="gramStart"/>
      <w:r w:rsidR="00623D70">
        <w:rPr>
          <w:rFonts w:ascii="Times New Roman" w:hAnsi="Times New Roman" w:cs="Times New Roman"/>
          <w:sz w:val="24"/>
          <w:szCs w:val="24"/>
          <w:lang w:bidi="ar-DZ"/>
        </w:rPr>
        <w:t xml:space="preserve">individuals </w:t>
      </w:r>
      <w:r w:rsidRPr="00EF4A71">
        <w:rPr>
          <w:rFonts w:ascii="Times New Roman" w:hAnsi="Times New Roman" w:cs="Times New Roman"/>
          <w:sz w:val="24"/>
          <w:szCs w:val="24"/>
          <w:lang w:bidi="ar-DZ"/>
        </w:rPr>
        <w:t xml:space="preserve"> ranging</w:t>
      </w:r>
      <w:proofErr w:type="gramEnd"/>
      <w:r w:rsidRPr="00EF4A71">
        <w:rPr>
          <w:rFonts w:ascii="Times New Roman" w:hAnsi="Times New Roman" w:cs="Times New Roman"/>
          <w:sz w:val="24"/>
          <w:szCs w:val="24"/>
          <w:lang w:bidi="ar-DZ"/>
        </w:rPr>
        <w:t xml:space="preserve"> from approximately </w:t>
      </w:r>
      <w:r w:rsidR="00623D70">
        <w:rPr>
          <w:rFonts w:ascii="Times New Roman" w:hAnsi="Times New Roman" w:cs="Times New Roman"/>
          <w:sz w:val="24"/>
          <w:szCs w:val="24"/>
          <w:lang w:bidi="ar-DZ"/>
        </w:rPr>
        <w:t>9</w:t>
      </w:r>
      <w:r w:rsidRPr="00EF4A71">
        <w:rPr>
          <w:rFonts w:ascii="Times New Roman" w:hAnsi="Times New Roman" w:cs="Times New Roman"/>
          <w:sz w:val="24"/>
          <w:szCs w:val="24"/>
          <w:lang w:bidi="ar-DZ"/>
        </w:rPr>
        <w:t xml:space="preserve"> cm to over 25 cm in total length were analyzed</w:t>
      </w:r>
      <w:r w:rsidR="00623D70">
        <w:rPr>
          <w:rFonts w:ascii="Times New Roman" w:hAnsi="Times New Roman" w:cs="Times New Roman"/>
          <w:sz w:val="24"/>
          <w:szCs w:val="24"/>
          <w:lang w:bidi="ar-DZ"/>
        </w:rPr>
        <w:t>.</w:t>
      </w:r>
    </w:p>
    <w:p w14:paraId="5C05D7D3" w14:textId="77777777" w:rsidR="00B1629F" w:rsidRDefault="00623D70" w:rsidP="00D333F9">
      <w:pPr>
        <w:bidi w:val="0"/>
        <w:jc w:val="both"/>
        <w:rPr>
          <w:rFonts w:ascii="Times New Roman" w:hAnsi="Times New Roman" w:cs="Times New Roman"/>
          <w:sz w:val="24"/>
          <w:szCs w:val="24"/>
          <w:rtl/>
          <w:lang w:bidi="ar-DZ"/>
        </w:rPr>
      </w:pPr>
      <w:r>
        <w:rPr>
          <w:rFonts w:ascii="Times New Roman" w:hAnsi="Times New Roman" w:cs="Times New Roman"/>
          <w:sz w:val="24"/>
          <w:szCs w:val="24"/>
          <w:lang w:bidi="ar-DZ"/>
        </w:rPr>
        <w:t xml:space="preserve">The </w:t>
      </w:r>
      <w:proofErr w:type="gramStart"/>
      <w:r>
        <w:rPr>
          <w:rFonts w:ascii="Times New Roman" w:hAnsi="Times New Roman" w:cs="Times New Roman"/>
          <w:sz w:val="24"/>
          <w:szCs w:val="24"/>
          <w:lang w:bidi="ar-DZ"/>
        </w:rPr>
        <w:t xml:space="preserve">population </w:t>
      </w:r>
      <w:r w:rsidR="00897CAC" w:rsidRPr="00EF4A71">
        <w:rPr>
          <w:rFonts w:ascii="Times New Roman" w:hAnsi="Times New Roman" w:cs="Times New Roman"/>
          <w:sz w:val="24"/>
          <w:szCs w:val="24"/>
          <w:lang w:bidi="ar-DZ"/>
        </w:rPr>
        <w:t xml:space="preserve"> was</w:t>
      </w:r>
      <w:proofErr w:type="gramEnd"/>
      <w:r w:rsidR="00897CAC" w:rsidRPr="00EF4A71">
        <w:rPr>
          <w:rFonts w:ascii="Times New Roman" w:hAnsi="Times New Roman" w:cs="Times New Roman"/>
          <w:sz w:val="24"/>
          <w:szCs w:val="24"/>
          <w:lang w:bidi="ar-DZ"/>
        </w:rPr>
        <w:t xml:space="preserve"> dominated by medium-sized individuals (10–20 cm), with females slightly more</w:t>
      </w:r>
      <w:r>
        <w:rPr>
          <w:rFonts w:ascii="Times New Roman" w:hAnsi="Times New Roman" w:cs="Times New Roman"/>
          <w:sz w:val="24"/>
          <w:szCs w:val="24"/>
          <w:lang w:bidi="ar-DZ"/>
        </w:rPr>
        <w:t xml:space="preserve"> </w:t>
      </w:r>
      <w:r w:rsidR="00897CAC" w:rsidRPr="00EF4A71">
        <w:rPr>
          <w:rFonts w:ascii="Times New Roman" w:hAnsi="Times New Roman" w:cs="Times New Roman"/>
          <w:sz w:val="24"/>
          <w:szCs w:val="24"/>
          <w:lang w:bidi="ar-DZ"/>
        </w:rPr>
        <w:t>represented in larger size classes. The LWR showed near-isometric growth for both males (b = 2.97) and females (b = 2.9), indicating proportional growth in weight relative to length. In contrast, the condition factor exhibited pronounced seasonal variation, with critically low values during winter (K ≈ 0.65) and peak values during the pre-spawning period in April (K ≈ 0.93 for females and 0.91 for males). These findings demonstrate that while overall growth patterns remain stable, physiological condition fluctuates markedly in relation to reproductive cycles. The results provide valuable baseline information for stock assessment and highlight critical periods of biological vulnerability relevant to fisheries management.</w:t>
      </w:r>
    </w:p>
    <w:p w14:paraId="4046B61B" w14:textId="77777777" w:rsidR="00632084" w:rsidRPr="00EF4A71" w:rsidRDefault="00632084" w:rsidP="00632084">
      <w:pPr>
        <w:bidi w:val="0"/>
        <w:jc w:val="both"/>
        <w:rPr>
          <w:rFonts w:ascii="Times New Roman" w:hAnsi="Times New Roman" w:cs="Times New Roman"/>
          <w:sz w:val="24"/>
          <w:szCs w:val="24"/>
          <w:lang w:bidi="ar-DZ"/>
        </w:rPr>
      </w:pPr>
    </w:p>
    <w:p w14:paraId="6735A6BF" w14:textId="39B44167" w:rsidR="00B1629F" w:rsidRPr="00DA2DC4" w:rsidRDefault="001B1E99" w:rsidP="00B1629F">
      <w:pPr>
        <w:bidi w:val="0"/>
        <w:rPr>
          <w:rFonts w:ascii="Times New Roman" w:hAnsi="Times New Roman" w:cs="Times New Roman"/>
          <w:b/>
          <w:bCs/>
          <w:sz w:val="24"/>
          <w:szCs w:val="24"/>
          <w:rtl/>
          <w:lang w:bidi="ar-DZ"/>
        </w:rPr>
      </w:pPr>
      <w:r>
        <w:rPr>
          <w:rFonts w:ascii="Times New Roman" w:hAnsi="Times New Roman" w:cs="Times New Roman" w:hint="cs"/>
          <w:b/>
          <w:bCs/>
          <w:sz w:val="24"/>
          <w:szCs w:val="24"/>
          <w:lang w:bidi="ar-EG"/>
        </w:rPr>
        <w:t xml:space="preserve">1: </w:t>
      </w:r>
      <w:r w:rsidR="00B1629F" w:rsidRPr="00DA2DC4">
        <w:rPr>
          <w:rFonts w:ascii="Times New Roman" w:hAnsi="Times New Roman" w:cs="Times New Roman"/>
          <w:b/>
          <w:bCs/>
          <w:sz w:val="24"/>
          <w:szCs w:val="24"/>
          <w:rtl/>
          <w:lang w:bidi="ar-DZ"/>
        </w:rPr>
        <w:t>Introduction</w:t>
      </w:r>
    </w:p>
    <w:p w14:paraId="104AD936" w14:textId="77777777" w:rsidR="00897CAC" w:rsidRPr="00EF4A71" w:rsidRDefault="00897CAC" w:rsidP="00897CAC">
      <w:pPr>
        <w:jc w:val="right"/>
        <w:rPr>
          <w:rFonts w:ascii="Times New Roman" w:hAnsi="Times New Roman" w:cs="Times New Roman"/>
          <w:sz w:val="24"/>
          <w:szCs w:val="24"/>
        </w:rPr>
      </w:pPr>
    </w:p>
    <w:p w14:paraId="7DEA112B" w14:textId="73C4F2F0" w:rsidR="000545C5" w:rsidRPr="00EF4A71" w:rsidRDefault="00897CAC" w:rsidP="00632084">
      <w:pPr>
        <w:bidi w:val="0"/>
        <w:jc w:val="both"/>
        <w:rPr>
          <w:rFonts w:ascii="Times New Roman" w:hAnsi="Times New Roman" w:cs="Times New Roman"/>
          <w:sz w:val="24"/>
          <w:szCs w:val="24"/>
        </w:rPr>
      </w:pPr>
      <w:r w:rsidRPr="00EF4A71">
        <w:rPr>
          <w:rFonts w:ascii="Times New Roman" w:hAnsi="Times New Roman" w:cs="Times New Roman"/>
          <w:sz w:val="24"/>
          <w:szCs w:val="24"/>
        </w:rPr>
        <w:t>Small pelagic fishes play a pivotal role in marine ecosystems and coastal fisheries, particularly in the Eastern Mediterranean region. Among them, the African sardine Sardinella maderensis (Lowe, 1938) is an economically valuable species contributing significantly to artisanal and commercial fisheries (Food and Agriculture Organization [FAO], 2023; Saad &amp; Shalaby, 2013). Due to their short life span, high productivity, and sensitivity to environmental variability, small pelagic species are particularly responsive to changes in fishing pressure and environmental conditions, making biological studies essential for effective management (</w:t>
      </w:r>
      <w:proofErr w:type="spellStart"/>
      <w:r w:rsidRPr="00EF4A71">
        <w:rPr>
          <w:rFonts w:ascii="Times New Roman" w:hAnsi="Times New Roman" w:cs="Times New Roman"/>
          <w:sz w:val="24"/>
          <w:szCs w:val="24"/>
        </w:rPr>
        <w:t>Gücü</w:t>
      </w:r>
      <w:proofErr w:type="spellEnd"/>
      <w:r w:rsidRPr="00EF4A71">
        <w:rPr>
          <w:rFonts w:ascii="Times New Roman" w:hAnsi="Times New Roman" w:cs="Times New Roman"/>
          <w:sz w:val="24"/>
          <w:szCs w:val="24"/>
        </w:rPr>
        <w:t xml:space="preserve"> &amp; </w:t>
      </w:r>
      <w:proofErr w:type="spellStart"/>
      <w:r w:rsidRPr="00EF4A71">
        <w:rPr>
          <w:rFonts w:ascii="Times New Roman" w:hAnsi="Times New Roman" w:cs="Times New Roman"/>
          <w:sz w:val="24"/>
          <w:szCs w:val="24"/>
        </w:rPr>
        <w:t>Bingel</w:t>
      </w:r>
      <w:proofErr w:type="spellEnd"/>
      <w:r w:rsidRPr="00EF4A71">
        <w:rPr>
          <w:rFonts w:ascii="Times New Roman" w:hAnsi="Times New Roman" w:cs="Times New Roman"/>
          <w:sz w:val="24"/>
          <w:szCs w:val="24"/>
        </w:rPr>
        <w:t>, 1994).</w:t>
      </w:r>
    </w:p>
    <w:p w14:paraId="2E93339C" w14:textId="65A8C5D0" w:rsidR="000545C5" w:rsidRPr="00EF4A71" w:rsidRDefault="000545C5" w:rsidP="00632084">
      <w:pPr>
        <w:bidi w:val="0"/>
        <w:jc w:val="both"/>
        <w:rPr>
          <w:rFonts w:ascii="Times New Roman" w:hAnsi="Times New Roman" w:cs="Times New Roman"/>
          <w:sz w:val="24"/>
          <w:szCs w:val="24"/>
        </w:rPr>
      </w:pPr>
      <w:r w:rsidRPr="00EF4A71">
        <w:rPr>
          <w:rFonts w:ascii="Times New Roman" w:hAnsi="Times New Roman" w:cs="Times New Roman"/>
          <w:sz w:val="24"/>
          <w:szCs w:val="24"/>
        </w:rPr>
        <w:t xml:space="preserve">The length–weight relationship (LWR) is a fundamental tool in fisheries biology, widely used to assess growth patterns, estimate biomass, and evaluate fish condition (Froese, 2006; </w:t>
      </w:r>
      <w:proofErr w:type="spellStart"/>
      <w:r w:rsidRPr="00EF4A71">
        <w:rPr>
          <w:rFonts w:ascii="Times New Roman" w:hAnsi="Times New Roman" w:cs="Times New Roman"/>
          <w:sz w:val="24"/>
          <w:szCs w:val="24"/>
        </w:rPr>
        <w:t>Ecoutin</w:t>
      </w:r>
      <w:proofErr w:type="spellEnd"/>
      <w:r w:rsidRPr="00EF4A71">
        <w:rPr>
          <w:rFonts w:ascii="Times New Roman" w:hAnsi="Times New Roman" w:cs="Times New Roman"/>
          <w:sz w:val="24"/>
          <w:szCs w:val="24"/>
        </w:rPr>
        <w:t xml:space="preserve"> &amp; </w:t>
      </w:r>
      <w:proofErr w:type="spellStart"/>
      <w:r w:rsidRPr="00EF4A71">
        <w:rPr>
          <w:rFonts w:ascii="Times New Roman" w:hAnsi="Times New Roman" w:cs="Times New Roman"/>
          <w:sz w:val="24"/>
          <w:szCs w:val="24"/>
        </w:rPr>
        <w:t>Albaret</w:t>
      </w:r>
      <w:proofErr w:type="spellEnd"/>
      <w:r w:rsidRPr="00EF4A71">
        <w:rPr>
          <w:rFonts w:ascii="Times New Roman" w:hAnsi="Times New Roman" w:cs="Times New Roman"/>
          <w:sz w:val="24"/>
          <w:szCs w:val="24"/>
        </w:rPr>
        <w:t xml:space="preserve">, 2003). In parallel, the analysis of sex ratio and size </w:t>
      </w:r>
      <w:r w:rsidRPr="00EF4A71">
        <w:rPr>
          <w:rFonts w:ascii="Times New Roman" w:hAnsi="Times New Roman" w:cs="Times New Roman"/>
          <w:sz w:val="24"/>
          <w:szCs w:val="24"/>
        </w:rPr>
        <w:lastRenderedPageBreak/>
        <w:t xml:space="preserve">distribution provides insights into population structure and reproductive dynamics (Nunoo, Asiedu, &amp; Amador, 2009; Saad &amp; </w:t>
      </w:r>
      <w:proofErr w:type="spellStart"/>
      <w:r w:rsidRPr="00EF4A71">
        <w:rPr>
          <w:rFonts w:ascii="Times New Roman" w:hAnsi="Times New Roman" w:cs="Times New Roman"/>
          <w:sz w:val="24"/>
          <w:szCs w:val="24"/>
        </w:rPr>
        <w:t>Bedair</w:t>
      </w:r>
      <w:proofErr w:type="spellEnd"/>
      <w:r w:rsidRPr="00EF4A71">
        <w:rPr>
          <w:rFonts w:ascii="Times New Roman" w:hAnsi="Times New Roman" w:cs="Times New Roman"/>
          <w:sz w:val="24"/>
          <w:szCs w:val="24"/>
        </w:rPr>
        <w:t>, 2019). Integrating these parameters enhances the accuracy of stock assessments and supports evidence-based fisheries management (Pérez-Roda, 2012).</w:t>
      </w:r>
    </w:p>
    <w:p w14:paraId="2195C1FB" w14:textId="16B9BAAB" w:rsidR="000545C5" w:rsidRPr="00EF4A71" w:rsidRDefault="000545C5" w:rsidP="00632084">
      <w:pPr>
        <w:bidi w:val="0"/>
        <w:jc w:val="both"/>
        <w:rPr>
          <w:rFonts w:ascii="Times New Roman" w:hAnsi="Times New Roman" w:cs="Times New Roman"/>
          <w:sz w:val="24"/>
          <w:szCs w:val="24"/>
        </w:rPr>
      </w:pPr>
      <w:r w:rsidRPr="00EF4A71">
        <w:rPr>
          <w:rFonts w:ascii="Times New Roman" w:hAnsi="Times New Roman" w:cs="Times New Roman"/>
          <w:sz w:val="24"/>
          <w:szCs w:val="24"/>
        </w:rPr>
        <w:t xml:space="preserve">Several studies have addressed the biology of clupeid species in the Mediterranean. Notably, Solaiman (2017) investigated the length–weight relationship of Sardinella aurita along the Syrian coast, highlighting the value of comparative studies among closely related species. Additionally, studies along the Egyptian coast have examined biological and dynamic characteristics of S. </w:t>
      </w:r>
      <w:proofErr w:type="spellStart"/>
      <w:r w:rsidRPr="00EF4A71">
        <w:rPr>
          <w:rFonts w:ascii="Times New Roman" w:hAnsi="Times New Roman" w:cs="Times New Roman"/>
          <w:sz w:val="24"/>
          <w:szCs w:val="24"/>
        </w:rPr>
        <w:t>maderensis</w:t>
      </w:r>
      <w:proofErr w:type="spellEnd"/>
      <w:r w:rsidRPr="00EF4A71">
        <w:rPr>
          <w:rFonts w:ascii="Times New Roman" w:hAnsi="Times New Roman" w:cs="Times New Roman"/>
          <w:sz w:val="24"/>
          <w:szCs w:val="24"/>
        </w:rPr>
        <w:t xml:space="preserve"> (El-</w:t>
      </w:r>
      <w:proofErr w:type="spellStart"/>
      <w:r w:rsidRPr="00EF4A71">
        <w:rPr>
          <w:rFonts w:ascii="Times New Roman" w:hAnsi="Times New Roman" w:cs="Times New Roman"/>
          <w:sz w:val="24"/>
          <w:szCs w:val="24"/>
        </w:rPr>
        <w:t>sayed</w:t>
      </w:r>
      <w:proofErr w:type="spellEnd"/>
      <w:r w:rsidRPr="00EF4A71">
        <w:rPr>
          <w:rFonts w:ascii="Times New Roman" w:hAnsi="Times New Roman" w:cs="Times New Roman"/>
          <w:sz w:val="24"/>
          <w:szCs w:val="24"/>
        </w:rPr>
        <w:t xml:space="preserve">, </w:t>
      </w:r>
      <w:proofErr w:type="spellStart"/>
      <w:r w:rsidRPr="00EF4A71">
        <w:rPr>
          <w:rFonts w:ascii="Times New Roman" w:hAnsi="Times New Roman" w:cs="Times New Roman"/>
          <w:sz w:val="24"/>
          <w:szCs w:val="24"/>
        </w:rPr>
        <w:t>Hassanen</w:t>
      </w:r>
      <w:proofErr w:type="spellEnd"/>
      <w:r w:rsidRPr="00EF4A71">
        <w:rPr>
          <w:rFonts w:ascii="Times New Roman" w:hAnsi="Times New Roman" w:cs="Times New Roman"/>
          <w:sz w:val="24"/>
          <w:szCs w:val="24"/>
        </w:rPr>
        <w:t>, Faisal, &amp; El-</w:t>
      </w:r>
      <w:proofErr w:type="spellStart"/>
      <w:r w:rsidRPr="00EF4A71">
        <w:rPr>
          <w:rFonts w:ascii="Times New Roman" w:hAnsi="Times New Roman" w:cs="Times New Roman"/>
          <w:sz w:val="24"/>
          <w:szCs w:val="24"/>
        </w:rPr>
        <w:t>Aiatt</w:t>
      </w:r>
      <w:proofErr w:type="spellEnd"/>
      <w:r w:rsidRPr="00EF4A71">
        <w:rPr>
          <w:rFonts w:ascii="Times New Roman" w:hAnsi="Times New Roman" w:cs="Times New Roman"/>
          <w:sz w:val="24"/>
          <w:szCs w:val="24"/>
        </w:rPr>
        <w:t>, 2023), while dietary analyses off the Syrian coast have provided insights into feeding ecology (Al-Sheikh Rasheed, Galiya, Almajid, &amp; Laika, 2025). Despite this progress, information on the seasonal physiological condition of S. maderensis in the Eastern Mediterranean remains limited.</w:t>
      </w:r>
    </w:p>
    <w:p w14:paraId="37A82D0F" w14:textId="3124DAC0" w:rsidR="00A57CDE" w:rsidRDefault="000545C5" w:rsidP="00A57CDE">
      <w:pPr>
        <w:bidi w:val="0"/>
        <w:jc w:val="both"/>
        <w:rPr>
          <w:rFonts w:ascii="Times New Roman" w:hAnsi="Times New Roman" w:cs="Times New Roman"/>
          <w:sz w:val="24"/>
          <w:szCs w:val="24"/>
          <w:rtl/>
        </w:rPr>
      </w:pPr>
      <w:r w:rsidRPr="00EF4A71">
        <w:rPr>
          <w:rFonts w:ascii="Times New Roman" w:hAnsi="Times New Roman" w:cs="Times New Roman"/>
          <w:sz w:val="24"/>
          <w:szCs w:val="24"/>
        </w:rPr>
        <w:t>The present study aims to: (1) describe the length–frequency distribution and sex-related size structure of S. maderensis, (2) determine sex-specific length–weight relationships, and (3) evaluate seasonal variations in the condition factor in relation to the reproductive cycle. The results contribute to a better understanding of the species' population biology and provide essential data for sustainable fisheries management</w:t>
      </w:r>
      <w:r w:rsidR="00331B84">
        <w:rPr>
          <w:rFonts w:ascii="Times New Roman" w:hAnsi="Times New Roman" w:cs="Times New Roman" w:hint="cs"/>
          <w:sz w:val="24"/>
          <w:szCs w:val="24"/>
          <w:rtl/>
        </w:rPr>
        <w:t>.</w:t>
      </w:r>
    </w:p>
    <w:p w14:paraId="57B4D779" w14:textId="77777777" w:rsidR="00963E92" w:rsidRDefault="00963E92" w:rsidP="00963E92">
      <w:pPr>
        <w:bidi w:val="0"/>
        <w:jc w:val="both"/>
        <w:rPr>
          <w:rFonts w:ascii="Times New Roman" w:hAnsi="Times New Roman" w:cs="Times New Roman"/>
          <w:sz w:val="24"/>
          <w:szCs w:val="24"/>
          <w:rtl/>
        </w:rPr>
      </w:pPr>
    </w:p>
    <w:p w14:paraId="093F88B6" w14:textId="68F04DC2" w:rsidR="0095087B" w:rsidRPr="00963E92" w:rsidRDefault="00963E92" w:rsidP="00963E92">
      <w:pPr>
        <w:bidi w:val="0"/>
        <w:jc w:val="both"/>
        <w:rPr>
          <w:rFonts w:ascii="Times New Roman" w:hAnsi="Times New Roman" w:cs="Times New Roman"/>
          <w:b/>
          <w:bCs/>
          <w:sz w:val="24"/>
          <w:szCs w:val="24"/>
          <w:rtl/>
          <w:lang w:bidi="ar-DZ"/>
        </w:rPr>
      </w:pPr>
      <w:r w:rsidRPr="00963E92">
        <w:rPr>
          <w:rFonts w:ascii="Times New Roman" w:hAnsi="Times New Roman" w:cs="Times New Roman" w:hint="cs"/>
          <w:b/>
          <w:bCs/>
          <w:sz w:val="24"/>
          <w:szCs w:val="24"/>
          <w:lang w:bidi="ar-EG"/>
        </w:rPr>
        <w:t>2: Material and Methods:</w:t>
      </w:r>
    </w:p>
    <w:p w14:paraId="0BF9BE19" w14:textId="4C5E3C80" w:rsidR="0095087B" w:rsidRPr="00963E92" w:rsidRDefault="00231C12" w:rsidP="00963E92">
      <w:pPr>
        <w:bidi w:val="0"/>
        <w:rPr>
          <w:rFonts w:ascii="Times New Roman" w:hAnsi="Times New Roman" w:cs="Times New Roman"/>
          <w:sz w:val="24"/>
          <w:szCs w:val="24"/>
          <w:rtl/>
          <w:lang w:bidi="ar-DZ"/>
        </w:rPr>
      </w:pPr>
      <w:r w:rsidRPr="00331B84">
        <w:rPr>
          <w:rFonts w:ascii="Times New Roman" w:hAnsi="Times New Roman" w:cs="Times New Roman" w:hint="cs"/>
          <w:b/>
          <w:bCs/>
          <w:sz w:val="24"/>
          <w:szCs w:val="24"/>
          <w:lang w:bidi="ar-EG"/>
        </w:rPr>
        <w:t>2-1</w:t>
      </w:r>
      <w:r w:rsidR="009E2968" w:rsidRPr="00331B84">
        <w:rPr>
          <w:rFonts w:ascii="Times New Roman" w:hAnsi="Times New Roman" w:cs="Times New Roman" w:hint="cs"/>
          <w:b/>
          <w:bCs/>
          <w:sz w:val="24"/>
          <w:szCs w:val="24"/>
          <w:lang w:bidi="ar-EG"/>
        </w:rPr>
        <w:t>: S</w:t>
      </w:r>
      <w:r w:rsidR="009E2968" w:rsidRPr="00331B84">
        <w:rPr>
          <w:rFonts w:ascii="Times New Roman" w:hAnsi="Times New Roman" w:cs="Times New Roman"/>
          <w:b/>
          <w:bCs/>
          <w:sz w:val="24"/>
          <w:szCs w:val="24"/>
          <w:rtl/>
          <w:lang w:bidi="ar-DZ"/>
        </w:rPr>
        <w:t xml:space="preserve">ample </w:t>
      </w:r>
      <w:r w:rsidR="009E2968" w:rsidRPr="00DA2DC4">
        <w:rPr>
          <w:rFonts w:ascii="Times New Roman" w:hAnsi="Times New Roman" w:cs="Times New Roman"/>
          <w:b/>
          <w:bCs/>
          <w:sz w:val="24"/>
          <w:szCs w:val="24"/>
          <w:rtl/>
          <w:lang w:bidi="ar-DZ"/>
        </w:rPr>
        <w:t>Collection and Measurements</w:t>
      </w:r>
    </w:p>
    <w:p w14:paraId="06FE811A" w14:textId="77777777" w:rsidR="00D52BD9" w:rsidRPr="00EF4A71" w:rsidRDefault="00371DDA" w:rsidP="00676AEF">
      <w:pPr>
        <w:bidi w:val="0"/>
        <w:jc w:val="both"/>
        <w:rPr>
          <w:rFonts w:ascii="Times New Roman" w:hAnsi="Times New Roman" w:cs="Times New Roman"/>
          <w:sz w:val="24"/>
          <w:szCs w:val="24"/>
          <w:lang w:bidi="ar-DZ"/>
        </w:rPr>
      </w:pPr>
      <w:r w:rsidRPr="00EF4A71">
        <w:rPr>
          <w:rFonts w:ascii="Times New Roman" w:hAnsi="Times New Roman" w:cs="Times New Roman"/>
          <w:sz w:val="24"/>
          <w:szCs w:val="24"/>
        </w:rPr>
        <w:t xml:space="preserve">A total of 390 specimens of Sardinella maderensis were collected from commercial catches along the Eastern Mediterranean coast (Latakia region, Syria) during the period from January to December 2023. Monthly samples were obtained from local fishing ports, representing the artisanal purse seine fishery. Each specimen was measured for total length (TL) to the nearest 0.1 cm using an </w:t>
      </w:r>
      <w:proofErr w:type="spellStart"/>
      <w:r w:rsidRPr="00EF4A71">
        <w:rPr>
          <w:rFonts w:ascii="Times New Roman" w:hAnsi="Times New Roman" w:cs="Times New Roman"/>
          <w:sz w:val="24"/>
          <w:szCs w:val="24"/>
        </w:rPr>
        <w:t>ichthyometer</w:t>
      </w:r>
      <w:proofErr w:type="spellEnd"/>
      <w:r w:rsidRPr="00EF4A71">
        <w:rPr>
          <w:rFonts w:ascii="Times New Roman" w:hAnsi="Times New Roman" w:cs="Times New Roman"/>
          <w:sz w:val="24"/>
          <w:szCs w:val="24"/>
        </w:rPr>
        <w:t xml:space="preserve"> and total weight (W) to the nearest 0.1 g using an electronic balance. Sex was determined by macroscopic examination of the gonads</w:t>
      </w:r>
    </w:p>
    <w:p w14:paraId="02F89AAA" w14:textId="68A1A5AA" w:rsidR="00676AEF" w:rsidRDefault="00D52BD9" w:rsidP="00676AEF">
      <w:pPr>
        <w:bidi w:val="0"/>
        <w:jc w:val="both"/>
        <w:rPr>
          <w:rFonts w:ascii="Times New Roman" w:hAnsi="Times New Roman" w:cs="Times New Roman"/>
          <w:sz w:val="24"/>
          <w:szCs w:val="24"/>
          <w:rtl/>
          <w:lang w:bidi="ar-DZ"/>
        </w:rPr>
      </w:pPr>
      <w:r w:rsidRPr="00EF4A71">
        <w:rPr>
          <w:rFonts w:ascii="Times New Roman" w:hAnsi="Times New Roman" w:cs="Times New Roman"/>
          <w:sz w:val="24"/>
          <w:szCs w:val="24"/>
          <w:lang w:bidi="ar-DZ"/>
        </w:rPr>
        <w:t>Length–Frequency</w:t>
      </w:r>
      <w:r w:rsidR="00676AEF">
        <w:rPr>
          <w:rFonts w:ascii="Times New Roman" w:hAnsi="Times New Roman" w:cs="Times New Roman" w:hint="cs"/>
          <w:sz w:val="24"/>
          <w:szCs w:val="24"/>
          <w:lang w:bidi="ar-EG"/>
        </w:rPr>
        <w:t>.</w:t>
      </w:r>
    </w:p>
    <w:p w14:paraId="39B47362" w14:textId="77777777" w:rsidR="00676AEF" w:rsidRDefault="00676AEF" w:rsidP="00676AEF">
      <w:pPr>
        <w:bidi w:val="0"/>
        <w:jc w:val="both"/>
        <w:rPr>
          <w:rFonts w:ascii="Times New Roman" w:hAnsi="Times New Roman" w:cs="Times New Roman"/>
          <w:sz w:val="24"/>
          <w:szCs w:val="24"/>
          <w:rtl/>
          <w:lang w:bidi="ar-DZ"/>
        </w:rPr>
      </w:pPr>
    </w:p>
    <w:p w14:paraId="0BAEEFB1" w14:textId="0F955AA7" w:rsidR="00D52BD9" w:rsidRPr="00C46EAF" w:rsidRDefault="00676AEF" w:rsidP="00C46EAF">
      <w:pPr>
        <w:bidi w:val="0"/>
        <w:jc w:val="both"/>
        <w:rPr>
          <w:rFonts w:ascii="Times New Roman" w:hAnsi="Times New Roman" w:cs="Times New Roman"/>
          <w:b/>
          <w:bCs/>
          <w:sz w:val="24"/>
          <w:szCs w:val="24"/>
        </w:rPr>
      </w:pPr>
      <w:r>
        <w:rPr>
          <w:rFonts w:ascii="Times New Roman" w:hAnsi="Times New Roman" w:cs="Times New Roman" w:hint="cs"/>
          <w:b/>
          <w:bCs/>
          <w:sz w:val="24"/>
          <w:szCs w:val="24"/>
          <w:lang w:bidi="ar-EG"/>
        </w:rPr>
        <w:t xml:space="preserve">2-2: </w:t>
      </w:r>
      <w:r w:rsidR="00D52BD9" w:rsidRPr="00DA2DC4">
        <w:rPr>
          <w:rFonts w:ascii="Times New Roman" w:hAnsi="Times New Roman" w:cs="Times New Roman"/>
          <w:b/>
          <w:bCs/>
          <w:sz w:val="24"/>
          <w:szCs w:val="24"/>
          <w:lang w:bidi="ar-DZ"/>
        </w:rPr>
        <w:t>Distribution</w:t>
      </w:r>
    </w:p>
    <w:p w14:paraId="411E225E" w14:textId="34B30ECE" w:rsidR="00733A8B" w:rsidRDefault="00D52BD9" w:rsidP="00D82A26">
      <w:pPr>
        <w:bidi w:val="0"/>
        <w:jc w:val="both"/>
        <w:rPr>
          <w:rFonts w:ascii="Times New Roman" w:hAnsi="Times New Roman" w:cs="Times New Roman"/>
          <w:sz w:val="24"/>
          <w:szCs w:val="24"/>
          <w:rtl/>
          <w:lang w:bidi="ar-DZ"/>
        </w:rPr>
      </w:pPr>
      <w:r w:rsidRPr="00EF4A71">
        <w:rPr>
          <w:rFonts w:ascii="Times New Roman" w:hAnsi="Times New Roman" w:cs="Times New Roman"/>
          <w:sz w:val="24"/>
          <w:szCs w:val="24"/>
          <w:lang w:bidi="ar-DZ"/>
        </w:rPr>
        <w:t>Length–frequency distributions were constructed for the total sample and by sex to examine population structure and size-class dominance. Size intervals of 1 cm were used to identify modal length classes and the representation of juvenile and adult cohorts. Length-frequency histograms were generated separately for males and females.</w:t>
      </w:r>
    </w:p>
    <w:p w14:paraId="05EBE8F1" w14:textId="77777777" w:rsidR="00D501EC" w:rsidRPr="00EF4A71" w:rsidRDefault="00D501EC" w:rsidP="00D501EC">
      <w:pPr>
        <w:bidi w:val="0"/>
        <w:jc w:val="both"/>
        <w:rPr>
          <w:rFonts w:ascii="Times New Roman" w:hAnsi="Times New Roman" w:cs="Times New Roman"/>
          <w:sz w:val="24"/>
          <w:szCs w:val="24"/>
          <w:lang w:bidi="ar-DZ"/>
        </w:rPr>
      </w:pPr>
    </w:p>
    <w:p w14:paraId="237CCA9E" w14:textId="52BC9BA1" w:rsidR="00D52BD9" w:rsidRPr="003103D3" w:rsidRDefault="003103D3" w:rsidP="00641B85">
      <w:pPr>
        <w:bidi w:val="0"/>
        <w:jc w:val="both"/>
        <w:rPr>
          <w:rFonts w:ascii="Times New Roman" w:hAnsi="Times New Roman" w:cs="Times New Roman"/>
          <w:b/>
          <w:bCs/>
          <w:sz w:val="24"/>
          <w:szCs w:val="24"/>
          <w:lang w:bidi="ar-DZ"/>
        </w:rPr>
      </w:pPr>
      <w:r w:rsidRPr="003103D3">
        <w:rPr>
          <w:rFonts w:ascii="Times New Roman" w:hAnsi="Times New Roman" w:cs="Times New Roman" w:hint="cs"/>
          <w:b/>
          <w:bCs/>
          <w:sz w:val="24"/>
          <w:szCs w:val="24"/>
          <w:lang w:bidi="ar-EG"/>
        </w:rPr>
        <w:t xml:space="preserve">2-3: </w:t>
      </w:r>
      <w:r w:rsidR="00D52BD9" w:rsidRPr="003103D3">
        <w:rPr>
          <w:rFonts w:ascii="Times New Roman" w:hAnsi="Times New Roman" w:cs="Times New Roman"/>
          <w:b/>
          <w:bCs/>
          <w:sz w:val="24"/>
          <w:szCs w:val="24"/>
          <w:lang w:bidi="ar-DZ"/>
        </w:rPr>
        <w:t>Length–Weight Relationship</w:t>
      </w:r>
    </w:p>
    <w:p w14:paraId="3C4BDBC8" w14:textId="544BB20D" w:rsidR="009832CE" w:rsidRPr="00EF4A71" w:rsidRDefault="00D52BD9" w:rsidP="00D82A26">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length–weight relationship was estimated using the standard power function:</w:t>
      </w:r>
    </w:p>
    <w:p w14:paraId="13150B6E" w14:textId="465429CF" w:rsidR="009832CE" w:rsidRPr="00EF4A71" w:rsidRDefault="00D52BD9" w:rsidP="00D501EC">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lastRenderedPageBreak/>
        <w:t xml:space="preserve">W = </w:t>
      </w:r>
      <w:proofErr w:type="spellStart"/>
      <w:r w:rsidRPr="00EF4A71">
        <w:rPr>
          <w:rFonts w:ascii="Times New Roman" w:hAnsi="Times New Roman" w:cs="Times New Roman"/>
          <w:sz w:val="24"/>
          <w:szCs w:val="24"/>
          <w:lang w:bidi="ar-DZ"/>
        </w:rPr>
        <w:t>aL</w:t>
      </w:r>
      <w:proofErr w:type="spellEnd"/>
      <w:r w:rsidRPr="00EF4A71">
        <w:rPr>
          <w:rFonts w:ascii="Times New Roman" w:hAnsi="Times New Roman" w:cs="Times New Roman"/>
          <w:sz w:val="24"/>
          <w:szCs w:val="24"/>
          <w:lang w:bidi="ar-DZ"/>
        </w:rPr>
        <w:t>ᵇ</w:t>
      </w:r>
    </w:p>
    <w:p w14:paraId="0687CBE5" w14:textId="76FA85EB" w:rsidR="00D52BD9" w:rsidRPr="00EF4A71" w:rsidRDefault="00D52BD9" w:rsidP="00D82A26">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where W is the total weight (g), L is the total length (cm), a is the intercept, and b is the allometric growth coefficient. The parameters were estimated by linear regression analysis after logarithmic transformation:</w:t>
      </w:r>
    </w:p>
    <w:p w14:paraId="4D9DB9CA" w14:textId="25D4D63F" w:rsidR="00D52BD9" w:rsidRPr="00EF4A71" w:rsidRDefault="00D52BD9" w:rsidP="00D501EC">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ln W = ln a + b ln L</w:t>
      </w:r>
    </w:p>
    <w:p w14:paraId="36ED6874" w14:textId="77777777" w:rsidR="00D52BD9" w:rsidRPr="00EF4A71" w:rsidRDefault="00D52BD9" w:rsidP="00641B85">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Separate regressions were calculated for males and females. Growth was classified as isometric when b was not significantly different from 3 (t-test, p &lt; 0.05), as positive allometric when b &gt; 3, and negative allometric when b &lt; 3 (Froese, 2006). The coefficient of determination (r²) was used to assess the goodness of fit of the regression model.</w:t>
      </w:r>
    </w:p>
    <w:p w14:paraId="4CCCFD76" w14:textId="77777777" w:rsidR="00D52BD9" w:rsidRPr="00EF4A71" w:rsidRDefault="00D52BD9" w:rsidP="00641B85">
      <w:pPr>
        <w:bidi w:val="0"/>
        <w:jc w:val="both"/>
        <w:rPr>
          <w:rFonts w:ascii="Times New Roman" w:hAnsi="Times New Roman" w:cs="Times New Roman"/>
          <w:sz w:val="24"/>
          <w:szCs w:val="24"/>
          <w:lang w:bidi="ar-DZ"/>
        </w:rPr>
      </w:pPr>
    </w:p>
    <w:p w14:paraId="6413FF75" w14:textId="350F1AE5" w:rsidR="00D52BD9" w:rsidRPr="00D4623B" w:rsidRDefault="00D52BD9" w:rsidP="00D4623B">
      <w:pPr>
        <w:bidi w:val="0"/>
        <w:jc w:val="both"/>
        <w:rPr>
          <w:rFonts w:ascii="Times New Roman" w:hAnsi="Times New Roman" w:cs="Times New Roman"/>
          <w:b/>
          <w:bCs/>
          <w:sz w:val="24"/>
          <w:szCs w:val="24"/>
          <w:lang w:bidi="ar-DZ"/>
        </w:rPr>
      </w:pPr>
      <w:r w:rsidRPr="00DA2DC4">
        <w:rPr>
          <w:rFonts w:ascii="Times New Roman" w:hAnsi="Times New Roman" w:cs="Times New Roman"/>
          <w:b/>
          <w:bCs/>
          <w:sz w:val="24"/>
          <w:szCs w:val="24"/>
          <w:rtl/>
          <w:lang w:bidi="ar-DZ"/>
        </w:rPr>
        <w:t xml:space="preserve"> </w:t>
      </w:r>
      <w:r w:rsidR="00F70371">
        <w:rPr>
          <w:rFonts w:ascii="Times New Roman" w:hAnsi="Times New Roman" w:cs="Times New Roman" w:hint="cs"/>
          <w:b/>
          <w:bCs/>
          <w:sz w:val="24"/>
          <w:szCs w:val="24"/>
          <w:lang w:bidi="ar-EG"/>
        </w:rPr>
        <w:t xml:space="preserve">2-4: </w:t>
      </w:r>
      <w:r w:rsidRPr="00DA2DC4">
        <w:rPr>
          <w:rFonts w:ascii="Times New Roman" w:hAnsi="Times New Roman" w:cs="Times New Roman"/>
          <w:b/>
          <w:bCs/>
          <w:sz w:val="24"/>
          <w:szCs w:val="24"/>
          <w:lang w:bidi="ar-DZ"/>
        </w:rPr>
        <w:t>Condition Factor</w:t>
      </w:r>
    </w:p>
    <w:p w14:paraId="14855A84" w14:textId="1F8784AE" w:rsidR="00D52BD9" w:rsidRPr="00EF4A71" w:rsidRDefault="00D52BD9" w:rsidP="00D4623B">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Fulton condition factor (K) was calculated to assess seasonal changes in fish physiological condition using the formula:</w:t>
      </w:r>
    </w:p>
    <w:p w14:paraId="006E0E53" w14:textId="2CF9D79C" w:rsidR="00D52BD9" w:rsidRPr="00EF4A71" w:rsidRDefault="00D52BD9" w:rsidP="00D4623B">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K = 100 × (W / L³)</w:t>
      </w:r>
    </w:p>
    <w:p w14:paraId="192831B0" w14:textId="77777777" w:rsidR="00D52BD9" w:rsidRPr="00EF4A71" w:rsidRDefault="00D52BD9" w:rsidP="00641B85">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where W is the total weight (g) and L is the total length (cm). Seasonal and monthly averages of K were computed for males and females separately. The multiplication by 100 brings the condition factor close to unity, facilitating interpretation (Froese, 2006).</w:t>
      </w:r>
    </w:p>
    <w:p w14:paraId="3606F4DF" w14:textId="77777777" w:rsidR="00D52BD9" w:rsidRPr="00EF4A71" w:rsidRDefault="00D52BD9" w:rsidP="00641B85">
      <w:pPr>
        <w:bidi w:val="0"/>
        <w:jc w:val="both"/>
        <w:rPr>
          <w:rFonts w:ascii="Times New Roman" w:hAnsi="Times New Roman" w:cs="Times New Roman"/>
          <w:sz w:val="24"/>
          <w:szCs w:val="24"/>
          <w:lang w:bidi="ar-DZ"/>
        </w:rPr>
      </w:pPr>
    </w:p>
    <w:p w14:paraId="70CF2A6F" w14:textId="07D151B1" w:rsidR="00D52BD9" w:rsidRPr="00D4623B" w:rsidRDefault="00F70371" w:rsidP="00D4623B">
      <w:pPr>
        <w:bidi w:val="0"/>
        <w:jc w:val="both"/>
        <w:rPr>
          <w:rFonts w:ascii="Times New Roman" w:hAnsi="Times New Roman" w:cs="Times New Roman"/>
          <w:b/>
          <w:bCs/>
          <w:sz w:val="24"/>
          <w:szCs w:val="24"/>
          <w:lang w:bidi="ar-DZ"/>
        </w:rPr>
      </w:pPr>
      <w:r>
        <w:rPr>
          <w:rFonts w:ascii="Times New Roman" w:hAnsi="Times New Roman" w:cs="Times New Roman" w:hint="cs"/>
          <w:b/>
          <w:bCs/>
          <w:sz w:val="24"/>
          <w:szCs w:val="24"/>
          <w:lang w:bidi="ar-EG"/>
        </w:rPr>
        <w:t>2-5</w:t>
      </w:r>
      <w:r w:rsidR="004B759F">
        <w:rPr>
          <w:rFonts w:ascii="Times New Roman" w:hAnsi="Times New Roman" w:cs="Times New Roman" w:hint="cs"/>
          <w:b/>
          <w:bCs/>
          <w:sz w:val="24"/>
          <w:szCs w:val="24"/>
          <w:lang w:bidi="ar-EG"/>
        </w:rPr>
        <w:t>: S</w:t>
      </w:r>
      <w:r w:rsidR="00D52BD9" w:rsidRPr="00DA2DC4">
        <w:rPr>
          <w:rFonts w:ascii="Times New Roman" w:hAnsi="Times New Roman" w:cs="Times New Roman"/>
          <w:b/>
          <w:bCs/>
          <w:sz w:val="24"/>
          <w:szCs w:val="24"/>
          <w:lang w:bidi="ar-DZ"/>
        </w:rPr>
        <w:t>tatistical Analysis</w:t>
      </w:r>
    </w:p>
    <w:p w14:paraId="50BB13B5" w14:textId="070C173F" w:rsidR="00DA2DC4" w:rsidRDefault="00D52BD9" w:rsidP="009E6CA2">
      <w:pPr>
        <w:bidi w:val="0"/>
        <w:jc w:val="both"/>
        <w:rPr>
          <w:rFonts w:ascii="Times New Roman" w:hAnsi="Times New Roman" w:cs="Times New Roman"/>
          <w:sz w:val="24"/>
          <w:szCs w:val="24"/>
          <w:rtl/>
          <w:lang w:bidi="ar-DZ"/>
        </w:rPr>
      </w:pPr>
      <w:r w:rsidRPr="00EF4A71">
        <w:rPr>
          <w:rFonts w:ascii="Times New Roman" w:hAnsi="Times New Roman" w:cs="Times New Roman"/>
          <w:sz w:val="24"/>
          <w:szCs w:val="24"/>
          <w:lang w:bidi="ar-DZ"/>
        </w:rPr>
        <w:t>Descriptive statistics were calculated for all parameters. One-way analysis of variance (ANOVA) was used to test for significant seasonal and sex-related differences in the condition factor, followed by Tukey's post-hoc test for multiple comparisons when significant differences were detected. Student's t-test was employed to compare the allometric coefficient b between sexes and to test whether b differed significantly from 3. All statistical analyses were performed using SPSS</w:t>
      </w:r>
      <w:r w:rsidR="009E6CA2">
        <w:rPr>
          <w:rFonts w:ascii="Times New Roman" w:hAnsi="Times New Roman" w:cs="Times New Roman" w:hint="cs"/>
          <w:sz w:val="24"/>
          <w:szCs w:val="24"/>
          <w:lang w:bidi="ar-EG"/>
        </w:rPr>
        <w:t>.</w:t>
      </w:r>
    </w:p>
    <w:p w14:paraId="1CCAF15F" w14:textId="77777777" w:rsidR="008D7E71" w:rsidRDefault="008D7E71" w:rsidP="008D7E71">
      <w:pPr>
        <w:bidi w:val="0"/>
        <w:jc w:val="both"/>
        <w:rPr>
          <w:rFonts w:ascii="Times New Roman" w:hAnsi="Times New Roman" w:cs="Times New Roman"/>
          <w:sz w:val="24"/>
          <w:szCs w:val="24"/>
          <w:lang w:bidi="ar-DZ"/>
        </w:rPr>
      </w:pPr>
    </w:p>
    <w:p w14:paraId="0225B896" w14:textId="7C2713D4" w:rsidR="008D7E71" w:rsidRPr="00DA2DC4" w:rsidRDefault="00F13E8D" w:rsidP="008D7E71">
      <w:pPr>
        <w:bidi w:val="0"/>
        <w:jc w:val="both"/>
        <w:rPr>
          <w:rFonts w:ascii="Times New Roman" w:hAnsi="Times New Roman" w:cs="Times New Roman"/>
          <w:b/>
          <w:bCs/>
          <w:sz w:val="24"/>
          <w:szCs w:val="24"/>
          <w:lang w:bidi="ar-DZ"/>
        </w:rPr>
      </w:pPr>
      <w:r w:rsidRPr="008D7E71">
        <w:rPr>
          <w:rFonts w:ascii="Times New Roman" w:hAnsi="Times New Roman" w:cs="Times New Roman" w:hint="cs"/>
          <w:b/>
          <w:bCs/>
          <w:sz w:val="24"/>
          <w:szCs w:val="24"/>
          <w:lang w:bidi="ar-EG"/>
        </w:rPr>
        <w:t xml:space="preserve">3: </w:t>
      </w:r>
      <w:r w:rsidR="008D7E71" w:rsidRPr="008D7E71">
        <w:rPr>
          <w:rFonts w:ascii="Times New Roman" w:hAnsi="Times New Roman" w:cs="Times New Roman" w:hint="cs"/>
          <w:b/>
          <w:bCs/>
          <w:sz w:val="24"/>
          <w:szCs w:val="24"/>
          <w:lang w:bidi="ar-EG"/>
        </w:rPr>
        <w:t>Results</w:t>
      </w:r>
    </w:p>
    <w:p w14:paraId="11B3CD0B" w14:textId="20006441" w:rsidR="00DE0640" w:rsidRPr="00DA2DC4" w:rsidRDefault="00DE0640" w:rsidP="00641B85">
      <w:pPr>
        <w:bidi w:val="0"/>
        <w:jc w:val="both"/>
        <w:rPr>
          <w:rStyle w:val="Heading2Char"/>
          <w:rFonts w:ascii="Times New Roman" w:eastAsia="Aptos" w:hAnsi="Times New Roman"/>
          <w:b/>
          <w:bCs/>
          <w:color w:val="auto"/>
          <w:sz w:val="24"/>
          <w:szCs w:val="24"/>
        </w:rPr>
      </w:pPr>
      <w:r w:rsidRPr="00DA2DC4">
        <w:rPr>
          <w:rStyle w:val="Heading2Char"/>
          <w:rFonts w:ascii="Times New Roman" w:eastAsia="Aptos" w:hAnsi="Times New Roman"/>
          <w:b/>
          <w:bCs/>
          <w:color w:val="auto"/>
          <w:sz w:val="24"/>
          <w:szCs w:val="24"/>
        </w:rPr>
        <w:t>3.1</w:t>
      </w:r>
      <w:r w:rsidR="00766E05">
        <w:rPr>
          <w:rStyle w:val="Heading2Char"/>
          <w:rFonts w:ascii="Times New Roman" w:eastAsia="Aptos" w:hAnsi="Times New Roman" w:hint="cs"/>
          <w:b/>
          <w:bCs/>
          <w:color w:val="auto"/>
          <w:sz w:val="24"/>
          <w:szCs w:val="24"/>
          <w:lang w:bidi="ar-EG"/>
        </w:rPr>
        <w:t>:</w:t>
      </w:r>
      <w:r w:rsidRPr="00DA2DC4">
        <w:rPr>
          <w:rStyle w:val="Heading2Char"/>
          <w:rFonts w:ascii="Times New Roman" w:eastAsia="Aptos" w:hAnsi="Times New Roman"/>
          <w:b/>
          <w:bCs/>
          <w:color w:val="auto"/>
          <w:sz w:val="24"/>
          <w:szCs w:val="24"/>
        </w:rPr>
        <w:t xml:space="preserve"> Length–Frequency Distribution and Size Structure</w:t>
      </w:r>
    </w:p>
    <w:p w14:paraId="60E297D5" w14:textId="6D1DBF29" w:rsidR="00DE0640" w:rsidRDefault="00DE0640" w:rsidP="00D86587">
      <w:pPr>
        <w:bidi w:val="0"/>
        <w:ind w:left="-142" w:right="-567"/>
        <w:jc w:val="both"/>
        <w:rPr>
          <w:rFonts w:ascii="Times New Roman" w:hAnsi="Times New Roman" w:cs="Times New Roman"/>
          <w:sz w:val="24"/>
          <w:szCs w:val="24"/>
          <w:rtl/>
          <w:lang w:bidi="ar-DZ"/>
        </w:rPr>
      </w:pPr>
      <w:r w:rsidRPr="00EF4A71">
        <w:rPr>
          <w:rFonts w:ascii="Times New Roman" w:hAnsi="Times New Roman" w:cs="Times New Roman"/>
          <w:sz w:val="24"/>
          <w:szCs w:val="24"/>
          <w:lang w:bidi="ar-DZ"/>
        </w:rPr>
        <w:t xml:space="preserve">The length–frequency distribution of Sardinella maderensis ranged from approximately </w:t>
      </w:r>
      <w:r w:rsidR="00DA2DC4">
        <w:rPr>
          <w:rFonts w:ascii="Times New Roman" w:hAnsi="Times New Roman" w:cs="Times New Roman"/>
          <w:sz w:val="24"/>
          <w:szCs w:val="24"/>
          <w:lang w:bidi="ar-DZ"/>
        </w:rPr>
        <w:t>10</w:t>
      </w:r>
      <w:r w:rsidRPr="00EF4A71">
        <w:rPr>
          <w:rFonts w:ascii="Times New Roman" w:hAnsi="Times New Roman" w:cs="Times New Roman"/>
          <w:sz w:val="24"/>
          <w:szCs w:val="24"/>
          <w:lang w:bidi="ar-DZ"/>
        </w:rPr>
        <w:t xml:space="preserve"> cm to more than 25 cm total length. Most individuals were concentrated in the 10–20 cm size interval, with the highest frequencies observed in the 11–15 cm length </w:t>
      </w:r>
      <w:proofErr w:type="spellStart"/>
      <w:r w:rsidRPr="00EF4A71">
        <w:rPr>
          <w:rFonts w:ascii="Times New Roman" w:hAnsi="Times New Roman" w:cs="Times New Roman"/>
          <w:sz w:val="24"/>
          <w:szCs w:val="24"/>
          <w:lang w:bidi="ar-DZ"/>
        </w:rPr>
        <w:t>classe</w:t>
      </w:r>
      <w:proofErr w:type="spellEnd"/>
      <w:r w:rsidR="006A4376">
        <w:rPr>
          <w:rFonts w:ascii="Times New Roman" w:hAnsi="Times New Roman" w:cs="Times New Roman" w:hint="cs"/>
          <w:sz w:val="24"/>
          <w:szCs w:val="24"/>
          <w:lang w:bidi="ar-EG"/>
        </w:rPr>
        <w:t>.</w:t>
      </w:r>
    </w:p>
    <w:p w14:paraId="228676B0" w14:textId="77777777" w:rsidR="003C19CB" w:rsidRDefault="003C19CB" w:rsidP="00D86587">
      <w:pPr>
        <w:bidi w:val="0"/>
        <w:ind w:left="-142" w:right="-567"/>
        <w:jc w:val="both"/>
        <w:rPr>
          <w:rFonts w:ascii="Times New Roman" w:hAnsi="Times New Roman" w:cs="Times New Roman"/>
          <w:sz w:val="24"/>
          <w:szCs w:val="24"/>
          <w:rtl/>
          <w:lang w:bidi="ar-DZ"/>
        </w:rPr>
      </w:pPr>
      <w:r>
        <w:rPr>
          <w:rFonts w:ascii="Times New Roman" w:hAnsi="Times New Roman" w:cs="Times New Roman" w:hint="cs"/>
          <w:sz w:val="24"/>
          <w:szCs w:val="24"/>
          <w:lang w:bidi="ar-EG"/>
        </w:rPr>
        <w:t>The sex ratio varied considerably among length classes. Males dominated the smaller size groups (&lt;12 cm. In contrast, females became increasingly predominant in larger length classes (&gt;18 cm) Figure1(. This progressive shift in sex composition with increasing size reflects differential growth and survival between sexes. The overall sex ratio (male: female) was 1:1.16, slightly favoring females, though this difference was not statistically significant (χ² test, p &gt; 0.05)</w:t>
      </w:r>
      <w:r>
        <w:rPr>
          <w:rFonts w:ascii="Times New Roman" w:hAnsi="Times New Roman" w:cs="Times New Roman" w:hint="cs"/>
          <w:sz w:val="24"/>
          <w:szCs w:val="24"/>
          <w:rtl/>
          <w:lang w:bidi="ar-DZ"/>
        </w:rPr>
        <w:t>.</w:t>
      </w:r>
    </w:p>
    <w:p w14:paraId="1B8410F6" w14:textId="77777777" w:rsidR="003C19CB" w:rsidRDefault="003C19CB" w:rsidP="003C19CB">
      <w:pPr>
        <w:bidi w:val="0"/>
        <w:ind w:left="-142" w:right="-567"/>
        <w:jc w:val="both"/>
        <w:rPr>
          <w:rFonts w:ascii="Times New Roman" w:hAnsi="Times New Roman" w:cs="Times New Roman"/>
          <w:sz w:val="24"/>
          <w:szCs w:val="24"/>
          <w:lang w:bidi="ar-EG"/>
        </w:rPr>
      </w:pPr>
    </w:p>
    <w:p w14:paraId="348B6ABC" w14:textId="77777777" w:rsidR="003C19CB" w:rsidRDefault="003C19CB" w:rsidP="003C19CB">
      <w:pPr>
        <w:bidi w:val="0"/>
        <w:ind w:left="-142" w:right="-567"/>
        <w:jc w:val="both"/>
        <w:rPr>
          <w:rFonts w:ascii="Times New Roman" w:hAnsi="Times New Roman" w:cs="Times New Roman"/>
          <w:sz w:val="24"/>
          <w:szCs w:val="24"/>
          <w:lang w:bidi="ar-EG"/>
        </w:rPr>
      </w:pPr>
    </w:p>
    <w:p w14:paraId="638A7F11" w14:textId="77777777" w:rsidR="003C19CB" w:rsidRDefault="003C19CB" w:rsidP="003C19CB">
      <w:pPr>
        <w:bidi w:val="0"/>
        <w:ind w:left="-142" w:right="-567"/>
        <w:jc w:val="both"/>
        <w:rPr>
          <w:rFonts w:ascii="Times New Roman" w:hAnsi="Times New Roman" w:cs="Times New Roman"/>
          <w:sz w:val="24"/>
          <w:szCs w:val="24"/>
          <w:lang w:bidi="ar-EG"/>
        </w:rPr>
      </w:pPr>
    </w:p>
    <w:p w14:paraId="5339A809" w14:textId="77777777" w:rsidR="003C19CB" w:rsidRDefault="003C19CB" w:rsidP="003C19CB">
      <w:pPr>
        <w:bidi w:val="0"/>
        <w:ind w:left="-142" w:right="-567"/>
        <w:jc w:val="both"/>
        <w:rPr>
          <w:rFonts w:ascii="Times New Roman" w:hAnsi="Times New Roman" w:cs="Times New Roman"/>
          <w:sz w:val="24"/>
          <w:szCs w:val="24"/>
          <w:lang w:bidi="ar-EG"/>
        </w:rPr>
      </w:pPr>
    </w:p>
    <w:p w14:paraId="65F03A95" w14:textId="77777777" w:rsidR="003C19CB" w:rsidRDefault="003C19CB" w:rsidP="003C19CB">
      <w:pPr>
        <w:bidi w:val="0"/>
        <w:ind w:left="-142" w:right="-567"/>
        <w:jc w:val="both"/>
        <w:rPr>
          <w:rFonts w:ascii="Times New Roman" w:hAnsi="Times New Roman" w:cs="Times New Roman"/>
          <w:sz w:val="24"/>
          <w:szCs w:val="24"/>
          <w:lang w:bidi="ar-EG"/>
        </w:rPr>
      </w:pPr>
    </w:p>
    <w:p w14:paraId="6456F0F9" w14:textId="76676994" w:rsidR="003C19CB" w:rsidRPr="00D86587" w:rsidRDefault="003C19CB" w:rsidP="003C19CB">
      <w:pPr>
        <w:bidi w:val="0"/>
        <w:ind w:left="-142" w:right="-567"/>
        <w:jc w:val="both"/>
        <w:rPr>
          <w:rFonts w:ascii="Times New Roman" w:hAnsi="Times New Roman" w:cs="Times New Roman"/>
          <w:sz w:val="24"/>
          <w:szCs w:val="24"/>
          <w:lang w:bidi="ar-EG"/>
        </w:rPr>
      </w:pPr>
      <w:r>
        <w:rPr>
          <w:rFonts w:ascii="Times New Roman" w:hAnsi="Times New Roman" w:cs="Times New Roman" w:hint="cs"/>
          <w:sz w:val="24"/>
          <w:szCs w:val="24"/>
          <w:lang w:bidi="ar-EG"/>
        </w:rPr>
        <w:t>When analyzed separately, both males and females exhibited generally unimodal length–frequency distributions) Figure 2(. Males showed peak abundance in the 12-13 cm class, while females peaked in the 14-15 cm class. Females were more abundant in the upper length classes (&gt;18 cm), a pattern associated with higher fecundity and reproductive advantage of larger females (King, 2007).</w:t>
      </w:r>
    </w:p>
    <w:p w14:paraId="6FE7B592" w14:textId="77777777" w:rsidR="00DE0640" w:rsidRPr="00EF4A71" w:rsidRDefault="0018700C" w:rsidP="00DE0640">
      <w:pPr>
        <w:bidi w:val="0"/>
        <w:rPr>
          <w:rFonts w:ascii="Times New Roman" w:hAnsi="Times New Roman" w:cs="Times New Roman"/>
          <w:sz w:val="24"/>
          <w:szCs w:val="24"/>
          <w:lang w:bidi="ar-DZ"/>
        </w:rPr>
      </w:pPr>
      <w:r w:rsidRPr="00EF4A71">
        <w:rPr>
          <w:rFonts w:ascii="Times New Roman" w:hAnsi="Times New Roman" w:cs="Times New Roman"/>
          <w:noProof/>
          <w:sz w:val="24"/>
          <w:szCs w:val="24"/>
        </w:rPr>
        <w:drawing>
          <wp:inline distT="0" distB="0" distL="0" distR="0" wp14:anchorId="67E4576A" wp14:editId="3DFA78EA">
            <wp:extent cx="4561840" cy="221932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1840" cy="2219325"/>
                    </a:xfrm>
                    <a:prstGeom prst="rect">
                      <a:avLst/>
                    </a:prstGeom>
                    <a:noFill/>
                    <a:ln>
                      <a:noFill/>
                    </a:ln>
                  </pic:spPr>
                </pic:pic>
              </a:graphicData>
            </a:graphic>
          </wp:inline>
        </w:drawing>
      </w:r>
    </w:p>
    <w:p w14:paraId="272D9129" w14:textId="77777777" w:rsidR="00EF4A71" w:rsidRPr="00EF4A71" w:rsidRDefault="00EF4A71" w:rsidP="00EF4A71">
      <w:pPr>
        <w:jc w:val="center"/>
        <w:rPr>
          <w:rFonts w:ascii="Times New Roman" w:hAnsi="Times New Roman" w:cs="Times New Roman"/>
          <w:sz w:val="24"/>
          <w:szCs w:val="24"/>
        </w:rPr>
      </w:pPr>
      <w:r w:rsidRPr="00EF4A71">
        <w:rPr>
          <w:rFonts w:ascii="Times New Roman" w:hAnsi="Times New Roman" w:cs="Times New Roman"/>
          <w:sz w:val="24"/>
          <w:szCs w:val="24"/>
        </w:rPr>
        <w:t>Figuar1. Sex ratio by length classes.</w:t>
      </w:r>
    </w:p>
    <w:p w14:paraId="1A2693C2" w14:textId="77777777" w:rsidR="00DE0640" w:rsidRPr="00EF4A71" w:rsidRDefault="00DE0640" w:rsidP="00DE0640">
      <w:pPr>
        <w:bidi w:val="0"/>
        <w:rPr>
          <w:rFonts w:ascii="Times New Roman" w:hAnsi="Times New Roman" w:cs="Times New Roman"/>
          <w:sz w:val="24"/>
          <w:szCs w:val="24"/>
          <w:lang w:bidi="ar-DZ"/>
        </w:rPr>
      </w:pPr>
    </w:p>
    <w:p w14:paraId="54FF465A" w14:textId="77777777" w:rsidR="00DE0640" w:rsidRPr="00EF4A71" w:rsidRDefault="00DE0640" w:rsidP="00DE0640">
      <w:pPr>
        <w:bidi w:val="0"/>
        <w:rPr>
          <w:rFonts w:ascii="Times New Roman" w:hAnsi="Times New Roman" w:cs="Times New Roman"/>
          <w:sz w:val="24"/>
          <w:szCs w:val="24"/>
          <w:lang w:bidi="ar-DZ"/>
        </w:rPr>
      </w:pPr>
    </w:p>
    <w:p w14:paraId="603AD278" w14:textId="77777777" w:rsidR="00611C02" w:rsidRPr="00EF4A71" w:rsidRDefault="0018700C" w:rsidP="00DE0640">
      <w:pPr>
        <w:bidi w:val="0"/>
        <w:rPr>
          <w:rFonts w:ascii="Times New Roman" w:hAnsi="Times New Roman" w:cs="Times New Roman"/>
          <w:sz w:val="24"/>
          <w:szCs w:val="24"/>
          <w:lang w:bidi="ar-DZ"/>
        </w:rPr>
      </w:pPr>
      <w:r w:rsidRPr="00EF4A71">
        <w:rPr>
          <w:rFonts w:ascii="Times New Roman" w:hAnsi="Times New Roman" w:cs="Times New Roman"/>
          <w:noProof/>
          <w:sz w:val="24"/>
          <w:szCs w:val="24"/>
        </w:rPr>
        <w:drawing>
          <wp:inline distT="0" distB="0" distL="0" distR="0" wp14:anchorId="4CFD8911" wp14:editId="358025C5">
            <wp:extent cx="4044315" cy="2414905"/>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315" cy="2414905"/>
                    </a:xfrm>
                    <a:prstGeom prst="rect">
                      <a:avLst/>
                    </a:prstGeom>
                    <a:noFill/>
                    <a:ln>
                      <a:noFill/>
                    </a:ln>
                  </pic:spPr>
                </pic:pic>
              </a:graphicData>
            </a:graphic>
          </wp:inline>
        </w:drawing>
      </w:r>
    </w:p>
    <w:p w14:paraId="4BA93563" w14:textId="77777777" w:rsidR="00EF4A71" w:rsidRPr="00EF4A71" w:rsidRDefault="00EF4A71" w:rsidP="00EF4A71">
      <w:pPr>
        <w:jc w:val="center"/>
        <w:rPr>
          <w:rFonts w:ascii="Times New Roman" w:hAnsi="Times New Roman" w:cs="Times New Roman"/>
          <w:sz w:val="24"/>
          <w:szCs w:val="24"/>
        </w:rPr>
      </w:pPr>
      <w:r w:rsidRPr="00EF4A71">
        <w:rPr>
          <w:rFonts w:ascii="Times New Roman" w:hAnsi="Times New Roman" w:cs="Times New Roman"/>
          <w:sz w:val="24"/>
          <w:szCs w:val="24"/>
        </w:rPr>
        <w:t>Figure</w:t>
      </w:r>
      <w:r>
        <w:rPr>
          <w:rFonts w:ascii="Times New Roman" w:hAnsi="Times New Roman" w:cs="Times New Roman"/>
          <w:sz w:val="24"/>
          <w:szCs w:val="24"/>
        </w:rPr>
        <w:t>2</w:t>
      </w:r>
      <w:r w:rsidRPr="00EF4A71">
        <w:rPr>
          <w:rFonts w:ascii="Times New Roman" w:hAnsi="Times New Roman" w:cs="Times New Roman"/>
          <w:sz w:val="24"/>
          <w:szCs w:val="24"/>
        </w:rPr>
        <w:t>. length–frequency distribution by sex</w:t>
      </w:r>
    </w:p>
    <w:p w14:paraId="53DE5C2E" w14:textId="280D4442" w:rsidR="00A807EF" w:rsidRPr="00DA2DC4" w:rsidRDefault="00A807EF" w:rsidP="007777FE">
      <w:pPr>
        <w:bidi w:val="0"/>
        <w:jc w:val="both"/>
        <w:rPr>
          <w:rFonts w:ascii="Times New Roman" w:hAnsi="Times New Roman" w:cs="Times New Roman"/>
          <w:b/>
          <w:bCs/>
          <w:sz w:val="24"/>
          <w:szCs w:val="24"/>
          <w:lang w:bidi="ar-DZ"/>
        </w:rPr>
      </w:pPr>
    </w:p>
    <w:p w14:paraId="34AC5220" w14:textId="77777777" w:rsidR="006A0E29" w:rsidRPr="006A0E29" w:rsidRDefault="00FC0563" w:rsidP="006A0E29">
      <w:pPr>
        <w:bidi w:val="0"/>
        <w:jc w:val="both"/>
        <w:rPr>
          <w:rFonts w:ascii="Times New Roman" w:hAnsi="Times New Roman" w:cs="Times New Roman"/>
          <w:b/>
          <w:bCs/>
          <w:sz w:val="24"/>
          <w:szCs w:val="24"/>
          <w:rtl/>
          <w:lang w:bidi="ar-DZ"/>
        </w:rPr>
      </w:pPr>
      <w:r w:rsidRPr="006A0E29">
        <w:rPr>
          <w:rFonts w:ascii="Times New Roman" w:hAnsi="Times New Roman" w:cs="Times New Roman" w:hint="cs"/>
          <w:b/>
          <w:bCs/>
          <w:sz w:val="24"/>
          <w:szCs w:val="24"/>
          <w:lang w:bidi="ar-EG"/>
        </w:rPr>
        <w:lastRenderedPageBreak/>
        <w:t>3</w:t>
      </w:r>
      <w:r w:rsidR="006A0E29" w:rsidRPr="006A0E29">
        <w:rPr>
          <w:rFonts w:ascii="Times New Roman" w:hAnsi="Times New Roman" w:cs="Times New Roman" w:hint="cs"/>
          <w:b/>
          <w:bCs/>
          <w:sz w:val="24"/>
          <w:szCs w:val="24"/>
          <w:lang w:bidi="ar-EG"/>
        </w:rPr>
        <w:t xml:space="preserve">-2: </w:t>
      </w:r>
      <w:r w:rsidR="006A0E29" w:rsidRPr="006A0E29">
        <w:rPr>
          <w:rFonts w:ascii="Times New Roman" w:hAnsi="Times New Roman" w:cs="Times New Roman"/>
          <w:b/>
          <w:bCs/>
          <w:sz w:val="24"/>
          <w:szCs w:val="24"/>
          <w:rtl/>
          <w:lang w:bidi="ar-DZ"/>
        </w:rPr>
        <w:t>Length-Weight Relationship</w:t>
      </w:r>
      <w:r w:rsidR="006A0E29" w:rsidRPr="006A0E29">
        <w:rPr>
          <w:rFonts w:ascii="Times New Roman" w:hAnsi="Times New Roman" w:cs="Times New Roman" w:hint="cs"/>
          <w:b/>
          <w:bCs/>
          <w:sz w:val="24"/>
          <w:szCs w:val="24"/>
          <w:rtl/>
          <w:lang w:bidi="ar-DZ"/>
        </w:rPr>
        <w:t xml:space="preserve"> (</w:t>
      </w:r>
      <w:r w:rsidR="006A0E29" w:rsidRPr="006A0E29">
        <w:rPr>
          <w:rFonts w:ascii="Times New Roman" w:hAnsi="Times New Roman" w:cs="Times New Roman"/>
          <w:b/>
          <w:bCs/>
          <w:sz w:val="24"/>
          <w:szCs w:val="24"/>
          <w:rtl/>
          <w:lang w:bidi="ar-DZ"/>
        </w:rPr>
        <w:t>LWR</w:t>
      </w:r>
      <w:r w:rsidR="006A0E29" w:rsidRPr="006A0E29">
        <w:rPr>
          <w:rFonts w:ascii="Times New Roman" w:hAnsi="Times New Roman" w:cs="Times New Roman"/>
          <w:b/>
          <w:bCs/>
          <w:sz w:val="24"/>
          <w:szCs w:val="24"/>
          <w:lang w:bidi="ar-DZ"/>
        </w:rPr>
        <w:t>)</w:t>
      </w:r>
    </w:p>
    <w:p w14:paraId="0583063A" w14:textId="2FA3A98D" w:rsidR="00A807EF" w:rsidRPr="00EF4A71" w:rsidRDefault="00A807EF" w:rsidP="006A0E29">
      <w:pPr>
        <w:bidi w:val="0"/>
        <w:jc w:val="both"/>
        <w:rPr>
          <w:rFonts w:ascii="Times New Roman" w:hAnsi="Times New Roman" w:cs="Times New Roman"/>
          <w:sz w:val="24"/>
          <w:szCs w:val="24"/>
          <w:rtl/>
          <w:lang w:bidi="ar-DZ"/>
        </w:rPr>
      </w:pPr>
      <w:r w:rsidRPr="00EF4A71">
        <w:rPr>
          <w:rFonts w:ascii="Times New Roman" w:hAnsi="Times New Roman" w:cs="Times New Roman"/>
          <w:sz w:val="24"/>
          <w:szCs w:val="24"/>
          <w:rtl/>
          <w:lang w:bidi="ar-DZ"/>
        </w:rPr>
        <w:t>The length-weight relationship parameters for S. maderensis are presented in Table</w:t>
      </w:r>
      <w:r w:rsidRPr="00EF4A71">
        <w:rPr>
          <w:rFonts w:ascii="Times New Roman" w:hAnsi="Times New Roman" w:cs="Times New Roman"/>
          <w:sz w:val="24"/>
          <w:szCs w:val="24"/>
          <w:rtl/>
        </w:rPr>
        <w:t xml:space="preserve"> </w:t>
      </w:r>
      <w:r w:rsidRPr="00EF4A71">
        <w:rPr>
          <w:rFonts w:ascii="Times New Roman" w:hAnsi="Times New Roman" w:cs="Times New Roman"/>
          <w:sz w:val="24"/>
          <w:szCs w:val="24"/>
          <w:rtl/>
          <w:lang w:bidi="ar-DZ"/>
        </w:rPr>
        <w:t xml:space="preserve"> </w:t>
      </w:r>
      <w:r w:rsidRPr="00EF4A71">
        <w:rPr>
          <w:rFonts w:ascii="Times New Roman" w:hAnsi="Times New Roman" w:cs="Times New Roman"/>
          <w:sz w:val="24"/>
          <w:szCs w:val="24"/>
          <w:lang w:bidi="ar-DZ"/>
        </w:rPr>
        <w:t>1</w:t>
      </w:r>
    </w:p>
    <w:p w14:paraId="0E92A13C" w14:textId="77777777" w:rsidR="00A807EF" w:rsidRPr="00EF4A71" w:rsidRDefault="00EF4A71" w:rsidP="007777FE">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 xml:space="preserve">The LWR indicated isometric growth for both </w:t>
      </w:r>
      <w:proofErr w:type="spellStart"/>
      <w:proofErr w:type="gramStart"/>
      <w:r w:rsidRPr="00EF4A71">
        <w:rPr>
          <w:rFonts w:ascii="Times New Roman" w:hAnsi="Times New Roman" w:cs="Times New Roman"/>
          <w:sz w:val="24"/>
          <w:szCs w:val="24"/>
          <w:lang w:bidi="ar-DZ"/>
        </w:rPr>
        <w:t>sexes.The</w:t>
      </w:r>
      <w:proofErr w:type="spellEnd"/>
      <w:proofErr w:type="gramEnd"/>
      <w:r w:rsidRPr="00EF4A71">
        <w:rPr>
          <w:rFonts w:ascii="Times New Roman" w:hAnsi="Times New Roman" w:cs="Times New Roman"/>
          <w:sz w:val="24"/>
          <w:szCs w:val="24"/>
          <w:lang w:bidi="ar-DZ"/>
        </w:rPr>
        <w:t xml:space="preserve"> allometric coefficient (b) was 2.97 for males (r² = 0.963) and 2.96 for females (r² = 0.951) (Figures 3 and 4). The intercept (a) was 0.0065 for males and 0.005 for females. The 'b' values were not significantly different from 3 (t-test, p &gt; 0.05), confirming that weight increases in proportion to the cube of length. This isometric growth pattern (b ≈ 3) aligns with findings reported for Sardinella species in the region and other clupeids, suggesting a stable and proportional body form under the prevailing environmental conditions (Froese, 2006; Solaiman, 2017; Torres et al., 2012). The minimal difference in 'b' values between sexes indicates similar overall growth trajectories in terms of body shape. The high coefficients of determination (r² &gt; 0.98) validate the robustness of the derived equations for estimating biomass and stock assessments in the study area.).</w:t>
      </w:r>
    </w:p>
    <w:p w14:paraId="2A403D2F" w14:textId="77777777" w:rsidR="00A807EF" w:rsidRPr="00EF4A71" w:rsidRDefault="00A807EF" w:rsidP="007777FE">
      <w:pPr>
        <w:bidi w:val="0"/>
        <w:jc w:val="both"/>
        <w:rPr>
          <w:rFonts w:ascii="Times New Roman" w:hAnsi="Times New Roman" w:cs="Times New Roman"/>
          <w:sz w:val="24"/>
          <w:szCs w:val="24"/>
          <w:rtl/>
          <w:lang w:bidi="ar-DZ"/>
        </w:rPr>
      </w:pPr>
    </w:p>
    <w:p w14:paraId="7D780B5D" w14:textId="77777777" w:rsidR="00A807EF" w:rsidRPr="00EF4A71" w:rsidRDefault="00A807EF" w:rsidP="00E33209">
      <w:pPr>
        <w:bidi w:val="0"/>
        <w:jc w:val="center"/>
        <w:rPr>
          <w:rFonts w:ascii="Times New Roman" w:hAnsi="Times New Roman" w:cs="Times New Roman"/>
          <w:sz w:val="24"/>
          <w:szCs w:val="24"/>
          <w:rtl/>
          <w:lang w:bidi="ar-DZ"/>
        </w:rPr>
      </w:pPr>
      <w:r w:rsidRPr="00EF4A71">
        <w:rPr>
          <w:rFonts w:ascii="Times New Roman" w:hAnsi="Times New Roman" w:cs="Times New Roman"/>
          <w:sz w:val="24"/>
          <w:szCs w:val="24"/>
          <w:rtl/>
          <w:lang w:bidi="ar-DZ"/>
        </w:rPr>
        <w:t>Table 1. Length-weight relationship parameters for Sardinella maderensis by sex</w:t>
      </w:r>
    </w:p>
    <w:tbl>
      <w:tblPr>
        <w:tblpPr w:leftFromText="180" w:rightFromText="180" w:vertAnchor="text" w:horzAnchor="margin" w:tblpXSpec="center" w:tblpY="9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055"/>
        <w:gridCol w:w="2065"/>
        <w:gridCol w:w="1800"/>
        <w:gridCol w:w="626"/>
        <w:gridCol w:w="869"/>
        <w:gridCol w:w="965"/>
        <w:gridCol w:w="1401"/>
      </w:tblGrid>
      <w:tr w:rsidR="0026030A" w:rsidRPr="00DA2DC4" w14:paraId="2B9B233D" w14:textId="77777777" w:rsidTr="0026030A">
        <w:trPr>
          <w:trHeight w:val="652"/>
        </w:trPr>
        <w:tc>
          <w:tcPr>
            <w:tcW w:w="1137" w:type="dxa"/>
          </w:tcPr>
          <w:p w14:paraId="0158E015"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Sex</w:t>
            </w:r>
          </w:p>
        </w:tc>
        <w:tc>
          <w:tcPr>
            <w:tcW w:w="1055" w:type="dxa"/>
          </w:tcPr>
          <w:p w14:paraId="49992B51"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N</w:t>
            </w:r>
          </w:p>
        </w:tc>
        <w:tc>
          <w:tcPr>
            <w:tcW w:w="2065" w:type="dxa"/>
          </w:tcPr>
          <w:p w14:paraId="141FAA48"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Length Range (Cm)</w:t>
            </w:r>
          </w:p>
        </w:tc>
        <w:tc>
          <w:tcPr>
            <w:tcW w:w="1800" w:type="dxa"/>
          </w:tcPr>
          <w:p w14:paraId="1DD441A8"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Wieght Range</w:t>
            </w:r>
          </w:p>
          <w:p w14:paraId="72E79807"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(G)</w:t>
            </w:r>
          </w:p>
        </w:tc>
        <w:tc>
          <w:tcPr>
            <w:tcW w:w="626" w:type="dxa"/>
          </w:tcPr>
          <w:p w14:paraId="39C0481E"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A</w:t>
            </w:r>
          </w:p>
        </w:tc>
        <w:tc>
          <w:tcPr>
            <w:tcW w:w="869" w:type="dxa"/>
          </w:tcPr>
          <w:p w14:paraId="209B7F3E"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B</w:t>
            </w:r>
          </w:p>
        </w:tc>
        <w:tc>
          <w:tcPr>
            <w:tcW w:w="965" w:type="dxa"/>
          </w:tcPr>
          <w:p w14:paraId="086D26EC" w14:textId="77777777" w:rsidR="00D13191" w:rsidRPr="00DA2DC4" w:rsidRDefault="00DA2DC4" w:rsidP="0026030A">
            <w:pPr>
              <w:bidi w:val="0"/>
              <w:spacing w:after="0" w:line="240" w:lineRule="auto"/>
              <w:ind w:right="-567"/>
              <w:rPr>
                <w:rFonts w:ascii="Times New Roman" w:hAnsi="Times New Roman" w:cs="Times New Roman"/>
                <w:vertAlign w:val="superscript"/>
                <w:lang w:bidi="ar-DZ"/>
              </w:rPr>
            </w:pPr>
            <w:r w:rsidRPr="00DA2DC4">
              <w:rPr>
                <w:rFonts w:ascii="Times New Roman" w:hAnsi="Times New Roman" w:cs="Times New Roman"/>
                <w:lang w:bidi="ar-DZ"/>
              </w:rPr>
              <w:t>R</w:t>
            </w:r>
            <w:r w:rsidRPr="00DA2DC4">
              <w:rPr>
                <w:rFonts w:ascii="Times New Roman" w:hAnsi="Times New Roman" w:cs="Times New Roman"/>
                <w:vertAlign w:val="superscript"/>
                <w:lang w:bidi="ar-DZ"/>
              </w:rPr>
              <w:t>2</w:t>
            </w:r>
          </w:p>
        </w:tc>
        <w:tc>
          <w:tcPr>
            <w:tcW w:w="1401" w:type="dxa"/>
          </w:tcPr>
          <w:p w14:paraId="5E7AE474" w14:textId="77777777" w:rsidR="00D13191" w:rsidRPr="00DA2DC4" w:rsidRDefault="00DA2DC4" w:rsidP="0026030A">
            <w:pPr>
              <w:bidi w:val="0"/>
              <w:spacing w:after="0" w:line="240" w:lineRule="auto"/>
              <w:ind w:right="-567"/>
              <w:rPr>
                <w:rFonts w:ascii="Times New Roman" w:hAnsi="Times New Roman" w:cs="Times New Roman"/>
                <w:lang w:bidi="ar-DZ"/>
              </w:rPr>
            </w:pPr>
            <w:proofErr w:type="spellStart"/>
            <w:r w:rsidRPr="00DA2DC4">
              <w:rPr>
                <w:rFonts w:ascii="Times New Roman" w:hAnsi="Times New Roman" w:cs="Times New Roman"/>
                <w:lang w:bidi="ar-DZ"/>
              </w:rPr>
              <w:t>Groth</w:t>
            </w:r>
            <w:proofErr w:type="spellEnd"/>
            <w:r w:rsidRPr="00DA2DC4">
              <w:rPr>
                <w:rFonts w:ascii="Times New Roman" w:hAnsi="Times New Roman" w:cs="Times New Roman"/>
                <w:lang w:bidi="ar-DZ"/>
              </w:rPr>
              <w:t xml:space="preserve"> Type</w:t>
            </w:r>
          </w:p>
        </w:tc>
      </w:tr>
      <w:tr w:rsidR="0026030A" w:rsidRPr="00DA2DC4" w14:paraId="1903706B" w14:textId="77777777" w:rsidTr="0026030A">
        <w:trPr>
          <w:trHeight w:val="652"/>
        </w:trPr>
        <w:tc>
          <w:tcPr>
            <w:tcW w:w="1137" w:type="dxa"/>
          </w:tcPr>
          <w:p w14:paraId="79A3A09E"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Males</w:t>
            </w:r>
          </w:p>
        </w:tc>
        <w:tc>
          <w:tcPr>
            <w:tcW w:w="1055" w:type="dxa"/>
          </w:tcPr>
          <w:p w14:paraId="1555B5DA"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180</w:t>
            </w:r>
          </w:p>
        </w:tc>
        <w:tc>
          <w:tcPr>
            <w:tcW w:w="2065" w:type="dxa"/>
          </w:tcPr>
          <w:p w14:paraId="142E279E" w14:textId="77777777" w:rsidR="00D13191" w:rsidRPr="00DA2DC4" w:rsidRDefault="00DA2DC4" w:rsidP="0026030A">
            <w:pPr>
              <w:bidi w:val="0"/>
              <w:spacing w:after="0" w:line="240" w:lineRule="auto"/>
              <w:ind w:right="-567"/>
              <w:jc w:val="center"/>
              <w:rPr>
                <w:rFonts w:ascii="Times New Roman" w:hAnsi="Times New Roman" w:cs="Times New Roman"/>
                <w:lang w:bidi="ar-DZ"/>
              </w:rPr>
            </w:pPr>
            <w:r w:rsidRPr="00DA2DC4">
              <w:rPr>
                <w:rFonts w:ascii="Times New Roman" w:hAnsi="Times New Roman" w:cs="Times New Roman"/>
                <w:lang w:bidi="ar-DZ"/>
              </w:rPr>
              <w:t>10-25</w:t>
            </w:r>
          </w:p>
        </w:tc>
        <w:tc>
          <w:tcPr>
            <w:tcW w:w="1800" w:type="dxa"/>
          </w:tcPr>
          <w:p w14:paraId="49B28D73" w14:textId="77777777" w:rsidR="00D13191" w:rsidRPr="00DA2DC4" w:rsidRDefault="00DA2DC4" w:rsidP="0026030A">
            <w:pPr>
              <w:bidi w:val="0"/>
              <w:spacing w:after="0" w:line="240" w:lineRule="auto"/>
              <w:ind w:right="-567"/>
              <w:jc w:val="center"/>
              <w:rPr>
                <w:rFonts w:ascii="Times New Roman" w:hAnsi="Times New Roman" w:cs="Times New Roman"/>
                <w:lang w:bidi="ar-DZ"/>
              </w:rPr>
            </w:pPr>
            <w:r w:rsidRPr="00DA2DC4">
              <w:rPr>
                <w:rFonts w:ascii="Times New Roman" w:hAnsi="Times New Roman" w:cs="Times New Roman"/>
                <w:lang w:bidi="ar-DZ"/>
              </w:rPr>
              <w:t>12-158</w:t>
            </w:r>
          </w:p>
        </w:tc>
        <w:tc>
          <w:tcPr>
            <w:tcW w:w="626" w:type="dxa"/>
          </w:tcPr>
          <w:p w14:paraId="61E93F54"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2.97</w:t>
            </w:r>
          </w:p>
        </w:tc>
        <w:tc>
          <w:tcPr>
            <w:tcW w:w="869" w:type="dxa"/>
          </w:tcPr>
          <w:p w14:paraId="4C2F6F74"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0.0065</w:t>
            </w:r>
          </w:p>
        </w:tc>
        <w:tc>
          <w:tcPr>
            <w:tcW w:w="965" w:type="dxa"/>
          </w:tcPr>
          <w:p w14:paraId="52D38B3B"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0.963</w:t>
            </w:r>
          </w:p>
        </w:tc>
        <w:tc>
          <w:tcPr>
            <w:tcW w:w="1401" w:type="dxa"/>
          </w:tcPr>
          <w:p w14:paraId="18914B53"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Isometric</w:t>
            </w:r>
          </w:p>
        </w:tc>
      </w:tr>
      <w:tr w:rsidR="0026030A" w:rsidRPr="00DA2DC4" w14:paraId="2A4176A8" w14:textId="77777777" w:rsidTr="0026030A">
        <w:trPr>
          <w:trHeight w:val="628"/>
        </w:trPr>
        <w:tc>
          <w:tcPr>
            <w:tcW w:w="1137" w:type="dxa"/>
          </w:tcPr>
          <w:p w14:paraId="33FC745D"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Females</w:t>
            </w:r>
          </w:p>
        </w:tc>
        <w:tc>
          <w:tcPr>
            <w:tcW w:w="1055" w:type="dxa"/>
          </w:tcPr>
          <w:p w14:paraId="7708F62A"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210</w:t>
            </w:r>
          </w:p>
        </w:tc>
        <w:tc>
          <w:tcPr>
            <w:tcW w:w="2065" w:type="dxa"/>
          </w:tcPr>
          <w:p w14:paraId="2DD8960E" w14:textId="77777777" w:rsidR="00D13191" w:rsidRPr="00DA2DC4" w:rsidRDefault="00DA2DC4" w:rsidP="0026030A">
            <w:pPr>
              <w:bidi w:val="0"/>
              <w:spacing w:after="0" w:line="240" w:lineRule="auto"/>
              <w:ind w:right="-567"/>
              <w:jc w:val="center"/>
              <w:rPr>
                <w:rFonts w:ascii="Times New Roman" w:hAnsi="Times New Roman" w:cs="Times New Roman"/>
                <w:lang w:bidi="ar-DZ"/>
              </w:rPr>
            </w:pPr>
            <w:r w:rsidRPr="00DA2DC4">
              <w:rPr>
                <w:rFonts w:ascii="Times New Roman" w:hAnsi="Times New Roman" w:cs="Times New Roman"/>
                <w:lang w:bidi="ar-DZ"/>
              </w:rPr>
              <w:t>9.1-25</w:t>
            </w:r>
          </w:p>
        </w:tc>
        <w:tc>
          <w:tcPr>
            <w:tcW w:w="1800" w:type="dxa"/>
          </w:tcPr>
          <w:p w14:paraId="69016708" w14:textId="77777777" w:rsidR="00D13191" w:rsidRPr="00DA2DC4" w:rsidRDefault="00DA2DC4" w:rsidP="0026030A">
            <w:pPr>
              <w:bidi w:val="0"/>
              <w:spacing w:after="0" w:line="240" w:lineRule="auto"/>
              <w:ind w:right="-567"/>
              <w:jc w:val="center"/>
              <w:rPr>
                <w:rFonts w:ascii="Times New Roman" w:hAnsi="Times New Roman" w:cs="Times New Roman"/>
                <w:lang w:bidi="ar-DZ"/>
              </w:rPr>
            </w:pPr>
            <w:r w:rsidRPr="00DA2DC4">
              <w:rPr>
                <w:rFonts w:ascii="Times New Roman" w:hAnsi="Times New Roman" w:cs="Times New Roman"/>
                <w:lang w:bidi="ar-DZ"/>
              </w:rPr>
              <w:t>14-189</w:t>
            </w:r>
          </w:p>
        </w:tc>
        <w:tc>
          <w:tcPr>
            <w:tcW w:w="626" w:type="dxa"/>
          </w:tcPr>
          <w:p w14:paraId="75DA96D6"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2.97</w:t>
            </w:r>
          </w:p>
        </w:tc>
        <w:tc>
          <w:tcPr>
            <w:tcW w:w="869" w:type="dxa"/>
          </w:tcPr>
          <w:p w14:paraId="5DD99663"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0.005</w:t>
            </w:r>
          </w:p>
        </w:tc>
        <w:tc>
          <w:tcPr>
            <w:tcW w:w="965" w:type="dxa"/>
          </w:tcPr>
          <w:p w14:paraId="7F6B3D89"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0.951</w:t>
            </w:r>
          </w:p>
        </w:tc>
        <w:tc>
          <w:tcPr>
            <w:tcW w:w="1401" w:type="dxa"/>
          </w:tcPr>
          <w:p w14:paraId="5024AE59"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Isometric</w:t>
            </w:r>
          </w:p>
        </w:tc>
      </w:tr>
    </w:tbl>
    <w:p w14:paraId="2C71DB35" w14:textId="77777777" w:rsidR="00A807EF" w:rsidRPr="00EF4A71" w:rsidRDefault="00A807EF" w:rsidP="002B7AB9">
      <w:pPr>
        <w:bidi w:val="0"/>
        <w:rPr>
          <w:rFonts w:ascii="Times New Roman" w:hAnsi="Times New Roman" w:cs="Times New Roman"/>
          <w:sz w:val="24"/>
          <w:szCs w:val="24"/>
          <w:lang w:bidi="ar-DZ"/>
        </w:rPr>
      </w:pPr>
    </w:p>
    <w:p w14:paraId="26F3415E" w14:textId="77777777" w:rsidR="00623D70" w:rsidRDefault="00623D70" w:rsidP="00623D70">
      <w:pPr>
        <w:jc w:val="both"/>
      </w:pPr>
    </w:p>
    <w:p w14:paraId="5D1F8711" w14:textId="77777777" w:rsidR="00623D70" w:rsidRDefault="0018700C" w:rsidP="00623D70">
      <w:pPr>
        <w:jc w:val="center"/>
      </w:pPr>
      <w:r w:rsidRPr="00476371">
        <w:rPr>
          <w:noProof/>
        </w:rPr>
        <w:drawing>
          <wp:inline distT="0" distB="0" distL="0" distR="0" wp14:anchorId="1035D32E" wp14:editId="7BF352AA">
            <wp:extent cx="3383280" cy="224663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3280" cy="2246630"/>
                    </a:xfrm>
                    <a:prstGeom prst="rect">
                      <a:avLst/>
                    </a:prstGeom>
                    <a:noFill/>
                    <a:ln>
                      <a:noFill/>
                    </a:ln>
                  </pic:spPr>
                </pic:pic>
              </a:graphicData>
            </a:graphic>
          </wp:inline>
        </w:drawing>
      </w:r>
    </w:p>
    <w:p w14:paraId="1D8D81CD" w14:textId="77777777" w:rsidR="00623D70" w:rsidRDefault="00623D70" w:rsidP="00623D70">
      <w:pPr>
        <w:jc w:val="center"/>
      </w:pPr>
      <w:r>
        <w:t xml:space="preserve">Figure3. </w:t>
      </w:r>
      <w:r w:rsidRPr="00021B8D">
        <w:t xml:space="preserve"> </w:t>
      </w:r>
      <w:r>
        <w:t>Length-Weight Relationship for males</w:t>
      </w:r>
    </w:p>
    <w:p w14:paraId="58B95B28" w14:textId="77777777" w:rsidR="00623D70" w:rsidRDefault="00623D70" w:rsidP="00623D70">
      <w:pPr>
        <w:jc w:val="center"/>
      </w:pPr>
    </w:p>
    <w:p w14:paraId="59EAE486" w14:textId="77777777" w:rsidR="00623D70" w:rsidRDefault="0018700C" w:rsidP="00623D70">
      <w:pPr>
        <w:jc w:val="center"/>
      </w:pPr>
      <w:r w:rsidRPr="00476371">
        <w:rPr>
          <w:noProof/>
        </w:rPr>
        <w:lastRenderedPageBreak/>
        <w:drawing>
          <wp:inline distT="0" distB="0" distL="0" distR="0" wp14:anchorId="40B7447C" wp14:editId="51CB2522">
            <wp:extent cx="3589020" cy="196596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9020" cy="1965960"/>
                    </a:xfrm>
                    <a:prstGeom prst="rect">
                      <a:avLst/>
                    </a:prstGeom>
                    <a:noFill/>
                    <a:ln>
                      <a:noFill/>
                    </a:ln>
                  </pic:spPr>
                </pic:pic>
              </a:graphicData>
            </a:graphic>
          </wp:inline>
        </w:drawing>
      </w:r>
    </w:p>
    <w:p w14:paraId="234DBE1A" w14:textId="1574620D" w:rsidR="00623D70" w:rsidRDefault="00623D70" w:rsidP="00623D70">
      <w:pPr>
        <w:jc w:val="center"/>
      </w:pPr>
      <w:r>
        <w:t>Figure</w:t>
      </w:r>
      <w:r w:rsidR="00B93420">
        <w:t xml:space="preserve"> 4</w:t>
      </w:r>
      <w:r>
        <w:t xml:space="preserve">. </w:t>
      </w:r>
      <w:r w:rsidRPr="00021B8D">
        <w:t xml:space="preserve"> </w:t>
      </w:r>
      <w:r>
        <w:t>Length-Weight Relationship for females.</w:t>
      </w:r>
    </w:p>
    <w:p w14:paraId="7882A19E" w14:textId="77777777" w:rsidR="00623D70" w:rsidRPr="00623D70" w:rsidRDefault="00623D70" w:rsidP="00623D70">
      <w:pPr>
        <w:ind w:left="-142" w:right="-567"/>
        <w:jc w:val="right"/>
        <w:rPr>
          <w:rFonts w:ascii="Times New Roman" w:hAnsi="Times New Roman" w:cs="Times New Roman"/>
          <w:sz w:val="24"/>
          <w:szCs w:val="24"/>
          <w:rtl/>
          <w:lang w:bidi="ar-DZ"/>
        </w:rPr>
      </w:pPr>
    </w:p>
    <w:p w14:paraId="467F10C0" w14:textId="77777777" w:rsidR="00623D70" w:rsidRDefault="00623D70" w:rsidP="00766E05">
      <w:pPr>
        <w:bidi w:val="0"/>
        <w:ind w:right="-567"/>
        <w:jc w:val="both"/>
        <w:rPr>
          <w:rFonts w:ascii="Times New Roman" w:hAnsi="Times New Roman" w:cs="Times New Roman"/>
          <w:sz w:val="24"/>
          <w:szCs w:val="24"/>
          <w:rtl/>
        </w:rPr>
      </w:pPr>
    </w:p>
    <w:p w14:paraId="13B2743D" w14:textId="7F80364E" w:rsidR="00623D70" w:rsidRPr="00DA2DC4" w:rsidRDefault="00AC0F14" w:rsidP="006A0E29">
      <w:pPr>
        <w:bidi w:val="0"/>
        <w:ind w:left="-142" w:right="-567"/>
        <w:jc w:val="both"/>
        <w:rPr>
          <w:rFonts w:ascii="Times New Roman" w:hAnsi="Times New Roman" w:cs="Times New Roman"/>
          <w:b/>
          <w:bCs/>
          <w:sz w:val="24"/>
          <w:szCs w:val="24"/>
          <w:rtl/>
        </w:rPr>
      </w:pPr>
      <w:r>
        <w:rPr>
          <w:rFonts w:ascii="Times New Roman" w:hAnsi="Times New Roman" w:cs="Times New Roman" w:hint="cs"/>
          <w:b/>
          <w:bCs/>
          <w:sz w:val="24"/>
          <w:szCs w:val="24"/>
          <w:lang w:bidi="ar-EG"/>
        </w:rPr>
        <w:t xml:space="preserve">3-3: </w:t>
      </w:r>
      <w:r w:rsidR="002754FA" w:rsidRPr="00DA2DC4">
        <w:rPr>
          <w:rFonts w:ascii="Times New Roman" w:hAnsi="Times New Roman" w:cs="Times New Roman"/>
          <w:b/>
          <w:bCs/>
          <w:sz w:val="24"/>
          <w:szCs w:val="24"/>
          <w:lang w:bidi="ar-DZ"/>
        </w:rPr>
        <w:t>Monthly Dynamics of the Condition Factor (K)</w:t>
      </w:r>
    </w:p>
    <w:p w14:paraId="4021FD82" w14:textId="025D8CD2" w:rsidR="002754FA" w:rsidRPr="00EF4A71" w:rsidRDefault="002754FA" w:rsidP="006A0E29">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 xml:space="preserve">The condition factor (K) exhibited highly significant monthly variation (ANOVA, p &lt; 0.001), revealing a clear annual physiological cycle (Table 2, Figure </w:t>
      </w:r>
      <w:r w:rsidR="00B93420">
        <w:rPr>
          <w:rFonts w:ascii="Times New Roman" w:hAnsi="Times New Roman" w:cs="Times New Roman"/>
          <w:sz w:val="24"/>
          <w:szCs w:val="24"/>
          <w:lang w:bidi="ar-DZ"/>
        </w:rPr>
        <w:t>5</w:t>
      </w:r>
      <w:r w:rsidRPr="00EF4A71">
        <w:rPr>
          <w:rFonts w:ascii="Times New Roman" w:hAnsi="Times New Roman" w:cs="Times New Roman"/>
          <w:sz w:val="24"/>
          <w:szCs w:val="24"/>
          <w:lang w:bidi="ar-DZ"/>
        </w:rPr>
        <w:t>). The lowest mean K value was recorded in December (0.65 ± 0.04), representing a period of minimal physiological condition. Values showed a steady recovery from January (0.67 ± 0.03) through February (0.72 ± 0.04) onwards, culminating in a pronounced peak in April (0.93 ± 0.05). Following this peak, a gradual decline was observed through the subsequent months, with a secondary minor peak in June (0.89 ± 0.04).</w:t>
      </w:r>
    </w:p>
    <w:p w14:paraId="73074AA7" w14:textId="77777777" w:rsidR="001D3833" w:rsidRDefault="001D3833" w:rsidP="006A0E29">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 xml:space="preserve">    particularly during the pre-spawning period (April-May), though these differences were not statistically significant (t-test, p &gt; 0.05). The peak condition factor for females (0.94) was recorded in April, while males peaked at 0.91 during the same month.</w:t>
      </w:r>
    </w:p>
    <w:p w14:paraId="79C7CE1E" w14:textId="77777777" w:rsidR="00D13191" w:rsidRPr="00EF4A71" w:rsidRDefault="00D13191" w:rsidP="006A0E29">
      <w:pPr>
        <w:bidi w:val="0"/>
        <w:ind w:right="-567"/>
        <w:jc w:val="both"/>
        <w:rPr>
          <w:rFonts w:ascii="Times New Roman" w:hAnsi="Times New Roman" w:cs="Times New Roman"/>
          <w:sz w:val="24"/>
          <w:szCs w:val="24"/>
        </w:rPr>
      </w:pPr>
    </w:p>
    <w:p w14:paraId="013B52DB" w14:textId="5C5B9C8F" w:rsidR="00EF4A71" w:rsidRDefault="00D13191" w:rsidP="006A0E29">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Table 2. Monthly variation in condition factor (K) of Sardinella maderensis</w:t>
      </w:r>
      <w:r w:rsidR="00130C57" w:rsidRPr="00EF4A71">
        <w:rPr>
          <w:rFonts w:ascii="Times New Roman" w:hAnsi="Times New Roman" w:cs="Times New Roman"/>
          <w:sz w:val="24"/>
          <w:szCs w:val="24"/>
        </w:rPr>
        <w:t xml:space="preserve"> </w:t>
      </w:r>
      <w:r w:rsidR="00130C57" w:rsidRPr="00EF4A71">
        <w:rPr>
          <w:rFonts w:ascii="Times New Roman" w:hAnsi="Times New Roman" w:cs="Times New Roman"/>
          <w:sz w:val="24"/>
          <w:szCs w:val="24"/>
          <w:lang w:bidi="ar-DZ"/>
        </w:rPr>
        <w:t>Sex-specific analysis of condition factor revealed that females generally exhibited slightly higher K values than males during most months</w:t>
      </w:r>
      <w:r w:rsidR="00766E05">
        <w:rPr>
          <w:rFonts w:ascii="Times New Roman" w:hAnsi="Times New Roman" w:cs="Times New Roman" w:hint="cs"/>
          <w:sz w:val="24"/>
          <w:szCs w:val="24"/>
          <w:lang w:bidi="ar-EG"/>
        </w:rPr>
        <w:t>.</w:t>
      </w:r>
    </w:p>
    <w:p w14:paraId="5BE65C12" w14:textId="77777777" w:rsidR="00EF4A71" w:rsidRDefault="00EF4A71" w:rsidP="00EF4A71">
      <w:pPr>
        <w:bidi w:val="0"/>
        <w:ind w:left="-142" w:right="-567"/>
        <w:jc w:val="both"/>
        <w:rPr>
          <w:rFonts w:ascii="Times New Roman" w:hAnsi="Times New Roman" w:cs="Times New Roman"/>
          <w:sz w:val="24"/>
          <w:szCs w:val="24"/>
          <w:lang w:bidi="ar-DZ"/>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81"/>
        <w:gridCol w:w="1671"/>
        <w:gridCol w:w="1765"/>
        <w:gridCol w:w="1672"/>
      </w:tblGrid>
      <w:tr w:rsidR="00C3448F" w:rsidRPr="00BE1DF1" w14:paraId="42D92515" w14:textId="77777777" w:rsidTr="00BE1DF1">
        <w:tc>
          <w:tcPr>
            <w:tcW w:w="1781" w:type="dxa"/>
          </w:tcPr>
          <w:p w14:paraId="2F670771"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w:t>
            </w:r>
            <w:r w:rsidR="00E67DFD" w:rsidRPr="00BE1DF1">
              <w:rPr>
                <w:rFonts w:ascii="Times New Roman" w:hAnsi="Times New Roman" w:cs="Times New Roman"/>
                <w:b/>
                <w:bCs/>
                <w:sz w:val="24"/>
                <w:szCs w:val="24"/>
                <w:lang w:bidi="ar-DZ"/>
              </w:rPr>
              <w:t>onth</w:t>
            </w:r>
          </w:p>
        </w:tc>
        <w:tc>
          <w:tcPr>
            <w:tcW w:w="1671" w:type="dxa"/>
          </w:tcPr>
          <w:p w14:paraId="1E954462"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Mean K ± SD</w:t>
            </w:r>
          </w:p>
        </w:tc>
        <w:tc>
          <w:tcPr>
            <w:tcW w:w="1765" w:type="dxa"/>
          </w:tcPr>
          <w:p w14:paraId="5F6D1E45" w14:textId="77777777" w:rsidR="00C3448F" w:rsidRPr="00BE1DF1" w:rsidRDefault="00C3448F" w:rsidP="00BE1DF1">
            <w:pPr>
              <w:bidi w:val="0"/>
              <w:spacing w:after="0" w:line="240" w:lineRule="auto"/>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Minimum</w:t>
            </w:r>
          </w:p>
        </w:tc>
        <w:tc>
          <w:tcPr>
            <w:tcW w:w="1672" w:type="dxa"/>
          </w:tcPr>
          <w:p w14:paraId="782F1F85"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Maximum</w:t>
            </w:r>
          </w:p>
        </w:tc>
      </w:tr>
      <w:tr w:rsidR="00C3448F" w:rsidRPr="00BE1DF1" w14:paraId="4283EE09" w14:textId="77777777" w:rsidTr="00BE1DF1">
        <w:tc>
          <w:tcPr>
            <w:tcW w:w="1781" w:type="dxa"/>
            <w:shd w:val="clear" w:color="auto" w:fill="F2F2F2"/>
          </w:tcPr>
          <w:p w14:paraId="1F706289"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January</w:t>
            </w:r>
          </w:p>
        </w:tc>
        <w:tc>
          <w:tcPr>
            <w:tcW w:w="1671" w:type="dxa"/>
            <w:shd w:val="clear" w:color="auto" w:fill="F2F2F2"/>
          </w:tcPr>
          <w:p w14:paraId="3580D552"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0.67</w:t>
            </w:r>
            <w:r w:rsidR="001D3833" w:rsidRPr="00BE1DF1">
              <w:rPr>
                <w:rFonts w:ascii="Times New Roman" w:hAnsi="Times New Roman" w:cs="Times New Roman"/>
                <w:sz w:val="24"/>
                <w:szCs w:val="24"/>
                <w:lang w:bidi="ar-DZ"/>
              </w:rPr>
              <w:t>±0.03</w:t>
            </w:r>
          </w:p>
        </w:tc>
        <w:tc>
          <w:tcPr>
            <w:tcW w:w="1765" w:type="dxa"/>
            <w:shd w:val="clear" w:color="auto" w:fill="F2F2F2"/>
          </w:tcPr>
          <w:p w14:paraId="2A84836E"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0.61</w:t>
            </w:r>
          </w:p>
        </w:tc>
        <w:tc>
          <w:tcPr>
            <w:tcW w:w="1672" w:type="dxa"/>
            <w:shd w:val="clear" w:color="auto" w:fill="F2F2F2"/>
          </w:tcPr>
          <w:p w14:paraId="38B2E83B"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0.72</w:t>
            </w:r>
          </w:p>
        </w:tc>
      </w:tr>
      <w:tr w:rsidR="00C3448F" w:rsidRPr="00BE1DF1" w14:paraId="2441EED8" w14:textId="77777777" w:rsidTr="00BE1DF1">
        <w:tc>
          <w:tcPr>
            <w:tcW w:w="1781" w:type="dxa"/>
          </w:tcPr>
          <w:p w14:paraId="5A4F9780"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February</w:t>
            </w:r>
          </w:p>
        </w:tc>
        <w:tc>
          <w:tcPr>
            <w:tcW w:w="1671" w:type="dxa"/>
          </w:tcPr>
          <w:p w14:paraId="3A73E73C"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0.72</w:t>
            </w:r>
            <w:r w:rsidR="001D3833" w:rsidRPr="00BE1DF1">
              <w:rPr>
                <w:rFonts w:ascii="Times New Roman" w:hAnsi="Times New Roman" w:cs="Times New Roman"/>
                <w:sz w:val="24"/>
                <w:szCs w:val="24"/>
                <w:lang w:bidi="ar-DZ"/>
              </w:rPr>
              <w:t>±0.04</w:t>
            </w:r>
          </w:p>
        </w:tc>
        <w:tc>
          <w:tcPr>
            <w:tcW w:w="1765" w:type="dxa"/>
          </w:tcPr>
          <w:p w14:paraId="0B7ACB8E"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0.65</w:t>
            </w:r>
          </w:p>
        </w:tc>
        <w:tc>
          <w:tcPr>
            <w:tcW w:w="1672" w:type="dxa"/>
          </w:tcPr>
          <w:p w14:paraId="00DFC980"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0.79</w:t>
            </w:r>
          </w:p>
        </w:tc>
      </w:tr>
      <w:tr w:rsidR="00C3448F" w:rsidRPr="00BE1DF1" w14:paraId="381F5AB0" w14:textId="77777777" w:rsidTr="00BE1DF1">
        <w:tc>
          <w:tcPr>
            <w:tcW w:w="1781" w:type="dxa"/>
            <w:shd w:val="clear" w:color="auto" w:fill="F2F2F2"/>
          </w:tcPr>
          <w:p w14:paraId="1074A8EB"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March</w:t>
            </w:r>
          </w:p>
        </w:tc>
        <w:tc>
          <w:tcPr>
            <w:tcW w:w="1671" w:type="dxa"/>
            <w:shd w:val="clear" w:color="auto" w:fill="F2F2F2"/>
          </w:tcPr>
          <w:p w14:paraId="6680F32F"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0.85</w:t>
            </w:r>
            <w:r w:rsidR="001D3833" w:rsidRPr="00BE1DF1">
              <w:rPr>
                <w:rFonts w:ascii="Times New Roman" w:hAnsi="Times New Roman" w:cs="Times New Roman"/>
                <w:sz w:val="24"/>
                <w:szCs w:val="24"/>
                <w:lang w:bidi="ar-DZ"/>
              </w:rPr>
              <w:t>±0.04</w:t>
            </w:r>
          </w:p>
        </w:tc>
        <w:tc>
          <w:tcPr>
            <w:tcW w:w="1765" w:type="dxa"/>
            <w:shd w:val="clear" w:color="auto" w:fill="F2F2F2"/>
          </w:tcPr>
          <w:p w14:paraId="7BFE2FEB"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0.78</w:t>
            </w:r>
          </w:p>
        </w:tc>
        <w:tc>
          <w:tcPr>
            <w:tcW w:w="1672" w:type="dxa"/>
            <w:shd w:val="clear" w:color="auto" w:fill="F2F2F2"/>
          </w:tcPr>
          <w:p w14:paraId="61814ACC"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0.92</w:t>
            </w:r>
          </w:p>
        </w:tc>
      </w:tr>
      <w:tr w:rsidR="00C3448F" w:rsidRPr="00BE1DF1" w14:paraId="11A80111" w14:textId="77777777" w:rsidTr="00BE1DF1">
        <w:tc>
          <w:tcPr>
            <w:tcW w:w="1781" w:type="dxa"/>
          </w:tcPr>
          <w:p w14:paraId="25E6DEF7"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April</w:t>
            </w:r>
          </w:p>
        </w:tc>
        <w:tc>
          <w:tcPr>
            <w:tcW w:w="1671" w:type="dxa"/>
          </w:tcPr>
          <w:p w14:paraId="25047915"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0.93</w:t>
            </w:r>
            <w:r w:rsidR="001D3833" w:rsidRPr="00BE1DF1">
              <w:rPr>
                <w:rFonts w:ascii="Times New Roman" w:hAnsi="Times New Roman" w:cs="Times New Roman"/>
                <w:sz w:val="24"/>
                <w:szCs w:val="24"/>
                <w:lang w:bidi="ar-DZ"/>
              </w:rPr>
              <w:t>±0.05</w:t>
            </w:r>
          </w:p>
        </w:tc>
        <w:tc>
          <w:tcPr>
            <w:tcW w:w="1765" w:type="dxa"/>
          </w:tcPr>
          <w:p w14:paraId="37A5DBD1"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0.85</w:t>
            </w:r>
          </w:p>
        </w:tc>
        <w:tc>
          <w:tcPr>
            <w:tcW w:w="1672" w:type="dxa"/>
          </w:tcPr>
          <w:p w14:paraId="70EEBBD0"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1.02</w:t>
            </w:r>
          </w:p>
        </w:tc>
      </w:tr>
      <w:tr w:rsidR="00C3448F" w:rsidRPr="00BE1DF1" w14:paraId="1DD9078D" w14:textId="77777777" w:rsidTr="00BE1DF1">
        <w:tc>
          <w:tcPr>
            <w:tcW w:w="1781" w:type="dxa"/>
            <w:shd w:val="clear" w:color="auto" w:fill="F2F2F2"/>
          </w:tcPr>
          <w:p w14:paraId="753DAF3B"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May</w:t>
            </w:r>
          </w:p>
        </w:tc>
        <w:tc>
          <w:tcPr>
            <w:tcW w:w="1671" w:type="dxa"/>
            <w:shd w:val="clear" w:color="auto" w:fill="F2F2F2"/>
          </w:tcPr>
          <w:p w14:paraId="5A786444"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0.82</w:t>
            </w:r>
            <w:r w:rsidR="001D3833" w:rsidRPr="00BE1DF1">
              <w:rPr>
                <w:rFonts w:ascii="Times New Roman" w:hAnsi="Times New Roman" w:cs="Times New Roman"/>
                <w:sz w:val="24"/>
                <w:szCs w:val="24"/>
                <w:lang w:bidi="ar-DZ"/>
              </w:rPr>
              <w:t>±0.05</w:t>
            </w:r>
          </w:p>
        </w:tc>
        <w:tc>
          <w:tcPr>
            <w:tcW w:w="1765" w:type="dxa"/>
            <w:shd w:val="clear" w:color="auto" w:fill="F2F2F2"/>
          </w:tcPr>
          <w:p w14:paraId="57AB6BE1"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0.74</w:t>
            </w:r>
          </w:p>
        </w:tc>
        <w:tc>
          <w:tcPr>
            <w:tcW w:w="1672" w:type="dxa"/>
            <w:shd w:val="clear" w:color="auto" w:fill="F2F2F2"/>
          </w:tcPr>
          <w:p w14:paraId="66567525"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0.91</w:t>
            </w:r>
          </w:p>
        </w:tc>
      </w:tr>
      <w:tr w:rsidR="00C3448F" w:rsidRPr="00BE1DF1" w14:paraId="2692101F" w14:textId="77777777" w:rsidTr="00BE1DF1">
        <w:tc>
          <w:tcPr>
            <w:tcW w:w="1781" w:type="dxa"/>
          </w:tcPr>
          <w:p w14:paraId="2A037069"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June</w:t>
            </w:r>
          </w:p>
        </w:tc>
        <w:tc>
          <w:tcPr>
            <w:tcW w:w="1671" w:type="dxa"/>
          </w:tcPr>
          <w:p w14:paraId="60FC2ADC"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0.89</w:t>
            </w:r>
            <w:r w:rsidR="001D3833" w:rsidRPr="00BE1DF1">
              <w:rPr>
                <w:rFonts w:ascii="Times New Roman" w:hAnsi="Times New Roman" w:cs="Times New Roman"/>
                <w:sz w:val="24"/>
                <w:szCs w:val="24"/>
                <w:lang w:bidi="ar-DZ"/>
              </w:rPr>
              <w:t>±0.04</w:t>
            </w:r>
          </w:p>
        </w:tc>
        <w:tc>
          <w:tcPr>
            <w:tcW w:w="1765" w:type="dxa"/>
          </w:tcPr>
          <w:p w14:paraId="45051509"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0.82</w:t>
            </w:r>
          </w:p>
        </w:tc>
        <w:tc>
          <w:tcPr>
            <w:tcW w:w="1672" w:type="dxa"/>
          </w:tcPr>
          <w:p w14:paraId="6F04CF50"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0.96</w:t>
            </w:r>
          </w:p>
        </w:tc>
      </w:tr>
      <w:tr w:rsidR="00C3448F" w:rsidRPr="00BE1DF1" w14:paraId="2CFE7519" w14:textId="77777777" w:rsidTr="00BE1DF1">
        <w:tc>
          <w:tcPr>
            <w:tcW w:w="1781" w:type="dxa"/>
            <w:shd w:val="clear" w:color="auto" w:fill="F2F2F2"/>
          </w:tcPr>
          <w:p w14:paraId="4C8149DB"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lastRenderedPageBreak/>
              <w:t>July</w:t>
            </w:r>
          </w:p>
        </w:tc>
        <w:tc>
          <w:tcPr>
            <w:tcW w:w="1671" w:type="dxa"/>
            <w:shd w:val="clear" w:color="auto" w:fill="F2F2F2"/>
          </w:tcPr>
          <w:p w14:paraId="16FB332C"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0.80</w:t>
            </w:r>
            <w:r w:rsidR="001D3833" w:rsidRPr="00BE1DF1">
              <w:rPr>
                <w:rFonts w:ascii="Times New Roman" w:hAnsi="Times New Roman" w:cs="Times New Roman"/>
                <w:sz w:val="24"/>
                <w:szCs w:val="24"/>
                <w:lang w:bidi="ar-DZ"/>
              </w:rPr>
              <w:t>±0.06</w:t>
            </w:r>
          </w:p>
        </w:tc>
        <w:tc>
          <w:tcPr>
            <w:tcW w:w="1765" w:type="dxa"/>
            <w:shd w:val="clear" w:color="auto" w:fill="F2F2F2"/>
          </w:tcPr>
          <w:p w14:paraId="3DE6E5F1"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0.71</w:t>
            </w:r>
          </w:p>
        </w:tc>
        <w:tc>
          <w:tcPr>
            <w:tcW w:w="1672" w:type="dxa"/>
            <w:shd w:val="clear" w:color="auto" w:fill="F2F2F2"/>
          </w:tcPr>
          <w:p w14:paraId="5E1028EA"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0.89</w:t>
            </w:r>
          </w:p>
        </w:tc>
      </w:tr>
      <w:tr w:rsidR="00C3448F" w:rsidRPr="00BE1DF1" w14:paraId="05BD7B19" w14:textId="77777777" w:rsidTr="00BE1DF1">
        <w:tc>
          <w:tcPr>
            <w:tcW w:w="1781" w:type="dxa"/>
          </w:tcPr>
          <w:p w14:paraId="38DEFCA0"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August</w:t>
            </w:r>
          </w:p>
        </w:tc>
        <w:tc>
          <w:tcPr>
            <w:tcW w:w="1671" w:type="dxa"/>
          </w:tcPr>
          <w:p w14:paraId="5D8E56F9"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0.81</w:t>
            </w:r>
            <w:r w:rsidR="001D3833" w:rsidRPr="00BE1DF1">
              <w:rPr>
                <w:rFonts w:ascii="Times New Roman" w:hAnsi="Times New Roman" w:cs="Times New Roman"/>
                <w:sz w:val="24"/>
                <w:szCs w:val="24"/>
                <w:lang w:bidi="ar-DZ"/>
              </w:rPr>
              <w:t>±0.05</w:t>
            </w:r>
          </w:p>
        </w:tc>
        <w:tc>
          <w:tcPr>
            <w:tcW w:w="1765" w:type="dxa"/>
          </w:tcPr>
          <w:p w14:paraId="38AB67EC"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0.73</w:t>
            </w:r>
          </w:p>
        </w:tc>
        <w:tc>
          <w:tcPr>
            <w:tcW w:w="1672" w:type="dxa"/>
          </w:tcPr>
          <w:p w14:paraId="22BE9DEE"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0.90</w:t>
            </w:r>
          </w:p>
        </w:tc>
      </w:tr>
      <w:tr w:rsidR="00C3448F" w:rsidRPr="00BE1DF1" w14:paraId="3FE0CF06" w14:textId="77777777" w:rsidTr="00BE1DF1">
        <w:tc>
          <w:tcPr>
            <w:tcW w:w="1781" w:type="dxa"/>
            <w:shd w:val="clear" w:color="auto" w:fill="F2F2F2"/>
          </w:tcPr>
          <w:p w14:paraId="51281412"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September</w:t>
            </w:r>
          </w:p>
        </w:tc>
        <w:tc>
          <w:tcPr>
            <w:tcW w:w="1671" w:type="dxa"/>
            <w:shd w:val="clear" w:color="auto" w:fill="F2F2F2"/>
          </w:tcPr>
          <w:p w14:paraId="0996D3E7"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0.70</w:t>
            </w:r>
            <w:r w:rsidR="001D3833" w:rsidRPr="00BE1DF1">
              <w:rPr>
                <w:rFonts w:ascii="Times New Roman" w:hAnsi="Times New Roman" w:cs="Times New Roman"/>
                <w:sz w:val="24"/>
                <w:szCs w:val="24"/>
                <w:lang w:bidi="ar-DZ"/>
              </w:rPr>
              <w:t>±0.04</w:t>
            </w:r>
          </w:p>
        </w:tc>
        <w:tc>
          <w:tcPr>
            <w:tcW w:w="1765" w:type="dxa"/>
            <w:shd w:val="clear" w:color="auto" w:fill="F2F2F2"/>
          </w:tcPr>
          <w:p w14:paraId="7A4C04D4"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0.63</w:t>
            </w:r>
          </w:p>
        </w:tc>
        <w:tc>
          <w:tcPr>
            <w:tcW w:w="1672" w:type="dxa"/>
            <w:shd w:val="clear" w:color="auto" w:fill="F2F2F2"/>
          </w:tcPr>
          <w:p w14:paraId="516236E5"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0.77</w:t>
            </w:r>
          </w:p>
        </w:tc>
      </w:tr>
      <w:tr w:rsidR="00C3448F" w:rsidRPr="00BE1DF1" w14:paraId="5F7CD9ED" w14:textId="77777777" w:rsidTr="00BE1DF1">
        <w:tc>
          <w:tcPr>
            <w:tcW w:w="1781" w:type="dxa"/>
          </w:tcPr>
          <w:p w14:paraId="2E72FF3C"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October</w:t>
            </w:r>
          </w:p>
        </w:tc>
        <w:tc>
          <w:tcPr>
            <w:tcW w:w="1671" w:type="dxa"/>
          </w:tcPr>
          <w:p w14:paraId="0CB66369"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0.67</w:t>
            </w:r>
            <w:r w:rsidR="001D3833" w:rsidRPr="00BE1DF1">
              <w:rPr>
                <w:rFonts w:ascii="Times New Roman" w:hAnsi="Times New Roman" w:cs="Times New Roman"/>
                <w:sz w:val="24"/>
                <w:szCs w:val="24"/>
                <w:lang w:bidi="ar-DZ"/>
              </w:rPr>
              <w:t>±0.05</w:t>
            </w:r>
          </w:p>
        </w:tc>
        <w:tc>
          <w:tcPr>
            <w:tcW w:w="1765" w:type="dxa"/>
          </w:tcPr>
          <w:p w14:paraId="4C1078FA"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0.59</w:t>
            </w:r>
          </w:p>
        </w:tc>
        <w:tc>
          <w:tcPr>
            <w:tcW w:w="1672" w:type="dxa"/>
          </w:tcPr>
          <w:p w14:paraId="2EFDF3C0"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0.75</w:t>
            </w:r>
          </w:p>
        </w:tc>
      </w:tr>
      <w:tr w:rsidR="00C3448F" w:rsidRPr="00BE1DF1" w14:paraId="4374279C" w14:textId="77777777" w:rsidTr="00BE1DF1">
        <w:tc>
          <w:tcPr>
            <w:tcW w:w="1781" w:type="dxa"/>
            <w:shd w:val="clear" w:color="auto" w:fill="F2F2F2"/>
          </w:tcPr>
          <w:p w14:paraId="53C13662"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November</w:t>
            </w:r>
          </w:p>
        </w:tc>
        <w:tc>
          <w:tcPr>
            <w:tcW w:w="1671" w:type="dxa"/>
            <w:shd w:val="clear" w:color="auto" w:fill="F2F2F2"/>
          </w:tcPr>
          <w:p w14:paraId="36502CE9"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070</w:t>
            </w:r>
            <w:r w:rsidR="001D3833" w:rsidRPr="00BE1DF1">
              <w:rPr>
                <w:rFonts w:ascii="Times New Roman" w:hAnsi="Times New Roman" w:cs="Times New Roman"/>
                <w:sz w:val="24"/>
                <w:szCs w:val="24"/>
                <w:lang w:bidi="ar-DZ"/>
              </w:rPr>
              <w:t>±0.04</w:t>
            </w:r>
          </w:p>
        </w:tc>
        <w:tc>
          <w:tcPr>
            <w:tcW w:w="1765" w:type="dxa"/>
            <w:shd w:val="clear" w:color="auto" w:fill="F2F2F2"/>
          </w:tcPr>
          <w:p w14:paraId="3CD7C248"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0.64</w:t>
            </w:r>
          </w:p>
        </w:tc>
        <w:tc>
          <w:tcPr>
            <w:tcW w:w="1672" w:type="dxa"/>
            <w:shd w:val="clear" w:color="auto" w:fill="F2F2F2"/>
          </w:tcPr>
          <w:p w14:paraId="3C45239E"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0.77</w:t>
            </w:r>
          </w:p>
        </w:tc>
      </w:tr>
      <w:tr w:rsidR="00C3448F" w:rsidRPr="00BE1DF1" w14:paraId="0F8171BC" w14:textId="77777777" w:rsidTr="00BE1DF1">
        <w:tc>
          <w:tcPr>
            <w:tcW w:w="1781" w:type="dxa"/>
          </w:tcPr>
          <w:p w14:paraId="5A2062E3"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December</w:t>
            </w:r>
          </w:p>
        </w:tc>
        <w:tc>
          <w:tcPr>
            <w:tcW w:w="1671" w:type="dxa"/>
          </w:tcPr>
          <w:p w14:paraId="277E88CA"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0.65</w:t>
            </w:r>
            <w:r w:rsidR="001D3833" w:rsidRPr="00BE1DF1">
              <w:rPr>
                <w:rFonts w:ascii="Times New Roman" w:hAnsi="Times New Roman" w:cs="Times New Roman"/>
                <w:sz w:val="24"/>
                <w:szCs w:val="24"/>
                <w:lang w:bidi="ar-DZ"/>
              </w:rPr>
              <w:t>±0.04</w:t>
            </w:r>
          </w:p>
        </w:tc>
        <w:tc>
          <w:tcPr>
            <w:tcW w:w="1765" w:type="dxa"/>
          </w:tcPr>
          <w:p w14:paraId="3C527D8E"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0.58</w:t>
            </w:r>
          </w:p>
        </w:tc>
        <w:tc>
          <w:tcPr>
            <w:tcW w:w="1672" w:type="dxa"/>
          </w:tcPr>
          <w:p w14:paraId="43A79810"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0.72</w:t>
            </w:r>
          </w:p>
        </w:tc>
      </w:tr>
    </w:tbl>
    <w:p w14:paraId="73F4FD8E" w14:textId="77777777" w:rsidR="00EF4A71" w:rsidRDefault="00EF4A71" w:rsidP="00EF4A71">
      <w:pPr>
        <w:bidi w:val="0"/>
        <w:ind w:left="-142" w:right="-567"/>
        <w:jc w:val="both"/>
        <w:rPr>
          <w:rFonts w:ascii="Times New Roman" w:hAnsi="Times New Roman" w:cs="Times New Roman"/>
          <w:sz w:val="24"/>
          <w:szCs w:val="24"/>
          <w:lang w:bidi="ar-DZ"/>
        </w:rPr>
      </w:pPr>
    </w:p>
    <w:p w14:paraId="44E8B8E3" w14:textId="21EDE9E7" w:rsidR="00130C57" w:rsidRDefault="00047B36" w:rsidP="00047B36">
      <w:pPr>
        <w:bidi w:val="0"/>
        <w:ind w:right="-567"/>
        <w:jc w:val="both"/>
        <w:rPr>
          <w:rFonts w:ascii="Times New Roman" w:hAnsi="Times New Roman" w:cs="Times New Roman"/>
          <w:b/>
          <w:bCs/>
          <w:sz w:val="24"/>
          <w:szCs w:val="24"/>
          <w:rtl/>
          <w:lang w:bidi="ar-DZ"/>
        </w:rPr>
      </w:pPr>
      <w:r w:rsidRPr="00047B36">
        <w:rPr>
          <w:rFonts w:ascii="Times New Roman" w:hAnsi="Times New Roman" w:cs="Times New Roman" w:hint="cs"/>
          <w:b/>
          <w:bCs/>
          <w:sz w:val="24"/>
          <w:szCs w:val="24"/>
          <w:lang w:bidi="ar-EG"/>
        </w:rPr>
        <w:t>4: Discussion</w:t>
      </w:r>
    </w:p>
    <w:p w14:paraId="254DC263" w14:textId="77777777" w:rsidR="00047B36" w:rsidRPr="00047B36" w:rsidRDefault="00047B36" w:rsidP="00047B36">
      <w:pPr>
        <w:bidi w:val="0"/>
        <w:ind w:right="-567"/>
        <w:jc w:val="both"/>
        <w:rPr>
          <w:rFonts w:ascii="Times New Roman" w:hAnsi="Times New Roman" w:cs="Times New Roman"/>
          <w:b/>
          <w:bCs/>
          <w:sz w:val="24"/>
          <w:szCs w:val="24"/>
          <w:lang w:bidi="ar-DZ"/>
        </w:rPr>
      </w:pPr>
    </w:p>
    <w:p w14:paraId="2F09B901" w14:textId="6AD24A37" w:rsidR="00130C57" w:rsidRPr="00DA2DC4" w:rsidRDefault="00130C57" w:rsidP="004E7B2B">
      <w:pPr>
        <w:bidi w:val="0"/>
        <w:ind w:left="-142" w:right="-567"/>
        <w:jc w:val="both"/>
        <w:rPr>
          <w:rFonts w:ascii="Times New Roman" w:hAnsi="Times New Roman" w:cs="Times New Roman"/>
          <w:b/>
          <w:bCs/>
          <w:sz w:val="24"/>
          <w:szCs w:val="24"/>
          <w:lang w:bidi="ar-DZ"/>
        </w:rPr>
      </w:pPr>
      <w:r w:rsidRPr="00DA2DC4">
        <w:rPr>
          <w:rFonts w:ascii="Times New Roman" w:hAnsi="Times New Roman" w:cs="Times New Roman"/>
          <w:b/>
          <w:bCs/>
          <w:sz w:val="24"/>
          <w:szCs w:val="24"/>
          <w:lang w:bidi="ar-DZ"/>
        </w:rPr>
        <w:t>4.1</w:t>
      </w:r>
      <w:r w:rsidR="004E7B2B">
        <w:rPr>
          <w:rFonts w:ascii="Times New Roman" w:hAnsi="Times New Roman" w:cs="Times New Roman" w:hint="cs"/>
          <w:b/>
          <w:bCs/>
          <w:sz w:val="24"/>
          <w:szCs w:val="24"/>
          <w:lang w:bidi="ar-EG"/>
        </w:rPr>
        <w:t>:</w:t>
      </w:r>
      <w:r w:rsidRPr="00DA2DC4">
        <w:rPr>
          <w:rFonts w:ascii="Times New Roman" w:hAnsi="Times New Roman" w:cs="Times New Roman"/>
          <w:b/>
          <w:bCs/>
          <w:sz w:val="24"/>
          <w:szCs w:val="24"/>
          <w:lang w:bidi="ar-DZ"/>
        </w:rPr>
        <w:t xml:space="preserve"> Population Size Structure</w:t>
      </w:r>
    </w:p>
    <w:p w14:paraId="230B1B5B" w14:textId="77777777" w:rsidR="00A736B0" w:rsidRPr="00EF4A71" w:rsidRDefault="00130C57" w:rsidP="00A736B0">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length-frequency distribution of Sardinella maderensis in the present study revealed a population dominated by medium-sized individuals (10-20 cm), with relatively low representation of juveniles (&lt;10 cm) and larger specimens (&gt;20 cm). This pattern is consistent with previous studies on S. maderensis along the Egyptian coast, which reported length ranges of 8.5-26.3 cm and dominance of intermediate size classes (El-sayed et al., 2023). The low proportion of juveniles in the catch is likely attributable to gear selectivity, as purse seines typically target schools of adult fish, while juveniles may inhabit different areas or remain in nursery grounds (</w:t>
      </w:r>
      <w:proofErr w:type="spellStart"/>
      <w:r w:rsidRPr="00EF4A71">
        <w:rPr>
          <w:rFonts w:ascii="Times New Roman" w:hAnsi="Times New Roman" w:cs="Times New Roman"/>
          <w:sz w:val="24"/>
          <w:szCs w:val="24"/>
          <w:lang w:bidi="ar-DZ"/>
        </w:rPr>
        <w:t>Saygu</w:t>
      </w:r>
      <w:proofErr w:type="spellEnd"/>
      <w:r w:rsidRPr="00EF4A71">
        <w:rPr>
          <w:rFonts w:ascii="Times New Roman" w:hAnsi="Times New Roman" w:cs="Times New Roman"/>
          <w:sz w:val="24"/>
          <w:szCs w:val="24"/>
          <w:lang w:bidi="ar-DZ"/>
        </w:rPr>
        <w:t xml:space="preserve"> &amp; Deval, 2014; Torres et al., 2012).</w:t>
      </w:r>
    </w:p>
    <w:p w14:paraId="7C252A2D" w14:textId="77777777" w:rsidR="00A736B0" w:rsidRPr="00EF4A71" w:rsidRDefault="00A736B0" w:rsidP="004E7B2B">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observed shift in sex ratio with increasing length, where males dominated smaller size classes while females prevailed in larger ones, reflects well-documented patterns in clupeid fishes. Similar findings were reported for Sardinella aurita in the Mediterranean (Konan, N'Da, &amp; Douda, 2016) and for S. maderensis off the West African coast (FAO, 1981). Several hypotheses may explain this phenomenon: differential growth rates favoring females, higher mortality rates in males, or sex-specific habitat preferences (King, 2007). The predominance of larger females has significant implications for population fecundity and reproductive potential, as larger females typically produce more and higher quality eggs (Froese &amp; Pauly, 2024).</w:t>
      </w:r>
    </w:p>
    <w:p w14:paraId="38D0026D" w14:textId="1B9D6BBA" w:rsidR="003F2DE0" w:rsidRPr="00DA2DC4" w:rsidRDefault="00542A7E" w:rsidP="004E7B2B">
      <w:pPr>
        <w:bidi w:val="0"/>
        <w:ind w:left="-142" w:right="-567"/>
        <w:jc w:val="both"/>
        <w:rPr>
          <w:rFonts w:ascii="Times New Roman" w:hAnsi="Times New Roman" w:cs="Times New Roman"/>
          <w:b/>
          <w:bCs/>
          <w:sz w:val="24"/>
          <w:szCs w:val="24"/>
          <w:lang w:bidi="ar-DZ"/>
        </w:rPr>
      </w:pPr>
      <w:r w:rsidRPr="00DA2DC4">
        <w:rPr>
          <w:rFonts w:ascii="Times New Roman" w:hAnsi="Times New Roman" w:cs="Times New Roman"/>
          <w:b/>
          <w:bCs/>
          <w:sz w:val="24"/>
          <w:szCs w:val="24"/>
          <w:lang w:bidi="ar-DZ"/>
        </w:rPr>
        <w:t xml:space="preserve"> </w:t>
      </w:r>
      <w:r w:rsidR="00047B36">
        <w:rPr>
          <w:rFonts w:ascii="Times New Roman" w:hAnsi="Times New Roman" w:cs="Times New Roman" w:hint="cs"/>
          <w:b/>
          <w:bCs/>
          <w:sz w:val="24"/>
          <w:szCs w:val="24"/>
          <w:lang w:bidi="ar-EG"/>
        </w:rPr>
        <w:t xml:space="preserve">4-2: </w:t>
      </w:r>
      <w:r w:rsidR="003F2DE0" w:rsidRPr="00DA2DC4">
        <w:rPr>
          <w:rFonts w:ascii="Times New Roman" w:hAnsi="Times New Roman" w:cs="Times New Roman"/>
          <w:b/>
          <w:bCs/>
          <w:sz w:val="24"/>
          <w:szCs w:val="24"/>
          <w:lang w:bidi="ar-DZ"/>
        </w:rPr>
        <w:t>Length-Weight Relationship</w:t>
      </w:r>
    </w:p>
    <w:p w14:paraId="1EF9CFAA" w14:textId="77777777" w:rsidR="003F2DE0" w:rsidRPr="00EF4A71" w:rsidRDefault="003F2DE0" w:rsidP="00EE6FB3">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isometric growth pattern (b ≈ 3) observed for both sexes of S. maderensis indicates that body proportions remain relatively constant throughout the size range, with weight increasing in direct proportion to the cube of length. This finding aligns with previous studies on the species in the Eastern Mediterranean, where El-sayed et al. (2023) reported b = 3.052 for combined sexes from North Sinai waters. Similarly, Solaiman (2017) found near-isometric growth (b = 2.98) for Sardinella aurita off the Syrian coast.</w:t>
      </w:r>
    </w:p>
    <w:p w14:paraId="70A06BD8" w14:textId="77777777" w:rsidR="00A30572" w:rsidRPr="00EF4A71" w:rsidRDefault="003F2DE0" w:rsidP="00EE6FB3">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Comparisons with other regions reveal some variability in growth patterns. Off the Atlantic coast of Africa, FAO (1981) reported b values ranging from 2.85 to 3.15 for S. maderensis, depending on location and season. Such variability may reflect differences in environmental conditions, food availability, and sampling periods (Froese, 2006</w:t>
      </w:r>
      <w:r w:rsidR="00D4578B" w:rsidRPr="00EF4A71">
        <w:rPr>
          <w:rFonts w:ascii="Times New Roman" w:hAnsi="Times New Roman" w:cs="Times New Roman"/>
          <w:sz w:val="24"/>
          <w:szCs w:val="24"/>
          <w:lang w:bidi="ar-DZ"/>
        </w:rPr>
        <w:t>)</w:t>
      </w:r>
      <w:r w:rsidR="00A30572" w:rsidRPr="00EF4A71">
        <w:rPr>
          <w:rFonts w:ascii="Times New Roman" w:hAnsi="Times New Roman" w:cs="Times New Roman"/>
          <w:sz w:val="24"/>
          <w:szCs w:val="24"/>
          <w:lang w:bidi="ar-DZ"/>
        </w:rPr>
        <w:t>.</w:t>
      </w:r>
    </w:p>
    <w:p w14:paraId="55563B6C" w14:textId="77777777" w:rsidR="00A30572" w:rsidRPr="00EF4A71" w:rsidRDefault="00A30572" w:rsidP="00EE6FB3">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lastRenderedPageBreak/>
        <w:t xml:space="preserve">The minimal difference in b values between sexes suggests similar body shape trajectories, though females achieve larger maximum sizes. This sexual dimorphism in maximum length has been documented for many clupeid species and is associated with the reproductive advantage of larger females (King, 2007). The intercept values (a) obtained (0.0065 for males, 0.005 for females) fall within the range reported for clupeids in the Mediterranean (Torres </w:t>
      </w:r>
      <w:r w:rsidRPr="00EF4A71">
        <w:rPr>
          <w:rFonts w:ascii="Times New Roman" w:hAnsi="Times New Roman" w:cs="Times New Roman"/>
          <w:i/>
          <w:iCs/>
          <w:sz w:val="24"/>
          <w:szCs w:val="24"/>
          <w:lang w:bidi="ar-DZ"/>
        </w:rPr>
        <w:t>et al</w:t>
      </w:r>
      <w:r w:rsidRPr="00EF4A71">
        <w:rPr>
          <w:rFonts w:ascii="Times New Roman" w:hAnsi="Times New Roman" w:cs="Times New Roman"/>
          <w:sz w:val="24"/>
          <w:szCs w:val="24"/>
          <w:lang w:bidi="ar-DZ"/>
        </w:rPr>
        <w:t>., 2012).</w:t>
      </w:r>
    </w:p>
    <w:p w14:paraId="6832851C" w14:textId="77777777" w:rsidR="00542A7E" w:rsidRDefault="00542A7E" w:rsidP="00EE6FB3">
      <w:pPr>
        <w:bidi w:val="0"/>
        <w:ind w:left="-567" w:right="-567"/>
        <w:jc w:val="both"/>
        <w:rPr>
          <w:rFonts w:ascii="Times New Roman" w:hAnsi="Times New Roman" w:cs="Times New Roman"/>
          <w:sz w:val="24"/>
          <w:szCs w:val="24"/>
          <w:lang w:bidi="ar-DZ"/>
        </w:rPr>
      </w:pPr>
    </w:p>
    <w:p w14:paraId="75296C12" w14:textId="77777777" w:rsidR="00542A7E" w:rsidRDefault="00542A7E" w:rsidP="00EE6FB3">
      <w:pPr>
        <w:bidi w:val="0"/>
        <w:ind w:left="-567" w:right="-567"/>
        <w:jc w:val="both"/>
        <w:rPr>
          <w:rFonts w:ascii="Times New Roman" w:hAnsi="Times New Roman" w:cs="Times New Roman"/>
          <w:sz w:val="24"/>
          <w:szCs w:val="24"/>
          <w:lang w:bidi="ar-DZ"/>
        </w:rPr>
      </w:pPr>
    </w:p>
    <w:p w14:paraId="5123D3C4" w14:textId="77777777" w:rsidR="0084112A" w:rsidRPr="00DA2DC4" w:rsidRDefault="0084112A" w:rsidP="00EE6FB3">
      <w:pPr>
        <w:bidi w:val="0"/>
        <w:ind w:left="-567" w:right="-567"/>
        <w:jc w:val="both"/>
        <w:rPr>
          <w:rFonts w:ascii="Times New Roman" w:hAnsi="Times New Roman" w:cs="Times New Roman"/>
          <w:b/>
          <w:bCs/>
          <w:sz w:val="24"/>
          <w:szCs w:val="24"/>
          <w:lang w:bidi="ar-DZ"/>
        </w:rPr>
      </w:pPr>
      <w:r w:rsidRPr="00DA2DC4">
        <w:rPr>
          <w:rFonts w:ascii="Times New Roman" w:hAnsi="Times New Roman" w:cs="Times New Roman"/>
          <w:b/>
          <w:bCs/>
          <w:sz w:val="24"/>
          <w:szCs w:val="24"/>
          <w:lang w:bidi="ar-DZ"/>
        </w:rPr>
        <w:t>4.3 Seasonal Variation in Condition Factor</w:t>
      </w:r>
    </w:p>
    <w:p w14:paraId="667FEF53" w14:textId="77777777" w:rsidR="0084112A" w:rsidRPr="00EF4A71" w:rsidRDefault="0084112A" w:rsidP="00EE6FB3">
      <w:pPr>
        <w:bidi w:val="0"/>
        <w:ind w:left="-567" w:right="-567"/>
        <w:jc w:val="both"/>
        <w:rPr>
          <w:rFonts w:ascii="Times New Roman" w:hAnsi="Times New Roman" w:cs="Times New Roman"/>
          <w:sz w:val="24"/>
          <w:szCs w:val="24"/>
          <w:lang w:bidi="ar-DZ"/>
        </w:rPr>
      </w:pPr>
    </w:p>
    <w:p w14:paraId="550D3D49" w14:textId="77777777" w:rsidR="0084112A" w:rsidRPr="00EF4A71" w:rsidRDefault="0084112A" w:rsidP="00EE6FB3">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 xml:space="preserve">The pronounced seasonal variation in condition factor represents the most significant finding of this study. The clear annual cycle, with minimum values in winter (December, K = 0.65) and peak values in spring (April, K = 0.93), closely parallels the reproductive cycle of the species. This pattern is consistent with the reproductive biology of S. maderensis in the Eastern Mediterranean, where spawning occurs primarily from April to September, with peak activity in late spring and early summer (El-sayed et al., 2023; Saad &amp; </w:t>
      </w:r>
      <w:proofErr w:type="spellStart"/>
      <w:r w:rsidRPr="00EF4A71">
        <w:rPr>
          <w:rFonts w:ascii="Times New Roman" w:hAnsi="Times New Roman" w:cs="Times New Roman"/>
          <w:sz w:val="24"/>
          <w:szCs w:val="24"/>
          <w:lang w:bidi="ar-DZ"/>
        </w:rPr>
        <w:t>Bedair</w:t>
      </w:r>
      <w:proofErr w:type="spellEnd"/>
      <w:r w:rsidRPr="00EF4A71">
        <w:rPr>
          <w:rFonts w:ascii="Times New Roman" w:hAnsi="Times New Roman" w:cs="Times New Roman"/>
          <w:sz w:val="24"/>
          <w:szCs w:val="24"/>
          <w:lang w:bidi="ar-DZ"/>
        </w:rPr>
        <w:t>, 2019).</w:t>
      </w:r>
    </w:p>
    <w:p w14:paraId="77F4F634" w14:textId="77777777" w:rsidR="0084112A" w:rsidRPr="00EF4A71" w:rsidRDefault="0084112A" w:rsidP="00EE6FB3">
      <w:pPr>
        <w:bidi w:val="0"/>
        <w:ind w:left="-567" w:right="-567"/>
        <w:jc w:val="both"/>
        <w:rPr>
          <w:rFonts w:ascii="Times New Roman" w:hAnsi="Times New Roman" w:cs="Times New Roman"/>
          <w:sz w:val="24"/>
          <w:szCs w:val="24"/>
          <w:lang w:bidi="ar-DZ"/>
        </w:rPr>
      </w:pPr>
    </w:p>
    <w:p w14:paraId="0B961D2F" w14:textId="77777777" w:rsidR="0084112A" w:rsidRPr="00EF4A71" w:rsidRDefault="0084112A" w:rsidP="00EE6FB3">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low condition factor during winter (December-February) likely reflects a period of post-spawning recovery and reduced food availability. Similar winter minima have been reported for S. maderensis off the West African coast (FAO, 1981) and for S. aurita in the Mediterranean (Konan et al., 2016). The steady increase from February through April coincides with rising sea temperatures and increased primary productivity in the Eastern Mediterranean during spring, providing abundant food resources for condition recovery and gonadal development (</w:t>
      </w:r>
      <w:proofErr w:type="spellStart"/>
      <w:r w:rsidRPr="00EF4A71">
        <w:rPr>
          <w:rFonts w:ascii="Times New Roman" w:hAnsi="Times New Roman" w:cs="Times New Roman"/>
          <w:sz w:val="24"/>
          <w:szCs w:val="24"/>
          <w:lang w:bidi="ar-DZ"/>
        </w:rPr>
        <w:t>Gücü</w:t>
      </w:r>
      <w:proofErr w:type="spellEnd"/>
      <w:r w:rsidRPr="00EF4A71">
        <w:rPr>
          <w:rFonts w:ascii="Times New Roman" w:hAnsi="Times New Roman" w:cs="Times New Roman"/>
          <w:sz w:val="24"/>
          <w:szCs w:val="24"/>
          <w:lang w:bidi="ar-DZ"/>
        </w:rPr>
        <w:t xml:space="preserve"> &amp; </w:t>
      </w:r>
      <w:proofErr w:type="spellStart"/>
      <w:r w:rsidRPr="00EF4A71">
        <w:rPr>
          <w:rFonts w:ascii="Times New Roman" w:hAnsi="Times New Roman" w:cs="Times New Roman"/>
          <w:sz w:val="24"/>
          <w:szCs w:val="24"/>
          <w:lang w:bidi="ar-DZ"/>
        </w:rPr>
        <w:t>Bingel</w:t>
      </w:r>
      <w:proofErr w:type="spellEnd"/>
      <w:r w:rsidRPr="00EF4A71">
        <w:rPr>
          <w:rFonts w:ascii="Times New Roman" w:hAnsi="Times New Roman" w:cs="Times New Roman"/>
          <w:sz w:val="24"/>
          <w:szCs w:val="24"/>
          <w:lang w:bidi="ar-DZ"/>
        </w:rPr>
        <w:t>, 1994).</w:t>
      </w:r>
    </w:p>
    <w:p w14:paraId="18EA43F5" w14:textId="77777777" w:rsidR="0084112A" w:rsidRPr="00EF4A71" w:rsidRDefault="0084112A" w:rsidP="00EE6FB3">
      <w:pPr>
        <w:bidi w:val="0"/>
        <w:ind w:left="-567" w:right="-567"/>
        <w:jc w:val="both"/>
        <w:rPr>
          <w:rFonts w:ascii="Times New Roman" w:hAnsi="Times New Roman" w:cs="Times New Roman"/>
          <w:sz w:val="24"/>
          <w:szCs w:val="24"/>
          <w:lang w:bidi="ar-DZ"/>
        </w:rPr>
      </w:pPr>
    </w:p>
    <w:p w14:paraId="6E3DC41A" w14:textId="77777777" w:rsidR="0084112A" w:rsidRPr="00EF4A71" w:rsidRDefault="0084112A" w:rsidP="00EE6FB3">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 xml:space="preserve">The peak condition factor in April, immediately preceding the main spawning season, represents the accumulation of energy reserves for reproductive investment. This pre-spawning condition peak is a well-documented phenomenon in teleost fishes, where individuals build up lipid reserves and increase somatic condition to support gamete production and spawning activities (Le </w:t>
      </w:r>
      <w:proofErr w:type="spellStart"/>
      <w:r w:rsidRPr="00EF4A71">
        <w:rPr>
          <w:rFonts w:ascii="Times New Roman" w:hAnsi="Times New Roman" w:cs="Times New Roman"/>
          <w:sz w:val="24"/>
          <w:szCs w:val="24"/>
          <w:lang w:bidi="ar-DZ"/>
        </w:rPr>
        <w:t>Cren</w:t>
      </w:r>
      <w:proofErr w:type="spellEnd"/>
      <w:r w:rsidRPr="00EF4A71">
        <w:rPr>
          <w:rFonts w:ascii="Times New Roman" w:hAnsi="Times New Roman" w:cs="Times New Roman"/>
          <w:sz w:val="24"/>
          <w:szCs w:val="24"/>
          <w:lang w:bidi="ar-DZ"/>
        </w:rPr>
        <w:t>, 1951). Studies on S. maderensis in other regions have similarly reported condition peaks coinciding with pre-spawning periods (</w:t>
      </w:r>
      <w:proofErr w:type="spellStart"/>
      <w:r w:rsidRPr="00EF4A71">
        <w:rPr>
          <w:rFonts w:ascii="Times New Roman" w:hAnsi="Times New Roman" w:cs="Times New Roman"/>
          <w:sz w:val="24"/>
          <w:szCs w:val="24"/>
          <w:lang w:bidi="ar-DZ"/>
        </w:rPr>
        <w:t>Djiman</w:t>
      </w:r>
      <w:proofErr w:type="spellEnd"/>
      <w:r w:rsidRPr="00EF4A71">
        <w:rPr>
          <w:rFonts w:ascii="Times New Roman" w:hAnsi="Times New Roman" w:cs="Times New Roman"/>
          <w:sz w:val="24"/>
          <w:szCs w:val="24"/>
          <w:lang w:bidi="ar-DZ"/>
        </w:rPr>
        <w:t xml:space="preserve">, </w:t>
      </w:r>
      <w:proofErr w:type="spellStart"/>
      <w:r w:rsidRPr="00EF4A71">
        <w:rPr>
          <w:rFonts w:ascii="Times New Roman" w:hAnsi="Times New Roman" w:cs="Times New Roman"/>
          <w:sz w:val="24"/>
          <w:szCs w:val="24"/>
          <w:lang w:bidi="ar-DZ"/>
        </w:rPr>
        <w:t>N'Douba</w:t>
      </w:r>
      <w:proofErr w:type="spellEnd"/>
      <w:r w:rsidRPr="00EF4A71">
        <w:rPr>
          <w:rFonts w:ascii="Times New Roman" w:hAnsi="Times New Roman" w:cs="Times New Roman"/>
          <w:sz w:val="24"/>
          <w:szCs w:val="24"/>
          <w:lang w:bidi="ar-DZ"/>
        </w:rPr>
        <w:t xml:space="preserve">, &amp; </w:t>
      </w:r>
      <w:proofErr w:type="spellStart"/>
      <w:r w:rsidRPr="00EF4A71">
        <w:rPr>
          <w:rFonts w:ascii="Times New Roman" w:hAnsi="Times New Roman" w:cs="Times New Roman"/>
          <w:sz w:val="24"/>
          <w:szCs w:val="24"/>
          <w:lang w:bidi="ar-DZ"/>
        </w:rPr>
        <w:t>Kouassi</w:t>
      </w:r>
      <w:proofErr w:type="spellEnd"/>
      <w:r w:rsidRPr="00EF4A71">
        <w:rPr>
          <w:rFonts w:ascii="Times New Roman" w:hAnsi="Times New Roman" w:cs="Times New Roman"/>
          <w:sz w:val="24"/>
          <w:szCs w:val="24"/>
          <w:lang w:bidi="ar-DZ"/>
        </w:rPr>
        <w:t xml:space="preserve">, 2017; </w:t>
      </w:r>
      <w:proofErr w:type="spellStart"/>
      <w:r w:rsidRPr="00EF4A71">
        <w:rPr>
          <w:rFonts w:ascii="Times New Roman" w:hAnsi="Times New Roman" w:cs="Times New Roman"/>
          <w:sz w:val="24"/>
          <w:szCs w:val="24"/>
          <w:lang w:bidi="ar-DZ"/>
        </w:rPr>
        <w:t>Mafuca</w:t>
      </w:r>
      <w:proofErr w:type="spellEnd"/>
      <w:r w:rsidRPr="00EF4A71">
        <w:rPr>
          <w:rFonts w:ascii="Times New Roman" w:hAnsi="Times New Roman" w:cs="Times New Roman"/>
          <w:sz w:val="24"/>
          <w:szCs w:val="24"/>
          <w:lang w:bidi="ar-DZ"/>
        </w:rPr>
        <w:t xml:space="preserve"> et al., 2025).</w:t>
      </w:r>
    </w:p>
    <w:p w14:paraId="5298F8D4" w14:textId="77777777" w:rsidR="0084112A" w:rsidRPr="00EF4A71" w:rsidRDefault="0084112A" w:rsidP="00EE6FB3">
      <w:pPr>
        <w:bidi w:val="0"/>
        <w:ind w:left="-567" w:right="-567"/>
        <w:jc w:val="both"/>
        <w:rPr>
          <w:rFonts w:ascii="Times New Roman" w:hAnsi="Times New Roman" w:cs="Times New Roman"/>
          <w:sz w:val="24"/>
          <w:szCs w:val="24"/>
          <w:lang w:bidi="ar-DZ"/>
        </w:rPr>
      </w:pPr>
    </w:p>
    <w:p w14:paraId="518EBFB2" w14:textId="77777777" w:rsidR="0084112A" w:rsidRPr="00EF4A71" w:rsidRDefault="0084112A" w:rsidP="00EE6FB3">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gradual decline in condition factor following the April peak reflects the energetic costs associated with spawning. As fish invest energy in reproductive activities, somatic condition typically decreases (</w:t>
      </w:r>
      <w:proofErr w:type="spellStart"/>
      <w:r w:rsidRPr="00EF4A71">
        <w:rPr>
          <w:rFonts w:ascii="Times New Roman" w:hAnsi="Times New Roman" w:cs="Times New Roman"/>
          <w:sz w:val="24"/>
          <w:szCs w:val="24"/>
          <w:lang w:bidi="ar-DZ"/>
        </w:rPr>
        <w:t>Bănăduc</w:t>
      </w:r>
      <w:proofErr w:type="spellEnd"/>
      <w:r w:rsidRPr="00EF4A71">
        <w:rPr>
          <w:rFonts w:ascii="Times New Roman" w:hAnsi="Times New Roman" w:cs="Times New Roman"/>
          <w:sz w:val="24"/>
          <w:szCs w:val="24"/>
          <w:lang w:bidi="ar-DZ"/>
        </w:rPr>
        <w:t xml:space="preserve">, Joy, </w:t>
      </w:r>
      <w:proofErr w:type="spellStart"/>
      <w:r w:rsidRPr="00EF4A71">
        <w:rPr>
          <w:rFonts w:ascii="Times New Roman" w:hAnsi="Times New Roman" w:cs="Times New Roman"/>
          <w:sz w:val="24"/>
          <w:szCs w:val="24"/>
          <w:lang w:bidi="ar-DZ"/>
        </w:rPr>
        <w:t>Olosutean</w:t>
      </w:r>
      <w:proofErr w:type="spellEnd"/>
      <w:r w:rsidRPr="00EF4A71">
        <w:rPr>
          <w:rFonts w:ascii="Times New Roman" w:hAnsi="Times New Roman" w:cs="Times New Roman"/>
          <w:sz w:val="24"/>
          <w:szCs w:val="24"/>
          <w:lang w:bidi="ar-DZ"/>
        </w:rPr>
        <w:t xml:space="preserve">, </w:t>
      </w:r>
      <w:proofErr w:type="spellStart"/>
      <w:r w:rsidRPr="00EF4A71">
        <w:rPr>
          <w:rFonts w:ascii="Times New Roman" w:hAnsi="Times New Roman" w:cs="Times New Roman"/>
          <w:sz w:val="24"/>
          <w:szCs w:val="24"/>
          <w:lang w:bidi="ar-DZ"/>
        </w:rPr>
        <w:t>Afanasyev</w:t>
      </w:r>
      <w:proofErr w:type="spellEnd"/>
      <w:r w:rsidRPr="00EF4A71">
        <w:rPr>
          <w:rFonts w:ascii="Times New Roman" w:hAnsi="Times New Roman" w:cs="Times New Roman"/>
          <w:sz w:val="24"/>
          <w:szCs w:val="24"/>
          <w:lang w:bidi="ar-DZ"/>
        </w:rPr>
        <w:t xml:space="preserve">, &amp; </w:t>
      </w:r>
      <w:proofErr w:type="spellStart"/>
      <w:r w:rsidRPr="00EF4A71">
        <w:rPr>
          <w:rFonts w:ascii="Times New Roman" w:hAnsi="Times New Roman" w:cs="Times New Roman"/>
          <w:sz w:val="24"/>
          <w:szCs w:val="24"/>
          <w:lang w:bidi="ar-DZ"/>
        </w:rPr>
        <w:t>Curtean-Bănăduc</w:t>
      </w:r>
      <w:proofErr w:type="spellEnd"/>
      <w:r w:rsidRPr="00EF4A71">
        <w:rPr>
          <w:rFonts w:ascii="Times New Roman" w:hAnsi="Times New Roman" w:cs="Times New Roman"/>
          <w:sz w:val="24"/>
          <w:szCs w:val="24"/>
          <w:lang w:bidi="ar-DZ"/>
        </w:rPr>
        <w:t>, 2020). The secondary minor peak observed in June may correspond to a second spawning pulse, as S. maderensis is known to exhibit multiple spawning events during an extended reproductive season (FAO, 1981).</w:t>
      </w:r>
    </w:p>
    <w:p w14:paraId="6C5CF1F8" w14:textId="77777777" w:rsidR="0084112A" w:rsidRPr="00EF4A71" w:rsidRDefault="0084112A" w:rsidP="00EE6FB3">
      <w:pPr>
        <w:bidi w:val="0"/>
        <w:ind w:left="-567" w:right="-567"/>
        <w:jc w:val="both"/>
        <w:rPr>
          <w:rFonts w:ascii="Times New Roman" w:hAnsi="Times New Roman" w:cs="Times New Roman"/>
          <w:sz w:val="24"/>
          <w:szCs w:val="24"/>
          <w:lang w:bidi="ar-DZ"/>
        </w:rPr>
      </w:pPr>
    </w:p>
    <w:p w14:paraId="44BB9CEC" w14:textId="77777777" w:rsidR="0084112A" w:rsidRPr="00EF4A71" w:rsidRDefault="0084112A" w:rsidP="00EE6FB3">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lastRenderedPageBreak/>
        <w:t>The slightly higher condition factor observed in females compared to males, particularly during the pre-spawning period, likely reflects greater energy allocation to gonadal development in females. This pattern has been observed in other clupeids and is consistent with the higher reproductive investment required for egg production compared to sperm production (King, 2007).</w:t>
      </w:r>
    </w:p>
    <w:p w14:paraId="6C7FDDE0" w14:textId="77777777" w:rsidR="0084112A" w:rsidRPr="00DA2DC4" w:rsidRDefault="0084112A" w:rsidP="00EE6FB3">
      <w:pPr>
        <w:bidi w:val="0"/>
        <w:ind w:left="-567" w:right="-567"/>
        <w:jc w:val="both"/>
        <w:rPr>
          <w:rFonts w:ascii="Times New Roman" w:hAnsi="Times New Roman" w:cs="Times New Roman"/>
          <w:b/>
          <w:bCs/>
          <w:sz w:val="24"/>
          <w:szCs w:val="24"/>
          <w:lang w:bidi="ar-DZ"/>
        </w:rPr>
      </w:pPr>
      <w:r w:rsidRPr="00DA2DC4">
        <w:rPr>
          <w:rFonts w:ascii="Times New Roman" w:hAnsi="Times New Roman" w:cs="Times New Roman"/>
          <w:b/>
          <w:bCs/>
          <w:sz w:val="24"/>
          <w:szCs w:val="24"/>
          <w:lang w:bidi="ar-DZ"/>
        </w:rPr>
        <w:t>4.4 Comparison with Regional Studies</w:t>
      </w:r>
    </w:p>
    <w:p w14:paraId="006FD9E8" w14:textId="77777777" w:rsidR="0084112A" w:rsidRPr="00EF4A71" w:rsidRDefault="0084112A" w:rsidP="00EE6FB3">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condition factor values obtained in this study (range: 0.65-0.93) fall within the range reported for S. maderensis in other regions. Off the Atlantic coast of Africa, FAO (1981) reported seasonal variation in condition factor ranging from 0.60 to 0.95, with similar patterns of winter minima and pre-spawning maxima. In the Eastern Mediterranean, El-sayed et al. (2023) reported condition factors ranging from 0.68 to 0.91 for S. maderensis from North Sinai waters, closely matching our findings.</w:t>
      </w:r>
    </w:p>
    <w:p w14:paraId="5E07529A" w14:textId="77777777" w:rsidR="0084112A" w:rsidRPr="00EF4A71" w:rsidRDefault="0084112A" w:rsidP="00EE6FB3">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Studies on S. aurita, a closely related species sympatric in the Mediterranean, have shown similar seasonal patterns. Solaiman (2017) reported condition factors for S. aurita off the Syrian coast ranging from 0.71 to 0.89, with peaks during spring months. Konan et al. (2016) documented comparable patterns for S. aurita in Ivorian waters, with condition factor variation closely tied to reproductive cycles and environmental seasonality.</w:t>
      </w:r>
    </w:p>
    <w:p w14:paraId="59F8B610" w14:textId="77777777" w:rsidR="005D7AA1" w:rsidRPr="00DA2DC4" w:rsidRDefault="005D7AA1" w:rsidP="00EE6FB3">
      <w:pPr>
        <w:bidi w:val="0"/>
        <w:ind w:left="-567" w:right="-567"/>
        <w:jc w:val="both"/>
        <w:rPr>
          <w:rFonts w:ascii="Times New Roman" w:hAnsi="Times New Roman" w:cs="Times New Roman"/>
          <w:b/>
          <w:bCs/>
          <w:sz w:val="24"/>
          <w:szCs w:val="24"/>
          <w:lang w:bidi="ar-DZ"/>
        </w:rPr>
      </w:pPr>
      <w:r w:rsidRPr="00DA2DC4">
        <w:rPr>
          <w:rFonts w:ascii="Times New Roman" w:hAnsi="Times New Roman" w:cs="Times New Roman"/>
          <w:b/>
          <w:bCs/>
          <w:sz w:val="24"/>
          <w:szCs w:val="24"/>
          <w:lang w:bidi="ar-DZ"/>
        </w:rPr>
        <w:t>4.5 Management Implications</w:t>
      </w:r>
    </w:p>
    <w:p w14:paraId="356D5A22" w14:textId="77777777" w:rsidR="004D76AD" w:rsidRPr="00EF4A71" w:rsidRDefault="004D76AD"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 xml:space="preserve">The study's findings have direct applications for fisheries management. The established length-weight relationships (LWR) with high correlation coefficients provide reliable tools for converting length frequencies into weight estimates, which is essential for accurate stock assessment and biomass estimation using standardized assessment tools like </w:t>
      </w:r>
      <w:proofErr w:type="spellStart"/>
      <w:r w:rsidRPr="00EF4A71">
        <w:rPr>
          <w:rFonts w:ascii="Times New Roman" w:hAnsi="Times New Roman" w:cs="Times New Roman"/>
          <w:sz w:val="24"/>
          <w:szCs w:val="24"/>
        </w:rPr>
        <w:t>FiSAT</w:t>
      </w:r>
      <w:proofErr w:type="spellEnd"/>
      <w:r w:rsidRPr="00EF4A71">
        <w:rPr>
          <w:rFonts w:ascii="Times New Roman" w:hAnsi="Times New Roman" w:cs="Times New Roman"/>
          <w:sz w:val="24"/>
          <w:szCs w:val="24"/>
        </w:rPr>
        <w:t>.</w:t>
      </w:r>
    </w:p>
    <w:p w14:paraId="3F27876B" w14:textId="77777777" w:rsidR="004D76AD" w:rsidRPr="00EF4A71" w:rsidRDefault="004D76AD"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The population structure analysis revealed that females dominate larger size classes, indicating that protecting larger individuals through appropriate size limits would significantly benefit the stock's reproductive potential. Based on regional length at first maturity estimates (15.5 cm for males, 16.7 cm for females), maintaining or increasing the minimum landing size is recommended to ensure individuals can reproduce at least once before capture.</w:t>
      </w:r>
    </w:p>
    <w:p w14:paraId="6A82EF22" w14:textId="77777777" w:rsidR="004D76AD" w:rsidRPr="00EF4A71" w:rsidRDefault="004D76AD" w:rsidP="00EE6FB3">
      <w:pPr>
        <w:bidi w:val="0"/>
        <w:ind w:left="-625" w:right="-567"/>
        <w:jc w:val="both"/>
        <w:rPr>
          <w:rFonts w:ascii="Times New Roman" w:hAnsi="Times New Roman" w:cs="Times New Roman"/>
          <w:sz w:val="24"/>
          <w:szCs w:val="24"/>
        </w:rPr>
      </w:pPr>
      <w:r w:rsidRPr="00EF4A71">
        <w:rPr>
          <w:rFonts w:ascii="Times New Roman" w:hAnsi="Times New Roman" w:cs="Times New Roman"/>
          <w:sz w:val="24"/>
          <w:szCs w:val="24"/>
        </w:rPr>
        <w:t>The most critical finding concerns seasonal variation in condition factor. The low winter values (K ≈ 0.65) indicate physiological stress, making fish potentially more vulnerable to fishing pressure. Conversely, the April pre-spawning peak represents a critical period when accumulated energy reserves support reproduction. Fishing during this pre-spawning aggregation could disproportionately impact reproductive output. Given the estimated exploitation rate (E = 0.547) approaching maximum sustainable levels, implementing seasonal closures during the peak spawning period (April-June) is recommended to protect spawning aggregations and allow completion of reproductive cycles.</w:t>
      </w:r>
    </w:p>
    <w:p w14:paraId="3C1CCE55" w14:textId="77777777" w:rsidR="000F3052" w:rsidRPr="00EF4A71" w:rsidRDefault="000F3052" w:rsidP="00EE6FB3">
      <w:pPr>
        <w:bidi w:val="0"/>
        <w:ind w:left="-567" w:right="-567"/>
        <w:jc w:val="both"/>
        <w:rPr>
          <w:rFonts w:ascii="Times New Roman" w:hAnsi="Times New Roman" w:cs="Times New Roman"/>
          <w:sz w:val="24"/>
          <w:szCs w:val="24"/>
        </w:rPr>
      </w:pPr>
    </w:p>
    <w:p w14:paraId="38246AB2" w14:textId="489E3C58" w:rsidR="00D65C21" w:rsidRPr="00DA2DC4" w:rsidRDefault="00775E34" w:rsidP="00EE6FB3">
      <w:pPr>
        <w:bidi w:val="0"/>
        <w:ind w:left="-567" w:right="-567"/>
        <w:jc w:val="both"/>
        <w:rPr>
          <w:rFonts w:ascii="Times New Roman" w:hAnsi="Times New Roman" w:cs="Times New Roman"/>
          <w:b/>
          <w:bCs/>
          <w:sz w:val="24"/>
          <w:szCs w:val="24"/>
        </w:rPr>
      </w:pPr>
      <w:r>
        <w:rPr>
          <w:rFonts w:ascii="Times New Roman" w:hAnsi="Times New Roman" w:cs="Times New Roman" w:hint="cs"/>
          <w:b/>
          <w:bCs/>
          <w:sz w:val="24"/>
          <w:szCs w:val="24"/>
          <w:lang w:bidi="ar-EG"/>
        </w:rPr>
        <w:t xml:space="preserve">5: </w:t>
      </w:r>
      <w:r w:rsidR="00D65C21" w:rsidRPr="00DA2DC4">
        <w:rPr>
          <w:rFonts w:ascii="Times New Roman" w:hAnsi="Times New Roman" w:cs="Times New Roman"/>
          <w:b/>
          <w:bCs/>
          <w:sz w:val="24"/>
          <w:szCs w:val="24"/>
        </w:rPr>
        <w:t>Conclusio</w:t>
      </w:r>
      <w:r w:rsidR="00EE6FB3">
        <w:rPr>
          <w:rFonts w:ascii="Times New Roman" w:hAnsi="Times New Roman" w:cs="Times New Roman" w:hint="cs"/>
          <w:b/>
          <w:bCs/>
          <w:sz w:val="24"/>
          <w:szCs w:val="24"/>
          <w:lang w:bidi="ar-EG"/>
        </w:rPr>
        <w:t>n</w:t>
      </w:r>
    </w:p>
    <w:p w14:paraId="681E0401" w14:textId="77777777" w:rsidR="000F3052" w:rsidRPr="00EF4A71" w:rsidRDefault="000F3052"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 xml:space="preserve">This study provides a comprehensive assessment of key biological characteristics of Sardinella maderensis in the Eastern Mediterranean. The results revealed a population dominated by medium-sized individuals (10-20 cm) with a progressive shift in sex ratio favoring females in larger length classes, enhancing the stock's reproductive capacity. The length-weight relationship demonstrated </w:t>
      </w:r>
      <w:r w:rsidRPr="00EF4A71">
        <w:rPr>
          <w:rFonts w:ascii="Times New Roman" w:hAnsi="Times New Roman" w:cs="Times New Roman"/>
          <w:sz w:val="24"/>
          <w:szCs w:val="24"/>
        </w:rPr>
        <w:lastRenderedPageBreak/>
        <w:t>isometric growth for both sexes (b = 2.97 for males, 2.96 for females), confirming body shape stability under prevailing environmental conditions.</w:t>
      </w:r>
    </w:p>
    <w:p w14:paraId="628C964B" w14:textId="77777777" w:rsidR="000F3052" w:rsidRPr="00EF4A71" w:rsidRDefault="000F3052" w:rsidP="00EE6FB3">
      <w:pPr>
        <w:bidi w:val="0"/>
        <w:ind w:left="-567" w:right="-567"/>
        <w:jc w:val="both"/>
        <w:rPr>
          <w:rFonts w:ascii="Times New Roman" w:hAnsi="Times New Roman" w:cs="Times New Roman"/>
          <w:sz w:val="24"/>
          <w:szCs w:val="24"/>
          <w:rtl/>
        </w:rPr>
      </w:pPr>
    </w:p>
    <w:p w14:paraId="466EA5B8" w14:textId="77777777" w:rsidR="000F3052" w:rsidRPr="00EF4A71" w:rsidRDefault="000F3052"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The most significant finding was the pronounced seasonal variation in condition factor, with minimum values in winter (December, 0.65) reflecting post-spawning physiological stress, and peak values in April (0.93) coinciding with the pre-spawning period. This confirms the close relationship between physiological condition and reproductive cycle.</w:t>
      </w:r>
    </w:p>
    <w:p w14:paraId="1DD861F5" w14:textId="77777777" w:rsidR="000F3052" w:rsidRPr="00EF4A71" w:rsidRDefault="000F3052" w:rsidP="00EE6FB3">
      <w:pPr>
        <w:bidi w:val="0"/>
        <w:ind w:left="-567" w:right="-567"/>
        <w:jc w:val="both"/>
        <w:rPr>
          <w:rFonts w:ascii="Times New Roman" w:hAnsi="Times New Roman" w:cs="Times New Roman"/>
          <w:sz w:val="24"/>
          <w:szCs w:val="24"/>
          <w:rtl/>
        </w:rPr>
      </w:pPr>
    </w:p>
    <w:p w14:paraId="1132ACE1" w14:textId="77777777" w:rsidR="000F3052" w:rsidRDefault="000F3052"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These findings underscore that stable growth patterns do not necessarily reflect stable physiological condition. Based on these results, the study recommends: (1) implementing seasonal management measures including spawning period closures (April-May), (2) increasing mesh size to at least 16 mm to protect immature individuals, (3) avoiding increased fishing effort given current exploitation rates, and (4) enhancing environmental and biological monitoring through long-term seasonal studies linking biological indicators to environmental variables. An integrated ecosystem approach combining biological indicators with environmental conditions and fisheries characteristics is essential for ensuring the sustainability of this vital resource</w:t>
      </w:r>
    </w:p>
    <w:p w14:paraId="637080F3" w14:textId="77777777" w:rsidR="003732F9" w:rsidRDefault="003732F9" w:rsidP="003732F9">
      <w:pPr>
        <w:bidi w:val="0"/>
        <w:ind w:left="-567" w:right="-567"/>
        <w:jc w:val="both"/>
        <w:rPr>
          <w:rFonts w:ascii="Times New Roman" w:hAnsi="Times New Roman" w:cs="Times New Roman"/>
          <w:sz w:val="24"/>
          <w:szCs w:val="24"/>
        </w:rPr>
      </w:pPr>
    </w:p>
    <w:p w14:paraId="1E41605F" w14:textId="77777777" w:rsidR="003732F9" w:rsidRPr="003732F9" w:rsidRDefault="003732F9" w:rsidP="003732F9">
      <w:pPr>
        <w:bidi w:val="0"/>
        <w:ind w:left="-567" w:right="-567"/>
        <w:jc w:val="both"/>
        <w:rPr>
          <w:rFonts w:ascii="Times New Roman" w:hAnsi="Times New Roman" w:cs="Times New Roman"/>
          <w:sz w:val="24"/>
          <w:szCs w:val="24"/>
        </w:rPr>
      </w:pPr>
      <w:r w:rsidRPr="003732F9">
        <w:rPr>
          <w:rFonts w:ascii="Times New Roman" w:hAnsi="Times New Roman" w:cs="Times New Roman"/>
          <w:sz w:val="24"/>
          <w:szCs w:val="24"/>
        </w:rPr>
        <w:t>COMPETING INTERESTS DISCLAIMER:</w:t>
      </w:r>
    </w:p>
    <w:p w14:paraId="6FDA8DF0" w14:textId="4D1ACCD7" w:rsidR="003732F9" w:rsidRDefault="003732F9" w:rsidP="003732F9">
      <w:pPr>
        <w:bidi w:val="0"/>
        <w:ind w:left="-567" w:right="-567"/>
        <w:jc w:val="both"/>
        <w:rPr>
          <w:rFonts w:ascii="Times New Roman" w:hAnsi="Times New Roman" w:cs="Times New Roman"/>
          <w:sz w:val="24"/>
          <w:szCs w:val="24"/>
        </w:rPr>
      </w:pPr>
      <w:r w:rsidRPr="003732F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01EE20B" w14:textId="77777777" w:rsidR="00DA2DC4" w:rsidRPr="00EF4A71" w:rsidRDefault="00DA2DC4" w:rsidP="00EE6FB3">
      <w:pPr>
        <w:bidi w:val="0"/>
        <w:ind w:left="-567" w:right="-567"/>
        <w:jc w:val="both"/>
        <w:rPr>
          <w:rFonts w:ascii="Times New Roman" w:hAnsi="Times New Roman" w:cs="Times New Roman"/>
          <w:sz w:val="24"/>
          <w:szCs w:val="24"/>
        </w:rPr>
      </w:pPr>
    </w:p>
    <w:p w14:paraId="1BD2A394" w14:textId="34F841BE" w:rsidR="00D65C21" w:rsidRPr="00EF4A71" w:rsidRDefault="00775E34" w:rsidP="00EE6FB3">
      <w:pPr>
        <w:bidi w:val="0"/>
        <w:ind w:left="-567" w:right="-567"/>
        <w:jc w:val="both"/>
        <w:rPr>
          <w:rFonts w:ascii="Times New Roman" w:hAnsi="Times New Roman" w:cs="Times New Roman"/>
          <w:b/>
          <w:bCs/>
          <w:sz w:val="24"/>
          <w:szCs w:val="24"/>
        </w:rPr>
      </w:pPr>
      <w:r>
        <w:rPr>
          <w:rFonts w:ascii="Times New Roman" w:hAnsi="Times New Roman" w:cs="Times New Roman" w:hint="cs"/>
          <w:b/>
          <w:bCs/>
          <w:sz w:val="24"/>
          <w:szCs w:val="24"/>
          <w:lang w:bidi="ar-EG"/>
        </w:rPr>
        <w:t xml:space="preserve">6: </w:t>
      </w:r>
      <w:r w:rsidR="00D65C21" w:rsidRPr="00EF4A71">
        <w:rPr>
          <w:rFonts w:ascii="Times New Roman" w:hAnsi="Times New Roman" w:cs="Times New Roman"/>
          <w:b/>
          <w:bCs/>
          <w:sz w:val="24"/>
          <w:szCs w:val="24"/>
        </w:rPr>
        <w:t>References</w:t>
      </w:r>
    </w:p>
    <w:p w14:paraId="7ADA2799" w14:textId="77777777" w:rsidR="00D65C21" w:rsidRPr="00EF4A71" w:rsidRDefault="00D65C21" w:rsidP="00EE6FB3">
      <w:pPr>
        <w:bidi w:val="0"/>
        <w:ind w:left="-567" w:right="-567"/>
        <w:jc w:val="both"/>
        <w:rPr>
          <w:rFonts w:ascii="Times New Roman" w:hAnsi="Times New Roman" w:cs="Times New Roman"/>
          <w:sz w:val="24"/>
          <w:szCs w:val="24"/>
        </w:rPr>
      </w:pPr>
    </w:p>
    <w:p w14:paraId="1E2E19B0" w14:textId="77777777" w:rsidR="00D65C21" w:rsidRPr="00EF4A71" w:rsidRDefault="00D65C21"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Al-Sheikh Rasheed, R., Galiya, M., Almajid, Z., &amp; Laika, H. A. (2025). Dietary Analysis of Sardinella maderensis (Lowe, 1938) in the Marine Waters off the Latakia Coast (Syria), Eastern Mediterranean: A Two-Year Seasonal Study. Asian Journal of Fisheries and Aquatic Research, 27(12), 73–82.</w:t>
      </w:r>
    </w:p>
    <w:p w14:paraId="699C2736" w14:textId="77777777" w:rsidR="00D65C21" w:rsidRPr="00EF4A71" w:rsidRDefault="00D65C21" w:rsidP="00EE6FB3">
      <w:pPr>
        <w:bidi w:val="0"/>
        <w:ind w:left="-567" w:right="-567"/>
        <w:jc w:val="both"/>
        <w:rPr>
          <w:rFonts w:ascii="Times New Roman" w:hAnsi="Times New Roman" w:cs="Times New Roman"/>
          <w:sz w:val="24"/>
          <w:szCs w:val="24"/>
        </w:rPr>
      </w:pPr>
      <w:proofErr w:type="spellStart"/>
      <w:r w:rsidRPr="00EF4A71">
        <w:rPr>
          <w:rFonts w:ascii="Times New Roman" w:hAnsi="Times New Roman" w:cs="Times New Roman"/>
          <w:sz w:val="24"/>
          <w:szCs w:val="24"/>
        </w:rPr>
        <w:t>Bănăduc</w:t>
      </w:r>
      <w:proofErr w:type="spellEnd"/>
      <w:r w:rsidRPr="00EF4A71">
        <w:rPr>
          <w:rFonts w:ascii="Times New Roman" w:hAnsi="Times New Roman" w:cs="Times New Roman"/>
          <w:sz w:val="24"/>
          <w:szCs w:val="24"/>
        </w:rPr>
        <w:t xml:space="preserve">, D., Joy, M., </w:t>
      </w:r>
      <w:proofErr w:type="spellStart"/>
      <w:r w:rsidRPr="00EF4A71">
        <w:rPr>
          <w:rFonts w:ascii="Times New Roman" w:hAnsi="Times New Roman" w:cs="Times New Roman"/>
          <w:sz w:val="24"/>
          <w:szCs w:val="24"/>
        </w:rPr>
        <w:t>Olosutean</w:t>
      </w:r>
      <w:proofErr w:type="spellEnd"/>
      <w:r w:rsidRPr="00EF4A71">
        <w:rPr>
          <w:rFonts w:ascii="Times New Roman" w:hAnsi="Times New Roman" w:cs="Times New Roman"/>
          <w:sz w:val="24"/>
          <w:szCs w:val="24"/>
        </w:rPr>
        <w:t xml:space="preserve">, H., Afanasyev, S., &amp; </w:t>
      </w:r>
      <w:proofErr w:type="spellStart"/>
      <w:r w:rsidRPr="00EF4A71">
        <w:rPr>
          <w:rFonts w:ascii="Times New Roman" w:hAnsi="Times New Roman" w:cs="Times New Roman"/>
          <w:sz w:val="24"/>
          <w:szCs w:val="24"/>
        </w:rPr>
        <w:t>Curtean-Bănăduc</w:t>
      </w:r>
      <w:proofErr w:type="spellEnd"/>
      <w:r w:rsidRPr="00EF4A71">
        <w:rPr>
          <w:rFonts w:ascii="Times New Roman" w:hAnsi="Times New Roman" w:cs="Times New Roman"/>
          <w:sz w:val="24"/>
          <w:szCs w:val="24"/>
        </w:rPr>
        <w:t>, A. (2020). Condition factor variation in European sardine (Sardina pilchardus) from the Aegean Sea and its use as a bioindicator. Journal of Marine Science and Engineering, 8(11), 867.</w:t>
      </w:r>
    </w:p>
    <w:p w14:paraId="5FF5EBD9" w14:textId="32FEF4F5" w:rsidR="00D65C21" w:rsidRPr="00EF4A71" w:rsidRDefault="00D65C21" w:rsidP="00775E34">
      <w:pPr>
        <w:bidi w:val="0"/>
        <w:ind w:left="-567" w:right="-567"/>
        <w:jc w:val="both"/>
        <w:rPr>
          <w:rFonts w:ascii="Times New Roman" w:hAnsi="Times New Roman" w:cs="Times New Roman"/>
          <w:sz w:val="24"/>
          <w:szCs w:val="24"/>
        </w:rPr>
      </w:pPr>
      <w:proofErr w:type="spellStart"/>
      <w:r w:rsidRPr="00EF4A71">
        <w:rPr>
          <w:rFonts w:ascii="Times New Roman" w:hAnsi="Times New Roman" w:cs="Times New Roman"/>
          <w:sz w:val="24"/>
          <w:szCs w:val="24"/>
        </w:rPr>
        <w:t>Djiman</w:t>
      </w:r>
      <w:proofErr w:type="spellEnd"/>
      <w:r w:rsidRPr="00EF4A71">
        <w:rPr>
          <w:rFonts w:ascii="Times New Roman" w:hAnsi="Times New Roman" w:cs="Times New Roman"/>
          <w:sz w:val="24"/>
          <w:szCs w:val="24"/>
        </w:rPr>
        <w:t xml:space="preserve">, R., N'Douba, V., &amp; Kouassi, N. J. (2017). Reproductive biology and seasonal condition factor of </w:t>
      </w:r>
      <w:proofErr w:type="spellStart"/>
      <w:r w:rsidRPr="00EF4A71">
        <w:rPr>
          <w:rFonts w:ascii="Times New Roman" w:hAnsi="Times New Roman" w:cs="Times New Roman"/>
          <w:sz w:val="24"/>
          <w:szCs w:val="24"/>
        </w:rPr>
        <w:t>Ethmalosa</w:t>
      </w:r>
      <w:proofErr w:type="spellEnd"/>
      <w:r w:rsidRPr="00EF4A71">
        <w:rPr>
          <w:rFonts w:ascii="Times New Roman" w:hAnsi="Times New Roman" w:cs="Times New Roman"/>
          <w:sz w:val="24"/>
          <w:szCs w:val="24"/>
        </w:rPr>
        <w:t xml:space="preserve"> fimbriata. International Journal of Fisheries and Aquatic Studies, 5(5), 01–07.</w:t>
      </w:r>
    </w:p>
    <w:p w14:paraId="75467D54" w14:textId="7A083A29" w:rsidR="00D65C21" w:rsidRPr="00EF4A71" w:rsidRDefault="00D65C21" w:rsidP="00775E34">
      <w:pPr>
        <w:bidi w:val="0"/>
        <w:ind w:left="-567" w:right="-567"/>
        <w:jc w:val="both"/>
        <w:rPr>
          <w:rFonts w:ascii="Times New Roman" w:hAnsi="Times New Roman" w:cs="Times New Roman"/>
          <w:sz w:val="24"/>
          <w:szCs w:val="24"/>
        </w:rPr>
      </w:pPr>
      <w:proofErr w:type="spellStart"/>
      <w:r w:rsidRPr="00EF4A71">
        <w:rPr>
          <w:rFonts w:ascii="Times New Roman" w:hAnsi="Times New Roman" w:cs="Times New Roman"/>
          <w:sz w:val="24"/>
          <w:szCs w:val="24"/>
        </w:rPr>
        <w:t>Ecoutin</w:t>
      </w:r>
      <w:proofErr w:type="spellEnd"/>
      <w:r w:rsidRPr="00EF4A71">
        <w:rPr>
          <w:rFonts w:ascii="Times New Roman" w:hAnsi="Times New Roman" w:cs="Times New Roman"/>
          <w:sz w:val="24"/>
          <w:szCs w:val="24"/>
        </w:rPr>
        <w:t xml:space="preserve">, J. M., &amp; </w:t>
      </w:r>
      <w:proofErr w:type="spellStart"/>
      <w:r w:rsidRPr="00EF4A71">
        <w:rPr>
          <w:rFonts w:ascii="Times New Roman" w:hAnsi="Times New Roman" w:cs="Times New Roman"/>
          <w:sz w:val="24"/>
          <w:szCs w:val="24"/>
        </w:rPr>
        <w:t>Albaret</w:t>
      </w:r>
      <w:proofErr w:type="spellEnd"/>
      <w:r w:rsidRPr="00EF4A71">
        <w:rPr>
          <w:rFonts w:ascii="Times New Roman" w:hAnsi="Times New Roman" w:cs="Times New Roman"/>
          <w:sz w:val="24"/>
          <w:szCs w:val="24"/>
        </w:rPr>
        <w:t>, J. J. (2003). Length–weight relationships for fish populations of a tropical estuary. Journal of Applied Ichthyology, 19(6), 394–396.</w:t>
      </w:r>
    </w:p>
    <w:p w14:paraId="2C4308B6" w14:textId="77777777" w:rsidR="00D65C21" w:rsidRPr="00EF4A71" w:rsidRDefault="00D65C21"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 xml:space="preserve">El-sayed, E. A., </w:t>
      </w:r>
      <w:proofErr w:type="spellStart"/>
      <w:r w:rsidRPr="00EF4A71">
        <w:rPr>
          <w:rFonts w:ascii="Times New Roman" w:hAnsi="Times New Roman" w:cs="Times New Roman"/>
          <w:sz w:val="24"/>
          <w:szCs w:val="24"/>
        </w:rPr>
        <w:t>Hassanen</w:t>
      </w:r>
      <w:proofErr w:type="spellEnd"/>
      <w:r w:rsidRPr="00EF4A71">
        <w:rPr>
          <w:rFonts w:ascii="Times New Roman" w:hAnsi="Times New Roman" w:cs="Times New Roman"/>
          <w:sz w:val="24"/>
          <w:szCs w:val="24"/>
        </w:rPr>
        <w:t>, G. D. I., Faisal, R. M., &amp; El-</w:t>
      </w:r>
      <w:proofErr w:type="spellStart"/>
      <w:r w:rsidRPr="00EF4A71">
        <w:rPr>
          <w:rFonts w:ascii="Times New Roman" w:hAnsi="Times New Roman" w:cs="Times New Roman"/>
          <w:sz w:val="24"/>
          <w:szCs w:val="24"/>
        </w:rPr>
        <w:t>Aiatt</w:t>
      </w:r>
      <w:proofErr w:type="spellEnd"/>
      <w:r w:rsidRPr="00EF4A71">
        <w:rPr>
          <w:rFonts w:ascii="Times New Roman" w:hAnsi="Times New Roman" w:cs="Times New Roman"/>
          <w:sz w:val="24"/>
          <w:szCs w:val="24"/>
        </w:rPr>
        <w:t xml:space="preserve">, A. A. O. (2023). Study of some biological and dynamic characteristics of the Madeiran sardinella fish Sardinella </w:t>
      </w:r>
      <w:proofErr w:type="spellStart"/>
      <w:r w:rsidRPr="00EF4A71">
        <w:rPr>
          <w:rFonts w:ascii="Times New Roman" w:hAnsi="Times New Roman" w:cs="Times New Roman"/>
          <w:sz w:val="24"/>
          <w:szCs w:val="24"/>
        </w:rPr>
        <w:t>maderensis</w:t>
      </w:r>
      <w:proofErr w:type="spellEnd"/>
      <w:r w:rsidRPr="00EF4A71">
        <w:rPr>
          <w:rFonts w:ascii="Times New Roman" w:hAnsi="Times New Roman" w:cs="Times New Roman"/>
          <w:sz w:val="24"/>
          <w:szCs w:val="24"/>
        </w:rPr>
        <w:t xml:space="preserve"> of </w:t>
      </w:r>
      <w:r w:rsidRPr="00EF4A71">
        <w:rPr>
          <w:rFonts w:ascii="Times New Roman" w:hAnsi="Times New Roman" w:cs="Times New Roman"/>
          <w:sz w:val="24"/>
          <w:szCs w:val="24"/>
        </w:rPr>
        <w:lastRenderedPageBreak/>
        <w:t>Eastern Mediterranean (North Sinai coast Egypt). Sinai Journal of Applied Sciences, 12(3), 433–444.</w:t>
      </w:r>
    </w:p>
    <w:p w14:paraId="2086AF18" w14:textId="28AC2AF6" w:rsidR="00E30614" w:rsidRPr="00EF4A71" w:rsidRDefault="00B723BD" w:rsidP="00775E34">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Food and Agriculture Organization. (1981). Biology of Sardinella aurita and S. maderensis. In Report of the Ad Hoc Working Group on Sardinella off the Atlantic Coast of Africa. FAO Fisheries Report.</w:t>
      </w:r>
    </w:p>
    <w:p w14:paraId="69F7FC6A" w14:textId="77777777" w:rsidR="00B723BD" w:rsidRPr="00EF4A71" w:rsidRDefault="00E30614"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Food and Agriculture Organization. (1981). Biology of Sardinella aurita and S. maderensis. In Report of the Ad Hoc Working Group on Sardinella off the Atlantic Coast of Africa. FAO Fisheries Report.</w:t>
      </w:r>
    </w:p>
    <w:p w14:paraId="08CE067E" w14:textId="6FF8E0C7" w:rsidR="00B723BD" w:rsidRPr="00EF4A71" w:rsidRDefault="00B723BD" w:rsidP="00775E34">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Food and Agriculture Organization. (2023). Sardinella maderensis species fact sheet. Fisheries and Aquaculture Division.</w:t>
      </w:r>
    </w:p>
    <w:p w14:paraId="26C6BE6E" w14:textId="39D42216" w:rsidR="00B723BD" w:rsidRPr="00EF4A71" w:rsidRDefault="00B723BD" w:rsidP="00775E34">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Froese, R. (2006). Cube law, condition factor and weight–length relationships. Journal of Applied Ichthyology, 22(4), 241–253.</w:t>
      </w:r>
    </w:p>
    <w:p w14:paraId="38F7305E" w14:textId="1A2C8022" w:rsidR="00B723BD" w:rsidRPr="00EF4A71" w:rsidRDefault="00B723BD" w:rsidP="00775E34">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 xml:space="preserve">Froese, R., &amp; Pauly, D. (Eds.). (2024). </w:t>
      </w:r>
      <w:proofErr w:type="spellStart"/>
      <w:r w:rsidRPr="00EF4A71">
        <w:rPr>
          <w:rFonts w:ascii="Times New Roman" w:hAnsi="Times New Roman" w:cs="Times New Roman"/>
          <w:sz w:val="24"/>
          <w:szCs w:val="24"/>
        </w:rPr>
        <w:t>FishBase</w:t>
      </w:r>
      <w:proofErr w:type="spellEnd"/>
      <w:r w:rsidRPr="00EF4A71">
        <w:rPr>
          <w:rFonts w:ascii="Times New Roman" w:hAnsi="Times New Roman" w:cs="Times New Roman"/>
          <w:sz w:val="24"/>
          <w:szCs w:val="24"/>
        </w:rPr>
        <w:t>. World Wide Web electronic publication. www.fishbase.org</w:t>
      </w:r>
    </w:p>
    <w:p w14:paraId="7B286805" w14:textId="7404ABAA" w:rsidR="00B723BD" w:rsidRPr="00EF4A71" w:rsidRDefault="00B723BD" w:rsidP="00775E34">
      <w:pPr>
        <w:bidi w:val="0"/>
        <w:ind w:left="-567" w:right="-567"/>
        <w:jc w:val="both"/>
        <w:rPr>
          <w:rFonts w:ascii="Times New Roman" w:hAnsi="Times New Roman" w:cs="Times New Roman"/>
          <w:sz w:val="24"/>
          <w:szCs w:val="24"/>
        </w:rPr>
      </w:pPr>
      <w:proofErr w:type="spellStart"/>
      <w:r w:rsidRPr="00EF4A71">
        <w:rPr>
          <w:rFonts w:ascii="Times New Roman" w:hAnsi="Times New Roman" w:cs="Times New Roman"/>
          <w:sz w:val="24"/>
          <w:szCs w:val="24"/>
        </w:rPr>
        <w:t>Gücü</w:t>
      </w:r>
      <w:proofErr w:type="spellEnd"/>
      <w:r w:rsidRPr="00EF4A71">
        <w:rPr>
          <w:rFonts w:ascii="Times New Roman" w:hAnsi="Times New Roman" w:cs="Times New Roman"/>
          <w:sz w:val="24"/>
          <w:szCs w:val="24"/>
        </w:rPr>
        <w:t>, A. C., &amp; Bingel, F. (1994). Fish stocks of the northeastern Mediterranean coast of Turkey. FAO Fisheries Report, 477, 97–109.</w:t>
      </w:r>
    </w:p>
    <w:p w14:paraId="1816C4B0" w14:textId="723A90DD" w:rsidR="00B723BD" w:rsidRPr="00EF4A71" w:rsidRDefault="00B723BD" w:rsidP="00775E34">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King, M. (2007). Fisheries Biology, Assessment and Management (2nd ed.). Blackwell Publishing.</w:t>
      </w:r>
    </w:p>
    <w:p w14:paraId="3C0D4427" w14:textId="4BD47515" w:rsidR="00B723BD" w:rsidRPr="00EF4A71" w:rsidRDefault="00B723BD" w:rsidP="00775E34">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Konan, K. J., N'Da, K., &amp; Douda, S. (2016). Reproductive cycle and condition factor of Sardinella aurita. International Journal of Innovation and Applied Studies, 17(1), 218–228.</w:t>
      </w:r>
    </w:p>
    <w:p w14:paraId="6238EB0C" w14:textId="309C77C7" w:rsidR="00B723BD" w:rsidRPr="00EF4A71" w:rsidRDefault="00B723BD" w:rsidP="00775E34">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 xml:space="preserve">Le </w:t>
      </w:r>
      <w:proofErr w:type="spellStart"/>
      <w:r w:rsidRPr="00EF4A71">
        <w:rPr>
          <w:rFonts w:ascii="Times New Roman" w:hAnsi="Times New Roman" w:cs="Times New Roman"/>
          <w:sz w:val="24"/>
          <w:szCs w:val="24"/>
        </w:rPr>
        <w:t>Cren</w:t>
      </w:r>
      <w:proofErr w:type="spellEnd"/>
      <w:r w:rsidRPr="00EF4A71">
        <w:rPr>
          <w:rFonts w:ascii="Times New Roman" w:hAnsi="Times New Roman" w:cs="Times New Roman"/>
          <w:sz w:val="24"/>
          <w:szCs w:val="24"/>
        </w:rPr>
        <w:t>, E. D. (1951). The length–weight relationship and seasonal cycle in fish condition. Journal of Animal Ecology, 20(2), 201–219.</w:t>
      </w:r>
    </w:p>
    <w:p w14:paraId="17CC8996" w14:textId="7DABDC44" w:rsidR="00B723BD" w:rsidRPr="00EF4A71" w:rsidRDefault="00B723BD" w:rsidP="00775E34">
      <w:pPr>
        <w:bidi w:val="0"/>
        <w:ind w:left="-567" w:right="-567"/>
        <w:jc w:val="both"/>
        <w:rPr>
          <w:rFonts w:ascii="Times New Roman" w:hAnsi="Times New Roman" w:cs="Times New Roman"/>
          <w:sz w:val="24"/>
          <w:szCs w:val="24"/>
        </w:rPr>
      </w:pPr>
      <w:proofErr w:type="spellStart"/>
      <w:r w:rsidRPr="00EF4A71">
        <w:rPr>
          <w:rFonts w:ascii="Times New Roman" w:hAnsi="Times New Roman" w:cs="Times New Roman"/>
          <w:sz w:val="24"/>
          <w:szCs w:val="24"/>
        </w:rPr>
        <w:t>Mafuca</w:t>
      </w:r>
      <w:proofErr w:type="spellEnd"/>
      <w:r w:rsidRPr="00EF4A71">
        <w:rPr>
          <w:rFonts w:ascii="Times New Roman" w:hAnsi="Times New Roman" w:cs="Times New Roman"/>
          <w:sz w:val="24"/>
          <w:szCs w:val="24"/>
        </w:rPr>
        <w:t>, J. L. A., et al. (2025). Reproduction Traits and Strategies of Two Sardinella Species off the Southwest Coast of Africa. Fishes, 10(6), 261.</w:t>
      </w:r>
    </w:p>
    <w:p w14:paraId="1CC701E2" w14:textId="77777777" w:rsidR="00B723BD" w:rsidRPr="00EF4A71" w:rsidRDefault="00B723BD"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Nunoo, F. K. E., Asiedu, B., &amp; Amador, K. (2009). Length–weight relationships of tropical fish species from coastal waters of Ghana. Journal of Applied Biosciences, 22, 1386–1391.</w:t>
      </w:r>
    </w:p>
    <w:p w14:paraId="272EB9D6" w14:textId="77777777" w:rsidR="00B723BD" w:rsidRPr="00EF4A71" w:rsidRDefault="00B723BD"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Pérez-Roda, A. (2012). Sardinella maderensis. In FAO Species Identification Guide for Fishery Purposes: The Living Marine Resources of the Eastern Central Atlantic. FAO.</w:t>
      </w:r>
    </w:p>
    <w:p w14:paraId="6C89DD98" w14:textId="77777777" w:rsidR="00B723BD" w:rsidRPr="00EF4A71" w:rsidRDefault="00B723BD"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 xml:space="preserve">Saad, A., &amp; </w:t>
      </w:r>
      <w:proofErr w:type="spellStart"/>
      <w:r w:rsidRPr="00EF4A71">
        <w:rPr>
          <w:rFonts w:ascii="Times New Roman" w:hAnsi="Times New Roman" w:cs="Times New Roman"/>
          <w:sz w:val="24"/>
          <w:szCs w:val="24"/>
        </w:rPr>
        <w:t>Bedair</w:t>
      </w:r>
      <w:proofErr w:type="spellEnd"/>
      <w:r w:rsidRPr="00EF4A71">
        <w:rPr>
          <w:rFonts w:ascii="Times New Roman" w:hAnsi="Times New Roman" w:cs="Times New Roman"/>
          <w:sz w:val="24"/>
          <w:szCs w:val="24"/>
        </w:rPr>
        <w:t>, M. (2019). Reproductive biology and sex ratio of small pelagic fishes along the Syrian coast. Arabian Journal of Fisheries and Marine Sciences, 11(1), 22–31.</w:t>
      </w:r>
    </w:p>
    <w:p w14:paraId="28A3A147" w14:textId="77777777" w:rsidR="00B723BD" w:rsidRPr="00EF4A71" w:rsidRDefault="00B723BD"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Saad, A., &amp; Shalaby, S. (2013). Biological characteristics of small pelagic fishes along the Syrian coast. Tishreen University Journal for Research and Scientific Studies - Biological Sciences Series, 35(3), 143–156.</w:t>
      </w:r>
    </w:p>
    <w:p w14:paraId="42DFEBB0" w14:textId="77777777" w:rsidR="00B723BD" w:rsidRPr="00EF4A71" w:rsidRDefault="00B723BD" w:rsidP="00EE6FB3">
      <w:pPr>
        <w:bidi w:val="0"/>
        <w:ind w:left="-567" w:right="-567"/>
        <w:jc w:val="both"/>
        <w:rPr>
          <w:rFonts w:ascii="Times New Roman" w:hAnsi="Times New Roman" w:cs="Times New Roman"/>
          <w:sz w:val="24"/>
          <w:szCs w:val="24"/>
        </w:rPr>
      </w:pPr>
      <w:proofErr w:type="spellStart"/>
      <w:r w:rsidRPr="00EF4A71">
        <w:rPr>
          <w:rFonts w:ascii="Times New Roman" w:hAnsi="Times New Roman" w:cs="Times New Roman"/>
          <w:sz w:val="24"/>
          <w:szCs w:val="24"/>
        </w:rPr>
        <w:t>Saygu</w:t>
      </w:r>
      <w:proofErr w:type="spellEnd"/>
      <w:r w:rsidRPr="00EF4A71">
        <w:rPr>
          <w:rFonts w:ascii="Times New Roman" w:hAnsi="Times New Roman" w:cs="Times New Roman"/>
          <w:sz w:val="24"/>
          <w:szCs w:val="24"/>
        </w:rPr>
        <w:t>, İ., &amp; Deval, M. C. (2014). Growth and population parameters of Sardinella species from the Mediterranean coast of Turkey. Mediterranean Marine Science, 15(3), 613–626.</w:t>
      </w:r>
    </w:p>
    <w:p w14:paraId="73B8AA3F" w14:textId="77777777" w:rsidR="00B723BD" w:rsidRPr="00EF4A71" w:rsidRDefault="00B723BD"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 xml:space="preserve">Solaiman, Y. (2017). Length–weight relationship of Sardinella aurita from Syrian marine waters. Tishreen University Journal of Agriculture, </w:t>
      </w:r>
      <w:proofErr w:type="gramStart"/>
      <w:r w:rsidRPr="00EF4A71">
        <w:rPr>
          <w:rFonts w:ascii="Times New Roman" w:hAnsi="Times New Roman" w:cs="Times New Roman"/>
          <w:sz w:val="24"/>
          <w:szCs w:val="24"/>
        </w:rPr>
        <w:t>VI(</w:t>
      </w:r>
      <w:proofErr w:type="gramEnd"/>
      <w:r w:rsidRPr="00EF4A71">
        <w:rPr>
          <w:rFonts w:ascii="Times New Roman" w:hAnsi="Times New Roman" w:cs="Times New Roman"/>
          <w:sz w:val="24"/>
          <w:szCs w:val="24"/>
        </w:rPr>
        <w:t>1), 19–22.</w:t>
      </w:r>
    </w:p>
    <w:p w14:paraId="4A4C9B44" w14:textId="77777777" w:rsidR="00B723BD" w:rsidRPr="00EF4A71" w:rsidRDefault="00B723BD"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lastRenderedPageBreak/>
        <w:t>Torres, M. A., Ramos, F., &amp; Sobrino, I. (2012). Length–weight relationships of 26 marine fish species from the continental shelf of the Gulf of Cádiz (SW Spain). Journal of Applied Ichthyology, 28, 243–245.</w:t>
      </w:r>
    </w:p>
    <w:p w14:paraId="77ED5BB6" w14:textId="77777777" w:rsidR="00B723BD" w:rsidRPr="00EF4A71" w:rsidRDefault="00B723BD" w:rsidP="00D65C21">
      <w:pPr>
        <w:ind w:left="-567" w:right="-567"/>
        <w:jc w:val="right"/>
        <w:rPr>
          <w:rFonts w:ascii="Times New Roman" w:hAnsi="Times New Roman" w:cs="Times New Roman"/>
          <w:sz w:val="24"/>
          <w:szCs w:val="24"/>
          <w:rtl/>
        </w:rPr>
      </w:pPr>
    </w:p>
    <w:sectPr w:rsidR="00B723BD" w:rsidRPr="00EF4A71" w:rsidSect="00B2360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E2A63" w14:textId="77777777" w:rsidR="004B388B" w:rsidRDefault="004B388B" w:rsidP="00D13191">
      <w:pPr>
        <w:spacing w:after="0" w:line="240" w:lineRule="auto"/>
      </w:pPr>
      <w:r>
        <w:separator/>
      </w:r>
    </w:p>
  </w:endnote>
  <w:endnote w:type="continuationSeparator" w:id="0">
    <w:p w14:paraId="29EDCC91" w14:textId="77777777" w:rsidR="004B388B" w:rsidRDefault="004B388B" w:rsidP="00D1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849950419"/>
      <w:docPartObj>
        <w:docPartGallery w:val="Page Numbers (Bottom of Page)"/>
        <w:docPartUnique/>
      </w:docPartObj>
    </w:sdtPr>
    <w:sdtEndPr>
      <w:rPr>
        <w:rStyle w:val="PageNumber"/>
      </w:rPr>
    </w:sdtEndPr>
    <w:sdtContent>
      <w:p w14:paraId="1B44F7B8" w14:textId="111527A7" w:rsidR="0010173C" w:rsidRDefault="0010173C" w:rsidP="007F0AA8">
        <w:pPr>
          <w:pStyle w:val="Footer"/>
          <w:framePr w:wrap="none" w:vAnchor="text" w:hAnchor="text" w:xAlign="center" w:y="1"/>
          <w:jc w:val="center"/>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0E05D3D7" w14:textId="77777777" w:rsidR="0010173C" w:rsidRDefault="00101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1289890902"/>
      <w:docPartObj>
        <w:docPartGallery w:val="Page Numbers (Bottom of Page)"/>
        <w:docPartUnique/>
      </w:docPartObj>
    </w:sdtPr>
    <w:sdtEndPr>
      <w:rPr>
        <w:rStyle w:val="PageNumber"/>
      </w:rPr>
    </w:sdtEndPr>
    <w:sdtContent>
      <w:p w14:paraId="10F2CE0E" w14:textId="6E438AB1" w:rsidR="0010173C" w:rsidRDefault="0010173C" w:rsidP="007F0AA8">
        <w:pPr>
          <w:pStyle w:val="Footer"/>
          <w:framePr w:wrap="none" w:vAnchor="text" w:hAnchor="text" w:xAlign="center" w:y="1"/>
          <w:jc w:val="center"/>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2</w:t>
        </w:r>
        <w:r>
          <w:rPr>
            <w:rStyle w:val="PageNumber"/>
            <w:rtl/>
          </w:rPr>
          <w:fldChar w:fldCharType="end"/>
        </w:r>
      </w:p>
    </w:sdtContent>
  </w:sdt>
  <w:p w14:paraId="6245A913" w14:textId="77777777" w:rsidR="0010173C" w:rsidRDefault="00101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DE3" w14:textId="77777777" w:rsidR="004E04A8" w:rsidRDefault="004E0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5C8CB" w14:textId="77777777" w:rsidR="004B388B" w:rsidRDefault="004B388B" w:rsidP="00D13191">
      <w:pPr>
        <w:spacing w:after="0" w:line="240" w:lineRule="auto"/>
      </w:pPr>
      <w:r>
        <w:separator/>
      </w:r>
    </w:p>
  </w:footnote>
  <w:footnote w:type="continuationSeparator" w:id="0">
    <w:p w14:paraId="6E164102" w14:textId="77777777" w:rsidR="004B388B" w:rsidRDefault="004B388B" w:rsidP="00D13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5944" w14:textId="48E078D9" w:rsidR="004E04A8" w:rsidRDefault="004E04A8">
    <w:pPr>
      <w:pStyle w:val="Header"/>
    </w:pPr>
    <w:r>
      <w:rPr>
        <w:noProof/>
      </w:rPr>
      <w:pict w14:anchorId="7F35A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518423"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657" w14:textId="6AED3D83" w:rsidR="004E04A8" w:rsidRDefault="004E04A8">
    <w:pPr>
      <w:pStyle w:val="Header"/>
    </w:pPr>
    <w:r>
      <w:rPr>
        <w:noProof/>
      </w:rPr>
      <w:pict w14:anchorId="2E8CC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518424"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58167" w14:textId="45B874F6" w:rsidR="004E04A8" w:rsidRDefault="004E04A8">
    <w:pPr>
      <w:pStyle w:val="Header"/>
    </w:pPr>
    <w:r>
      <w:rPr>
        <w:noProof/>
      </w:rPr>
      <w:pict w14:anchorId="3B22E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518422"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F"/>
    <w:rsid w:val="00047B36"/>
    <w:rsid w:val="000545C5"/>
    <w:rsid w:val="00080A85"/>
    <w:rsid w:val="000D378D"/>
    <w:rsid w:val="000F3052"/>
    <w:rsid w:val="000F50FB"/>
    <w:rsid w:val="000F6D00"/>
    <w:rsid w:val="0010173C"/>
    <w:rsid w:val="00122263"/>
    <w:rsid w:val="00130C57"/>
    <w:rsid w:val="00161423"/>
    <w:rsid w:val="001646D0"/>
    <w:rsid w:val="0018700C"/>
    <w:rsid w:val="001B1E99"/>
    <w:rsid w:val="001D3833"/>
    <w:rsid w:val="001D526A"/>
    <w:rsid w:val="00216EE9"/>
    <w:rsid w:val="00222D43"/>
    <w:rsid w:val="00231C12"/>
    <w:rsid w:val="0026030A"/>
    <w:rsid w:val="002754FA"/>
    <w:rsid w:val="002B7AB9"/>
    <w:rsid w:val="00306D0B"/>
    <w:rsid w:val="003103D3"/>
    <w:rsid w:val="00331B84"/>
    <w:rsid w:val="00371DDA"/>
    <w:rsid w:val="003732F9"/>
    <w:rsid w:val="003C06B5"/>
    <w:rsid w:val="003C19CB"/>
    <w:rsid w:val="003F2DE0"/>
    <w:rsid w:val="004B388B"/>
    <w:rsid w:val="004B71DF"/>
    <w:rsid w:val="004B759F"/>
    <w:rsid w:val="004D76AD"/>
    <w:rsid w:val="004E04A8"/>
    <w:rsid w:val="004E7B2B"/>
    <w:rsid w:val="00535DCB"/>
    <w:rsid w:val="00542A7E"/>
    <w:rsid w:val="00564771"/>
    <w:rsid w:val="00566C78"/>
    <w:rsid w:val="005C41B8"/>
    <w:rsid w:val="005D7AA1"/>
    <w:rsid w:val="00611C02"/>
    <w:rsid w:val="00623D70"/>
    <w:rsid w:val="00632084"/>
    <w:rsid w:val="00641B85"/>
    <w:rsid w:val="00676AEF"/>
    <w:rsid w:val="006A0E29"/>
    <w:rsid w:val="006A4376"/>
    <w:rsid w:val="00722DD9"/>
    <w:rsid w:val="00733A8B"/>
    <w:rsid w:val="00743588"/>
    <w:rsid w:val="0075391F"/>
    <w:rsid w:val="00766E05"/>
    <w:rsid w:val="00775E34"/>
    <w:rsid w:val="007777FE"/>
    <w:rsid w:val="007B3CB0"/>
    <w:rsid w:val="007D01C1"/>
    <w:rsid w:val="0080298F"/>
    <w:rsid w:val="00807394"/>
    <w:rsid w:val="00817662"/>
    <w:rsid w:val="00830484"/>
    <w:rsid w:val="00832F28"/>
    <w:rsid w:val="0084112A"/>
    <w:rsid w:val="0085247D"/>
    <w:rsid w:val="00897CAC"/>
    <w:rsid w:val="008A6EC1"/>
    <w:rsid w:val="008C0210"/>
    <w:rsid w:val="008D7E71"/>
    <w:rsid w:val="0095087B"/>
    <w:rsid w:val="00963E92"/>
    <w:rsid w:val="009832CE"/>
    <w:rsid w:val="00990D40"/>
    <w:rsid w:val="00997E06"/>
    <w:rsid w:val="009E2968"/>
    <w:rsid w:val="009E6CA2"/>
    <w:rsid w:val="009F48FB"/>
    <w:rsid w:val="00A30572"/>
    <w:rsid w:val="00A57CDE"/>
    <w:rsid w:val="00A736B0"/>
    <w:rsid w:val="00A807EF"/>
    <w:rsid w:val="00AB5FEA"/>
    <w:rsid w:val="00AC0F14"/>
    <w:rsid w:val="00AE3087"/>
    <w:rsid w:val="00B1629F"/>
    <w:rsid w:val="00B2360C"/>
    <w:rsid w:val="00B61C81"/>
    <w:rsid w:val="00B723BD"/>
    <w:rsid w:val="00B93420"/>
    <w:rsid w:val="00BE1DF1"/>
    <w:rsid w:val="00C032FD"/>
    <w:rsid w:val="00C3448F"/>
    <w:rsid w:val="00C46EAF"/>
    <w:rsid w:val="00C54699"/>
    <w:rsid w:val="00C95D9B"/>
    <w:rsid w:val="00CB5F4F"/>
    <w:rsid w:val="00CE431D"/>
    <w:rsid w:val="00CE79E1"/>
    <w:rsid w:val="00D13191"/>
    <w:rsid w:val="00D333F9"/>
    <w:rsid w:val="00D4578B"/>
    <w:rsid w:val="00D4623B"/>
    <w:rsid w:val="00D501EC"/>
    <w:rsid w:val="00D52BD9"/>
    <w:rsid w:val="00D64136"/>
    <w:rsid w:val="00D65C21"/>
    <w:rsid w:val="00D80938"/>
    <w:rsid w:val="00D82A26"/>
    <w:rsid w:val="00D8629B"/>
    <w:rsid w:val="00D86587"/>
    <w:rsid w:val="00DA2DC4"/>
    <w:rsid w:val="00DE0640"/>
    <w:rsid w:val="00DF6E71"/>
    <w:rsid w:val="00E24992"/>
    <w:rsid w:val="00E30614"/>
    <w:rsid w:val="00E33209"/>
    <w:rsid w:val="00E67DFD"/>
    <w:rsid w:val="00EB2485"/>
    <w:rsid w:val="00ED00F6"/>
    <w:rsid w:val="00EE6FB3"/>
    <w:rsid w:val="00EF4A71"/>
    <w:rsid w:val="00F13E8D"/>
    <w:rsid w:val="00F46554"/>
    <w:rsid w:val="00F70371"/>
    <w:rsid w:val="00FA77FB"/>
    <w:rsid w:val="00FB79D9"/>
    <w:rsid w:val="00FC0563"/>
    <w:rsid w:val="00FC7063"/>
    <w:rsid w:val="00FE0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BD795C"/>
  <w15:chartTrackingRefBased/>
  <w15:docId w15:val="{4BACA6B2-5CA3-8148-AD3E-D393BC7E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spacing w:after="160" w:line="259" w:lineRule="auto"/>
    </w:pPr>
    <w:rPr>
      <w:sz w:val="22"/>
      <w:szCs w:val="22"/>
    </w:rPr>
  </w:style>
  <w:style w:type="paragraph" w:styleId="Heading1">
    <w:name w:val="heading 1"/>
    <w:basedOn w:val="Normal"/>
    <w:next w:val="Normal"/>
    <w:link w:val="Heading1Char"/>
    <w:uiPriority w:val="9"/>
    <w:qFormat/>
    <w:rsid w:val="004B71DF"/>
    <w:pPr>
      <w:keepNext/>
      <w:keepLines/>
      <w:bidi w:val="0"/>
      <w:spacing w:before="360" w:after="80" w:line="278" w:lineRule="auto"/>
      <w:outlineLvl w:val="0"/>
    </w:pPr>
    <w:rPr>
      <w:rFonts w:ascii="Aptos Display" w:eastAsia="Times New Roman" w:hAnsi="Aptos Display" w:cs="Times New Roman"/>
      <w:color w:val="0F4761"/>
      <w:kern w:val="2"/>
      <w:sz w:val="40"/>
      <w:szCs w:val="40"/>
    </w:rPr>
  </w:style>
  <w:style w:type="paragraph" w:styleId="Heading2">
    <w:name w:val="heading 2"/>
    <w:basedOn w:val="Normal"/>
    <w:next w:val="Normal"/>
    <w:link w:val="Heading2Char"/>
    <w:uiPriority w:val="9"/>
    <w:semiHidden/>
    <w:unhideWhenUsed/>
    <w:qFormat/>
    <w:rsid w:val="00DE0640"/>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71DF"/>
    <w:rPr>
      <w:rFonts w:ascii="Aptos Display" w:eastAsia="Times New Roman" w:hAnsi="Aptos Display" w:cs="Times New Roman"/>
      <w:color w:val="0F4761"/>
      <w:kern w:val="2"/>
      <w:sz w:val="40"/>
      <w:szCs w:val="40"/>
    </w:rPr>
  </w:style>
  <w:style w:type="character" w:customStyle="1" w:styleId="Heading2Char">
    <w:name w:val="Heading 2 Char"/>
    <w:link w:val="Heading2"/>
    <w:uiPriority w:val="9"/>
    <w:semiHidden/>
    <w:rsid w:val="00DE0640"/>
    <w:rPr>
      <w:rFonts w:ascii="Calibri Light" w:eastAsia="Times New Roman" w:hAnsi="Calibri Light" w:cs="Times New Roman"/>
      <w:color w:val="2E74B5"/>
      <w:sz w:val="26"/>
      <w:szCs w:val="26"/>
    </w:rPr>
  </w:style>
  <w:style w:type="table" w:styleId="TableGrid">
    <w:name w:val="Table Grid"/>
    <w:basedOn w:val="TableNormal"/>
    <w:uiPriority w:val="39"/>
    <w:rsid w:val="001D5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1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3191"/>
  </w:style>
  <w:style w:type="paragraph" w:styleId="Footer">
    <w:name w:val="footer"/>
    <w:basedOn w:val="Normal"/>
    <w:link w:val="FooterChar"/>
    <w:uiPriority w:val="99"/>
    <w:unhideWhenUsed/>
    <w:rsid w:val="00D131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3191"/>
  </w:style>
  <w:style w:type="table" w:styleId="PlainTable1">
    <w:name w:val="Plain Table 1"/>
    <w:basedOn w:val="TableNormal"/>
    <w:uiPriority w:val="41"/>
    <w:rsid w:val="00E67DF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ageNumber">
    <w:name w:val="page number"/>
    <w:basedOn w:val="DefaultParagraphFont"/>
    <w:uiPriority w:val="99"/>
    <w:semiHidden/>
    <w:unhideWhenUsed/>
    <w:rsid w:val="0010173C"/>
  </w:style>
  <w:style w:type="character" w:styleId="Hyperlink">
    <w:name w:val="Hyperlink"/>
    <w:basedOn w:val="DefaultParagraphFont"/>
    <w:uiPriority w:val="99"/>
    <w:unhideWhenUsed/>
    <w:rsid w:val="00AB5FEA"/>
    <w:rPr>
      <w:color w:val="467886" w:themeColor="hyperlink"/>
      <w:u w:val="single"/>
    </w:rPr>
  </w:style>
  <w:style w:type="character" w:styleId="UnresolvedMention">
    <w:name w:val="Unresolved Mention"/>
    <w:basedOn w:val="DefaultParagraphFont"/>
    <w:uiPriority w:val="99"/>
    <w:semiHidden/>
    <w:unhideWhenUsed/>
    <w:rsid w:val="00AB5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3637</Words>
  <Characters>20734</Characters>
  <Application>Microsoft Office Word</Application>
  <DocSecurity>0</DocSecurity>
  <Lines>172</Lines>
  <Paragraphs>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cp:revision>
  <dcterms:created xsi:type="dcterms:W3CDTF">2026-03-05T09:21:00Z</dcterms:created>
  <dcterms:modified xsi:type="dcterms:W3CDTF">2026-03-06T08:32:00Z</dcterms:modified>
</cp:coreProperties>
</file>