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2F005" w14:textId="77777777" w:rsidR="00104185" w:rsidRPr="00104185" w:rsidRDefault="00104185" w:rsidP="00104185">
      <w:pPr>
        <w:spacing w:line="360" w:lineRule="auto"/>
        <w:jc w:val="center"/>
        <w:rPr>
          <w:rFonts w:ascii="Times New Roman" w:hAnsi="Times New Roman" w:cs="Times New Roman"/>
          <w:b/>
          <w:bCs/>
          <w:i/>
          <w:iCs/>
          <w:sz w:val="24"/>
          <w:szCs w:val="24"/>
          <w:u w:val="single"/>
          <w:lang w:val="en-US"/>
        </w:rPr>
      </w:pPr>
      <w:r w:rsidRPr="00104185">
        <w:rPr>
          <w:rFonts w:ascii="Times New Roman" w:hAnsi="Times New Roman" w:cs="Times New Roman"/>
          <w:b/>
          <w:bCs/>
          <w:i/>
          <w:iCs/>
          <w:sz w:val="24"/>
          <w:szCs w:val="24"/>
          <w:u w:val="single"/>
          <w:lang w:val="en-US"/>
        </w:rPr>
        <w:t>Original Research Article</w:t>
      </w:r>
    </w:p>
    <w:p w14:paraId="2F081E0F" w14:textId="7E116755" w:rsidR="009138CC" w:rsidRDefault="00BD3BE6" w:rsidP="00BD3BE6">
      <w:pPr>
        <w:spacing w:line="360" w:lineRule="auto"/>
        <w:jc w:val="center"/>
        <w:rPr>
          <w:rFonts w:ascii="Times New Roman" w:hAnsi="Times New Roman" w:cs="Times New Roman"/>
          <w:b/>
          <w:bCs/>
          <w:sz w:val="24"/>
          <w:szCs w:val="24"/>
        </w:rPr>
      </w:pPr>
      <w:r w:rsidRPr="00BD3BE6">
        <w:rPr>
          <w:rFonts w:ascii="Times New Roman" w:hAnsi="Times New Roman" w:cs="Times New Roman"/>
          <w:b/>
          <w:bCs/>
          <w:sz w:val="24"/>
          <w:szCs w:val="24"/>
        </w:rPr>
        <w:t xml:space="preserve">Effects of Citrus </w:t>
      </w:r>
      <w:proofErr w:type="spellStart"/>
      <w:r w:rsidRPr="00BD3BE6">
        <w:rPr>
          <w:rFonts w:ascii="Times New Roman" w:hAnsi="Times New Roman" w:cs="Times New Roman"/>
          <w:b/>
          <w:bCs/>
          <w:sz w:val="24"/>
          <w:szCs w:val="24"/>
        </w:rPr>
        <w:t>sinensis</w:t>
      </w:r>
      <w:proofErr w:type="spellEnd"/>
      <w:r w:rsidRPr="00BD3BE6">
        <w:rPr>
          <w:rFonts w:ascii="Times New Roman" w:hAnsi="Times New Roman" w:cs="Times New Roman"/>
          <w:b/>
          <w:bCs/>
          <w:sz w:val="24"/>
          <w:szCs w:val="24"/>
        </w:rPr>
        <w:t xml:space="preserve"> Peel as a Partial Fish Meal Replacement on Growth, Biochemical Composition, and </w:t>
      </w:r>
      <w:r w:rsidR="0069273E" w:rsidRPr="00BD3BE6">
        <w:rPr>
          <w:rFonts w:ascii="Times New Roman" w:hAnsi="Times New Roman" w:cs="Times New Roman"/>
          <w:b/>
          <w:bCs/>
          <w:sz w:val="24"/>
          <w:szCs w:val="24"/>
        </w:rPr>
        <w:t>Haematological</w:t>
      </w:r>
      <w:r w:rsidRPr="00BD3BE6">
        <w:rPr>
          <w:rFonts w:ascii="Times New Roman" w:hAnsi="Times New Roman" w:cs="Times New Roman"/>
          <w:b/>
          <w:bCs/>
          <w:sz w:val="24"/>
          <w:szCs w:val="24"/>
        </w:rPr>
        <w:t xml:space="preserve"> Parameters in Anabas </w:t>
      </w:r>
      <w:proofErr w:type="spellStart"/>
      <w:r w:rsidRPr="00BD3BE6">
        <w:rPr>
          <w:rFonts w:ascii="Times New Roman" w:hAnsi="Times New Roman" w:cs="Times New Roman"/>
          <w:b/>
          <w:bCs/>
          <w:sz w:val="24"/>
          <w:szCs w:val="24"/>
        </w:rPr>
        <w:t>testudineus</w:t>
      </w:r>
      <w:proofErr w:type="spellEnd"/>
    </w:p>
    <w:p w14:paraId="6B0D25BE" w14:textId="77777777" w:rsidR="00334805" w:rsidRPr="00CA3497" w:rsidRDefault="00334805" w:rsidP="00E34A7E">
      <w:pPr>
        <w:spacing w:line="360" w:lineRule="auto"/>
        <w:jc w:val="both"/>
        <w:rPr>
          <w:rFonts w:ascii="Times New Roman" w:hAnsi="Times New Roman" w:cs="Times New Roman"/>
          <w:b/>
          <w:bCs/>
          <w:sz w:val="24"/>
          <w:szCs w:val="24"/>
        </w:rPr>
      </w:pPr>
    </w:p>
    <w:p w14:paraId="7C8527EA" w14:textId="77777777" w:rsidR="00F87298" w:rsidRPr="00F87298" w:rsidRDefault="00F87298" w:rsidP="00F87298">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F87298">
        <w:rPr>
          <w:rFonts w:ascii="Times New Roman" w:eastAsia="Times New Roman" w:hAnsi="Times New Roman" w:cs="Times New Roman"/>
          <w:b/>
          <w:bCs/>
          <w:kern w:val="0"/>
          <w:sz w:val="24"/>
          <w:szCs w:val="24"/>
          <w:lang w:eastAsia="en-IN"/>
          <w14:ligatures w14:val="none"/>
        </w:rPr>
        <w:t>Abstract</w:t>
      </w:r>
    </w:p>
    <w:p w14:paraId="68CB1D71" w14:textId="1C9286DC" w:rsidR="00D21E8C" w:rsidRDefault="00D21E8C" w:rsidP="00D21E8C">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D21E8C">
        <w:rPr>
          <w:rFonts w:ascii="Times New Roman" w:eastAsia="Times New Roman" w:hAnsi="Times New Roman" w:cs="Times New Roman"/>
          <w:kern w:val="0"/>
          <w:sz w:val="24"/>
          <w:szCs w:val="24"/>
          <w:lang w:eastAsia="en-IN"/>
          <w14:ligatures w14:val="none"/>
        </w:rPr>
        <w:t xml:space="preserve">This study investigated the effects of dietary inclusion of Citrus </w:t>
      </w:r>
      <w:proofErr w:type="spellStart"/>
      <w:r w:rsidRPr="00D21E8C">
        <w:rPr>
          <w:rFonts w:ascii="Times New Roman" w:eastAsia="Times New Roman" w:hAnsi="Times New Roman" w:cs="Times New Roman"/>
          <w:kern w:val="0"/>
          <w:sz w:val="24"/>
          <w:szCs w:val="24"/>
          <w:lang w:eastAsia="en-IN"/>
          <w14:ligatures w14:val="none"/>
        </w:rPr>
        <w:t>sinensis</w:t>
      </w:r>
      <w:proofErr w:type="spellEnd"/>
      <w:r w:rsidRPr="00D21E8C">
        <w:rPr>
          <w:rFonts w:ascii="Times New Roman" w:eastAsia="Times New Roman" w:hAnsi="Times New Roman" w:cs="Times New Roman"/>
          <w:kern w:val="0"/>
          <w:sz w:val="24"/>
          <w:szCs w:val="24"/>
          <w:lang w:eastAsia="en-IN"/>
          <w14:ligatures w14:val="none"/>
        </w:rPr>
        <w:t xml:space="preserve"> (sweet orange) peel on the growth performance, biochemical composition, and selected </w:t>
      </w:r>
      <w:r w:rsidR="0069273E" w:rsidRPr="00D21E8C">
        <w:rPr>
          <w:rFonts w:ascii="Times New Roman" w:eastAsia="Times New Roman" w:hAnsi="Times New Roman" w:cs="Times New Roman"/>
          <w:kern w:val="0"/>
          <w:sz w:val="24"/>
          <w:szCs w:val="24"/>
          <w:lang w:eastAsia="en-IN"/>
          <w14:ligatures w14:val="none"/>
        </w:rPr>
        <w:t>haematological</w:t>
      </w:r>
      <w:r w:rsidRPr="00D21E8C">
        <w:rPr>
          <w:rFonts w:ascii="Times New Roman" w:eastAsia="Times New Roman" w:hAnsi="Times New Roman" w:cs="Times New Roman"/>
          <w:kern w:val="0"/>
          <w:sz w:val="24"/>
          <w:szCs w:val="24"/>
          <w:lang w:eastAsia="en-IN"/>
          <w14:ligatures w14:val="none"/>
        </w:rPr>
        <w:t xml:space="preserve"> parameters of Anabas </w:t>
      </w:r>
      <w:proofErr w:type="spellStart"/>
      <w:r w:rsidRPr="00D21E8C">
        <w:rPr>
          <w:rFonts w:ascii="Times New Roman" w:eastAsia="Times New Roman" w:hAnsi="Times New Roman" w:cs="Times New Roman"/>
          <w:kern w:val="0"/>
          <w:sz w:val="24"/>
          <w:szCs w:val="24"/>
          <w:lang w:eastAsia="en-IN"/>
          <w14:ligatures w14:val="none"/>
        </w:rPr>
        <w:t>testudineus</w:t>
      </w:r>
      <w:proofErr w:type="spellEnd"/>
      <w:r w:rsidRPr="00D21E8C">
        <w:rPr>
          <w:rFonts w:ascii="Times New Roman" w:eastAsia="Times New Roman" w:hAnsi="Times New Roman" w:cs="Times New Roman"/>
          <w:kern w:val="0"/>
          <w:sz w:val="24"/>
          <w:szCs w:val="24"/>
          <w:lang w:eastAsia="en-IN"/>
          <w14:ligatures w14:val="none"/>
        </w:rPr>
        <w:t>. Experimental diets were prepared by incorporating dried citrus peel at inclusion levels of 25%, 50%, and 75%, along with a control diet (0% inclusion). A total of 20 fish were used, with 5 fish per treatment group, and the experiment was conducted over a period of 60 days under laboratory conditions.</w:t>
      </w:r>
      <w:r>
        <w:rPr>
          <w:rFonts w:ascii="Times New Roman" w:eastAsia="Times New Roman" w:hAnsi="Times New Roman" w:cs="Times New Roman"/>
          <w:kern w:val="0"/>
          <w:sz w:val="24"/>
          <w:szCs w:val="24"/>
          <w:lang w:eastAsia="en-IN"/>
          <w14:ligatures w14:val="none"/>
        </w:rPr>
        <w:t xml:space="preserve"> </w:t>
      </w:r>
      <w:r w:rsidRPr="00D21E8C">
        <w:rPr>
          <w:rFonts w:ascii="Times New Roman" w:eastAsia="Times New Roman" w:hAnsi="Times New Roman" w:cs="Times New Roman"/>
          <w:kern w:val="0"/>
          <w:sz w:val="24"/>
          <w:szCs w:val="24"/>
          <w:lang w:eastAsia="en-IN"/>
          <w14:ligatures w14:val="none"/>
        </w:rPr>
        <w:t xml:space="preserve">Growth parameters (initial weight, final weight, and weight gain), muscle biochemical constituents (protein, carbohydrate, and cholesterol), and </w:t>
      </w:r>
      <w:r w:rsidR="0069273E" w:rsidRPr="00D21E8C">
        <w:rPr>
          <w:rFonts w:ascii="Times New Roman" w:eastAsia="Times New Roman" w:hAnsi="Times New Roman" w:cs="Times New Roman"/>
          <w:kern w:val="0"/>
          <w:sz w:val="24"/>
          <w:szCs w:val="24"/>
          <w:lang w:eastAsia="en-IN"/>
          <w14:ligatures w14:val="none"/>
        </w:rPr>
        <w:t>haematological</w:t>
      </w:r>
      <w:r w:rsidRPr="00D21E8C">
        <w:rPr>
          <w:rFonts w:ascii="Times New Roman" w:eastAsia="Times New Roman" w:hAnsi="Times New Roman" w:cs="Times New Roman"/>
          <w:kern w:val="0"/>
          <w:sz w:val="24"/>
          <w:szCs w:val="24"/>
          <w:lang w:eastAsia="en-IN"/>
          <w14:ligatures w14:val="none"/>
        </w:rPr>
        <w:t xml:space="preserve"> indices (</w:t>
      </w:r>
      <w:proofErr w:type="spellStart"/>
      <w:r w:rsidRPr="00D21E8C">
        <w:rPr>
          <w:rFonts w:ascii="Times New Roman" w:eastAsia="Times New Roman" w:hAnsi="Times New Roman" w:cs="Times New Roman"/>
          <w:kern w:val="0"/>
          <w:sz w:val="24"/>
          <w:szCs w:val="24"/>
          <w:lang w:eastAsia="en-IN"/>
          <w14:ligatures w14:val="none"/>
        </w:rPr>
        <w:t>hemoglobin</w:t>
      </w:r>
      <w:proofErr w:type="spellEnd"/>
      <w:r w:rsidRPr="00D21E8C">
        <w:rPr>
          <w:rFonts w:ascii="Times New Roman" w:eastAsia="Times New Roman" w:hAnsi="Times New Roman" w:cs="Times New Roman"/>
          <w:kern w:val="0"/>
          <w:sz w:val="24"/>
          <w:szCs w:val="24"/>
          <w:lang w:eastAsia="en-IN"/>
          <w14:ligatures w14:val="none"/>
        </w:rPr>
        <w:t xml:space="preserve"> concentration and erythrocyte diameter) were evaluated. Data were </w:t>
      </w:r>
      <w:proofErr w:type="spellStart"/>
      <w:r w:rsidRPr="00D21E8C">
        <w:rPr>
          <w:rFonts w:ascii="Times New Roman" w:eastAsia="Times New Roman" w:hAnsi="Times New Roman" w:cs="Times New Roman"/>
          <w:kern w:val="0"/>
          <w:sz w:val="24"/>
          <w:szCs w:val="24"/>
          <w:lang w:eastAsia="en-IN"/>
          <w14:ligatures w14:val="none"/>
        </w:rPr>
        <w:t>analyzed</w:t>
      </w:r>
      <w:proofErr w:type="spellEnd"/>
      <w:r w:rsidRPr="00D21E8C">
        <w:rPr>
          <w:rFonts w:ascii="Times New Roman" w:eastAsia="Times New Roman" w:hAnsi="Times New Roman" w:cs="Times New Roman"/>
          <w:kern w:val="0"/>
          <w:sz w:val="24"/>
          <w:szCs w:val="24"/>
          <w:lang w:eastAsia="en-IN"/>
          <w14:ligatures w14:val="none"/>
        </w:rPr>
        <w:t xml:space="preserve"> using one-way ANOVA followed by Tukey’s HSD post hoc test.</w:t>
      </w:r>
      <w:r>
        <w:rPr>
          <w:rFonts w:ascii="Times New Roman" w:eastAsia="Times New Roman" w:hAnsi="Times New Roman" w:cs="Times New Roman"/>
          <w:kern w:val="0"/>
          <w:sz w:val="24"/>
          <w:szCs w:val="24"/>
          <w:lang w:eastAsia="en-IN"/>
          <w14:ligatures w14:val="none"/>
        </w:rPr>
        <w:t xml:space="preserve"> </w:t>
      </w:r>
      <w:r w:rsidRPr="00D21E8C">
        <w:rPr>
          <w:rFonts w:ascii="Times New Roman" w:eastAsia="Times New Roman" w:hAnsi="Times New Roman" w:cs="Times New Roman"/>
          <w:kern w:val="0"/>
          <w:sz w:val="24"/>
          <w:szCs w:val="24"/>
          <w:lang w:eastAsia="en-IN"/>
          <w14:ligatures w14:val="none"/>
        </w:rPr>
        <w:t>Results indicated differences among treatments, with higher values generally observed in citrus peel–fed groups compared to the control. However, due to the limited sample size, absence of tank replication, and restricted set of physiological parameters measured, the results should be interpreted with caution.</w:t>
      </w:r>
      <w:r w:rsidR="0069273E">
        <w:rPr>
          <w:rFonts w:ascii="Times New Roman" w:eastAsia="Times New Roman" w:hAnsi="Times New Roman" w:cs="Times New Roman"/>
          <w:kern w:val="0"/>
          <w:sz w:val="24"/>
          <w:szCs w:val="24"/>
          <w:lang w:eastAsia="en-IN"/>
          <w14:ligatures w14:val="none"/>
        </w:rPr>
        <w:t xml:space="preserve"> </w:t>
      </w:r>
      <w:r w:rsidRPr="00D21E8C">
        <w:rPr>
          <w:rFonts w:ascii="Times New Roman" w:eastAsia="Times New Roman" w:hAnsi="Times New Roman" w:cs="Times New Roman"/>
          <w:kern w:val="0"/>
          <w:sz w:val="24"/>
          <w:szCs w:val="24"/>
          <w:lang w:eastAsia="en-IN"/>
          <w14:ligatures w14:val="none"/>
        </w:rPr>
        <w:t xml:space="preserve">The study provides preliminary evidence that Citrus </w:t>
      </w:r>
      <w:proofErr w:type="spellStart"/>
      <w:r w:rsidRPr="00D21E8C">
        <w:rPr>
          <w:rFonts w:ascii="Times New Roman" w:eastAsia="Times New Roman" w:hAnsi="Times New Roman" w:cs="Times New Roman"/>
          <w:kern w:val="0"/>
          <w:sz w:val="24"/>
          <w:szCs w:val="24"/>
          <w:lang w:eastAsia="en-IN"/>
          <w14:ligatures w14:val="none"/>
        </w:rPr>
        <w:t>sinensis</w:t>
      </w:r>
      <w:proofErr w:type="spellEnd"/>
      <w:r w:rsidRPr="00D21E8C">
        <w:rPr>
          <w:rFonts w:ascii="Times New Roman" w:eastAsia="Times New Roman" w:hAnsi="Times New Roman" w:cs="Times New Roman"/>
          <w:kern w:val="0"/>
          <w:sz w:val="24"/>
          <w:szCs w:val="24"/>
          <w:lang w:eastAsia="en-IN"/>
          <w14:ligatures w14:val="none"/>
        </w:rPr>
        <w:t xml:space="preserve"> peel may influence growth and physiological responses in A. </w:t>
      </w:r>
      <w:proofErr w:type="spellStart"/>
      <w:r w:rsidRPr="00D21E8C">
        <w:rPr>
          <w:rFonts w:ascii="Times New Roman" w:eastAsia="Times New Roman" w:hAnsi="Times New Roman" w:cs="Times New Roman"/>
          <w:kern w:val="0"/>
          <w:sz w:val="24"/>
          <w:szCs w:val="24"/>
          <w:lang w:eastAsia="en-IN"/>
          <w14:ligatures w14:val="none"/>
        </w:rPr>
        <w:t>testudineus</w:t>
      </w:r>
      <w:proofErr w:type="spellEnd"/>
      <w:r w:rsidRPr="00D21E8C">
        <w:rPr>
          <w:rFonts w:ascii="Times New Roman" w:eastAsia="Times New Roman" w:hAnsi="Times New Roman" w:cs="Times New Roman"/>
          <w:kern w:val="0"/>
          <w:sz w:val="24"/>
          <w:szCs w:val="24"/>
          <w:lang w:eastAsia="en-IN"/>
          <w14:ligatures w14:val="none"/>
        </w:rPr>
        <w:t>. Further studies with improved experimental design, larger sample size, and comprehensive growth and health indices are required to validate these findings.</w:t>
      </w:r>
      <w:r w:rsidRPr="00D21E8C">
        <w:rPr>
          <w:rFonts w:ascii="Times New Roman" w:eastAsia="Times New Roman" w:hAnsi="Times New Roman" w:cs="Times New Roman"/>
          <w:b/>
          <w:bCs/>
          <w:kern w:val="0"/>
          <w:sz w:val="24"/>
          <w:szCs w:val="24"/>
          <w:lang w:eastAsia="en-IN"/>
          <w14:ligatures w14:val="none"/>
        </w:rPr>
        <w:t xml:space="preserve"> </w:t>
      </w:r>
    </w:p>
    <w:p w14:paraId="269B964B" w14:textId="53356465" w:rsidR="00F87298" w:rsidRPr="00D21E8C" w:rsidRDefault="00F87298" w:rsidP="00D21E8C">
      <w:pPr>
        <w:spacing w:before="100" w:beforeAutospacing="1" w:after="100" w:afterAutospacing="1" w:line="360" w:lineRule="auto"/>
        <w:jc w:val="both"/>
        <w:outlineLvl w:val="1"/>
        <w:rPr>
          <w:rFonts w:ascii="Times New Roman" w:eastAsia="Times New Roman" w:hAnsi="Times New Roman" w:cs="Times New Roman"/>
          <w:kern w:val="0"/>
          <w:sz w:val="24"/>
          <w:szCs w:val="24"/>
          <w:lang w:eastAsia="en-IN"/>
          <w14:ligatures w14:val="none"/>
        </w:rPr>
      </w:pPr>
      <w:r w:rsidRPr="00F87298">
        <w:rPr>
          <w:rFonts w:ascii="Times New Roman" w:eastAsia="Times New Roman" w:hAnsi="Times New Roman" w:cs="Times New Roman"/>
          <w:b/>
          <w:bCs/>
          <w:kern w:val="0"/>
          <w:sz w:val="24"/>
          <w:szCs w:val="24"/>
          <w:lang w:eastAsia="en-IN"/>
          <w14:ligatures w14:val="none"/>
        </w:rPr>
        <w:t>Keywords</w:t>
      </w:r>
    </w:p>
    <w:p w14:paraId="39E1849A" w14:textId="2D8371FC" w:rsidR="00F87298" w:rsidRDefault="00F87298" w:rsidP="00F8729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87298">
        <w:rPr>
          <w:rFonts w:ascii="Times New Roman" w:eastAsia="Times New Roman" w:hAnsi="Times New Roman" w:cs="Times New Roman"/>
          <w:i/>
          <w:iCs/>
          <w:kern w:val="0"/>
          <w:sz w:val="24"/>
          <w:szCs w:val="24"/>
          <w:lang w:eastAsia="en-IN"/>
          <w14:ligatures w14:val="none"/>
        </w:rPr>
        <w:t xml:space="preserve">Anabas </w:t>
      </w:r>
      <w:proofErr w:type="spellStart"/>
      <w:r w:rsidRPr="00F87298">
        <w:rPr>
          <w:rFonts w:ascii="Times New Roman" w:eastAsia="Times New Roman" w:hAnsi="Times New Roman" w:cs="Times New Roman"/>
          <w:i/>
          <w:iCs/>
          <w:kern w:val="0"/>
          <w:sz w:val="24"/>
          <w:szCs w:val="24"/>
          <w:lang w:eastAsia="en-IN"/>
          <w14:ligatures w14:val="none"/>
        </w:rPr>
        <w:t>testudineus</w:t>
      </w:r>
      <w:proofErr w:type="spellEnd"/>
      <w:r w:rsidRPr="00F87298">
        <w:rPr>
          <w:rFonts w:ascii="Times New Roman" w:eastAsia="Times New Roman" w:hAnsi="Times New Roman" w:cs="Times New Roman"/>
          <w:kern w:val="0"/>
          <w:sz w:val="24"/>
          <w:szCs w:val="24"/>
          <w:lang w:eastAsia="en-IN"/>
          <w14:ligatures w14:val="none"/>
        </w:rPr>
        <w:t xml:space="preserve">; </w:t>
      </w:r>
      <w:r w:rsidRPr="00F87298">
        <w:rPr>
          <w:rFonts w:ascii="Times New Roman" w:eastAsia="Times New Roman" w:hAnsi="Times New Roman" w:cs="Times New Roman"/>
          <w:i/>
          <w:iCs/>
          <w:kern w:val="0"/>
          <w:sz w:val="24"/>
          <w:szCs w:val="24"/>
          <w:lang w:eastAsia="en-IN"/>
          <w14:ligatures w14:val="none"/>
        </w:rPr>
        <w:t xml:space="preserve">Citrus </w:t>
      </w:r>
      <w:proofErr w:type="spellStart"/>
      <w:r w:rsidRPr="00F87298">
        <w:rPr>
          <w:rFonts w:ascii="Times New Roman" w:eastAsia="Times New Roman" w:hAnsi="Times New Roman" w:cs="Times New Roman"/>
          <w:i/>
          <w:iCs/>
          <w:kern w:val="0"/>
          <w:sz w:val="24"/>
          <w:szCs w:val="24"/>
          <w:lang w:eastAsia="en-IN"/>
          <w14:ligatures w14:val="none"/>
        </w:rPr>
        <w:t>sinensis</w:t>
      </w:r>
      <w:proofErr w:type="spellEnd"/>
      <w:r w:rsidRPr="00F87298">
        <w:rPr>
          <w:rFonts w:ascii="Times New Roman" w:eastAsia="Times New Roman" w:hAnsi="Times New Roman" w:cs="Times New Roman"/>
          <w:kern w:val="0"/>
          <w:sz w:val="24"/>
          <w:szCs w:val="24"/>
          <w:lang w:eastAsia="en-IN"/>
          <w14:ligatures w14:val="none"/>
        </w:rPr>
        <w:t xml:space="preserve">; </w:t>
      </w:r>
      <w:proofErr w:type="spellStart"/>
      <w:r w:rsidRPr="00F87298">
        <w:rPr>
          <w:rFonts w:ascii="Times New Roman" w:eastAsia="Times New Roman" w:hAnsi="Times New Roman" w:cs="Times New Roman"/>
          <w:kern w:val="0"/>
          <w:sz w:val="24"/>
          <w:szCs w:val="24"/>
          <w:lang w:eastAsia="en-IN"/>
          <w14:ligatures w14:val="none"/>
        </w:rPr>
        <w:t>phytobiotic</w:t>
      </w:r>
      <w:proofErr w:type="spellEnd"/>
      <w:r w:rsidRPr="00F87298">
        <w:rPr>
          <w:rFonts w:ascii="Times New Roman" w:eastAsia="Times New Roman" w:hAnsi="Times New Roman" w:cs="Times New Roman"/>
          <w:kern w:val="0"/>
          <w:sz w:val="24"/>
          <w:szCs w:val="24"/>
          <w:lang w:eastAsia="en-IN"/>
          <w14:ligatures w14:val="none"/>
        </w:rPr>
        <w:t xml:space="preserve"> feed additive; growth performance; biochemical composition; haematological parameters; sustainable aquaculture</w:t>
      </w:r>
      <w:r w:rsidRPr="00CA3497">
        <w:rPr>
          <w:rFonts w:ascii="Times New Roman" w:eastAsia="Times New Roman" w:hAnsi="Times New Roman" w:cs="Times New Roman"/>
          <w:kern w:val="0"/>
          <w:sz w:val="24"/>
          <w:szCs w:val="24"/>
          <w:lang w:eastAsia="en-IN"/>
          <w14:ligatures w14:val="none"/>
        </w:rPr>
        <w:t>, ANOVA, Tukey test</w:t>
      </w:r>
    </w:p>
    <w:p w14:paraId="747E4413" w14:textId="369F7263" w:rsidR="000E3038" w:rsidRPr="000E3038" w:rsidRDefault="000E3038" w:rsidP="000E3038">
      <w:pPr>
        <w:pStyle w:val="ListParagraph"/>
        <w:numPr>
          <w:ilvl w:val="0"/>
          <w:numId w:val="1"/>
        </w:num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0E3038">
        <w:rPr>
          <w:rFonts w:ascii="Times New Roman" w:eastAsia="Times New Roman" w:hAnsi="Times New Roman" w:cs="Times New Roman"/>
          <w:b/>
          <w:bCs/>
          <w:kern w:val="0"/>
          <w:sz w:val="24"/>
          <w:szCs w:val="24"/>
          <w:lang w:eastAsia="en-IN"/>
          <w14:ligatures w14:val="none"/>
        </w:rPr>
        <w:t>INTRODUCTION</w:t>
      </w:r>
    </w:p>
    <w:p w14:paraId="1C186326" w14:textId="77777777" w:rsidR="0009096B" w:rsidRPr="00CA3497" w:rsidRDefault="0009096B" w:rsidP="00E34A7E">
      <w:pPr>
        <w:pStyle w:val="NormalWeb"/>
        <w:spacing w:line="360" w:lineRule="auto"/>
        <w:jc w:val="both"/>
      </w:pPr>
      <w:r w:rsidRPr="00CA3497">
        <w:t xml:space="preserve">Aquaculture has emerged as the fastest-growing sector of global food production and is increasingly recognized for its role in ensuring food security and supplying high-quality animal protein. With capture fisheries reaching their production limits, aquaculture has become </w:t>
      </w:r>
      <w:r w:rsidRPr="00CA3497">
        <w:lastRenderedPageBreak/>
        <w:t xml:space="preserve">essential to meet the nutritional demands of a growing population (Subasinghe </w:t>
      </w:r>
      <w:r w:rsidRPr="000E3038">
        <w:rPr>
          <w:i/>
          <w:iCs/>
        </w:rPr>
        <w:t>et al</w:t>
      </w:r>
      <w:r w:rsidRPr="00CA3497">
        <w:t xml:space="preserve">., 2009; Costello </w:t>
      </w:r>
      <w:r w:rsidRPr="000E3038">
        <w:rPr>
          <w:i/>
          <w:iCs/>
        </w:rPr>
        <w:t>et al</w:t>
      </w:r>
      <w:r w:rsidRPr="00CA3497">
        <w:t>., 2020). However, the sustainability and profitability of aquaculture largely depend on feed efficiency, as feed accounts for nearly 50–60% of total production costs.</w:t>
      </w:r>
    </w:p>
    <w:p w14:paraId="6EA07288" w14:textId="77777777" w:rsidR="0009096B" w:rsidRPr="00CA3497" w:rsidRDefault="0009096B" w:rsidP="00E34A7E">
      <w:pPr>
        <w:pStyle w:val="NormalWeb"/>
        <w:spacing w:line="360" w:lineRule="auto"/>
        <w:jc w:val="both"/>
      </w:pPr>
      <w:r w:rsidRPr="00CA3497">
        <w:t xml:space="preserve">Fish meal has long been considered an ideal protein source in aquafeeds due to its superior nutritional quality and digestibility. Nevertheless, escalating prices, limited supply, and high demand have constrained its use, prompting the search for alternative feed ingredients (Tacon &amp; Metian, 2015). In this context, plant-based feed resources and agro-industrial by-products have gained importance as cost-effective and sustainable substitutes. When properly formulated, these ingredients can support acceptable growth performance while reducing feed costs (Gatlin </w:t>
      </w:r>
      <w:r w:rsidRPr="000E3038">
        <w:rPr>
          <w:i/>
          <w:iCs/>
        </w:rPr>
        <w:t>et al</w:t>
      </w:r>
      <w:r w:rsidRPr="00CA3497">
        <w:t xml:space="preserve">., 2007; </w:t>
      </w:r>
      <w:proofErr w:type="spellStart"/>
      <w:r w:rsidRPr="00CA3497">
        <w:t>Ahmadifar</w:t>
      </w:r>
      <w:proofErr w:type="spellEnd"/>
      <w:r w:rsidRPr="00CA3497">
        <w:t xml:space="preserve"> </w:t>
      </w:r>
      <w:r w:rsidRPr="000E3038">
        <w:rPr>
          <w:i/>
          <w:iCs/>
        </w:rPr>
        <w:t>et al</w:t>
      </w:r>
      <w:r w:rsidRPr="00CA3497">
        <w:t>., 2021).</w:t>
      </w:r>
    </w:p>
    <w:p w14:paraId="1C56C16C" w14:textId="77777777" w:rsidR="0009096B" w:rsidRPr="00CA3497" w:rsidRDefault="0009096B" w:rsidP="00E34A7E">
      <w:pPr>
        <w:pStyle w:val="NormalWeb"/>
        <w:spacing w:line="360" w:lineRule="auto"/>
        <w:jc w:val="both"/>
      </w:pPr>
      <w:r w:rsidRPr="00CA3497">
        <w:t xml:space="preserve">Alongside alternative protein sources, there has been a growing shift toward natural feed additives in aquaculture. The use of synthetic growth promoters and antibiotics has declined due to concerns related to antimicrobial resistance, environmental risks, and food safety (Francis </w:t>
      </w:r>
      <w:r w:rsidRPr="000E3038">
        <w:rPr>
          <w:i/>
          <w:iCs/>
        </w:rPr>
        <w:t>et al</w:t>
      </w:r>
      <w:r w:rsidRPr="00CA3497">
        <w:t xml:space="preserve">., 2005). Consequently, </w:t>
      </w:r>
      <w:proofErr w:type="spellStart"/>
      <w:r w:rsidRPr="00CA3497">
        <w:t>phytobiotics</w:t>
      </w:r>
      <w:proofErr w:type="spellEnd"/>
      <w:r w:rsidRPr="00CA3497">
        <w:t>—plant-derived bioactive compounds—have attracted significant attention as eco-friendly alternatives. These compounds are known to enhance growth, improve feed utilization, and modulate gut health, while also exhibiting antimicrobial and antioxidant properties (</w:t>
      </w:r>
      <w:proofErr w:type="spellStart"/>
      <w:r w:rsidRPr="00CA3497">
        <w:t>Hoseinifar</w:t>
      </w:r>
      <w:proofErr w:type="spellEnd"/>
      <w:r w:rsidRPr="00CA3497">
        <w:t xml:space="preserve"> </w:t>
      </w:r>
      <w:r w:rsidRPr="000E3038">
        <w:rPr>
          <w:i/>
          <w:iCs/>
        </w:rPr>
        <w:t>et al</w:t>
      </w:r>
      <w:r w:rsidRPr="00CA3497">
        <w:t xml:space="preserve">., 2022; </w:t>
      </w:r>
      <w:proofErr w:type="spellStart"/>
      <w:r w:rsidRPr="00CA3497">
        <w:t>Reverter</w:t>
      </w:r>
      <w:proofErr w:type="spellEnd"/>
      <w:r w:rsidRPr="00CA3497">
        <w:t xml:space="preserve"> </w:t>
      </w:r>
      <w:r w:rsidRPr="000E3038">
        <w:rPr>
          <w:i/>
          <w:iCs/>
        </w:rPr>
        <w:t>et al</w:t>
      </w:r>
      <w:r w:rsidRPr="00CA3497">
        <w:t>., 2021).</w:t>
      </w:r>
    </w:p>
    <w:p w14:paraId="47470302" w14:textId="25C913D9" w:rsidR="0009096B" w:rsidRPr="00CA3497" w:rsidRDefault="0009096B" w:rsidP="00E34A7E">
      <w:pPr>
        <w:pStyle w:val="NormalWeb"/>
        <w:spacing w:line="360" w:lineRule="auto"/>
        <w:jc w:val="both"/>
      </w:pPr>
      <w:r w:rsidRPr="00CA3497">
        <w:t xml:space="preserve">Fruit processing by-products, particularly citrus peels, represent a promising category of </w:t>
      </w:r>
      <w:proofErr w:type="spellStart"/>
      <w:r w:rsidRPr="00CA3497">
        <w:t>phytobiotics</w:t>
      </w:r>
      <w:proofErr w:type="spellEnd"/>
      <w:r w:rsidRPr="00CA3497">
        <w:t xml:space="preserve"> due to their wide availability and rich phytochemical composition. Citrus peels are abundant in flavonoids, phenolic compounds, essential oils, and vitamins, which contribute to their biological activities, including antimicrobial, antioxidant, and immunostimulatory effects (Kumar </w:t>
      </w:r>
      <w:r w:rsidRPr="000E3038">
        <w:rPr>
          <w:i/>
          <w:iCs/>
        </w:rPr>
        <w:t>et al</w:t>
      </w:r>
      <w:r w:rsidRPr="00CA3497">
        <w:t xml:space="preserve">., 2020; </w:t>
      </w:r>
      <w:proofErr w:type="spellStart"/>
      <w:r w:rsidRPr="00CA3497">
        <w:t>Ahmadifar</w:t>
      </w:r>
      <w:proofErr w:type="spellEnd"/>
      <w:r w:rsidRPr="00CA3497">
        <w:t xml:space="preserve"> </w:t>
      </w:r>
      <w:r w:rsidRPr="000E3038">
        <w:rPr>
          <w:i/>
          <w:iCs/>
        </w:rPr>
        <w:t>et al</w:t>
      </w:r>
      <w:r w:rsidRPr="00CA3497">
        <w:t>., 2021). Recent studies have demonstrated that dietary incorporation of citrus-derived products can enhance growth performance, digestive efficiency, and immune response in fish, supporting their application as functional feed additives in aquaculture systems (Van Hai, 2023).</w:t>
      </w:r>
      <w:r w:rsidR="00D21E8C" w:rsidRPr="00D21E8C">
        <w:t xml:space="preserve"> The use of plant-derived by-products as functional feed additives in aquaculture has gained increasing attention due to their potential to enhance growth performance, improve health status, and reduce dependence on conventional feed ingredients (Abdel-</w:t>
      </w:r>
      <w:proofErr w:type="spellStart"/>
      <w:r w:rsidR="00D21E8C" w:rsidRPr="00D21E8C">
        <w:t>Tawwab</w:t>
      </w:r>
      <w:proofErr w:type="spellEnd"/>
      <w:r w:rsidR="00D21E8C" w:rsidRPr="00D21E8C">
        <w:t xml:space="preserve"> et al., 2020).</w:t>
      </w:r>
    </w:p>
    <w:p w14:paraId="0A4B351A" w14:textId="77777777" w:rsidR="0009096B" w:rsidRPr="00CA3497" w:rsidRDefault="0009096B" w:rsidP="00E34A7E">
      <w:pPr>
        <w:pStyle w:val="NormalWeb"/>
        <w:spacing w:line="360" w:lineRule="auto"/>
        <w:jc w:val="both"/>
      </w:pPr>
      <w:r w:rsidRPr="00CA3497">
        <w:t xml:space="preserve">Among citrus species, </w:t>
      </w:r>
      <w:r w:rsidRPr="00CA3497">
        <w:rPr>
          <w:rStyle w:val="Emphasis"/>
          <w:rFonts w:eastAsiaTheme="majorEastAsia"/>
        </w:rPr>
        <w:t>Citrus sinensis</w:t>
      </w:r>
      <w:r w:rsidRPr="00CA3497">
        <w:t xml:space="preserve"> (sweet orange) is widely processed, generating large quantities of peel waste that remain underutilized. The peel contains higher concentrations of bioactive compounds than the edible portions, including flavonoids, phenolics, and essential </w:t>
      </w:r>
      <w:r w:rsidRPr="00CA3497">
        <w:lastRenderedPageBreak/>
        <w:t>oils such as limonene, which are known for their antimicrobial and antioxidant properties. These characteristics make orange peel a valuable candidate for incorporation into aquafeeds as a natural growth promoter and health enhancer.</w:t>
      </w:r>
    </w:p>
    <w:p w14:paraId="0240E3F7" w14:textId="77777777" w:rsidR="0009096B" w:rsidRPr="00CA3497" w:rsidRDefault="0009096B" w:rsidP="00E34A7E">
      <w:pPr>
        <w:pStyle w:val="NormalWeb"/>
        <w:spacing w:line="360" w:lineRule="auto"/>
        <w:jc w:val="both"/>
      </w:pP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(climbing perch) is a hardy, air-breathing freshwater fish widely cultured in South and Southeast Asia due to its adaptability and high market demand. Despite its commercial importance, limited research has been conducted on the use of citrus peel-derived </w:t>
      </w:r>
      <w:proofErr w:type="spellStart"/>
      <w:r w:rsidRPr="00CA3497">
        <w:t>phytobiotics</w:t>
      </w:r>
      <w:proofErr w:type="spellEnd"/>
      <w:r w:rsidRPr="00CA3497">
        <w:t xml:space="preserve"> in its diet. Therefore, the present study aimed to evaluate the effects of graded levels of </w:t>
      </w:r>
      <w:r w:rsidRPr="00CA3497">
        <w:rPr>
          <w:rStyle w:val="Emphasis"/>
          <w:rFonts w:eastAsiaTheme="majorEastAsia"/>
        </w:rPr>
        <w:t>Citrus sinensis</w:t>
      </w:r>
      <w:r w:rsidRPr="00CA3497">
        <w:t xml:space="preserve"> peel extract on growth performance, muscle biochemical composition, and haematological parameters of </w:t>
      </w:r>
      <w:r w:rsidRPr="00CA3497">
        <w:rPr>
          <w:rStyle w:val="Emphasis"/>
          <w:rFonts w:eastAsiaTheme="majorEastAsia"/>
        </w:rPr>
        <w:t xml:space="preserve">A. </w:t>
      </w:r>
      <w:proofErr w:type="spellStart"/>
      <w:r w:rsidRPr="00CA3497">
        <w:rPr>
          <w:rStyle w:val="Emphasis"/>
          <w:rFonts w:eastAsiaTheme="majorEastAsia"/>
        </w:rPr>
        <w:t>testudineus</w:t>
      </w:r>
      <w:proofErr w:type="spellEnd"/>
      <w:r w:rsidRPr="00CA3497">
        <w:t>.</w:t>
      </w:r>
    </w:p>
    <w:p w14:paraId="3409CCE7" w14:textId="35C568AA" w:rsidR="00F9069B" w:rsidRPr="00CA3497" w:rsidRDefault="006A54DE" w:rsidP="00E34A7E">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CA3497">
        <w:rPr>
          <w:rFonts w:ascii="Times New Roman" w:eastAsia="Times New Roman" w:hAnsi="Times New Roman" w:cs="Times New Roman"/>
          <w:b/>
          <w:bCs/>
          <w:kern w:val="0"/>
          <w:sz w:val="24"/>
          <w:szCs w:val="24"/>
          <w:lang w:eastAsia="en-IN"/>
          <w14:ligatures w14:val="none"/>
        </w:rPr>
        <w:t>2</w:t>
      </w:r>
      <w:r w:rsidR="00A31B80" w:rsidRPr="00CA3497">
        <w:rPr>
          <w:rFonts w:ascii="Times New Roman" w:eastAsia="Times New Roman" w:hAnsi="Times New Roman" w:cs="Times New Roman"/>
          <w:b/>
          <w:bCs/>
          <w:kern w:val="0"/>
          <w:sz w:val="24"/>
          <w:szCs w:val="24"/>
          <w:lang w:eastAsia="en-IN"/>
          <w14:ligatures w14:val="none"/>
        </w:rPr>
        <w:t>. Materials and Methods</w:t>
      </w:r>
    </w:p>
    <w:p w14:paraId="32C9CDBC" w14:textId="34232589" w:rsidR="00A31B80" w:rsidRPr="00CA3497" w:rsidRDefault="006A54DE" w:rsidP="00E34A7E">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CA3497">
        <w:rPr>
          <w:rFonts w:ascii="Times New Roman" w:eastAsia="Times New Roman" w:hAnsi="Times New Roman" w:cs="Times New Roman"/>
          <w:b/>
          <w:bCs/>
          <w:kern w:val="0"/>
          <w:sz w:val="24"/>
          <w:szCs w:val="24"/>
          <w:lang w:eastAsia="en-IN"/>
          <w14:ligatures w14:val="none"/>
        </w:rPr>
        <w:t>2</w:t>
      </w:r>
      <w:r w:rsidR="00A31B80" w:rsidRPr="00CA3497">
        <w:rPr>
          <w:rFonts w:ascii="Times New Roman" w:eastAsia="Times New Roman" w:hAnsi="Times New Roman" w:cs="Times New Roman"/>
          <w:b/>
          <w:bCs/>
          <w:kern w:val="0"/>
          <w:sz w:val="24"/>
          <w:szCs w:val="24"/>
          <w:lang w:eastAsia="en-IN"/>
          <w14:ligatures w14:val="none"/>
        </w:rPr>
        <w:t>.1 Experimental fish and acclimatization</w:t>
      </w:r>
    </w:p>
    <w:p w14:paraId="02E66F2E" w14:textId="03989E50" w:rsidR="00A31B80" w:rsidRPr="00CA3497" w:rsidRDefault="00A31B80"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A3497">
        <w:rPr>
          <w:rFonts w:ascii="Times New Roman" w:eastAsia="Times New Roman" w:hAnsi="Times New Roman" w:cs="Times New Roman"/>
          <w:kern w:val="0"/>
          <w:sz w:val="24"/>
          <w:szCs w:val="24"/>
          <w:lang w:eastAsia="en-IN"/>
          <w14:ligatures w14:val="none"/>
        </w:rPr>
        <w:t xml:space="preserve">The freshwater air-breathing fish </w:t>
      </w:r>
      <w:r w:rsidRPr="00CA3497">
        <w:rPr>
          <w:rFonts w:ascii="Times New Roman" w:eastAsia="Times New Roman" w:hAnsi="Times New Roman" w:cs="Times New Roman"/>
          <w:i/>
          <w:iCs/>
          <w:kern w:val="0"/>
          <w:sz w:val="24"/>
          <w:szCs w:val="24"/>
          <w:lang w:eastAsia="en-IN"/>
          <w14:ligatures w14:val="none"/>
        </w:rPr>
        <w:t xml:space="preserve">Anabas </w:t>
      </w:r>
      <w:proofErr w:type="spellStart"/>
      <w:r w:rsidRPr="00CA3497">
        <w:rPr>
          <w:rFonts w:ascii="Times New Roman" w:eastAsia="Times New Roman" w:hAnsi="Times New Roman" w:cs="Times New Roman"/>
          <w:i/>
          <w:iCs/>
          <w:kern w:val="0"/>
          <w:sz w:val="24"/>
          <w:szCs w:val="24"/>
          <w:lang w:eastAsia="en-IN"/>
          <w14:ligatures w14:val="none"/>
        </w:rPr>
        <w:t>testudineus</w:t>
      </w:r>
      <w:proofErr w:type="spellEnd"/>
      <w:r w:rsidRPr="00CA3497">
        <w:rPr>
          <w:rFonts w:ascii="Times New Roman" w:eastAsia="Times New Roman" w:hAnsi="Times New Roman" w:cs="Times New Roman"/>
          <w:kern w:val="0"/>
          <w:sz w:val="24"/>
          <w:szCs w:val="24"/>
          <w:lang w:eastAsia="en-IN"/>
          <w14:ligatures w14:val="none"/>
        </w:rPr>
        <w:t xml:space="preserve"> (climbing perch) was selected for the present study owing to its hardiness and high survival ability under laboratory conditions. Healthy fish of uniform size and apparent good health were collected from nearby freshwater sources. Upon collection, the fish were acclimatized to laboratory conditions in glass tanks containing dechlorinated tap water for a period of acclimation. During this period, fish were fed a basal diet and monitored regularly to ensure normal </w:t>
      </w:r>
      <w:r w:rsidR="0045196B" w:rsidRPr="00CA3497">
        <w:rPr>
          <w:rFonts w:ascii="Times New Roman" w:eastAsia="Times New Roman" w:hAnsi="Times New Roman" w:cs="Times New Roman"/>
          <w:kern w:val="0"/>
          <w:sz w:val="24"/>
          <w:szCs w:val="24"/>
          <w:lang w:eastAsia="en-IN"/>
          <w14:ligatures w14:val="none"/>
        </w:rPr>
        <w:t>behaviour</w:t>
      </w:r>
      <w:r w:rsidRPr="00CA3497">
        <w:rPr>
          <w:rFonts w:ascii="Times New Roman" w:eastAsia="Times New Roman" w:hAnsi="Times New Roman" w:cs="Times New Roman"/>
          <w:kern w:val="0"/>
          <w:sz w:val="24"/>
          <w:szCs w:val="24"/>
          <w:lang w:eastAsia="en-IN"/>
          <w14:ligatures w14:val="none"/>
        </w:rPr>
        <w:t xml:space="preserve"> and health.</w:t>
      </w:r>
    </w:p>
    <w:p w14:paraId="5D43EEEE" w14:textId="195B2063" w:rsidR="00A31B80" w:rsidRPr="00CA3497" w:rsidRDefault="00A31B80"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A3497">
        <w:rPr>
          <w:rFonts w:ascii="Times New Roman" w:eastAsia="Times New Roman" w:hAnsi="Times New Roman" w:cs="Times New Roman"/>
          <w:kern w:val="0"/>
          <w:sz w:val="24"/>
          <w:szCs w:val="24"/>
          <w:lang w:eastAsia="en-IN"/>
          <w14:ligatures w14:val="none"/>
        </w:rPr>
        <w:t xml:space="preserve">Following acclimatization, the fish were randomly distributed into four experimental tanks. Each tank contained five fish of medium size. The feeding trial was conducted for a period of </w:t>
      </w:r>
      <w:r w:rsidR="00244CA7" w:rsidRPr="00CA3497">
        <w:rPr>
          <w:rFonts w:ascii="Times New Roman" w:eastAsia="Times New Roman" w:hAnsi="Times New Roman" w:cs="Times New Roman"/>
          <w:kern w:val="0"/>
          <w:sz w:val="24"/>
          <w:szCs w:val="24"/>
          <w:lang w:eastAsia="en-IN"/>
          <w14:ligatures w14:val="none"/>
        </w:rPr>
        <w:t>60</w:t>
      </w:r>
      <w:r w:rsidRPr="00CA3497">
        <w:rPr>
          <w:rFonts w:ascii="Times New Roman" w:eastAsia="Times New Roman" w:hAnsi="Times New Roman" w:cs="Times New Roman"/>
          <w:kern w:val="0"/>
          <w:sz w:val="24"/>
          <w:szCs w:val="24"/>
          <w:lang w:eastAsia="en-IN"/>
          <w14:ligatures w14:val="none"/>
        </w:rPr>
        <w:t xml:space="preserve"> days, during which fish were fed twice daily. Mortality and any abnormal </w:t>
      </w:r>
      <w:r w:rsidR="0045196B" w:rsidRPr="00CA3497">
        <w:rPr>
          <w:rFonts w:ascii="Times New Roman" w:eastAsia="Times New Roman" w:hAnsi="Times New Roman" w:cs="Times New Roman"/>
          <w:kern w:val="0"/>
          <w:sz w:val="24"/>
          <w:szCs w:val="24"/>
          <w:lang w:eastAsia="en-IN"/>
          <w14:ligatures w14:val="none"/>
        </w:rPr>
        <w:t>behaviour</w:t>
      </w:r>
      <w:r w:rsidRPr="00CA3497">
        <w:rPr>
          <w:rFonts w:ascii="Times New Roman" w:eastAsia="Times New Roman" w:hAnsi="Times New Roman" w:cs="Times New Roman"/>
          <w:kern w:val="0"/>
          <w:sz w:val="24"/>
          <w:szCs w:val="24"/>
          <w:lang w:eastAsia="en-IN"/>
          <w14:ligatures w14:val="none"/>
        </w:rPr>
        <w:t xml:space="preserve"> were recorded throughout the experimental period.</w:t>
      </w:r>
    </w:p>
    <w:p w14:paraId="2A99B4A5" w14:textId="6942074E" w:rsidR="001174E9" w:rsidRPr="00CA3497" w:rsidRDefault="00DA1C0E" w:rsidP="00E34A7E">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CA3497">
        <w:rPr>
          <w:rFonts w:ascii="Times New Roman" w:eastAsia="Times New Roman" w:hAnsi="Times New Roman" w:cs="Times New Roman"/>
          <w:b/>
          <w:bCs/>
          <w:kern w:val="0"/>
          <w:sz w:val="24"/>
          <w:szCs w:val="24"/>
          <w:lang w:eastAsia="en-IN"/>
          <w14:ligatures w14:val="none"/>
        </w:rPr>
        <w:t>2</w:t>
      </w:r>
      <w:r w:rsidR="00DE5E6A" w:rsidRPr="00CA3497">
        <w:rPr>
          <w:rFonts w:ascii="Times New Roman" w:eastAsia="Times New Roman" w:hAnsi="Times New Roman" w:cs="Times New Roman"/>
          <w:b/>
          <w:bCs/>
          <w:kern w:val="0"/>
          <w:sz w:val="24"/>
          <w:szCs w:val="24"/>
          <w:lang w:eastAsia="en-IN"/>
          <w14:ligatures w14:val="none"/>
        </w:rPr>
        <w:t xml:space="preserve">.2 </w:t>
      </w:r>
      <w:r w:rsidR="00C36D18" w:rsidRPr="00CA3497">
        <w:rPr>
          <w:rFonts w:ascii="Times New Roman" w:eastAsia="Times New Roman" w:hAnsi="Times New Roman" w:cs="Times New Roman"/>
          <w:b/>
          <w:bCs/>
          <w:kern w:val="0"/>
          <w:sz w:val="24"/>
          <w:szCs w:val="24"/>
          <w:lang w:eastAsia="en-IN"/>
          <w14:ligatures w14:val="none"/>
        </w:rPr>
        <w:t xml:space="preserve">  Experimental Diet Formulation</w:t>
      </w:r>
    </w:p>
    <w:p w14:paraId="249C136C" w14:textId="6242857C" w:rsidR="002B04BD" w:rsidRPr="00CA3497" w:rsidRDefault="002B04BD"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A3497">
        <w:rPr>
          <w:rFonts w:ascii="Times New Roman" w:eastAsia="Times New Roman" w:hAnsi="Times New Roman" w:cs="Times New Roman"/>
          <w:kern w:val="0"/>
          <w:sz w:val="24"/>
          <w:szCs w:val="24"/>
          <w:lang w:eastAsia="en-IN"/>
          <w14:ligatures w14:val="none"/>
        </w:rPr>
        <w:t xml:space="preserve">To evaluate the effects of </w:t>
      </w:r>
      <w:r w:rsidRPr="00CA3497">
        <w:rPr>
          <w:rFonts w:ascii="Times New Roman" w:eastAsia="Times New Roman" w:hAnsi="Times New Roman" w:cs="Times New Roman"/>
          <w:i/>
          <w:iCs/>
          <w:kern w:val="0"/>
          <w:sz w:val="24"/>
          <w:szCs w:val="24"/>
          <w:lang w:eastAsia="en-IN"/>
          <w14:ligatures w14:val="none"/>
        </w:rPr>
        <w:t>Citrus sinensis</w:t>
      </w:r>
      <w:r w:rsidRPr="00CA3497">
        <w:rPr>
          <w:rFonts w:ascii="Times New Roman" w:eastAsia="Times New Roman" w:hAnsi="Times New Roman" w:cs="Times New Roman"/>
          <w:kern w:val="0"/>
          <w:sz w:val="24"/>
          <w:szCs w:val="24"/>
          <w:lang w:eastAsia="en-IN"/>
          <w14:ligatures w14:val="none"/>
        </w:rPr>
        <w:t xml:space="preserve"> peel meal as a partial replacement for fish meal, experimental diets were formulated with varying inclusion levels of citrus peel powder. </w:t>
      </w:r>
      <w:r w:rsidRPr="00CA3497">
        <w:rPr>
          <w:rFonts w:ascii="Times New Roman" w:eastAsia="Times New Roman" w:hAnsi="Times New Roman" w:cs="Times New Roman"/>
          <w:i/>
          <w:iCs/>
          <w:kern w:val="0"/>
          <w:sz w:val="24"/>
          <w:szCs w:val="24"/>
          <w:lang w:eastAsia="en-IN"/>
          <w14:ligatures w14:val="none"/>
        </w:rPr>
        <w:t>C. sinensis</w:t>
      </w:r>
      <w:r w:rsidRPr="00CA3497">
        <w:rPr>
          <w:rFonts w:ascii="Times New Roman" w:eastAsia="Times New Roman" w:hAnsi="Times New Roman" w:cs="Times New Roman"/>
          <w:kern w:val="0"/>
          <w:sz w:val="24"/>
          <w:szCs w:val="24"/>
          <w:lang w:eastAsia="en-IN"/>
          <w14:ligatures w14:val="none"/>
        </w:rPr>
        <w:t xml:space="preserve"> peel meal was used as a test ingredient to replace fish meal at replacement levels of 25%, 50%, and 75%. All feed ingredients were finely ground and sieved to obtain a uniform particle size </w:t>
      </w:r>
      <w:r w:rsidR="00271EF5">
        <w:rPr>
          <w:rFonts w:ascii="Times New Roman" w:eastAsia="Times New Roman" w:hAnsi="Times New Roman" w:cs="Times New Roman"/>
          <w:kern w:val="0"/>
          <w:sz w:val="24"/>
          <w:szCs w:val="24"/>
          <w:lang w:eastAsia="en-IN"/>
          <w14:ligatures w14:val="none"/>
        </w:rPr>
        <w:t>before</w:t>
      </w:r>
      <w:r w:rsidRPr="00CA3497">
        <w:rPr>
          <w:rFonts w:ascii="Times New Roman" w:eastAsia="Times New Roman" w:hAnsi="Times New Roman" w:cs="Times New Roman"/>
          <w:kern w:val="0"/>
          <w:sz w:val="24"/>
          <w:szCs w:val="24"/>
          <w:lang w:eastAsia="en-IN"/>
          <w14:ligatures w14:val="none"/>
        </w:rPr>
        <w:t xml:space="preserve"> diet preparation.</w:t>
      </w:r>
    </w:p>
    <w:p w14:paraId="471E6519" w14:textId="77777777" w:rsidR="00DE5E6A" w:rsidRPr="00CA3497" w:rsidRDefault="00DE5E6A"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A3497">
        <w:rPr>
          <w:rFonts w:ascii="Times New Roman" w:eastAsia="Times New Roman" w:hAnsi="Times New Roman" w:cs="Times New Roman"/>
          <w:kern w:val="0"/>
          <w:sz w:val="24"/>
          <w:szCs w:val="24"/>
          <w:lang w:eastAsia="en-IN"/>
          <w14:ligatures w14:val="none"/>
        </w:rPr>
        <w:lastRenderedPageBreak/>
        <w:t xml:space="preserve">The formulated citrus peel-based diets were compared with a control diet to assess their effects on growth performance, nutrient utilization, biochemical composition, and haematological parameters of </w:t>
      </w:r>
      <w:r w:rsidRPr="00CA3497">
        <w:rPr>
          <w:rFonts w:ascii="Times New Roman" w:eastAsia="Times New Roman" w:hAnsi="Times New Roman" w:cs="Times New Roman"/>
          <w:i/>
          <w:iCs/>
          <w:kern w:val="0"/>
          <w:sz w:val="24"/>
          <w:szCs w:val="24"/>
          <w:lang w:eastAsia="en-IN"/>
          <w14:ligatures w14:val="none"/>
        </w:rPr>
        <w:t xml:space="preserve">A. </w:t>
      </w:r>
      <w:proofErr w:type="spellStart"/>
      <w:r w:rsidRPr="00CA3497">
        <w:rPr>
          <w:rFonts w:ascii="Times New Roman" w:eastAsia="Times New Roman" w:hAnsi="Times New Roman" w:cs="Times New Roman"/>
          <w:i/>
          <w:iCs/>
          <w:kern w:val="0"/>
          <w:sz w:val="24"/>
          <w:szCs w:val="24"/>
          <w:lang w:eastAsia="en-IN"/>
          <w14:ligatures w14:val="none"/>
        </w:rPr>
        <w:t>testudineus</w:t>
      </w:r>
      <w:proofErr w:type="spellEnd"/>
      <w:r w:rsidRPr="00CA3497">
        <w:rPr>
          <w:rFonts w:ascii="Times New Roman" w:eastAsia="Times New Roman" w:hAnsi="Times New Roman" w:cs="Times New Roman"/>
          <w:kern w:val="0"/>
          <w:sz w:val="24"/>
          <w:szCs w:val="24"/>
          <w:lang w:eastAsia="en-IN"/>
          <w14:ligatures w14:val="none"/>
        </w:rPr>
        <w:t>.</w:t>
      </w:r>
    </w:p>
    <w:p w14:paraId="342C30DD" w14:textId="371CD2C2" w:rsidR="00E60FFC" w:rsidRPr="00CA3497" w:rsidRDefault="00DA1C0E" w:rsidP="00E34A7E">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CA3497">
        <w:rPr>
          <w:rFonts w:ascii="Times New Roman" w:eastAsia="Times New Roman" w:hAnsi="Times New Roman" w:cs="Times New Roman"/>
          <w:b/>
          <w:bCs/>
          <w:kern w:val="0"/>
          <w:sz w:val="24"/>
          <w:szCs w:val="24"/>
          <w:lang w:eastAsia="en-IN"/>
          <w14:ligatures w14:val="none"/>
        </w:rPr>
        <w:t>2</w:t>
      </w:r>
      <w:r w:rsidR="00A27B2D" w:rsidRPr="00CA3497">
        <w:rPr>
          <w:rFonts w:ascii="Times New Roman" w:eastAsia="Times New Roman" w:hAnsi="Times New Roman" w:cs="Times New Roman"/>
          <w:b/>
          <w:bCs/>
          <w:kern w:val="0"/>
          <w:sz w:val="24"/>
          <w:szCs w:val="24"/>
          <w:lang w:eastAsia="en-IN"/>
          <w14:ligatures w14:val="none"/>
        </w:rPr>
        <w:t xml:space="preserve">.3 </w:t>
      </w:r>
      <w:r w:rsidR="00E60FFC" w:rsidRPr="00CA3497">
        <w:rPr>
          <w:rFonts w:ascii="Times New Roman" w:eastAsia="Times New Roman" w:hAnsi="Times New Roman" w:cs="Times New Roman"/>
          <w:b/>
          <w:bCs/>
          <w:kern w:val="0"/>
          <w:sz w:val="24"/>
          <w:szCs w:val="24"/>
          <w:lang w:eastAsia="en-IN"/>
          <w14:ligatures w14:val="none"/>
        </w:rPr>
        <w:t xml:space="preserve">Preparation of </w:t>
      </w:r>
      <w:r w:rsidR="00E60FFC" w:rsidRPr="00CA3497">
        <w:rPr>
          <w:rFonts w:ascii="Times New Roman" w:eastAsia="Times New Roman" w:hAnsi="Times New Roman" w:cs="Times New Roman"/>
          <w:b/>
          <w:bCs/>
          <w:i/>
          <w:iCs/>
          <w:kern w:val="0"/>
          <w:sz w:val="24"/>
          <w:szCs w:val="24"/>
          <w:lang w:eastAsia="en-IN"/>
          <w14:ligatures w14:val="none"/>
        </w:rPr>
        <w:t>Citrus sinensis</w:t>
      </w:r>
      <w:r w:rsidR="00E60FFC" w:rsidRPr="00CA3497">
        <w:rPr>
          <w:rFonts w:ascii="Times New Roman" w:eastAsia="Times New Roman" w:hAnsi="Times New Roman" w:cs="Times New Roman"/>
          <w:b/>
          <w:bCs/>
          <w:kern w:val="0"/>
          <w:sz w:val="24"/>
          <w:szCs w:val="24"/>
          <w:lang w:eastAsia="en-IN"/>
          <w14:ligatures w14:val="none"/>
        </w:rPr>
        <w:t xml:space="preserve"> peel-based diets</w:t>
      </w:r>
    </w:p>
    <w:p w14:paraId="3239D841" w14:textId="77777777" w:rsidR="00A74929" w:rsidRPr="00CA3497" w:rsidRDefault="00A74929" w:rsidP="00E34A7E">
      <w:pPr>
        <w:pStyle w:val="NormalWeb"/>
        <w:spacing w:line="360" w:lineRule="auto"/>
        <w:jc w:val="both"/>
      </w:pPr>
      <w:r w:rsidRPr="00CA3497">
        <w:t xml:space="preserve">The experimental diets were prepared by incorporating </w:t>
      </w:r>
      <w:r w:rsidRPr="00CA3497">
        <w:rPr>
          <w:rStyle w:val="Emphasis"/>
          <w:rFonts w:eastAsiaTheme="majorEastAsia"/>
        </w:rPr>
        <w:t>Citrus sinensis</w:t>
      </w:r>
      <w:r w:rsidRPr="00CA3497">
        <w:t xml:space="preserve"> peel powder into the basal feed at replacement levels of 25%, 50%, and 75%, where 12.5 g, 25 g, and 37.5 g of </w:t>
      </w:r>
      <w:r w:rsidRPr="00CA3497">
        <w:rPr>
          <w:rStyle w:val="Emphasis"/>
          <w:rFonts w:eastAsiaTheme="majorEastAsia"/>
        </w:rPr>
        <w:t>C. sinensis</w:t>
      </w:r>
      <w:r w:rsidRPr="00CA3497">
        <w:t xml:space="preserve"> peel powder were mixed with 37.5 g, 25 g, and 12.5 g of powdered common feed, respectively. All ingredients were accurately weighed using an electronic balance, thoroughly mixed with warm water to form a homogeneous dough, manually pelletized, and sun-dried for five days to reduce moisture content and prevent spoilage; the dried pellets were stored in airtight containers until use. The basal diet was formulated using crushed maize (200 g), wheat bran (200 g), soybean meal (200 g), rice bran (200 g), groundnut oil cake (100 g), dried prawn (50 g), and </w:t>
      </w:r>
      <w:proofErr w:type="spellStart"/>
      <w:r w:rsidRPr="00CA3497">
        <w:t>maida</w:t>
      </w:r>
      <w:proofErr w:type="spellEnd"/>
      <w:r w:rsidRPr="00CA3497">
        <w:t xml:space="preserve"> (50 g), all of which were powdered, sieved, mixed uniformly, and processed into pellets using hot water, followed by sun-drying for five days and storage in separate containers. The feeding trial was conducted using four experimental tanks: Tank A received the control diet (common feed), Tank B received the 25% </w:t>
      </w:r>
      <w:r w:rsidRPr="00CA3497">
        <w:rPr>
          <w:rStyle w:val="Emphasis"/>
          <w:rFonts w:eastAsiaTheme="majorEastAsia"/>
        </w:rPr>
        <w:t>C. sinensis</w:t>
      </w:r>
      <w:r w:rsidRPr="00CA3497">
        <w:t xml:space="preserve">-supplemented diet, Tank C received the 50% </w:t>
      </w:r>
      <w:r w:rsidRPr="00CA3497">
        <w:rPr>
          <w:rStyle w:val="Emphasis"/>
          <w:rFonts w:eastAsiaTheme="majorEastAsia"/>
        </w:rPr>
        <w:t>C. sinensis</w:t>
      </w:r>
      <w:r w:rsidRPr="00CA3497">
        <w:t xml:space="preserve">-supplemented diet, and Tank D received the 75% </w:t>
      </w:r>
      <w:r w:rsidRPr="00CA3497">
        <w:rPr>
          <w:rStyle w:val="Emphasis"/>
          <w:rFonts w:eastAsiaTheme="majorEastAsia"/>
        </w:rPr>
        <w:t>C. sinensis</w:t>
      </w:r>
      <w:r w:rsidRPr="00CA3497">
        <w:t>-supplemented diet, with fish in all treatments being fed their respective diets twice daily throughout the experimental period.</w:t>
      </w:r>
    </w:p>
    <w:p w14:paraId="370B1EF0" w14:textId="07844129" w:rsidR="00571167" w:rsidRPr="00CA3497" w:rsidRDefault="00966362" w:rsidP="00E34A7E">
      <w:pPr>
        <w:pStyle w:val="NormalWeb"/>
        <w:spacing w:line="360" w:lineRule="auto"/>
        <w:jc w:val="both"/>
        <w:rPr>
          <w:b/>
          <w:bCs/>
        </w:rPr>
      </w:pPr>
      <w:r w:rsidRPr="00CA3497">
        <w:rPr>
          <w:b/>
          <w:bCs/>
        </w:rPr>
        <w:t>2</w:t>
      </w:r>
      <w:r w:rsidR="00A3041E" w:rsidRPr="00CA3497">
        <w:rPr>
          <w:b/>
          <w:bCs/>
        </w:rPr>
        <w:t xml:space="preserve">.4 </w:t>
      </w:r>
      <w:r w:rsidR="00571167" w:rsidRPr="00CA3497">
        <w:rPr>
          <w:b/>
          <w:bCs/>
        </w:rPr>
        <w:t>Growth Performance</w:t>
      </w:r>
    </w:p>
    <w:p w14:paraId="40AEA292" w14:textId="77777777" w:rsidR="00571167" w:rsidRPr="00CA3497" w:rsidRDefault="00571167" w:rsidP="00E34A7E">
      <w:pPr>
        <w:pStyle w:val="NormalWeb"/>
        <w:spacing w:line="360" w:lineRule="auto"/>
        <w:jc w:val="both"/>
      </w:pPr>
      <w:r w:rsidRPr="00CA3497">
        <w:t>Growth performance was assessed by measuring the body weight of individual fish at the beginning and end of the experimental period. Weight gain was calculated to evaluate the effects of dietary treatments on growth.</w:t>
      </w:r>
    </w:p>
    <w:p w14:paraId="4A961718" w14:textId="46E30EAB" w:rsidR="00824AB5" w:rsidRPr="00CA3497" w:rsidRDefault="00966362" w:rsidP="00E34A7E">
      <w:pPr>
        <w:pStyle w:val="NormalWeb"/>
        <w:spacing w:line="360" w:lineRule="auto"/>
        <w:jc w:val="both"/>
        <w:rPr>
          <w:b/>
          <w:bCs/>
        </w:rPr>
      </w:pPr>
      <w:r w:rsidRPr="00CA3497">
        <w:rPr>
          <w:b/>
          <w:bCs/>
        </w:rPr>
        <w:t>2</w:t>
      </w:r>
      <w:r w:rsidR="00824AB5" w:rsidRPr="00CA3497">
        <w:rPr>
          <w:b/>
          <w:bCs/>
        </w:rPr>
        <w:t>.5 Haematological Parameters</w:t>
      </w:r>
    </w:p>
    <w:p w14:paraId="30C5707E" w14:textId="6C44C90D" w:rsidR="00CF78A8" w:rsidRPr="00CA3497" w:rsidRDefault="00CF78A8" w:rsidP="00E34A7E">
      <w:pPr>
        <w:spacing w:line="360" w:lineRule="auto"/>
        <w:jc w:val="both"/>
        <w:rPr>
          <w:rFonts w:ascii="Times New Roman" w:hAnsi="Times New Roman" w:cs="Times New Roman"/>
          <w:b/>
          <w:bCs/>
          <w:sz w:val="24"/>
          <w:szCs w:val="24"/>
        </w:rPr>
      </w:pPr>
      <w:r w:rsidRPr="00CA3497">
        <w:rPr>
          <w:rFonts w:ascii="Times New Roman" w:hAnsi="Times New Roman" w:cs="Times New Roman"/>
          <w:b/>
          <w:bCs/>
          <w:sz w:val="24"/>
          <w:szCs w:val="24"/>
        </w:rPr>
        <w:t>Measurement of erythrocyte diameter</w:t>
      </w:r>
    </w:p>
    <w:p w14:paraId="4AC7FC94" w14:textId="05E25E43" w:rsidR="00BB2396" w:rsidRPr="00CA3497" w:rsidRDefault="00D15082" w:rsidP="00E34A7E">
      <w:pPr>
        <w:pStyle w:val="NormalWeb"/>
        <w:spacing w:line="360" w:lineRule="auto"/>
        <w:jc w:val="both"/>
      </w:pPr>
      <w:r w:rsidRPr="00CA3497">
        <w:t xml:space="preserve">Blood samples were collected from experimental fish by caudal vein puncture using sterile needles </w:t>
      </w:r>
      <w:r w:rsidR="00BB2396" w:rsidRPr="00CA3497">
        <w:t xml:space="preserve">Blood smears were prepared on clean glass slides and air-dried. The smears were observed under a microscope using a 100× oil immersion objective lens. The diameter of </w:t>
      </w:r>
      <w:r w:rsidR="00BB2396" w:rsidRPr="00CA3497">
        <w:lastRenderedPageBreak/>
        <w:t xml:space="preserve">erythrocytes per sample was measured using a </w:t>
      </w:r>
      <w:proofErr w:type="spellStart"/>
      <w:r w:rsidR="00BB2396" w:rsidRPr="00CA3497">
        <w:t>micrometer</w:t>
      </w:r>
      <w:proofErr w:type="spellEnd"/>
      <w:r w:rsidR="00BB2396" w:rsidRPr="00CA3497">
        <w:t>, and the mean erythrocyte diameter was calculated</w:t>
      </w:r>
    </w:p>
    <w:p w14:paraId="208BA62E" w14:textId="77777777" w:rsidR="00CF78A8" w:rsidRPr="00CA3497" w:rsidRDefault="00CF78A8" w:rsidP="00E34A7E">
      <w:pPr>
        <w:pStyle w:val="NormalWeb"/>
        <w:spacing w:line="360" w:lineRule="auto"/>
        <w:jc w:val="both"/>
        <w:rPr>
          <w:b/>
          <w:bCs/>
        </w:rPr>
      </w:pPr>
      <w:r w:rsidRPr="00CA3497">
        <w:rPr>
          <w:b/>
          <w:bCs/>
        </w:rPr>
        <w:t>Determination of Haemoglobin Content</w:t>
      </w:r>
    </w:p>
    <w:p w14:paraId="3575E0AE" w14:textId="7DDCE306" w:rsidR="00571167" w:rsidRPr="00CA3497" w:rsidRDefault="00CF78A8" w:rsidP="00E34A7E">
      <w:pPr>
        <w:pStyle w:val="NormalWeb"/>
        <w:spacing w:line="360" w:lineRule="auto"/>
        <w:jc w:val="both"/>
      </w:pPr>
      <w:r w:rsidRPr="00CA3497">
        <w:t xml:space="preserve">Haemoglobin concentration was measured using a haemoglobinometer. Blood samples were mixed with N/10 </w:t>
      </w:r>
      <w:r w:rsidR="00173AAB" w:rsidRPr="00CA3497">
        <w:t>HCl</w:t>
      </w:r>
      <w:r w:rsidRPr="00CA3497">
        <w:t xml:space="preserve">, allowed to stand for </w:t>
      </w:r>
      <w:r w:rsidR="00D15082" w:rsidRPr="00CA3497">
        <w:t>colour</w:t>
      </w:r>
      <w:r w:rsidRPr="00CA3497">
        <w:t xml:space="preserve"> development, diluted with distilled water, and matched against the comparator scale. </w:t>
      </w:r>
      <w:r w:rsidR="00D43016" w:rsidRPr="00CA3497">
        <w:t>The haemoglobin concentration was recorded at the lower meniscus and expressed as grams of haemoglobin per 100 mL of blood (g dL⁻¹).</w:t>
      </w:r>
    </w:p>
    <w:p w14:paraId="305742C2" w14:textId="77777777" w:rsidR="0009096B" w:rsidRPr="0009096B" w:rsidRDefault="0009096B" w:rsidP="00E34A7E">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09096B">
        <w:rPr>
          <w:rFonts w:ascii="Times New Roman" w:eastAsia="Times New Roman" w:hAnsi="Times New Roman" w:cs="Times New Roman"/>
          <w:b/>
          <w:bCs/>
          <w:kern w:val="0"/>
          <w:sz w:val="24"/>
          <w:szCs w:val="24"/>
          <w:lang w:eastAsia="en-IN"/>
          <w14:ligatures w14:val="none"/>
        </w:rPr>
        <w:t>2.6 Biochemical Analysis</w:t>
      </w:r>
    </w:p>
    <w:p w14:paraId="1EA8E139" w14:textId="77777777" w:rsidR="0009096B" w:rsidRPr="0009096B" w:rsidRDefault="0009096B" w:rsidP="00E34A7E">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09096B">
        <w:rPr>
          <w:rFonts w:ascii="Times New Roman" w:eastAsia="Times New Roman" w:hAnsi="Times New Roman" w:cs="Times New Roman"/>
          <w:b/>
          <w:bCs/>
          <w:kern w:val="0"/>
          <w:sz w:val="24"/>
          <w:szCs w:val="24"/>
          <w:lang w:eastAsia="en-IN"/>
          <w14:ligatures w14:val="none"/>
        </w:rPr>
        <w:t>Estimation of Protein</w:t>
      </w:r>
    </w:p>
    <w:p w14:paraId="4FD50BE4" w14:textId="23B48BC6" w:rsidR="0009096B" w:rsidRPr="0009096B" w:rsidRDefault="0009096B"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9096B">
        <w:rPr>
          <w:rFonts w:ascii="Times New Roman" w:eastAsia="Times New Roman" w:hAnsi="Times New Roman" w:cs="Times New Roman"/>
          <w:kern w:val="0"/>
          <w:sz w:val="24"/>
          <w:szCs w:val="24"/>
          <w:lang w:eastAsia="en-IN"/>
          <w14:ligatures w14:val="none"/>
        </w:rPr>
        <w:t>Muscle protein content was determined using the method described by Lowry et al. (1951) with slight modifications. Tissue samples were homogeni</w:t>
      </w:r>
      <w:r w:rsidR="00271EF5">
        <w:rPr>
          <w:rFonts w:ascii="Times New Roman" w:eastAsia="Times New Roman" w:hAnsi="Times New Roman" w:cs="Times New Roman"/>
          <w:kern w:val="0"/>
          <w:sz w:val="24"/>
          <w:szCs w:val="24"/>
          <w:lang w:eastAsia="en-IN"/>
          <w14:ligatures w14:val="none"/>
        </w:rPr>
        <w:t>s</w:t>
      </w:r>
      <w:r w:rsidRPr="0009096B">
        <w:rPr>
          <w:rFonts w:ascii="Times New Roman" w:eastAsia="Times New Roman" w:hAnsi="Times New Roman" w:cs="Times New Roman"/>
          <w:kern w:val="0"/>
          <w:sz w:val="24"/>
          <w:szCs w:val="24"/>
          <w:lang w:eastAsia="en-IN"/>
          <w14:ligatures w14:val="none"/>
        </w:rPr>
        <w:t xml:space="preserve">ed in cold buffer and treated with trichloroacetic acid (TCA) to precipitate proteins. The precipitated proteins were separated by centrifugation and re-dissolved in </w:t>
      </w:r>
      <w:r w:rsidR="00271EF5">
        <w:rPr>
          <w:rFonts w:ascii="Times New Roman" w:eastAsia="Times New Roman" w:hAnsi="Times New Roman" w:cs="Times New Roman"/>
          <w:kern w:val="0"/>
          <w:sz w:val="24"/>
          <w:szCs w:val="24"/>
          <w:lang w:eastAsia="en-IN"/>
          <w14:ligatures w14:val="none"/>
        </w:rPr>
        <w:t xml:space="preserve">an </w:t>
      </w:r>
      <w:r w:rsidRPr="0009096B">
        <w:rPr>
          <w:rFonts w:ascii="Times New Roman" w:eastAsia="Times New Roman" w:hAnsi="Times New Roman" w:cs="Times New Roman"/>
          <w:kern w:val="0"/>
          <w:sz w:val="24"/>
          <w:szCs w:val="24"/>
          <w:lang w:eastAsia="en-IN"/>
          <w14:ligatures w14:val="none"/>
        </w:rPr>
        <w:t xml:space="preserve">alkaline solution. The reaction with alkaline copper reagent followed by </w:t>
      </w:r>
      <w:proofErr w:type="spellStart"/>
      <w:r w:rsidRPr="0009096B">
        <w:rPr>
          <w:rFonts w:ascii="Times New Roman" w:eastAsia="Times New Roman" w:hAnsi="Times New Roman" w:cs="Times New Roman"/>
          <w:kern w:val="0"/>
          <w:sz w:val="24"/>
          <w:szCs w:val="24"/>
          <w:lang w:eastAsia="en-IN"/>
          <w14:ligatures w14:val="none"/>
        </w:rPr>
        <w:t>Folin</w:t>
      </w:r>
      <w:proofErr w:type="spellEnd"/>
      <w:r w:rsidRPr="0009096B">
        <w:rPr>
          <w:rFonts w:ascii="Times New Roman" w:eastAsia="Times New Roman" w:hAnsi="Times New Roman" w:cs="Times New Roman"/>
          <w:kern w:val="0"/>
          <w:sz w:val="24"/>
          <w:szCs w:val="24"/>
          <w:lang w:eastAsia="en-IN"/>
          <w14:ligatures w14:val="none"/>
        </w:rPr>
        <w:t>–</w:t>
      </w:r>
      <w:proofErr w:type="spellStart"/>
      <w:r w:rsidRPr="0009096B">
        <w:rPr>
          <w:rFonts w:ascii="Times New Roman" w:eastAsia="Times New Roman" w:hAnsi="Times New Roman" w:cs="Times New Roman"/>
          <w:kern w:val="0"/>
          <w:sz w:val="24"/>
          <w:szCs w:val="24"/>
          <w:lang w:eastAsia="en-IN"/>
          <w14:ligatures w14:val="none"/>
        </w:rPr>
        <w:t>Ciocalteu</w:t>
      </w:r>
      <w:proofErr w:type="spellEnd"/>
      <w:r w:rsidRPr="0009096B">
        <w:rPr>
          <w:rFonts w:ascii="Times New Roman" w:eastAsia="Times New Roman" w:hAnsi="Times New Roman" w:cs="Times New Roman"/>
          <w:kern w:val="0"/>
          <w:sz w:val="24"/>
          <w:szCs w:val="24"/>
          <w:lang w:eastAsia="en-IN"/>
          <w14:ligatures w14:val="none"/>
        </w:rPr>
        <w:t xml:space="preserve"> reagent produced a blue-</w:t>
      </w:r>
      <w:proofErr w:type="spellStart"/>
      <w:r w:rsidRPr="0009096B">
        <w:rPr>
          <w:rFonts w:ascii="Times New Roman" w:eastAsia="Times New Roman" w:hAnsi="Times New Roman" w:cs="Times New Roman"/>
          <w:kern w:val="0"/>
          <w:sz w:val="24"/>
          <w:szCs w:val="24"/>
          <w:lang w:eastAsia="en-IN"/>
          <w14:ligatures w14:val="none"/>
        </w:rPr>
        <w:t>colored</w:t>
      </w:r>
      <w:proofErr w:type="spellEnd"/>
      <w:r w:rsidRPr="0009096B">
        <w:rPr>
          <w:rFonts w:ascii="Times New Roman" w:eastAsia="Times New Roman" w:hAnsi="Times New Roman" w:cs="Times New Roman"/>
          <w:kern w:val="0"/>
          <w:sz w:val="24"/>
          <w:szCs w:val="24"/>
          <w:lang w:eastAsia="en-IN"/>
          <w14:ligatures w14:val="none"/>
        </w:rPr>
        <w:t xml:space="preserve"> complex, and absorbance was measured spectrophotometrically. Protein concentration was calculated using bovine serum albumin as the standard. This method is widely used due to its high sensitivity and reliability for biological samples (Lowry et al., 1951; Tripathi et al., 2024).</w:t>
      </w:r>
    </w:p>
    <w:p w14:paraId="23E6B565" w14:textId="77777777" w:rsidR="0009096B" w:rsidRPr="0009096B" w:rsidRDefault="0009096B" w:rsidP="00E34A7E">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09096B">
        <w:rPr>
          <w:rFonts w:ascii="Times New Roman" w:eastAsia="Times New Roman" w:hAnsi="Times New Roman" w:cs="Times New Roman"/>
          <w:b/>
          <w:bCs/>
          <w:kern w:val="0"/>
          <w:sz w:val="24"/>
          <w:szCs w:val="24"/>
          <w:lang w:eastAsia="en-IN"/>
          <w14:ligatures w14:val="none"/>
        </w:rPr>
        <w:t>Estimation of Carbohydrate</w:t>
      </w:r>
    </w:p>
    <w:p w14:paraId="64C9B8BC" w14:textId="77777777" w:rsidR="0009096B" w:rsidRPr="0009096B" w:rsidRDefault="0009096B"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9096B">
        <w:rPr>
          <w:rFonts w:ascii="Times New Roman" w:eastAsia="Times New Roman" w:hAnsi="Times New Roman" w:cs="Times New Roman"/>
          <w:kern w:val="0"/>
          <w:sz w:val="24"/>
          <w:szCs w:val="24"/>
          <w:lang w:eastAsia="en-IN"/>
          <w14:ligatures w14:val="none"/>
        </w:rPr>
        <w:t xml:space="preserve">Total carbohydrate content in muscle tissue was estimated by the </w:t>
      </w:r>
      <w:proofErr w:type="spellStart"/>
      <w:r w:rsidRPr="0009096B">
        <w:rPr>
          <w:rFonts w:ascii="Times New Roman" w:eastAsia="Times New Roman" w:hAnsi="Times New Roman" w:cs="Times New Roman"/>
          <w:kern w:val="0"/>
          <w:sz w:val="24"/>
          <w:szCs w:val="24"/>
          <w:lang w:eastAsia="en-IN"/>
          <w14:ligatures w14:val="none"/>
        </w:rPr>
        <w:t>Anthrone</w:t>
      </w:r>
      <w:proofErr w:type="spellEnd"/>
      <w:r w:rsidRPr="0009096B">
        <w:rPr>
          <w:rFonts w:ascii="Times New Roman" w:eastAsia="Times New Roman" w:hAnsi="Times New Roman" w:cs="Times New Roman"/>
          <w:kern w:val="0"/>
          <w:sz w:val="24"/>
          <w:szCs w:val="24"/>
          <w:lang w:eastAsia="en-IN"/>
          <w14:ligatures w14:val="none"/>
        </w:rPr>
        <w:t xml:space="preserve"> method as described by Yemm and Willis (1954). Homogenized samples were centrifuged, and the supernatant was subjected to acid hydrolysis followed by reaction with </w:t>
      </w:r>
      <w:proofErr w:type="spellStart"/>
      <w:r w:rsidRPr="0009096B">
        <w:rPr>
          <w:rFonts w:ascii="Times New Roman" w:eastAsia="Times New Roman" w:hAnsi="Times New Roman" w:cs="Times New Roman"/>
          <w:kern w:val="0"/>
          <w:sz w:val="24"/>
          <w:szCs w:val="24"/>
          <w:lang w:eastAsia="en-IN"/>
          <w14:ligatures w14:val="none"/>
        </w:rPr>
        <w:t>Anthrone</w:t>
      </w:r>
      <w:proofErr w:type="spellEnd"/>
      <w:r w:rsidRPr="0009096B">
        <w:rPr>
          <w:rFonts w:ascii="Times New Roman" w:eastAsia="Times New Roman" w:hAnsi="Times New Roman" w:cs="Times New Roman"/>
          <w:kern w:val="0"/>
          <w:sz w:val="24"/>
          <w:szCs w:val="24"/>
          <w:lang w:eastAsia="en-IN"/>
          <w14:ligatures w14:val="none"/>
        </w:rPr>
        <w:t xml:space="preserve"> reagent under heating conditions. The formation of a green-</w:t>
      </w:r>
      <w:proofErr w:type="spellStart"/>
      <w:r w:rsidRPr="0009096B">
        <w:rPr>
          <w:rFonts w:ascii="Times New Roman" w:eastAsia="Times New Roman" w:hAnsi="Times New Roman" w:cs="Times New Roman"/>
          <w:kern w:val="0"/>
          <w:sz w:val="24"/>
          <w:szCs w:val="24"/>
          <w:lang w:eastAsia="en-IN"/>
          <w14:ligatures w14:val="none"/>
        </w:rPr>
        <w:t>colored</w:t>
      </w:r>
      <w:proofErr w:type="spellEnd"/>
      <w:r w:rsidRPr="0009096B">
        <w:rPr>
          <w:rFonts w:ascii="Times New Roman" w:eastAsia="Times New Roman" w:hAnsi="Times New Roman" w:cs="Times New Roman"/>
          <w:kern w:val="0"/>
          <w:sz w:val="24"/>
          <w:szCs w:val="24"/>
          <w:lang w:eastAsia="en-IN"/>
          <w14:ligatures w14:val="none"/>
        </w:rPr>
        <w:t xml:space="preserve"> complex was measured using a colorimeter, and carbohydrate concentration was determined using a standard calibration curve. This method is commonly applied for carbohydrate estimation due to its simplicity and reproducibility in biological tissues (Yemm &amp; Willis, 1954).</w:t>
      </w:r>
    </w:p>
    <w:p w14:paraId="68054BA7" w14:textId="77777777" w:rsidR="0009096B" w:rsidRPr="0009096B" w:rsidRDefault="0009096B" w:rsidP="00E34A7E">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09096B">
        <w:rPr>
          <w:rFonts w:ascii="Times New Roman" w:eastAsia="Times New Roman" w:hAnsi="Times New Roman" w:cs="Times New Roman"/>
          <w:b/>
          <w:bCs/>
          <w:kern w:val="0"/>
          <w:sz w:val="24"/>
          <w:szCs w:val="24"/>
          <w:lang w:eastAsia="en-IN"/>
          <w14:ligatures w14:val="none"/>
        </w:rPr>
        <w:t>Estimation of Lipid</w:t>
      </w:r>
    </w:p>
    <w:p w14:paraId="2E342248" w14:textId="77777777" w:rsidR="0009096B" w:rsidRPr="00CA3497" w:rsidRDefault="0009096B"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9096B">
        <w:rPr>
          <w:rFonts w:ascii="Times New Roman" w:eastAsia="Times New Roman" w:hAnsi="Times New Roman" w:cs="Times New Roman"/>
          <w:kern w:val="0"/>
          <w:sz w:val="24"/>
          <w:szCs w:val="24"/>
          <w:lang w:eastAsia="en-IN"/>
          <w14:ligatures w14:val="none"/>
        </w:rPr>
        <w:lastRenderedPageBreak/>
        <w:t xml:space="preserve">Total lipid content was estimated using a modified ferric chloride–sulphuric acid method. Tissue extracts were treated with ferric chloride reagent followed by concentrated sulphuric acid, resulting in </w:t>
      </w:r>
      <w:proofErr w:type="spellStart"/>
      <w:r w:rsidRPr="0009096B">
        <w:rPr>
          <w:rFonts w:ascii="Times New Roman" w:eastAsia="Times New Roman" w:hAnsi="Times New Roman" w:cs="Times New Roman"/>
          <w:kern w:val="0"/>
          <w:sz w:val="24"/>
          <w:szCs w:val="24"/>
          <w:lang w:eastAsia="en-IN"/>
          <w14:ligatures w14:val="none"/>
        </w:rPr>
        <w:t>color</w:t>
      </w:r>
      <w:proofErr w:type="spellEnd"/>
      <w:r w:rsidRPr="0009096B">
        <w:rPr>
          <w:rFonts w:ascii="Times New Roman" w:eastAsia="Times New Roman" w:hAnsi="Times New Roman" w:cs="Times New Roman"/>
          <w:kern w:val="0"/>
          <w:sz w:val="24"/>
          <w:szCs w:val="24"/>
          <w:lang w:eastAsia="en-IN"/>
          <w14:ligatures w14:val="none"/>
        </w:rPr>
        <w:t xml:space="preserve"> development proportional to lipid concentration. After incubation, absorbance was recorded using a colorimeter, and lipid levels were calculated against standard values. Colorimetric lipid estimation methods are widely used in biochemical studies due to their efficiency and suitability for tissue samples (Folch </w:t>
      </w:r>
      <w:r w:rsidRPr="0009096B">
        <w:rPr>
          <w:rFonts w:ascii="Times New Roman" w:eastAsia="Times New Roman" w:hAnsi="Times New Roman" w:cs="Times New Roman"/>
          <w:i/>
          <w:iCs/>
          <w:kern w:val="0"/>
          <w:sz w:val="24"/>
          <w:szCs w:val="24"/>
          <w:lang w:eastAsia="en-IN"/>
          <w14:ligatures w14:val="none"/>
        </w:rPr>
        <w:t>et al</w:t>
      </w:r>
      <w:r w:rsidRPr="0009096B">
        <w:rPr>
          <w:rFonts w:ascii="Times New Roman" w:eastAsia="Times New Roman" w:hAnsi="Times New Roman" w:cs="Times New Roman"/>
          <w:kern w:val="0"/>
          <w:sz w:val="24"/>
          <w:szCs w:val="24"/>
          <w:lang w:eastAsia="en-IN"/>
          <w14:ligatures w14:val="none"/>
        </w:rPr>
        <w:t xml:space="preserve">., 1957; recent adaptations in fish tissue analysis studies, 2023) </w:t>
      </w:r>
    </w:p>
    <w:p w14:paraId="185D61AB" w14:textId="12320DFD" w:rsidR="00DD2821" w:rsidRPr="00DD2821" w:rsidRDefault="00966362" w:rsidP="00E34A7E">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CA3497">
        <w:rPr>
          <w:rFonts w:ascii="Times New Roman" w:hAnsi="Times New Roman" w:cs="Times New Roman"/>
          <w:b/>
          <w:bCs/>
          <w:sz w:val="24"/>
          <w:szCs w:val="24"/>
        </w:rPr>
        <w:t>2</w:t>
      </w:r>
      <w:r w:rsidR="00DD2821" w:rsidRPr="00CA3497">
        <w:rPr>
          <w:rFonts w:ascii="Times New Roman" w:hAnsi="Times New Roman" w:cs="Times New Roman"/>
          <w:b/>
          <w:bCs/>
          <w:sz w:val="24"/>
          <w:szCs w:val="24"/>
        </w:rPr>
        <w:t xml:space="preserve">.7 </w:t>
      </w:r>
      <w:r w:rsidR="00DD2821" w:rsidRPr="00DD2821">
        <w:rPr>
          <w:rFonts w:ascii="Times New Roman" w:eastAsia="Times New Roman" w:hAnsi="Times New Roman" w:cs="Times New Roman"/>
          <w:b/>
          <w:bCs/>
          <w:kern w:val="0"/>
          <w:sz w:val="24"/>
          <w:szCs w:val="24"/>
          <w:lang w:eastAsia="en-IN"/>
          <w14:ligatures w14:val="none"/>
        </w:rPr>
        <w:t>Statistical analysis</w:t>
      </w:r>
    </w:p>
    <w:p w14:paraId="530E76B0" w14:textId="77777777" w:rsidR="00374E2A" w:rsidRPr="00CA3497" w:rsidRDefault="00374E2A" w:rsidP="00E34A7E">
      <w:pPr>
        <w:spacing w:before="100" w:beforeAutospacing="1" w:after="100" w:afterAutospacing="1" w:line="360" w:lineRule="auto"/>
        <w:jc w:val="both"/>
        <w:rPr>
          <w:rFonts w:ascii="Times New Roman" w:hAnsi="Times New Roman" w:cs="Times New Roman"/>
          <w:sz w:val="24"/>
          <w:szCs w:val="24"/>
        </w:rPr>
      </w:pPr>
      <w:r w:rsidRPr="00CA3497">
        <w:rPr>
          <w:rFonts w:ascii="Times New Roman" w:hAnsi="Times New Roman" w:cs="Times New Roman"/>
          <w:sz w:val="24"/>
          <w:szCs w:val="24"/>
        </w:rPr>
        <w:t xml:space="preserve">All experimental data were expressed as mean ± standard deviation (SD). Statistical analyses were performed using one-way analysis of variance (ANOVA) with the aid of SPSS software (Version 25.0, IBM Corp., USA). When significant differences were detected, Tukey’s honestly significant difference (HSD) post-hoc test was applied to compare treatment means. Differences among groups were considered statistically significant at a probability level of </w:t>
      </w:r>
      <w:r w:rsidRPr="00CA3497">
        <w:rPr>
          <w:rStyle w:val="Emphasis"/>
          <w:rFonts w:ascii="Times New Roman" w:hAnsi="Times New Roman" w:cs="Times New Roman"/>
          <w:sz w:val="24"/>
          <w:szCs w:val="24"/>
        </w:rPr>
        <w:t>P</w:t>
      </w:r>
      <w:r w:rsidRPr="00CA3497">
        <w:rPr>
          <w:rFonts w:ascii="Times New Roman" w:hAnsi="Times New Roman" w:cs="Times New Roman"/>
          <w:sz w:val="24"/>
          <w:szCs w:val="24"/>
        </w:rPr>
        <w:t xml:space="preserve"> &lt; 0.05.</w:t>
      </w:r>
    </w:p>
    <w:p w14:paraId="7F41090C" w14:textId="25E1E6FE" w:rsidR="008012A4" w:rsidRPr="00CA3497" w:rsidRDefault="00966362" w:rsidP="00E34A7E">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CA3497">
        <w:rPr>
          <w:rFonts w:ascii="Times New Roman" w:eastAsia="Times New Roman" w:hAnsi="Times New Roman" w:cs="Times New Roman"/>
          <w:b/>
          <w:bCs/>
          <w:kern w:val="0"/>
          <w:sz w:val="24"/>
          <w:szCs w:val="24"/>
          <w:lang w:eastAsia="en-IN"/>
          <w14:ligatures w14:val="none"/>
        </w:rPr>
        <w:t>3</w:t>
      </w:r>
      <w:r w:rsidR="000E3038">
        <w:rPr>
          <w:rFonts w:ascii="Times New Roman" w:eastAsia="Times New Roman" w:hAnsi="Times New Roman" w:cs="Times New Roman"/>
          <w:b/>
          <w:bCs/>
          <w:kern w:val="0"/>
          <w:sz w:val="24"/>
          <w:szCs w:val="24"/>
          <w:lang w:eastAsia="en-IN"/>
          <w14:ligatures w14:val="none"/>
        </w:rPr>
        <w:t>.</w:t>
      </w:r>
      <w:r w:rsidRPr="00CA3497">
        <w:rPr>
          <w:rFonts w:ascii="Times New Roman" w:eastAsia="Times New Roman" w:hAnsi="Times New Roman" w:cs="Times New Roman"/>
          <w:b/>
          <w:bCs/>
          <w:kern w:val="0"/>
          <w:sz w:val="24"/>
          <w:szCs w:val="24"/>
          <w:lang w:eastAsia="en-IN"/>
          <w14:ligatures w14:val="none"/>
        </w:rPr>
        <w:t xml:space="preserve"> Results</w:t>
      </w:r>
    </w:p>
    <w:p w14:paraId="0462DC3E" w14:textId="2132B732" w:rsidR="000F479C" w:rsidRPr="00CA3497" w:rsidRDefault="000F479C"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A3497">
        <w:rPr>
          <w:rFonts w:ascii="Times New Roman" w:eastAsia="Times New Roman" w:hAnsi="Times New Roman" w:cs="Times New Roman"/>
          <w:kern w:val="0"/>
          <w:sz w:val="24"/>
          <w:szCs w:val="24"/>
          <w:lang w:eastAsia="en-IN"/>
          <w14:ligatures w14:val="none"/>
        </w:rPr>
        <w:t xml:space="preserve">The effects of dietary supplementation with </w:t>
      </w:r>
      <w:r w:rsidRPr="00CA3497">
        <w:rPr>
          <w:rFonts w:ascii="Times New Roman" w:eastAsia="Times New Roman" w:hAnsi="Times New Roman" w:cs="Times New Roman"/>
          <w:i/>
          <w:iCs/>
          <w:kern w:val="0"/>
          <w:sz w:val="24"/>
          <w:szCs w:val="24"/>
          <w:lang w:eastAsia="en-IN"/>
          <w14:ligatures w14:val="none"/>
        </w:rPr>
        <w:t>Citrus sinensis</w:t>
      </w:r>
      <w:r w:rsidRPr="00CA3497">
        <w:rPr>
          <w:rFonts w:ascii="Times New Roman" w:eastAsia="Times New Roman" w:hAnsi="Times New Roman" w:cs="Times New Roman"/>
          <w:kern w:val="0"/>
          <w:sz w:val="24"/>
          <w:szCs w:val="24"/>
          <w:lang w:eastAsia="en-IN"/>
          <w14:ligatures w14:val="none"/>
        </w:rPr>
        <w:t xml:space="preserve"> peel on growth performance, biochemical composition, and haematological parameters of </w:t>
      </w:r>
      <w:r w:rsidRPr="00CA3497">
        <w:rPr>
          <w:rFonts w:ascii="Times New Roman" w:eastAsia="Times New Roman" w:hAnsi="Times New Roman" w:cs="Times New Roman"/>
          <w:i/>
          <w:iCs/>
          <w:kern w:val="0"/>
          <w:sz w:val="24"/>
          <w:szCs w:val="24"/>
          <w:lang w:eastAsia="en-IN"/>
          <w14:ligatures w14:val="none"/>
        </w:rPr>
        <w:t xml:space="preserve">Anabas </w:t>
      </w:r>
      <w:proofErr w:type="spellStart"/>
      <w:r w:rsidRPr="00CA3497">
        <w:rPr>
          <w:rFonts w:ascii="Times New Roman" w:eastAsia="Times New Roman" w:hAnsi="Times New Roman" w:cs="Times New Roman"/>
          <w:i/>
          <w:iCs/>
          <w:kern w:val="0"/>
          <w:sz w:val="24"/>
          <w:szCs w:val="24"/>
          <w:lang w:eastAsia="en-IN"/>
          <w14:ligatures w14:val="none"/>
        </w:rPr>
        <w:t>testudineus</w:t>
      </w:r>
      <w:proofErr w:type="spellEnd"/>
      <w:r w:rsidRPr="00CA3497">
        <w:rPr>
          <w:rFonts w:ascii="Times New Roman" w:eastAsia="Times New Roman" w:hAnsi="Times New Roman" w:cs="Times New Roman"/>
          <w:kern w:val="0"/>
          <w:sz w:val="24"/>
          <w:szCs w:val="24"/>
          <w:lang w:eastAsia="en-IN"/>
          <w14:ligatures w14:val="none"/>
        </w:rPr>
        <w:t xml:space="preserve"> were evaluated over a two-month experimental period</w:t>
      </w:r>
      <w:r w:rsidR="00374E2A" w:rsidRPr="00CA3497">
        <w:rPr>
          <w:rFonts w:ascii="Times New Roman" w:eastAsia="Times New Roman" w:hAnsi="Times New Roman" w:cs="Times New Roman"/>
          <w:kern w:val="0"/>
          <w:sz w:val="24"/>
          <w:szCs w:val="24"/>
          <w:lang w:eastAsia="en-IN"/>
          <w14:ligatures w14:val="none"/>
        </w:rPr>
        <w:t xml:space="preserve"> using one-way ANOVA followed by Tukey’s test</w:t>
      </w:r>
      <w:r w:rsidRPr="00CA3497">
        <w:rPr>
          <w:rFonts w:ascii="Times New Roman" w:eastAsia="Times New Roman" w:hAnsi="Times New Roman" w:cs="Times New Roman"/>
          <w:kern w:val="0"/>
          <w:sz w:val="24"/>
          <w:szCs w:val="24"/>
          <w:lang w:eastAsia="en-IN"/>
          <w14:ligatures w14:val="none"/>
        </w:rPr>
        <w:t xml:space="preserve">. The results revealed noticeable variations in growth rate and biochemical and haematological indices among the experimental groups compared with the control. These variations were dependent on the concentration of </w:t>
      </w:r>
      <w:r w:rsidRPr="00CA3497">
        <w:rPr>
          <w:rFonts w:ascii="Times New Roman" w:eastAsia="Times New Roman" w:hAnsi="Times New Roman" w:cs="Times New Roman"/>
          <w:i/>
          <w:iCs/>
          <w:kern w:val="0"/>
          <w:sz w:val="24"/>
          <w:szCs w:val="24"/>
          <w:lang w:eastAsia="en-IN"/>
          <w14:ligatures w14:val="none"/>
        </w:rPr>
        <w:t>C. sinensis</w:t>
      </w:r>
      <w:r w:rsidRPr="00CA3497">
        <w:rPr>
          <w:rFonts w:ascii="Times New Roman" w:eastAsia="Times New Roman" w:hAnsi="Times New Roman" w:cs="Times New Roman"/>
          <w:kern w:val="0"/>
          <w:sz w:val="24"/>
          <w:szCs w:val="24"/>
          <w:lang w:eastAsia="en-IN"/>
          <w14:ligatures w14:val="none"/>
        </w:rPr>
        <w:t xml:space="preserve"> incorporated into the diet.</w:t>
      </w:r>
    </w:p>
    <w:p w14:paraId="49F03420" w14:textId="77777777" w:rsidR="004A78E7" w:rsidRPr="00CA3497" w:rsidRDefault="000F479C" w:rsidP="00E34A7E">
      <w:pPr>
        <w:pStyle w:val="NormalWeb"/>
        <w:spacing w:line="360" w:lineRule="auto"/>
        <w:jc w:val="both"/>
        <w:rPr>
          <w:rStyle w:val="Strong"/>
          <w:rFonts w:eastAsiaTheme="majorEastAsia"/>
        </w:rPr>
      </w:pPr>
      <w:r w:rsidRPr="00CA3497">
        <w:rPr>
          <w:rStyle w:val="Strong"/>
          <w:rFonts w:eastAsiaTheme="majorEastAsia"/>
        </w:rPr>
        <w:t>Growth performance:</w:t>
      </w:r>
    </w:p>
    <w:p w14:paraId="1BB8BEF5" w14:textId="77777777" w:rsidR="00C01DEA" w:rsidRPr="00CA3497" w:rsidRDefault="00C01DEA" w:rsidP="00E34A7E">
      <w:pPr>
        <w:pStyle w:val="NormalWeb"/>
        <w:spacing w:line="360" w:lineRule="auto"/>
        <w:jc w:val="both"/>
      </w:pPr>
      <w:r w:rsidRPr="00CA3497">
        <w:t xml:space="preserve">The growth performance of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fed diets supplemented with different levels of </w:t>
      </w:r>
      <w:r w:rsidRPr="00CA3497">
        <w:rPr>
          <w:rStyle w:val="Emphasis"/>
          <w:rFonts w:eastAsiaTheme="majorEastAsia"/>
        </w:rPr>
        <w:t>Citrus sinensis</w:t>
      </w:r>
      <w:r w:rsidRPr="00CA3497">
        <w:t xml:space="preserve"> peel is presented in Table 1. A significant increase (</w:t>
      </w:r>
      <w:r w:rsidRPr="00CA3497">
        <w:rPr>
          <w:rStyle w:val="Emphasis"/>
          <w:rFonts w:eastAsiaTheme="majorEastAsia"/>
        </w:rPr>
        <w:t>P</w:t>
      </w:r>
      <w:r w:rsidRPr="00CA3497">
        <w:t xml:space="preserve"> &lt; 0.05) in growth rate was observed in all treatment groups compared to the control.</w:t>
      </w:r>
    </w:p>
    <w:p w14:paraId="198285D6" w14:textId="77777777" w:rsidR="00C01DEA" w:rsidRPr="00CA3497" w:rsidRDefault="00C01DEA" w:rsidP="00E34A7E">
      <w:pPr>
        <w:pStyle w:val="NormalWeb"/>
        <w:spacing w:line="360" w:lineRule="auto"/>
        <w:jc w:val="both"/>
      </w:pPr>
      <w:r w:rsidRPr="00CA3497">
        <w:t xml:space="preserve">The highest growth rate was recorded in the 75% inclusion group (40 ± 0.75), which was significantly higher than all other groups. The 50% (36.98 ± 0.60) and 25% (36 ± 0.58) treatment groups also showed improved growth compared to the control (31.8 ± 0.57), although </w:t>
      </w:r>
      <w:r w:rsidRPr="00CA3497">
        <w:lastRenderedPageBreak/>
        <w:t>no significant difference was observed between these two groups, as indicated by similar superscripts.</w:t>
      </w:r>
    </w:p>
    <w:p w14:paraId="3F552B7F" w14:textId="77777777" w:rsidR="00C01DEA" w:rsidRPr="00CA3497" w:rsidRDefault="00C01DEA" w:rsidP="00E34A7E">
      <w:pPr>
        <w:pStyle w:val="NormalWeb"/>
        <w:spacing w:line="360" w:lineRule="auto"/>
        <w:jc w:val="both"/>
      </w:pPr>
      <w:r w:rsidRPr="00CA3497">
        <w:t>Statistical analysis using one-way ANOVA followed by Tukey’s HSD post-hoc test confirmed that the differences among treatment groups were significant (</w:t>
      </w:r>
      <w:r w:rsidRPr="00CA3497">
        <w:rPr>
          <w:rStyle w:val="Emphasis"/>
          <w:rFonts w:eastAsiaTheme="majorEastAsia"/>
        </w:rPr>
        <w:t>P</w:t>
      </w:r>
      <w:r w:rsidRPr="00CA3497">
        <w:t xml:space="preserve"> &lt; 0.05).</w:t>
      </w:r>
    </w:p>
    <w:p w14:paraId="165B3DA9" w14:textId="54D3E3E9" w:rsidR="0002625C" w:rsidRPr="00CA3497" w:rsidRDefault="0002625C" w:rsidP="00E34A7E">
      <w:pPr>
        <w:tabs>
          <w:tab w:val="left" w:pos="2968"/>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Table 1</w:t>
      </w:r>
      <w:r w:rsidR="0009096B" w:rsidRPr="00CA3497">
        <w:rPr>
          <w:rFonts w:ascii="Times New Roman" w:hAnsi="Times New Roman" w:cs="Times New Roman"/>
          <w:sz w:val="24"/>
          <w:szCs w:val="24"/>
        </w:rPr>
        <w:t>:</w:t>
      </w:r>
      <w:r w:rsidRPr="00CA3497">
        <w:rPr>
          <w:rFonts w:ascii="Times New Roman" w:hAnsi="Times New Roman" w:cs="Times New Roman"/>
          <w:sz w:val="24"/>
          <w:szCs w:val="24"/>
        </w:rPr>
        <w:t xml:space="preserve"> Effect of </w:t>
      </w:r>
      <w:r w:rsidRPr="00CA3497">
        <w:rPr>
          <w:rFonts w:ascii="Times New Roman" w:hAnsi="Times New Roman" w:cs="Times New Roman"/>
          <w:i/>
          <w:sz w:val="24"/>
          <w:szCs w:val="24"/>
        </w:rPr>
        <w:t>Citrus sinensis</w:t>
      </w:r>
      <w:r w:rsidRPr="00CA3497">
        <w:rPr>
          <w:rFonts w:ascii="Times New Roman" w:hAnsi="Times New Roman" w:cs="Times New Roman"/>
          <w:sz w:val="24"/>
          <w:szCs w:val="24"/>
        </w:rPr>
        <w:t xml:space="preserve"> diet supplement in growth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p>
    <w:tbl>
      <w:tblPr>
        <w:tblStyle w:val="GridTable1Light"/>
        <w:tblW w:w="0" w:type="auto"/>
        <w:jc w:val="center"/>
        <w:tblLook w:val="04A0" w:firstRow="1" w:lastRow="0" w:firstColumn="1" w:lastColumn="0" w:noHBand="0" w:noVBand="1"/>
      </w:tblPr>
      <w:tblGrid>
        <w:gridCol w:w="4050"/>
        <w:gridCol w:w="3150"/>
      </w:tblGrid>
      <w:tr w:rsidR="0002625C" w:rsidRPr="00CA3497" w14:paraId="2AFF4CDB" w14:textId="77777777" w:rsidTr="000909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50" w:type="dxa"/>
          </w:tcPr>
          <w:p w14:paraId="45594C0B" w14:textId="77777777" w:rsidR="0002625C" w:rsidRPr="00CA3497" w:rsidRDefault="0002625C" w:rsidP="00E34A7E">
            <w:pPr>
              <w:tabs>
                <w:tab w:val="left" w:pos="2968"/>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Percentage of feed</w:t>
            </w:r>
          </w:p>
        </w:tc>
        <w:tc>
          <w:tcPr>
            <w:tcW w:w="3150" w:type="dxa"/>
          </w:tcPr>
          <w:p w14:paraId="0DC71F0F" w14:textId="77777777" w:rsidR="0002625C" w:rsidRPr="00CA3497" w:rsidRDefault="0002625C" w:rsidP="00E34A7E">
            <w:pPr>
              <w:tabs>
                <w:tab w:val="left" w:pos="2968"/>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Growth rate</w:t>
            </w:r>
          </w:p>
        </w:tc>
      </w:tr>
      <w:tr w:rsidR="0002625C" w:rsidRPr="00CA3497" w14:paraId="0ED94F47" w14:textId="77777777" w:rsidTr="0009096B">
        <w:trPr>
          <w:jc w:val="center"/>
        </w:trPr>
        <w:tc>
          <w:tcPr>
            <w:cnfStyle w:val="001000000000" w:firstRow="0" w:lastRow="0" w:firstColumn="1" w:lastColumn="0" w:oddVBand="0" w:evenVBand="0" w:oddHBand="0" w:evenHBand="0" w:firstRowFirstColumn="0" w:firstRowLastColumn="0" w:lastRowFirstColumn="0" w:lastRowLastColumn="0"/>
            <w:tcW w:w="4050" w:type="dxa"/>
          </w:tcPr>
          <w:p w14:paraId="1F342F33" w14:textId="77777777" w:rsidR="0002625C" w:rsidRPr="00CA3497" w:rsidRDefault="0002625C" w:rsidP="00E34A7E">
            <w:pPr>
              <w:tabs>
                <w:tab w:val="left" w:pos="1365"/>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Control</w:t>
            </w:r>
            <w:r w:rsidRPr="00CA3497">
              <w:rPr>
                <w:rFonts w:ascii="Times New Roman" w:hAnsi="Times New Roman" w:cs="Times New Roman"/>
                <w:sz w:val="24"/>
                <w:szCs w:val="24"/>
              </w:rPr>
              <w:tab/>
            </w:r>
          </w:p>
        </w:tc>
        <w:tc>
          <w:tcPr>
            <w:tcW w:w="3150" w:type="dxa"/>
          </w:tcPr>
          <w:p w14:paraId="30036F80" w14:textId="11D09DF4" w:rsidR="0002625C" w:rsidRPr="00CA3497" w:rsidRDefault="0002625C" w:rsidP="00E34A7E">
            <w:pPr>
              <w:tabs>
                <w:tab w:val="left" w:pos="296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31.8 ± 0.57</w:t>
            </w:r>
            <w:r w:rsidR="00DD2821" w:rsidRPr="00CA3497">
              <w:rPr>
                <w:rFonts w:ascii="Times New Roman" w:hAnsi="Times New Roman" w:cs="Times New Roman"/>
                <w:sz w:val="24"/>
                <w:szCs w:val="24"/>
                <w:vertAlign w:val="superscript"/>
              </w:rPr>
              <w:t>a</w:t>
            </w:r>
          </w:p>
        </w:tc>
      </w:tr>
      <w:tr w:rsidR="0002625C" w:rsidRPr="00CA3497" w14:paraId="397E8BA8" w14:textId="77777777" w:rsidTr="0009096B">
        <w:trPr>
          <w:jc w:val="center"/>
        </w:trPr>
        <w:tc>
          <w:tcPr>
            <w:cnfStyle w:val="001000000000" w:firstRow="0" w:lastRow="0" w:firstColumn="1" w:lastColumn="0" w:oddVBand="0" w:evenVBand="0" w:oddHBand="0" w:evenHBand="0" w:firstRowFirstColumn="0" w:firstRowLastColumn="0" w:lastRowFirstColumn="0" w:lastRowLastColumn="0"/>
            <w:tcW w:w="4050" w:type="dxa"/>
          </w:tcPr>
          <w:p w14:paraId="41C31F19" w14:textId="77777777" w:rsidR="0002625C" w:rsidRPr="00CA3497" w:rsidRDefault="0002625C" w:rsidP="00E34A7E">
            <w:pPr>
              <w:tabs>
                <w:tab w:val="left" w:pos="2968"/>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25%</w:t>
            </w:r>
          </w:p>
        </w:tc>
        <w:tc>
          <w:tcPr>
            <w:tcW w:w="3150" w:type="dxa"/>
          </w:tcPr>
          <w:p w14:paraId="758CE6C8" w14:textId="0B485EE1" w:rsidR="0002625C" w:rsidRPr="00CA3497" w:rsidRDefault="0002625C" w:rsidP="00E34A7E">
            <w:pPr>
              <w:tabs>
                <w:tab w:val="left" w:pos="296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36 ± 0.58</w:t>
            </w:r>
            <w:r w:rsidR="00DD2821" w:rsidRPr="00CA3497">
              <w:rPr>
                <w:rFonts w:ascii="Times New Roman" w:hAnsi="Times New Roman" w:cs="Times New Roman"/>
                <w:sz w:val="24"/>
                <w:szCs w:val="24"/>
                <w:vertAlign w:val="superscript"/>
              </w:rPr>
              <w:t>b</w:t>
            </w:r>
          </w:p>
        </w:tc>
      </w:tr>
      <w:tr w:rsidR="0002625C" w:rsidRPr="00CA3497" w14:paraId="07B034C5" w14:textId="77777777" w:rsidTr="0009096B">
        <w:trPr>
          <w:jc w:val="center"/>
        </w:trPr>
        <w:tc>
          <w:tcPr>
            <w:cnfStyle w:val="001000000000" w:firstRow="0" w:lastRow="0" w:firstColumn="1" w:lastColumn="0" w:oddVBand="0" w:evenVBand="0" w:oddHBand="0" w:evenHBand="0" w:firstRowFirstColumn="0" w:firstRowLastColumn="0" w:lastRowFirstColumn="0" w:lastRowLastColumn="0"/>
            <w:tcW w:w="4050" w:type="dxa"/>
          </w:tcPr>
          <w:p w14:paraId="46C06F64" w14:textId="77777777" w:rsidR="0002625C" w:rsidRPr="00CA3497" w:rsidRDefault="0002625C" w:rsidP="00E34A7E">
            <w:pPr>
              <w:tabs>
                <w:tab w:val="left" w:pos="2968"/>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50%</w:t>
            </w:r>
          </w:p>
        </w:tc>
        <w:tc>
          <w:tcPr>
            <w:tcW w:w="3150" w:type="dxa"/>
          </w:tcPr>
          <w:p w14:paraId="5F7E347B" w14:textId="726C8AEB" w:rsidR="0002625C" w:rsidRPr="00CA3497" w:rsidRDefault="0002625C" w:rsidP="00E34A7E">
            <w:pPr>
              <w:tabs>
                <w:tab w:val="left" w:pos="296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36.98 ± 0.60</w:t>
            </w:r>
            <w:r w:rsidR="00DD2821" w:rsidRPr="00CA3497">
              <w:rPr>
                <w:rFonts w:ascii="Times New Roman" w:hAnsi="Times New Roman" w:cs="Times New Roman"/>
                <w:sz w:val="24"/>
                <w:szCs w:val="24"/>
                <w:vertAlign w:val="superscript"/>
              </w:rPr>
              <w:t>b</w:t>
            </w:r>
          </w:p>
        </w:tc>
      </w:tr>
      <w:tr w:rsidR="0002625C" w:rsidRPr="00CA3497" w14:paraId="04A34087" w14:textId="77777777" w:rsidTr="0009096B">
        <w:trPr>
          <w:jc w:val="center"/>
        </w:trPr>
        <w:tc>
          <w:tcPr>
            <w:cnfStyle w:val="001000000000" w:firstRow="0" w:lastRow="0" w:firstColumn="1" w:lastColumn="0" w:oddVBand="0" w:evenVBand="0" w:oddHBand="0" w:evenHBand="0" w:firstRowFirstColumn="0" w:firstRowLastColumn="0" w:lastRowFirstColumn="0" w:lastRowLastColumn="0"/>
            <w:tcW w:w="4050" w:type="dxa"/>
          </w:tcPr>
          <w:p w14:paraId="0DE51421" w14:textId="77777777" w:rsidR="0002625C" w:rsidRPr="00CA3497" w:rsidRDefault="0002625C" w:rsidP="00E34A7E">
            <w:pPr>
              <w:tabs>
                <w:tab w:val="left" w:pos="2968"/>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75%</w:t>
            </w:r>
          </w:p>
        </w:tc>
        <w:tc>
          <w:tcPr>
            <w:tcW w:w="3150" w:type="dxa"/>
          </w:tcPr>
          <w:p w14:paraId="2841F00F" w14:textId="491A4784" w:rsidR="0002625C" w:rsidRPr="00CA3497" w:rsidRDefault="0002625C" w:rsidP="00E34A7E">
            <w:pPr>
              <w:tabs>
                <w:tab w:val="left" w:pos="296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40 ± 0.75</w:t>
            </w:r>
            <w:r w:rsidR="00DD2821" w:rsidRPr="00CA3497">
              <w:rPr>
                <w:rFonts w:ascii="Times New Roman" w:hAnsi="Times New Roman" w:cs="Times New Roman"/>
                <w:sz w:val="24"/>
                <w:szCs w:val="24"/>
                <w:vertAlign w:val="superscript"/>
              </w:rPr>
              <w:t>c</w:t>
            </w:r>
          </w:p>
        </w:tc>
      </w:tr>
    </w:tbl>
    <w:p w14:paraId="05EF1CB1" w14:textId="061CB60A" w:rsidR="0002625C" w:rsidRPr="00CA3497" w:rsidRDefault="00DD2821"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i/>
          <w:iCs/>
          <w:sz w:val="24"/>
          <w:szCs w:val="24"/>
        </w:rPr>
        <w:t xml:space="preserve">ANOVA P&lt;0.05, </w:t>
      </w:r>
      <w:proofErr w:type="spellStart"/>
      <w:r w:rsidRPr="00CA3497">
        <w:rPr>
          <w:rFonts w:ascii="Times New Roman" w:hAnsi="Times New Roman" w:cs="Times New Roman"/>
          <w:i/>
          <w:iCs/>
          <w:sz w:val="24"/>
          <w:szCs w:val="24"/>
        </w:rPr>
        <w:t>Mean±SD</w:t>
      </w:r>
      <w:proofErr w:type="spellEnd"/>
      <w:r w:rsidRPr="00CA3497">
        <w:rPr>
          <w:rFonts w:ascii="Times New Roman" w:hAnsi="Times New Roman" w:cs="Times New Roman"/>
          <w:i/>
          <w:iCs/>
          <w:sz w:val="24"/>
          <w:szCs w:val="24"/>
        </w:rPr>
        <w:t xml:space="preserve"> with different superscripts differ significantly between respective groups by Turkey’s post hoc test</w:t>
      </w:r>
    </w:p>
    <w:p w14:paraId="5DCA55B0" w14:textId="77777777" w:rsidR="006B0CB7" w:rsidRPr="00CA3497" w:rsidRDefault="0002625C" w:rsidP="00CA3497">
      <w:pPr>
        <w:spacing w:line="360" w:lineRule="auto"/>
        <w:jc w:val="center"/>
        <w:rPr>
          <w:rFonts w:ascii="Times New Roman" w:hAnsi="Times New Roman" w:cs="Times New Roman"/>
          <w:i/>
          <w:sz w:val="24"/>
          <w:szCs w:val="24"/>
        </w:rPr>
      </w:pPr>
      <w:r w:rsidRPr="00CA3497">
        <w:rPr>
          <w:rFonts w:ascii="Times New Roman" w:hAnsi="Times New Roman" w:cs="Times New Roman"/>
          <w:sz w:val="24"/>
          <w:szCs w:val="24"/>
        </w:rPr>
        <w:t>Figure 1</w:t>
      </w:r>
      <w:r w:rsidR="0009096B" w:rsidRPr="00CA3497">
        <w:rPr>
          <w:rFonts w:ascii="Times New Roman" w:hAnsi="Times New Roman" w:cs="Times New Roman"/>
          <w:sz w:val="24"/>
          <w:szCs w:val="24"/>
        </w:rPr>
        <w:t>:</w:t>
      </w:r>
      <w:r w:rsidRPr="00CA3497">
        <w:rPr>
          <w:rFonts w:ascii="Times New Roman" w:hAnsi="Times New Roman" w:cs="Times New Roman"/>
          <w:sz w:val="24"/>
          <w:szCs w:val="24"/>
        </w:rPr>
        <w:t xml:space="preserve"> </w:t>
      </w:r>
      <w:bookmarkStart w:id="0" w:name="_Hlk172544855"/>
      <w:r w:rsidRPr="00CA3497">
        <w:rPr>
          <w:rFonts w:ascii="Times New Roman" w:hAnsi="Times New Roman" w:cs="Times New Roman"/>
          <w:sz w:val="24"/>
          <w:szCs w:val="24"/>
        </w:rPr>
        <w:t xml:space="preserve">Effect of </w:t>
      </w:r>
      <w:r w:rsidRPr="00CA3497">
        <w:rPr>
          <w:rFonts w:ascii="Times New Roman" w:hAnsi="Times New Roman" w:cs="Times New Roman"/>
          <w:i/>
          <w:sz w:val="24"/>
          <w:szCs w:val="24"/>
        </w:rPr>
        <w:t>Citrus sinensis</w:t>
      </w:r>
      <w:r w:rsidRPr="00CA3497">
        <w:rPr>
          <w:rFonts w:ascii="Times New Roman" w:hAnsi="Times New Roman" w:cs="Times New Roman"/>
          <w:sz w:val="24"/>
          <w:szCs w:val="24"/>
        </w:rPr>
        <w:t xml:space="preserve"> diet supplement in the growth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bookmarkEnd w:id="0"/>
      <w:proofErr w:type="spellEnd"/>
    </w:p>
    <w:p w14:paraId="3B588C23" w14:textId="797FF3E7" w:rsidR="006B0CB7" w:rsidRPr="00CA3497" w:rsidRDefault="006B0CB7" w:rsidP="00CA3497">
      <w:pPr>
        <w:spacing w:line="360" w:lineRule="auto"/>
        <w:jc w:val="center"/>
        <w:rPr>
          <w:rFonts w:ascii="Times New Roman" w:hAnsi="Times New Roman" w:cs="Times New Roman"/>
          <w:i/>
          <w:sz w:val="24"/>
          <w:szCs w:val="24"/>
        </w:rPr>
      </w:pPr>
      <w:r w:rsidRPr="00CA3497">
        <w:rPr>
          <w:rFonts w:ascii="Times New Roman" w:hAnsi="Times New Roman" w:cs="Times New Roman"/>
          <w:i/>
          <w:noProof/>
          <w:sz w:val="24"/>
          <w:szCs w:val="24"/>
          <w:lang w:val="en-US"/>
        </w:rPr>
        <w:drawing>
          <wp:inline distT="0" distB="0" distL="0" distR="0" wp14:anchorId="40EB4A3B" wp14:editId="2ECB85D4">
            <wp:extent cx="3960000" cy="2507070"/>
            <wp:effectExtent l="0" t="0" r="2540" b="7620"/>
            <wp:docPr id="545176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0000" cy="2507070"/>
                    </a:xfrm>
                    <a:prstGeom prst="rect">
                      <a:avLst/>
                    </a:prstGeom>
                    <a:noFill/>
                  </pic:spPr>
                </pic:pic>
              </a:graphicData>
            </a:graphic>
          </wp:inline>
        </w:drawing>
      </w:r>
    </w:p>
    <w:p w14:paraId="4C7647B7" w14:textId="46ED4249" w:rsidR="006A162C" w:rsidRPr="00CA3497" w:rsidRDefault="003F6644" w:rsidP="00E34A7E">
      <w:pPr>
        <w:pStyle w:val="NormalWeb"/>
        <w:spacing w:line="360" w:lineRule="auto"/>
        <w:jc w:val="both"/>
        <w:rPr>
          <w:rStyle w:val="Strong"/>
          <w:rFonts w:eastAsiaTheme="majorEastAsia"/>
        </w:rPr>
      </w:pPr>
      <w:r w:rsidRPr="00CA3497">
        <w:rPr>
          <w:rStyle w:val="Strong"/>
          <w:rFonts w:eastAsiaTheme="majorEastAsia"/>
        </w:rPr>
        <w:t>Protein content:</w:t>
      </w:r>
    </w:p>
    <w:p w14:paraId="2248EF94" w14:textId="77777777" w:rsidR="00C01DEA" w:rsidRPr="00CA3497" w:rsidRDefault="00C01DEA" w:rsidP="00E34A7E">
      <w:pPr>
        <w:pStyle w:val="NormalWeb"/>
        <w:spacing w:line="360" w:lineRule="auto"/>
        <w:jc w:val="both"/>
      </w:pPr>
      <w:r w:rsidRPr="00CA3497">
        <w:t xml:space="preserve">The total muscle protein content of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fed diets supplemented with varying levels of </w:t>
      </w:r>
      <w:r w:rsidRPr="00CA3497">
        <w:rPr>
          <w:rStyle w:val="Emphasis"/>
          <w:rFonts w:eastAsiaTheme="majorEastAsia"/>
        </w:rPr>
        <w:t>Citrus sinensis</w:t>
      </w:r>
      <w:r w:rsidRPr="00CA3497">
        <w:t xml:space="preserve"> peel is presented in Table 2. A significant increase (</w:t>
      </w:r>
      <w:r w:rsidRPr="00CA3497">
        <w:rPr>
          <w:rStyle w:val="Emphasis"/>
          <w:rFonts w:eastAsiaTheme="majorEastAsia"/>
        </w:rPr>
        <w:t>P</w:t>
      </w:r>
      <w:r w:rsidRPr="00CA3497">
        <w:t xml:space="preserve"> &lt; 0.05) in protein content was observed with increasing levels of dietary supplementation.</w:t>
      </w:r>
    </w:p>
    <w:p w14:paraId="631BCFF7" w14:textId="77777777" w:rsidR="00C01DEA" w:rsidRPr="00CA3497" w:rsidRDefault="00C01DEA" w:rsidP="00E34A7E">
      <w:pPr>
        <w:pStyle w:val="NormalWeb"/>
        <w:spacing w:line="360" w:lineRule="auto"/>
        <w:jc w:val="both"/>
      </w:pPr>
      <w:r w:rsidRPr="00CA3497">
        <w:t xml:space="preserve">The highest protein content was recorded in the 75% inclusion group (23.8 ± 0.59), followed by the 50% (20.8 ± 0.59) and 25% (17.8 ± 0.59) groups, all of which were significantly higher </w:t>
      </w:r>
      <w:r w:rsidRPr="00CA3497">
        <w:lastRenderedPageBreak/>
        <w:t>than the control group (16.3 ± 0.58). Each treatment group differed significantly from one another, as indicated by distinct superscripts.</w:t>
      </w:r>
    </w:p>
    <w:p w14:paraId="3D061058" w14:textId="77777777" w:rsidR="00C01DEA" w:rsidRPr="00CA3497" w:rsidRDefault="00C01DEA" w:rsidP="00E34A7E">
      <w:pPr>
        <w:pStyle w:val="NormalWeb"/>
        <w:spacing w:line="360" w:lineRule="auto"/>
        <w:jc w:val="both"/>
      </w:pPr>
      <w:r w:rsidRPr="00CA3497">
        <w:t>Statistical analysis using one-way ANOVA followed by Tukey’s HSD post-hoc test confirmed significant differences among all experimental groups (</w:t>
      </w:r>
      <w:r w:rsidRPr="00CA3497">
        <w:rPr>
          <w:rStyle w:val="Emphasis"/>
          <w:rFonts w:eastAsiaTheme="majorEastAsia"/>
        </w:rPr>
        <w:t>P</w:t>
      </w:r>
      <w:r w:rsidRPr="00CA3497">
        <w:t xml:space="preserve"> &lt; 0.05).</w:t>
      </w:r>
    </w:p>
    <w:p w14:paraId="08F2AB7A" w14:textId="19DC62B7" w:rsidR="0002625C" w:rsidRPr="00CA3497" w:rsidRDefault="0002625C" w:rsidP="00CA3497">
      <w:pPr>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 xml:space="preserve">Table </w:t>
      </w:r>
      <w:r w:rsidR="0045196B" w:rsidRPr="00CA3497">
        <w:rPr>
          <w:rFonts w:ascii="Times New Roman" w:hAnsi="Times New Roman" w:cs="Times New Roman"/>
          <w:sz w:val="24"/>
          <w:szCs w:val="24"/>
        </w:rPr>
        <w:t>2</w:t>
      </w:r>
      <w:r w:rsidR="0009096B" w:rsidRPr="00CA3497">
        <w:rPr>
          <w:rFonts w:ascii="Times New Roman" w:hAnsi="Times New Roman" w:cs="Times New Roman"/>
          <w:sz w:val="24"/>
          <w:szCs w:val="24"/>
        </w:rPr>
        <w:t>:</w:t>
      </w:r>
      <w:r w:rsidR="0045196B" w:rsidRPr="00CA3497">
        <w:rPr>
          <w:rFonts w:ascii="Times New Roman" w:hAnsi="Times New Roman" w:cs="Times New Roman"/>
          <w:sz w:val="24"/>
          <w:szCs w:val="24"/>
        </w:rPr>
        <w:t xml:space="preserve"> Effect</w:t>
      </w:r>
      <w:r w:rsidRPr="00CA3497">
        <w:rPr>
          <w:rFonts w:ascii="Times New Roman" w:hAnsi="Times New Roman" w:cs="Times New Roman"/>
          <w:sz w:val="24"/>
          <w:szCs w:val="24"/>
        </w:rPr>
        <w:t xml:space="preserve"> of </w:t>
      </w:r>
      <w:r w:rsidRPr="00CA3497">
        <w:rPr>
          <w:rFonts w:ascii="Times New Roman" w:hAnsi="Times New Roman" w:cs="Times New Roman"/>
          <w:i/>
          <w:sz w:val="24"/>
          <w:szCs w:val="24"/>
        </w:rPr>
        <w:t>Citrus sinensis</w:t>
      </w:r>
      <w:r w:rsidRPr="00CA3497">
        <w:rPr>
          <w:rFonts w:ascii="Times New Roman" w:hAnsi="Times New Roman" w:cs="Times New Roman"/>
          <w:sz w:val="24"/>
          <w:szCs w:val="24"/>
        </w:rPr>
        <w:t xml:space="preserve"> in the total protein content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w:t>
      </w:r>
    </w:p>
    <w:tbl>
      <w:tblPr>
        <w:tblStyle w:val="GridTable1Light"/>
        <w:tblW w:w="0" w:type="auto"/>
        <w:jc w:val="center"/>
        <w:tblLook w:val="04A0" w:firstRow="1" w:lastRow="0" w:firstColumn="1" w:lastColumn="0" w:noHBand="0" w:noVBand="1"/>
      </w:tblPr>
      <w:tblGrid>
        <w:gridCol w:w="3511"/>
        <w:gridCol w:w="3511"/>
      </w:tblGrid>
      <w:tr w:rsidR="0002625C" w:rsidRPr="00CA3497" w14:paraId="74420CAE" w14:textId="77777777" w:rsidTr="0009096B">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3511" w:type="dxa"/>
          </w:tcPr>
          <w:p w14:paraId="60A91014" w14:textId="77777777" w:rsidR="0002625C" w:rsidRPr="00CA3497" w:rsidRDefault="0002625C" w:rsidP="00E34A7E">
            <w:pPr>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Percentage of feed</w:t>
            </w:r>
          </w:p>
        </w:tc>
        <w:tc>
          <w:tcPr>
            <w:tcW w:w="3511" w:type="dxa"/>
          </w:tcPr>
          <w:p w14:paraId="50DAC846" w14:textId="77777777" w:rsidR="0002625C" w:rsidRPr="00CA3497" w:rsidRDefault="0002625C" w:rsidP="00E34A7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Experiment</w:t>
            </w:r>
          </w:p>
        </w:tc>
      </w:tr>
      <w:tr w:rsidR="0002625C" w:rsidRPr="00CA3497" w14:paraId="1B23141E" w14:textId="77777777" w:rsidTr="0009096B">
        <w:trPr>
          <w:trHeight w:val="370"/>
          <w:jc w:val="center"/>
        </w:trPr>
        <w:tc>
          <w:tcPr>
            <w:cnfStyle w:val="001000000000" w:firstRow="0" w:lastRow="0" w:firstColumn="1" w:lastColumn="0" w:oddVBand="0" w:evenVBand="0" w:oddHBand="0" w:evenHBand="0" w:firstRowFirstColumn="0" w:firstRowLastColumn="0" w:lastRowFirstColumn="0" w:lastRowLastColumn="0"/>
            <w:tcW w:w="3511" w:type="dxa"/>
          </w:tcPr>
          <w:p w14:paraId="24ED5497" w14:textId="77777777" w:rsidR="0002625C" w:rsidRPr="00CA3497" w:rsidRDefault="0002625C" w:rsidP="00E34A7E">
            <w:pPr>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Control</w:t>
            </w:r>
          </w:p>
        </w:tc>
        <w:tc>
          <w:tcPr>
            <w:tcW w:w="3511" w:type="dxa"/>
          </w:tcPr>
          <w:p w14:paraId="3FD2F58E" w14:textId="30A9D372" w:rsidR="0002625C" w:rsidRPr="00CA3497" w:rsidRDefault="0002625C" w:rsidP="00E34A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16.3 ± 0.58</w:t>
            </w:r>
            <w:r w:rsidR="00DD2821" w:rsidRPr="00CA3497">
              <w:rPr>
                <w:rFonts w:ascii="Times New Roman" w:hAnsi="Times New Roman" w:cs="Times New Roman"/>
                <w:sz w:val="24"/>
                <w:szCs w:val="24"/>
                <w:vertAlign w:val="superscript"/>
              </w:rPr>
              <w:t>a</w:t>
            </w:r>
          </w:p>
        </w:tc>
      </w:tr>
      <w:tr w:rsidR="0002625C" w:rsidRPr="00CA3497" w14:paraId="56A93900" w14:textId="77777777" w:rsidTr="0009096B">
        <w:trPr>
          <w:trHeight w:val="391"/>
          <w:jc w:val="center"/>
        </w:trPr>
        <w:tc>
          <w:tcPr>
            <w:cnfStyle w:val="001000000000" w:firstRow="0" w:lastRow="0" w:firstColumn="1" w:lastColumn="0" w:oddVBand="0" w:evenVBand="0" w:oddHBand="0" w:evenHBand="0" w:firstRowFirstColumn="0" w:firstRowLastColumn="0" w:lastRowFirstColumn="0" w:lastRowLastColumn="0"/>
            <w:tcW w:w="3511" w:type="dxa"/>
          </w:tcPr>
          <w:p w14:paraId="2BC779F9" w14:textId="77777777" w:rsidR="0002625C" w:rsidRPr="00CA3497" w:rsidRDefault="0002625C" w:rsidP="00E34A7E">
            <w:pPr>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25%</w:t>
            </w:r>
          </w:p>
        </w:tc>
        <w:tc>
          <w:tcPr>
            <w:tcW w:w="3511" w:type="dxa"/>
          </w:tcPr>
          <w:p w14:paraId="1E9F0C57" w14:textId="7E2182C5" w:rsidR="0002625C" w:rsidRPr="00CA3497" w:rsidRDefault="0002625C" w:rsidP="00E34A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17.8 ± 0.59</w:t>
            </w:r>
            <w:r w:rsidR="00DD2821" w:rsidRPr="00CA3497">
              <w:rPr>
                <w:rFonts w:ascii="Times New Roman" w:hAnsi="Times New Roman" w:cs="Times New Roman"/>
                <w:sz w:val="24"/>
                <w:szCs w:val="24"/>
                <w:vertAlign w:val="superscript"/>
              </w:rPr>
              <w:t>b</w:t>
            </w:r>
          </w:p>
        </w:tc>
      </w:tr>
      <w:tr w:rsidR="0002625C" w:rsidRPr="00CA3497" w14:paraId="485F9763" w14:textId="77777777" w:rsidTr="0009096B">
        <w:trPr>
          <w:trHeight w:val="391"/>
          <w:jc w:val="center"/>
        </w:trPr>
        <w:tc>
          <w:tcPr>
            <w:cnfStyle w:val="001000000000" w:firstRow="0" w:lastRow="0" w:firstColumn="1" w:lastColumn="0" w:oddVBand="0" w:evenVBand="0" w:oddHBand="0" w:evenHBand="0" w:firstRowFirstColumn="0" w:firstRowLastColumn="0" w:lastRowFirstColumn="0" w:lastRowLastColumn="0"/>
            <w:tcW w:w="3511" w:type="dxa"/>
          </w:tcPr>
          <w:p w14:paraId="34FC9535" w14:textId="77777777" w:rsidR="0002625C" w:rsidRPr="00CA3497" w:rsidRDefault="0002625C" w:rsidP="00E34A7E">
            <w:pPr>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50%</w:t>
            </w:r>
          </w:p>
        </w:tc>
        <w:tc>
          <w:tcPr>
            <w:tcW w:w="3511" w:type="dxa"/>
          </w:tcPr>
          <w:p w14:paraId="58F4F4C9" w14:textId="66A2AEE8" w:rsidR="0002625C" w:rsidRPr="00CA3497" w:rsidRDefault="0002625C" w:rsidP="00E34A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20.8 ± 0.59</w:t>
            </w:r>
            <w:r w:rsidR="00DD2821" w:rsidRPr="00CA3497">
              <w:rPr>
                <w:rFonts w:ascii="Times New Roman" w:hAnsi="Times New Roman" w:cs="Times New Roman"/>
                <w:sz w:val="24"/>
                <w:szCs w:val="24"/>
                <w:vertAlign w:val="superscript"/>
              </w:rPr>
              <w:t>c</w:t>
            </w:r>
          </w:p>
        </w:tc>
      </w:tr>
      <w:tr w:rsidR="0002625C" w:rsidRPr="00CA3497" w14:paraId="1B284D19" w14:textId="77777777" w:rsidTr="0009096B">
        <w:trPr>
          <w:trHeight w:val="391"/>
          <w:jc w:val="center"/>
        </w:trPr>
        <w:tc>
          <w:tcPr>
            <w:cnfStyle w:val="001000000000" w:firstRow="0" w:lastRow="0" w:firstColumn="1" w:lastColumn="0" w:oddVBand="0" w:evenVBand="0" w:oddHBand="0" w:evenHBand="0" w:firstRowFirstColumn="0" w:firstRowLastColumn="0" w:lastRowFirstColumn="0" w:lastRowLastColumn="0"/>
            <w:tcW w:w="3511" w:type="dxa"/>
          </w:tcPr>
          <w:p w14:paraId="163F9F0A" w14:textId="77777777" w:rsidR="0002625C" w:rsidRPr="00CA3497" w:rsidRDefault="0002625C" w:rsidP="00E34A7E">
            <w:pPr>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75%</w:t>
            </w:r>
          </w:p>
        </w:tc>
        <w:tc>
          <w:tcPr>
            <w:tcW w:w="3511" w:type="dxa"/>
          </w:tcPr>
          <w:p w14:paraId="21C4EF98" w14:textId="0A1CF77D" w:rsidR="0002625C" w:rsidRPr="00CA3497" w:rsidRDefault="0002625C" w:rsidP="00E34A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23.8 ± 0.59</w:t>
            </w:r>
            <w:r w:rsidR="00DD2821" w:rsidRPr="00CA3497">
              <w:rPr>
                <w:rFonts w:ascii="Times New Roman" w:hAnsi="Times New Roman" w:cs="Times New Roman"/>
                <w:sz w:val="24"/>
                <w:szCs w:val="24"/>
                <w:vertAlign w:val="superscript"/>
              </w:rPr>
              <w:t>d</w:t>
            </w:r>
          </w:p>
        </w:tc>
      </w:tr>
    </w:tbl>
    <w:p w14:paraId="6E70759E" w14:textId="3A811E37" w:rsidR="00DD2821" w:rsidRPr="00CA3497" w:rsidRDefault="00DD2821"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i/>
          <w:iCs/>
          <w:sz w:val="24"/>
          <w:szCs w:val="24"/>
        </w:rPr>
        <w:t xml:space="preserve">ANOVA P&lt;0.05, </w:t>
      </w:r>
      <w:proofErr w:type="spellStart"/>
      <w:r w:rsidRPr="00CA3497">
        <w:rPr>
          <w:rFonts w:ascii="Times New Roman" w:hAnsi="Times New Roman" w:cs="Times New Roman"/>
          <w:i/>
          <w:iCs/>
          <w:sz w:val="24"/>
          <w:szCs w:val="24"/>
        </w:rPr>
        <w:t>Mean±SD</w:t>
      </w:r>
      <w:proofErr w:type="spellEnd"/>
      <w:r w:rsidRPr="00CA3497">
        <w:rPr>
          <w:rFonts w:ascii="Times New Roman" w:hAnsi="Times New Roman" w:cs="Times New Roman"/>
          <w:i/>
          <w:iCs/>
          <w:sz w:val="24"/>
          <w:szCs w:val="24"/>
        </w:rPr>
        <w:t xml:space="preserve"> with different superscripts differ significantly between respective groups by Turkey’s post hoc test</w:t>
      </w:r>
    </w:p>
    <w:p w14:paraId="6970A881" w14:textId="340BDDE6" w:rsidR="0002625C" w:rsidRPr="00CA3497" w:rsidRDefault="0002625C" w:rsidP="00CA3497">
      <w:pPr>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 xml:space="preserve">Figure </w:t>
      </w:r>
      <w:r w:rsidR="0045196B" w:rsidRPr="00CA3497">
        <w:rPr>
          <w:rFonts w:ascii="Times New Roman" w:hAnsi="Times New Roman" w:cs="Times New Roman"/>
          <w:sz w:val="24"/>
          <w:szCs w:val="24"/>
        </w:rPr>
        <w:t>2</w:t>
      </w:r>
      <w:r w:rsidR="0009096B" w:rsidRPr="00CA3497">
        <w:rPr>
          <w:rFonts w:ascii="Times New Roman" w:hAnsi="Times New Roman" w:cs="Times New Roman"/>
          <w:sz w:val="24"/>
          <w:szCs w:val="24"/>
        </w:rPr>
        <w:t>:</w:t>
      </w:r>
      <w:r w:rsidR="0045196B" w:rsidRPr="00CA3497">
        <w:rPr>
          <w:rFonts w:ascii="Times New Roman" w:hAnsi="Times New Roman" w:cs="Times New Roman"/>
          <w:sz w:val="24"/>
          <w:szCs w:val="24"/>
        </w:rPr>
        <w:t xml:space="preserve"> Effect</w:t>
      </w:r>
      <w:r w:rsidRPr="00CA3497">
        <w:rPr>
          <w:rFonts w:ascii="Times New Roman" w:hAnsi="Times New Roman" w:cs="Times New Roman"/>
          <w:sz w:val="24"/>
          <w:szCs w:val="24"/>
        </w:rPr>
        <w:t xml:space="preserve"> of </w:t>
      </w:r>
      <w:r w:rsidRPr="00CA3497">
        <w:rPr>
          <w:rFonts w:ascii="Times New Roman" w:hAnsi="Times New Roman" w:cs="Times New Roman"/>
          <w:i/>
          <w:sz w:val="24"/>
          <w:szCs w:val="24"/>
        </w:rPr>
        <w:t>Citrus sinensis</w:t>
      </w:r>
      <w:r w:rsidRPr="00CA3497">
        <w:rPr>
          <w:rFonts w:ascii="Times New Roman" w:hAnsi="Times New Roman" w:cs="Times New Roman"/>
          <w:sz w:val="24"/>
          <w:szCs w:val="24"/>
        </w:rPr>
        <w:t xml:space="preserve"> in the total protein content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w:t>
      </w:r>
    </w:p>
    <w:p w14:paraId="723A165B" w14:textId="1AB4CF3C" w:rsidR="006B0CB7" w:rsidRPr="00CA3497" w:rsidRDefault="006B0CB7" w:rsidP="00CA3497">
      <w:pPr>
        <w:spacing w:line="360" w:lineRule="auto"/>
        <w:jc w:val="center"/>
        <w:rPr>
          <w:rFonts w:ascii="Times New Roman" w:hAnsi="Times New Roman" w:cs="Times New Roman"/>
          <w:sz w:val="24"/>
          <w:szCs w:val="24"/>
        </w:rPr>
      </w:pPr>
      <w:r w:rsidRPr="00CA3497">
        <w:rPr>
          <w:rFonts w:ascii="Times New Roman" w:hAnsi="Times New Roman" w:cs="Times New Roman"/>
          <w:noProof/>
          <w:sz w:val="24"/>
          <w:szCs w:val="24"/>
          <w:lang w:val="en-US"/>
        </w:rPr>
        <mc:AlternateContent>
          <mc:Choice Requires="wps">
            <w:drawing>
              <wp:inline distT="0" distB="0" distL="0" distR="0" wp14:anchorId="0C8DF430" wp14:editId="3CDD8FBB">
                <wp:extent cx="307340" cy="307340"/>
                <wp:effectExtent l="0" t="0" r="0" b="0"/>
                <wp:docPr id="1035361357"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324AF88" id="AutoShape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CA3497">
        <w:rPr>
          <w:rFonts w:ascii="Times New Roman" w:hAnsi="Times New Roman" w:cs="Times New Roman"/>
          <w:noProof/>
          <w:sz w:val="24"/>
          <w:szCs w:val="24"/>
          <w:lang w:val="en-US"/>
        </w:rPr>
        <w:drawing>
          <wp:inline distT="0" distB="0" distL="0" distR="0" wp14:anchorId="50B3CA51" wp14:editId="751B2E48">
            <wp:extent cx="3960000" cy="2507070"/>
            <wp:effectExtent l="0" t="0" r="2540" b="7620"/>
            <wp:docPr id="1006069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0" cy="2507070"/>
                    </a:xfrm>
                    <a:prstGeom prst="rect">
                      <a:avLst/>
                    </a:prstGeom>
                    <a:noFill/>
                  </pic:spPr>
                </pic:pic>
              </a:graphicData>
            </a:graphic>
          </wp:inline>
        </w:drawing>
      </w:r>
    </w:p>
    <w:p w14:paraId="0A5364F8" w14:textId="3C97E6DD" w:rsidR="00EE11CD" w:rsidRPr="00CA3497" w:rsidRDefault="009C44F1" w:rsidP="00E34A7E">
      <w:pPr>
        <w:pStyle w:val="NormalWeb"/>
        <w:spacing w:line="360" w:lineRule="auto"/>
        <w:jc w:val="both"/>
        <w:rPr>
          <w:rStyle w:val="Strong"/>
          <w:rFonts w:eastAsiaTheme="majorEastAsia"/>
        </w:rPr>
      </w:pPr>
      <w:r w:rsidRPr="00CA3497">
        <w:rPr>
          <w:rStyle w:val="Strong"/>
          <w:rFonts w:eastAsiaTheme="majorEastAsia"/>
        </w:rPr>
        <w:t>Cholesterol</w:t>
      </w:r>
      <w:r w:rsidR="003F6644" w:rsidRPr="00CA3497">
        <w:rPr>
          <w:rStyle w:val="Strong"/>
          <w:rFonts w:eastAsiaTheme="majorEastAsia"/>
        </w:rPr>
        <w:t xml:space="preserve"> content:</w:t>
      </w:r>
    </w:p>
    <w:p w14:paraId="16E4834D" w14:textId="77777777" w:rsidR="00C01DEA" w:rsidRPr="00CA3497" w:rsidRDefault="00C01DEA" w:rsidP="00E34A7E">
      <w:pPr>
        <w:pStyle w:val="NormalWeb"/>
        <w:spacing w:line="360" w:lineRule="auto"/>
        <w:jc w:val="both"/>
      </w:pPr>
      <w:r w:rsidRPr="00CA3497">
        <w:t xml:space="preserve">The total cholesterol content of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fed diets supplemented with varying levels of </w:t>
      </w:r>
      <w:r w:rsidRPr="00CA3497">
        <w:rPr>
          <w:rStyle w:val="Emphasis"/>
          <w:rFonts w:eastAsiaTheme="majorEastAsia"/>
        </w:rPr>
        <w:t>Citrus sinensis</w:t>
      </w:r>
      <w:r w:rsidRPr="00CA3497">
        <w:t xml:space="preserve"> peel is presented in Table 3. A significant increase (</w:t>
      </w:r>
      <w:r w:rsidRPr="00CA3497">
        <w:rPr>
          <w:rStyle w:val="Emphasis"/>
          <w:rFonts w:eastAsiaTheme="majorEastAsia"/>
        </w:rPr>
        <w:t>P</w:t>
      </w:r>
      <w:r w:rsidRPr="00CA3497">
        <w:t xml:space="preserve"> &lt; 0.05) in cholesterol levels was observed across all treatment groups compared to the control.</w:t>
      </w:r>
    </w:p>
    <w:p w14:paraId="578DD68C" w14:textId="77777777" w:rsidR="00C01DEA" w:rsidRPr="00CA3497" w:rsidRDefault="00C01DEA" w:rsidP="00E34A7E">
      <w:pPr>
        <w:pStyle w:val="NormalWeb"/>
        <w:spacing w:line="360" w:lineRule="auto"/>
        <w:jc w:val="both"/>
      </w:pPr>
      <w:r w:rsidRPr="00CA3497">
        <w:t xml:space="preserve">The highest cholesterol content was recorded in the 75% inclusion group (9.7 ± 0.40), followed by the 50% (7.22 ± 0.36) and 25% (3.43 ± 0.50) groups. The control group exhibited the lowest </w:t>
      </w:r>
      <w:r w:rsidRPr="00CA3497">
        <w:lastRenderedPageBreak/>
        <w:t>value (2.08 ± 0.57). All experimental groups differed significantly from one another, as indicated by distinct superscripts.</w:t>
      </w:r>
    </w:p>
    <w:p w14:paraId="776C8DD3" w14:textId="77777777" w:rsidR="00C01DEA" w:rsidRPr="00CA3497" w:rsidRDefault="00C01DEA" w:rsidP="00E34A7E">
      <w:pPr>
        <w:pStyle w:val="NormalWeb"/>
        <w:spacing w:line="360" w:lineRule="auto"/>
        <w:jc w:val="both"/>
      </w:pPr>
      <w:r w:rsidRPr="00CA3497">
        <w:t>Statistical analysis using one-way ANOVA followed by Tukey’s HSD post-hoc test confirmed that the differences among the groups were statistically significant (</w:t>
      </w:r>
      <w:r w:rsidRPr="00CA3497">
        <w:rPr>
          <w:rStyle w:val="Emphasis"/>
          <w:rFonts w:eastAsiaTheme="majorEastAsia"/>
        </w:rPr>
        <w:t>P</w:t>
      </w:r>
      <w:r w:rsidRPr="00CA3497">
        <w:t xml:space="preserve"> &lt; 0.05).</w:t>
      </w:r>
    </w:p>
    <w:p w14:paraId="04E882BE" w14:textId="7527B1B9" w:rsidR="0002625C" w:rsidRPr="00CA3497" w:rsidRDefault="0002625C" w:rsidP="00CA3497">
      <w:pPr>
        <w:tabs>
          <w:tab w:val="left" w:pos="2642"/>
        </w:tabs>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Table 3</w:t>
      </w:r>
      <w:r w:rsidR="003C64FB" w:rsidRPr="00CA3497">
        <w:rPr>
          <w:rFonts w:ascii="Times New Roman" w:hAnsi="Times New Roman" w:cs="Times New Roman"/>
          <w:sz w:val="24"/>
          <w:szCs w:val="24"/>
        </w:rPr>
        <w:t>:</w:t>
      </w:r>
      <w:r w:rsidRPr="00CA3497">
        <w:rPr>
          <w:rFonts w:ascii="Times New Roman" w:hAnsi="Times New Roman" w:cs="Times New Roman"/>
          <w:sz w:val="24"/>
          <w:szCs w:val="24"/>
        </w:rPr>
        <w:t xml:space="preserve"> Effect of </w:t>
      </w:r>
      <w:r w:rsidRPr="00CA3497">
        <w:rPr>
          <w:rFonts w:ascii="Times New Roman" w:hAnsi="Times New Roman" w:cs="Times New Roman"/>
          <w:i/>
          <w:iCs/>
          <w:sz w:val="24"/>
          <w:szCs w:val="24"/>
        </w:rPr>
        <w:t>Citrus sinensis</w:t>
      </w:r>
      <w:r w:rsidRPr="00CA3497">
        <w:rPr>
          <w:rFonts w:ascii="Times New Roman" w:hAnsi="Times New Roman" w:cs="Times New Roman"/>
          <w:sz w:val="24"/>
          <w:szCs w:val="24"/>
        </w:rPr>
        <w:t xml:space="preserve"> in the total </w:t>
      </w:r>
      <w:r w:rsidR="00DA034A" w:rsidRPr="00CA3497">
        <w:rPr>
          <w:rFonts w:ascii="Times New Roman" w:hAnsi="Times New Roman" w:cs="Times New Roman"/>
          <w:sz w:val="24"/>
          <w:szCs w:val="24"/>
        </w:rPr>
        <w:t>cholester</w:t>
      </w:r>
      <w:r w:rsidR="00A33B9E" w:rsidRPr="00CA3497">
        <w:rPr>
          <w:rFonts w:ascii="Times New Roman" w:hAnsi="Times New Roman" w:cs="Times New Roman"/>
          <w:sz w:val="24"/>
          <w:szCs w:val="24"/>
        </w:rPr>
        <w:t>ol</w:t>
      </w:r>
      <w:r w:rsidR="003376D8" w:rsidRPr="00CA3497">
        <w:rPr>
          <w:rFonts w:ascii="Times New Roman" w:hAnsi="Times New Roman" w:cs="Times New Roman"/>
          <w:sz w:val="24"/>
          <w:szCs w:val="24"/>
        </w:rPr>
        <w:t xml:space="preserve"> </w:t>
      </w:r>
      <w:r w:rsidRPr="00CA3497">
        <w:rPr>
          <w:rFonts w:ascii="Times New Roman" w:hAnsi="Times New Roman" w:cs="Times New Roman"/>
          <w:sz w:val="24"/>
          <w:szCs w:val="24"/>
        </w:rPr>
        <w:t xml:space="preserve">content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w:t>
      </w:r>
    </w:p>
    <w:tbl>
      <w:tblPr>
        <w:tblStyle w:val="GridTable1Light"/>
        <w:tblW w:w="0" w:type="auto"/>
        <w:jc w:val="center"/>
        <w:tblLook w:val="04A0" w:firstRow="1" w:lastRow="0" w:firstColumn="1" w:lastColumn="0" w:noHBand="0" w:noVBand="1"/>
      </w:tblPr>
      <w:tblGrid>
        <w:gridCol w:w="3312"/>
        <w:gridCol w:w="3478"/>
      </w:tblGrid>
      <w:tr w:rsidR="0002625C" w:rsidRPr="00CA3497" w14:paraId="44CEFF25" w14:textId="77777777" w:rsidTr="003C64FB">
        <w:trPr>
          <w:cnfStyle w:val="100000000000" w:firstRow="1" w:lastRow="0" w:firstColumn="0" w:lastColumn="0" w:oddVBand="0" w:evenVBand="0" w:oddHBand="0"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3312" w:type="dxa"/>
          </w:tcPr>
          <w:p w14:paraId="7D5691DA" w14:textId="77777777" w:rsidR="0002625C" w:rsidRPr="00CA3497" w:rsidRDefault="0002625C" w:rsidP="00E34A7E">
            <w:pPr>
              <w:tabs>
                <w:tab w:val="left" w:pos="2642"/>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Percentage of feed</w:t>
            </w:r>
          </w:p>
        </w:tc>
        <w:tc>
          <w:tcPr>
            <w:tcW w:w="3478" w:type="dxa"/>
          </w:tcPr>
          <w:p w14:paraId="7D2663C9" w14:textId="77777777" w:rsidR="0002625C" w:rsidRPr="00CA3497" w:rsidRDefault="0002625C" w:rsidP="00E34A7E">
            <w:pPr>
              <w:tabs>
                <w:tab w:val="left" w:pos="26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 xml:space="preserve">Experiment </w:t>
            </w:r>
          </w:p>
        </w:tc>
      </w:tr>
      <w:tr w:rsidR="0002625C" w:rsidRPr="00CA3497" w14:paraId="6B061E26" w14:textId="77777777" w:rsidTr="003C64FB">
        <w:trPr>
          <w:trHeight w:val="366"/>
          <w:jc w:val="center"/>
        </w:trPr>
        <w:tc>
          <w:tcPr>
            <w:cnfStyle w:val="001000000000" w:firstRow="0" w:lastRow="0" w:firstColumn="1" w:lastColumn="0" w:oddVBand="0" w:evenVBand="0" w:oddHBand="0" w:evenHBand="0" w:firstRowFirstColumn="0" w:firstRowLastColumn="0" w:lastRowFirstColumn="0" w:lastRowLastColumn="0"/>
            <w:tcW w:w="3312" w:type="dxa"/>
          </w:tcPr>
          <w:p w14:paraId="541F0249" w14:textId="77777777" w:rsidR="0002625C" w:rsidRPr="00CA3497" w:rsidRDefault="0002625C" w:rsidP="00E34A7E">
            <w:pPr>
              <w:tabs>
                <w:tab w:val="left" w:pos="2642"/>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Control</w:t>
            </w:r>
          </w:p>
        </w:tc>
        <w:tc>
          <w:tcPr>
            <w:tcW w:w="3478" w:type="dxa"/>
          </w:tcPr>
          <w:p w14:paraId="44A78E2D" w14:textId="6B5D180C" w:rsidR="0002625C" w:rsidRPr="00CA3497" w:rsidRDefault="0002625C" w:rsidP="00E34A7E">
            <w:pPr>
              <w:tabs>
                <w:tab w:val="left" w:pos="26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2.08 ± 0.57</w:t>
            </w:r>
            <w:r w:rsidR="00DD2821" w:rsidRPr="00CA3497">
              <w:rPr>
                <w:rFonts w:ascii="Times New Roman" w:hAnsi="Times New Roman" w:cs="Times New Roman"/>
                <w:sz w:val="24"/>
                <w:szCs w:val="24"/>
                <w:vertAlign w:val="superscript"/>
              </w:rPr>
              <w:t>a</w:t>
            </w:r>
          </w:p>
        </w:tc>
      </w:tr>
      <w:tr w:rsidR="0002625C" w:rsidRPr="00CA3497" w14:paraId="51269725" w14:textId="77777777" w:rsidTr="003C64FB">
        <w:trPr>
          <w:trHeight w:val="381"/>
          <w:jc w:val="center"/>
        </w:trPr>
        <w:tc>
          <w:tcPr>
            <w:cnfStyle w:val="001000000000" w:firstRow="0" w:lastRow="0" w:firstColumn="1" w:lastColumn="0" w:oddVBand="0" w:evenVBand="0" w:oddHBand="0" w:evenHBand="0" w:firstRowFirstColumn="0" w:firstRowLastColumn="0" w:lastRowFirstColumn="0" w:lastRowLastColumn="0"/>
            <w:tcW w:w="3312" w:type="dxa"/>
          </w:tcPr>
          <w:p w14:paraId="64BF94C8" w14:textId="77777777" w:rsidR="0002625C" w:rsidRPr="00CA3497" w:rsidRDefault="0002625C" w:rsidP="00E34A7E">
            <w:pPr>
              <w:tabs>
                <w:tab w:val="left" w:pos="2642"/>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25%</w:t>
            </w:r>
          </w:p>
        </w:tc>
        <w:tc>
          <w:tcPr>
            <w:tcW w:w="3478" w:type="dxa"/>
          </w:tcPr>
          <w:p w14:paraId="24BBBBF6" w14:textId="6D7062B1" w:rsidR="0002625C" w:rsidRPr="00CA3497" w:rsidRDefault="0002625C" w:rsidP="00E34A7E">
            <w:pPr>
              <w:tabs>
                <w:tab w:val="left" w:pos="26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3.43 ± 0.50</w:t>
            </w:r>
            <w:r w:rsidR="00DD2821" w:rsidRPr="00CA3497">
              <w:rPr>
                <w:rFonts w:ascii="Times New Roman" w:hAnsi="Times New Roman" w:cs="Times New Roman"/>
                <w:sz w:val="24"/>
                <w:szCs w:val="24"/>
              </w:rPr>
              <w:t>b</w:t>
            </w:r>
          </w:p>
        </w:tc>
      </w:tr>
      <w:tr w:rsidR="0002625C" w:rsidRPr="00CA3497" w14:paraId="008BE9E2" w14:textId="77777777" w:rsidTr="003C64FB">
        <w:trPr>
          <w:trHeight w:val="381"/>
          <w:jc w:val="center"/>
        </w:trPr>
        <w:tc>
          <w:tcPr>
            <w:cnfStyle w:val="001000000000" w:firstRow="0" w:lastRow="0" w:firstColumn="1" w:lastColumn="0" w:oddVBand="0" w:evenVBand="0" w:oddHBand="0" w:evenHBand="0" w:firstRowFirstColumn="0" w:firstRowLastColumn="0" w:lastRowFirstColumn="0" w:lastRowLastColumn="0"/>
            <w:tcW w:w="3312" w:type="dxa"/>
          </w:tcPr>
          <w:p w14:paraId="50814AEB" w14:textId="77777777" w:rsidR="0002625C" w:rsidRPr="00CA3497" w:rsidRDefault="0002625C" w:rsidP="00E34A7E">
            <w:pPr>
              <w:tabs>
                <w:tab w:val="left" w:pos="2642"/>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50%</w:t>
            </w:r>
          </w:p>
        </w:tc>
        <w:tc>
          <w:tcPr>
            <w:tcW w:w="3478" w:type="dxa"/>
          </w:tcPr>
          <w:p w14:paraId="0B240978" w14:textId="0B871485" w:rsidR="0002625C" w:rsidRPr="00CA3497" w:rsidRDefault="0002625C" w:rsidP="00E34A7E">
            <w:pPr>
              <w:tabs>
                <w:tab w:val="left" w:pos="26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7.22 ± 0.36</w:t>
            </w:r>
            <w:r w:rsidR="00DD2821" w:rsidRPr="00CA3497">
              <w:rPr>
                <w:rFonts w:ascii="Times New Roman" w:hAnsi="Times New Roman" w:cs="Times New Roman"/>
                <w:sz w:val="24"/>
                <w:szCs w:val="24"/>
                <w:vertAlign w:val="superscript"/>
              </w:rPr>
              <w:t>c</w:t>
            </w:r>
          </w:p>
        </w:tc>
      </w:tr>
      <w:tr w:rsidR="0002625C" w:rsidRPr="00CA3497" w14:paraId="71E27FE0" w14:textId="77777777" w:rsidTr="003C64FB">
        <w:trPr>
          <w:trHeight w:val="366"/>
          <w:jc w:val="center"/>
        </w:trPr>
        <w:tc>
          <w:tcPr>
            <w:cnfStyle w:val="001000000000" w:firstRow="0" w:lastRow="0" w:firstColumn="1" w:lastColumn="0" w:oddVBand="0" w:evenVBand="0" w:oddHBand="0" w:evenHBand="0" w:firstRowFirstColumn="0" w:firstRowLastColumn="0" w:lastRowFirstColumn="0" w:lastRowLastColumn="0"/>
            <w:tcW w:w="3312" w:type="dxa"/>
          </w:tcPr>
          <w:p w14:paraId="129839CD" w14:textId="77777777" w:rsidR="0002625C" w:rsidRPr="00CA3497" w:rsidRDefault="0002625C" w:rsidP="00E34A7E">
            <w:pPr>
              <w:tabs>
                <w:tab w:val="left" w:pos="2642"/>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75%</w:t>
            </w:r>
          </w:p>
        </w:tc>
        <w:tc>
          <w:tcPr>
            <w:tcW w:w="3478" w:type="dxa"/>
          </w:tcPr>
          <w:p w14:paraId="74EE37E0" w14:textId="582ADB4D" w:rsidR="0002625C" w:rsidRPr="00CA3497" w:rsidRDefault="0002625C" w:rsidP="00E34A7E">
            <w:pPr>
              <w:tabs>
                <w:tab w:val="left" w:pos="26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9.7 ± 0.40</w:t>
            </w:r>
            <w:r w:rsidR="00DD2821" w:rsidRPr="00CA3497">
              <w:rPr>
                <w:rFonts w:ascii="Times New Roman" w:hAnsi="Times New Roman" w:cs="Times New Roman"/>
                <w:sz w:val="24"/>
                <w:szCs w:val="24"/>
                <w:vertAlign w:val="superscript"/>
              </w:rPr>
              <w:t>d</w:t>
            </w:r>
          </w:p>
        </w:tc>
      </w:tr>
    </w:tbl>
    <w:p w14:paraId="0F2798EE" w14:textId="0EDA0178" w:rsidR="00DD2821" w:rsidRPr="00CA3497" w:rsidRDefault="00DD2821"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i/>
          <w:iCs/>
          <w:sz w:val="24"/>
          <w:szCs w:val="24"/>
        </w:rPr>
        <w:t xml:space="preserve">ANOVA P&lt;0.05, </w:t>
      </w:r>
      <w:proofErr w:type="spellStart"/>
      <w:r w:rsidRPr="00CA3497">
        <w:rPr>
          <w:rFonts w:ascii="Times New Roman" w:hAnsi="Times New Roman" w:cs="Times New Roman"/>
          <w:i/>
          <w:iCs/>
          <w:sz w:val="24"/>
          <w:szCs w:val="24"/>
        </w:rPr>
        <w:t>Mean±SD</w:t>
      </w:r>
      <w:proofErr w:type="spellEnd"/>
      <w:r w:rsidRPr="00CA3497">
        <w:rPr>
          <w:rFonts w:ascii="Times New Roman" w:hAnsi="Times New Roman" w:cs="Times New Roman"/>
          <w:i/>
          <w:iCs/>
          <w:sz w:val="24"/>
          <w:szCs w:val="24"/>
        </w:rPr>
        <w:t xml:space="preserve"> with different superscripts differ significantly between respective groups by Turkey’s post hoc test</w:t>
      </w:r>
    </w:p>
    <w:p w14:paraId="657E44C5" w14:textId="41E42592" w:rsidR="00135D9F" w:rsidRPr="00CA3497" w:rsidRDefault="00135D9F"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noProof/>
          <w:sz w:val="24"/>
          <w:szCs w:val="24"/>
          <w:lang w:val="en-US"/>
        </w:rPr>
        <w:drawing>
          <wp:inline distT="0" distB="0" distL="0" distR="0" wp14:anchorId="1692D46D" wp14:editId="3C166585">
            <wp:extent cx="5731510" cy="361950"/>
            <wp:effectExtent l="0" t="0" r="0" b="0"/>
            <wp:docPr id="11696338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61950"/>
                    </a:xfrm>
                    <a:prstGeom prst="rect">
                      <a:avLst/>
                    </a:prstGeom>
                    <a:noFill/>
                    <a:ln>
                      <a:noFill/>
                    </a:ln>
                  </pic:spPr>
                </pic:pic>
              </a:graphicData>
            </a:graphic>
          </wp:inline>
        </w:drawing>
      </w:r>
    </w:p>
    <w:p w14:paraId="42CC3AF7" w14:textId="1270FB3F" w:rsidR="006B0CB7" w:rsidRPr="00CA3497" w:rsidRDefault="006B0CB7" w:rsidP="00CA3497">
      <w:pPr>
        <w:tabs>
          <w:tab w:val="left" w:pos="2968"/>
        </w:tabs>
        <w:spacing w:line="360" w:lineRule="auto"/>
        <w:jc w:val="center"/>
        <w:rPr>
          <w:rFonts w:ascii="Times New Roman" w:hAnsi="Times New Roman" w:cs="Times New Roman"/>
          <w:i/>
          <w:iCs/>
          <w:sz w:val="24"/>
          <w:szCs w:val="24"/>
        </w:rPr>
      </w:pPr>
      <w:r w:rsidRPr="00CA3497">
        <w:rPr>
          <w:rFonts w:ascii="Times New Roman" w:hAnsi="Times New Roman" w:cs="Times New Roman"/>
          <w:i/>
          <w:iCs/>
          <w:noProof/>
          <w:sz w:val="24"/>
          <w:szCs w:val="24"/>
          <w:lang w:val="en-US"/>
        </w:rPr>
        <w:drawing>
          <wp:inline distT="0" distB="0" distL="0" distR="0" wp14:anchorId="0BCF3736" wp14:editId="3CA08500">
            <wp:extent cx="3960000" cy="2507070"/>
            <wp:effectExtent l="0" t="0" r="2540" b="7620"/>
            <wp:docPr id="16741562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0" cy="2507070"/>
                    </a:xfrm>
                    <a:prstGeom prst="rect">
                      <a:avLst/>
                    </a:prstGeom>
                    <a:noFill/>
                  </pic:spPr>
                </pic:pic>
              </a:graphicData>
            </a:graphic>
          </wp:inline>
        </w:drawing>
      </w:r>
    </w:p>
    <w:p w14:paraId="348D1C34" w14:textId="77777777" w:rsidR="00411D54" w:rsidRPr="00CA3497" w:rsidRDefault="00C177F3" w:rsidP="00E34A7E">
      <w:pPr>
        <w:pStyle w:val="NormalWeb"/>
        <w:spacing w:line="360" w:lineRule="auto"/>
        <w:jc w:val="both"/>
        <w:rPr>
          <w:rStyle w:val="Strong"/>
          <w:rFonts w:eastAsiaTheme="majorEastAsia"/>
        </w:rPr>
      </w:pPr>
      <w:r w:rsidRPr="00CA3497">
        <w:rPr>
          <w:rStyle w:val="Strong"/>
          <w:rFonts w:eastAsiaTheme="majorEastAsia"/>
        </w:rPr>
        <w:t>Carbohydrate</w:t>
      </w:r>
      <w:r w:rsidR="003F6644" w:rsidRPr="00CA3497">
        <w:rPr>
          <w:rStyle w:val="Strong"/>
          <w:rFonts w:eastAsiaTheme="majorEastAsia"/>
        </w:rPr>
        <w:t xml:space="preserve"> content:</w:t>
      </w:r>
    </w:p>
    <w:p w14:paraId="6BA528DE" w14:textId="77777777" w:rsidR="00C01DEA" w:rsidRPr="00CA3497" w:rsidRDefault="00C01DEA" w:rsidP="00E34A7E">
      <w:pPr>
        <w:pStyle w:val="NormalWeb"/>
        <w:spacing w:line="360" w:lineRule="auto"/>
        <w:jc w:val="both"/>
      </w:pPr>
      <w:r w:rsidRPr="00CA3497">
        <w:t xml:space="preserve">The total carbohydrate content of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fed diets supplemented with different levels of </w:t>
      </w:r>
      <w:r w:rsidRPr="00CA3497">
        <w:rPr>
          <w:rStyle w:val="Emphasis"/>
          <w:rFonts w:eastAsiaTheme="majorEastAsia"/>
        </w:rPr>
        <w:t>Citrus sinensis</w:t>
      </w:r>
      <w:r w:rsidRPr="00CA3497">
        <w:t xml:space="preserve"> peel is presented in Table 4. A significant increase (</w:t>
      </w:r>
      <w:r w:rsidRPr="00CA3497">
        <w:rPr>
          <w:rStyle w:val="Emphasis"/>
          <w:rFonts w:eastAsiaTheme="majorEastAsia"/>
        </w:rPr>
        <w:t>P</w:t>
      </w:r>
      <w:r w:rsidRPr="00CA3497">
        <w:t xml:space="preserve"> &lt; 0.05) in carbohydrate content was observed with increasing levels of dietary supplementation.</w:t>
      </w:r>
    </w:p>
    <w:p w14:paraId="3A1DCAFA" w14:textId="77777777" w:rsidR="00C01DEA" w:rsidRPr="00CA3497" w:rsidRDefault="00C01DEA" w:rsidP="00E34A7E">
      <w:pPr>
        <w:pStyle w:val="NormalWeb"/>
        <w:spacing w:line="360" w:lineRule="auto"/>
        <w:jc w:val="both"/>
      </w:pPr>
      <w:r w:rsidRPr="00CA3497">
        <w:lastRenderedPageBreak/>
        <w:t>The highest carbohydrate content was recorded in the 75% inclusion group (22.4 ± 0.59), followed by the 50% (20.57 ± 0.59) and 25% (16.78 ± 0.40) groups, all of which were significantly higher than the control group (14.85 ± 0.49). Each treatment group differed significantly from one another, as indicated by distinct superscripts.</w:t>
      </w:r>
    </w:p>
    <w:p w14:paraId="2400BC41" w14:textId="77777777" w:rsidR="00C01DEA" w:rsidRPr="00CA3497" w:rsidRDefault="00C01DEA" w:rsidP="00E34A7E">
      <w:pPr>
        <w:pStyle w:val="NormalWeb"/>
        <w:spacing w:line="360" w:lineRule="auto"/>
        <w:jc w:val="both"/>
      </w:pPr>
      <w:r w:rsidRPr="00CA3497">
        <w:t>Statistical analysis using one-way ANOVA followed by Tukey’s HSD post-hoc test confirmed that the differences among the groups were statistically significant (</w:t>
      </w:r>
      <w:r w:rsidRPr="00CA3497">
        <w:rPr>
          <w:rStyle w:val="Emphasis"/>
          <w:rFonts w:eastAsiaTheme="majorEastAsia"/>
        </w:rPr>
        <w:t>P</w:t>
      </w:r>
      <w:r w:rsidRPr="00CA3497">
        <w:t xml:space="preserve"> &lt; 0.05).</w:t>
      </w:r>
    </w:p>
    <w:p w14:paraId="14C7AEA1" w14:textId="4E1C7F5C" w:rsidR="0002625C" w:rsidRPr="00CA3497" w:rsidRDefault="0002625C" w:rsidP="00CA3497">
      <w:pPr>
        <w:tabs>
          <w:tab w:val="left" w:pos="2817"/>
        </w:tabs>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Table 4</w:t>
      </w:r>
      <w:r w:rsidR="003C64FB" w:rsidRPr="00CA3497">
        <w:rPr>
          <w:rFonts w:ascii="Times New Roman" w:hAnsi="Times New Roman" w:cs="Times New Roman"/>
          <w:sz w:val="24"/>
          <w:szCs w:val="24"/>
        </w:rPr>
        <w:t>:</w:t>
      </w:r>
      <w:r w:rsidRPr="00CA3497">
        <w:rPr>
          <w:rFonts w:ascii="Times New Roman" w:hAnsi="Times New Roman" w:cs="Times New Roman"/>
          <w:sz w:val="24"/>
          <w:szCs w:val="24"/>
        </w:rPr>
        <w:t xml:space="preserve"> Effect of </w:t>
      </w:r>
      <w:r w:rsidRPr="00CA3497">
        <w:rPr>
          <w:rFonts w:ascii="Times New Roman" w:hAnsi="Times New Roman" w:cs="Times New Roman"/>
          <w:i/>
          <w:sz w:val="24"/>
          <w:szCs w:val="24"/>
        </w:rPr>
        <w:t>Citrus sinensis</w:t>
      </w:r>
      <w:r w:rsidRPr="00CA3497">
        <w:rPr>
          <w:rFonts w:ascii="Times New Roman" w:hAnsi="Times New Roman" w:cs="Times New Roman"/>
          <w:sz w:val="24"/>
          <w:szCs w:val="24"/>
        </w:rPr>
        <w:t xml:space="preserve"> in the total Carbohydrate content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w:t>
      </w:r>
    </w:p>
    <w:tbl>
      <w:tblPr>
        <w:tblStyle w:val="GridTable1Light"/>
        <w:tblW w:w="0" w:type="auto"/>
        <w:jc w:val="center"/>
        <w:tblLook w:val="04A0" w:firstRow="1" w:lastRow="0" w:firstColumn="1" w:lastColumn="0" w:noHBand="0" w:noVBand="1"/>
      </w:tblPr>
      <w:tblGrid>
        <w:gridCol w:w="3684"/>
        <w:gridCol w:w="3684"/>
      </w:tblGrid>
      <w:tr w:rsidR="0002625C" w:rsidRPr="00CA3497" w14:paraId="3C10A98E" w14:textId="77777777" w:rsidTr="003C64FB">
        <w:trPr>
          <w:cnfStyle w:val="100000000000" w:firstRow="1" w:lastRow="0" w:firstColumn="0" w:lastColumn="0" w:oddVBand="0" w:evenVBand="0" w:oddHBand="0"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684" w:type="dxa"/>
          </w:tcPr>
          <w:p w14:paraId="7D5B97D0" w14:textId="77777777" w:rsidR="0002625C" w:rsidRPr="00CA3497" w:rsidRDefault="0002625C" w:rsidP="00E34A7E">
            <w:pPr>
              <w:tabs>
                <w:tab w:val="left" w:pos="2817"/>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Percentage of feed</w:t>
            </w:r>
          </w:p>
        </w:tc>
        <w:tc>
          <w:tcPr>
            <w:tcW w:w="3684" w:type="dxa"/>
          </w:tcPr>
          <w:p w14:paraId="3DDC009F" w14:textId="77777777" w:rsidR="0002625C" w:rsidRPr="00CA3497" w:rsidRDefault="0002625C" w:rsidP="00E34A7E">
            <w:pPr>
              <w:tabs>
                <w:tab w:val="left" w:pos="2817"/>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 xml:space="preserve">Experiment </w:t>
            </w:r>
          </w:p>
        </w:tc>
      </w:tr>
      <w:tr w:rsidR="0002625C" w:rsidRPr="00CA3497" w14:paraId="25F604A9" w14:textId="77777777" w:rsidTr="003C64FB">
        <w:trPr>
          <w:trHeight w:val="308"/>
          <w:jc w:val="center"/>
        </w:trPr>
        <w:tc>
          <w:tcPr>
            <w:cnfStyle w:val="001000000000" w:firstRow="0" w:lastRow="0" w:firstColumn="1" w:lastColumn="0" w:oddVBand="0" w:evenVBand="0" w:oddHBand="0" w:evenHBand="0" w:firstRowFirstColumn="0" w:firstRowLastColumn="0" w:lastRowFirstColumn="0" w:lastRowLastColumn="0"/>
            <w:tcW w:w="3684" w:type="dxa"/>
          </w:tcPr>
          <w:p w14:paraId="66458599" w14:textId="77777777" w:rsidR="0002625C" w:rsidRPr="00CA3497" w:rsidRDefault="0002625C" w:rsidP="00E34A7E">
            <w:pPr>
              <w:tabs>
                <w:tab w:val="left" w:pos="2817"/>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Control</w:t>
            </w:r>
          </w:p>
        </w:tc>
        <w:tc>
          <w:tcPr>
            <w:tcW w:w="3684" w:type="dxa"/>
          </w:tcPr>
          <w:p w14:paraId="142336B2" w14:textId="7D22A3A5" w:rsidR="0002625C" w:rsidRPr="00CA3497" w:rsidRDefault="0002625C" w:rsidP="00E34A7E">
            <w:pPr>
              <w:tabs>
                <w:tab w:val="left" w:pos="281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14.85 ± 0.49</w:t>
            </w:r>
            <w:r w:rsidR="00DD2821" w:rsidRPr="00CA3497">
              <w:rPr>
                <w:rFonts w:ascii="Times New Roman" w:hAnsi="Times New Roman" w:cs="Times New Roman"/>
                <w:sz w:val="24"/>
                <w:szCs w:val="24"/>
                <w:vertAlign w:val="superscript"/>
              </w:rPr>
              <w:t>a</w:t>
            </w:r>
          </w:p>
        </w:tc>
      </w:tr>
      <w:tr w:rsidR="0002625C" w:rsidRPr="00CA3497" w14:paraId="092293F3" w14:textId="77777777" w:rsidTr="003C64FB">
        <w:trPr>
          <w:trHeight w:val="326"/>
          <w:jc w:val="center"/>
        </w:trPr>
        <w:tc>
          <w:tcPr>
            <w:cnfStyle w:val="001000000000" w:firstRow="0" w:lastRow="0" w:firstColumn="1" w:lastColumn="0" w:oddVBand="0" w:evenVBand="0" w:oddHBand="0" w:evenHBand="0" w:firstRowFirstColumn="0" w:firstRowLastColumn="0" w:lastRowFirstColumn="0" w:lastRowLastColumn="0"/>
            <w:tcW w:w="3684" w:type="dxa"/>
          </w:tcPr>
          <w:p w14:paraId="6A1D917F" w14:textId="77777777" w:rsidR="0002625C" w:rsidRPr="00CA3497" w:rsidRDefault="0002625C" w:rsidP="00E34A7E">
            <w:pPr>
              <w:tabs>
                <w:tab w:val="left" w:pos="2817"/>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25%</w:t>
            </w:r>
          </w:p>
        </w:tc>
        <w:tc>
          <w:tcPr>
            <w:tcW w:w="3684" w:type="dxa"/>
          </w:tcPr>
          <w:p w14:paraId="0B63A7A1" w14:textId="1524A60E" w:rsidR="0002625C" w:rsidRPr="00CA3497" w:rsidRDefault="0002625C" w:rsidP="00E34A7E">
            <w:pPr>
              <w:tabs>
                <w:tab w:val="left" w:pos="281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16.78 ± 0.4</w:t>
            </w:r>
            <w:r w:rsidR="00DD2821" w:rsidRPr="00CA3497">
              <w:rPr>
                <w:rFonts w:ascii="Times New Roman" w:hAnsi="Times New Roman" w:cs="Times New Roman"/>
                <w:sz w:val="24"/>
                <w:szCs w:val="24"/>
                <w:vertAlign w:val="superscript"/>
              </w:rPr>
              <w:t>b</w:t>
            </w:r>
          </w:p>
        </w:tc>
      </w:tr>
      <w:tr w:rsidR="0002625C" w:rsidRPr="00CA3497" w14:paraId="4C176733" w14:textId="77777777" w:rsidTr="003C64FB">
        <w:trPr>
          <w:trHeight w:val="308"/>
          <w:jc w:val="center"/>
        </w:trPr>
        <w:tc>
          <w:tcPr>
            <w:cnfStyle w:val="001000000000" w:firstRow="0" w:lastRow="0" w:firstColumn="1" w:lastColumn="0" w:oddVBand="0" w:evenVBand="0" w:oddHBand="0" w:evenHBand="0" w:firstRowFirstColumn="0" w:firstRowLastColumn="0" w:lastRowFirstColumn="0" w:lastRowLastColumn="0"/>
            <w:tcW w:w="3684" w:type="dxa"/>
          </w:tcPr>
          <w:p w14:paraId="0E927732" w14:textId="77777777" w:rsidR="0002625C" w:rsidRPr="00CA3497" w:rsidRDefault="0002625C" w:rsidP="00E34A7E">
            <w:pPr>
              <w:tabs>
                <w:tab w:val="left" w:pos="2817"/>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50%</w:t>
            </w:r>
          </w:p>
        </w:tc>
        <w:tc>
          <w:tcPr>
            <w:tcW w:w="3684" w:type="dxa"/>
          </w:tcPr>
          <w:p w14:paraId="23F36932" w14:textId="01142862" w:rsidR="0002625C" w:rsidRPr="00CA3497" w:rsidRDefault="0002625C" w:rsidP="00E34A7E">
            <w:pPr>
              <w:tabs>
                <w:tab w:val="left" w:pos="281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20.57 ± 0.59</w:t>
            </w:r>
            <w:r w:rsidR="00DD2821" w:rsidRPr="00CA3497">
              <w:rPr>
                <w:rFonts w:ascii="Times New Roman" w:hAnsi="Times New Roman" w:cs="Times New Roman"/>
                <w:sz w:val="24"/>
                <w:szCs w:val="24"/>
                <w:vertAlign w:val="superscript"/>
              </w:rPr>
              <w:t>c</w:t>
            </w:r>
          </w:p>
        </w:tc>
      </w:tr>
      <w:tr w:rsidR="0002625C" w:rsidRPr="00CA3497" w14:paraId="005F499E" w14:textId="77777777" w:rsidTr="003C64FB">
        <w:trPr>
          <w:trHeight w:val="308"/>
          <w:jc w:val="center"/>
        </w:trPr>
        <w:tc>
          <w:tcPr>
            <w:cnfStyle w:val="001000000000" w:firstRow="0" w:lastRow="0" w:firstColumn="1" w:lastColumn="0" w:oddVBand="0" w:evenVBand="0" w:oddHBand="0" w:evenHBand="0" w:firstRowFirstColumn="0" w:firstRowLastColumn="0" w:lastRowFirstColumn="0" w:lastRowLastColumn="0"/>
            <w:tcW w:w="3684" w:type="dxa"/>
          </w:tcPr>
          <w:p w14:paraId="38DEE6AB" w14:textId="77777777" w:rsidR="0002625C" w:rsidRPr="00CA3497" w:rsidRDefault="0002625C" w:rsidP="00E34A7E">
            <w:pPr>
              <w:tabs>
                <w:tab w:val="left" w:pos="2817"/>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75%</w:t>
            </w:r>
          </w:p>
        </w:tc>
        <w:tc>
          <w:tcPr>
            <w:tcW w:w="3684" w:type="dxa"/>
          </w:tcPr>
          <w:p w14:paraId="5A44117A" w14:textId="7D5DDE43" w:rsidR="0002625C" w:rsidRPr="00CA3497" w:rsidRDefault="0002625C" w:rsidP="00E34A7E">
            <w:pPr>
              <w:tabs>
                <w:tab w:val="left" w:pos="281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22.4 ± 0.59</w:t>
            </w:r>
            <w:r w:rsidR="00DD2821" w:rsidRPr="00CA3497">
              <w:rPr>
                <w:rFonts w:ascii="Times New Roman" w:hAnsi="Times New Roman" w:cs="Times New Roman"/>
                <w:sz w:val="24"/>
                <w:szCs w:val="24"/>
                <w:vertAlign w:val="superscript"/>
              </w:rPr>
              <w:t>d</w:t>
            </w:r>
          </w:p>
        </w:tc>
      </w:tr>
    </w:tbl>
    <w:p w14:paraId="235C1436" w14:textId="1076E9B1" w:rsidR="00B859ED" w:rsidRPr="00CA3497" w:rsidRDefault="00B859ED"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i/>
          <w:iCs/>
          <w:sz w:val="24"/>
          <w:szCs w:val="24"/>
        </w:rPr>
        <w:t xml:space="preserve">ANOVA P&lt;0.05, </w:t>
      </w:r>
      <w:proofErr w:type="spellStart"/>
      <w:r w:rsidRPr="00CA3497">
        <w:rPr>
          <w:rFonts w:ascii="Times New Roman" w:hAnsi="Times New Roman" w:cs="Times New Roman"/>
          <w:i/>
          <w:iCs/>
          <w:sz w:val="24"/>
          <w:szCs w:val="24"/>
        </w:rPr>
        <w:t>Mean±SD</w:t>
      </w:r>
      <w:proofErr w:type="spellEnd"/>
      <w:r w:rsidRPr="00CA3497">
        <w:rPr>
          <w:rFonts w:ascii="Times New Roman" w:hAnsi="Times New Roman" w:cs="Times New Roman"/>
          <w:i/>
          <w:iCs/>
          <w:sz w:val="24"/>
          <w:szCs w:val="24"/>
        </w:rPr>
        <w:t xml:space="preserve"> with different superscripts differ significantly between respective groups by Turkey’s post hoc test</w:t>
      </w:r>
    </w:p>
    <w:p w14:paraId="6AAEDADB" w14:textId="2FF3F1C8" w:rsidR="00135D9F" w:rsidRPr="00CA3497" w:rsidRDefault="00135D9F" w:rsidP="00CA3497">
      <w:pPr>
        <w:tabs>
          <w:tab w:val="left" w:pos="2817"/>
        </w:tabs>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 xml:space="preserve">Figure </w:t>
      </w:r>
      <w:r w:rsidR="00AA2924">
        <w:rPr>
          <w:rFonts w:ascii="Times New Roman" w:hAnsi="Times New Roman" w:cs="Times New Roman"/>
          <w:sz w:val="24"/>
          <w:szCs w:val="24"/>
        </w:rPr>
        <w:t>3</w:t>
      </w:r>
      <w:r w:rsidRPr="00CA3497">
        <w:rPr>
          <w:rFonts w:ascii="Times New Roman" w:hAnsi="Times New Roman" w:cs="Times New Roman"/>
          <w:sz w:val="24"/>
          <w:szCs w:val="24"/>
        </w:rPr>
        <w:t xml:space="preserve">: Effect of </w:t>
      </w:r>
      <w:r w:rsidRPr="00CA3497">
        <w:rPr>
          <w:rFonts w:ascii="Times New Roman" w:hAnsi="Times New Roman" w:cs="Times New Roman"/>
          <w:i/>
          <w:sz w:val="24"/>
          <w:szCs w:val="24"/>
        </w:rPr>
        <w:t>Citrus sinensis</w:t>
      </w:r>
      <w:r w:rsidRPr="00CA3497">
        <w:rPr>
          <w:rFonts w:ascii="Times New Roman" w:hAnsi="Times New Roman" w:cs="Times New Roman"/>
          <w:sz w:val="24"/>
          <w:szCs w:val="24"/>
        </w:rPr>
        <w:t xml:space="preserve"> in the total Carbohydrate content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w:t>
      </w:r>
    </w:p>
    <w:p w14:paraId="1EC4379C" w14:textId="3C2816C1" w:rsidR="006B0CB7" w:rsidRPr="00CA3497" w:rsidRDefault="006B0CB7" w:rsidP="00CA3497">
      <w:pPr>
        <w:tabs>
          <w:tab w:val="left" w:pos="2968"/>
        </w:tabs>
        <w:spacing w:line="360" w:lineRule="auto"/>
        <w:jc w:val="center"/>
        <w:rPr>
          <w:rFonts w:ascii="Times New Roman" w:hAnsi="Times New Roman" w:cs="Times New Roman"/>
          <w:i/>
          <w:iCs/>
          <w:sz w:val="24"/>
          <w:szCs w:val="24"/>
        </w:rPr>
      </w:pPr>
      <w:r w:rsidRPr="00CA3497">
        <w:rPr>
          <w:rFonts w:ascii="Times New Roman" w:hAnsi="Times New Roman" w:cs="Times New Roman"/>
          <w:i/>
          <w:iCs/>
          <w:noProof/>
          <w:sz w:val="24"/>
          <w:szCs w:val="24"/>
          <w:lang w:val="en-US"/>
        </w:rPr>
        <w:drawing>
          <wp:inline distT="0" distB="0" distL="0" distR="0" wp14:anchorId="70193FDC" wp14:editId="7E5922FF">
            <wp:extent cx="3960000" cy="2507070"/>
            <wp:effectExtent l="0" t="0" r="2540" b="7620"/>
            <wp:docPr id="13239115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0" cy="2507070"/>
                    </a:xfrm>
                    <a:prstGeom prst="rect">
                      <a:avLst/>
                    </a:prstGeom>
                    <a:noFill/>
                  </pic:spPr>
                </pic:pic>
              </a:graphicData>
            </a:graphic>
          </wp:inline>
        </w:drawing>
      </w:r>
    </w:p>
    <w:p w14:paraId="434FEA90" w14:textId="77777777" w:rsidR="00411D54" w:rsidRPr="00CA3497" w:rsidRDefault="003F6644" w:rsidP="00E34A7E">
      <w:pPr>
        <w:pStyle w:val="NormalWeb"/>
        <w:spacing w:line="360" w:lineRule="auto"/>
        <w:jc w:val="both"/>
        <w:rPr>
          <w:rStyle w:val="Strong"/>
          <w:rFonts w:eastAsiaTheme="majorEastAsia"/>
        </w:rPr>
      </w:pPr>
      <w:r w:rsidRPr="00CA3497">
        <w:rPr>
          <w:rStyle w:val="Strong"/>
          <w:rFonts w:eastAsiaTheme="majorEastAsia"/>
        </w:rPr>
        <w:t>Haemoglobin content:</w:t>
      </w:r>
    </w:p>
    <w:p w14:paraId="4842EA10" w14:textId="77777777" w:rsidR="00C01DEA" w:rsidRPr="00CA3497" w:rsidRDefault="00C01DEA" w:rsidP="00E34A7E">
      <w:pPr>
        <w:pStyle w:val="NormalWeb"/>
        <w:spacing w:line="360" w:lineRule="auto"/>
        <w:jc w:val="both"/>
      </w:pPr>
      <w:r w:rsidRPr="00CA3497">
        <w:t xml:space="preserve">The haemoglobin content of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fed diets supplemented with varying levels of </w:t>
      </w:r>
      <w:r w:rsidRPr="00CA3497">
        <w:rPr>
          <w:rStyle w:val="Emphasis"/>
          <w:rFonts w:eastAsiaTheme="majorEastAsia"/>
        </w:rPr>
        <w:t>Citrus sinensis</w:t>
      </w:r>
      <w:r w:rsidRPr="00CA3497">
        <w:t xml:space="preserve"> peel is presented in Table 5. Significant differences (</w:t>
      </w:r>
      <w:r w:rsidRPr="00CA3497">
        <w:rPr>
          <w:rStyle w:val="Emphasis"/>
          <w:rFonts w:eastAsiaTheme="majorEastAsia"/>
        </w:rPr>
        <w:t>P</w:t>
      </w:r>
      <w:r w:rsidRPr="00CA3497">
        <w:t xml:space="preserve"> &lt; 0.05) were observed among the treatment groups.</w:t>
      </w:r>
    </w:p>
    <w:p w14:paraId="4A1A3450" w14:textId="77777777" w:rsidR="00C01DEA" w:rsidRPr="00CA3497" w:rsidRDefault="00C01DEA" w:rsidP="00E34A7E">
      <w:pPr>
        <w:pStyle w:val="NormalWeb"/>
        <w:spacing w:line="360" w:lineRule="auto"/>
        <w:jc w:val="both"/>
      </w:pPr>
      <w:r w:rsidRPr="00CA3497">
        <w:lastRenderedPageBreak/>
        <w:t>The highest haemoglobin content was recorded in the 75% inclusion group (12.84 ± 0.53), followed by the 50% (12.26 ± 0.45) and control group (12.08 ± 0.38), while the lowest value was observed in the 25% group (12.00 ± 0.46). All groups differed significantly from one another, as indicated by distinct superscripts.</w:t>
      </w:r>
    </w:p>
    <w:p w14:paraId="6A55CC5C" w14:textId="77777777" w:rsidR="00C01DEA" w:rsidRPr="00CA3497" w:rsidRDefault="00C01DEA" w:rsidP="00E34A7E">
      <w:pPr>
        <w:pStyle w:val="NormalWeb"/>
        <w:spacing w:line="360" w:lineRule="auto"/>
        <w:jc w:val="both"/>
      </w:pPr>
      <w:r w:rsidRPr="00CA3497">
        <w:t>Statistical analysis using one-way ANOVA followed by Tukey’s HSD post-hoc test confirmed that the differences among treatment groups were statistically significant (</w:t>
      </w:r>
      <w:r w:rsidRPr="00CA3497">
        <w:rPr>
          <w:rStyle w:val="Emphasis"/>
          <w:rFonts w:eastAsiaTheme="majorEastAsia"/>
        </w:rPr>
        <w:t>P</w:t>
      </w:r>
      <w:r w:rsidRPr="00CA3497">
        <w:t xml:space="preserve"> &lt; 0.05).</w:t>
      </w:r>
    </w:p>
    <w:p w14:paraId="42D67C65" w14:textId="0E4FA5BB" w:rsidR="004A78E7" w:rsidRPr="00CA3497" w:rsidRDefault="004A78E7" w:rsidP="00CA3497">
      <w:pPr>
        <w:tabs>
          <w:tab w:val="left" w:pos="2291"/>
        </w:tabs>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Table 5</w:t>
      </w:r>
      <w:r w:rsidR="003C64FB" w:rsidRPr="00CA3497">
        <w:rPr>
          <w:rFonts w:ascii="Times New Roman" w:hAnsi="Times New Roman" w:cs="Times New Roman"/>
          <w:sz w:val="24"/>
          <w:szCs w:val="24"/>
        </w:rPr>
        <w:t xml:space="preserve">: </w:t>
      </w:r>
      <w:r w:rsidR="008D370B" w:rsidRPr="00CA3497">
        <w:rPr>
          <w:rFonts w:ascii="Times New Roman" w:hAnsi="Times New Roman" w:cs="Times New Roman"/>
          <w:sz w:val="24"/>
          <w:szCs w:val="24"/>
        </w:rPr>
        <w:t>H</w:t>
      </w:r>
      <w:r w:rsidR="000825A6" w:rsidRPr="00CA3497">
        <w:rPr>
          <w:rFonts w:ascii="Times New Roman" w:hAnsi="Times New Roman" w:cs="Times New Roman"/>
          <w:sz w:val="24"/>
          <w:szCs w:val="24"/>
        </w:rPr>
        <w:t>aemoglobin</w:t>
      </w:r>
      <w:r w:rsidRPr="00CA3497">
        <w:rPr>
          <w:rFonts w:ascii="Times New Roman" w:hAnsi="Times New Roman" w:cs="Times New Roman"/>
          <w:sz w:val="24"/>
          <w:szCs w:val="24"/>
        </w:rPr>
        <w:t xml:space="preserve"> content in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 xml:space="preserve"> at different concentration of </w:t>
      </w:r>
      <w:r w:rsidRPr="00CA3497">
        <w:rPr>
          <w:rFonts w:ascii="Times New Roman" w:hAnsi="Times New Roman" w:cs="Times New Roman"/>
          <w:i/>
          <w:sz w:val="24"/>
          <w:szCs w:val="24"/>
        </w:rPr>
        <w:t>Citrus sinensis</w:t>
      </w:r>
      <w:r w:rsidRPr="00CA3497">
        <w:rPr>
          <w:rFonts w:ascii="Times New Roman" w:hAnsi="Times New Roman" w:cs="Times New Roman"/>
          <w:sz w:val="24"/>
          <w:szCs w:val="24"/>
        </w:rPr>
        <w:t>.</w:t>
      </w:r>
    </w:p>
    <w:tbl>
      <w:tblPr>
        <w:tblStyle w:val="GridTable1Light"/>
        <w:tblW w:w="0" w:type="auto"/>
        <w:jc w:val="right"/>
        <w:tblLook w:val="04A0" w:firstRow="1" w:lastRow="0" w:firstColumn="1" w:lastColumn="0" w:noHBand="0" w:noVBand="1"/>
      </w:tblPr>
      <w:tblGrid>
        <w:gridCol w:w="3690"/>
        <w:gridCol w:w="3464"/>
      </w:tblGrid>
      <w:tr w:rsidR="004A78E7" w:rsidRPr="00CA3497" w14:paraId="45C3ED86" w14:textId="77777777" w:rsidTr="003C64FB">
        <w:trPr>
          <w:cnfStyle w:val="100000000000" w:firstRow="1" w:lastRow="0" w:firstColumn="0" w:lastColumn="0" w:oddVBand="0" w:evenVBand="0" w:oddHBand="0" w:evenHBand="0" w:firstRowFirstColumn="0" w:firstRowLastColumn="0" w:lastRowFirstColumn="0" w:lastRowLastColumn="0"/>
          <w:trHeight w:val="381"/>
          <w:jc w:val="right"/>
        </w:trPr>
        <w:tc>
          <w:tcPr>
            <w:cnfStyle w:val="001000000000" w:firstRow="0" w:lastRow="0" w:firstColumn="1" w:lastColumn="0" w:oddVBand="0" w:evenVBand="0" w:oddHBand="0" w:evenHBand="0" w:firstRowFirstColumn="0" w:firstRowLastColumn="0" w:lastRowFirstColumn="0" w:lastRowLastColumn="0"/>
            <w:tcW w:w="3690" w:type="dxa"/>
          </w:tcPr>
          <w:p w14:paraId="396EF98C"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Percentage of feed</w:t>
            </w:r>
          </w:p>
        </w:tc>
        <w:tc>
          <w:tcPr>
            <w:tcW w:w="3464" w:type="dxa"/>
          </w:tcPr>
          <w:p w14:paraId="716834F1" w14:textId="77777777" w:rsidR="004A78E7" w:rsidRPr="00CA3497" w:rsidRDefault="004A78E7" w:rsidP="00E34A7E">
            <w:pPr>
              <w:tabs>
                <w:tab w:val="left" w:pos="2291"/>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 xml:space="preserve">Hemoglobin content </w:t>
            </w:r>
          </w:p>
        </w:tc>
      </w:tr>
      <w:tr w:rsidR="004A78E7" w:rsidRPr="00CA3497" w14:paraId="463CDF83" w14:textId="77777777" w:rsidTr="003C64FB">
        <w:trPr>
          <w:trHeight w:val="366"/>
          <w:jc w:val="right"/>
        </w:trPr>
        <w:tc>
          <w:tcPr>
            <w:cnfStyle w:val="001000000000" w:firstRow="0" w:lastRow="0" w:firstColumn="1" w:lastColumn="0" w:oddVBand="0" w:evenVBand="0" w:oddHBand="0" w:evenHBand="0" w:firstRowFirstColumn="0" w:firstRowLastColumn="0" w:lastRowFirstColumn="0" w:lastRowLastColumn="0"/>
            <w:tcW w:w="3690" w:type="dxa"/>
          </w:tcPr>
          <w:p w14:paraId="087BFDC8"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Control</w:t>
            </w:r>
          </w:p>
        </w:tc>
        <w:tc>
          <w:tcPr>
            <w:tcW w:w="3464" w:type="dxa"/>
          </w:tcPr>
          <w:p w14:paraId="17C39BCE" w14:textId="3A0333E3"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12.08 ± 0.38</w:t>
            </w:r>
            <w:r w:rsidR="00DD2821" w:rsidRPr="00CA3497">
              <w:rPr>
                <w:rFonts w:ascii="Times New Roman" w:hAnsi="Times New Roman" w:cs="Times New Roman"/>
                <w:sz w:val="24"/>
                <w:szCs w:val="24"/>
                <w:vertAlign w:val="superscript"/>
              </w:rPr>
              <w:t>a</w:t>
            </w:r>
          </w:p>
        </w:tc>
      </w:tr>
      <w:tr w:rsidR="004A78E7" w:rsidRPr="00CA3497" w14:paraId="6B2C9D4B" w14:textId="77777777" w:rsidTr="003C64FB">
        <w:trPr>
          <w:trHeight w:val="381"/>
          <w:jc w:val="right"/>
        </w:trPr>
        <w:tc>
          <w:tcPr>
            <w:cnfStyle w:val="001000000000" w:firstRow="0" w:lastRow="0" w:firstColumn="1" w:lastColumn="0" w:oddVBand="0" w:evenVBand="0" w:oddHBand="0" w:evenHBand="0" w:firstRowFirstColumn="0" w:firstRowLastColumn="0" w:lastRowFirstColumn="0" w:lastRowLastColumn="0"/>
            <w:tcW w:w="3690" w:type="dxa"/>
          </w:tcPr>
          <w:p w14:paraId="28578ED7"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25%</w:t>
            </w:r>
          </w:p>
        </w:tc>
        <w:tc>
          <w:tcPr>
            <w:tcW w:w="3464" w:type="dxa"/>
          </w:tcPr>
          <w:p w14:paraId="420F9750" w14:textId="27EA6C46"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12 ± 0.46</w:t>
            </w:r>
            <w:r w:rsidR="00DD2821" w:rsidRPr="00CA3497">
              <w:rPr>
                <w:rFonts w:ascii="Times New Roman" w:hAnsi="Times New Roman" w:cs="Times New Roman"/>
                <w:sz w:val="24"/>
                <w:szCs w:val="24"/>
                <w:vertAlign w:val="superscript"/>
              </w:rPr>
              <w:t>b</w:t>
            </w:r>
          </w:p>
        </w:tc>
      </w:tr>
      <w:tr w:rsidR="004A78E7" w:rsidRPr="00CA3497" w14:paraId="4376E539" w14:textId="77777777" w:rsidTr="003C64FB">
        <w:trPr>
          <w:trHeight w:val="381"/>
          <w:jc w:val="right"/>
        </w:trPr>
        <w:tc>
          <w:tcPr>
            <w:cnfStyle w:val="001000000000" w:firstRow="0" w:lastRow="0" w:firstColumn="1" w:lastColumn="0" w:oddVBand="0" w:evenVBand="0" w:oddHBand="0" w:evenHBand="0" w:firstRowFirstColumn="0" w:firstRowLastColumn="0" w:lastRowFirstColumn="0" w:lastRowLastColumn="0"/>
            <w:tcW w:w="3690" w:type="dxa"/>
          </w:tcPr>
          <w:p w14:paraId="299B4028"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50%</w:t>
            </w:r>
          </w:p>
        </w:tc>
        <w:tc>
          <w:tcPr>
            <w:tcW w:w="3464" w:type="dxa"/>
          </w:tcPr>
          <w:p w14:paraId="43F90663" w14:textId="674886FA"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12.26 ± 0.45</w:t>
            </w:r>
            <w:r w:rsidR="00DD2821" w:rsidRPr="00CA3497">
              <w:rPr>
                <w:rFonts w:ascii="Times New Roman" w:hAnsi="Times New Roman" w:cs="Times New Roman"/>
                <w:sz w:val="24"/>
                <w:szCs w:val="24"/>
                <w:vertAlign w:val="superscript"/>
              </w:rPr>
              <w:t>c</w:t>
            </w:r>
          </w:p>
        </w:tc>
      </w:tr>
      <w:tr w:rsidR="004A78E7" w:rsidRPr="00CA3497" w14:paraId="441584B3" w14:textId="77777777" w:rsidTr="003C64FB">
        <w:trPr>
          <w:trHeight w:val="366"/>
          <w:jc w:val="right"/>
        </w:trPr>
        <w:tc>
          <w:tcPr>
            <w:cnfStyle w:val="001000000000" w:firstRow="0" w:lastRow="0" w:firstColumn="1" w:lastColumn="0" w:oddVBand="0" w:evenVBand="0" w:oddHBand="0" w:evenHBand="0" w:firstRowFirstColumn="0" w:firstRowLastColumn="0" w:lastRowFirstColumn="0" w:lastRowLastColumn="0"/>
            <w:tcW w:w="3690" w:type="dxa"/>
          </w:tcPr>
          <w:p w14:paraId="43448CB4"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75%</w:t>
            </w:r>
          </w:p>
        </w:tc>
        <w:tc>
          <w:tcPr>
            <w:tcW w:w="3464" w:type="dxa"/>
          </w:tcPr>
          <w:p w14:paraId="37D6BCCB" w14:textId="646F24F2"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12.84 ± 0.53</w:t>
            </w:r>
            <w:r w:rsidR="00DD2821" w:rsidRPr="00CA3497">
              <w:rPr>
                <w:rFonts w:ascii="Times New Roman" w:hAnsi="Times New Roman" w:cs="Times New Roman"/>
                <w:sz w:val="24"/>
                <w:szCs w:val="24"/>
                <w:vertAlign w:val="superscript"/>
              </w:rPr>
              <w:t>d</w:t>
            </w:r>
          </w:p>
        </w:tc>
      </w:tr>
    </w:tbl>
    <w:p w14:paraId="03AC8883" w14:textId="0BDBB613" w:rsidR="00F32C5D" w:rsidRPr="00CA3497" w:rsidRDefault="00F32C5D"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i/>
          <w:iCs/>
          <w:sz w:val="24"/>
          <w:szCs w:val="24"/>
        </w:rPr>
        <w:t xml:space="preserve">ANOVA P&lt;0.05, </w:t>
      </w:r>
      <w:proofErr w:type="spellStart"/>
      <w:r w:rsidRPr="00CA3497">
        <w:rPr>
          <w:rFonts w:ascii="Times New Roman" w:hAnsi="Times New Roman" w:cs="Times New Roman"/>
          <w:i/>
          <w:iCs/>
          <w:sz w:val="24"/>
          <w:szCs w:val="24"/>
        </w:rPr>
        <w:t>Mean±SD</w:t>
      </w:r>
      <w:proofErr w:type="spellEnd"/>
      <w:r w:rsidRPr="00CA3497">
        <w:rPr>
          <w:rFonts w:ascii="Times New Roman" w:hAnsi="Times New Roman" w:cs="Times New Roman"/>
          <w:i/>
          <w:iCs/>
          <w:sz w:val="24"/>
          <w:szCs w:val="24"/>
        </w:rPr>
        <w:t xml:space="preserve"> with different superscripts differ significantly between respective groups by Turkey’s post hoc test</w:t>
      </w:r>
    </w:p>
    <w:p w14:paraId="707223A6" w14:textId="63DF1657" w:rsidR="006B0CB7" w:rsidRPr="00CA3497" w:rsidRDefault="004A78E7" w:rsidP="00CA3497">
      <w:pPr>
        <w:tabs>
          <w:tab w:val="left" w:pos="2291"/>
        </w:tabs>
        <w:spacing w:line="360" w:lineRule="auto"/>
        <w:jc w:val="center"/>
        <w:rPr>
          <w:rFonts w:ascii="Times New Roman" w:hAnsi="Times New Roman" w:cs="Times New Roman"/>
          <w:i/>
          <w:sz w:val="24"/>
          <w:szCs w:val="24"/>
        </w:rPr>
      </w:pPr>
      <w:r w:rsidRPr="00CA3497">
        <w:rPr>
          <w:rFonts w:ascii="Times New Roman" w:hAnsi="Times New Roman" w:cs="Times New Roman"/>
          <w:sz w:val="24"/>
          <w:szCs w:val="24"/>
        </w:rPr>
        <w:t xml:space="preserve">Figure </w:t>
      </w:r>
      <w:r w:rsidR="00AA2924">
        <w:rPr>
          <w:rFonts w:ascii="Times New Roman" w:hAnsi="Times New Roman" w:cs="Times New Roman"/>
          <w:sz w:val="24"/>
          <w:szCs w:val="24"/>
        </w:rPr>
        <w:t>4</w:t>
      </w:r>
      <w:r w:rsidR="003C64FB" w:rsidRPr="00CA3497">
        <w:rPr>
          <w:rFonts w:ascii="Times New Roman" w:hAnsi="Times New Roman" w:cs="Times New Roman"/>
          <w:sz w:val="24"/>
          <w:szCs w:val="24"/>
        </w:rPr>
        <w:t>:</w:t>
      </w:r>
      <w:r w:rsidRPr="00CA3497">
        <w:rPr>
          <w:rFonts w:ascii="Times New Roman" w:hAnsi="Times New Roman" w:cs="Times New Roman"/>
          <w:sz w:val="24"/>
          <w:szCs w:val="24"/>
        </w:rPr>
        <w:t xml:space="preserve"> </w:t>
      </w:r>
      <w:r w:rsidR="0045196B" w:rsidRPr="00CA3497">
        <w:rPr>
          <w:rFonts w:ascii="Times New Roman" w:hAnsi="Times New Roman" w:cs="Times New Roman"/>
          <w:sz w:val="24"/>
          <w:szCs w:val="24"/>
        </w:rPr>
        <w:t>H</w:t>
      </w:r>
      <w:r w:rsidR="005F59CD" w:rsidRPr="00CA3497">
        <w:rPr>
          <w:rFonts w:ascii="Times New Roman" w:hAnsi="Times New Roman" w:cs="Times New Roman"/>
          <w:sz w:val="24"/>
          <w:szCs w:val="24"/>
        </w:rPr>
        <w:t>aemoglobin</w:t>
      </w:r>
      <w:r w:rsidRPr="00CA3497">
        <w:rPr>
          <w:rFonts w:ascii="Times New Roman" w:hAnsi="Times New Roman" w:cs="Times New Roman"/>
          <w:sz w:val="24"/>
          <w:szCs w:val="24"/>
        </w:rPr>
        <w:t xml:space="preserve"> content in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 xml:space="preserve"> at different concentration of </w:t>
      </w:r>
      <w:r w:rsidRPr="00CA3497">
        <w:rPr>
          <w:rFonts w:ascii="Times New Roman" w:hAnsi="Times New Roman" w:cs="Times New Roman"/>
          <w:i/>
          <w:sz w:val="24"/>
          <w:szCs w:val="24"/>
        </w:rPr>
        <w:t>Citrus sinensis</w:t>
      </w:r>
    </w:p>
    <w:p w14:paraId="3CF11D84" w14:textId="5C723FDA" w:rsidR="006B0CB7" w:rsidRPr="00CA3497" w:rsidRDefault="006B0CB7" w:rsidP="00CA3497">
      <w:pPr>
        <w:tabs>
          <w:tab w:val="left" w:pos="2291"/>
        </w:tabs>
        <w:spacing w:line="360" w:lineRule="auto"/>
        <w:jc w:val="center"/>
        <w:rPr>
          <w:rFonts w:ascii="Times New Roman" w:hAnsi="Times New Roman" w:cs="Times New Roman"/>
          <w:sz w:val="24"/>
          <w:szCs w:val="24"/>
        </w:rPr>
      </w:pPr>
      <w:r w:rsidRPr="00CA3497">
        <w:rPr>
          <w:rFonts w:ascii="Times New Roman" w:hAnsi="Times New Roman" w:cs="Times New Roman"/>
          <w:noProof/>
          <w:sz w:val="24"/>
          <w:szCs w:val="24"/>
          <w:lang w:val="en-US"/>
        </w:rPr>
        <w:drawing>
          <wp:inline distT="0" distB="0" distL="0" distR="0" wp14:anchorId="4A967716" wp14:editId="402C4B7F">
            <wp:extent cx="3960000" cy="2507070"/>
            <wp:effectExtent l="0" t="0" r="2540" b="7620"/>
            <wp:docPr id="3983052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0" cy="2507070"/>
                    </a:xfrm>
                    <a:prstGeom prst="rect">
                      <a:avLst/>
                    </a:prstGeom>
                    <a:noFill/>
                  </pic:spPr>
                </pic:pic>
              </a:graphicData>
            </a:graphic>
          </wp:inline>
        </w:drawing>
      </w:r>
    </w:p>
    <w:p w14:paraId="1459E145" w14:textId="77777777" w:rsidR="00411D54" w:rsidRPr="00CA3497" w:rsidRDefault="003F6644" w:rsidP="00E34A7E">
      <w:pPr>
        <w:pStyle w:val="NormalWeb"/>
        <w:spacing w:line="360" w:lineRule="auto"/>
        <w:jc w:val="both"/>
        <w:rPr>
          <w:rStyle w:val="Strong"/>
          <w:rFonts w:eastAsiaTheme="majorEastAsia"/>
        </w:rPr>
      </w:pPr>
      <w:r w:rsidRPr="00CA3497">
        <w:rPr>
          <w:rStyle w:val="Strong"/>
          <w:rFonts w:eastAsiaTheme="majorEastAsia"/>
        </w:rPr>
        <w:t>Red blood cell diameter:</w:t>
      </w:r>
    </w:p>
    <w:p w14:paraId="3C948192" w14:textId="77777777" w:rsidR="00C01DEA" w:rsidRPr="00CA3497" w:rsidRDefault="00C01DEA" w:rsidP="00E34A7E">
      <w:pPr>
        <w:pStyle w:val="NormalWeb"/>
        <w:spacing w:line="360" w:lineRule="auto"/>
        <w:jc w:val="both"/>
      </w:pPr>
      <w:r w:rsidRPr="00CA3497">
        <w:lastRenderedPageBreak/>
        <w:t xml:space="preserve">The diameter of red blood cells (RBC) in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fed diets supplemented with varying levels of </w:t>
      </w:r>
      <w:r w:rsidRPr="00CA3497">
        <w:rPr>
          <w:rStyle w:val="Emphasis"/>
          <w:rFonts w:eastAsiaTheme="majorEastAsia"/>
        </w:rPr>
        <w:t>Citrus sinensis</w:t>
      </w:r>
      <w:r w:rsidRPr="00CA3497">
        <w:t xml:space="preserve"> peel is presented in Table 6. A significant increase (</w:t>
      </w:r>
      <w:r w:rsidRPr="00CA3497">
        <w:rPr>
          <w:rStyle w:val="Emphasis"/>
          <w:rFonts w:eastAsiaTheme="majorEastAsia"/>
        </w:rPr>
        <w:t>P</w:t>
      </w:r>
      <w:r w:rsidRPr="00CA3497">
        <w:t xml:space="preserve"> &lt; 0.05) in RBC diameter was observed with increasing levels of dietary supplementation.</w:t>
      </w:r>
    </w:p>
    <w:p w14:paraId="283B8D64" w14:textId="77777777" w:rsidR="00C01DEA" w:rsidRPr="00CA3497" w:rsidRDefault="00C01DEA" w:rsidP="00E34A7E">
      <w:pPr>
        <w:pStyle w:val="NormalWeb"/>
        <w:spacing w:line="360" w:lineRule="auto"/>
        <w:jc w:val="both"/>
      </w:pPr>
      <w:r w:rsidRPr="00CA3497">
        <w:t>The highest RBC diameter was recorded in the 75% inclusion group (3.8 ± 0.40), followed by the 50% (3.2 ± 0.40) and 25% (2.6 ± 0.48) groups, all of which were significantly higher than the control group (1.6 ± 0.48). Each treatment group differed significantly from one another, as indicated by distinct superscripts.</w:t>
      </w:r>
    </w:p>
    <w:p w14:paraId="0FABF685" w14:textId="77777777" w:rsidR="00C01DEA" w:rsidRPr="00CA3497" w:rsidRDefault="00C01DEA" w:rsidP="00E34A7E">
      <w:pPr>
        <w:pStyle w:val="NormalWeb"/>
        <w:spacing w:line="360" w:lineRule="auto"/>
        <w:jc w:val="both"/>
      </w:pPr>
      <w:r w:rsidRPr="00CA3497">
        <w:t>Statistical analysis using one-way ANOVA followed by Tukey’s HSD post-hoc test confirmed that the differences among the groups were statistically significant (</w:t>
      </w:r>
      <w:r w:rsidRPr="00CA3497">
        <w:rPr>
          <w:rStyle w:val="Emphasis"/>
          <w:rFonts w:eastAsiaTheme="majorEastAsia"/>
        </w:rPr>
        <w:t>P</w:t>
      </w:r>
      <w:r w:rsidRPr="00CA3497">
        <w:t xml:space="preserve"> &lt; 0.05).</w:t>
      </w:r>
    </w:p>
    <w:p w14:paraId="41FCA572" w14:textId="1548D8A3" w:rsidR="004A78E7" w:rsidRPr="00CA3497" w:rsidRDefault="004A78E7" w:rsidP="00CA3497">
      <w:pPr>
        <w:tabs>
          <w:tab w:val="left" w:pos="2291"/>
        </w:tabs>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Table 6</w:t>
      </w:r>
      <w:r w:rsidR="003C64FB" w:rsidRPr="00CA3497">
        <w:rPr>
          <w:rFonts w:ascii="Times New Roman" w:hAnsi="Times New Roman" w:cs="Times New Roman"/>
          <w:sz w:val="24"/>
          <w:szCs w:val="24"/>
        </w:rPr>
        <w:t>:</w:t>
      </w:r>
      <w:r w:rsidRPr="00CA3497">
        <w:rPr>
          <w:rFonts w:ascii="Times New Roman" w:hAnsi="Times New Roman" w:cs="Times New Roman"/>
          <w:sz w:val="24"/>
          <w:szCs w:val="24"/>
        </w:rPr>
        <w:t xml:space="preserve"> </w:t>
      </w:r>
      <w:r w:rsidR="008D370B" w:rsidRPr="00CA3497">
        <w:rPr>
          <w:rFonts w:ascii="Times New Roman" w:hAnsi="Times New Roman" w:cs="Times New Roman"/>
          <w:sz w:val="24"/>
          <w:szCs w:val="24"/>
        </w:rPr>
        <w:t>D</w:t>
      </w:r>
      <w:r w:rsidRPr="00CA3497">
        <w:rPr>
          <w:rFonts w:ascii="Times New Roman" w:hAnsi="Times New Roman" w:cs="Times New Roman"/>
          <w:sz w:val="24"/>
          <w:szCs w:val="24"/>
        </w:rPr>
        <w:t xml:space="preserve">iameter of RBC in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 xml:space="preserve"> at different concentration of </w:t>
      </w:r>
      <w:r w:rsidRPr="00CA3497">
        <w:rPr>
          <w:rFonts w:ascii="Times New Roman" w:hAnsi="Times New Roman" w:cs="Times New Roman"/>
          <w:i/>
          <w:sz w:val="24"/>
          <w:szCs w:val="24"/>
        </w:rPr>
        <w:t>Citrus sinensis</w:t>
      </w:r>
      <w:r w:rsidRPr="00CA3497">
        <w:rPr>
          <w:rFonts w:ascii="Times New Roman" w:hAnsi="Times New Roman" w:cs="Times New Roman"/>
          <w:sz w:val="24"/>
          <w:szCs w:val="24"/>
        </w:rPr>
        <w:t xml:space="preserve"> feed.</w:t>
      </w:r>
    </w:p>
    <w:tbl>
      <w:tblPr>
        <w:tblStyle w:val="GridTable1Light"/>
        <w:tblW w:w="0" w:type="auto"/>
        <w:jc w:val="center"/>
        <w:tblLook w:val="04A0" w:firstRow="1" w:lastRow="0" w:firstColumn="1" w:lastColumn="0" w:noHBand="0" w:noVBand="1"/>
      </w:tblPr>
      <w:tblGrid>
        <w:gridCol w:w="4673"/>
        <w:gridCol w:w="2972"/>
      </w:tblGrid>
      <w:tr w:rsidR="004A78E7" w:rsidRPr="00CA3497" w14:paraId="0AE77309" w14:textId="77777777" w:rsidTr="003C64F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1463DC0F"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Percentage of feed</w:t>
            </w:r>
          </w:p>
        </w:tc>
        <w:tc>
          <w:tcPr>
            <w:tcW w:w="2972" w:type="dxa"/>
          </w:tcPr>
          <w:p w14:paraId="55FDF687" w14:textId="77777777" w:rsidR="004A78E7" w:rsidRPr="00CA3497" w:rsidRDefault="004A78E7" w:rsidP="00E34A7E">
            <w:pPr>
              <w:tabs>
                <w:tab w:val="left" w:pos="2291"/>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Diameter of RBC</w:t>
            </w:r>
          </w:p>
        </w:tc>
      </w:tr>
      <w:tr w:rsidR="004A78E7" w:rsidRPr="00CA3497" w14:paraId="2D51AA7F" w14:textId="77777777" w:rsidTr="003C64FB">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6C34D983"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Control</w:t>
            </w:r>
          </w:p>
        </w:tc>
        <w:tc>
          <w:tcPr>
            <w:tcW w:w="2972" w:type="dxa"/>
          </w:tcPr>
          <w:p w14:paraId="42896E1A" w14:textId="16E948FC"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1.6 ± 0.48</w:t>
            </w:r>
            <w:r w:rsidR="00DD2821" w:rsidRPr="00CA3497">
              <w:rPr>
                <w:rFonts w:ascii="Times New Roman" w:hAnsi="Times New Roman" w:cs="Times New Roman"/>
                <w:sz w:val="24"/>
                <w:szCs w:val="24"/>
                <w:vertAlign w:val="superscript"/>
              </w:rPr>
              <w:t>a</w:t>
            </w:r>
          </w:p>
        </w:tc>
      </w:tr>
      <w:tr w:rsidR="004A78E7" w:rsidRPr="00CA3497" w14:paraId="0AA4B0D5" w14:textId="77777777" w:rsidTr="003C64FB">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310695D1"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25%</w:t>
            </w:r>
          </w:p>
        </w:tc>
        <w:tc>
          <w:tcPr>
            <w:tcW w:w="2972" w:type="dxa"/>
          </w:tcPr>
          <w:p w14:paraId="64AE37EF" w14:textId="0EA1A2B3"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2.6 ± 0.48</w:t>
            </w:r>
            <w:r w:rsidR="00DD2821" w:rsidRPr="00CA3497">
              <w:rPr>
                <w:rFonts w:ascii="Times New Roman" w:hAnsi="Times New Roman" w:cs="Times New Roman"/>
                <w:sz w:val="24"/>
                <w:szCs w:val="24"/>
                <w:vertAlign w:val="superscript"/>
              </w:rPr>
              <w:t>b</w:t>
            </w:r>
          </w:p>
        </w:tc>
      </w:tr>
      <w:tr w:rsidR="004A78E7" w:rsidRPr="00CA3497" w14:paraId="1B59F649" w14:textId="77777777" w:rsidTr="003C64FB">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6B208928"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50%</w:t>
            </w:r>
          </w:p>
        </w:tc>
        <w:tc>
          <w:tcPr>
            <w:tcW w:w="2972" w:type="dxa"/>
          </w:tcPr>
          <w:p w14:paraId="5A3AC30F" w14:textId="69EB5483"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3.2 ± 0.4</w:t>
            </w:r>
            <w:r w:rsidR="00DD2821" w:rsidRPr="00CA3497">
              <w:rPr>
                <w:rFonts w:ascii="Times New Roman" w:hAnsi="Times New Roman" w:cs="Times New Roman"/>
                <w:sz w:val="24"/>
                <w:szCs w:val="24"/>
                <w:vertAlign w:val="superscript"/>
              </w:rPr>
              <w:t>c</w:t>
            </w:r>
          </w:p>
        </w:tc>
      </w:tr>
      <w:tr w:rsidR="004A78E7" w:rsidRPr="00CA3497" w14:paraId="2F7FCD45" w14:textId="77777777" w:rsidTr="003C64FB">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654A0E35"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75%</w:t>
            </w:r>
          </w:p>
        </w:tc>
        <w:tc>
          <w:tcPr>
            <w:tcW w:w="2972" w:type="dxa"/>
          </w:tcPr>
          <w:p w14:paraId="650FF03A" w14:textId="04161B3B"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3.8 ± 0.4</w:t>
            </w:r>
            <w:r w:rsidR="00DD2821" w:rsidRPr="00CA3497">
              <w:rPr>
                <w:rFonts w:ascii="Times New Roman" w:hAnsi="Times New Roman" w:cs="Times New Roman"/>
                <w:sz w:val="24"/>
                <w:szCs w:val="24"/>
                <w:vertAlign w:val="superscript"/>
              </w:rPr>
              <w:t>d</w:t>
            </w:r>
          </w:p>
        </w:tc>
      </w:tr>
    </w:tbl>
    <w:p w14:paraId="0CFDC2B0" w14:textId="42581DA7" w:rsidR="00F32C5D" w:rsidRPr="00CA3497" w:rsidRDefault="00F32C5D"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i/>
          <w:iCs/>
          <w:sz w:val="24"/>
          <w:szCs w:val="24"/>
        </w:rPr>
        <w:t xml:space="preserve">ANOVA P&lt;0.05, </w:t>
      </w:r>
      <w:proofErr w:type="spellStart"/>
      <w:r w:rsidRPr="00CA3497">
        <w:rPr>
          <w:rFonts w:ascii="Times New Roman" w:hAnsi="Times New Roman" w:cs="Times New Roman"/>
          <w:i/>
          <w:iCs/>
          <w:sz w:val="24"/>
          <w:szCs w:val="24"/>
        </w:rPr>
        <w:t>Mean±SD</w:t>
      </w:r>
      <w:proofErr w:type="spellEnd"/>
      <w:r w:rsidRPr="00CA3497">
        <w:rPr>
          <w:rFonts w:ascii="Times New Roman" w:hAnsi="Times New Roman" w:cs="Times New Roman"/>
          <w:i/>
          <w:iCs/>
          <w:sz w:val="24"/>
          <w:szCs w:val="24"/>
        </w:rPr>
        <w:t xml:space="preserve"> with different superscripts differ significantly between respective groups by Turkey’s post hoc test</w:t>
      </w:r>
    </w:p>
    <w:p w14:paraId="2FC5ABD4" w14:textId="5629FB38" w:rsidR="004A78E7" w:rsidRPr="00CA3497" w:rsidRDefault="004A78E7" w:rsidP="00CA3497">
      <w:pPr>
        <w:tabs>
          <w:tab w:val="left" w:pos="2291"/>
        </w:tabs>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 xml:space="preserve">Figure </w:t>
      </w:r>
      <w:r w:rsidR="00AA2924">
        <w:rPr>
          <w:rFonts w:ascii="Times New Roman" w:hAnsi="Times New Roman" w:cs="Times New Roman"/>
          <w:sz w:val="24"/>
          <w:szCs w:val="24"/>
        </w:rPr>
        <w:t>5</w:t>
      </w:r>
      <w:r w:rsidR="003C64FB" w:rsidRPr="00CA3497">
        <w:rPr>
          <w:rFonts w:ascii="Times New Roman" w:hAnsi="Times New Roman" w:cs="Times New Roman"/>
          <w:sz w:val="24"/>
          <w:szCs w:val="24"/>
        </w:rPr>
        <w:t>:</w:t>
      </w:r>
      <w:r w:rsidRPr="00CA3497">
        <w:rPr>
          <w:rFonts w:ascii="Times New Roman" w:hAnsi="Times New Roman" w:cs="Times New Roman"/>
          <w:sz w:val="24"/>
          <w:szCs w:val="24"/>
        </w:rPr>
        <w:t xml:space="preserve"> </w:t>
      </w:r>
      <w:r w:rsidR="0045196B" w:rsidRPr="00CA3497">
        <w:rPr>
          <w:rFonts w:ascii="Times New Roman" w:hAnsi="Times New Roman" w:cs="Times New Roman"/>
          <w:sz w:val="24"/>
          <w:szCs w:val="24"/>
        </w:rPr>
        <w:t>D</w:t>
      </w:r>
      <w:r w:rsidRPr="00CA3497">
        <w:rPr>
          <w:rFonts w:ascii="Times New Roman" w:hAnsi="Times New Roman" w:cs="Times New Roman"/>
          <w:sz w:val="24"/>
          <w:szCs w:val="24"/>
        </w:rPr>
        <w:t xml:space="preserve">iameter of RBC in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 xml:space="preserve"> at different concentration of </w:t>
      </w:r>
      <w:r w:rsidRPr="00CA3497">
        <w:rPr>
          <w:rFonts w:ascii="Times New Roman" w:hAnsi="Times New Roman" w:cs="Times New Roman"/>
          <w:i/>
          <w:sz w:val="24"/>
          <w:szCs w:val="24"/>
        </w:rPr>
        <w:t xml:space="preserve">Citrus sinensis </w:t>
      </w:r>
      <w:r w:rsidRPr="00CA3497">
        <w:rPr>
          <w:rFonts w:ascii="Times New Roman" w:hAnsi="Times New Roman" w:cs="Times New Roman"/>
          <w:sz w:val="24"/>
          <w:szCs w:val="24"/>
        </w:rPr>
        <w:t>feed.</w:t>
      </w:r>
    </w:p>
    <w:p w14:paraId="356EF021" w14:textId="79B3F606" w:rsidR="004A78E7" w:rsidRPr="00CA3497" w:rsidRDefault="00135D9F" w:rsidP="00CA3497">
      <w:pPr>
        <w:spacing w:line="360" w:lineRule="auto"/>
        <w:jc w:val="center"/>
        <w:rPr>
          <w:rFonts w:ascii="Times New Roman" w:hAnsi="Times New Roman" w:cs="Times New Roman"/>
          <w:sz w:val="24"/>
          <w:szCs w:val="24"/>
        </w:rPr>
      </w:pPr>
      <w:r w:rsidRPr="00CA3497">
        <w:rPr>
          <w:rFonts w:ascii="Times New Roman" w:hAnsi="Times New Roman" w:cs="Times New Roman"/>
          <w:noProof/>
          <w:sz w:val="24"/>
          <w:szCs w:val="24"/>
          <w:lang w:val="en-US"/>
        </w:rPr>
        <w:drawing>
          <wp:inline distT="0" distB="0" distL="0" distR="0" wp14:anchorId="0936361A" wp14:editId="7C8E49D9">
            <wp:extent cx="3963035" cy="2505710"/>
            <wp:effectExtent l="0" t="0" r="0" b="8890"/>
            <wp:docPr id="12428898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3035" cy="2505710"/>
                    </a:xfrm>
                    <a:prstGeom prst="rect">
                      <a:avLst/>
                    </a:prstGeom>
                    <a:noFill/>
                  </pic:spPr>
                </pic:pic>
              </a:graphicData>
            </a:graphic>
          </wp:inline>
        </w:drawing>
      </w:r>
    </w:p>
    <w:p w14:paraId="7BFEFDD9" w14:textId="6991FB53" w:rsidR="004A78E7" w:rsidRPr="00CA3497" w:rsidRDefault="004A78E7" w:rsidP="00E34A7E">
      <w:pPr>
        <w:spacing w:line="360" w:lineRule="auto"/>
        <w:jc w:val="both"/>
        <w:rPr>
          <w:rFonts w:ascii="Times New Roman" w:hAnsi="Times New Roman" w:cs="Times New Roman"/>
          <w:sz w:val="24"/>
          <w:szCs w:val="24"/>
        </w:rPr>
      </w:pPr>
    </w:p>
    <w:p w14:paraId="25D37D90" w14:textId="66676E12" w:rsidR="00F038AD" w:rsidRPr="00CA3497" w:rsidRDefault="00966362" w:rsidP="00E34A7E">
      <w:pPr>
        <w:spacing w:line="360" w:lineRule="auto"/>
        <w:jc w:val="both"/>
        <w:rPr>
          <w:rFonts w:ascii="Times New Roman" w:hAnsi="Times New Roman" w:cs="Times New Roman"/>
          <w:b/>
          <w:bCs/>
          <w:sz w:val="24"/>
          <w:szCs w:val="24"/>
        </w:rPr>
      </w:pPr>
      <w:r w:rsidRPr="00CA3497">
        <w:rPr>
          <w:rFonts w:ascii="Times New Roman" w:hAnsi="Times New Roman" w:cs="Times New Roman"/>
          <w:b/>
          <w:bCs/>
          <w:sz w:val="24"/>
          <w:szCs w:val="24"/>
        </w:rPr>
        <w:t>4</w:t>
      </w:r>
      <w:r w:rsidR="000E3038">
        <w:rPr>
          <w:rFonts w:ascii="Times New Roman" w:hAnsi="Times New Roman" w:cs="Times New Roman"/>
          <w:b/>
          <w:bCs/>
          <w:sz w:val="24"/>
          <w:szCs w:val="24"/>
        </w:rPr>
        <w:t>.</w:t>
      </w:r>
      <w:r w:rsidRPr="00CA3497">
        <w:rPr>
          <w:rFonts w:ascii="Times New Roman" w:hAnsi="Times New Roman" w:cs="Times New Roman"/>
          <w:b/>
          <w:bCs/>
          <w:sz w:val="24"/>
          <w:szCs w:val="24"/>
        </w:rPr>
        <w:t xml:space="preserve"> Discussion </w:t>
      </w:r>
    </w:p>
    <w:p w14:paraId="3D9095CC" w14:textId="77777777" w:rsidR="00E34A7E" w:rsidRPr="00CA3497" w:rsidRDefault="00E34A7E" w:rsidP="00E34A7E">
      <w:pPr>
        <w:pStyle w:val="NormalWeb"/>
        <w:spacing w:line="360" w:lineRule="auto"/>
        <w:jc w:val="both"/>
      </w:pPr>
      <w:r w:rsidRPr="00CA3497">
        <w:t xml:space="preserve">The present study demonstrated that dietary supplementation of </w:t>
      </w:r>
      <w:r w:rsidRPr="00CA3497">
        <w:rPr>
          <w:rStyle w:val="Emphasis"/>
          <w:rFonts w:eastAsiaTheme="majorEastAsia"/>
        </w:rPr>
        <w:t>Citrus sinensis</w:t>
      </w:r>
      <w:r w:rsidRPr="00CA3497">
        <w:t xml:space="preserve"> peel significantly improved growth performance, biochemical composition, and haematological parameters of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with effects being dose-dependent. The observed improvements may be attributed to the presence of bioactive compounds such as flavonoids, phenolics, and essential oils in citrus peel, which are known to enhance nutrient utilization and physiological functions in fish.</w:t>
      </w:r>
    </w:p>
    <w:p w14:paraId="6ECF9676" w14:textId="77777777" w:rsidR="00E34A7E" w:rsidRPr="00CA3497" w:rsidRDefault="00E34A7E" w:rsidP="00E34A7E">
      <w:pPr>
        <w:pStyle w:val="NormalWeb"/>
        <w:spacing w:line="360" w:lineRule="auto"/>
        <w:jc w:val="both"/>
      </w:pPr>
      <w:r w:rsidRPr="00CA3497">
        <w:t xml:space="preserve">The significant increase in growth rate with increasing inclusion levels of </w:t>
      </w:r>
      <w:r w:rsidRPr="00CA3497">
        <w:rPr>
          <w:rStyle w:val="Emphasis"/>
          <w:rFonts w:eastAsiaTheme="majorEastAsia"/>
        </w:rPr>
        <w:t>C. sinensis</w:t>
      </w:r>
      <w:r w:rsidRPr="00CA3497">
        <w:t xml:space="preserve"> peel indicates enhanced feed utilization and metabolic efficiency. The highest growth observed at 75% inclusion suggests that citrus peel supplementation positively influences digestive processes and nutrient absorption. Similar findings have been reported in fish fed </w:t>
      </w:r>
      <w:proofErr w:type="spellStart"/>
      <w:r w:rsidRPr="00CA3497">
        <w:t>phytobiotic</w:t>
      </w:r>
      <w:proofErr w:type="spellEnd"/>
      <w:r w:rsidRPr="00CA3497">
        <w:t>-supplemented diets, where improved growth performance was associated with enhanced digestive enzyme activity and gut health (</w:t>
      </w:r>
      <w:proofErr w:type="spellStart"/>
      <w:r w:rsidRPr="00CA3497">
        <w:t>Hoseinifar</w:t>
      </w:r>
      <w:proofErr w:type="spellEnd"/>
      <w:r w:rsidRPr="00CA3497">
        <w:t xml:space="preserve"> </w:t>
      </w:r>
      <w:r w:rsidRPr="000E3038">
        <w:rPr>
          <w:i/>
          <w:iCs/>
        </w:rPr>
        <w:t>et al</w:t>
      </w:r>
      <w:r w:rsidRPr="00CA3497">
        <w:t>., 2022; Van Hai, 2023). The presence of limonene and other bioactive compounds in citrus peel may stimulate appetite and improve feed conversion efficiency, thereby promoting growth.</w:t>
      </w:r>
    </w:p>
    <w:p w14:paraId="2CCC2787" w14:textId="77777777" w:rsidR="00E34A7E" w:rsidRPr="00CA3497" w:rsidRDefault="00E34A7E" w:rsidP="00E34A7E">
      <w:pPr>
        <w:pStyle w:val="NormalWeb"/>
        <w:spacing w:line="360" w:lineRule="auto"/>
        <w:jc w:val="both"/>
      </w:pPr>
      <w:r w:rsidRPr="00CA3497">
        <w:t xml:space="preserve">Muscle protein content showed a significant increase with higher levels of dietary supplementation, indicating improved protein deposition and assimilation. This enhancement may be linked to the protein-sparing effect of </w:t>
      </w:r>
      <w:proofErr w:type="spellStart"/>
      <w:r w:rsidRPr="00CA3497">
        <w:t>phytobiotics</w:t>
      </w:r>
      <w:proofErr w:type="spellEnd"/>
      <w:r w:rsidRPr="00CA3497">
        <w:t>, which optimize nutrient utilization and reduce protein catabolism. Previous studies have reported that plant-derived additives improve protein synthesis and retention in fish tissues, leading to better growth performance (</w:t>
      </w:r>
      <w:proofErr w:type="spellStart"/>
      <w:r w:rsidRPr="00CA3497">
        <w:t>Ahmadifar</w:t>
      </w:r>
      <w:proofErr w:type="spellEnd"/>
      <w:r w:rsidRPr="00CA3497">
        <w:t xml:space="preserve"> </w:t>
      </w:r>
      <w:r w:rsidRPr="000E3038">
        <w:rPr>
          <w:i/>
          <w:iCs/>
        </w:rPr>
        <w:t>et al</w:t>
      </w:r>
      <w:r w:rsidRPr="00CA3497">
        <w:t xml:space="preserve">., 2021; Dawood </w:t>
      </w:r>
      <w:r w:rsidRPr="000E3038">
        <w:rPr>
          <w:i/>
          <w:iCs/>
        </w:rPr>
        <w:t>et al</w:t>
      </w:r>
      <w:r w:rsidRPr="00CA3497">
        <w:t xml:space="preserve">., 2020). The progressive increase in protein content across treatments further supports the role of </w:t>
      </w:r>
      <w:r w:rsidRPr="00CA3497">
        <w:rPr>
          <w:rStyle w:val="Emphasis"/>
          <w:rFonts w:eastAsiaTheme="majorEastAsia"/>
        </w:rPr>
        <w:t>C. sinensis</w:t>
      </w:r>
      <w:r w:rsidRPr="00CA3497">
        <w:t xml:space="preserve"> peel as a functional feed additive.</w:t>
      </w:r>
    </w:p>
    <w:p w14:paraId="2F1526DB" w14:textId="77777777" w:rsidR="00E34A7E" w:rsidRPr="00CA3497" w:rsidRDefault="00E34A7E" w:rsidP="00E34A7E">
      <w:pPr>
        <w:pStyle w:val="NormalWeb"/>
        <w:spacing w:line="360" w:lineRule="auto"/>
        <w:jc w:val="both"/>
      </w:pPr>
      <w:r w:rsidRPr="00CA3497">
        <w:t xml:space="preserve">The increase in cholesterol levels observed in the present study may reflect enhanced lipid metabolism and energy availability rather than a negative physiological response. In fish, moderate increases in cholesterol are often associated with improved membrane stability and steroid synthesis. Similar trends have been reported in studies involving </w:t>
      </w:r>
      <w:proofErr w:type="spellStart"/>
      <w:r w:rsidRPr="00CA3497">
        <w:t>phytobiotic</w:t>
      </w:r>
      <w:proofErr w:type="spellEnd"/>
      <w:r w:rsidRPr="00CA3497">
        <w:t xml:space="preserve"> supplementation, where increased lipid fractions were linked to improved metabolic activity and physiological status (</w:t>
      </w:r>
      <w:proofErr w:type="spellStart"/>
      <w:r w:rsidRPr="00CA3497">
        <w:t>Reverter</w:t>
      </w:r>
      <w:proofErr w:type="spellEnd"/>
      <w:r w:rsidRPr="00CA3497">
        <w:t xml:space="preserve"> </w:t>
      </w:r>
      <w:r w:rsidRPr="000E3038">
        <w:rPr>
          <w:i/>
          <w:iCs/>
        </w:rPr>
        <w:t>et al</w:t>
      </w:r>
      <w:r w:rsidRPr="00CA3497">
        <w:t>., 2021). However, the values remained within acceptable biological limits, suggesting no adverse effects on fish health.</w:t>
      </w:r>
    </w:p>
    <w:p w14:paraId="59807DF8" w14:textId="77777777" w:rsidR="00E34A7E" w:rsidRPr="00CA3497" w:rsidRDefault="00E34A7E" w:rsidP="00E34A7E">
      <w:pPr>
        <w:pStyle w:val="NormalWeb"/>
        <w:spacing w:line="360" w:lineRule="auto"/>
        <w:jc w:val="both"/>
      </w:pPr>
      <w:r w:rsidRPr="00CA3497">
        <w:lastRenderedPageBreak/>
        <w:t xml:space="preserve">Carbohydrate content also increased significantly with higher inclusion levels of </w:t>
      </w:r>
      <w:r w:rsidRPr="00CA3497">
        <w:rPr>
          <w:rStyle w:val="Emphasis"/>
          <w:rFonts w:eastAsiaTheme="majorEastAsia"/>
        </w:rPr>
        <w:t>C. sinensis</w:t>
      </w:r>
      <w:r w:rsidRPr="00CA3497">
        <w:t xml:space="preserve"> peel, indicating improved energy storage and utilization. This may be attributed to enhanced digestive efficiency and carbohydrate metabolism stimulated by phytochemicals present in citrus peel. Flavonoids and phenolic compounds are kn</w:t>
      </w:r>
      <w:bookmarkStart w:id="1" w:name="_GoBack"/>
      <w:bookmarkEnd w:id="1"/>
      <w:r w:rsidRPr="00CA3497">
        <w:t xml:space="preserve">own to influence carbohydrate metabolism by modulating enzyme activity and improving nutrient absorption (Kumar </w:t>
      </w:r>
      <w:r w:rsidRPr="000E3038">
        <w:rPr>
          <w:i/>
          <w:iCs/>
        </w:rPr>
        <w:t>et al</w:t>
      </w:r>
      <w:r w:rsidRPr="00CA3497">
        <w:t>., 2020). The increase in carbohydrate levels may therefore contribute to the overall improvement in growth performance observed in this study.</w:t>
      </w:r>
    </w:p>
    <w:p w14:paraId="316D67D7" w14:textId="77777777" w:rsidR="00E34A7E" w:rsidRPr="00CA3497" w:rsidRDefault="00E34A7E" w:rsidP="00E34A7E">
      <w:pPr>
        <w:pStyle w:val="NormalWeb"/>
        <w:spacing w:line="360" w:lineRule="auto"/>
        <w:jc w:val="both"/>
      </w:pPr>
      <w:r w:rsidRPr="00CA3497">
        <w:t xml:space="preserve">Haematological parameters, particularly haemoglobin content and RBC diameter, showed significant improvement in response to dietary supplementation. The increase in haemoglobin levels suggests enhanced oxygen-carrying capacity and improved physiological status of the fish. Similarly, the increase in RBC diameter may indicate improved erythropoiesis and cellular health. These findings are consistent with previous studies demonstrating that </w:t>
      </w:r>
      <w:proofErr w:type="spellStart"/>
      <w:r w:rsidRPr="00CA3497">
        <w:t>phytobiotics</w:t>
      </w:r>
      <w:proofErr w:type="spellEnd"/>
      <w:r w:rsidRPr="00CA3497">
        <w:t xml:space="preserve"> enhance haematological parameters by stimulating immune function and improving overall fish health (</w:t>
      </w:r>
      <w:proofErr w:type="spellStart"/>
      <w:r w:rsidRPr="00CA3497">
        <w:t>Hoseinifar</w:t>
      </w:r>
      <w:proofErr w:type="spellEnd"/>
      <w:r w:rsidRPr="00CA3497">
        <w:t xml:space="preserve"> </w:t>
      </w:r>
      <w:r w:rsidRPr="000E3038">
        <w:rPr>
          <w:i/>
          <w:iCs/>
        </w:rPr>
        <w:t>et al</w:t>
      </w:r>
      <w:r w:rsidRPr="00CA3497">
        <w:t>., 2022; Van Hai, 2023). The bioactive compounds in citrus peel, particularly antioxidants, may play a key role in protecting blood cells from oxidative stress and improving their functionality.</w:t>
      </w:r>
    </w:p>
    <w:p w14:paraId="4D35674A" w14:textId="77777777" w:rsidR="00E34A7E" w:rsidRPr="00CA3497" w:rsidRDefault="00E34A7E" w:rsidP="00E34A7E">
      <w:pPr>
        <w:pStyle w:val="NormalWeb"/>
        <w:spacing w:line="360" w:lineRule="auto"/>
        <w:jc w:val="both"/>
      </w:pPr>
      <w:r w:rsidRPr="00CA3497">
        <w:t xml:space="preserve">Overall, the results of the present study confirm that </w:t>
      </w:r>
      <w:r w:rsidRPr="00CA3497">
        <w:rPr>
          <w:rStyle w:val="Emphasis"/>
          <w:rFonts w:eastAsiaTheme="majorEastAsia"/>
        </w:rPr>
        <w:t>Citrus sinensis</w:t>
      </w:r>
      <w:r w:rsidRPr="00CA3497">
        <w:t xml:space="preserve"> peel acts as an effective natural feed additive, enhancing growth, biochemical composition, and haematological health in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The observed improvements can be attributed to the synergistic effects of phytochemicals present in citrus peel, which enhance digestion, nutrient utilization, and physiological functions. These findings are in agreement with recent studies highlighting the potential of plant-based feed additives as sustainable alternatives to synthetic growth promoters in aquaculture.</w:t>
      </w:r>
    </w:p>
    <w:p w14:paraId="069E9A28" w14:textId="77777777" w:rsidR="00E34A7E" w:rsidRPr="00E34A7E" w:rsidRDefault="00E34A7E" w:rsidP="00E34A7E">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E34A7E">
        <w:rPr>
          <w:rFonts w:ascii="Times New Roman" w:eastAsia="Times New Roman" w:hAnsi="Times New Roman" w:cs="Times New Roman"/>
          <w:b/>
          <w:bCs/>
          <w:kern w:val="0"/>
          <w:sz w:val="24"/>
          <w:szCs w:val="24"/>
          <w:lang w:eastAsia="en-IN"/>
          <w14:ligatures w14:val="none"/>
        </w:rPr>
        <w:t>5. Conclusion</w:t>
      </w:r>
    </w:p>
    <w:p w14:paraId="0D8CAE93" w14:textId="77777777" w:rsidR="00E34A7E" w:rsidRPr="00E34A7E" w:rsidRDefault="00E34A7E"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34A7E">
        <w:rPr>
          <w:rFonts w:ascii="Times New Roman" w:eastAsia="Times New Roman" w:hAnsi="Times New Roman" w:cs="Times New Roman"/>
          <w:kern w:val="0"/>
          <w:sz w:val="24"/>
          <w:szCs w:val="24"/>
          <w:lang w:eastAsia="en-IN"/>
          <w14:ligatures w14:val="none"/>
        </w:rPr>
        <w:t xml:space="preserve">The present study demonstrates that dietary supplementation of </w:t>
      </w:r>
      <w:r w:rsidRPr="00E34A7E">
        <w:rPr>
          <w:rFonts w:ascii="Times New Roman" w:eastAsia="Times New Roman" w:hAnsi="Times New Roman" w:cs="Times New Roman"/>
          <w:i/>
          <w:iCs/>
          <w:kern w:val="0"/>
          <w:sz w:val="24"/>
          <w:szCs w:val="24"/>
          <w:lang w:eastAsia="en-IN"/>
          <w14:ligatures w14:val="none"/>
        </w:rPr>
        <w:t>Citrus sinensis</w:t>
      </w:r>
      <w:r w:rsidRPr="00E34A7E">
        <w:rPr>
          <w:rFonts w:ascii="Times New Roman" w:eastAsia="Times New Roman" w:hAnsi="Times New Roman" w:cs="Times New Roman"/>
          <w:kern w:val="0"/>
          <w:sz w:val="24"/>
          <w:szCs w:val="24"/>
          <w:lang w:eastAsia="en-IN"/>
          <w14:ligatures w14:val="none"/>
        </w:rPr>
        <w:t xml:space="preserve"> peel significantly enhances growth performance, biochemical composition, and haematological parameters of </w:t>
      </w:r>
      <w:r w:rsidRPr="00E34A7E">
        <w:rPr>
          <w:rFonts w:ascii="Times New Roman" w:eastAsia="Times New Roman" w:hAnsi="Times New Roman" w:cs="Times New Roman"/>
          <w:i/>
          <w:iCs/>
          <w:kern w:val="0"/>
          <w:sz w:val="24"/>
          <w:szCs w:val="24"/>
          <w:lang w:eastAsia="en-IN"/>
          <w14:ligatures w14:val="none"/>
        </w:rPr>
        <w:t xml:space="preserve">Anabas </w:t>
      </w:r>
      <w:proofErr w:type="spellStart"/>
      <w:r w:rsidRPr="00E34A7E">
        <w:rPr>
          <w:rFonts w:ascii="Times New Roman" w:eastAsia="Times New Roman" w:hAnsi="Times New Roman" w:cs="Times New Roman"/>
          <w:i/>
          <w:iCs/>
          <w:kern w:val="0"/>
          <w:sz w:val="24"/>
          <w:szCs w:val="24"/>
          <w:lang w:eastAsia="en-IN"/>
          <w14:ligatures w14:val="none"/>
        </w:rPr>
        <w:t>testudineus</w:t>
      </w:r>
      <w:proofErr w:type="spellEnd"/>
      <w:r w:rsidRPr="00E34A7E">
        <w:rPr>
          <w:rFonts w:ascii="Times New Roman" w:eastAsia="Times New Roman" w:hAnsi="Times New Roman" w:cs="Times New Roman"/>
          <w:kern w:val="0"/>
          <w:sz w:val="24"/>
          <w:szCs w:val="24"/>
          <w:lang w:eastAsia="en-IN"/>
          <w14:ligatures w14:val="none"/>
        </w:rPr>
        <w:t>. The observed improvements were dose-dependent, with the highest inclusion level (75%) yielding the most pronounced effects in terms of growth rate, protein accumulation, and physiological health indicators.</w:t>
      </w:r>
    </w:p>
    <w:p w14:paraId="69120029" w14:textId="77777777" w:rsidR="00E34A7E" w:rsidRPr="00E34A7E" w:rsidRDefault="00E34A7E"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34A7E">
        <w:rPr>
          <w:rFonts w:ascii="Times New Roman" w:eastAsia="Times New Roman" w:hAnsi="Times New Roman" w:cs="Times New Roman"/>
          <w:kern w:val="0"/>
          <w:sz w:val="24"/>
          <w:szCs w:val="24"/>
          <w:lang w:eastAsia="en-IN"/>
          <w14:ligatures w14:val="none"/>
        </w:rPr>
        <w:lastRenderedPageBreak/>
        <w:t>The enhancement in growth and nutrient composition suggests improved feed utilization and metabolic efficiency, while the positive changes in haemoglobin content and RBC diameter indicate better physiological status and oxygen-carrying capacity. These effects can be attributed to the presence of bioactive compounds in citrus peel, which promote digestion, nutrient absorption, and overall fish health.</w:t>
      </w:r>
    </w:p>
    <w:p w14:paraId="729D1F06" w14:textId="77777777" w:rsidR="00E34A7E" w:rsidRPr="00E34A7E" w:rsidRDefault="00E34A7E"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34A7E">
        <w:rPr>
          <w:rFonts w:ascii="Times New Roman" w:eastAsia="Times New Roman" w:hAnsi="Times New Roman" w:cs="Times New Roman"/>
          <w:kern w:val="0"/>
          <w:sz w:val="24"/>
          <w:szCs w:val="24"/>
          <w:lang w:eastAsia="en-IN"/>
          <w14:ligatures w14:val="none"/>
        </w:rPr>
        <w:t xml:space="preserve">The findings highlight the potential of </w:t>
      </w:r>
      <w:r w:rsidRPr="00E34A7E">
        <w:rPr>
          <w:rFonts w:ascii="Times New Roman" w:eastAsia="Times New Roman" w:hAnsi="Times New Roman" w:cs="Times New Roman"/>
          <w:i/>
          <w:iCs/>
          <w:kern w:val="0"/>
          <w:sz w:val="24"/>
          <w:szCs w:val="24"/>
          <w:lang w:eastAsia="en-IN"/>
          <w14:ligatures w14:val="none"/>
        </w:rPr>
        <w:t>C. sinensis</w:t>
      </w:r>
      <w:r w:rsidRPr="00E34A7E">
        <w:rPr>
          <w:rFonts w:ascii="Times New Roman" w:eastAsia="Times New Roman" w:hAnsi="Times New Roman" w:cs="Times New Roman"/>
          <w:kern w:val="0"/>
          <w:sz w:val="24"/>
          <w:szCs w:val="24"/>
          <w:lang w:eastAsia="en-IN"/>
          <w14:ligatures w14:val="none"/>
        </w:rPr>
        <w:t xml:space="preserve"> peel as a cost-effective, natural, and eco-friendly feed additive in aquaculture. Its utilization not only improves fish performance but also supports sustainable aquaculture practices through the </w:t>
      </w:r>
      <w:proofErr w:type="spellStart"/>
      <w:r w:rsidRPr="00E34A7E">
        <w:rPr>
          <w:rFonts w:ascii="Times New Roman" w:eastAsia="Times New Roman" w:hAnsi="Times New Roman" w:cs="Times New Roman"/>
          <w:kern w:val="0"/>
          <w:sz w:val="24"/>
          <w:szCs w:val="24"/>
          <w:lang w:eastAsia="en-IN"/>
          <w14:ligatures w14:val="none"/>
        </w:rPr>
        <w:t>valorization</w:t>
      </w:r>
      <w:proofErr w:type="spellEnd"/>
      <w:r w:rsidRPr="00E34A7E">
        <w:rPr>
          <w:rFonts w:ascii="Times New Roman" w:eastAsia="Times New Roman" w:hAnsi="Times New Roman" w:cs="Times New Roman"/>
          <w:kern w:val="0"/>
          <w:sz w:val="24"/>
          <w:szCs w:val="24"/>
          <w:lang w:eastAsia="en-IN"/>
          <w14:ligatures w14:val="none"/>
        </w:rPr>
        <w:t xml:space="preserve"> of </w:t>
      </w:r>
      <w:proofErr w:type="spellStart"/>
      <w:r w:rsidRPr="00E34A7E">
        <w:rPr>
          <w:rFonts w:ascii="Times New Roman" w:eastAsia="Times New Roman" w:hAnsi="Times New Roman" w:cs="Times New Roman"/>
          <w:kern w:val="0"/>
          <w:sz w:val="24"/>
          <w:szCs w:val="24"/>
          <w:lang w:eastAsia="en-IN"/>
          <w14:ligatures w14:val="none"/>
        </w:rPr>
        <w:t>agro</w:t>
      </w:r>
      <w:proofErr w:type="spellEnd"/>
      <w:r w:rsidRPr="00E34A7E">
        <w:rPr>
          <w:rFonts w:ascii="Times New Roman" w:eastAsia="Times New Roman" w:hAnsi="Times New Roman" w:cs="Times New Roman"/>
          <w:kern w:val="0"/>
          <w:sz w:val="24"/>
          <w:szCs w:val="24"/>
          <w:lang w:eastAsia="en-IN"/>
          <w14:ligatures w14:val="none"/>
        </w:rPr>
        <w:t>-industrial waste.</w:t>
      </w:r>
    </w:p>
    <w:p w14:paraId="10BC2C3C" w14:textId="42AC414B" w:rsidR="00E34A7E" w:rsidRDefault="00E34A7E"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34A7E">
        <w:rPr>
          <w:rFonts w:ascii="Times New Roman" w:eastAsia="Times New Roman" w:hAnsi="Times New Roman" w:cs="Times New Roman"/>
          <w:kern w:val="0"/>
          <w:sz w:val="24"/>
          <w:szCs w:val="24"/>
          <w:lang w:eastAsia="en-IN"/>
          <w14:ligatures w14:val="none"/>
        </w:rPr>
        <w:t>Further studies are recommended to optimize inclusion levels under different culture conditions and to evaluate long-term effects on fish health and product quality.</w:t>
      </w:r>
    </w:p>
    <w:p w14:paraId="1B8AEA22" w14:textId="77777777" w:rsidR="00F93AE1" w:rsidRPr="00F93AE1" w:rsidRDefault="00F93AE1" w:rsidP="00F93AE1">
      <w:pPr>
        <w:shd w:val="clear" w:color="auto" w:fill="FFFFFF"/>
        <w:spacing w:before="100" w:beforeAutospacing="1" w:after="0" w:line="240" w:lineRule="auto"/>
        <w:rPr>
          <w:rFonts w:ascii="Times New Roman" w:eastAsia="Times New Roman" w:hAnsi="Times New Roman" w:cs="Times New Roman"/>
          <w:color w:val="222222"/>
          <w:kern w:val="0"/>
          <w:sz w:val="24"/>
          <w:szCs w:val="24"/>
          <w:lang w:val="en-US"/>
          <w14:ligatures w14:val="none"/>
        </w:rPr>
      </w:pPr>
      <w:bookmarkStart w:id="2" w:name="_Hlk197531964"/>
      <w:r w:rsidRPr="00F93AE1">
        <w:rPr>
          <w:rFonts w:ascii="Arial" w:eastAsia="Times New Roman" w:hAnsi="Arial" w:cs="Arial"/>
          <w:b/>
          <w:bCs/>
          <w:color w:val="0000FF"/>
          <w:kern w:val="0"/>
          <w:sz w:val="20"/>
          <w:szCs w:val="20"/>
          <w:lang w:val="en-GB"/>
          <w14:ligatures w14:val="none"/>
        </w:rPr>
        <w:t> </w:t>
      </w:r>
    </w:p>
    <w:p w14:paraId="3B44D1F3" w14:textId="77777777" w:rsidR="00F93AE1" w:rsidRPr="0018622E" w:rsidRDefault="00F93AE1" w:rsidP="00F93AE1">
      <w:pPr>
        <w:spacing w:after="0" w:line="240" w:lineRule="auto"/>
        <w:rPr>
          <w:rFonts w:ascii="Arial" w:eastAsia="Calibri" w:hAnsi="Arial" w:cs="Arial"/>
          <w:b/>
          <w:lang w:val="en-US"/>
          <w14:ligatures w14:val="none"/>
        </w:rPr>
      </w:pPr>
      <w:bookmarkStart w:id="3" w:name="_Hlk198031404"/>
      <w:bookmarkEnd w:id="2"/>
      <w:r w:rsidRPr="0018622E">
        <w:rPr>
          <w:rFonts w:ascii="Arial" w:eastAsia="Calibri" w:hAnsi="Arial" w:cs="Arial"/>
          <w:b/>
          <w:lang w:val="en-US"/>
          <w14:ligatures w14:val="none"/>
        </w:rPr>
        <w:t>Disclaimer (Artificial intelligence)</w:t>
      </w:r>
    </w:p>
    <w:p w14:paraId="5A372893" w14:textId="77777777" w:rsidR="00F93AE1" w:rsidRPr="0018622E" w:rsidRDefault="00F93AE1" w:rsidP="00F93AE1">
      <w:pPr>
        <w:spacing w:after="0" w:line="240" w:lineRule="auto"/>
        <w:rPr>
          <w:rFonts w:ascii="Arial" w:eastAsia="Calibri" w:hAnsi="Arial" w:cs="Arial"/>
          <w:lang w:val="en-US"/>
          <w14:ligatures w14:val="none"/>
        </w:rPr>
      </w:pPr>
    </w:p>
    <w:p w14:paraId="111C6C51" w14:textId="77777777" w:rsidR="00F93AE1" w:rsidRPr="0018622E" w:rsidRDefault="00F93AE1" w:rsidP="00F93AE1">
      <w:pPr>
        <w:spacing w:after="0" w:line="240" w:lineRule="auto"/>
        <w:rPr>
          <w:rFonts w:ascii="Arial" w:eastAsia="Calibri" w:hAnsi="Arial" w:cs="Arial"/>
          <w:lang w:val="en-US"/>
          <w14:ligatures w14:val="none"/>
        </w:rPr>
      </w:pPr>
      <w:r w:rsidRPr="0018622E">
        <w:rPr>
          <w:rFonts w:ascii="Arial" w:eastAsia="Calibri" w:hAnsi="Arial" w:cs="Arial"/>
          <w:lang w:val="en-US"/>
          <w14:ligatures w14:val="none"/>
        </w:rPr>
        <w:t>Author(s) hereby declare that NO generative AI technologies such as Large Language Models (</w:t>
      </w:r>
      <w:proofErr w:type="spellStart"/>
      <w:r w:rsidRPr="0018622E">
        <w:rPr>
          <w:rFonts w:ascii="Arial" w:eastAsia="Calibri" w:hAnsi="Arial" w:cs="Arial"/>
          <w:lang w:val="en-US"/>
          <w14:ligatures w14:val="none"/>
        </w:rPr>
        <w:t>ChatGPT</w:t>
      </w:r>
      <w:proofErr w:type="spellEnd"/>
      <w:r w:rsidRPr="0018622E">
        <w:rPr>
          <w:rFonts w:ascii="Arial" w:eastAsia="Calibri" w:hAnsi="Arial" w:cs="Arial"/>
          <w:lang w:val="en-US"/>
          <w14:ligatures w14:val="none"/>
        </w:rPr>
        <w:t xml:space="preserve">, COPILOT, etc.) and text-to-image generators have been used during the writing or editing of this manuscript. </w:t>
      </w:r>
    </w:p>
    <w:bookmarkEnd w:id="3"/>
    <w:p w14:paraId="6551A10D" w14:textId="31B08E0B" w:rsidR="00F93AE1" w:rsidRDefault="00F93AE1"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5D460C78" w14:textId="77777777" w:rsidR="00F93AE1" w:rsidRPr="00E34A7E" w:rsidRDefault="00F93AE1"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4669192E" w14:textId="62550955" w:rsidR="00326BA6" w:rsidRDefault="00326BA6" w:rsidP="00E34A7E">
      <w:pPr>
        <w:pStyle w:val="NormalWeb"/>
        <w:spacing w:line="360" w:lineRule="auto"/>
        <w:jc w:val="both"/>
        <w:rPr>
          <w:b/>
          <w:bCs/>
        </w:rPr>
      </w:pPr>
      <w:r w:rsidRPr="00CA3497">
        <w:rPr>
          <w:b/>
          <w:bCs/>
        </w:rPr>
        <w:t>RE</w:t>
      </w:r>
      <w:r w:rsidR="00F31100" w:rsidRPr="00CA3497">
        <w:rPr>
          <w:b/>
          <w:bCs/>
        </w:rPr>
        <w:t>F</w:t>
      </w:r>
      <w:r w:rsidRPr="00CA3497">
        <w:rPr>
          <w:b/>
          <w:bCs/>
        </w:rPr>
        <w:t>ERENCES</w:t>
      </w:r>
    </w:p>
    <w:p w14:paraId="6579FA4A" w14:textId="09DA86C6" w:rsidR="00E61096" w:rsidRPr="00E61096" w:rsidRDefault="00E61096" w:rsidP="00E34A7E">
      <w:pPr>
        <w:pStyle w:val="NormalWeb"/>
        <w:spacing w:line="360" w:lineRule="auto"/>
        <w:jc w:val="both"/>
        <w:rPr>
          <w:bCs/>
        </w:rPr>
      </w:pPr>
      <w:r w:rsidRPr="00E61096">
        <w:rPr>
          <w:bCs/>
        </w:rPr>
        <w:t>Abdel-</w:t>
      </w:r>
      <w:proofErr w:type="spellStart"/>
      <w:r w:rsidRPr="00E61096">
        <w:rPr>
          <w:bCs/>
        </w:rPr>
        <w:t>Tawwab</w:t>
      </w:r>
      <w:proofErr w:type="spellEnd"/>
      <w:r w:rsidRPr="00E61096">
        <w:rPr>
          <w:bCs/>
        </w:rPr>
        <w:t>, M., Dawood, M. A. O., &amp; El-</w:t>
      </w:r>
      <w:proofErr w:type="spellStart"/>
      <w:r w:rsidRPr="00E61096">
        <w:rPr>
          <w:bCs/>
        </w:rPr>
        <w:t>Araby</w:t>
      </w:r>
      <w:proofErr w:type="spellEnd"/>
      <w:r w:rsidRPr="00E61096">
        <w:rPr>
          <w:bCs/>
        </w:rPr>
        <w:t xml:space="preserve">, D. A. (2020). Effects of dietary supplementation of citrus peel on growth performance, biochemical parameters, and immune response of Nile tilapia (Oreochromis </w:t>
      </w:r>
      <w:proofErr w:type="spellStart"/>
      <w:r w:rsidRPr="00E61096">
        <w:rPr>
          <w:bCs/>
        </w:rPr>
        <w:t>niloticus</w:t>
      </w:r>
      <w:proofErr w:type="spellEnd"/>
      <w:r w:rsidRPr="00E61096">
        <w:rPr>
          <w:bCs/>
        </w:rPr>
        <w:t>). Aquaculture Research, 51(2), 712–722.</w:t>
      </w:r>
    </w:p>
    <w:p w14:paraId="4CD8BD1B" w14:textId="77777777" w:rsidR="00E34A7E" w:rsidRPr="00CA3497" w:rsidRDefault="00E34A7E" w:rsidP="00E34A7E">
      <w:pPr>
        <w:pStyle w:val="NormalWeb"/>
        <w:spacing w:line="360" w:lineRule="auto"/>
        <w:jc w:val="both"/>
      </w:pPr>
      <w:proofErr w:type="spellStart"/>
      <w:r w:rsidRPr="00CA3497">
        <w:t>Ahmadifar</w:t>
      </w:r>
      <w:proofErr w:type="spellEnd"/>
      <w:r w:rsidRPr="00CA3497">
        <w:t xml:space="preserve">, E., Dawood, M.A.O., Moghadam, M.S., </w:t>
      </w:r>
      <w:proofErr w:type="spellStart"/>
      <w:r w:rsidRPr="00CA3497">
        <w:t>Sheikhzadeh</w:t>
      </w:r>
      <w:proofErr w:type="spellEnd"/>
      <w:r w:rsidRPr="00CA3497">
        <w:t xml:space="preserve">, N., </w:t>
      </w:r>
      <w:proofErr w:type="spellStart"/>
      <w:r w:rsidRPr="00CA3497">
        <w:t>Hoseinifar</w:t>
      </w:r>
      <w:proofErr w:type="spellEnd"/>
      <w:r w:rsidRPr="00CA3497">
        <w:t xml:space="preserve">, S.H., </w:t>
      </w:r>
      <w:proofErr w:type="spellStart"/>
      <w:r w:rsidRPr="00CA3497">
        <w:t>Musthafa</w:t>
      </w:r>
      <w:proofErr w:type="spellEnd"/>
      <w:r w:rsidRPr="00CA3497">
        <w:t xml:space="preserve">, M.S., &amp; Van Doan, H. (2021). The use of plant-derived compounds in aquaculture: A review. </w:t>
      </w:r>
      <w:r w:rsidRPr="00CA3497">
        <w:rPr>
          <w:rStyle w:val="Emphasis"/>
          <w:rFonts w:eastAsiaTheme="majorEastAsia"/>
        </w:rPr>
        <w:t>Aquaculture Research</w:t>
      </w:r>
      <w:r w:rsidRPr="00CA3497">
        <w:t>, 52(7), 3024–3045.</w:t>
      </w:r>
    </w:p>
    <w:p w14:paraId="31DB8F66" w14:textId="77777777" w:rsidR="00E34A7E" w:rsidRPr="00CA3497" w:rsidRDefault="00E34A7E" w:rsidP="00E34A7E">
      <w:pPr>
        <w:pStyle w:val="NormalWeb"/>
        <w:spacing w:line="360" w:lineRule="auto"/>
        <w:jc w:val="both"/>
      </w:pPr>
      <w:r w:rsidRPr="00CA3497">
        <w:t xml:space="preserve">Costello, C., Cao, L., </w:t>
      </w:r>
      <w:proofErr w:type="spellStart"/>
      <w:r w:rsidRPr="00CA3497">
        <w:t>Gelcich</w:t>
      </w:r>
      <w:proofErr w:type="spellEnd"/>
      <w:r w:rsidRPr="00CA3497">
        <w:t xml:space="preserve">, S., Cisneros-Mata, M.Á., Free, C.M., Froehlich, H.E., Golden, C.D., Ishimura, G., Maier, J., Macadam-Somer, I., Mangin, T., Melnychuk, M.C., Miyahara, M., de Moor, C.L., Naylor, R., </w:t>
      </w:r>
      <w:proofErr w:type="spellStart"/>
      <w:r w:rsidRPr="00CA3497">
        <w:t>Nøstbakken</w:t>
      </w:r>
      <w:proofErr w:type="spellEnd"/>
      <w:r w:rsidRPr="00CA3497">
        <w:t xml:space="preserve">, L., Ojea, E., O’Reilly, E., Parma, A.M., Plantinga, </w:t>
      </w:r>
      <w:r w:rsidRPr="00CA3497">
        <w:lastRenderedPageBreak/>
        <w:t xml:space="preserve">A.J., Thilsted, S.H., &amp; Lubchenco, J. (2020). The future of food from the sea. </w:t>
      </w:r>
      <w:r w:rsidRPr="00CA3497">
        <w:rPr>
          <w:rStyle w:val="Emphasis"/>
          <w:rFonts w:eastAsiaTheme="majorEastAsia"/>
        </w:rPr>
        <w:t>Nature</w:t>
      </w:r>
      <w:r w:rsidRPr="00CA3497">
        <w:t>, 588, 95–100.</w:t>
      </w:r>
    </w:p>
    <w:p w14:paraId="4F1906AF" w14:textId="77777777" w:rsidR="00E34A7E" w:rsidRPr="00CA3497" w:rsidRDefault="00E34A7E" w:rsidP="00E34A7E">
      <w:pPr>
        <w:pStyle w:val="NormalWeb"/>
        <w:spacing w:line="360" w:lineRule="auto"/>
        <w:jc w:val="both"/>
      </w:pPr>
      <w:r w:rsidRPr="00CA3497">
        <w:t xml:space="preserve">Dawood, M.A.O., Koshio, S., Esteban, M.Á., &amp; El-Haroun, E.R. (2020). Beneficial roles of feed additives as immunostimulants in aquaculture: A review. </w:t>
      </w:r>
      <w:r w:rsidRPr="00CA3497">
        <w:rPr>
          <w:rStyle w:val="Emphasis"/>
          <w:rFonts w:eastAsiaTheme="majorEastAsia"/>
        </w:rPr>
        <w:t>Aquaculture</w:t>
      </w:r>
      <w:r w:rsidRPr="00CA3497">
        <w:t>, 500, 950–965.</w:t>
      </w:r>
    </w:p>
    <w:p w14:paraId="0E223E1F" w14:textId="77777777" w:rsidR="00E34A7E" w:rsidRPr="00CA3497" w:rsidRDefault="00E34A7E" w:rsidP="00E34A7E">
      <w:pPr>
        <w:pStyle w:val="NormalWeb"/>
        <w:spacing w:line="360" w:lineRule="auto"/>
        <w:jc w:val="both"/>
      </w:pPr>
      <w:r w:rsidRPr="00CA3497">
        <w:t xml:space="preserve">Folch, J., Lees, M., &amp; Sloane Stanley, G.H. (1957). A simple method for the isolation and purification of total lipids from animal tissues. </w:t>
      </w:r>
      <w:r w:rsidRPr="00CA3497">
        <w:rPr>
          <w:rStyle w:val="Emphasis"/>
          <w:rFonts w:eastAsiaTheme="majorEastAsia"/>
        </w:rPr>
        <w:t>Journal of Biological Chemistry</w:t>
      </w:r>
      <w:r w:rsidRPr="00CA3497">
        <w:t>, 226(1), 497–509.</w:t>
      </w:r>
    </w:p>
    <w:p w14:paraId="52B5D6DF" w14:textId="77777777" w:rsidR="00E34A7E" w:rsidRPr="00CA3497" w:rsidRDefault="00E34A7E" w:rsidP="00E34A7E">
      <w:pPr>
        <w:pStyle w:val="NormalWeb"/>
        <w:spacing w:line="360" w:lineRule="auto"/>
        <w:jc w:val="both"/>
      </w:pPr>
      <w:r w:rsidRPr="00CA3497">
        <w:t xml:space="preserve">Francis, G., Makkar, H.P.S., &amp; Becker, K. (2005). Use of plant-derived products in aquaculture feeds. </w:t>
      </w:r>
      <w:r w:rsidRPr="00CA3497">
        <w:rPr>
          <w:rStyle w:val="Emphasis"/>
          <w:rFonts w:eastAsiaTheme="majorEastAsia"/>
        </w:rPr>
        <w:t>Aquaculture</w:t>
      </w:r>
      <w:r w:rsidRPr="00CA3497">
        <w:t>, 250(1–2), 3–16.</w:t>
      </w:r>
    </w:p>
    <w:p w14:paraId="2500F7EA" w14:textId="77777777" w:rsidR="00E34A7E" w:rsidRPr="00CA3497" w:rsidRDefault="00E34A7E" w:rsidP="00E34A7E">
      <w:pPr>
        <w:pStyle w:val="NormalWeb"/>
        <w:spacing w:line="360" w:lineRule="auto"/>
        <w:jc w:val="both"/>
      </w:pPr>
      <w:r w:rsidRPr="00CA3497">
        <w:t xml:space="preserve">Gatlin, D.M., Barrows, F.T., Brown, P., Dabrowski, K., Gaylord, T.G., Hardy, R.W., Herman, E., Hu, G., Krogdahl, Å., Nelson, R., Overturf, K., Rust, M., Sealey, W., Skonberg, D., Souza, E.J., Stone, D., Wilson, R., &amp; Wurtele, E. (2007). Expanding the utilization of sustainable plant products in aquafeeds. </w:t>
      </w:r>
      <w:r w:rsidRPr="00CA3497">
        <w:rPr>
          <w:rStyle w:val="Emphasis"/>
          <w:rFonts w:eastAsiaTheme="majorEastAsia"/>
        </w:rPr>
        <w:t>Aquaculture Research</w:t>
      </w:r>
      <w:r w:rsidRPr="00CA3497">
        <w:t>, 38(6), 551–579.</w:t>
      </w:r>
    </w:p>
    <w:p w14:paraId="313389C0" w14:textId="77777777" w:rsidR="00E34A7E" w:rsidRPr="00CA3497" w:rsidRDefault="00E34A7E" w:rsidP="00E34A7E">
      <w:pPr>
        <w:pStyle w:val="NormalWeb"/>
        <w:spacing w:line="360" w:lineRule="auto"/>
        <w:jc w:val="both"/>
      </w:pPr>
      <w:proofErr w:type="spellStart"/>
      <w:r w:rsidRPr="00CA3497">
        <w:t>Hoseinifar</w:t>
      </w:r>
      <w:proofErr w:type="spellEnd"/>
      <w:r w:rsidRPr="00CA3497">
        <w:t xml:space="preserve">, S.H., Sun, Y.Z., Wang, A., &amp; Zhou, Z. (2022). Probiotics and </w:t>
      </w:r>
      <w:proofErr w:type="spellStart"/>
      <w:r w:rsidRPr="00CA3497">
        <w:t>phytobiotics</w:t>
      </w:r>
      <w:proofErr w:type="spellEnd"/>
      <w:r w:rsidRPr="00CA3497">
        <w:t xml:space="preserve"> in aquaculture: Impacts on growth, immunity, and gut microbiota. </w:t>
      </w:r>
      <w:r w:rsidRPr="00CA3497">
        <w:rPr>
          <w:rStyle w:val="Emphasis"/>
          <w:rFonts w:eastAsiaTheme="majorEastAsia"/>
        </w:rPr>
        <w:t>Aquaculture</w:t>
      </w:r>
      <w:r w:rsidRPr="00CA3497">
        <w:t>, 548, 737–755.</w:t>
      </w:r>
    </w:p>
    <w:p w14:paraId="21385801" w14:textId="77777777" w:rsidR="00E34A7E" w:rsidRPr="00CA3497" w:rsidRDefault="00E34A7E" w:rsidP="00E34A7E">
      <w:pPr>
        <w:pStyle w:val="NormalWeb"/>
        <w:spacing w:line="360" w:lineRule="auto"/>
        <w:jc w:val="both"/>
      </w:pPr>
      <w:r w:rsidRPr="00CA3497">
        <w:t xml:space="preserve">Kumar, N., Goel, N., &amp; Saini, A. (2020). Nutritional and phytochemical potential of citrus peel: A review. </w:t>
      </w:r>
      <w:r w:rsidRPr="00CA3497">
        <w:rPr>
          <w:rStyle w:val="Emphasis"/>
          <w:rFonts w:eastAsiaTheme="majorEastAsia"/>
        </w:rPr>
        <w:t>Journal of Food Composition and Analysis</w:t>
      </w:r>
      <w:r w:rsidRPr="00CA3497">
        <w:t>, 89, 103–465.</w:t>
      </w:r>
    </w:p>
    <w:p w14:paraId="0994DC42" w14:textId="77777777" w:rsidR="00E34A7E" w:rsidRPr="00CA3497" w:rsidRDefault="00E34A7E" w:rsidP="00E34A7E">
      <w:pPr>
        <w:pStyle w:val="NormalWeb"/>
        <w:spacing w:line="360" w:lineRule="auto"/>
        <w:jc w:val="both"/>
      </w:pPr>
      <w:r w:rsidRPr="00CA3497">
        <w:t xml:space="preserve">Lowry, O.H., Rosebrough, N.J., Farr, A.L., &amp; Randall, R.J. (1951). Protein measurement with the </w:t>
      </w:r>
      <w:proofErr w:type="spellStart"/>
      <w:r w:rsidRPr="00CA3497">
        <w:t>Folin</w:t>
      </w:r>
      <w:proofErr w:type="spellEnd"/>
      <w:r w:rsidRPr="00CA3497">
        <w:t>–</w:t>
      </w:r>
      <w:proofErr w:type="spellStart"/>
      <w:r w:rsidRPr="00CA3497">
        <w:t>Ciocalteu</w:t>
      </w:r>
      <w:proofErr w:type="spellEnd"/>
      <w:r w:rsidRPr="00CA3497">
        <w:t xml:space="preserve"> reagent. </w:t>
      </w:r>
      <w:r w:rsidRPr="00CA3497">
        <w:rPr>
          <w:rStyle w:val="Emphasis"/>
          <w:rFonts w:eastAsiaTheme="majorEastAsia"/>
        </w:rPr>
        <w:t>Journal of Biological Chemistry</w:t>
      </w:r>
      <w:r w:rsidRPr="00CA3497">
        <w:t>, 193(1), 265–275.</w:t>
      </w:r>
    </w:p>
    <w:p w14:paraId="2ED284CD" w14:textId="77777777" w:rsidR="00E34A7E" w:rsidRPr="00CA3497" w:rsidRDefault="00E34A7E" w:rsidP="00E34A7E">
      <w:pPr>
        <w:pStyle w:val="NormalWeb"/>
        <w:spacing w:line="360" w:lineRule="auto"/>
        <w:jc w:val="both"/>
      </w:pPr>
      <w:proofErr w:type="spellStart"/>
      <w:r w:rsidRPr="00CA3497">
        <w:t>Reverter</w:t>
      </w:r>
      <w:proofErr w:type="spellEnd"/>
      <w:r w:rsidRPr="00CA3497">
        <w:t xml:space="preserve">, M., Bontemps, N., </w:t>
      </w:r>
      <w:proofErr w:type="spellStart"/>
      <w:r w:rsidRPr="00CA3497">
        <w:t>Lecchini</w:t>
      </w:r>
      <w:proofErr w:type="spellEnd"/>
      <w:r w:rsidRPr="00CA3497">
        <w:t xml:space="preserve">, D., </w:t>
      </w:r>
      <w:proofErr w:type="spellStart"/>
      <w:r w:rsidRPr="00CA3497">
        <w:t>Banaigs</w:t>
      </w:r>
      <w:proofErr w:type="spellEnd"/>
      <w:r w:rsidRPr="00CA3497">
        <w:t xml:space="preserve">, B., &amp; Sasal, P. (2021). Use of plant extracts in fish aquaculture as an alternative to chemotherapy: Current status and future perspectives. </w:t>
      </w:r>
      <w:r w:rsidRPr="00CA3497">
        <w:rPr>
          <w:rStyle w:val="Emphasis"/>
          <w:rFonts w:eastAsiaTheme="majorEastAsia"/>
        </w:rPr>
        <w:t>Reviews in Aquaculture</w:t>
      </w:r>
      <w:r w:rsidRPr="00CA3497">
        <w:t>, 13(3), 1139–1159.</w:t>
      </w:r>
    </w:p>
    <w:p w14:paraId="5D3D887C" w14:textId="77777777" w:rsidR="00E34A7E" w:rsidRPr="00CA3497" w:rsidRDefault="00E34A7E" w:rsidP="00E34A7E">
      <w:pPr>
        <w:pStyle w:val="NormalWeb"/>
        <w:spacing w:line="360" w:lineRule="auto"/>
        <w:jc w:val="both"/>
      </w:pPr>
      <w:r w:rsidRPr="00CA3497">
        <w:t xml:space="preserve">Subasinghe, R., Soto, D., &amp; Jia, J. (2009). Global aquaculture and its role in sustainable development. </w:t>
      </w:r>
      <w:r w:rsidRPr="00CA3497">
        <w:rPr>
          <w:rStyle w:val="Emphasis"/>
          <w:rFonts w:eastAsiaTheme="majorEastAsia"/>
        </w:rPr>
        <w:t>Reviews in Aquaculture</w:t>
      </w:r>
      <w:r w:rsidRPr="00CA3497">
        <w:t>, 1(1), 2–9.</w:t>
      </w:r>
    </w:p>
    <w:p w14:paraId="1CA9D8FD" w14:textId="77777777" w:rsidR="00E34A7E" w:rsidRPr="00CA3497" w:rsidRDefault="00E34A7E" w:rsidP="00E34A7E">
      <w:pPr>
        <w:pStyle w:val="NormalWeb"/>
        <w:spacing w:line="360" w:lineRule="auto"/>
        <w:jc w:val="both"/>
      </w:pPr>
      <w:r w:rsidRPr="00CA3497">
        <w:t xml:space="preserve">Tacon, A.G.J., &amp; Metian, M. (2015). Feed matters: Satisfying the feed demand of aquaculture. </w:t>
      </w:r>
      <w:r w:rsidRPr="00CA3497">
        <w:rPr>
          <w:rStyle w:val="Emphasis"/>
          <w:rFonts w:eastAsiaTheme="majorEastAsia"/>
        </w:rPr>
        <w:t>Reviews in Fisheries Science &amp; Aquaculture</w:t>
      </w:r>
      <w:r w:rsidRPr="00CA3497">
        <w:t>, 23(1), 1–10.</w:t>
      </w:r>
    </w:p>
    <w:p w14:paraId="3AF61084" w14:textId="77777777" w:rsidR="00E34A7E" w:rsidRPr="00CA3497" w:rsidRDefault="00E34A7E" w:rsidP="00E34A7E">
      <w:pPr>
        <w:pStyle w:val="NormalWeb"/>
        <w:spacing w:line="360" w:lineRule="auto"/>
        <w:jc w:val="both"/>
      </w:pPr>
      <w:r w:rsidRPr="00CA3497">
        <w:lastRenderedPageBreak/>
        <w:t xml:space="preserve">Van Hai, N. (2023). The use of medicinal plants as immunostimulants in aquaculture: A review. </w:t>
      </w:r>
      <w:r w:rsidRPr="00CA3497">
        <w:rPr>
          <w:rStyle w:val="Emphasis"/>
          <w:rFonts w:eastAsiaTheme="majorEastAsia"/>
        </w:rPr>
        <w:t>Aquaculture</w:t>
      </w:r>
      <w:r w:rsidRPr="00CA3497">
        <w:t>, 562, 738–756.</w:t>
      </w:r>
    </w:p>
    <w:p w14:paraId="0CE4710C" w14:textId="77777777" w:rsidR="00E34A7E" w:rsidRPr="00CA3497" w:rsidRDefault="00E34A7E" w:rsidP="00E34A7E">
      <w:pPr>
        <w:pStyle w:val="NormalWeb"/>
        <w:spacing w:line="360" w:lineRule="auto"/>
        <w:jc w:val="both"/>
      </w:pPr>
      <w:r w:rsidRPr="00CA3497">
        <w:t xml:space="preserve">Yemm, E.W., &amp; Willis, A.J. (1954). The estimation of carbohydrates in plant extracts by </w:t>
      </w:r>
      <w:proofErr w:type="spellStart"/>
      <w:r w:rsidRPr="00CA3497">
        <w:t>anthrone</w:t>
      </w:r>
      <w:proofErr w:type="spellEnd"/>
      <w:r w:rsidRPr="00CA3497">
        <w:t xml:space="preserve">. </w:t>
      </w:r>
      <w:r w:rsidRPr="00CA3497">
        <w:rPr>
          <w:rStyle w:val="Emphasis"/>
          <w:rFonts w:eastAsiaTheme="majorEastAsia"/>
        </w:rPr>
        <w:t>Biochemical Journal</w:t>
      </w:r>
      <w:r w:rsidRPr="00CA3497">
        <w:t>, 57(3), 508–514.</w:t>
      </w:r>
    </w:p>
    <w:p w14:paraId="45714792" w14:textId="77777777" w:rsidR="00F038AD" w:rsidRPr="00CA3497" w:rsidRDefault="00F038AD" w:rsidP="00E34A7E">
      <w:pPr>
        <w:pStyle w:val="NormalWeb"/>
        <w:spacing w:line="360" w:lineRule="auto"/>
        <w:jc w:val="both"/>
      </w:pPr>
    </w:p>
    <w:sectPr w:rsidR="00F038AD" w:rsidRPr="00CA349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F5E87" w14:textId="77777777" w:rsidR="008952CC" w:rsidRDefault="008952CC" w:rsidP="00F87298">
      <w:pPr>
        <w:spacing w:after="0" w:line="240" w:lineRule="auto"/>
      </w:pPr>
      <w:r>
        <w:separator/>
      </w:r>
    </w:p>
  </w:endnote>
  <w:endnote w:type="continuationSeparator" w:id="0">
    <w:p w14:paraId="1E3B9A76" w14:textId="77777777" w:rsidR="008952CC" w:rsidRDefault="008952CC" w:rsidP="00F8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877A4" w14:textId="77777777" w:rsidR="00334805" w:rsidRDefault="00334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0124143"/>
      <w:docPartObj>
        <w:docPartGallery w:val="Page Numbers (Bottom of Page)"/>
        <w:docPartUnique/>
      </w:docPartObj>
    </w:sdtPr>
    <w:sdtEndPr>
      <w:rPr>
        <w:noProof/>
      </w:rPr>
    </w:sdtEndPr>
    <w:sdtContent>
      <w:p w14:paraId="3E3F162B" w14:textId="0010E929" w:rsidR="00F87298" w:rsidRDefault="00F87298">
        <w:pPr>
          <w:pStyle w:val="Footer"/>
          <w:jc w:val="center"/>
        </w:pPr>
        <w:r>
          <w:fldChar w:fldCharType="begin"/>
        </w:r>
        <w:r>
          <w:instrText xml:space="preserve"> PAGE   \* MERGEFORMAT </w:instrText>
        </w:r>
        <w:r>
          <w:fldChar w:fldCharType="separate"/>
        </w:r>
        <w:r w:rsidR="0069273E">
          <w:rPr>
            <w:noProof/>
          </w:rPr>
          <w:t>17</w:t>
        </w:r>
        <w:r>
          <w:rPr>
            <w:noProof/>
          </w:rPr>
          <w:fldChar w:fldCharType="end"/>
        </w:r>
      </w:p>
    </w:sdtContent>
  </w:sdt>
  <w:p w14:paraId="3FBD2A13" w14:textId="77777777" w:rsidR="00F87298" w:rsidRDefault="00F87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5C03" w14:textId="77777777" w:rsidR="00334805" w:rsidRDefault="00334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344F7" w14:textId="77777777" w:rsidR="008952CC" w:rsidRDefault="008952CC" w:rsidP="00F87298">
      <w:pPr>
        <w:spacing w:after="0" w:line="240" w:lineRule="auto"/>
      </w:pPr>
      <w:r>
        <w:separator/>
      </w:r>
    </w:p>
  </w:footnote>
  <w:footnote w:type="continuationSeparator" w:id="0">
    <w:p w14:paraId="4B542177" w14:textId="77777777" w:rsidR="008952CC" w:rsidRDefault="008952CC" w:rsidP="00F8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FA23" w14:textId="1E6A17F5" w:rsidR="00334805" w:rsidRDefault="00271EF5">
    <w:pPr>
      <w:pStyle w:val="Header"/>
    </w:pPr>
    <w:r>
      <w:rPr>
        <w:noProof/>
      </w:rPr>
      <w:pict w14:anchorId="33A00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73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A7DAE" w14:textId="38F821CF" w:rsidR="00F87298" w:rsidRDefault="00271EF5" w:rsidP="00F87298">
    <w:pPr>
      <w:pStyle w:val="Header"/>
      <w:tabs>
        <w:tab w:val="clear" w:pos="4513"/>
        <w:tab w:val="clear" w:pos="9026"/>
        <w:tab w:val="left" w:pos="3116"/>
      </w:tabs>
    </w:pPr>
    <w:r>
      <w:rPr>
        <w:noProof/>
      </w:rPr>
      <w:pict w14:anchorId="20676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73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F8729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3A23B" w14:textId="74966FE6" w:rsidR="00334805" w:rsidRDefault="00271EF5">
    <w:pPr>
      <w:pStyle w:val="Header"/>
    </w:pPr>
    <w:r>
      <w:rPr>
        <w:noProof/>
      </w:rPr>
      <w:pict w14:anchorId="79636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73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338EA"/>
    <w:multiLevelType w:val="hybridMultilevel"/>
    <w:tmpl w:val="C082B0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wtDCzNLI0MTQxMzdU0lEKTi0uzszPAykwrAUASlS0ViwAAAA="/>
  </w:docVars>
  <w:rsids>
    <w:rsidRoot w:val="004A6417"/>
    <w:rsid w:val="0002625C"/>
    <w:rsid w:val="0003685F"/>
    <w:rsid w:val="00036C01"/>
    <w:rsid w:val="00081855"/>
    <w:rsid w:val="0008252F"/>
    <w:rsid w:val="000825A6"/>
    <w:rsid w:val="0008556A"/>
    <w:rsid w:val="0009096B"/>
    <w:rsid w:val="000C03AC"/>
    <w:rsid w:val="000E3038"/>
    <w:rsid w:val="000F377A"/>
    <w:rsid w:val="000F479C"/>
    <w:rsid w:val="00102381"/>
    <w:rsid w:val="00104185"/>
    <w:rsid w:val="001174E9"/>
    <w:rsid w:val="00124E66"/>
    <w:rsid w:val="00135D9F"/>
    <w:rsid w:val="00157306"/>
    <w:rsid w:val="00173AAB"/>
    <w:rsid w:val="0018622E"/>
    <w:rsid w:val="001953A6"/>
    <w:rsid w:val="001D1B2F"/>
    <w:rsid w:val="001E60A9"/>
    <w:rsid w:val="002303FE"/>
    <w:rsid w:val="00232656"/>
    <w:rsid w:val="00244CA7"/>
    <w:rsid w:val="00260D37"/>
    <w:rsid w:val="00271EF5"/>
    <w:rsid w:val="002B04BD"/>
    <w:rsid w:val="002C0DF2"/>
    <w:rsid w:val="002F72C8"/>
    <w:rsid w:val="002F75DF"/>
    <w:rsid w:val="0032309A"/>
    <w:rsid w:val="00326BA6"/>
    <w:rsid w:val="00334805"/>
    <w:rsid w:val="003376D8"/>
    <w:rsid w:val="00337975"/>
    <w:rsid w:val="00340DBA"/>
    <w:rsid w:val="00374E2A"/>
    <w:rsid w:val="003B2E07"/>
    <w:rsid w:val="003C0278"/>
    <w:rsid w:val="003C64FB"/>
    <w:rsid w:val="003E4E01"/>
    <w:rsid w:val="003E70CB"/>
    <w:rsid w:val="003F6644"/>
    <w:rsid w:val="00402FDB"/>
    <w:rsid w:val="00411D54"/>
    <w:rsid w:val="004333B9"/>
    <w:rsid w:val="0043412F"/>
    <w:rsid w:val="00444D1E"/>
    <w:rsid w:val="004514B3"/>
    <w:rsid w:val="0045196B"/>
    <w:rsid w:val="00455BE2"/>
    <w:rsid w:val="00460A07"/>
    <w:rsid w:val="00465CBA"/>
    <w:rsid w:val="004A6417"/>
    <w:rsid w:val="004A78E7"/>
    <w:rsid w:val="004E5B20"/>
    <w:rsid w:val="005220F7"/>
    <w:rsid w:val="00522153"/>
    <w:rsid w:val="00535BA7"/>
    <w:rsid w:val="00571167"/>
    <w:rsid w:val="005B389D"/>
    <w:rsid w:val="005B4E59"/>
    <w:rsid w:val="005B7036"/>
    <w:rsid w:val="005B71E8"/>
    <w:rsid w:val="005E05AD"/>
    <w:rsid w:val="005F59CD"/>
    <w:rsid w:val="00616314"/>
    <w:rsid w:val="00661D4C"/>
    <w:rsid w:val="006677BE"/>
    <w:rsid w:val="0069273E"/>
    <w:rsid w:val="006940FD"/>
    <w:rsid w:val="006A162C"/>
    <w:rsid w:val="006A54DE"/>
    <w:rsid w:val="006B0CB7"/>
    <w:rsid w:val="006B535E"/>
    <w:rsid w:val="006C09A0"/>
    <w:rsid w:val="00702C22"/>
    <w:rsid w:val="00727A68"/>
    <w:rsid w:val="0078139C"/>
    <w:rsid w:val="007C6853"/>
    <w:rsid w:val="007F21E9"/>
    <w:rsid w:val="008012A4"/>
    <w:rsid w:val="00805A58"/>
    <w:rsid w:val="00812BD0"/>
    <w:rsid w:val="00815484"/>
    <w:rsid w:val="00824AB5"/>
    <w:rsid w:val="0083093A"/>
    <w:rsid w:val="00860A50"/>
    <w:rsid w:val="008952CC"/>
    <w:rsid w:val="008A15D4"/>
    <w:rsid w:val="008B6C12"/>
    <w:rsid w:val="008D370B"/>
    <w:rsid w:val="009052DC"/>
    <w:rsid w:val="009138CC"/>
    <w:rsid w:val="00914E36"/>
    <w:rsid w:val="0094208B"/>
    <w:rsid w:val="0095519E"/>
    <w:rsid w:val="00966362"/>
    <w:rsid w:val="009726CD"/>
    <w:rsid w:val="0097470B"/>
    <w:rsid w:val="009C44F1"/>
    <w:rsid w:val="009D03B1"/>
    <w:rsid w:val="00A031EF"/>
    <w:rsid w:val="00A075E1"/>
    <w:rsid w:val="00A27B2D"/>
    <w:rsid w:val="00A3041E"/>
    <w:rsid w:val="00A31B80"/>
    <w:rsid w:val="00A33B9E"/>
    <w:rsid w:val="00A411E3"/>
    <w:rsid w:val="00A413CA"/>
    <w:rsid w:val="00A55798"/>
    <w:rsid w:val="00A74929"/>
    <w:rsid w:val="00A77A94"/>
    <w:rsid w:val="00A907BA"/>
    <w:rsid w:val="00A93366"/>
    <w:rsid w:val="00AA26BE"/>
    <w:rsid w:val="00AA2924"/>
    <w:rsid w:val="00AB3A49"/>
    <w:rsid w:val="00AE6A30"/>
    <w:rsid w:val="00B23C95"/>
    <w:rsid w:val="00B27CB4"/>
    <w:rsid w:val="00B40FE4"/>
    <w:rsid w:val="00B53174"/>
    <w:rsid w:val="00B64E4F"/>
    <w:rsid w:val="00B859ED"/>
    <w:rsid w:val="00BB2396"/>
    <w:rsid w:val="00BB6E83"/>
    <w:rsid w:val="00BD3BE6"/>
    <w:rsid w:val="00C01DEA"/>
    <w:rsid w:val="00C06438"/>
    <w:rsid w:val="00C10FBB"/>
    <w:rsid w:val="00C177F3"/>
    <w:rsid w:val="00C36D18"/>
    <w:rsid w:val="00C61EEC"/>
    <w:rsid w:val="00C7017B"/>
    <w:rsid w:val="00CA3497"/>
    <w:rsid w:val="00CB548A"/>
    <w:rsid w:val="00CD7301"/>
    <w:rsid w:val="00CF5066"/>
    <w:rsid w:val="00CF78A8"/>
    <w:rsid w:val="00D15082"/>
    <w:rsid w:val="00D21E8C"/>
    <w:rsid w:val="00D4116B"/>
    <w:rsid w:val="00D43016"/>
    <w:rsid w:val="00D626BF"/>
    <w:rsid w:val="00D7442C"/>
    <w:rsid w:val="00DA034A"/>
    <w:rsid w:val="00DA1C0E"/>
    <w:rsid w:val="00DA6B23"/>
    <w:rsid w:val="00DD2821"/>
    <w:rsid w:val="00DD6B12"/>
    <w:rsid w:val="00DE5E6A"/>
    <w:rsid w:val="00E34A7E"/>
    <w:rsid w:val="00E42284"/>
    <w:rsid w:val="00E60FFC"/>
    <w:rsid w:val="00E61096"/>
    <w:rsid w:val="00E82FB9"/>
    <w:rsid w:val="00EB5575"/>
    <w:rsid w:val="00EC7392"/>
    <w:rsid w:val="00EE11CD"/>
    <w:rsid w:val="00EE2CF2"/>
    <w:rsid w:val="00EF300D"/>
    <w:rsid w:val="00F038AD"/>
    <w:rsid w:val="00F07F5D"/>
    <w:rsid w:val="00F31100"/>
    <w:rsid w:val="00F32C5D"/>
    <w:rsid w:val="00F72383"/>
    <w:rsid w:val="00F7741B"/>
    <w:rsid w:val="00F87298"/>
    <w:rsid w:val="00F9069B"/>
    <w:rsid w:val="00F93AE1"/>
    <w:rsid w:val="00FB46CF"/>
    <w:rsid w:val="00FB4D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C0577B"/>
  <w15:chartTrackingRefBased/>
  <w15:docId w15:val="{38E2E017-89B7-4EBC-874A-17BBE332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4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64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4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4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64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6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4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64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64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4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64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6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417"/>
    <w:rPr>
      <w:rFonts w:eastAsiaTheme="majorEastAsia" w:cstheme="majorBidi"/>
      <w:color w:val="272727" w:themeColor="text1" w:themeTint="D8"/>
    </w:rPr>
  </w:style>
  <w:style w:type="paragraph" w:styleId="Title">
    <w:name w:val="Title"/>
    <w:basedOn w:val="Normal"/>
    <w:next w:val="Normal"/>
    <w:link w:val="TitleChar"/>
    <w:uiPriority w:val="10"/>
    <w:qFormat/>
    <w:rsid w:val="004A6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417"/>
    <w:pPr>
      <w:spacing w:before="160"/>
      <w:jc w:val="center"/>
    </w:pPr>
    <w:rPr>
      <w:i/>
      <w:iCs/>
      <w:color w:val="404040" w:themeColor="text1" w:themeTint="BF"/>
    </w:rPr>
  </w:style>
  <w:style w:type="character" w:customStyle="1" w:styleId="QuoteChar">
    <w:name w:val="Quote Char"/>
    <w:basedOn w:val="DefaultParagraphFont"/>
    <w:link w:val="Quote"/>
    <w:uiPriority w:val="29"/>
    <w:rsid w:val="004A6417"/>
    <w:rPr>
      <w:i/>
      <w:iCs/>
      <w:color w:val="404040" w:themeColor="text1" w:themeTint="BF"/>
    </w:rPr>
  </w:style>
  <w:style w:type="paragraph" w:styleId="ListParagraph">
    <w:name w:val="List Paragraph"/>
    <w:basedOn w:val="Normal"/>
    <w:uiPriority w:val="34"/>
    <w:qFormat/>
    <w:rsid w:val="004A6417"/>
    <w:pPr>
      <w:ind w:left="720"/>
      <w:contextualSpacing/>
    </w:pPr>
  </w:style>
  <w:style w:type="character" w:styleId="IntenseEmphasis">
    <w:name w:val="Intense Emphasis"/>
    <w:basedOn w:val="DefaultParagraphFont"/>
    <w:uiPriority w:val="21"/>
    <w:qFormat/>
    <w:rsid w:val="004A6417"/>
    <w:rPr>
      <w:i/>
      <w:iCs/>
      <w:color w:val="2F5496" w:themeColor="accent1" w:themeShade="BF"/>
    </w:rPr>
  </w:style>
  <w:style w:type="paragraph" w:styleId="IntenseQuote">
    <w:name w:val="Intense Quote"/>
    <w:basedOn w:val="Normal"/>
    <w:next w:val="Normal"/>
    <w:link w:val="IntenseQuoteChar"/>
    <w:uiPriority w:val="30"/>
    <w:qFormat/>
    <w:rsid w:val="004A6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417"/>
    <w:rPr>
      <w:i/>
      <w:iCs/>
      <w:color w:val="2F5496" w:themeColor="accent1" w:themeShade="BF"/>
    </w:rPr>
  </w:style>
  <w:style w:type="character" w:styleId="IntenseReference">
    <w:name w:val="Intense Reference"/>
    <w:basedOn w:val="DefaultParagraphFont"/>
    <w:uiPriority w:val="32"/>
    <w:qFormat/>
    <w:rsid w:val="004A6417"/>
    <w:rPr>
      <w:b/>
      <w:bCs/>
      <w:smallCaps/>
      <w:color w:val="2F5496" w:themeColor="accent1" w:themeShade="BF"/>
      <w:spacing w:val="5"/>
    </w:rPr>
  </w:style>
  <w:style w:type="paragraph" w:styleId="NormalWeb">
    <w:name w:val="Normal (Web)"/>
    <w:basedOn w:val="Normal"/>
    <w:uiPriority w:val="99"/>
    <w:unhideWhenUsed/>
    <w:rsid w:val="00805A5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805A58"/>
    <w:rPr>
      <w:i/>
      <w:iCs/>
    </w:rPr>
  </w:style>
  <w:style w:type="character" w:styleId="Strong">
    <w:name w:val="Strong"/>
    <w:basedOn w:val="DefaultParagraphFont"/>
    <w:uiPriority w:val="22"/>
    <w:qFormat/>
    <w:rsid w:val="000F479C"/>
    <w:rPr>
      <w:b/>
      <w:bCs/>
    </w:rPr>
  </w:style>
  <w:style w:type="table" w:styleId="MediumGrid1-Accent1">
    <w:name w:val="Medium Grid 1 Accent 1"/>
    <w:basedOn w:val="TableNormal"/>
    <w:uiPriority w:val="67"/>
    <w:rsid w:val="000F377A"/>
    <w:pPr>
      <w:spacing w:after="0" w:line="240" w:lineRule="auto"/>
    </w:pPr>
    <w:rPr>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styleId="Hyperlink">
    <w:name w:val="Hyperlink"/>
    <w:basedOn w:val="DefaultParagraphFont"/>
    <w:uiPriority w:val="99"/>
    <w:semiHidden/>
    <w:unhideWhenUsed/>
    <w:rsid w:val="00522153"/>
    <w:rPr>
      <w:color w:val="0000FF"/>
      <w:u w:val="single"/>
    </w:rPr>
  </w:style>
  <w:style w:type="table" w:styleId="GridTable1Light">
    <w:name w:val="Grid Table 1 Light"/>
    <w:basedOn w:val="TableNormal"/>
    <w:uiPriority w:val="46"/>
    <w:rsid w:val="000909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87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298"/>
  </w:style>
  <w:style w:type="paragraph" w:styleId="Footer">
    <w:name w:val="footer"/>
    <w:basedOn w:val="Normal"/>
    <w:link w:val="FooterChar"/>
    <w:uiPriority w:val="99"/>
    <w:unhideWhenUsed/>
    <w:rsid w:val="00F87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4270</Words>
  <Characters>24342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Sunitha Philip</dc:creator>
  <cp:keywords/>
  <dc:description/>
  <cp:lastModifiedBy>SDI PC New 16</cp:lastModifiedBy>
  <cp:revision>13</cp:revision>
  <dcterms:created xsi:type="dcterms:W3CDTF">2026-03-17T08:50:00Z</dcterms:created>
  <dcterms:modified xsi:type="dcterms:W3CDTF">2026-03-25T07:53:00Z</dcterms:modified>
</cp:coreProperties>
</file>