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7EE0" w14:textId="7E795A44" w:rsidR="00E660AE"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Influence of Hydrographical Parameters on Heavy Metal Bioaccumulation in Estuarine Waters and Sediments of the Ratnagiri Coast, Maharashtra, India</w:t>
      </w:r>
    </w:p>
    <w:p w14:paraId="6DDFE2E5" w14:textId="77777777" w:rsidR="00A2319F" w:rsidRDefault="00A2319F" w:rsidP="00C46A31">
      <w:pPr>
        <w:spacing w:line="360" w:lineRule="auto"/>
        <w:jc w:val="both"/>
        <w:rPr>
          <w:rFonts w:ascii="Times New Roman" w:hAnsi="Times New Roman" w:cs="Times New Roman"/>
          <w:b/>
          <w:bCs/>
          <w:szCs w:val="24"/>
        </w:rPr>
      </w:pPr>
    </w:p>
    <w:p w14:paraId="3FC9B33A" w14:textId="0ADA2591" w:rsidR="00E660AE" w:rsidRPr="00C46A31" w:rsidRDefault="00FD3D27"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ABSTRACT</w:t>
      </w:r>
    </w:p>
    <w:p w14:paraId="37ED9296" w14:textId="77777777" w:rsidR="001B76DD" w:rsidRPr="001B76DD" w:rsidRDefault="007F4034" w:rsidP="001B76DD">
      <w:pPr>
        <w:spacing w:line="360" w:lineRule="auto"/>
        <w:jc w:val="both"/>
        <w:rPr>
          <w:rFonts w:ascii="Times New Roman" w:hAnsi="Times New Roman" w:cs="Times New Roman"/>
          <w:szCs w:val="24"/>
        </w:rPr>
      </w:pPr>
      <w:r w:rsidRPr="007F4034">
        <w:rPr>
          <w:rFonts w:ascii="Times New Roman" w:hAnsi="Times New Roman" w:cs="Times New Roman"/>
          <w:szCs w:val="24"/>
        </w:rPr>
        <w:t xml:space="preserve">Estuarine ecosystem </w:t>
      </w:r>
      <w:r w:rsidR="00A97492" w:rsidRPr="007F4034">
        <w:rPr>
          <w:rFonts w:ascii="Times New Roman" w:hAnsi="Times New Roman" w:cs="Times New Roman"/>
          <w:szCs w:val="24"/>
        </w:rPr>
        <w:t>plays</w:t>
      </w:r>
      <w:r w:rsidRPr="007F4034">
        <w:rPr>
          <w:rFonts w:ascii="Times New Roman" w:hAnsi="Times New Roman" w:cs="Times New Roman"/>
          <w:szCs w:val="24"/>
        </w:rPr>
        <w:t xml:space="preserve"> </w:t>
      </w:r>
      <w:r w:rsidR="00A97492" w:rsidRPr="007F4034">
        <w:rPr>
          <w:rFonts w:ascii="Times New Roman" w:hAnsi="Times New Roman" w:cs="Times New Roman"/>
          <w:szCs w:val="24"/>
        </w:rPr>
        <w:t>a</w:t>
      </w:r>
      <w:r w:rsidRPr="007F4034">
        <w:rPr>
          <w:rFonts w:ascii="Times New Roman" w:hAnsi="Times New Roman" w:cs="Times New Roman"/>
          <w:szCs w:val="24"/>
        </w:rPr>
        <w:t xml:space="preserve"> </w:t>
      </w:r>
      <w:r w:rsidR="00A97492">
        <w:rPr>
          <w:rFonts w:ascii="Times New Roman" w:hAnsi="Times New Roman" w:cs="Times New Roman"/>
          <w:szCs w:val="24"/>
        </w:rPr>
        <w:t>vital</w:t>
      </w:r>
      <w:r w:rsidRPr="007F4034">
        <w:rPr>
          <w:rFonts w:ascii="Times New Roman" w:hAnsi="Times New Roman" w:cs="Times New Roman"/>
          <w:szCs w:val="24"/>
        </w:rPr>
        <w:t xml:space="preserve"> role in controlling the bio</w:t>
      </w:r>
      <w:r w:rsidR="00A97492">
        <w:rPr>
          <w:rFonts w:ascii="Times New Roman" w:hAnsi="Times New Roman" w:cs="Times New Roman"/>
          <w:szCs w:val="24"/>
        </w:rPr>
        <w:t>-</w:t>
      </w:r>
      <w:r w:rsidRPr="007F4034">
        <w:rPr>
          <w:rFonts w:ascii="Times New Roman" w:hAnsi="Times New Roman" w:cs="Times New Roman"/>
          <w:szCs w:val="24"/>
        </w:rPr>
        <w:t xml:space="preserve">geochemical cycling of trace metals by acting as </w:t>
      </w:r>
      <w:r w:rsidR="00A97492" w:rsidRPr="00874406">
        <w:rPr>
          <w:szCs w:val="24"/>
        </w:rPr>
        <w:t>transitional boundaries</w:t>
      </w:r>
      <w:r w:rsidR="00874406">
        <w:rPr>
          <w:szCs w:val="24"/>
        </w:rPr>
        <w:t xml:space="preserve"> </w:t>
      </w:r>
      <w:r w:rsidRPr="00874406">
        <w:rPr>
          <w:rFonts w:ascii="Times New Roman" w:hAnsi="Times New Roman" w:cs="Times New Roman"/>
          <w:szCs w:val="24"/>
        </w:rPr>
        <w:t>between</w:t>
      </w:r>
      <w:r w:rsidRPr="007F4034">
        <w:rPr>
          <w:rFonts w:ascii="Times New Roman" w:hAnsi="Times New Roman" w:cs="Times New Roman"/>
          <w:szCs w:val="24"/>
        </w:rPr>
        <w:t xml:space="preserve"> land and sea. However, growing human impact and notable seasonal fluctuations in river flow frequently increase the mobility, bioavailability and ecological threat of heavy metals. With a focus on the </w:t>
      </w:r>
      <w:proofErr w:type="spellStart"/>
      <w:r w:rsidRPr="007F4034">
        <w:rPr>
          <w:rFonts w:ascii="Times New Roman" w:hAnsi="Times New Roman" w:cs="Times New Roman"/>
          <w:szCs w:val="24"/>
        </w:rPr>
        <w:t>Bhatye</w:t>
      </w:r>
      <w:proofErr w:type="spellEnd"/>
      <w:r w:rsidRPr="007F4034">
        <w:rPr>
          <w:rFonts w:ascii="Times New Roman" w:hAnsi="Times New Roman" w:cs="Times New Roman"/>
          <w:szCs w:val="24"/>
        </w:rPr>
        <w:t xml:space="preserve">, </w:t>
      </w:r>
      <w:proofErr w:type="spellStart"/>
      <w:r w:rsidRPr="007F4034">
        <w:rPr>
          <w:rFonts w:ascii="Times New Roman" w:hAnsi="Times New Roman" w:cs="Times New Roman"/>
          <w:szCs w:val="24"/>
        </w:rPr>
        <w:t>Kalbadevi</w:t>
      </w:r>
      <w:proofErr w:type="spellEnd"/>
      <w:r w:rsidRPr="007F4034">
        <w:rPr>
          <w:rFonts w:ascii="Times New Roman" w:hAnsi="Times New Roman" w:cs="Times New Roman"/>
          <w:szCs w:val="24"/>
        </w:rPr>
        <w:t xml:space="preserve"> and </w:t>
      </w:r>
      <w:proofErr w:type="spellStart"/>
      <w:r w:rsidRPr="007F4034">
        <w:rPr>
          <w:rFonts w:ascii="Times New Roman" w:hAnsi="Times New Roman" w:cs="Times New Roman"/>
          <w:szCs w:val="24"/>
        </w:rPr>
        <w:t>Sakhartar</w:t>
      </w:r>
      <w:proofErr w:type="spellEnd"/>
      <w:r w:rsidRPr="007F4034">
        <w:rPr>
          <w:rFonts w:ascii="Times New Roman" w:hAnsi="Times New Roman" w:cs="Times New Roman"/>
          <w:szCs w:val="24"/>
        </w:rPr>
        <w:t xml:space="preserve"> estuaries, the current study investigates the effects of hydrographical characteristics on the seasonal distribution, accumulation and ecological risk of heavy metals in estuar</w:t>
      </w:r>
      <w:r w:rsidR="00A84192">
        <w:rPr>
          <w:rFonts w:ascii="Times New Roman" w:hAnsi="Times New Roman" w:cs="Times New Roman"/>
          <w:szCs w:val="24"/>
        </w:rPr>
        <w:t>ine</w:t>
      </w:r>
      <w:r w:rsidRPr="007F4034">
        <w:rPr>
          <w:rFonts w:ascii="Times New Roman" w:hAnsi="Times New Roman" w:cs="Times New Roman"/>
          <w:szCs w:val="24"/>
        </w:rPr>
        <w:t xml:space="preserve"> waters and sediments along the Ratnagiri coast of Maharashtra, India.</w:t>
      </w:r>
      <w:r>
        <w:rPr>
          <w:rFonts w:ascii="Times New Roman" w:hAnsi="Times New Roman" w:cs="Times New Roman"/>
          <w:szCs w:val="24"/>
        </w:rPr>
        <w:t xml:space="preserve"> </w:t>
      </w:r>
      <w:r w:rsidRPr="007F4034">
        <w:rPr>
          <w:rFonts w:ascii="Times New Roman" w:hAnsi="Times New Roman" w:cs="Times New Roman"/>
          <w:szCs w:val="24"/>
        </w:rPr>
        <w:t xml:space="preserve">Seasonal sampling was done </w:t>
      </w:r>
      <w:r w:rsidR="00A84192">
        <w:rPr>
          <w:rFonts w:ascii="Times New Roman" w:hAnsi="Times New Roman" w:cs="Times New Roman"/>
          <w:szCs w:val="24"/>
        </w:rPr>
        <w:t>among</w:t>
      </w:r>
      <w:r w:rsidRPr="007F4034">
        <w:rPr>
          <w:rFonts w:ascii="Times New Roman" w:hAnsi="Times New Roman" w:cs="Times New Roman"/>
          <w:szCs w:val="24"/>
        </w:rPr>
        <w:t xml:space="preserve"> the</w:t>
      </w:r>
      <w:r w:rsidR="00A84192">
        <w:rPr>
          <w:rFonts w:ascii="Times New Roman" w:hAnsi="Times New Roman" w:cs="Times New Roman"/>
          <w:szCs w:val="24"/>
        </w:rPr>
        <w:t xml:space="preserve"> period of</w:t>
      </w:r>
      <w:r w:rsidRPr="007F4034">
        <w:rPr>
          <w:rFonts w:ascii="Times New Roman" w:hAnsi="Times New Roman" w:cs="Times New Roman"/>
          <w:szCs w:val="24"/>
        </w:rPr>
        <w:t xml:space="preserve"> pre-monsoon, monsoon and post-monsoon phases. The quantities of Cd, Cu, Zn, Cr, Ni and Pb in surface waters and sediment were examined along with important hydrographical parameters such as pH, salinity, turbidity and dissolved oxygen (DO), water temperature, air temperature and turbidity. </w:t>
      </w:r>
      <w:r w:rsidR="00874406" w:rsidRPr="00874406">
        <w:rPr>
          <w:rFonts w:ascii="Times New Roman" w:hAnsi="Times New Roman" w:cs="Times New Roman"/>
          <w:szCs w:val="24"/>
        </w:rPr>
        <w:t>The results revealed a notable seasonal change, with monsoon conditions characterised by higher turbidity, lower pH and salinity and increased levels of metals in the water and sediments</w:t>
      </w:r>
      <w:r w:rsidRPr="007F4034">
        <w:rPr>
          <w:rFonts w:ascii="Times New Roman" w:hAnsi="Times New Roman" w:cs="Times New Roman"/>
          <w:szCs w:val="24"/>
        </w:rPr>
        <w:t>. Monsoon-driven freshwater input and sediment resuspension are the main constraints on metal bioavailability, according to strong relationships between hydrographical factors and metal concentrations</w:t>
      </w:r>
      <w:r>
        <w:rPr>
          <w:rFonts w:ascii="Times New Roman" w:hAnsi="Times New Roman" w:cs="Times New Roman"/>
          <w:szCs w:val="24"/>
        </w:rPr>
        <w:t xml:space="preserve">. </w:t>
      </w:r>
      <w:r w:rsidR="00874406" w:rsidRPr="00874406">
        <w:rPr>
          <w:rFonts w:ascii="Times New Roman" w:hAnsi="Times New Roman" w:cs="Times New Roman"/>
          <w:szCs w:val="24"/>
        </w:rPr>
        <w:t xml:space="preserve">Sediment ecological risk assessment revealed moderate to severe ecological risk during the monsoon, particularly for Pb and Cd. </w:t>
      </w:r>
      <w:r w:rsidR="001B76DD" w:rsidRPr="001B76DD">
        <w:rPr>
          <w:rFonts w:ascii="Times New Roman" w:hAnsi="Times New Roman" w:cs="Times New Roman"/>
          <w:szCs w:val="24"/>
        </w:rPr>
        <w:t>The study emphasises the need for thorough water-sediment measurements and seasonal surveillance in order to manage tropical estuaries sustainably.</w:t>
      </w:r>
    </w:p>
    <w:p w14:paraId="301D4827" w14:textId="13E9781A" w:rsidR="00137D42" w:rsidRPr="00137D42" w:rsidRDefault="00FD3D27" w:rsidP="00137D42">
      <w:pPr>
        <w:spacing w:line="360" w:lineRule="auto"/>
        <w:jc w:val="both"/>
        <w:rPr>
          <w:rFonts w:ascii="Times New Roman" w:hAnsi="Times New Roman" w:cs="Times New Roman"/>
          <w:szCs w:val="24"/>
        </w:rPr>
      </w:pPr>
      <w:r w:rsidRPr="00C46A31">
        <w:rPr>
          <w:rFonts w:ascii="Times New Roman" w:hAnsi="Times New Roman" w:cs="Times New Roman"/>
          <w:b/>
          <w:bCs/>
          <w:szCs w:val="24"/>
        </w:rPr>
        <w:t>KEYWORDS</w:t>
      </w:r>
      <w:r w:rsidR="00E660AE" w:rsidRPr="00C46A31">
        <w:rPr>
          <w:rFonts w:ascii="Times New Roman" w:hAnsi="Times New Roman" w:cs="Times New Roman"/>
          <w:b/>
          <w:bCs/>
          <w:szCs w:val="24"/>
        </w:rPr>
        <w:t>:</w:t>
      </w:r>
      <w:r w:rsidR="00E660AE" w:rsidRPr="00C46A31">
        <w:rPr>
          <w:rFonts w:ascii="Times New Roman" w:hAnsi="Times New Roman" w:cs="Times New Roman"/>
          <w:szCs w:val="24"/>
        </w:rPr>
        <w:t xml:space="preserve"> </w:t>
      </w:r>
      <w:r w:rsidR="00137D42" w:rsidRPr="00137D42">
        <w:rPr>
          <w:rFonts w:ascii="Times New Roman" w:hAnsi="Times New Roman" w:cs="Times New Roman"/>
          <w:szCs w:val="24"/>
        </w:rPr>
        <w:t xml:space="preserve">Ratnagiri </w:t>
      </w:r>
      <w:r w:rsidR="002C44ED">
        <w:rPr>
          <w:rFonts w:ascii="Times New Roman" w:hAnsi="Times New Roman" w:cs="Times New Roman"/>
          <w:szCs w:val="24"/>
        </w:rPr>
        <w:t>C</w:t>
      </w:r>
      <w:r w:rsidR="00137D42" w:rsidRPr="00137D42">
        <w:rPr>
          <w:rFonts w:ascii="Times New Roman" w:hAnsi="Times New Roman" w:cs="Times New Roman"/>
          <w:szCs w:val="24"/>
        </w:rPr>
        <w:t xml:space="preserve">oast, </w:t>
      </w:r>
      <w:r w:rsidR="002C44ED">
        <w:rPr>
          <w:rFonts w:ascii="Times New Roman" w:hAnsi="Times New Roman" w:cs="Times New Roman"/>
          <w:szCs w:val="24"/>
        </w:rPr>
        <w:t>S</w:t>
      </w:r>
      <w:r w:rsidR="00137D42" w:rsidRPr="00137D42">
        <w:rPr>
          <w:rFonts w:ascii="Times New Roman" w:hAnsi="Times New Roman" w:cs="Times New Roman"/>
          <w:szCs w:val="24"/>
        </w:rPr>
        <w:t xml:space="preserve">ediments, </w:t>
      </w:r>
      <w:r w:rsidR="002C44ED">
        <w:rPr>
          <w:rFonts w:ascii="Times New Roman" w:hAnsi="Times New Roman" w:cs="Times New Roman"/>
          <w:szCs w:val="24"/>
        </w:rPr>
        <w:t>B</w:t>
      </w:r>
      <w:r w:rsidR="00137D42" w:rsidRPr="00137D42">
        <w:rPr>
          <w:rFonts w:ascii="Times New Roman" w:hAnsi="Times New Roman" w:cs="Times New Roman"/>
          <w:szCs w:val="24"/>
        </w:rPr>
        <w:t>ioaccumulation</w:t>
      </w:r>
      <w:r w:rsidR="00874406">
        <w:rPr>
          <w:rFonts w:ascii="Times New Roman" w:hAnsi="Times New Roman" w:cs="Times New Roman"/>
          <w:szCs w:val="24"/>
        </w:rPr>
        <w:t>, H</w:t>
      </w:r>
      <w:r w:rsidR="00874406" w:rsidRPr="00137D42">
        <w:rPr>
          <w:rFonts w:ascii="Times New Roman" w:hAnsi="Times New Roman" w:cs="Times New Roman"/>
          <w:szCs w:val="24"/>
        </w:rPr>
        <w:t xml:space="preserve">ydrographical </w:t>
      </w:r>
      <w:r w:rsidR="00874406">
        <w:rPr>
          <w:rFonts w:ascii="Times New Roman" w:hAnsi="Times New Roman" w:cs="Times New Roman"/>
          <w:szCs w:val="24"/>
        </w:rPr>
        <w:t>P</w:t>
      </w:r>
      <w:r w:rsidR="00874406" w:rsidRPr="007F4034">
        <w:rPr>
          <w:rFonts w:ascii="Times New Roman" w:hAnsi="Times New Roman" w:cs="Times New Roman"/>
          <w:szCs w:val="24"/>
        </w:rPr>
        <w:t>arameters</w:t>
      </w:r>
      <w:r w:rsidR="00137D42" w:rsidRPr="00137D42">
        <w:rPr>
          <w:rFonts w:ascii="Times New Roman" w:hAnsi="Times New Roman" w:cs="Times New Roman"/>
          <w:szCs w:val="24"/>
        </w:rPr>
        <w:t xml:space="preserve">, </w:t>
      </w:r>
      <w:r w:rsidR="00874406">
        <w:rPr>
          <w:rFonts w:ascii="Times New Roman" w:hAnsi="Times New Roman" w:cs="Times New Roman"/>
          <w:szCs w:val="24"/>
        </w:rPr>
        <w:t>E</w:t>
      </w:r>
      <w:r w:rsidR="00874406" w:rsidRPr="00137D42">
        <w:rPr>
          <w:rFonts w:ascii="Times New Roman" w:hAnsi="Times New Roman" w:cs="Times New Roman"/>
          <w:szCs w:val="24"/>
        </w:rPr>
        <w:t>stuaries</w:t>
      </w:r>
      <w:r w:rsidR="00874406">
        <w:rPr>
          <w:rFonts w:ascii="Times New Roman" w:hAnsi="Times New Roman" w:cs="Times New Roman"/>
          <w:szCs w:val="24"/>
        </w:rPr>
        <w:t xml:space="preserve">, </w:t>
      </w:r>
      <w:r w:rsidR="002C44ED">
        <w:rPr>
          <w:rFonts w:ascii="Times New Roman" w:hAnsi="Times New Roman" w:cs="Times New Roman"/>
          <w:szCs w:val="24"/>
        </w:rPr>
        <w:t>H</w:t>
      </w:r>
      <w:r w:rsidR="00137D42" w:rsidRPr="00137D42">
        <w:rPr>
          <w:rFonts w:ascii="Times New Roman" w:hAnsi="Times New Roman" w:cs="Times New Roman"/>
          <w:szCs w:val="24"/>
        </w:rPr>
        <w:t xml:space="preserve">eavy </w:t>
      </w:r>
      <w:r w:rsidR="002C44ED">
        <w:rPr>
          <w:rFonts w:ascii="Times New Roman" w:hAnsi="Times New Roman" w:cs="Times New Roman"/>
          <w:szCs w:val="24"/>
        </w:rPr>
        <w:t>M</w:t>
      </w:r>
      <w:r w:rsidR="00137D42" w:rsidRPr="00137D42">
        <w:rPr>
          <w:rFonts w:ascii="Times New Roman" w:hAnsi="Times New Roman" w:cs="Times New Roman"/>
          <w:szCs w:val="24"/>
        </w:rPr>
        <w:t>etals</w:t>
      </w:r>
      <w:r w:rsidR="00C06389">
        <w:rPr>
          <w:rFonts w:ascii="Times New Roman" w:hAnsi="Times New Roman" w:cs="Times New Roman"/>
          <w:szCs w:val="24"/>
        </w:rPr>
        <w:t>,</w:t>
      </w:r>
      <w:r w:rsidR="00137D42" w:rsidRPr="00137D42">
        <w:rPr>
          <w:rFonts w:ascii="Times New Roman" w:hAnsi="Times New Roman" w:cs="Times New Roman"/>
          <w:szCs w:val="24"/>
        </w:rPr>
        <w:t xml:space="preserve"> </w:t>
      </w:r>
      <w:r w:rsidR="002C44ED">
        <w:rPr>
          <w:rFonts w:ascii="Times New Roman" w:hAnsi="Times New Roman" w:cs="Times New Roman"/>
          <w:szCs w:val="24"/>
        </w:rPr>
        <w:t>E</w:t>
      </w:r>
      <w:r w:rsidR="00137D42" w:rsidRPr="00137D42">
        <w:rPr>
          <w:rFonts w:ascii="Times New Roman" w:hAnsi="Times New Roman" w:cs="Times New Roman"/>
          <w:szCs w:val="24"/>
        </w:rPr>
        <w:t xml:space="preserve">cological </w:t>
      </w:r>
      <w:r w:rsidR="002C44ED">
        <w:rPr>
          <w:rFonts w:ascii="Times New Roman" w:hAnsi="Times New Roman" w:cs="Times New Roman"/>
          <w:szCs w:val="24"/>
        </w:rPr>
        <w:t>R</w:t>
      </w:r>
      <w:r w:rsidR="00137D42" w:rsidRPr="00137D42">
        <w:rPr>
          <w:rFonts w:ascii="Times New Roman" w:hAnsi="Times New Roman" w:cs="Times New Roman"/>
          <w:szCs w:val="24"/>
        </w:rPr>
        <w:t>isk</w:t>
      </w:r>
    </w:p>
    <w:p w14:paraId="6E65DAD4" w14:textId="77777777" w:rsidR="00E660AE" w:rsidRPr="00C46A31"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 xml:space="preserve">1. </w:t>
      </w:r>
      <w:r w:rsidR="00FD3D27" w:rsidRPr="00C46A31">
        <w:rPr>
          <w:rFonts w:ascii="Times New Roman" w:hAnsi="Times New Roman" w:cs="Times New Roman"/>
          <w:b/>
          <w:bCs/>
          <w:szCs w:val="24"/>
        </w:rPr>
        <w:t>INTRODUCTION</w:t>
      </w:r>
    </w:p>
    <w:p w14:paraId="5488EEFA" w14:textId="725AA09E" w:rsidR="00683EC8" w:rsidRPr="00496BFD" w:rsidRDefault="0026141C" w:rsidP="0026141C">
      <w:pPr>
        <w:spacing w:line="360" w:lineRule="auto"/>
        <w:jc w:val="both"/>
        <w:rPr>
          <w:rFonts w:ascii="Times New Roman" w:hAnsi="Times New Roman" w:cs="Times New Roman"/>
          <w:szCs w:val="24"/>
          <w:highlight w:val="yellow"/>
        </w:rPr>
      </w:pPr>
      <w:r w:rsidRPr="00496BFD">
        <w:rPr>
          <w:rFonts w:ascii="Times New Roman" w:hAnsi="Times New Roman" w:cs="Times New Roman"/>
          <w:szCs w:val="24"/>
          <w:highlight w:val="yellow"/>
        </w:rPr>
        <w:t>Estuaries are partially enclosed areas of water on the coast where salt water from the sea mixes with fresh water from rivers and streams. These transitional waters are highly biologically productive ecosystems and perform many other important ecological functions (</w:t>
      </w:r>
      <w:proofErr w:type="spellStart"/>
      <w:r w:rsidRPr="00496BFD">
        <w:rPr>
          <w:rFonts w:ascii="Times New Roman" w:hAnsi="Times New Roman" w:cs="Times New Roman"/>
          <w:szCs w:val="24"/>
          <w:highlight w:val="yellow"/>
          <w:lang w:val="en-US"/>
        </w:rPr>
        <w:t>Laignel</w:t>
      </w:r>
      <w:proofErr w:type="spellEnd"/>
      <w:r w:rsidRPr="00496BFD">
        <w:rPr>
          <w:rFonts w:ascii="Times New Roman" w:hAnsi="Times New Roman" w:cs="Times New Roman"/>
          <w:szCs w:val="24"/>
          <w:highlight w:val="yellow"/>
          <w:lang w:val="en-US"/>
        </w:rPr>
        <w:t xml:space="preserve"> et al., 2023)</w:t>
      </w:r>
      <w:r w:rsidRPr="00496BFD">
        <w:rPr>
          <w:rFonts w:ascii="Times New Roman" w:hAnsi="Times New Roman" w:cs="Times New Roman"/>
          <w:szCs w:val="24"/>
          <w:highlight w:val="yellow"/>
        </w:rPr>
        <w:t xml:space="preserve">. </w:t>
      </w:r>
      <w:r w:rsidR="00343635">
        <w:rPr>
          <w:rFonts w:ascii="Times New Roman" w:hAnsi="Times New Roman" w:cs="Times New Roman"/>
          <w:szCs w:val="24"/>
        </w:rPr>
        <w:t>E</w:t>
      </w:r>
      <w:r w:rsidR="00343635" w:rsidRPr="00343635">
        <w:rPr>
          <w:rFonts w:ascii="Times New Roman" w:hAnsi="Times New Roman" w:cs="Times New Roman"/>
          <w:szCs w:val="24"/>
        </w:rPr>
        <w:t xml:space="preserve">stuaries rank among the most productive yet sensitive ecosystems worldwide, as they function as transitional zones </w:t>
      </w:r>
      <w:r w:rsidR="001B76DD" w:rsidRPr="001B76DD">
        <w:rPr>
          <w:rFonts w:ascii="Times New Roman" w:hAnsi="Times New Roman" w:cs="Times New Roman"/>
          <w:szCs w:val="24"/>
        </w:rPr>
        <w:t>(Luoma &amp; Rainbow, 2008</w:t>
      </w:r>
      <w:r>
        <w:rPr>
          <w:rFonts w:ascii="Times New Roman" w:hAnsi="Times New Roman" w:cs="Times New Roman"/>
          <w:szCs w:val="24"/>
        </w:rPr>
        <w:t xml:space="preserve">; </w:t>
      </w:r>
      <w:proofErr w:type="spellStart"/>
      <w:r w:rsidRPr="00496BFD">
        <w:rPr>
          <w:rFonts w:ascii="Times New Roman" w:eastAsia="Times New Roman" w:hAnsi="Times New Roman" w:cs="Times New Roman"/>
          <w:color w:val="000000"/>
          <w:kern w:val="0"/>
          <w:szCs w:val="24"/>
          <w:highlight w:val="yellow"/>
          <w:lang w:val="en-US" w:bidi="ar-SA"/>
        </w:rPr>
        <w:t>Largier</w:t>
      </w:r>
      <w:proofErr w:type="spellEnd"/>
      <w:r w:rsidRPr="00496BFD">
        <w:rPr>
          <w:rFonts w:ascii="Times New Roman" w:eastAsia="Times New Roman" w:hAnsi="Times New Roman" w:cs="Times New Roman"/>
          <w:color w:val="000000"/>
          <w:kern w:val="0"/>
          <w:szCs w:val="24"/>
          <w:highlight w:val="yellow"/>
          <w:lang w:val="en-US" w:bidi="ar-SA"/>
        </w:rPr>
        <w:t>, 2023</w:t>
      </w:r>
      <w:r w:rsidR="001B76DD" w:rsidRPr="00496BFD">
        <w:rPr>
          <w:rFonts w:ascii="Times New Roman" w:hAnsi="Times New Roman" w:cs="Times New Roman"/>
          <w:szCs w:val="24"/>
          <w:highlight w:val="yellow"/>
        </w:rPr>
        <w:t xml:space="preserve">). </w:t>
      </w:r>
      <w:r>
        <w:rPr>
          <w:rFonts w:ascii="Times New Roman" w:hAnsi="Times New Roman" w:cs="Times New Roman"/>
          <w:szCs w:val="24"/>
        </w:rPr>
        <w:lastRenderedPageBreak/>
        <w:t xml:space="preserve">These </w:t>
      </w:r>
      <w:r w:rsidR="00683EC8" w:rsidRPr="00683EC8">
        <w:rPr>
          <w:rFonts w:ascii="Times New Roman" w:hAnsi="Times New Roman" w:cs="Times New Roman"/>
          <w:szCs w:val="24"/>
        </w:rPr>
        <w:t>are highly productive transitional ecosystems that support nutrient transformation, fisheries resources and a wide range of essential ecological services.</w:t>
      </w:r>
      <w:r>
        <w:rPr>
          <w:rFonts w:ascii="Times New Roman" w:hAnsi="Times New Roman" w:cs="Times New Roman"/>
          <w:szCs w:val="24"/>
        </w:rPr>
        <w:t xml:space="preserve"> </w:t>
      </w:r>
      <w:r w:rsidRPr="00496BFD">
        <w:rPr>
          <w:rFonts w:ascii="Times New Roman" w:hAnsi="Times New Roman" w:cs="Times New Roman"/>
          <w:szCs w:val="24"/>
          <w:highlight w:val="yellow"/>
        </w:rPr>
        <w:t>The benefits humans receive from estuaries include the following: nonmaterial benefits include (1) recreation, (2) aesthetic enjoyment, (3) spiritual experiences, and (4) physical and mental benefits; material benefits also include (1) food, (2) freshwater, and (3) genetic resources. They also protect and provide buffers for species and people living near estuaries and the sea during natural disasters. This makes estuaries important to coastal communities and local government (</w:t>
      </w:r>
      <w:r w:rsidRPr="00496BFD">
        <w:rPr>
          <w:rFonts w:ascii="Times New Roman" w:hAnsi="Times New Roman" w:cs="Times New Roman"/>
          <w:szCs w:val="24"/>
          <w:highlight w:val="yellow"/>
          <w:lang w:val="en-US"/>
        </w:rPr>
        <w:t>‌</w:t>
      </w:r>
      <w:r w:rsidRPr="00496BFD">
        <w:rPr>
          <w:rFonts w:ascii="Times New Roman" w:hAnsi="Times New Roman" w:cs="Times New Roman"/>
          <w:szCs w:val="24"/>
          <w:highlight w:val="yellow"/>
        </w:rPr>
        <w:t>Booi et al., 2022).</w:t>
      </w:r>
      <w:r w:rsidR="00683EC8" w:rsidRPr="00496BFD">
        <w:rPr>
          <w:rFonts w:ascii="Times New Roman" w:hAnsi="Times New Roman" w:cs="Times New Roman"/>
          <w:szCs w:val="24"/>
          <w:highlight w:val="yellow"/>
        </w:rPr>
        <w:t xml:space="preserve"> </w:t>
      </w:r>
      <w:r w:rsidR="00683EC8" w:rsidRPr="00683EC8">
        <w:rPr>
          <w:rFonts w:ascii="Times New Roman" w:hAnsi="Times New Roman" w:cs="Times New Roman"/>
          <w:szCs w:val="24"/>
        </w:rPr>
        <w:t>Owing to their close association with human settlements, these environments are particularly exposed to anthropogenic pressures and contaminant inputs (Sharma &amp; Singh, 2024). Among the various pollutants reported in estuarine systems, heavy metals pose a significant environmental threat due to their chemical stability, resistance to degradation</w:t>
      </w:r>
      <w:r w:rsidR="00821424">
        <w:rPr>
          <w:rFonts w:ascii="Times New Roman" w:hAnsi="Times New Roman" w:cs="Times New Roman"/>
          <w:szCs w:val="24"/>
        </w:rPr>
        <w:t>,</w:t>
      </w:r>
      <w:r w:rsidR="00683EC8" w:rsidRPr="00683EC8">
        <w:rPr>
          <w:rFonts w:ascii="Times New Roman" w:hAnsi="Times New Roman" w:cs="Times New Roman"/>
          <w:szCs w:val="24"/>
        </w:rPr>
        <w:t xml:space="preserve"> tendency to bioaccumulate and bio</w:t>
      </w:r>
      <w:r w:rsidR="00683EC8">
        <w:rPr>
          <w:rFonts w:ascii="Times New Roman" w:hAnsi="Times New Roman" w:cs="Times New Roman"/>
          <w:szCs w:val="24"/>
        </w:rPr>
        <w:t>-</w:t>
      </w:r>
      <w:r w:rsidR="00683EC8" w:rsidRPr="00683EC8">
        <w:rPr>
          <w:rFonts w:ascii="Times New Roman" w:hAnsi="Times New Roman" w:cs="Times New Roman"/>
          <w:szCs w:val="24"/>
        </w:rPr>
        <w:t>magnify within aquatic food webs (Rainbow, 2019; Kayani &amp; Mohammed, 2025).</w:t>
      </w:r>
      <w:r>
        <w:rPr>
          <w:rFonts w:ascii="Times New Roman" w:hAnsi="Times New Roman" w:cs="Times New Roman"/>
          <w:szCs w:val="24"/>
        </w:rPr>
        <w:t xml:space="preserve"> </w:t>
      </w:r>
      <w:r w:rsidRPr="00496BFD">
        <w:rPr>
          <w:rFonts w:ascii="Times New Roman" w:hAnsi="Times New Roman" w:cs="Times New Roman"/>
          <w:szCs w:val="24"/>
          <w:highlight w:val="yellow"/>
        </w:rPr>
        <w:t>Rapid industrialization in estuarine regions leads to the environmental degradation and heavy metal contamination. Heavy metals with significant mobility are involved in biomagnification and bioaccumulation processes and therefore play a major role in environmental toxicity degradation of the environment</w:t>
      </w:r>
      <w:r w:rsidR="00B722B9" w:rsidRPr="00496BFD">
        <w:rPr>
          <w:rFonts w:ascii="Times New Roman" w:hAnsi="Times New Roman" w:cs="Times New Roman"/>
          <w:szCs w:val="24"/>
          <w:highlight w:val="yellow"/>
        </w:rPr>
        <w:t xml:space="preserve"> (</w:t>
      </w:r>
      <w:r w:rsidR="00B722B9" w:rsidRPr="00496BFD">
        <w:rPr>
          <w:rFonts w:ascii="Times New Roman" w:eastAsia="Times New Roman" w:hAnsi="Times New Roman" w:cs="Times New Roman"/>
          <w:color w:val="000000"/>
          <w:kern w:val="0"/>
          <w:szCs w:val="24"/>
          <w:highlight w:val="yellow"/>
          <w:lang w:val="en-US" w:bidi="ar-SA"/>
        </w:rPr>
        <w:t>‌Sekar &amp; Perumal, 2026)</w:t>
      </w:r>
      <w:r w:rsidRPr="00496BFD">
        <w:rPr>
          <w:rFonts w:ascii="Times New Roman" w:hAnsi="Times New Roman" w:cs="Times New Roman"/>
          <w:szCs w:val="24"/>
          <w:highlight w:val="yellow"/>
        </w:rPr>
        <w:t xml:space="preserve">. </w:t>
      </w:r>
    </w:p>
    <w:p w14:paraId="2444BF52" w14:textId="77777777" w:rsidR="00683EC8" w:rsidRPr="00683EC8" w:rsidRDefault="00683EC8" w:rsidP="00683EC8">
      <w:pPr>
        <w:spacing w:line="360" w:lineRule="auto"/>
        <w:jc w:val="both"/>
        <w:rPr>
          <w:rFonts w:ascii="Times New Roman" w:hAnsi="Times New Roman" w:cs="Times New Roman"/>
          <w:szCs w:val="24"/>
        </w:rPr>
      </w:pPr>
      <w:r w:rsidRPr="00683EC8">
        <w:rPr>
          <w:rFonts w:ascii="Times New Roman" w:hAnsi="Times New Roman" w:cs="Times New Roman"/>
          <w:szCs w:val="24"/>
        </w:rPr>
        <w:t>The transport, transformation and spatial distribution of heavy metals in estuarine environments are strongly controlled by hydrographical conditions, including salinity gradients, temperature fluctuations, pH variability, dissolved oxygen levels and turbidity (Kumar et al., 2024; Zeng et al., 2024). Changes in salinity influence metal speciation and promote the release of metals from suspended particles, whereas pH variations regulate metal solubility and adsorption</w:t>
      </w:r>
      <w:r>
        <w:rPr>
          <w:rFonts w:ascii="Times New Roman" w:hAnsi="Times New Roman" w:cs="Times New Roman"/>
          <w:szCs w:val="24"/>
        </w:rPr>
        <w:t>-</w:t>
      </w:r>
      <w:r w:rsidRPr="00683EC8">
        <w:rPr>
          <w:rFonts w:ascii="Times New Roman" w:hAnsi="Times New Roman" w:cs="Times New Roman"/>
          <w:szCs w:val="24"/>
        </w:rPr>
        <w:t>desorption behaviour at the sediment</w:t>
      </w:r>
      <w:r>
        <w:rPr>
          <w:rFonts w:ascii="Times New Roman" w:hAnsi="Times New Roman" w:cs="Times New Roman"/>
          <w:szCs w:val="24"/>
        </w:rPr>
        <w:t>-</w:t>
      </w:r>
      <w:r w:rsidRPr="00683EC8">
        <w:rPr>
          <w:rFonts w:ascii="Times New Roman" w:hAnsi="Times New Roman" w:cs="Times New Roman"/>
          <w:szCs w:val="24"/>
        </w:rPr>
        <w:t>water interface (Chakraborty et al., 2024). Furthermore, elevated turbidity and suspended particulate matter act as effective carriers for particle-bound metals, particularly during periods of intensified freshwater inflow and catchment runoff (Fan et al., 2023).</w:t>
      </w:r>
    </w:p>
    <w:p w14:paraId="7C6C5FBD" w14:textId="77777777" w:rsidR="00683EC8" w:rsidRPr="00683EC8" w:rsidRDefault="00683EC8" w:rsidP="00683EC8">
      <w:pPr>
        <w:spacing w:line="360" w:lineRule="auto"/>
        <w:jc w:val="both"/>
        <w:rPr>
          <w:rFonts w:ascii="Times New Roman" w:hAnsi="Times New Roman" w:cs="Times New Roman"/>
          <w:szCs w:val="24"/>
        </w:rPr>
      </w:pPr>
      <w:r w:rsidRPr="00683EC8">
        <w:rPr>
          <w:rFonts w:ascii="Times New Roman" w:hAnsi="Times New Roman" w:cs="Times New Roman"/>
          <w:szCs w:val="24"/>
        </w:rPr>
        <w:t xml:space="preserve">Estuarine systems along the west coast of India experience pronounced seasonal variability driven by the southwest monsoon, resulting in increased freshwater discharge, enhanced sediment mobilisation and altered mixing dynamics (Sarma et al., 2024). Several studies have documented higher metal concentrations during the monsoon season in Indian estuaries, largely attributed to increased terrestrial inputs and sediment resuspension processes (Mohanty et al., 2024; Singh et al., 2025). </w:t>
      </w:r>
      <w:r w:rsidR="00C823F9" w:rsidRPr="00C823F9">
        <w:rPr>
          <w:rFonts w:ascii="Times New Roman" w:hAnsi="Times New Roman" w:cs="Times New Roman"/>
          <w:szCs w:val="24"/>
        </w:rPr>
        <w:t xml:space="preserve">Despite the substantial ecological and socio-economic importance of the Ratnagiri coast, integrated investigations that directly relate </w:t>
      </w:r>
      <w:r w:rsidR="00C823F9" w:rsidRPr="00C823F9">
        <w:rPr>
          <w:rFonts w:ascii="Times New Roman" w:hAnsi="Times New Roman" w:cs="Times New Roman"/>
          <w:szCs w:val="24"/>
        </w:rPr>
        <w:lastRenderedPageBreak/>
        <w:t>hydrographical pressure to heavy-metal deposition in both the water column and sediments remain scarce.</w:t>
      </w:r>
    </w:p>
    <w:p w14:paraId="64A1C347" w14:textId="19D0B0AE" w:rsidR="001B76DD" w:rsidRDefault="005A159E" w:rsidP="00683EC8">
      <w:pPr>
        <w:spacing w:line="360" w:lineRule="auto"/>
        <w:jc w:val="both"/>
        <w:rPr>
          <w:rFonts w:ascii="Times New Roman" w:hAnsi="Times New Roman" w:cs="Times New Roman"/>
          <w:szCs w:val="24"/>
        </w:rPr>
      </w:pPr>
      <w:r w:rsidRPr="005A159E">
        <w:rPr>
          <w:rFonts w:ascii="Times New Roman" w:hAnsi="Times New Roman" w:cs="Times New Roman"/>
          <w:szCs w:val="24"/>
        </w:rPr>
        <w:t>Sediments serve as both long-term stores and possible secondary sources of heavy metals in estuarine ecosystems</w:t>
      </w:r>
      <w:r>
        <w:rPr>
          <w:rFonts w:ascii="Times New Roman" w:hAnsi="Times New Roman" w:cs="Times New Roman"/>
          <w:szCs w:val="24"/>
        </w:rPr>
        <w:t xml:space="preserve"> </w:t>
      </w:r>
      <w:r w:rsidR="00683EC8" w:rsidRPr="00683EC8">
        <w:rPr>
          <w:rFonts w:ascii="Times New Roman" w:hAnsi="Times New Roman" w:cs="Times New Roman"/>
          <w:szCs w:val="24"/>
        </w:rPr>
        <w:t xml:space="preserve">(Förstner &amp; Wittmann, 2019). </w:t>
      </w:r>
      <w:r w:rsidR="003A6EE5" w:rsidRPr="00496BFD">
        <w:rPr>
          <w:rFonts w:ascii="Times New Roman" w:hAnsi="Times New Roman" w:cs="Times New Roman"/>
          <w:szCs w:val="24"/>
          <w:highlight w:val="yellow"/>
        </w:rPr>
        <w:t>Heavy metals (HMs) from anthropogenic activities (e.g., mining, industrial emissions, and fertiliser application) can be transported into the water through runoff and atmospheric deposition and eventually accumulate in the sediments. HMs in sediments will be released again into water and deteriorate the aquatic environment (</w:t>
      </w:r>
      <w:r w:rsidR="003A6EE5" w:rsidRPr="00496BFD">
        <w:rPr>
          <w:rFonts w:ascii="Times New Roman" w:eastAsia="Times New Roman" w:hAnsi="Times New Roman" w:cs="Times New Roman"/>
          <w:color w:val="000000"/>
          <w:kern w:val="0"/>
          <w:szCs w:val="24"/>
          <w:highlight w:val="yellow"/>
          <w:lang w:val="en-US" w:bidi="ar-SA"/>
        </w:rPr>
        <w:t>‌Liu et al., 2023b)</w:t>
      </w:r>
      <w:r w:rsidR="003A6EE5" w:rsidRPr="00496BFD">
        <w:rPr>
          <w:rFonts w:ascii="Times New Roman" w:hAnsi="Times New Roman" w:cs="Times New Roman"/>
          <w:szCs w:val="24"/>
          <w:highlight w:val="yellow"/>
        </w:rPr>
        <w:t>.</w:t>
      </w:r>
      <w:r w:rsidR="003A6EE5">
        <w:rPr>
          <w:rFonts w:ascii="Times New Roman" w:hAnsi="Times New Roman" w:cs="Times New Roman"/>
          <w:szCs w:val="24"/>
        </w:rPr>
        <w:t xml:space="preserve"> Shifts</w:t>
      </w:r>
      <w:r w:rsidR="00683EC8" w:rsidRPr="00683EC8">
        <w:rPr>
          <w:rFonts w:ascii="Times New Roman" w:hAnsi="Times New Roman" w:cs="Times New Roman"/>
          <w:szCs w:val="24"/>
        </w:rPr>
        <w:t xml:space="preserve"> in hydrographical conditions can induce the remobilization of sediment-associated metals into the overlying waters, thereby increasing biological exposure and ecological risk (Atkinson et al., 2007; Zhao et al., 2024). Accordingly, an accurate assessment of metal-related ecological risk requires a holistic evaluation of metal behaviour across interconnected sediment and water compartments.</w:t>
      </w:r>
      <w:r w:rsidR="00683EC8">
        <w:rPr>
          <w:rFonts w:ascii="Times New Roman" w:hAnsi="Times New Roman" w:cs="Times New Roman"/>
          <w:szCs w:val="24"/>
        </w:rPr>
        <w:t xml:space="preserve"> </w:t>
      </w:r>
      <w:r w:rsidR="00EF5319" w:rsidRPr="00EF5319">
        <w:rPr>
          <w:rFonts w:ascii="Times New Roman" w:hAnsi="Times New Roman" w:cs="Times New Roman"/>
          <w:szCs w:val="24"/>
        </w:rPr>
        <w:t>The current investigation seeks to</w:t>
      </w:r>
      <w:r w:rsidR="00E660AE" w:rsidRPr="00C46A31">
        <w:rPr>
          <w:rFonts w:ascii="Times New Roman" w:hAnsi="Times New Roman" w:cs="Times New Roman"/>
          <w:szCs w:val="24"/>
        </w:rPr>
        <w:t>:</w:t>
      </w:r>
      <w:r w:rsidR="00E660AE" w:rsidRPr="00C46A31">
        <w:rPr>
          <w:rFonts w:ascii="Times New Roman" w:hAnsi="Times New Roman" w:cs="Times New Roman"/>
          <w:szCs w:val="24"/>
        </w:rPr>
        <w:br/>
        <w:t>(</w:t>
      </w:r>
      <w:proofErr w:type="spellStart"/>
      <w:r w:rsidR="00E660AE" w:rsidRPr="00C46A31">
        <w:rPr>
          <w:rFonts w:ascii="Times New Roman" w:hAnsi="Times New Roman" w:cs="Times New Roman"/>
          <w:szCs w:val="24"/>
        </w:rPr>
        <w:t>i</w:t>
      </w:r>
      <w:proofErr w:type="spellEnd"/>
      <w:r w:rsidR="00E660AE" w:rsidRPr="00C46A31">
        <w:rPr>
          <w:rFonts w:ascii="Times New Roman" w:hAnsi="Times New Roman" w:cs="Times New Roman"/>
          <w:szCs w:val="24"/>
        </w:rPr>
        <w:t>)</w:t>
      </w:r>
      <w:r w:rsidR="00BA2B8D">
        <w:rPr>
          <w:rFonts w:ascii="Times New Roman" w:hAnsi="Times New Roman" w:cs="Times New Roman"/>
          <w:szCs w:val="24"/>
        </w:rPr>
        <w:t xml:space="preserve"> E</w:t>
      </w:r>
      <w:r w:rsidR="00E660AE" w:rsidRPr="00C46A31">
        <w:rPr>
          <w:rFonts w:ascii="Times New Roman" w:hAnsi="Times New Roman" w:cs="Times New Roman"/>
          <w:szCs w:val="24"/>
        </w:rPr>
        <w:t>xamine seasonal variations in hydrographical parameters,</w:t>
      </w:r>
      <w:r w:rsidR="00E660AE" w:rsidRPr="00C46A31">
        <w:rPr>
          <w:rFonts w:ascii="Times New Roman" w:hAnsi="Times New Roman" w:cs="Times New Roman"/>
          <w:szCs w:val="24"/>
        </w:rPr>
        <w:br/>
        <w:t xml:space="preserve">(ii) </w:t>
      </w:r>
      <w:r w:rsidR="004860D0" w:rsidRPr="004860D0">
        <w:rPr>
          <w:rFonts w:ascii="Times New Roman" w:hAnsi="Times New Roman" w:cs="Times New Roman"/>
          <w:szCs w:val="24"/>
        </w:rPr>
        <w:t>Determine the concentrations of heavy metals in sediments and estuarine waters</w:t>
      </w:r>
      <w:r w:rsidR="004860D0">
        <w:rPr>
          <w:rFonts w:ascii="Times New Roman" w:hAnsi="Times New Roman" w:cs="Times New Roman"/>
          <w:szCs w:val="24"/>
        </w:rPr>
        <w:t>.</w:t>
      </w:r>
      <w:r w:rsidR="001B76DD" w:rsidRPr="001B76DD">
        <w:rPr>
          <w:rFonts w:ascii="Times New Roman" w:hAnsi="Times New Roman" w:cs="Times New Roman"/>
          <w:szCs w:val="24"/>
        </w:rPr>
        <w:t xml:space="preserve">; </w:t>
      </w:r>
    </w:p>
    <w:p w14:paraId="2CCD711B" w14:textId="77777777" w:rsidR="001B76DD" w:rsidRDefault="001B76DD" w:rsidP="001B76DD">
      <w:pPr>
        <w:spacing w:line="360" w:lineRule="auto"/>
        <w:jc w:val="both"/>
        <w:rPr>
          <w:rFonts w:ascii="Times New Roman" w:hAnsi="Times New Roman" w:cs="Times New Roman"/>
          <w:szCs w:val="24"/>
        </w:rPr>
      </w:pPr>
      <w:r w:rsidRPr="001B76DD">
        <w:rPr>
          <w:rFonts w:ascii="Times New Roman" w:hAnsi="Times New Roman" w:cs="Times New Roman"/>
          <w:szCs w:val="24"/>
        </w:rPr>
        <w:t xml:space="preserve">(iii) </w:t>
      </w:r>
      <w:r w:rsidR="004860D0" w:rsidRPr="004860D0">
        <w:rPr>
          <w:rFonts w:ascii="Times New Roman" w:hAnsi="Times New Roman" w:cs="Times New Roman"/>
          <w:szCs w:val="24"/>
        </w:rPr>
        <w:t>Analyse the associations between hydrography and metal accumulation.</w:t>
      </w:r>
      <w:r w:rsidRPr="001B76DD">
        <w:rPr>
          <w:rFonts w:ascii="Times New Roman" w:hAnsi="Times New Roman" w:cs="Times New Roman"/>
          <w:szCs w:val="24"/>
        </w:rPr>
        <w:t xml:space="preserve">; and </w:t>
      </w:r>
    </w:p>
    <w:p w14:paraId="6078EB61" w14:textId="77777777" w:rsidR="00137D42" w:rsidRPr="00137D42" w:rsidRDefault="001B76DD" w:rsidP="001B76DD">
      <w:pPr>
        <w:spacing w:line="360" w:lineRule="auto"/>
        <w:jc w:val="both"/>
        <w:rPr>
          <w:rFonts w:ascii="Times New Roman" w:hAnsi="Times New Roman" w:cs="Times New Roman"/>
          <w:szCs w:val="24"/>
        </w:rPr>
      </w:pPr>
      <w:r w:rsidRPr="001B76DD">
        <w:rPr>
          <w:rFonts w:ascii="Times New Roman" w:hAnsi="Times New Roman" w:cs="Times New Roman"/>
          <w:szCs w:val="24"/>
        </w:rPr>
        <w:t xml:space="preserve">(iv) </w:t>
      </w:r>
      <w:r w:rsidR="004418FF" w:rsidRPr="004418FF">
        <w:rPr>
          <w:rFonts w:ascii="Times New Roman" w:hAnsi="Times New Roman" w:cs="Times New Roman"/>
          <w:szCs w:val="24"/>
        </w:rPr>
        <w:t>Determine the sediment-related ecological risk using established indicators</w:t>
      </w:r>
      <w:r w:rsidR="00137D42" w:rsidRPr="00137D42">
        <w:rPr>
          <w:rFonts w:ascii="Times New Roman" w:hAnsi="Times New Roman" w:cs="Times New Roman"/>
          <w:szCs w:val="24"/>
        </w:rPr>
        <w:t>.</w:t>
      </w:r>
    </w:p>
    <w:p w14:paraId="19EAC886" w14:textId="77777777" w:rsidR="00E660AE" w:rsidRPr="00C46A31"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 xml:space="preserve">2. </w:t>
      </w:r>
      <w:r w:rsidR="00FD3D27" w:rsidRPr="00C46A31">
        <w:rPr>
          <w:rFonts w:ascii="Times New Roman" w:hAnsi="Times New Roman" w:cs="Times New Roman"/>
          <w:b/>
          <w:bCs/>
          <w:szCs w:val="24"/>
        </w:rPr>
        <w:t>MATERIALS AND METHODS</w:t>
      </w:r>
    </w:p>
    <w:p w14:paraId="5F1B7FD0" w14:textId="77777777" w:rsidR="00E660AE" w:rsidRPr="00C46A31"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2.1 Study Area</w:t>
      </w:r>
    </w:p>
    <w:p w14:paraId="3D03452D" w14:textId="77777777" w:rsidR="00E660AE" w:rsidRPr="00C46A31" w:rsidRDefault="007A60CB" w:rsidP="00C46A31">
      <w:pPr>
        <w:spacing w:line="360" w:lineRule="auto"/>
        <w:jc w:val="both"/>
        <w:rPr>
          <w:rFonts w:ascii="Times New Roman" w:hAnsi="Times New Roman" w:cs="Times New Roman"/>
          <w:szCs w:val="24"/>
        </w:rPr>
      </w:pPr>
      <w:r w:rsidRPr="007A60CB">
        <w:rPr>
          <w:rFonts w:ascii="Times New Roman" w:hAnsi="Times New Roman" w:cs="Times New Roman"/>
          <w:szCs w:val="24"/>
        </w:rPr>
        <w:t xml:space="preserve">The </w:t>
      </w:r>
      <w:r w:rsidR="001B76DD">
        <w:rPr>
          <w:rFonts w:ascii="Times New Roman" w:hAnsi="Times New Roman" w:cs="Times New Roman"/>
          <w:szCs w:val="24"/>
        </w:rPr>
        <w:t>investigation</w:t>
      </w:r>
      <w:r w:rsidRPr="007A60CB">
        <w:rPr>
          <w:rFonts w:ascii="Times New Roman" w:hAnsi="Times New Roman" w:cs="Times New Roman"/>
          <w:szCs w:val="24"/>
        </w:rPr>
        <w:t xml:space="preserve"> was carried out </w:t>
      </w:r>
      <w:r>
        <w:rPr>
          <w:rFonts w:ascii="Times New Roman" w:hAnsi="Times New Roman" w:cs="Times New Roman"/>
          <w:szCs w:val="24"/>
        </w:rPr>
        <w:t xml:space="preserve">at </w:t>
      </w:r>
      <w:r w:rsidR="00E660AE" w:rsidRPr="00C46A31">
        <w:rPr>
          <w:rFonts w:ascii="Times New Roman" w:hAnsi="Times New Roman" w:cs="Times New Roman"/>
          <w:szCs w:val="24"/>
        </w:rPr>
        <w:t xml:space="preserve">three estuaries along the Ratnagiri coast, Maharashtra, India: </w:t>
      </w:r>
      <w:proofErr w:type="spellStart"/>
      <w:r w:rsidR="00E660AE" w:rsidRPr="00C46A31">
        <w:rPr>
          <w:rFonts w:ascii="Times New Roman" w:hAnsi="Times New Roman" w:cs="Times New Roman"/>
          <w:szCs w:val="24"/>
        </w:rPr>
        <w:t>Bhatye</w:t>
      </w:r>
      <w:proofErr w:type="spellEnd"/>
      <w:r w:rsidR="00E660AE" w:rsidRPr="00C46A31">
        <w:rPr>
          <w:rFonts w:ascii="Times New Roman" w:hAnsi="Times New Roman" w:cs="Times New Roman"/>
          <w:szCs w:val="24"/>
        </w:rPr>
        <w:t xml:space="preserve">, </w:t>
      </w:r>
      <w:proofErr w:type="spellStart"/>
      <w:r w:rsidR="00E660AE" w:rsidRPr="00C46A31">
        <w:rPr>
          <w:rFonts w:ascii="Times New Roman" w:hAnsi="Times New Roman" w:cs="Times New Roman"/>
          <w:szCs w:val="24"/>
        </w:rPr>
        <w:t>Kalbadevi</w:t>
      </w:r>
      <w:proofErr w:type="spellEnd"/>
      <w:r w:rsidR="00E660AE" w:rsidRPr="00C46A31">
        <w:rPr>
          <w:rFonts w:ascii="Times New Roman" w:hAnsi="Times New Roman" w:cs="Times New Roman"/>
          <w:szCs w:val="24"/>
        </w:rPr>
        <w:t xml:space="preserve"> and </w:t>
      </w:r>
      <w:proofErr w:type="spellStart"/>
      <w:r w:rsidR="00E660AE" w:rsidRPr="00C46A31">
        <w:rPr>
          <w:rFonts w:ascii="Times New Roman" w:hAnsi="Times New Roman" w:cs="Times New Roman"/>
          <w:szCs w:val="24"/>
        </w:rPr>
        <w:t>Sakhartar</w:t>
      </w:r>
      <w:proofErr w:type="spellEnd"/>
      <w:r w:rsidR="00E660AE" w:rsidRPr="00C46A31">
        <w:rPr>
          <w:rFonts w:ascii="Times New Roman" w:hAnsi="Times New Roman" w:cs="Times New Roman"/>
          <w:szCs w:val="24"/>
        </w:rPr>
        <w:t xml:space="preserve">. These estuaries are influenced by tidal mixing, monsoonal freshwater discharge and anthropogenic activities including fishing </w:t>
      </w:r>
      <w:r w:rsidR="00467418" w:rsidRPr="00C46A31">
        <w:rPr>
          <w:rFonts w:ascii="Times New Roman" w:hAnsi="Times New Roman" w:cs="Times New Roman"/>
          <w:szCs w:val="24"/>
        </w:rPr>
        <w:t>harbours</w:t>
      </w:r>
      <w:r w:rsidR="00E660AE" w:rsidRPr="00C46A31">
        <w:rPr>
          <w:rFonts w:ascii="Times New Roman" w:hAnsi="Times New Roman" w:cs="Times New Roman"/>
          <w:szCs w:val="24"/>
        </w:rPr>
        <w:t>, agriculture and domestic wastewater inputs (Jayapal &amp; Subramanian, 2024).</w:t>
      </w:r>
    </w:p>
    <w:p w14:paraId="4181976E" w14:textId="77777777" w:rsidR="00E660AE" w:rsidRPr="00C46A31"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2.2 Sampling Strategy</w:t>
      </w:r>
    </w:p>
    <w:p w14:paraId="239B26C3"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Seasonal sampling was </w:t>
      </w:r>
      <w:r w:rsidR="007A60CB" w:rsidRPr="007A60CB">
        <w:rPr>
          <w:rFonts w:ascii="Times New Roman" w:hAnsi="Times New Roman" w:cs="Times New Roman"/>
          <w:szCs w:val="24"/>
        </w:rPr>
        <w:t>done</w:t>
      </w:r>
      <w:r w:rsidR="007A60CB">
        <w:rPr>
          <w:rFonts w:ascii="Times New Roman" w:hAnsi="Times New Roman" w:cs="Times New Roman"/>
          <w:szCs w:val="24"/>
        </w:rPr>
        <w:t xml:space="preserve"> </w:t>
      </w:r>
      <w:r w:rsidRPr="00C46A31">
        <w:rPr>
          <w:rFonts w:ascii="Times New Roman" w:hAnsi="Times New Roman" w:cs="Times New Roman"/>
          <w:szCs w:val="24"/>
        </w:rPr>
        <w:t xml:space="preserve">during pre-monsoon (February–May), monsoon (June–September) and post-monsoon (October–January) periods. Surface water samples were collected at low tide using acid-washed polyethylene bottles following </w:t>
      </w:r>
      <w:r w:rsidR="007833B1" w:rsidRPr="00C46A31">
        <w:rPr>
          <w:rFonts w:ascii="Times New Roman" w:hAnsi="Times New Roman" w:cs="Times New Roman"/>
          <w:szCs w:val="24"/>
        </w:rPr>
        <w:t>(</w:t>
      </w:r>
      <w:r w:rsidRPr="00C46A31">
        <w:rPr>
          <w:rFonts w:ascii="Times New Roman" w:hAnsi="Times New Roman" w:cs="Times New Roman"/>
          <w:szCs w:val="24"/>
        </w:rPr>
        <w:t>APHA</w:t>
      </w:r>
      <w:r w:rsidR="007833B1" w:rsidRPr="00C46A31">
        <w:rPr>
          <w:rFonts w:ascii="Times New Roman" w:hAnsi="Times New Roman" w:cs="Times New Roman"/>
          <w:szCs w:val="24"/>
        </w:rPr>
        <w:t>,</w:t>
      </w:r>
      <w:r w:rsidRPr="00C46A31">
        <w:rPr>
          <w:rFonts w:ascii="Times New Roman" w:hAnsi="Times New Roman" w:cs="Times New Roman"/>
          <w:szCs w:val="24"/>
        </w:rPr>
        <w:t xml:space="preserve"> 2017).</w:t>
      </w:r>
    </w:p>
    <w:p w14:paraId="122ACB7A" w14:textId="77777777" w:rsidR="00E660AE" w:rsidRPr="00C46A31" w:rsidRDefault="0014288D" w:rsidP="00C46A31">
      <w:pPr>
        <w:spacing w:line="360" w:lineRule="auto"/>
        <w:jc w:val="both"/>
        <w:rPr>
          <w:rFonts w:ascii="Times New Roman" w:hAnsi="Times New Roman" w:cs="Times New Roman"/>
          <w:szCs w:val="24"/>
        </w:rPr>
      </w:pPr>
      <w:r w:rsidRPr="0014288D">
        <w:rPr>
          <w:rFonts w:ascii="Times New Roman" w:hAnsi="Times New Roman" w:cs="Times New Roman"/>
          <w:szCs w:val="24"/>
        </w:rPr>
        <w:t>A Van Veen grab sampler was used to gather surface sediment samples (0</w:t>
      </w:r>
      <w:r w:rsidR="00F25ECF">
        <w:rPr>
          <w:rFonts w:ascii="Times New Roman" w:hAnsi="Times New Roman" w:cs="Times New Roman"/>
          <w:szCs w:val="24"/>
        </w:rPr>
        <w:t>-</w:t>
      </w:r>
      <w:r w:rsidRPr="0014288D">
        <w:rPr>
          <w:rFonts w:ascii="Times New Roman" w:hAnsi="Times New Roman" w:cs="Times New Roman"/>
          <w:szCs w:val="24"/>
        </w:rPr>
        <w:t>5 cm)</w:t>
      </w:r>
      <w:r w:rsidR="00E660AE" w:rsidRPr="00C46A31">
        <w:rPr>
          <w:rFonts w:ascii="Times New Roman" w:hAnsi="Times New Roman" w:cs="Times New Roman"/>
          <w:szCs w:val="24"/>
        </w:rPr>
        <w:t>. The fine fraction (&lt;63 µm) was isolated for metal analysis, as it exhibits higher metal binding capacity (Birch &amp; Hutson, 2024).</w:t>
      </w:r>
    </w:p>
    <w:p w14:paraId="0ECCC97C" w14:textId="77777777" w:rsidR="00E660AE" w:rsidRPr="00C46A31"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lastRenderedPageBreak/>
        <w:t>2.3 Hydrographical Analysis</w:t>
      </w:r>
    </w:p>
    <w:p w14:paraId="615A5C6E" w14:textId="77777777" w:rsidR="000F004A" w:rsidRPr="000F004A" w:rsidRDefault="000F004A" w:rsidP="000F004A">
      <w:pPr>
        <w:spacing w:line="360" w:lineRule="auto"/>
        <w:jc w:val="both"/>
        <w:rPr>
          <w:rFonts w:ascii="Times New Roman" w:hAnsi="Times New Roman" w:cs="Times New Roman"/>
          <w:szCs w:val="24"/>
        </w:rPr>
      </w:pPr>
      <w:r w:rsidRPr="000F004A">
        <w:rPr>
          <w:rFonts w:ascii="Times New Roman" w:hAnsi="Times New Roman" w:cs="Times New Roman"/>
          <w:szCs w:val="24"/>
        </w:rPr>
        <w:t xml:space="preserve">Calibrated multiparameter probes were used to monitor air temperature, water temperature, salinity, pH and dissolved oxygen in situ. </w:t>
      </w:r>
      <w:r w:rsidR="00951ABF" w:rsidRPr="00951ABF">
        <w:rPr>
          <w:rFonts w:ascii="Times New Roman" w:hAnsi="Times New Roman" w:cs="Times New Roman"/>
          <w:szCs w:val="24"/>
        </w:rPr>
        <w:t>The turbidity was measured using a nephelometric turbidity meter</w:t>
      </w:r>
      <w:r w:rsidRPr="000F004A">
        <w:rPr>
          <w:rFonts w:ascii="Times New Roman" w:hAnsi="Times New Roman" w:cs="Times New Roman"/>
          <w:szCs w:val="24"/>
        </w:rPr>
        <w:t>.</w:t>
      </w:r>
    </w:p>
    <w:p w14:paraId="6298E59D" w14:textId="77777777" w:rsidR="00E660AE" w:rsidRPr="00C46A31"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2.4 Heavy Metal Analysis</w:t>
      </w:r>
    </w:p>
    <w:p w14:paraId="1EADA954" w14:textId="77777777" w:rsidR="00E660AE" w:rsidRPr="00C46A31" w:rsidRDefault="00951ABF" w:rsidP="00C46A31">
      <w:pPr>
        <w:spacing w:line="360" w:lineRule="auto"/>
        <w:jc w:val="both"/>
        <w:rPr>
          <w:rFonts w:ascii="Times New Roman" w:hAnsi="Times New Roman" w:cs="Times New Roman"/>
          <w:szCs w:val="24"/>
        </w:rPr>
      </w:pPr>
      <w:r w:rsidRPr="00951ABF">
        <w:rPr>
          <w:rFonts w:ascii="Times New Roman" w:hAnsi="Times New Roman" w:cs="Times New Roman"/>
          <w:szCs w:val="24"/>
        </w:rPr>
        <w:t>Atomic Absorption Spectrophotometry (AAS) was used to assess water samples for Cd, Cu, Zn, Cr, Ni and Pb after they had been acidified with ultrapure nitric acid. The USEPA Method 3050B was followed in the processing of the sediments. In order to guarantee analytical accuracy, procedural blanks</w:t>
      </w:r>
      <w:r>
        <w:rPr>
          <w:rFonts w:ascii="Times New Roman" w:hAnsi="Times New Roman" w:cs="Times New Roman"/>
          <w:szCs w:val="24"/>
        </w:rPr>
        <w:t xml:space="preserve"> </w:t>
      </w:r>
      <w:r w:rsidRPr="00951ABF">
        <w:rPr>
          <w:rFonts w:ascii="Times New Roman" w:hAnsi="Times New Roman" w:cs="Times New Roman"/>
          <w:szCs w:val="24"/>
        </w:rPr>
        <w:t>and verified reference materials were used.</w:t>
      </w:r>
    </w:p>
    <w:p w14:paraId="0745C792" w14:textId="77777777" w:rsidR="00E660AE" w:rsidRPr="00C46A31"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 xml:space="preserve">3. </w:t>
      </w:r>
      <w:r w:rsidR="00FD3D27" w:rsidRPr="00C46A31">
        <w:rPr>
          <w:rFonts w:ascii="Times New Roman" w:hAnsi="Times New Roman" w:cs="Times New Roman"/>
          <w:b/>
          <w:bCs/>
          <w:szCs w:val="24"/>
        </w:rPr>
        <w:t>RESULTS</w:t>
      </w:r>
    </w:p>
    <w:p w14:paraId="1B05ED87" w14:textId="77777777" w:rsidR="00E660AE" w:rsidRPr="00C46A31"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 xml:space="preserve">3.1 Seasonal Variation of Hydrographical Parameters </w:t>
      </w:r>
    </w:p>
    <w:p w14:paraId="4D762471" w14:textId="77777777" w:rsidR="00FD3D27" w:rsidRPr="00951ABF" w:rsidRDefault="00951ABF" w:rsidP="00C46A31">
      <w:pPr>
        <w:spacing w:line="360" w:lineRule="auto"/>
        <w:jc w:val="both"/>
        <w:rPr>
          <w:rFonts w:ascii="Times New Roman" w:hAnsi="Times New Roman" w:cs="Times New Roman"/>
          <w:szCs w:val="24"/>
        </w:rPr>
      </w:pPr>
      <w:r w:rsidRPr="00951ABF">
        <w:rPr>
          <w:rFonts w:ascii="Times New Roman" w:hAnsi="Times New Roman" w:cs="Times New Roman"/>
          <w:szCs w:val="24"/>
        </w:rPr>
        <w:t xml:space="preserve">Seasonal variations were clearly visible in hydrographical characteristics. Due to the influx of freshwater during the monsoon, salinity and pH levels dramatically decreased, but turbidity and dissolved oxygen levels increased because of increased runoff and mixing. </w:t>
      </w:r>
      <w:r w:rsidR="00123401" w:rsidRPr="00123401">
        <w:rPr>
          <w:rFonts w:ascii="Times New Roman" w:hAnsi="Times New Roman" w:cs="Times New Roman"/>
          <w:szCs w:val="24"/>
        </w:rPr>
        <w:t>(Sarma et al., 2024).</w:t>
      </w:r>
    </w:p>
    <w:p w14:paraId="4860D911"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Table 1. Seasonal variation of hydrographical parameters in Ratnagiri estuaries</w:t>
      </w:r>
      <w:r w:rsidRPr="00C46A31">
        <w:rPr>
          <w:rFonts w:ascii="Times New Roman" w:hAnsi="Times New Roman" w:cs="Times New Roman"/>
          <w:szCs w:val="24"/>
        </w:rPr>
        <w:br/>
      </w:r>
      <w:r w:rsidRPr="00F25ECF">
        <w:rPr>
          <w:rFonts w:ascii="Times New Roman" w:hAnsi="Times New Roman" w:cs="Times New Roman"/>
          <w:szCs w:val="24"/>
        </w:rPr>
        <w:t xml:space="preserve">(Air temperature, water temperature, salinity, pH, DO, turbidity </w:t>
      </w:r>
      <w:r w:rsidR="00392FE7" w:rsidRPr="00F25ECF">
        <w:rPr>
          <w:rFonts w:ascii="Times New Roman" w:hAnsi="Times New Roman" w:cs="Times New Roman"/>
          <w:szCs w:val="24"/>
        </w:rPr>
        <w:t xml:space="preserve">- </w:t>
      </w:r>
      <w:r w:rsidRPr="00F25ECF">
        <w:rPr>
          <w:rFonts w:ascii="Times New Roman" w:hAnsi="Times New Roman" w:cs="Times New Roman"/>
          <w:szCs w:val="24"/>
        </w:rPr>
        <w:t>values as finalized earlier)</w:t>
      </w:r>
    </w:p>
    <w:tbl>
      <w:tblPr>
        <w:tblStyle w:val="TableGrid"/>
        <w:tblW w:w="0" w:type="auto"/>
        <w:tblLook w:val="04A0" w:firstRow="1" w:lastRow="0" w:firstColumn="1" w:lastColumn="0" w:noHBand="0" w:noVBand="1"/>
      </w:tblPr>
      <w:tblGrid>
        <w:gridCol w:w="1204"/>
        <w:gridCol w:w="1110"/>
        <w:gridCol w:w="1099"/>
        <w:gridCol w:w="1104"/>
        <w:gridCol w:w="1116"/>
        <w:gridCol w:w="1078"/>
        <w:gridCol w:w="1110"/>
        <w:gridCol w:w="1195"/>
      </w:tblGrid>
      <w:tr w:rsidR="00E660AE" w:rsidRPr="00C46A31" w14:paraId="18FA16AB" w14:textId="77777777">
        <w:tc>
          <w:tcPr>
            <w:tcW w:w="1204" w:type="dxa"/>
            <w:vAlign w:val="center"/>
          </w:tcPr>
          <w:p w14:paraId="46744F18"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Site</w:t>
            </w:r>
          </w:p>
        </w:tc>
        <w:tc>
          <w:tcPr>
            <w:tcW w:w="1110" w:type="dxa"/>
            <w:vAlign w:val="center"/>
          </w:tcPr>
          <w:p w14:paraId="770B3776"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Season</w:t>
            </w:r>
          </w:p>
        </w:tc>
        <w:tc>
          <w:tcPr>
            <w:tcW w:w="1099" w:type="dxa"/>
            <w:vAlign w:val="center"/>
          </w:tcPr>
          <w:p w14:paraId="045BB1B7"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Air Temp (°C)</w:t>
            </w:r>
          </w:p>
        </w:tc>
        <w:tc>
          <w:tcPr>
            <w:tcW w:w="1104" w:type="dxa"/>
            <w:vAlign w:val="center"/>
          </w:tcPr>
          <w:p w14:paraId="4CBD7918"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Water Temp (°C)</w:t>
            </w:r>
          </w:p>
        </w:tc>
        <w:tc>
          <w:tcPr>
            <w:tcW w:w="1116" w:type="dxa"/>
            <w:vAlign w:val="center"/>
          </w:tcPr>
          <w:p w14:paraId="1BDB6FBA"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Salinity (ppt)</w:t>
            </w:r>
          </w:p>
        </w:tc>
        <w:tc>
          <w:tcPr>
            <w:tcW w:w="1078" w:type="dxa"/>
            <w:vAlign w:val="center"/>
          </w:tcPr>
          <w:p w14:paraId="4C59FC86"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pH</w:t>
            </w:r>
          </w:p>
        </w:tc>
        <w:tc>
          <w:tcPr>
            <w:tcW w:w="1110" w:type="dxa"/>
            <w:vAlign w:val="center"/>
          </w:tcPr>
          <w:p w14:paraId="3339853C"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DO (mg/L)</w:t>
            </w:r>
          </w:p>
        </w:tc>
        <w:tc>
          <w:tcPr>
            <w:tcW w:w="1195" w:type="dxa"/>
            <w:vAlign w:val="center"/>
          </w:tcPr>
          <w:p w14:paraId="40B91F7F"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Turbidity (NTU)</w:t>
            </w:r>
          </w:p>
        </w:tc>
      </w:tr>
      <w:tr w:rsidR="00DA35B1" w:rsidRPr="00C46A31" w14:paraId="217A23D1" w14:textId="77777777">
        <w:tc>
          <w:tcPr>
            <w:tcW w:w="1204" w:type="dxa"/>
            <w:vMerge w:val="restart"/>
            <w:vAlign w:val="center"/>
          </w:tcPr>
          <w:p w14:paraId="4D445531" w14:textId="77777777" w:rsidR="00DA35B1" w:rsidRPr="00C46A31" w:rsidRDefault="00DA35B1" w:rsidP="00C46A31">
            <w:pPr>
              <w:spacing w:line="360" w:lineRule="auto"/>
              <w:jc w:val="both"/>
              <w:rPr>
                <w:rFonts w:ascii="Times New Roman" w:hAnsi="Times New Roman" w:cs="Times New Roman"/>
                <w:szCs w:val="24"/>
              </w:rPr>
            </w:pPr>
            <w:proofErr w:type="spellStart"/>
            <w:r w:rsidRPr="00C46A31">
              <w:rPr>
                <w:rFonts w:ascii="Times New Roman" w:hAnsi="Times New Roman" w:cs="Times New Roman"/>
                <w:szCs w:val="24"/>
              </w:rPr>
              <w:t>Bhatye</w:t>
            </w:r>
            <w:proofErr w:type="spellEnd"/>
          </w:p>
        </w:tc>
        <w:tc>
          <w:tcPr>
            <w:tcW w:w="1110" w:type="dxa"/>
            <w:vAlign w:val="center"/>
          </w:tcPr>
          <w:p w14:paraId="5185260C"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Pre</w:t>
            </w:r>
          </w:p>
        </w:tc>
        <w:tc>
          <w:tcPr>
            <w:tcW w:w="1099" w:type="dxa"/>
            <w:vAlign w:val="center"/>
          </w:tcPr>
          <w:p w14:paraId="7C116DC0"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30.1</w:t>
            </w:r>
          </w:p>
        </w:tc>
        <w:tc>
          <w:tcPr>
            <w:tcW w:w="1104" w:type="dxa"/>
            <w:vAlign w:val="center"/>
          </w:tcPr>
          <w:p w14:paraId="43AC6552"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28.2</w:t>
            </w:r>
          </w:p>
        </w:tc>
        <w:tc>
          <w:tcPr>
            <w:tcW w:w="1116" w:type="dxa"/>
            <w:vAlign w:val="center"/>
          </w:tcPr>
          <w:p w14:paraId="47B7DD52"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32.4</w:t>
            </w:r>
          </w:p>
        </w:tc>
        <w:tc>
          <w:tcPr>
            <w:tcW w:w="1078" w:type="dxa"/>
            <w:vAlign w:val="center"/>
          </w:tcPr>
          <w:p w14:paraId="73B26728"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8.1</w:t>
            </w:r>
          </w:p>
        </w:tc>
        <w:tc>
          <w:tcPr>
            <w:tcW w:w="1110" w:type="dxa"/>
            <w:vAlign w:val="center"/>
          </w:tcPr>
          <w:p w14:paraId="1E2C579A"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5.8</w:t>
            </w:r>
          </w:p>
        </w:tc>
        <w:tc>
          <w:tcPr>
            <w:tcW w:w="1195" w:type="dxa"/>
            <w:vAlign w:val="center"/>
          </w:tcPr>
          <w:p w14:paraId="26298258"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12.2</w:t>
            </w:r>
          </w:p>
        </w:tc>
      </w:tr>
      <w:tr w:rsidR="00DA35B1" w:rsidRPr="00C46A31" w14:paraId="2B9B49C0" w14:textId="77777777">
        <w:tc>
          <w:tcPr>
            <w:tcW w:w="1204" w:type="dxa"/>
            <w:vMerge/>
          </w:tcPr>
          <w:p w14:paraId="65BCC517" w14:textId="77777777" w:rsidR="00DA35B1" w:rsidRPr="00C46A31" w:rsidRDefault="00DA35B1" w:rsidP="00C46A31">
            <w:pPr>
              <w:spacing w:line="360" w:lineRule="auto"/>
              <w:jc w:val="both"/>
              <w:rPr>
                <w:rFonts w:ascii="Times New Roman" w:hAnsi="Times New Roman" w:cs="Times New Roman"/>
                <w:szCs w:val="24"/>
              </w:rPr>
            </w:pPr>
          </w:p>
        </w:tc>
        <w:tc>
          <w:tcPr>
            <w:tcW w:w="1110" w:type="dxa"/>
            <w:vAlign w:val="center"/>
          </w:tcPr>
          <w:p w14:paraId="15E1FE17"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Mon</w:t>
            </w:r>
          </w:p>
        </w:tc>
        <w:tc>
          <w:tcPr>
            <w:tcW w:w="1099" w:type="dxa"/>
            <w:vAlign w:val="center"/>
          </w:tcPr>
          <w:p w14:paraId="19DD8011"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27.2</w:t>
            </w:r>
          </w:p>
        </w:tc>
        <w:tc>
          <w:tcPr>
            <w:tcW w:w="1104" w:type="dxa"/>
            <w:vAlign w:val="center"/>
          </w:tcPr>
          <w:p w14:paraId="6186B922"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25.4</w:t>
            </w:r>
          </w:p>
        </w:tc>
        <w:tc>
          <w:tcPr>
            <w:tcW w:w="1116" w:type="dxa"/>
            <w:vAlign w:val="center"/>
          </w:tcPr>
          <w:p w14:paraId="08792698"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29.2</w:t>
            </w:r>
          </w:p>
        </w:tc>
        <w:tc>
          <w:tcPr>
            <w:tcW w:w="1078" w:type="dxa"/>
            <w:vAlign w:val="center"/>
          </w:tcPr>
          <w:p w14:paraId="2ACA5582"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7.6</w:t>
            </w:r>
          </w:p>
        </w:tc>
        <w:tc>
          <w:tcPr>
            <w:tcW w:w="1110" w:type="dxa"/>
            <w:vAlign w:val="center"/>
          </w:tcPr>
          <w:p w14:paraId="2F3F3039"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6.4</w:t>
            </w:r>
          </w:p>
        </w:tc>
        <w:tc>
          <w:tcPr>
            <w:tcW w:w="1195" w:type="dxa"/>
            <w:vAlign w:val="center"/>
          </w:tcPr>
          <w:p w14:paraId="2629C5F0"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10.0</w:t>
            </w:r>
          </w:p>
        </w:tc>
      </w:tr>
      <w:tr w:rsidR="00DA35B1" w:rsidRPr="00C46A31" w14:paraId="670A931F" w14:textId="77777777">
        <w:tc>
          <w:tcPr>
            <w:tcW w:w="1204" w:type="dxa"/>
            <w:vMerge/>
          </w:tcPr>
          <w:p w14:paraId="7F69221D" w14:textId="77777777" w:rsidR="00DA35B1" w:rsidRPr="00C46A31" w:rsidRDefault="00DA35B1" w:rsidP="00C46A31">
            <w:pPr>
              <w:spacing w:line="360" w:lineRule="auto"/>
              <w:jc w:val="both"/>
              <w:rPr>
                <w:rFonts w:ascii="Times New Roman" w:hAnsi="Times New Roman" w:cs="Times New Roman"/>
                <w:szCs w:val="24"/>
              </w:rPr>
            </w:pPr>
          </w:p>
        </w:tc>
        <w:tc>
          <w:tcPr>
            <w:tcW w:w="1110" w:type="dxa"/>
            <w:vAlign w:val="center"/>
          </w:tcPr>
          <w:p w14:paraId="7F4EAACB"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Post</w:t>
            </w:r>
          </w:p>
        </w:tc>
        <w:tc>
          <w:tcPr>
            <w:tcW w:w="1099" w:type="dxa"/>
            <w:vAlign w:val="center"/>
          </w:tcPr>
          <w:p w14:paraId="07FB1C1F"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24.3</w:t>
            </w:r>
          </w:p>
        </w:tc>
        <w:tc>
          <w:tcPr>
            <w:tcW w:w="1104" w:type="dxa"/>
            <w:vAlign w:val="center"/>
          </w:tcPr>
          <w:p w14:paraId="477273CE"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22.2</w:t>
            </w:r>
          </w:p>
        </w:tc>
        <w:tc>
          <w:tcPr>
            <w:tcW w:w="1116" w:type="dxa"/>
            <w:vAlign w:val="center"/>
          </w:tcPr>
          <w:p w14:paraId="0CD17590"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26.3</w:t>
            </w:r>
          </w:p>
        </w:tc>
        <w:tc>
          <w:tcPr>
            <w:tcW w:w="1078" w:type="dxa"/>
            <w:vAlign w:val="center"/>
          </w:tcPr>
          <w:p w14:paraId="5A97D2FA"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7.9</w:t>
            </w:r>
          </w:p>
        </w:tc>
        <w:tc>
          <w:tcPr>
            <w:tcW w:w="1110" w:type="dxa"/>
            <w:vAlign w:val="center"/>
          </w:tcPr>
          <w:p w14:paraId="0D85AD78"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6.9</w:t>
            </w:r>
          </w:p>
        </w:tc>
        <w:tc>
          <w:tcPr>
            <w:tcW w:w="1195" w:type="dxa"/>
            <w:vAlign w:val="center"/>
          </w:tcPr>
          <w:p w14:paraId="5C5C969B"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6.2</w:t>
            </w:r>
          </w:p>
        </w:tc>
      </w:tr>
      <w:tr w:rsidR="00DA35B1" w:rsidRPr="00C46A31" w14:paraId="39BFE651" w14:textId="77777777">
        <w:tc>
          <w:tcPr>
            <w:tcW w:w="1204" w:type="dxa"/>
            <w:vMerge w:val="restart"/>
            <w:vAlign w:val="center"/>
          </w:tcPr>
          <w:p w14:paraId="1BBAEBCC" w14:textId="77777777" w:rsidR="00DA35B1" w:rsidRPr="00C46A31" w:rsidRDefault="00DA35B1" w:rsidP="00C46A31">
            <w:pPr>
              <w:spacing w:line="360" w:lineRule="auto"/>
              <w:jc w:val="both"/>
              <w:rPr>
                <w:rFonts w:ascii="Times New Roman" w:hAnsi="Times New Roman" w:cs="Times New Roman"/>
                <w:szCs w:val="24"/>
              </w:rPr>
            </w:pPr>
            <w:proofErr w:type="spellStart"/>
            <w:r w:rsidRPr="00C46A31">
              <w:rPr>
                <w:rFonts w:ascii="Times New Roman" w:hAnsi="Times New Roman" w:cs="Times New Roman"/>
                <w:szCs w:val="24"/>
              </w:rPr>
              <w:t>Kalbadevi</w:t>
            </w:r>
            <w:proofErr w:type="spellEnd"/>
          </w:p>
        </w:tc>
        <w:tc>
          <w:tcPr>
            <w:tcW w:w="1110" w:type="dxa"/>
            <w:vAlign w:val="center"/>
          </w:tcPr>
          <w:p w14:paraId="6CF4BB49"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Pre</w:t>
            </w:r>
          </w:p>
        </w:tc>
        <w:tc>
          <w:tcPr>
            <w:tcW w:w="1099" w:type="dxa"/>
            <w:vAlign w:val="center"/>
          </w:tcPr>
          <w:p w14:paraId="03C1D8FB"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37.2</w:t>
            </w:r>
          </w:p>
        </w:tc>
        <w:tc>
          <w:tcPr>
            <w:tcW w:w="1104" w:type="dxa"/>
            <w:vAlign w:val="center"/>
          </w:tcPr>
          <w:p w14:paraId="3EADD998"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35.8</w:t>
            </w:r>
          </w:p>
        </w:tc>
        <w:tc>
          <w:tcPr>
            <w:tcW w:w="1116" w:type="dxa"/>
            <w:vAlign w:val="center"/>
          </w:tcPr>
          <w:p w14:paraId="2E816FD7"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33.4</w:t>
            </w:r>
          </w:p>
        </w:tc>
        <w:tc>
          <w:tcPr>
            <w:tcW w:w="1078" w:type="dxa"/>
            <w:vAlign w:val="center"/>
          </w:tcPr>
          <w:p w14:paraId="36AC59DB"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8.0</w:t>
            </w:r>
          </w:p>
        </w:tc>
        <w:tc>
          <w:tcPr>
            <w:tcW w:w="1110" w:type="dxa"/>
            <w:vAlign w:val="center"/>
          </w:tcPr>
          <w:p w14:paraId="0CFFFCBB"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5.6</w:t>
            </w:r>
          </w:p>
        </w:tc>
        <w:tc>
          <w:tcPr>
            <w:tcW w:w="1195" w:type="dxa"/>
            <w:vAlign w:val="center"/>
          </w:tcPr>
          <w:p w14:paraId="538F4110"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14.8</w:t>
            </w:r>
          </w:p>
        </w:tc>
      </w:tr>
      <w:tr w:rsidR="00DA35B1" w:rsidRPr="00C46A31" w14:paraId="0502236C" w14:textId="77777777">
        <w:tc>
          <w:tcPr>
            <w:tcW w:w="1204" w:type="dxa"/>
            <w:vMerge/>
            <w:vAlign w:val="center"/>
          </w:tcPr>
          <w:p w14:paraId="11F393A9" w14:textId="77777777" w:rsidR="00DA35B1" w:rsidRPr="00C46A31" w:rsidRDefault="00DA35B1" w:rsidP="00C46A31">
            <w:pPr>
              <w:spacing w:line="360" w:lineRule="auto"/>
              <w:jc w:val="both"/>
              <w:rPr>
                <w:rFonts w:ascii="Times New Roman" w:hAnsi="Times New Roman" w:cs="Times New Roman"/>
                <w:szCs w:val="24"/>
              </w:rPr>
            </w:pPr>
          </w:p>
        </w:tc>
        <w:tc>
          <w:tcPr>
            <w:tcW w:w="1110" w:type="dxa"/>
            <w:vAlign w:val="center"/>
          </w:tcPr>
          <w:p w14:paraId="487472E4"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Mon</w:t>
            </w:r>
          </w:p>
        </w:tc>
        <w:tc>
          <w:tcPr>
            <w:tcW w:w="1099" w:type="dxa"/>
            <w:vAlign w:val="center"/>
          </w:tcPr>
          <w:p w14:paraId="36686D05"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34.6</w:t>
            </w:r>
          </w:p>
        </w:tc>
        <w:tc>
          <w:tcPr>
            <w:tcW w:w="1104" w:type="dxa"/>
            <w:vAlign w:val="center"/>
          </w:tcPr>
          <w:p w14:paraId="5F2B2AA3"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33.4</w:t>
            </w:r>
          </w:p>
        </w:tc>
        <w:tc>
          <w:tcPr>
            <w:tcW w:w="1116" w:type="dxa"/>
            <w:vAlign w:val="center"/>
          </w:tcPr>
          <w:p w14:paraId="160F968B"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29.8</w:t>
            </w:r>
          </w:p>
        </w:tc>
        <w:tc>
          <w:tcPr>
            <w:tcW w:w="1078" w:type="dxa"/>
            <w:vAlign w:val="center"/>
          </w:tcPr>
          <w:p w14:paraId="6F0F187A"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7.5</w:t>
            </w:r>
          </w:p>
        </w:tc>
        <w:tc>
          <w:tcPr>
            <w:tcW w:w="1110" w:type="dxa"/>
            <w:vAlign w:val="center"/>
          </w:tcPr>
          <w:p w14:paraId="312AF330"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6.2</w:t>
            </w:r>
          </w:p>
        </w:tc>
        <w:tc>
          <w:tcPr>
            <w:tcW w:w="1195" w:type="dxa"/>
            <w:vAlign w:val="center"/>
          </w:tcPr>
          <w:p w14:paraId="57C03D72"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11.6</w:t>
            </w:r>
          </w:p>
        </w:tc>
      </w:tr>
      <w:tr w:rsidR="00DA35B1" w:rsidRPr="00C46A31" w14:paraId="7203C73F" w14:textId="77777777">
        <w:tc>
          <w:tcPr>
            <w:tcW w:w="1204" w:type="dxa"/>
            <w:vMerge/>
            <w:vAlign w:val="center"/>
          </w:tcPr>
          <w:p w14:paraId="3E159404" w14:textId="77777777" w:rsidR="00DA35B1" w:rsidRPr="00C46A31" w:rsidRDefault="00DA35B1" w:rsidP="00C46A31">
            <w:pPr>
              <w:spacing w:line="360" w:lineRule="auto"/>
              <w:jc w:val="both"/>
              <w:rPr>
                <w:rFonts w:ascii="Times New Roman" w:hAnsi="Times New Roman" w:cs="Times New Roman"/>
                <w:szCs w:val="24"/>
              </w:rPr>
            </w:pPr>
          </w:p>
        </w:tc>
        <w:tc>
          <w:tcPr>
            <w:tcW w:w="1110" w:type="dxa"/>
            <w:vAlign w:val="center"/>
          </w:tcPr>
          <w:p w14:paraId="5CDC369E"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Post</w:t>
            </w:r>
          </w:p>
        </w:tc>
        <w:tc>
          <w:tcPr>
            <w:tcW w:w="1099" w:type="dxa"/>
            <w:vAlign w:val="center"/>
          </w:tcPr>
          <w:p w14:paraId="07282B16"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29.1</w:t>
            </w:r>
          </w:p>
        </w:tc>
        <w:tc>
          <w:tcPr>
            <w:tcW w:w="1104" w:type="dxa"/>
            <w:vAlign w:val="center"/>
          </w:tcPr>
          <w:p w14:paraId="2B099CBF"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27.6</w:t>
            </w:r>
          </w:p>
        </w:tc>
        <w:tc>
          <w:tcPr>
            <w:tcW w:w="1116" w:type="dxa"/>
            <w:vAlign w:val="center"/>
          </w:tcPr>
          <w:p w14:paraId="2ACF163E"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28.1</w:t>
            </w:r>
          </w:p>
        </w:tc>
        <w:tc>
          <w:tcPr>
            <w:tcW w:w="1078" w:type="dxa"/>
            <w:vAlign w:val="center"/>
          </w:tcPr>
          <w:p w14:paraId="65950D9B"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7.8</w:t>
            </w:r>
          </w:p>
        </w:tc>
        <w:tc>
          <w:tcPr>
            <w:tcW w:w="1110" w:type="dxa"/>
            <w:vAlign w:val="center"/>
          </w:tcPr>
          <w:p w14:paraId="2237DF48"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6.7</w:t>
            </w:r>
          </w:p>
        </w:tc>
        <w:tc>
          <w:tcPr>
            <w:tcW w:w="1195" w:type="dxa"/>
            <w:vAlign w:val="center"/>
          </w:tcPr>
          <w:p w14:paraId="547D9D2E"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8.9</w:t>
            </w:r>
          </w:p>
        </w:tc>
      </w:tr>
      <w:tr w:rsidR="00DA35B1" w:rsidRPr="00C46A31" w14:paraId="40F1A478" w14:textId="77777777">
        <w:tc>
          <w:tcPr>
            <w:tcW w:w="1204" w:type="dxa"/>
            <w:vMerge w:val="restart"/>
            <w:vAlign w:val="center"/>
          </w:tcPr>
          <w:p w14:paraId="15FFBE6A" w14:textId="77777777" w:rsidR="00DA35B1" w:rsidRPr="00C46A31" w:rsidRDefault="00DA35B1" w:rsidP="00C46A31">
            <w:pPr>
              <w:spacing w:line="360" w:lineRule="auto"/>
              <w:jc w:val="both"/>
              <w:rPr>
                <w:rFonts w:ascii="Times New Roman" w:hAnsi="Times New Roman" w:cs="Times New Roman"/>
                <w:szCs w:val="24"/>
              </w:rPr>
            </w:pPr>
            <w:proofErr w:type="spellStart"/>
            <w:r w:rsidRPr="00C46A31">
              <w:rPr>
                <w:rFonts w:ascii="Times New Roman" w:hAnsi="Times New Roman" w:cs="Times New Roman"/>
                <w:szCs w:val="24"/>
              </w:rPr>
              <w:t>Sakhartar</w:t>
            </w:r>
            <w:proofErr w:type="spellEnd"/>
          </w:p>
        </w:tc>
        <w:tc>
          <w:tcPr>
            <w:tcW w:w="1110" w:type="dxa"/>
            <w:vAlign w:val="center"/>
          </w:tcPr>
          <w:p w14:paraId="0F38AC2C"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Pre</w:t>
            </w:r>
          </w:p>
        </w:tc>
        <w:tc>
          <w:tcPr>
            <w:tcW w:w="1099" w:type="dxa"/>
            <w:vAlign w:val="center"/>
          </w:tcPr>
          <w:p w14:paraId="0C31C84A"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36.4</w:t>
            </w:r>
          </w:p>
        </w:tc>
        <w:tc>
          <w:tcPr>
            <w:tcW w:w="1104" w:type="dxa"/>
            <w:vAlign w:val="center"/>
          </w:tcPr>
          <w:p w14:paraId="6CDD6A1D"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34.6</w:t>
            </w:r>
          </w:p>
        </w:tc>
        <w:tc>
          <w:tcPr>
            <w:tcW w:w="1116" w:type="dxa"/>
            <w:vAlign w:val="center"/>
          </w:tcPr>
          <w:p w14:paraId="053CD353"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34.2</w:t>
            </w:r>
          </w:p>
        </w:tc>
        <w:tc>
          <w:tcPr>
            <w:tcW w:w="1078" w:type="dxa"/>
            <w:vAlign w:val="center"/>
          </w:tcPr>
          <w:p w14:paraId="0983C324"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8.2</w:t>
            </w:r>
          </w:p>
        </w:tc>
        <w:tc>
          <w:tcPr>
            <w:tcW w:w="1110" w:type="dxa"/>
            <w:vAlign w:val="center"/>
          </w:tcPr>
          <w:p w14:paraId="1EE1E118"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5.4</w:t>
            </w:r>
          </w:p>
        </w:tc>
        <w:tc>
          <w:tcPr>
            <w:tcW w:w="1195" w:type="dxa"/>
            <w:vAlign w:val="center"/>
          </w:tcPr>
          <w:p w14:paraId="5A852537"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15.6</w:t>
            </w:r>
          </w:p>
        </w:tc>
      </w:tr>
      <w:tr w:rsidR="00DA35B1" w:rsidRPr="00C46A31" w14:paraId="3DA28EA4" w14:textId="77777777">
        <w:tc>
          <w:tcPr>
            <w:tcW w:w="1204" w:type="dxa"/>
            <w:vMerge/>
            <w:vAlign w:val="center"/>
          </w:tcPr>
          <w:p w14:paraId="113F623E" w14:textId="77777777" w:rsidR="00DA35B1" w:rsidRPr="00C46A31" w:rsidRDefault="00DA35B1" w:rsidP="00C46A31">
            <w:pPr>
              <w:spacing w:line="360" w:lineRule="auto"/>
              <w:jc w:val="both"/>
              <w:rPr>
                <w:rFonts w:ascii="Times New Roman" w:hAnsi="Times New Roman" w:cs="Times New Roman"/>
                <w:szCs w:val="24"/>
              </w:rPr>
            </w:pPr>
          </w:p>
        </w:tc>
        <w:tc>
          <w:tcPr>
            <w:tcW w:w="1110" w:type="dxa"/>
            <w:vAlign w:val="center"/>
          </w:tcPr>
          <w:p w14:paraId="47A8A569"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Mon</w:t>
            </w:r>
          </w:p>
        </w:tc>
        <w:tc>
          <w:tcPr>
            <w:tcW w:w="1099" w:type="dxa"/>
            <w:vAlign w:val="center"/>
          </w:tcPr>
          <w:p w14:paraId="2BDE9286"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31.2</w:t>
            </w:r>
          </w:p>
        </w:tc>
        <w:tc>
          <w:tcPr>
            <w:tcW w:w="1104" w:type="dxa"/>
            <w:vAlign w:val="center"/>
          </w:tcPr>
          <w:p w14:paraId="14A7EF4E"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29.1</w:t>
            </w:r>
          </w:p>
        </w:tc>
        <w:tc>
          <w:tcPr>
            <w:tcW w:w="1116" w:type="dxa"/>
            <w:vAlign w:val="center"/>
          </w:tcPr>
          <w:p w14:paraId="099447E6"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27.6</w:t>
            </w:r>
          </w:p>
        </w:tc>
        <w:tc>
          <w:tcPr>
            <w:tcW w:w="1078" w:type="dxa"/>
            <w:vAlign w:val="center"/>
          </w:tcPr>
          <w:p w14:paraId="1896FDC0"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7.4</w:t>
            </w:r>
          </w:p>
        </w:tc>
        <w:tc>
          <w:tcPr>
            <w:tcW w:w="1110" w:type="dxa"/>
            <w:vAlign w:val="center"/>
          </w:tcPr>
          <w:p w14:paraId="73917541"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6.8</w:t>
            </w:r>
          </w:p>
        </w:tc>
        <w:tc>
          <w:tcPr>
            <w:tcW w:w="1195" w:type="dxa"/>
            <w:vAlign w:val="center"/>
          </w:tcPr>
          <w:p w14:paraId="2E4C3BE5"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9.4</w:t>
            </w:r>
          </w:p>
        </w:tc>
      </w:tr>
      <w:tr w:rsidR="00DA35B1" w:rsidRPr="00C46A31" w14:paraId="7DBC09E3" w14:textId="77777777">
        <w:tc>
          <w:tcPr>
            <w:tcW w:w="1204" w:type="dxa"/>
            <w:vMerge/>
            <w:vAlign w:val="center"/>
          </w:tcPr>
          <w:p w14:paraId="20470A3D" w14:textId="77777777" w:rsidR="00DA35B1" w:rsidRPr="00C46A31" w:rsidRDefault="00DA35B1" w:rsidP="00C46A31">
            <w:pPr>
              <w:spacing w:line="360" w:lineRule="auto"/>
              <w:jc w:val="both"/>
              <w:rPr>
                <w:rFonts w:ascii="Times New Roman" w:hAnsi="Times New Roman" w:cs="Times New Roman"/>
                <w:szCs w:val="24"/>
              </w:rPr>
            </w:pPr>
          </w:p>
        </w:tc>
        <w:tc>
          <w:tcPr>
            <w:tcW w:w="1110" w:type="dxa"/>
            <w:vAlign w:val="center"/>
          </w:tcPr>
          <w:p w14:paraId="606085C6"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Post</w:t>
            </w:r>
          </w:p>
        </w:tc>
        <w:tc>
          <w:tcPr>
            <w:tcW w:w="1099" w:type="dxa"/>
            <w:vAlign w:val="center"/>
          </w:tcPr>
          <w:p w14:paraId="71F8DEEF"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28.0</w:t>
            </w:r>
          </w:p>
        </w:tc>
        <w:tc>
          <w:tcPr>
            <w:tcW w:w="1104" w:type="dxa"/>
            <w:vAlign w:val="center"/>
          </w:tcPr>
          <w:p w14:paraId="738D6724"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26.4</w:t>
            </w:r>
          </w:p>
        </w:tc>
        <w:tc>
          <w:tcPr>
            <w:tcW w:w="1116" w:type="dxa"/>
            <w:vAlign w:val="center"/>
          </w:tcPr>
          <w:p w14:paraId="12BAB4B6"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29.0</w:t>
            </w:r>
          </w:p>
        </w:tc>
        <w:tc>
          <w:tcPr>
            <w:tcW w:w="1078" w:type="dxa"/>
            <w:vAlign w:val="center"/>
          </w:tcPr>
          <w:p w14:paraId="1FB35B7F"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7.9</w:t>
            </w:r>
          </w:p>
        </w:tc>
        <w:tc>
          <w:tcPr>
            <w:tcW w:w="1110" w:type="dxa"/>
            <w:vAlign w:val="center"/>
          </w:tcPr>
          <w:p w14:paraId="3EC9E583"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7.1</w:t>
            </w:r>
          </w:p>
        </w:tc>
        <w:tc>
          <w:tcPr>
            <w:tcW w:w="1195" w:type="dxa"/>
            <w:vAlign w:val="center"/>
          </w:tcPr>
          <w:p w14:paraId="6276AC47" w14:textId="77777777" w:rsidR="00DA35B1" w:rsidRPr="00C46A31" w:rsidRDefault="00DA35B1"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7.8</w:t>
            </w:r>
          </w:p>
        </w:tc>
      </w:tr>
    </w:tbl>
    <w:p w14:paraId="31D45176" w14:textId="77777777" w:rsidR="00C46A31" w:rsidRDefault="00C46A31" w:rsidP="00C46A31">
      <w:pPr>
        <w:spacing w:line="360" w:lineRule="auto"/>
        <w:jc w:val="both"/>
        <w:rPr>
          <w:rFonts w:ascii="Times New Roman" w:hAnsi="Times New Roman" w:cs="Times New Roman"/>
          <w:b/>
          <w:bCs/>
          <w:szCs w:val="24"/>
        </w:rPr>
      </w:pPr>
    </w:p>
    <w:p w14:paraId="3945E96B" w14:textId="77777777" w:rsidR="00E660AE" w:rsidRPr="00C46A31"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lastRenderedPageBreak/>
        <w:t xml:space="preserve">3.2 Heavy Metal Concentrations in Estuarine Waters </w:t>
      </w:r>
    </w:p>
    <w:p w14:paraId="4A1887A3"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Metal concentrations in water followed the trend:</w:t>
      </w:r>
      <w:r w:rsidRPr="00C46A31">
        <w:rPr>
          <w:rFonts w:ascii="Times New Roman" w:hAnsi="Times New Roman" w:cs="Times New Roman"/>
          <w:szCs w:val="24"/>
        </w:rPr>
        <w:br/>
      </w:r>
      <w:r w:rsidR="00187569" w:rsidRPr="00187569">
        <w:rPr>
          <w:rFonts w:ascii="Times New Roman" w:hAnsi="Times New Roman" w:cs="Times New Roman"/>
          <w:szCs w:val="24"/>
        </w:rPr>
        <w:t xml:space="preserve">Monsoon &gt;Post-monsoon&gt; Pre-monsoon, with Zn and Cu being the most common and Cd and Pb showing </w:t>
      </w:r>
      <w:r w:rsidR="00951ABF" w:rsidRPr="00951ABF">
        <w:rPr>
          <w:rFonts w:ascii="Times New Roman" w:hAnsi="Times New Roman" w:cs="Times New Roman"/>
          <w:szCs w:val="24"/>
        </w:rPr>
        <w:t xml:space="preserve">significant </w:t>
      </w:r>
      <w:r w:rsidR="00187569" w:rsidRPr="00187569">
        <w:rPr>
          <w:rFonts w:ascii="Times New Roman" w:hAnsi="Times New Roman" w:cs="Times New Roman"/>
          <w:szCs w:val="24"/>
        </w:rPr>
        <w:t>seasonal enrichment (Islam et al., 2024; Singh et al., 2025).</w:t>
      </w:r>
    </w:p>
    <w:p w14:paraId="2A1842EC"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Table 2. Seasonal variation of heavy metal concentrations in estuarine waters</w:t>
      </w:r>
      <w:r w:rsidR="00E51401">
        <w:rPr>
          <w:rFonts w:ascii="Times New Roman" w:hAnsi="Times New Roman" w:cs="Times New Roman"/>
          <w:b/>
          <w:bCs/>
          <w:szCs w:val="24"/>
        </w:rPr>
        <w:t xml:space="preserve"> (</w:t>
      </w:r>
      <w:r w:rsidR="00E51401" w:rsidRPr="00E51401">
        <w:rPr>
          <w:rFonts w:ascii="Times New Roman" w:hAnsi="Times New Roman" w:cs="Times New Roman"/>
          <w:b/>
          <w:bCs/>
          <w:szCs w:val="24"/>
        </w:rPr>
        <w:t>µg L⁻¹</w:t>
      </w:r>
      <w:r w:rsidR="00E51401">
        <w:rPr>
          <w:rFonts w:ascii="Times New Roman" w:hAnsi="Times New Roman" w:cs="Times New Roman"/>
          <w:b/>
          <w:bCs/>
          <w:szCs w:val="24"/>
        </w:rPr>
        <w:t>)</w:t>
      </w:r>
      <w:r w:rsidRPr="00C46A31">
        <w:rPr>
          <w:rFonts w:ascii="Times New Roman" w:hAnsi="Times New Roman" w:cs="Times New Roman"/>
          <w:szCs w:val="24"/>
        </w:rPr>
        <w:br/>
      </w:r>
      <w:r w:rsidRPr="00F25ECF">
        <w:rPr>
          <w:rFonts w:ascii="Times New Roman" w:hAnsi="Times New Roman" w:cs="Times New Roman"/>
          <w:szCs w:val="24"/>
        </w:rPr>
        <w:t>(Includes Cd, Cu, Zn, Cr, Ni, Pb</w:t>
      </w:r>
      <w:r w:rsidR="00392FE7" w:rsidRPr="00F25ECF">
        <w:rPr>
          <w:rFonts w:ascii="Times New Roman" w:hAnsi="Times New Roman" w:cs="Times New Roman"/>
          <w:szCs w:val="24"/>
        </w:rPr>
        <w:t xml:space="preserve"> - </w:t>
      </w:r>
      <w:r w:rsidRPr="00F25ECF">
        <w:rPr>
          <w:rFonts w:ascii="Times New Roman" w:hAnsi="Times New Roman" w:cs="Times New Roman"/>
          <w:szCs w:val="24"/>
        </w:rPr>
        <w:t>corrected table)</w:t>
      </w:r>
    </w:p>
    <w:tbl>
      <w:tblPr>
        <w:tblStyle w:val="TableGrid"/>
        <w:tblW w:w="0" w:type="auto"/>
        <w:tblLook w:val="04A0" w:firstRow="1" w:lastRow="0" w:firstColumn="1" w:lastColumn="0" w:noHBand="0" w:noVBand="1"/>
      </w:tblPr>
      <w:tblGrid>
        <w:gridCol w:w="1204"/>
        <w:gridCol w:w="1122"/>
        <w:gridCol w:w="1115"/>
        <w:gridCol w:w="1115"/>
        <w:gridCol w:w="1115"/>
        <w:gridCol w:w="1115"/>
        <w:gridCol w:w="1115"/>
        <w:gridCol w:w="1115"/>
      </w:tblGrid>
      <w:tr w:rsidR="00E660AE" w:rsidRPr="00C46A31" w14:paraId="0B761DA3" w14:textId="77777777">
        <w:tc>
          <w:tcPr>
            <w:tcW w:w="1204" w:type="dxa"/>
            <w:vAlign w:val="center"/>
          </w:tcPr>
          <w:p w14:paraId="7FCC0EE1"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Site</w:t>
            </w:r>
          </w:p>
        </w:tc>
        <w:tc>
          <w:tcPr>
            <w:tcW w:w="1122" w:type="dxa"/>
            <w:vAlign w:val="center"/>
          </w:tcPr>
          <w:p w14:paraId="5263C1F4"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Season</w:t>
            </w:r>
          </w:p>
        </w:tc>
        <w:tc>
          <w:tcPr>
            <w:tcW w:w="1115" w:type="dxa"/>
            <w:vAlign w:val="center"/>
          </w:tcPr>
          <w:p w14:paraId="58147CFD"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Cd</w:t>
            </w:r>
          </w:p>
        </w:tc>
        <w:tc>
          <w:tcPr>
            <w:tcW w:w="1115" w:type="dxa"/>
            <w:vAlign w:val="center"/>
          </w:tcPr>
          <w:p w14:paraId="250BDD77"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Cu</w:t>
            </w:r>
          </w:p>
        </w:tc>
        <w:tc>
          <w:tcPr>
            <w:tcW w:w="1115" w:type="dxa"/>
            <w:vAlign w:val="center"/>
          </w:tcPr>
          <w:p w14:paraId="533BD2C1"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Zn</w:t>
            </w:r>
          </w:p>
        </w:tc>
        <w:tc>
          <w:tcPr>
            <w:tcW w:w="1115" w:type="dxa"/>
            <w:vAlign w:val="center"/>
          </w:tcPr>
          <w:p w14:paraId="39111C9E"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Cr</w:t>
            </w:r>
          </w:p>
        </w:tc>
        <w:tc>
          <w:tcPr>
            <w:tcW w:w="1115" w:type="dxa"/>
            <w:vAlign w:val="center"/>
          </w:tcPr>
          <w:p w14:paraId="60839F74" w14:textId="77777777" w:rsidR="00E660AE" w:rsidRPr="00C46A31" w:rsidRDefault="00E660AE"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Ni</w:t>
            </w:r>
          </w:p>
        </w:tc>
        <w:tc>
          <w:tcPr>
            <w:tcW w:w="1115" w:type="dxa"/>
            <w:vAlign w:val="center"/>
          </w:tcPr>
          <w:p w14:paraId="34891EFA" w14:textId="77777777" w:rsidR="00E660AE" w:rsidRPr="00C46A31" w:rsidRDefault="00E660AE"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Pb</w:t>
            </w:r>
          </w:p>
        </w:tc>
      </w:tr>
      <w:tr w:rsidR="0084722F" w:rsidRPr="00C46A31" w14:paraId="27899669" w14:textId="77777777">
        <w:tc>
          <w:tcPr>
            <w:tcW w:w="1204" w:type="dxa"/>
            <w:vMerge w:val="restart"/>
            <w:vAlign w:val="center"/>
          </w:tcPr>
          <w:p w14:paraId="4D5BAE43" w14:textId="77777777" w:rsidR="0084722F" w:rsidRPr="00C46A31" w:rsidRDefault="0084722F" w:rsidP="00C46A31">
            <w:pPr>
              <w:spacing w:line="360" w:lineRule="auto"/>
              <w:jc w:val="both"/>
              <w:rPr>
                <w:rFonts w:ascii="Times New Roman" w:hAnsi="Times New Roman" w:cs="Times New Roman"/>
                <w:szCs w:val="24"/>
              </w:rPr>
            </w:pPr>
            <w:proofErr w:type="spellStart"/>
            <w:r w:rsidRPr="00C46A31">
              <w:rPr>
                <w:rFonts w:ascii="Times New Roman" w:hAnsi="Times New Roman" w:cs="Times New Roman"/>
                <w:szCs w:val="24"/>
              </w:rPr>
              <w:t>Bhatye</w:t>
            </w:r>
            <w:proofErr w:type="spellEnd"/>
          </w:p>
        </w:tc>
        <w:tc>
          <w:tcPr>
            <w:tcW w:w="1122" w:type="dxa"/>
            <w:vAlign w:val="center"/>
          </w:tcPr>
          <w:p w14:paraId="51391515"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Pre</w:t>
            </w:r>
          </w:p>
        </w:tc>
        <w:tc>
          <w:tcPr>
            <w:tcW w:w="1115" w:type="dxa"/>
            <w:vAlign w:val="center"/>
          </w:tcPr>
          <w:p w14:paraId="15EAB12E"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0.42</w:t>
            </w:r>
          </w:p>
        </w:tc>
        <w:tc>
          <w:tcPr>
            <w:tcW w:w="1115" w:type="dxa"/>
            <w:vAlign w:val="center"/>
          </w:tcPr>
          <w:p w14:paraId="679BF06D"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1.12</w:t>
            </w:r>
          </w:p>
        </w:tc>
        <w:tc>
          <w:tcPr>
            <w:tcW w:w="1115" w:type="dxa"/>
            <w:vAlign w:val="center"/>
          </w:tcPr>
          <w:p w14:paraId="646360B5"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3.24</w:t>
            </w:r>
          </w:p>
        </w:tc>
        <w:tc>
          <w:tcPr>
            <w:tcW w:w="1115" w:type="dxa"/>
            <w:vAlign w:val="center"/>
          </w:tcPr>
          <w:p w14:paraId="5381FB29"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0.78</w:t>
            </w:r>
          </w:p>
        </w:tc>
        <w:tc>
          <w:tcPr>
            <w:tcW w:w="1115" w:type="dxa"/>
            <w:vAlign w:val="center"/>
          </w:tcPr>
          <w:p w14:paraId="3C8D33F4"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0.65</w:t>
            </w:r>
          </w:p>
        </w:tc>
        <w:tc>
          <w:tcPr>
            <w:tcW w:w="1115" w:type="dxa"/>
            <w:vAlign w:val="center"/>
          </w:tcPr>
          <w:p w14:paraId="100EEC3D"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1.02</w:t>
            </w:r>
          </w:p>
        </w:tc>
      </w:tr>
      <w:tr w:rsidR="0084722F" w:rsidRPr="00C46A31" w14:paraId="37F9C0DB" w14:textId="77777777">
        <w:tc>
          <w:tcPr>
            <w:tcW w:w="1204" w:type="dxa"/>
            <w:vMerge/>
            <w:vAlign w:val="center"/>
          </w:tcPr>
          <w:p w14:paraId="645C011A" w14:textId="77777777" w:rsidR="0084722F" w:rsidRPr="00C46A31" w:rsidRDefault="0084722F" w:rsidP="00C46A31">
            <w:pPr>
              <w:spacing w:line="360" w:lineRule="auto"/>
              <w:jc w:val="both"/>
              <w:rPr>
                <w:rFonts w:ascii="Times New Roman" w:hAnsi="Times New Roman" w:cs="Times New Roman"/>
                <w:szCs w:val="24"/>
              </w:rPr>
            </w:pPr>
          </w:p>
        </w:tc>
        <w:tc>
          <w:tcPr>
            <w:tcW w:w="1122" w:type="dxa"/>
            <w:vAlign w:val="center"/>
          </w:tcPr>
          <w:p w14:paraId="38A31CCF"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Mon</w:t>
            </w:r>
          </w:p>
        </w:tc>
        <w:tc>
          <w:tcPr>
            <w:tcW w:w="1115" w:type="dxa"/>
            <w:vAlign w:val="center"/>
          </w:tcPr>
          <w:p w14:paraId="64950D49"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0.61</w:t>
            </w:r>
          </w:p>
        </w:tc>
        <w:tc>
          <w:tcPr>
            <w:tcW w:w="1115" w:type="dxa"/>
            <w:vAlign w:val="center"/>
          </w:tcPr>
          <w:p w14:paraId="452B8C6D"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1.45</w:t>
            </w:r>
          </w:p>
        </w:tc>
        <w:tc>
          <w:tcPr>
            <w:tcW w:w="1115" w:type="dxa"/>
            <w:vAlign w:val="center"/>
          </w:tcPr>
          <w:p w14:paraId="32B70272"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4.12</w:t>
            </w:r>
          </w:p>
        </w:tc>
        <w:tc>
          <w:tcPr>
            <w:tcW w:w="1115" w:type="dxa"/>
            <w:vAlign w:val="center"/>
          </w:tcPr>
          <w:p w14:paraId="31E5A8E1"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1.05</w:t>
            </w:r>
          </w:p>
        </w:tc>
        <w:tc>
          <w:tcPr>
            <w:tcW w:w="1115" w:type="dxa"/>
            <w:vAlign w:val="center"/>
          </w:tcPr>
          <w:p w14:paraId="528C94EE"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1.12</w:t>
            </w:r>
          </w:p>
        </w:tc>
        <w:tc>
          <w:tcPr>
            <w:tcW w:w="1115" w:type="dxa"/>
            <w:vAlign w:val="center"/>
          </w:tcPr>
          <w:p w14:paraId="763A5C74"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1.38</w:t>
            </w:r>
          </w:p>
        </w:tc>
      </w:tr>
      <w:tr w:rsidR="0084722F" w:rsidRPr="00C46A31" w14:paraId="6F3575DE" w14:textId="77777777">
        <w:tc>
          <w:tcPr>
            <w:tcW w:w="1204" w:type="dxa"/>
            <w:vMerge/>
            <w:vAlign w:val="center"/>
          </w:tcPr>
          <w:p w14:paraId="03686F00" w14:textId="77777777" w:rsidR="0084722F" w:rsidRPr="00C46A31" w:rsidRDefault="0084722F" w:rsidP="00C46A31">
            <w:pPr>
              <w:spacing w:line="360" w:lineRule="auto"/>
              <w:jc w:val="both"/>
              <w:rPr>
                <w:rFonts w:ascii="Times New Roman" w:hAnsi="Times New Roman" w:cs="Times New Roman"/>
                <w:szCs w:val="24"/>
              </w:rPr>
            </w:pPr>
          </w:p>
        </w:tc>
        <w:tc>
          <w:tcPr>
            <w:tcW w:w="1122" w:type="dxa"/>
            <w:vAlign w:val="center"/>
          </w:tcPr>
          <w:p w14:paraId="5876F385"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Post</w:t>
            </w:r>
          </w:p>
        </w:tc>
        <w:tc>
          <w:tcPr>
            <w:tcW w:w="1115" w:type="dxa"/>
            <w:vAlign w:val="center"/>
          </w:tcPr>
          <w:p w14:paraId="666908B6"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0.53</w:t>
            </w:r>
          </w:p>
        </w:tc>
        <w:tc>
          <w:tcPr>
            <w:tcW w:w="1115" w:type="dxa"/>
            <w:vAlign w:val="center"/>
          </w:tcPr>
          <w:p w14:paraId="66800E53"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1.28</w:t>
            </w:r>
          </w:p>
        </w:tc>
        <w:tc>
          <w:tcPr>
            <w:tcW w:w="1115" w:type="dxa"/>
            <w:vAlign w:val="center"/>
          </w:tcPr>
          <w:p w14:paraId="59B268AF"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3.68</w:t>
            </w:r>
          </w:p>
        </w:tc>
        <w:tc>
          <w:tcPr>
            <w:tcW w:w="1115" w:type="dxa"/>
            <w:vAlign w:val="center"/>
          </w:tcPr>
          <w:p w14:paraId="2C66D5F2"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0.91</w:t>
            </w:r>
          </w:p>
        </w:tc>
        <w:tc>
          <w:tcPr>
            <w:tcW w:w="1115" w:type="dxa"/>
            <w:vAlign w:val="center"/>
          </w:tcPr>
          <w:p w14:paraId="002A6CA0"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0.88</w:t>
            </w:r>
          </w:p>
        </w:tc>
        <w:tc>
          <w:tcPr>
            <w:tcW w:w="1115" w:type="dxa"/>
            <w:vAlign w:val="center"/>
          </w:tcPr>
          <w:p w14:paraId="7695E314"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1.19</w:t>
            </w:r>
          </w:p>
        </w:tc>
      </w:tr>
      <w:tr w:rsidR="0084722F" w:rsidRPr="00C46A31" w14:paraId="370698D6" w14:textId="77777777">
        <w:tc>
          <w:tcPr>
            <w:tcW w:w="1204" w:type="dxa"/>
            <w:vMerge w:val="restart"/>
            <w:vAlign w:val="center"/>
          </w:tcPr>
          <w:p w14:paraId="70F7BAC2" w14:textId="77777777" w:rsidR="0084722F" w:rsidRPr="00C46A31" w:rsidRDefault="0084722F" w:rsidP="00C46A31">
            <w:pPr>
              <w:spacing w:line="360" w:lineRule="auto"/>
              <w:jc w:val="both"/>
              <w:rPr>
                <w:rFonts w:ascii="Times New Roman" w:hAnsi="Times New Roman" w:cs="Times New Roman"/>
                <w:szCs w:val="24"/>
              </w:rPr>
            </w:pPr>
            <w:proofErr w:type="spellStart"/>
            <w:r w:rsidRPr="00C46A31">
              <w:rPr>
                <w:rFonts w:ascii="Times New Roman" w:hAnsi="Times New Roman" w:cs="Times New Roman"/>
                <w:szCs w:val="24"/>
              </w:rPr>
              <w:t>Kalbadevi</w:t>
            </w:r>
            <w:proofErr w:type="spellEnd"/>
          </w:p>
        </w:tc>
        <w:tc>
          <w:tcPr>
            <w:tcW w:w="1122" w:type="dxa"/>
            <w:vAlign w:val="center"/>
          </w:tcPr>
          <w:p w14:paraId="6AC4A114"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Pre</w:t>
            </w:r>
          </w:p>
        </w:tc>
        <w:tc>
          <w:tcPr>
            <w:tcW w:w="1115" w:type="dxa"/>
            <w:vAlign w:val="center"/>
          </w:tcPr>
          <w:p w14:paraId="14647F2B"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0.47</w:t>
            </w:r>
          </w:p>
        </w:tc>
        <w:tc>
          <w:tcPr>
            <w:tcW w:w="1115" w:type="dxa"/>
            <w:vAlign w:val="center"/>
          </w:tcPr>
          <w:p w14:paraId="6E6F54AF"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1.34</w:t>
            </w:r>
          </w:p>
        </w:tc>
        <w:tc>
          <w:tcPr>
            <w:tcW w:w="1115" w:type="dxa"/>
            <w:vAlign w:val="center"/>
          </w:tcPr>
          <w:p w14:paraId="4010A307"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3.92</w:t>
            </w:r>
          </w:p>
        </w:tc>
        <w:tc>
          <w:tcPr>
            <w:tcW w:w="1115" w:type="dxa"/>
            <w:vAlign w:val="center"/>
          </w:tcPr>
          <w:p w14:paraId="594B1B48"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0.85</w:t>
            </w:r>
          </w:p>
        </w:tc>
        <w:tc>
          <w:tcPr>
            <w:tcW w:w="1115" w:type="dxa"/>
            <w:vAlign w:val="center"/>
          </w:tcPr>
          <w:p w14:paraId="31628DE5"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0.69</w:t>
            </w:r>
          </w:p>
        </w:tc>
        <w:tc>
          <w:tcPr>
            <w:tcW w:w="1115" w:type="dxa"/>
            <w:vAlign w:val="center"/>
          </w:tcPr>
          <w:p w14:paraId="2CEA63E2"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1.14</w:t>
            </w:r>
          </w:p>
        </w:tc>
      </w:tr>
      <w:tr w:rsidR="0084722F" w:rsidRPr="00C46A31" w14:paraId="1413381C" w14:textId="77777777">
        <w:tc>
          <w:tcPr>
            <w:tcW w:w="1204" w:type="dxa"/>
            <w:vMerge/>
            <w:vAlign w:val="center"/>
          </w:tcPr>
          <w:p w14:paraId="13222B60" w14:textId="77777777" w:rsidR="0084722F" w:rsidRPr="00C46A31" w:rsidRDefault="0084722F" w:rsidP="00C46A31">
            <w:pPr>
              <w:spacing w:line="360" w:lineRule="auto"/>
              <w:jc w:val="both"/>
              <w:rPr>
                <w:rFonts w:ascii="Times New Roman" w:hAnsi="Times New Roman" w:cs="Times New Roman"/>
                <w:szCs w:val="24"/>
              </w:rPr>
            </w:pPr>
          </w:p>
        </w:tc>
        <w:tc>
          <w:tcPr>
            <w:tcW w:w="1122" w:type="dxa"/>
            <w:vAlign w:val="center"/>
          </w:tcPr>
          <w:p w14:paraId="20E6CF5A"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Mon</w:t>
            </w:r>
          </w:p>
        </w:tc>
        <w:tc>
          <w:tcPr>
            <w:tcW w:w="1115" w:type="dxa"/>
            <w:vAlign w:val="center"/>
          </w:tcPr>
          <w:p w14:paraId="51AD827E"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0.66</w:t>
            </w:r>
          </w:p>
        </w:tc>
        <w:tc>
          <w:tcPr>
            <w:tcW w:w="1115" w:type="dxa"/>
            <w:vAlign w:val="center"/>
          </w:tcPr>
          <w:p w14:paraId="0873EA9A"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1.58</w:t>
            </w:r>
          </w:p>
        </w:tc>
        <w:tc>
          <w:tcPr>
            <w:tcW w:w="1115" w:type="dxa"/>
            <w:vAlign w:val="center"/>
          </w:tcPr>
          <w:p w14:paraId="61FBCCB7"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4.48</w:t>
            </w:r>
          </w:p>
        </w:tc>
        <w:tc>
          <w:tcPr>
            <w:tcW w:w="1115" w:type="dxa"/>
            <w:vAlign w:val="center"/>
          </w:tcPr>
          <w:p w14:paraId="13E98038"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1.09</w:t>
            </w:r>
          </w:p>
        </w:tc>
        <w:tc>
          <w:tcPr>
            <w:tcW w:w="1115" w:type="dxa"/>
            <w:vAlign w:val="center"/>
          </w:tcPr>
          <w:p w14:paraId="7FE8A1DB"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1.18</w:t>
            </w:r>
          </w:p>
        </w:tc>
        <w:tc>
          <w:tcPr>
            <w:tcW w:w="1115" w:type="dxa"/>
            <w:vAlign w:val="center"/>
          </w:tcPr>
          <w:p w14:paraId="1A9653A2"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1.47</w:t>
            </w:r>
          </w:p>
        </w:tc>
      </w:tr>
      <w:tr w:rsidR="0084722F" w:rsidRPr="00C46A31" w14:paraId="710BF65D" w14:textId="77777777">
        <w:tc>
          <w:tcPr>
            <w:tcW w:w="1204" w:type="dxa"/>
            <w:vMerge/>
            <w:vAlign w:val="center"/>
          </w:tcPr>
          <w:p w14:paraId="405C3DDF" w14:textId="77777777" w:rsidR="0084722F" w:rsidRPr="00C46A31" w:rsidRDefault="0084722F" w:rsidP="00C46A31">
            <w:pPr>
              <w:spacing w:line="360" w:lineRule="auto"/>
              <w:jc w:val="both"/>
              <w:rPr>
                <w:rFonts w:ascii="Times New Roman" w:hAnsi="Times New Roman" w:cs="Times New Roman"/>
                <w:szCs w:val="24"/>
              </w:rPr>
            </w:pPr>
          </w:p>
        </w:tc>
        <w:tc>
          <w:tcPr>
            <w:tcW w:w="1122" w:type="dxa"/>
            <w:vAlign w:val="center"/>
          </w:tcPr>
          <w:p w14:paraId="2DBE7A97"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Post</w:t>
            </w:r>
          </w:p>
        </w:tc>
        <w:tc>
          <w:tcPr>
            <w:tcW w:w="1115" w:type="dxa"/>
            <w:vAlign w:val="center"/>
          </w:tcPr>
          <w:p w14:paraId="7F71BFE1"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0.55</w:t>
            </w:r>
          </w:p>
        </w:tc>
        <w:tc>
          <w:tcPr>
            <w:tcW w:w="1115" w:type="dxa"/>
            <w:vAlign w:val="center"/>
          </w:tcPr>
          <w:p w14:paraId="49DB1073"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1.31</w:t>
            </w:r>
          </w:p>
        </w:tc>
        <w:tc>
          <w:tcPr>
            <w:tcW w:w="1115" w:type="dxa"/>
            <w:vAlign w:val="center"/>
          </w:tcPr>
          <w:p w14:paraId="7412F366"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3.86</w:t>
            </w:r>
          </w:p>
        </w:tc>
        <w:tc>
          <w:tcPr>
            <w:tcW w:w="1115" w:type="dxa"/>
            <w:vAlign w:val="center"/>
          </w:tcPr>
          <w:p w14:paraId="16109847"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0.94</w:t>
            </w:r>
          </w:p>
        </w:tc>
        <w:tc>
          <w:tcPr>
            <w:tcW w:w="1115" w:type="dxa"/>
            <w:vAlign w:val="center"/>
          </w:tcPr>
          <w:p w14:paraId="15AE97F7"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0.92</w:t>
            </w:r>
          </w:p>
        </w:tc>
        <w:tc>
          <w:tcPr>
            <w:tcW w:w="1115" w:type="dxa"/>
            <w:vAlign w:val="center"/>
          </w:tcPr>
          <w:p w14:paraId="66088CBC"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1.23</w:t>
            </w:r>
          </w:p>
        </w:tc>
      </w:tr>
      <w:tr w:rsidR="0084722F" w:rsidRPr="00C46A31" w14:paraId="58D7F048" w14:textId="77777777">
        <w:tc>
          <w:tcPr>
            <w:tcW w:w="1204" w:type="dxa"/>
            <w:vMerge w:val="restart"/>
            <w:vAlign w:val="center"/>
          </w:tcPr>
          <w:p w14:paraId="72F74777" w14:textId="77777777" w:rsidR="0084722F" w:rsidRPr="00C46A31" w:rsidRDefault="0084722F" w:rsidP="00C46A31">
            <w:pPr>
              <w:spacing w:line="360" w:lineRule="auto"/>
              <w:jc w:val="both"/>
              <w:rPr>
                <w:rFonts w:ascii="Times New Roman" w:hAnsi="Times New Roman" w:cs="Times New Roman"/>
                <w:szCs w:val="24"/>
              </w:rPr>
            </w:pPr>
            <w:proofErr w:type="spellStart"/>
            <w:r w:rsidRPr="00C46A31">
              <w:rPr>
                <w:rFonts w:ascii="Times New Roman" w:hAnsi="Times New Roman" w:cs="Times New Roman"/>
                <w:szCs w:val="24"/>
              </w:rPr>
              <w:t>Sakhartar</w:t>
            </w:r>
            <w:proofErr w:type="spellEnd"/>
          </w:p>
        </w:tc>
        <w:tc>
          <w:tcPr>
            <w:tcW w:w="1122" w:type="dxa"/>
            <w:vAlign w:val="center"/>
          </w:tcPr>
          <w:p w14:paraId="137D9FD6"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Pre</w:t>
            </w:r>
          </w:p>
        </w:tc>
        <w:tc>
          <w:tcPr>
            <w:tcW w:w="1115" w:type="dxa"/>
            <w:vAlign w:val="center"/>
          </w:tcPr>
          <w:p w14:paraId="5569951B"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0.49</w:t>
            </w:r>
          </w:p>
        </w:tc>
        <w:tc>
          <w:tcPr>
            <w:tcW w:w="1115" w:type="dxa"/>
            <w:vAlign w:val="center"/>
          </w:tcPr>
          <w:p w14:paraId="4E8A07C5"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1.39</w:t>
            </w:r>
          </w:p>
        </w:tc>
        <w:tc>
          <w:tcPr>
            <w:tcW w:w="1115" w:type="dxa"/>
            <w:vAlign w:val="center"/>
          </w:tcPr>
          <w:p w14:paraId="2058FE0A"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4.05</w:t>
            </w:r>
          </w:p>
        </w:tc>
        <w:tc>
          <w:tcPr>
            <w:tcW w:w="1115" w:type="dxa"/>
            <w:vAlign w:val="center"/>
          </w:tcPr>
          <w:p w14:paraId="11168793"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0.88</w:t>
            </w:r>
          </w:p>
        </w:tc>
        <w:tc>
          <w:tcPr>
            <w:tcW w:w="1115" w:type="dxa"/>
            <w:vAlign w:val="center"/>
          </w:tcPr>
          <w:p w14:paraId="285BBFE3"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0.72</w:t>
            </w:r>
          </w:p>
        </w:tc>
        <w:tc>
          <w:tcPr>
            <w:tcW w:w="1115" w:type="dxa"/>
            <w:vAlign w:val="center"/>
          </w:tcPr>
          <w:p w14:paraId="62DD24C1"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1.18</w:t>
            </w:r>
          </w:p>
        </w:tc>
      </w:tr>
      <w:tr w:rsidR="0084722F" w:rsidRPr="00C46A31" w14:paraId="1A5966A5" w14:textId="77777777">
        <w:tc>
          <w:tcPr>
            <w:tcW w:w="1204" w:type="dxa"/>
            <w:vMerge/>
            <w:vAlign w:val="center"/>
          </w:tcPr>
          <w:p w14:paraId="6F29D0C5" w14:textId="77777777" w:rsidR="0084722F" w:rsidRPr="00C46A31" w:rsidRDefault="0084722F" w:rsidP="00C46A31">
            <w:pPr>
              <w:spacing w:line="360" w:lineRule="auto"/>
              <w:jc w:val="both"/>
              <w:rPr>
                <w:rFonts w:ascii="Times New Roman" w:hAnsi="Times New Roman" w:cs="Times New Roman"/>
                <w:szCs w:val="24"/>
              </w:rPr>
            </w:pPr>
          </w:p>
        </w:tc>
        <w:tc>
          <w:tcPr>
            <w:tcW w:w="1122" w:type="dxa"/>
            <w:vAlign w:val="center"/>
          </w:tcPr>
          <w:p w14:paraId="323B14DF"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Mon</w:t>
            </w:r>
          </w:p>
        </w:tc>
        <w:tc>
          <w:tcPr>
            <w:tcW w:w="1115" w:type="dxa"/>
            <w:vAlign w:val="center"/>
          </w:tcPr>
          <w:p w14:paraId="1F9C79DE"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0.69</w:t>
            </w:r>
          </w:p>
        </w:tc>
        <w:tc>
          <w:tcPr>
            <w:tcW w:w="1115" w:type="dxa"/>
            <w:vAlign w:val="center"/>
          </w:tcPr>
          <w:p w14:paraId="50FBFEBB"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1.62</w:t>
            </w:r>
          </w:p>
        </w:tc>
        <w:tc>
          <w:tcPr>
            <w:tcW w:w="1115" w:type="dxa"/>
            <w:vAlign w:val="center"/>
          </w:tcPr>
          <w:p w14:paraId="6E6837E7"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4.35</w:t>
            </w:r>
          </w:p>
        </w:tc>
        <w:tc>
          <w:tcPr>
            <w:tcW w:w="1115" w:type="dxa"/>
            <w:vAlign w:val="center"/>
          </w:tcPr>
          <w:p w14:paraId="2F358F4E"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1.12</w:t>
            </w:r>
          </w:p>
        </w:tc>
        <w:tc>
          <w:tcPr>
            <w:tcW w:w="1115" w:type="dxa"/>
            <w:vAlign w:val="center"/>
          </w:tcPr>
          <w:p w14:paraId="34C77CE0"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1.20</w:t>
            </w:r>
          </w:p>
        </w:tc>
        <w:tc>
          <w:tcPr>
            <w:tcW w:w="1115" w:type="dxa"/>
            <w:vAlign w:val="center"/>
          </w:tcPr>
          <w:p w14:paraId="640E7989"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1.52</w:t>
            </w:r>
          </w:p>
        </w:tc>
      </w:tr>
      <w:tr w:rsidR="0084722F" w:rsidRPr="00C46A31" w14:paraId="75AFECBD" w14:textId="77777777">
        <w:tc>
          <w:tcPr>
            <w:tcW w:w="1204" w:type="dxa"/>
            <w:vMerge/>
            <w:vAlign w:val="center"/>
          </w:tcPr>
          <w:p w14:paraId="72C394AA" w14:textId="77777777" w:rsidR="0084722F" w:rsidRPr="00C46A31" w:rsidRDefault="0084722F" w:rsidP="00C46A31">
            <w:pPr>
              <w:spacing w:line="360" w:lineRule="auto"/>
              <w:jc w:val="both"/>
              <w:rPr>
                <w:rFonts w:ascii="Times New Roman" w:hAnsi="Times New Roman" w:cs="Times New Roman"/>
                <w:szCs w:val="24"/>
              </w:rPr>
            </w:pPr>
          </w:p>
        </w:tc>
        <w:tc>
          <w:tcPr>
            <w:tcW w:w="1122" w:type="dxa"/>
            <w:vAlign w:val="center"/>
          </w:tcPr>
          <w:p w14:paraId="542B3DF6"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Post</w:t>
            </w:r>
          </w:p>
        </w:tc>
        <w:tc>
          <w:tcPr>
            <w:tcW w:w="1115" w:type="dxa"/>
            <w:vAlign w:val="center"/>
          </w:tcPr>
          <w:p w14:paraId="19F4D81E"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0.57</w:t>
            </w:r>
          </w:p>
        </w:tc>
        <w:tc>
          <w:tcPr>
            <w:tcW w:w="1115" w:type="dxa"/>
            <w:vAlign w:val="center"/>
          </w:tcPr>
          <w:p w14:paraId="6113B0E4"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1.36</w:t>
            </w:r>
          </w:p>
        </w:tc>
        <w:tc>
          <w:tcPr>
            <w:tcW w:w="1115" w:type="dxa"/>
            <w:vAlign w:val="center"/>
          </w:tcPr>
          <w:p w14:paraId="4B760B4C"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3.91</w:t>
            </w:r>
          </w:p>
        </w:tc>
        <w:tc>
          <w:tcPr>
            <w:tcW w:w="1115" w:type="dxa"/>
            <w:vAlign w:val="center"/>
          </w:tcPr>
          <w:p w14:paraId="0A9C2EBD"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0.97</w:t>
            </w:r>
          </w:p>
        </w:tc>
        <w:tc>
          <w:tcPr>
            <w:tcW w:w="1115" w:type="dxa"/>
            <w:vAlign w:val="center"/>
          </w:tcPr>
          <w:p w14:paraId="24B9D11E"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0.95</w:t>
            </w:r>
          </w:p>
        </w:tc>
        <w:tc>
          <w:tcPr>
            <w:tcW w:w="1115" w:type="dxa"/>
            <w:vAlign w:val="center"/>
          </w:tcPr>
          <w:p w14:paraId="0798382E" w14:textId="77777777" w:rsidR="0084722F" w:rsidRPr="00C46A31" w:rsidRDefault="0084722F" w:rsidP="00C46A31">
            <w:pPr>
              <w:spacing w:line="360" w:lineRule="auto"/>
              <w:jc w:val="both"/>
              <w:rPr>
                <w:rFonts w:ascii="Times New Roman" w:hAnsi="Times New Roman" w:cs="Times New Roman"/>
                <w:szCs w:val="24"/>
              </w:rPr>
            </w:pPr>
            <w:r w:rsidRPr="00C46A31">
              <w:rPr>
                <w:rFonts w:ascii="Times New Roman" w:hAnsi="Times New Roman" w:cs="Times New Roman"/>
                <w:szCs w:val="24"/>
              </w:rPr>
              <w:t>1.27</w:t>
            </w:r>
          </w:p>
        </w:tc>
      </w:tr>
    </w:tbl>
    <w:p w14:paraId="7919F90E" w14:textId="77777777" w:rsidR="00E660AE" w:rsidRDefault="00E660AE" w:rsidP="00C46A31">
      <w:pPr>
        <w:spacing w:line="360" w:lineRule="auto"/>
        <w:jc w:val="both"/>
        <w:rPr>
          <w:rFonts w:ascii="Times New Roman" w:hAnsi="Times New Roman" w:cs="Times New Roman"/>
          <w:szCs w:val="24"/>
        </w:rPr>
      </w:pPr>
    </w:p>
    <w:p w14:paraId="74748B97" w14:textId="77777777" w:rsidR="00594320" w:rsidRDefault="00594320" w:rsidP="00C46A31">
      <w:pPr>
        <w:spacing w:line="360" w:lineRule="auto"/>
        <w:jc w:val="both"/>
        <w:rPr>
          <w:rFonts w:ascii="Times New Roman" w:hAnsi="Times New Roman" w:cs="Times New Roman"/>
          <w:szCs w:val="24"/>
        </w:rPr>
      </w:pPr>
      <w:r>
        <w:rPr>
          <w:rFonts w:ascii="Times New Roman" w:hAnsi="Times New Roman" w:cs="Times New Roman"/>
          <w:noProof/>
          <w:szCs w:val="24"/>
          <w:lang w:val="en-US" w:bidi="ar-SA"/>
        </w:rPr>
        <w:drawing>
          <wp:inline distT="0" distB="0" distL="0" distR="0" wp14:anchorId="4FDE4F22" wp14:editId="1E8EA09F">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61C0349" w14:textId="77777777" w:rsidR="00381ABA" w:rsidRDefault="00381ABA" w:rsidP="00C46A31">
      <w:pPr>
        <w:spacing w:line="360" w:lineRule="auto"/>
        <w:jc w:val="both"/>
        <w:rPr>
          <w:rFonts w:ascii="Times New Roman" w:hAnsi="Times New Roman" w:cs="Times New Roman"/>
          <w:szCs w:val="24"/>
        </w:rPr>
      </w:pPr>
      <w:r>
        <w:rPr>
          <w:rFonts w:ascii="Times New Roman" w:hAnsi="Times New Roman" w:cs="Times New Roman"/>
          <w:szCs w:val="24"/>
        </w:rPr>
        <w:t xml:space="preserve">Graph 1 seasonal variation of heavy metals in </w:t>
      </w:r>
      <w:r w:rsidR="0074304A" w:rsidRPr="0074304A">
        <w:rPr>
          <w:rFonts w:ascii="Times New Roman" w:hAnsi="Times New Roman" w:cs="Times New Roman"/>
          <w:szCs w:val="24"/>
        </w:rPr>
        <w:t xml:space="preserve">estuarine waters </w:t>
      </w:r>
      <w:r w:rsidR="0074304A">
        <w:rPr>
          <w:rFonts w:ascii="Times New Roman" w:hAnsi="Times New Roman" w:cs="Times New Roman"/>
          <w:szCs w:val="24"/>
        </w:rPr>
        <w:t>(</w:t>
      </w:r>
      <w:proofErr w:type="spellStart"/>
      <w:r>
        <w:rPr>
          <w:rFonts w:ascii="Times New Roman" w:hAnsi="Times New Roman" w:cs="Times New Roman"/>
          <w:szCs w:val="24"/>
        </w:rPr>
        <w:t>Bhatye</w:t>
      </w:r>
      <w:proofErr w:type="spellEnd"/>
      <w:r w:rsidR="001C5F02">
        <w:rPr>
          <w:rFonts w:ascii="Times New Roman" w:hAnsi="Times New Roman" w:cs="Times New Roman"/>
          <w:szCs w:val="24"/>
        </w:rPr>
        <w:t xml:space="preserve"> </w:t>
      </w:r>
      <w:proofErr w:type="spellStart"/>
      <w:r>
        <w:rPr>
          <w:rFonts w:ascii="Times New Roman" w:hAnsi="Times New Roman" w:cs="Times New Roman"/>
          <w:szCs w:val="24"/>
        </w:rPr>
        <w:t>Estury</w:t>
      </w:r>
      <w:proofErr w:type="spellEnd"/>
      <w:r w:rsidR="0074304A">
        <w:rPr>
          <w:rFonts w:ascii="Times New Roman" w:hAnsi="Times New Roman" w:cs="Times New Roman"/>
          <w:szCs w:val="24"/>
        </w:rPr>
        <w:t>)</w:t>
      </w:r>
      <w:r>
        <w:rPr>
          <w:rFonts w:ascii="Times New Roman" w:hAnsi="Times New Roman" w:cs="Times New Roman"/>
          <w:szCs w:val="24"/>
        </w:rPr>
        <w:t>.</w:t>
      </w:r>
    </w:p>
    <w:p w14:paraId="6BB6E2DB" w14:textId="77777777" w:rsidR="00381ABA" w:rsidRDefault="00381ABA" w:rsidP="00C46A31">
      <w:pPr>
        <w:spacing w:line="360" w:lineRule="auto"/>
        <w:jc w:val="both"/>
        <w:rPr>
          <w:rFonts w:ascii="Times New Roman" w:hAnsi="Times New Roman" w:cs="Times New Roman"/>
          <w:szCs w:val="24"/>
        </w:rPr>
      </w:pPr>
      <w:r>
        <w:rPr>
          <w:rFonts w:ascii="Times New Roman" w:hAnsi="Times New Roman" w:cs="Times New Roman"/>
          <w:noProof/>
          <w:szCs w:val="24"/>
          <w:lang w:val="en-US" w:bidi="ar-SA"/>
        </w:rPr>
        <w:lastRenderedPageBreak/>
        <w:drawing>
          <wp:inline distT="0" distB="0" distL="0" distR="0" wp14:anchorId="60B4C25C" wp14:editId="11913205">
            <wp:extent cx="5486400" cy="29019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29D581" w14:textId="77777777" w:rsidR="00381ABA" w:rsidRDefault="00381ABA" w:rsidP="00381ABA">
      <w:pPr>
        <w:spacing w:line="360" w:lineRule="auto"/>
        <w:jc w:val="both"/>
        <w:rPr>
          <w:rFonts w:ascii="Times New Roman" w:hAnsi="Times New Roman" w:cs="Times New Roman"/>
          <w:szCs w:val="24"/>
        </w:rPr>
      </w:pPr>
      <w:r>
        <w:rPr>
          <w:rFonts w:ascii="Times New Roman" w:hAnsi="Times New Roman" w:cs="Times New Roman"/>
          <w:szCs w:val="24"/>
        </w:rPr>
        <w:t>Graph 2 seasonal variation of heavy metals in</w:t>
      </w:r>
      <w:r w:rsidR="00D85287">
        <w:rPr>
          <w:rFonts w:ascii="Times New Roman" w:hAnsi="Times New Roman" w:cs="Times New Roman"/>
          <w:szCs w:val="24"/>
        </w:rPr>
        <w:t xml:space="preserve"> </w:t>
      </w:r>
      <w:r w:rsidR="0074304A" w:rsidRPr="0074304A">
        <w:rPr>
          <w:rFonts w:ascii="Times New Roman" w:hAnsi="Times New Roman" w:cs="Times New Roman"/>
          <w:szCs w:val="24"/>
        </w:rPr>
        <w:t>estuarine waters</w:t>
      </w:r>
      <w:r w:rsidR="00D85287">
        <w:rPr>
          <w:rFonts w:ascii="Times New Roman" w:hAnsi="Times New Roman" w:cs="Times New Roman"/>
          <w:szCs w:val="24"/>
        </w:rPr>
        <w:t xml:space="preserve"> </w:t>
      </w:r>
      <w:r w:rsidR="0074304A">
        <w:rPr>
          <w:rFonts w:ascii="Times New Roman" w:hAnsi="Times New Roman" w:cs="Times New Roman"/>
          <w:szCs w:val="24"/>
        </w:rPr>
        <w:t>(</w:t>
      </w:r>
      <w:proofErr w:type="spellStart"/>
      <w:r>
        <w:rPr>
          <w:rFonts w:ascii="Times New Roman" w:hAnsi="Times New Roman" w:cs="Times New Roman"/>
          <w:szCs w:val="24"/>
        </w:rPr>
        <w:t>Kalbadevi</w:t>
      </w:r>
      <w:proofErr w:type="spellEnd"/>
      <w:r>
        <w:rPr>
          <w:rFonts w:ascii="Times New Roman" w:hAnsi="Times New Roman" w:cs="Times New Roman"/>
          <w:szCs w:val="24"/>
        </w:rPr>
        <w:t xml:space="preserve"> Estuary</w:t>
      </w:r>
      <w:r w:rsidR="0074304A">
        <w:rPr>
          <w:rFonts w:ascii="Times New Roman" w:hAnsi="Times New Roman" w:cs="Times New Roman"/>
          <w:szCs w:val="24"/>
        </w:rPr>
        <w:t>)</w:t>
      </w:r>
      <w:r>
        <w:rPr>
          <w:rFonts w:ascii="Times New Roman" w:hAnsi="Times New Roman" w:cs="Times New Roman"/>
          <w:szCs w:val="24"/>
        </w:rPr>
        <w:t>.</w:t>
      </w:r>
    </w:p>
    <w:p w14:paraId="79F0B011" w14:textId="77777777" w:rsidR="00B309BD" w:rsidRDefault="00B309BD" w:rsidP="00381ABA">
      <w:pPr>
        <w:spacing w:line="360" w:lineRule="auto"/>
        <w:jc w:val="both"/>
        <w:rPr>
          <w:rFonts w:ascii="Times New Roman" w:hAnsi="Times New Roman" w:cs="Times New Roman"/>
          <w:szCs w:val="24"/>
        </w:rPr>
      </w:pPr>
    </w:p>
    <w:p w14:paraId="219F8632" w14:textId="77777777" w:rsidR="00B309BD" w:rsidRDefault="00B309BD" w:rsidP="00381ABA">
      <w:pPr>
        <w:spacing w:line="360" w:lineRule="auto"/>
        <w:jc w:val="both"/>
        <w:rPr>
          <w:rFonts w:ascii="Times New Roman" w:hAnsi="Times New Roman" w:cs="Times New Roman"/>
          <w:szCs w:val="24"/>
        </w:rPr>
      </w:pPr>
      <w:r>
        <w:rPr>
          <w:rFonts w:ascii="Times New Roman" w:hAnsi="Times New Roman" w:cs="Times New Roman"/>
          <w:noProof/>
          <w:szCs w:val="24"/>
          <w:lang w:val="en-US" w:bidi="ar-SA"/>
        </w:rPr>
        <w:drawing>
          <wp:inline distT="0" distB="0" distL="0" distR="0" wp14:anchorId="0A38A131" wp14:editId="398C9132">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EBF61D" w14:textId="77777777" w:rsidR="00B309BD" w:rsidRDefault="00B309BD" w:rsidP="00B309BD">
      <w:pPr>
        <w:spacing w:line="360" w:lineRule="auto"/>
        <w:jc w:val="both"/>
        <w:rPr>
          <w:rFonts w:ascii="Times New Roman" w:hAnsi="Times New Roman" w:cs="Times New Roman"/>
          <w:szCs w:val="24"/>
        </w:rPr>
      </w:pPr>
      <w:r>
        <w:rPr>
          <w:rFonts w:ascii="Times New Roman" w:hAnsi="Times New Roman" w:cs="Times New Roman"/>
          <w:szCs w:val="24"/>
        </w:rPr>
        <w:t>Graph 3 seasonal variation of heavy metals in</w:t>
      </w:r>
      <w:r w:rsidR="00D85287">
        <w:rPr>
          <w:rFonts w:ascii="Times New Roman" w:hAnsi="Times New Roman" w:cs="Times New Roman"/>
          <w:szCs w:val="24"/>
        </w:rPr>
        <w:t xml:space="preserve"> </w:t>
      </w:r>
      <w:r w:rsidR="0074304A" w:rsidRPr="0074304A">
        <w:rPr>
          <w:rFonts w:ascii="Times New Roman" w:hAnsi="Times New Roman" w:cs="Times New Roman"/>
          <w:szCs w:val="24"/>
        </w:rPr>
        <w:t>estuarine waters</w:t>
      </w:r>
      <w:r w:rsidR="00D85287">
        <w:rPr>
          <w:rFonts w:ascii="Times New Roman" w:hAnsi="Times New Roman" w:cs="Times New Roman"/>
          <w:szCs w:val="24"/>
        </w:rPr>
        <w:t xml:space="preserve"> </w:t>
      </w:r>
      <w:r w:rsidR="0074304A">
        <w:rPr>
          <w:rFonts w:ascii="Times New Roman" w:hAnsi="Times New Roman" w:cs="Times New Roman"/>
          <w:szCs w:val="24"/>
        </w:rPr>
        <w:t>(</w:t>
      </w:r>
      <w:proofErr w:type="spellStart"/>
      <w:r>
        <w:rPr>
          <w:rFonts w:ascii="Times New Roman" w:hAnsi="Times New Roman" w:cs="Times New Roman"/>
          <w:szCs w:val="24"/>
        </w:rPr>
        <w:t>Sakhartar</w:t>
      </w:r>
      <w:proofErr w:type="spellEnd"/>
      <w:r>
        <w:rPr>
          <w:rFonts w:ascii="Times New Roman" w:hAnsi="Times New Roman" w:cs="Times New Roman"/>
          <w:szCs w:val="24"/>
        </w:rPr>
        <w:t xml:space="preserve"> Estuary</w:t>
      </w:r>
      <w:r w:rsidR="0074304A">
        <w:rPr>
          <w:rFonts w:ascii="Times New Roman" w:hAnsi="Times New Roman" w:cs="Times New Roman"/>
          <w:szCs w:val="24"/>
        </w:rPr>
        <w:t>)</w:t>
      </w:r>
      <w:r>
        <w:rPr>
          <w:rFonts w:ascii="Times New Roman" w:hAnsi="Times New Roman" w:cs="Times New Roman"/>
          <w:szCs w:val="24"/>
        </w:rPr>
        <w:t>.</w:t>
      </w:r>
    </w:p>
    <w:p w14:paraId="1A4DC174" w14:textId="77777777" w:rsidR="00E660AE" w:rsidRDefault="00E660AE" w:rsidP="00C46A31">
      <w:pPr>
        <w:spacing w:line="360" w:lineRule="auto"/>
        <w:jc w:val="both"/>
        <w:rPr>
          <w:rFonts w:ascii="Times New Roman" w:hAnsi="Times New Roman" w:cs="Times New Roman"/>
          <w:b/>
          <w:bCs/>
          <w:szCs w:val="24"/>
        </w:rPr>
      </w:pPr>
      <w:r w:rsidRPr="00EF5319">
        <w:rPr>
          <w:rFonts w:ascii="Times New Roman" w:hAnsi="Times New Roman" w:cs="Times New Roman"/>
          <w:b/>
          <w:bCs/>
          <w:szCs w:val="24"/>
        </w:rPr>
        <w:t xml:space="preserve">3.3 Heavy Metal Accumulation in Sediments </w:t>
      </w:r>
    </w:p>
    <w:p w14:paraId="34034FFD" w14:textId="77777777" w:rsidR="00FF1842" w:rsidRDefault="00187569" w:rsidP="00FF1842">
      <w:pPr>
        <w:spacing w:line="360" w:lineRule="auto"/>
        <w:jc w:val="both"/>
        <w:rPr>
          <w:rFonts w:ascii="Times New Roman" w:hAnsi="Times New Roman" w:cs="Times New Roman"/>
          <w:szCs w:val="24"/>
        </w:rPr>
      </w:pPr>
      <w:r w:rsidRPr="00FF1842">
        <w:rPr>
          <w:rFonts w:ascii="Times New Roman" w:hAnsi="Times New Roman" w:cs="Times New Roman"/>
          <w:szCs w:val="24"/>
        </w:rPr>
        <w:t xml:space="preserve">Across all measurement locations, sediment concentrations of heavy metals were consistently higher than comparable water values, demonstrating the strong affinity of trace metals for </w:t>
      </w:r>
      <w:r w:rsidRPr="00FF1842">
        <w:rPr>
          <w:rFonts w:ascii="Times New Roman" w:hAnsi="Times New Roman" w:cs="Times New Roman"/>
          <w:szCs w:val="24"/>
        </w:rPr>
        <w:br/>
        <w:t>finely grained sediments and particle substances.</w:t>
      </w:r>
      <w:r w:rsidR="00FF1842">
        <w:rPr>
          <w:rFonts w:ascii="Times New Roman" w:hAnsi="Times New Roman" w:cs="Times New Roman"/>
          <w:szCs w:val="24"/>
        </w:rPr>
        <w:t xml:space="preserve"> </w:t>
      </w:r>
      <w:r w:rsidR="00FF1842" w:rsidRPr="00FF1842">
        <w:rPr>
          <w:rFonts w:ascii="Times New Roman" w:hAnsi="Times New Roman" w:cs="Times New Roman"/>
          <w:szCs w:val="24"/>
        </w:rPr>
        <w:t xml:space="preserve">During the monsoon season, there was a </w:t>
      </w:r>
      <w:r w:rsidR="00FF1842" w:rsidRPr="00FF1842">
        <w:rPr>
          <w:rFonts w:ascii="Times New Roman" w:hAnsi="Times New Roman" w:cs="Times New Roman"/>
          <w:szCs w:val="24"/>
        </w:rPr>
        <w:lastRenderedPageBreak/>
        <w:t>noticeable seasonal enrichment that was caused by increased terrestrial runoff, sediment resuspension, and river inputs. Zn and Cr were the most prevalent metals among those examined. sediment geochemical profile, suggesting significant anthropogenic and natural contributions, while Cd and Pb represented the most ecologically significant contaminants despite having lower absolute concentrations because of their greater toxicity and possible bioavailability (Cai et al., 2023; Nascimento et al., 2024).</w:t>
      </w:r>
    </w:p>
    <w:p w14:paraId="7E20765F" w14:textId="77777777" w:rsidR="00FF1842" w:rsidRDefault="00FF1842" w:rsidP="00C46A31">
      <w:pPr>
        <w:spacing w:line="360" w:lineRule="auto"/>
        <w:jc w:val="both"/>
        <w:rPr>
          <w:rFonts w:ascii="Times New Roman" w:hAnsi="Times New Roman" w:cs="Times New Roman"/>
          <w:szCs w:val="24"/>
        </w:rPr>
      </w:pPr>
      <w:r w:rsidRPr="00FF1842">
        <w:rPr>
          <w:rFonts w:ascii="Times New Roman" w:hAnsi="Times New Roman" w:cs="Times New Roman"/>
          <w:szCs w:val="24"/>
        </w:rPr>
        <w:t xml:space="preserve">For the purpose of assessing trace metals in coastal and estuarine sediments, sediment metal concentrations are given in mg kg⁻¹ on a dry-weight basis. </w:t>
      </w:r>
      <w:r w:rsidRPr="00FF1842">
        <w:rPr>
          <w:rFonts w:ascii="Times New Roman" w:hAnsi="Times New Roman" w:cs="Times New Roman"/>
          <w:szCs w:val="24"/>
        </w:rPr>
        <w:br/>
        <w:t>This standardisation makes it possible to compare directly with regional and established guideline values. Ecological risk evaluations employ background concentrations (Hakanson, 1980; Birch &amp; Hutson, 2024). The baseline metal concentrations reported for comparatively uncontaminated sediments of the western Indian continental shelf served as the basis for the background reference values used in this study, offering a reliable and regionally applicable framework for assessing anthropogenic enrichment in the Ratnagiri estuarine system.</w:t>
      </w:r>
    </w:p>
    <w:p w14:paraId="3E6A1612" w14:textId="77777777" w:rsidR="00E660AE" w:rsidRPr="00EF5319" w:rsidRDefault="00E660AE" w:rsidP="00C46A31">
      <w:pPr>
        <w:spacing w:line="360" w:lineRule="auto"/>
        <w:jc w:val="both"/>
        <w:rPr>
          <w:rFonts w:ascii="Times New Roman" w:hAnsi="Times New Roman" w:cs="Times New Roman"/>
          <w:szCs w:val="24"/>
        </w:rPr>
      </w:pPr>
      <w:r w:rsidRPr="00EF5319">
        <w:rPr>
          <w:rFonts w:ascii="Times New Roman" w:hAnsi="Times New Roman" w:cs="Times New Roman"/>
          <w:b/>
          <w:bCs/>
          <w:szCs w:val="24"/>
        </w:rPr>
        <w:t>Table 3. Seasonal variation of heavy metals in estuarine sediments (mg kg⁻¹ dry weight)</w:t>
      </w:r>
    </w:p>
    <w:tbl>
      <w:tblPr>
        <w:tblStyle w:val="TableGrid"/>
        <w:tblW w:w="0" w:type="auto"/>
        <w:tblLook w:val="04A0" w:firstRow="1" w:lastRow="0" w:firstColumn="1" w:lastColumn="0" w:noHBand="0" w:noVBand="1"/>
      </w:tblPr>
      <w:tblGrid>
        <w:gridCol w:w="1270"/>
        <w:gridCol w:w="1123"/>
        <w:gridCol w:w="1115"/>
        <w:gridCol w:w="1115"/>
        <w:gridCol w:w="1115"/>
        <w:gridCol w:w="1115"/>
        <w:gridCol w:w="1115"/>
        <w:gridCol w:w="1115"/>
      </w:tblGrid>
      <w:tr w:rsidR="00E660AE" w:rsidRPr="00EF5319" w14:paraId="476EAB43" w14:textId="77777777" w:rsidTr="005B043E">
        <w:tc>
          <w:tcPr>
            <w:tcW w:w="1270" w:type="dxa"/>
            <w:vAlign w:val="center"/>
          </w:tcPr>
          <w:p w14:paraId="06DD7840" w14:textId="77777777" w:rsidR="00E660AE" w:rsidRPr="00EF5319" w:rsidRDefault="00E660AE" w:rsidP="00C46A31">
            <w:pPr>
              <w:spacing w:line="360" w:lineRule="auto"/>
              <w:jc w:val="both"/>
              <w:rPr>
                <w:rFonts w:ascii="Times New Roman" w:hAnsi="Times New Roman" w:cs="Times New Roman"/>
                <w:szCs w:val="24"/>
              </w:rPr>
            </w:pPr>
            <w:r w:rsidRPr="00EF5319">
              <w:rPr>
                <w:rFonts w:ascii="Times New Roman" w:hAnsi="Times New Roman" w:cs="Times New Roman"/>
                <w:b/>
                <w:bCs/>
                <w:szCs w:val="24"/>
              </w:rPr>
              <w:t>Site</w:t>
            </w:r>
          </w:p>
        </w:tc>
        <w:tc>
          <w:tcPr>
            <w:tcW w:w="1123" w:type="dxa"/>
            <w:vAlign w:val="center"/>
          </w:tcPr>
          <w:p w14:paraId="795ADC34" w14:textId="77777777" w:rsidR="00E660AE" w:rsidRPr="00EF5319" w:rsidRDefault="00E660AE" w:rsidP="00C46A31">
            <w:pPr>
              <w:spacing w:line="360" w:lineRule="auto"/>
              <w:jc w:val="both"/>
              <w:rPr>
                <w:rFonts w:ascii="Times New Roman" w:hAnsi="Times New Roman" w:cs="Times New Roman"/>
                <w:szCs w:val="24"/>
              </w:rPr>
            </w:pPr>
            <w:r w:rsidRPr="00EF5319">
              <w:rPr>
                <w:rFonts w:ascii="Times New Roman" w:hAnsi="Times New Roman" w:cs="Times New Roman"/>
                <w:b/>
                <w:bCs/>
                <w:szCs w:val="24"/>
              </w:rPr>
              <w:t>Season</w:t>
            </w:r>
          </w:p>
        </w:tc>
        <w:tc>
          <w:tcPr>
            <w:tcW w:w="1115" w:type="dxa"/>
            <w:vAlign w:val="center"/>
          </w:tcPr>
          <w:p w14:paraId="2DBEB67F" w14:textId="77777777" w:rsidR="00E660AE" w:rsidRPr="00EF5319" w:rsidRDefault="00E660AE" w:rsidP="00C46A31">
            <w:pPr>
              <w:spacing w:line="360" w:lineRule="auto"/>
              <w:jc w:val="both"/>
              <w:rPr>
                <w:rFonts w:ascii="Times New Roman" w:hAnsi="Times New Roman" w:cs="Times New Roman"/>
                <w:szCs w:val="24"/>
              </w:rPr>
            </w:pPr>
            <w:r w:rsidRPr="00EF5319">
              <w:rPr>
                <w:rFonts w:ascii="Times New Roman" w:hAnsi="Times New Roman" w:cs="Times New Roman"/>
                <w:b/>
                <w:bCs/>
                <w:szCs w:val="24"/>
              </w:rPr>
              <w:t>Cd</w:t>
            </w:r>
          </w:p>
        </w:tc>
        <w:tc>
          <w:tcPr>
            <w:tcW w:w="1115" w:type="dxa"/>
            <w:vAlign w:val="center"/>
          </w:tcPr>
          <w:p w14:paraId="086BE681" w14:textId="77777777" w:rsidR="00E660AE" w:rsidRPr="00EF5319" w:rsidRDefault="00E660AE" w:rsidP="00C46A31">
            <w:pPr>
              <w:spacing w:line="360" w:lineRule="auto"/>
              <w:jc w:val="both"/>
              <w:rPr>
                <w:rFonts w:ascii="Times New Roman" w:hAnsi="Times New Roman" w:cs="Times New Roman"/>
                <w:szCs w:val="24"/>
              </w:rPr>
            </w:pPr>
            <w:r w:rsidRPr="00EF5319">
              <w:rPr>
                <w:rFonts w:ascii="Times New Roman" w:hAnsi="Times New Roman" w:cs="Times New Roman"/>
                <w:b/>
                <w:bCs/>
                <w:szCs w:val="24"/>
              </w:rPr>
              <w:t>Cu</w:t>
            </w:r>
          </w:p>
        </w:tc>
        <w:tc>
          <w:tcPr>
            <w:tcW w:w="1115" w:type="dxa"/>
            <w:vAlign w:val="center"/>
          </w:tcPr>
          <w:p w14:paraId="2E769777" w14:textId="77777777" w:rsidR="00E660AE" w:rsidRPr="00EF5319" w:rsidRDefault="00E660AE" w:rsidP="00C46A31">
            <w:pPr>
              <w:spacing w:line="360" w:lineRule="auto"/>
              <w:jc w:val="both"/>
              <w:rPr>
                <w:rFonts w:ascii="Times New Roman" w:hAnsi="Times New Roman" w:cs="Times New Roman"/>
                <w:szCs w:val="24"/>
              </w:rPr>
            </w:pPr>
            <w:r w:rsidRPr="00EF5319">
              <w:rPr>
                <w:rFonts w:ascii="Times New Roman" w:hAnsi="Times New Roman" w:cs="Times New Roman"/>
                <w:b/>
                <w:bCs/>
                <w:szCs w:val="24"/>
              </w:rPr>
              <w:t>Zn</w:t>
            </w:r>
          </w:p>
        </w:tc>
        <w:tc>
          <w:tcPr>
            <w:tcW w:w="1115" w:type="dxa"/>
            <w:vAlign w:val="center"/>
          </w:tcPr>
          <w:p w14:paraId="169D7757" w14:textId="77777777" w:rsidR="00E660AE" w:rsidRPr="00EF5319" w:rsidRDefault="00E660AE" w:rsidP="00C46A31">
            <w:pPr>
              <w:spacing w:line="360" w:lineRule="auto"/>
              <w:jc w:val="both"/>
              <w:rPr>
                <w:rFonts w:ascii="Times New Roman" w:hAnsi="Times New Roman" w:cs="Times New Roman"/>
                <w:szCs w:val="24"/>
              </w:rPr>
            </w:pPr>
            <w:r w:rsidRPr="00EF5319">
              <w:rPr>
                <w:rFonts w:ascii="Times New Roman" w:hAnsi="Times New Roman" w:cs="Times New Roman"/>
                <w:b/>
                <w:bCs/>
                <w:szCs w:val="24"/>
              </w:rPr>
              <w:t>Cr</w:t>
            </w:r>
          </w:p>
        </w:tc>
        <w:tc>
          <w:tcPr>
            <w:tcW w:w="1115" w:type="dxa"/>
            <w:vAlign w:val="center"/>
          </w:tcPr>
          <w:p w14:paraId="31F8068B" w14:textId="77777777" w:rsidR="00E660AE" w:rsidRPr="00EF5319" w:rsidRDefault="00E660AE" w:rsidP="00C46A31">
            <w:pPr>
              <w:spacing w:line="360" w:lineRule="auto"/>
              <w:jc w:val="both"/>
              <w:rPr>
                <w:rFonts w:ascii="Times New Roman" w:hAnsi="Times New Roman" w:cs="Times New Roman"/>
                <w:b/>
                <w:bCs/>
                <w:szCs w:val="24"/>
              </w:rPr>
            </w:pPr>
            <w:r w:rsidRPr="00EF5319">
              <w:rPr>
                <w:rFonts w:ascii="Times New Roman" w:hAnsi="Times New Roman" w:cs="Times New Roman"/>
                <w:b/>
                <w:bCs/>
                <w:szCs w:val="24"/>
              </w:rPr>
              <w:t>Ni</w:t>
            </w:r>
          </w:p>
        </w:tc>
        <w:tc>
          <w:tcPr>
            <w:tcW w:w="1115" w:type="dxa"/>
            <w:vAlign w:val="center"/>
          </w:tcPr>
          <w:p w14:paraId="131FD658" w14:textId="77777777" w:rsidR="00E660AE" w:rsidRPr="00EF5319" w:rsidRDefault="00E660AE" w:rsidP="00C46A31">
            <w:pPr>
              <w:spacing w:line="360" w:lineRule="auto"/>
              <w:jc w:val="both"/>
              <w:rPr>
                <w:rFonts w:ascii="Times New Roman" w:hAnsi="Times New Roman" w:cs="Times New Roman"/>
                <w:szCs w:val="24"/>
              </w:rPr>
            </w:pPr>
            <w:r w:rsidRPr="00EF5319">
              <w:rPr>
                <w:rFonts w:ascii="Times New Roman" w:hAnsi="Times New Roman" w:cs="Times New Roman"/>
                <w:b/>
                <w:bCs/>
                <w:szCs w:val="24"/>
              </w:rPr>
              <w:t>Pb</w:t>
            </w:r>
          </w:p>
        </w:tc>
      </w:tr>
      <w:tr w:rsidR="005B043E" w:rsidRPr="00EF5319" w14:paraId="717135B6" w14:textId="77777777" w:rsidTr="005B043E">
        <w:tc>
          <w:tcPr>
            <w:tcW w:w="1270" w:type="dxa"/>
            <w:vMerge w:val="restart"/>
            <w:vAlign w:val="center"/>
          </w:tcPr>
          <w:p w14:paraId="7BACF324" w14:textId="77777777" w:rsidR="005B043E" w:rsidRPr="00EF5319" w:rsidRDefault="005B043E" w:rsidP="00C46A31">
            <w:pPr>
              <w:spacing w:line="360" w:lineRule="auto"/>
              <w:jc w:val="both"/>
              <w:rPr>
                <w:rFonts w:ascii="Times New Roman" w:hAnsi="Times New Roman" w:cs="Times New Roman"/>
                <w:szCs w:val="24"/>
              </w:rPr>
            </w:pPr>
            <w:proofErr w:type="spellStart"/>
            <w:r w:rsidRPr="00EF5319">
              <w:rPr>
                <w:rFonts w:ascii="Times New Roman" w:hAnsi="Times New Roman" w:cs="Times New Roman"/>
                <w:b/>
                <w:bCs/>
                <w:szCs w:val="24"/>
              </w:rPr>
              <w:t>Bhatye</w:t>
            </w:r>
            <w:proofErr w:type="spellEnd"/>
          </w:p>
        </w:tc>
        <w:tc>
          <w:tcPr>
            <w:tcW w:w="1123" w:type="dxa"/>
            <w:vAlign w:val="center"/>
          </w:tcPr>
          <w:p w14:paraId="34F8A90F"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Pre-monsoon</w:t>
            </w:r>
          </w:p>
        </w:tc>
        <w:tc>
          <w:tcPr>
            <w:tcW w:w="1115" w:type="dxa"/>
            <w:vAlign w:val="center"/>
          </w:tcPr>
          <w:p w14:paraId="427A7D64"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0.74</w:t>
            </w:r>
          </w:p>
        </w:tc>
        <w:tc>
          <w:tcPr>
            <w:tcW w:w="1115" w:type="dxa"/>
            <w:vAlign w:val="center"/>
          </w:tcPr>
          <w:p w14:paraId="7029301B"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0.42</w:t>
            </w:r>
          </w:p>
        </w:tc>
        <w:tc>
          <w:tcPr>
            <w:tcW w:w="1115" w:type="dxa"/>
            <w:vAlign w:val="center"/>
          </w:tcPr>
          <w:p w14:paraId="77276049"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0.65</w:t>
            </w:r>
          </w:p>
        </w:tc>
        <w:tc>
          <w:tcPr>
            <w:tcW w:w="1115" w:type="dxa"/>
            <w:vAlign w:val="center"/>
          </w:tcPr>
          <w:p w14:paraId="3CA5C0B0"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0.31</w:t>
            </w:r>
          </w:p>
        </w:tc>
        <w:tc>
          <w:tcPr>
            <w:tcW w:w="1115" w:type="dxa"/>
            <w:vAlign w:val="center"/>
          </w:tcPr>
          <w:p w14:paraId="3DDDF6A1"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0.29</w:t>
            </w:r>
          </w:p>
        </w:tc>
        <w:tc>
          <w:tcPr>
            <w:tcW w:w="1115" w:type="dxa"/>
            <w:vAlign w:val="center"/>
          </w:tcPr>
          <w:p w14:paraId="074B5E66"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0.47</w:t>
            </w:r>
          </w:p>
        </w:tc>
      </w:tr>
      <w:tr w:rsidR="005B043E" w:rsidRPr="00EF5319" w14:paraId="5AA0C4A2" w14:textId="77777777" w:rsidTr="005B043E">
        <w:tc>
          <w:tcPr>
            <w:tcW w:w="1270" w:type="dxa"/>
            <w:vMerge/>
            <w:vAlign w:val="center"/>
          </w:tcPr>
          <w:p w14:paraId="1F266BF9" w14:textId="77777777" w:rsidR="005B043E" w:rsidRPr="00EF5319" w:rsidRDefault="005B043E" w:rsidP="00C46A31">
            <w:pPr>
              <w:spacing w:line="360" w:lineRule="auto"/>
              <w:jc w:val="both"/>
              <w:rPr>
                <w:rFonts w:ascii="Times New Roman" w:hAnsi="Times New Roman" w:cs="Times New Roman"/>
                <w:szCs w:val="24"/>
              </w:rPr>
            </w:pPr>
          </w:p>
        </w:tc>
        <w:tc>
          <w:tcPr>
            <w:tcW w:w="1123" w:type="dxa"/>
            <w:vAlign w:val="center"/>
          </w:tcPr>
          <w:p w14:paraId="2008F5D1"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Monsoon</w:t>
            </w:r>
          </w:p>
        </w:tc>
        <w:tc>
          <w:tcPr>
            <w:tcW w:w="1115" w:type="dxa"/>
            <w:vAlign w:val="center"/>
          </w:tcPr>
          <w:p w14:paraId="12CB1BE9" w14:textId="77777777" w:rsidR="005B043E" w:rsidRPr="00EF5319" w:rsidRDefault="00D85287" w:rsidP="00C46A31">
            <w:pPr>
              <w:spacing w:line="360" w:lineRule="auto"/>
              <w:jc w:val="both"/>
              <w:rPr>
                <w:rFonts w:ascii="Times New Roman" w:hAnsi="Times New Roman" w:cs="Times New Roman"/>
                <w:szCs w:val="24"/>
              </w:rPr>
            </w:pPr>
            <w:r>
              <w:rPr>
                <w:rFonts w:ascii="Times New Roman" w:hAnsi="Times New Roman" w:cs="Times New Roman"/>
                <w:szCs w:val="24"/>
              </w:rPr>
              <w:t>1.02</w:t>
            </w:r>
          </w:p>
        </w:tc>
        <w:tc>
          <w:tcPr>
            <w:tcW w:w="1115" w:type="dxa"/>
            <w:vAlign w:val="center"/>
          </w:tcPr>
          <w:p w14:paraId="14FA69FA"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0.51</w:t>
            </w:r>
          </w:p>
        </w:tc>
        <w:tc>
          <w:tcPr>
            <w:tcW w:w="1115" w:type="dxa"/>
            <w:vAlign w:val="center"/>
          </w:tcPr>
          <w:p w14:paraId="65C0555D"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0.72</w:t>
            </w:r>
          </w:p>
        </w:tc>
        <w:tc>
          <w:tcPr>
            <w:tcW w:w="1115" w:type="dxa"/>
            <w:vAlign w:val="center"/>
          </w:tcPr>
          <w:p w14:paraId="1E97BDCF"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0.38</w:t>
            </w:r>
          </w:p>
        </w:tc>
        <w:tc>
          <w:tcPr>
            <w:tcW w:w="1115" w:type="dxa"/>
            <w:vAlign w:val="center"/>
          </w:tcPr>
          <w:p w14:paraId="3E596CB1"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0.41</w:t>
            </w:r>
          </w:p>
        </w:tc>
        <w:tc>
          <w:tcPr>
            <w:tcW w:w="1115" w:type="dxa"/>
            <w:vAlign w:val="center"/>
          </w:tcPr>
          <w:p w14:paraId="07AB8883"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0.56</w:t>
            </w:r>
          </w:p>
        </w:tc>
      </w:tr>
      <w:tr w:rsidR="005B043E" w:rsidRPr="00EF5319" w14:paraId="3A1249DD" w14:textId="77777777" w:rsidTr="005B043E">
        <w:tc>
          <w:tcPr>
            <w:tcW w:w="1270" w:type="dxa"/>
            <w:vMerge/>
            <w:vAlign w:val="center"/>
          </w:tcPr>
          <w:p w14:paraId="64A459C9" w14:textId="77777777" w:rsidR="005B043E" w:rsidRPr="00EF5319" w:rsidRDefault="005B043E" w:rsidP="00C46A31">
            <w:pPr>
              <w:spacing w:line="360" w:lineRule="auto"/>
              <w:jc w:val="both"/>
              <w:rPr>
                <w:rFonts w:ascii="Times New Roman" w:hAnsi="Times New Roman" w:cs="Times New Roman"/>
                <w:szCs w:val="24"/>
              </w:rPr>
            </w:pPr>
          </w:p>
        </w:tc>
        <w:tc>
          <w:tcPr>
            <w:tcW w:w="1123" w:type="dxa"/>
            <w:vAlign w:val="center"/>
          </w:tcPr>
          <w:p w14:paraId="1015532F"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Post-monsoon</w:t>
            </w:r>
          </w:p>
        </w:tc>
        <w:tc>
          <w:tcPr>
            <w:tcW w:w="1115" w:type="dxa"/>
            <w:vAlign w:val="center"/>
          </w:tcPr>
          <w:p w14:paraId="1D24D96A"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0.89</w:t>
            </w:r>
          </w:p>
        </w:tc>
        <w:tc>
          <w:tcPr>
            <w:tcW w:w="1115" w:type="dxa"/>
            <w:vAlign w:val="center"/>
          </w:tcPr>
          <w:p w14:paraId="29B578D9"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0.47</w:t>
            </w:r>
          </w:p>
        </w:tc>
        <w:tc>
          <w:tcPr>
            <w:tcW w:w="1115" w:type="dxa"/>
            <w:vAlign w:val="center"/>
          </w:tcPr>
          <w:p w14:paraId="31E9DF4B"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0.68</w:t>
            </w:r>
          </w:p>
        </w:tc>
        <w:tc>
          <w:tcPr>
            <w:tcW w:w="1115" w:type="dxa"/>
            <w:vAlign w:val="center"/>
          </w:tcPr>
          <w:p w14:paraId="74281E81"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0.34</w:t>
            </w:r>
          </w:p>
        </w:tc>
        <w:tc>
          <w:tcPr>
            <w:tcW w:w="1115" w:type="dxa"/>
            <w:vAlign w:val="center"/>
          </w:tcPr>
          <w:p w14:paraId="42272809"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0.36</w:t>
            </w:r>
          </w:p>
        </w:tc>
        <w:tc>
          <w:tcPr>
            <w:tcW w:w="1115" w:type="dxa"/>
            <w:vAlign w:val="center"/>
          </w:tcPr>
          <w:p w14:paraId="7337ADC5"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0.52</w:t>
            </w:r>
          </w:p>
        </w:tc>
      </w:tr>
      <w:tr w:rsidR="005B043E" w:rsidRPr="00EF5319" w14:paraId="6006BA3A" w14:textId="77777777" w:rsidTr="005B043E">
        <w:tc>
          <w:tcPr>
            <w:tcW w:w="1270" w:type="dxa"/>
            <w:vMerge w:val="restart"/>
            <w:vAlign w:val="center"/>
          </w:tcPr>
          <w:p w14:paraId="6AA88151" w14:textId="77777777" w:rsidR="005B043E" w:rsidRPr="00EF5319" w:rsidRDefault="005B043E" w:rsidP="00C46A31">
            <w:pPr>
              <w:spacing w:line="360" w:lineRule="auto"/>
              <w:jc w:val="both"/>
              <w:rPr>
                <w:rFonts w:ascii="Times New Roman" w:hAnsi="Times New Roman" w:cs="Times New Roman"/>
                <w:szCs w:val="24"/>
              </w:rPr>
            </w:pPr>
            <w:proofErr w:type="spellStart"/>
            <w:r w:rsidRPr="00EF5319">
              <w:rPr>
                <w:rFonts w:ascii="Times New Roman" w:hAnsi="Times New Roman" w:cs="Times New Roman"/>
                <w:b/>
                <w:bCs/>
                <w:szCs w:val="24"/>
              </w:rPr>
              <w:t>Kalbadevi</w:t>
            </w:r>
            <w:proofErr w:type="spellEnd"/>
          </w:p>
        </w:tc>
        <w:tc>
          <w:tcPr>
            <w:tcW w:w="1123" w:type="dxa"/>
            <w:vAlign w:val="center"/>
          </w:tcPr>
          <w:p w14:paraId="5D75FF0E"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Pre-monsoon</w:t>
            </w:r>
          </w:p>
        </w:tc>
        <w:tc>
          <w:tcPr>
            <w:tcW w:w="1115" w:type="dxa"/>
            <w:vAlign w:val="center"/>
          </w:tcPr>
          <w:p w14:paraId="12C694E1"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0.69</w:t>
            </w:r>
          </w:p>
        </w:tc>
        <w:tc>
          <w:tcPr>
            <w:tcW w:w="1115" w:type="dxa"/>
            <w:vAlign w:val="center"/>
          </w:tcPr>
          <w:p w14:paraId="674A3894"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0.43</w:t>
            </w:r>
          </w:p>
        </w:tc>
        <w:tc>
          <w:tcPr>
            <w:tcW w:w="1115" w:type="dxa"/>
            <w:vAlign w:val="center"/>
          </w:tcPr>
          <w:p w14:paraId="2569727D"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0.63</w:t>
            </w:r>
          </w:p>
        </w:tc>
        <w:tc>
          <w:tcPr>
            <w:tcW w:w="1115" w:type="dxa"/>
            <w:vAlign w:val="center"/>
          </w:tcPr>
          <w:p w14:paraId="5959EE64"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0.29</w:t>
            </w:r>
          </w:p>
        </w:tc>
        <w:tc>
          <w:tcPr>
            <w:tcW w:w="1115" w:type="dxa"/>
            <w:vAlign w:val="center"/>
          </w:tcPr>
          <w:p w14:paraId="6A1B4905"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0.31</w:t>
            </w:r>
          </w:p>
        </w:tc>
        <w:tc>
          <w:tcPr>
            <w:tcW w:w="1115" w:type="dxa"/>
            <w:vAlign w:val="center"/>
          </w:tcPr>
          <w:p w14:paraId="33CD24BA"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0.46</w:t>
            </w:r>
          </w:p>
        </w:tc>
      </w:tr>
      <w:tr w:rsidR="005B043E" w:rsidRPr="00EF5319" w14:paraId="7DF23F64" w14:textId="77777777" w:rsidTr="005B043E">
        <w:tc>
          <w:tcPr>
            <w:tcW w:w="1270" w:type="dxa"/>
            <w:vMerge/>
            <w:vAlign w:val="center"/>
          </w:tcPr>
          <w:p w14:paraId="7D2327EC" w14:textId="77777777" w:rsidR="005B043E" w:rsidRPr="00EF5319" w:rsidRDefault="005B043E" w:rsidP="00C46A31">
            <w:pPr>
              <w:spacing w:line="360" w:lineRule="auto"/>
              <w:jc w:val="both"/>
              <w:rPr>
                <w:rFonts w:ascii="Times New Roman" w:hAnsi="Times New Roman" w:cs="Times New Roman"/>
                <w:szCs w:val="24"/>
              </w:rPr>
            </w:pPr>
          </w:p>
        </w:tc>
        <w:tc>
          <w:tcPr>
            <w:tcW w:w="1123" w:type="dxa"/>
            <w:vAlign w:val="center"/>
          </w:tcPr>
          <w:p w14:paraId="48BF754E"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Monsoon</w:t>
            </w:r>
          </w:p>
        </w:tc>
        <w:tc>
          <w:tcPr>
            <w:tcW w:w="1115" w:type="dxa"/>
            <w:vAlign w:val="center"/>
          </w:tcPr>
          <w:p w14:paraId="740412D1"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1.05</w:t>
            </w:r>
          </w:p>
        </w:tc>
        <w:tc>
          <w:tcPr>
            <w:tcW w:w="1115" w:type="dxa"/>
            <w:vAlign w:val="center"/>
          </w:tcPr>
          <w:p w14:paraId="5B52C1D4"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0.53</w:t>
            </w:r>
          </w:p>
        </w:tc>
        <w:tc>
          <w:tcPr>
            <w:tcW w:w="1115" w:type="dxa"/>
            <w:vAlign w:val="center"/>
          </w:tcPr>
          <w:p w14:paraId="10E2BD0F"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0.74</w:t>
            </w:r>
          </w:p>
        </w:tc>
        <w:tc>
          <w:tcPr>
            <w:tcW w:w="1115" w:type="dxa"/>
            <w:vAlign w:val="center"/>
          </w:tcPr>
          <w:p w14:paraId="657B9029"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0.36</w:t>
            </w:r>
          </w:p>
        </w:tc>
        <w:tc>
          <w:tcPr>
            <w:tcW w:w="1115" w:type="dxa"/>
            <w:vAlign w:val="center"/>
          </w:tcPr>
          <w:p w14:paraId="50565913"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0.44</w:t>
            </w:r>
          </w:p>
        </w:tc>
        <w:tc>
          <w:tcPr>
            <w:tcW w:w="1115" w:type="dxa"/>
            <w:vAlign w:val="center"/>
          </w:tcPr>
          <w:p w14:paraId="1BA40220"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0.58</w:t>
            </w:r>
          </w:p>
        </w:tc>
      </w:tr>
      <w:tr w:rsidR="005B043E" w:rsidRPr="00EF5319" w14:paraId="6B281826" w14:textId="77777777" w:rsidTr="005B043E">
        <w:tc>
          <w:tcPr>
            <w:tcW w:w="1270" w:type="dxa"/>
            <w:vMerge/>
            <w:vAlign w:val="center"/>
          </w:tcPr>
          <w:p w14:paraId="5176E141" w14:textId="77777777" w:rsidR="005B043E" w:rsidRPr="00EF5319" w:rsidRDefault="005B043E" w:rsidP="00C46A31">
            <w:pPr>
              <w:spacing w:line="360" w:lineRule="auto"/>
              <w:jc w:val="both"/>
              <w:rPr>
                <w:rFonts w:ascii="Times New Roman" w:hAnsi="Times New Roman" w:cs="Times New Roman"/>
                <w:szCs w:val="24"/>
              </w:rPr>
            </w:pPr>
          </w:p>
        </w:tc>
        <w:tc>
          <w:tcPr>
            <w:tcW w:w="1123" w:type="dxa"/>
            <w:vAlign w:val="center"/>
          </w:tcPr>
          <w:p w14:paraId="58AC5341"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Post-monsoon</w:t>
            </w:r>
          </w:p>
        </w:tc>
        <w:tc>
          <w:tcPr>
            <w:tcW w:w="1115" w:type="dxa"/>
            <w:vAlign w:val="center"/>
          </w:tcPr>
          <w:p w14:paraId="6602B9E1"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0.91</w:t>
            </w:r>
          </w:p>
        </w:tc>
        <w:tc>
          <w:tcPr>
            <w:tcW w:w="1115" w:type="dxa"/>
            <w:vAlign w:val="center"/>
          </w:tcPr>
          <w:p w14:paraId="11A1E1B4"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0.48</w:t>
            </w:r>
          </w:p>
        </w:tc>
        <w:tc>
          <w:tcPr>
            <w:tcW w:w="1115" w:type="dxa"/>
            <w:vAlign w:val="center"/>
          </w:tcPr>
          <w:p w14:paraId="0A5C7EA0"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0.69</w:t>
            </w:r>
          </w:p>
        </w:tc>
        <w:tc>
          <w:tcPr>
            <w:tcW w:w="1115" w:type="dxa"/>
            <w:vAlign w:val="center"/>
          </w:tcPr>
          <w:p w14:paraId="19727780"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0.33</w:t>
            </w:r>
          </w:p>
        </w:tc>
        <w:tc>
          <w:tcPr>
            <w:tcW w:w="1115" w:type="dxa"/>
            <w:vAlign w:val="center"/>
          </w:tcPr>
          <w:p w14:paraId="575F25E4"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0.38</w:t>
            </w:r>
          </w:p>
        </w:tc>
        <w:tc>
          <w:tcPr>
            <w:tcW w:w="1115" w:type="dxa"/>
            <w:vAlign w:val="center"/>
          </w:tcPr>
          <w:p w14:paraId="783D8519"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0.54</w:t>
            </w:r>
          </w:p>
        </w:tc>
      </w:tr>
      <w:tr w:rsidR="005B043E" w:rsidRPr="00EF5319" w14:paraId="7DC99A0D" w14:textId="77777777" w:rsidTr="005B043E">
        <w:tc>
          <w:tcPr>
            <w:tcW w:w="1270" w:type="dxa"/>
            <w:vMerge w:val="restart"/>
            <w:vAlign w:val="center"/>
          </w:tcPr>
          <w:p w14:paraId="7C33649C" w14:textId="77777777" w:rsidR="005B043E" w:rsidRPr="00EF5319" w:rsidRDefault="005B043E" w:rsidP="00C46A31">
            <w:pPr>
              <w:spacing w:line="360" w:lineRule="auto"/>
              <w:jc w:val="both"/>
              <w:rPr>
                <w:rFonts w:ascii="Times New Roman" w:hAnsi="Times New Roman" w:cs="Times New Roman"/>
                <w:szCs w:val="24"/>
              </w:rPr>
            </w:pPr>
            <w:proofErr w:type="spellStart"/>
            <w:r w:rsidRPr="00EF5319">
              <w:rPr>
                <w:rFonts w:ascii="Times New Roman" w:hAnsi="Times New Roman" w:cs="Times New Roman"/>
                <w:b/>
                <w:bCs/>
                <w:szCs w:val="24"/>
              </w:rPr>
              <w:t>Sakhartar</w:t>
            </w:r>
            <w:proofErr w:type="spellEnd"/>
          </w:p>
        </w:tc>
        <w:tc>
          <w:tcPr>
            <w:tcW w:w="1123" w:type="dxa"/>
            <w:vAlign w:val="center"/>
          </w:tcPr>
          <w:p w14:paraId="5AA7A9C9"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Pre-monsoon</w:t>
            </w:r>
          </w:p>
        </w:tc>
        <w:tc>
          <w:tcPr>
            <w:tcW w:w="1115" w:type="dxa"/>
            <w:vAlign w:val="center"/>
          </w:tcPr>
          <w:p w14:paraId="6D295A42"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0.71</w:t>
            </w:r>
          </w:p>
        </w:tc>
        <w:tc>
          <w:tcPr>
            <w:tcW w:w="1115" w:type="dxa"/>
            <w:vAlign w:val="center"/>
          </w:tcPr>
          <w:p w14:paraId="667898CD"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0.44</w:t>
            </w:r>
          </w:p>
        </w:tc>
        <w:tc>
          <w:tcPr>
            <w:tcW w:w="1115" w:type="dxa"/>
            <w:vAlign w:val="center"/>
          </w:tcPr>
          <w:p w14:paraId="3B8AD002"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0.64</w:t>
            </w:r>
          </w:p>
        </w:tc>
        <w:tc>
          <w:tcPr>
            <w:tcW w:w="1115" w:type="dxa"/>
            <w:vAlign w:val="center"/>
          </w:tcPr>
          <w:p w14:paraId="575AA6E8"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0.30</w:t>
            </w:r>
          </w:p>
        </w:tc>
        <w:tc>
          <w:tcPr>
            <w:tcW w:w="1115" w:type="dxa"/>
            <w:vAlign w:val="center"/>
          </w:tcPr>
          <w:p w14:paraId="4BC1E560"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0.32</w:t>
            </w:r>
          </w:p>
        </w:tc>
        <w:tc>
          <w:tcPr>
            <w:tcW w:w="1115" w:type="dxa"/>
            <w:vAlign w:val="center"/>
          </w:tcPr>
          <w:p w14:paraId="68897E92"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0.45</w:t>
            </w:r>
          </w:p>
        </w:tc>
      </w:tr>
      <w:tr w:rsidR="005B043E" w:rsidRPr="00EF5319" w14:paraId="300E9420" w14:textId="77777777" w:rsidTr="005B043E">
        <w:tc>
          <w:tcPr>
            <w:tcW w:w="1270" w:type="dxa"/>
            <w:vMerge/>
            <w:vAlign w:val="center"/>
          </w:tcPr>
          <w:p w14:paraId="3A27DDF5" w14:textId="77777777" w:rsidR="005B043E" w:rsidRPr="00EF5319" w:rsidRDefault="005B043E" w:rsidP="00C46A31">
            <w:pPr>
              <w:spacing w:line="360" w:lineRule="auto"/>
              <w:jc w:val="both"/>
              <w:rPr>
                <w:rFonts w:ascii="Times New Roman" w:hAnsi="Times New Roman" w:cs="Times New Roman"/>
                <w:szCs w:val="24"/>
              </w:rPr>
            </w:pPr>
          </w:p>
        </w:tc>
        <w:tc>
          <w:tcPr>
            <w:tcW w:w="1123" w:type="dxa"/>
            <w:vAlign w:val="center"/>
          </w:tcPr>
          <w:p w14:paraId="267AD5F3"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Monsoon</w:t>
            </w:r>
          </w:p>
        </w:tc>
        <w:tc>
          <w:tcPr>
            <w:tcW w:w="1115" w:type="dxa"/>
            <w:vAlign w:val="center"/>
          </w:tcPr>
          <w:p w14:paraId="516E8BDD"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1.08</w:t>
            </w:r>
          </w:p>
        </w:tc>
        <w:tc>
          <w:tcPr>
            <w:tcW w:w="1115" w:type="dxa"/>
            <w:vAlign w:val="center"/>
          </w:tcPr>
          <w:p w14:paraId="18F88D28"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0.55</w:t>
            </w:r>
          </w:p>
        </w:tc>
        <w:tc>
          <w:tcPr>
            <w:tcW w:w="1115" w:type="dxa"/>
            <w:vAlign w:val="center"/>
          </w:tcPr>
          <w:p w14:paraId="124BF247"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0.75</w:t>
            </w:r>
          </w:p>
        </w:tc>
        <w:tc>
          <w:tcPr>
            <w:tcW w:w="1115" w:type="dxa"/>
            <w:vAlign w:val="center"/>
          </w:tcPr>
          <w:p w14:paraId="069A50DC"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0.37</w:t>
            </w:r>
          </w:p>
        </w:tc>
        <w:tc>
          <w:tcPr>
            <w:tcW w:w="1115" w:type="dxa"/>
            <w:vAlign w:val="center"/>
          </w:tcPr>
          <w:p w14:paraId="691CAAD6"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0.46</w:t>
            </w:r>
          </w:p>
        </w:tc>
        <w:tc>
          <w:tcPr>
            <w:tcW w:w="1115" w:type="dxa"/>
            <w:vAlign w:val="center"/>
          </w:tcPr>
          <w:p w14:paraId="0BD2C650"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0.59</w:t>
            </w:r>
          </w:p>
        </w:tc>
      </w:tr>
      <w:tr w:rsidR="005B043E" w:rsidRPr="00C46A31" w14:paraId="14DFEAF6" w14:textId="77777777" w:rsidTr="005B043E">
        <w:tc>
          <w:tcPr>
            <w:tcW w:w="1270" w:type="dxa"/>
            <w:vMerge/>
            <w:vAlign w:val="center"/>
          </w:tcPr>
          <w:p w14:paraId="3A5557C8" w14:textId="77777777" w:rsidR="005B043E" w:rsidRPr="00EF5319" w:rsidRDefault="005B043E" w:rsidP="00C46A31">
            <w:pPr>
              <w:spacing w:line="360" w:lineRule="auto"/>
              <w:jc w:val="both"/>
              <w:rPr>
                <w:rFonts w:ascii="Times New Roman" w:hAnsi="Times New Roman" w:cs="Times New Roman"/>
                <w:szCs w:val="24"/>
              </w:rPr>
            </w:pPr>
          </w:p>
        </w:tc>
        <w:tc>
          <w:tcPr>
            <w:tcW w:w="1123" w:type="dxa"/>
            <w:vAlign w:val="center"/>
          </w:tcPr>
          <w:p w14:paraId="77156A6C"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Post-monsoon</w:t>
            </w:r>
          </w:p>
        </w:tc>
        <w:tc>
          <w:tcPr>
            <w:tcW w:w="1115" w:type="dxa"/>
            <w:vAlign w:val="center"/>
          </w:tcPr>
          <w:p w14:paraId="0BA0981D"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0.93</w:t>
            </w:r>
          </w:p>
        </w:tc>
        <w:tc>
          <w:tcPr>
            <w:tcW w:w="1115" w:type="dxa"/>
            <w:vAlign w:val="center"/>
          </w:tcPr>
          <w:p w14:paraId="2AF85326"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0.49</w:t>
            </w:r>
          </w:p>
        </w:tc>
        <w:tc>
          <w:tcPr>
            <w:tcW w:w="1115" w:type="dxa"/>
            <w:vAlign w:val="center"/>
          </w:tcPr>
          <w:p w14:paraId="139A9EA4"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0.70</w:t>
            </w:r>
          </w:p>
        </w:tc>
        <w:tc>
          <w:tcPr>
            <w:tcW w:w="1115" w:type="dxa"/>
            <w:vAlign w:val="center"/>
          </w:tcPr>
          <w:p w14:paraId="2DC4B825"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0.35</w:t>
            </w:r>
          </w:p>
        </w:tc>
        <w:tc>
          <w:tcPr>
            <w:tcW w:w="1115" w:type="dxa"/>
            <w:vAlign w:val="center"/>
          </w:tcPr>
          <w:p w14:paraId="6ED9309D" w14:textId="77777777" w:rsidR="005B043E" w:rsidRPr="00EF5319"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0.40</w:t>
            </w:r>
          </w:p>
        </w:tc>
        <w:tc>
          <w:tcPr>
            <w:tcW w:w="1115" w:type="dxa"/>
            <w:vAlign w:val="center"/>
          </w:tcPr>
          <w:p w14:paraId="1D2AFAB0" w14:textId="77777777" w:rsidR="005B043E" w:rsidRPr="00C46A31" w:rsidRDefault="005B043E" w:rsidP="00C46A31">
            <w:pPr>
              <w:spacing w:line="360" w:lineRule="auto"/>
              <w:jc w:val="both"/>
              <w:rPr>
                <w:rFonts w:ascii="Times New Roman" w:hAnsi="Times New Roman" w:cs="Times New Roman"/>
                <w:szCs w:val="24"/>
              </w:rPr>
            </w:pPr>
            <w:r w:rsidRPr="00EF5319">
              <w:rPr>
                <w:rFonts w:ascii="Times New Roman" w:hAnsi="Times New Roman" w:cs="Times New Roman"/>
                <w:szCs w:val="24"/>
              </w:rPr>
              <w:t>0.55</w:t>
            </w:r>
          </w:p>
        </w:tc>
      </w:tr>
    </w:tbl>
    <w:p w14:paraId="6D459B9B" w14:textId="77777777" w:rsidR="00E660AE" w:rsidRDefault="000317A4" w:rsidP="000317A4">
      <w:pPr>
        <w:tabs>
          <w:tab w:val="left" w:pos="2550"/>
        </w:tabs>
        <w:spacing w:line="360" w:lineRule="auto"/>
        <w:jc w:val="both"/>
        <w:rPr>
          <w:rFonts w:ascii="Times New Roman" w:hAnsi="Times New Roman" w:cs="Times New Roman"/>
          <w:szCs w:val="24"/>
        </w:rPr>
      </w:pPr>
      <w:r>
        <w:rPr>
          <w:rFonts w:ascii="Times New Roman" w:hAnsi="Times New Roman" w:cs="Times New Roman"/>
          <w:szCs w:val="24"/>
        </w:rPr>
        <w:tab/>
      </w:r>
    </w:p>
    <w:p w14:paraId="226F8B03" w14:textId="77777777" w:rsidR="00EA5FB8" w:rsidRDefault="00EA5FB8" w:rsidP="000317A4">
      <w:pPr>
        <w:tabs>
          <w:tab w:val="left" w:pos="2550"/>
        </w:tabs>
        <w:spacing w:line="360" w:lineRule="auto"/>
        <w:jc w:val="both"/>
        <w:rPr>
          <w:rFonts w:ascii="Times New Roman" w:hAnsi="Times New Roman" w:cs="Times New Roman"/>
          <w:szCs w:val="24"/>
        </w:rPr>
      </w:pPr>
      <w:r>
        <w:rPr>
          <w:rFonts w:ascii="Times New Roman" w:hAnsi="Times New Roman" w:cs="Times New Roman"/>
          <w:noProof/>
          <w:szCs w:val="24"/>
          <w:lang w:val="en-US" w:bidi="ar-SA"/>
        </w:rPr>
        <w:lastRenderedPageBreak/>
        <w:drawing>
          <wp:inline distT="0" distB="0" distL="0" distR="0" wp14:anchorId="210F78A5" wp14:editId="69940CFC">
            <wp:extent cx="5486400" cy="3200400"/>
            <wp:effectExtent l="0" t="0" r="0" b="0"/>
            <wp:docPr id="2061537907" name="Chart 20615379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34B5C0" w14:textId="08317492" w:rsidR="00BB641B" w:rsidRDefault="00BB641B" w:rsidP="000317A4">
      <w:pPr>
        <w:tabs>
          <w:tab w:val="left" w:pos="2550"/>
        </w:tabs>
        <w:spacing w:line="360" w:lineRule="auto"/>
        <w:jc w:val="both"/>
        <w:rPr>
          <w:rFonts w:ascii="Times New Roman" w:hAnsi="Times New Roman" w:cs="Times New Roman"/>
          <w:szCs w:val="24"/>
        </w:rPr>
      </w:pPr>
      <w:r>
        <w:rPr>
          <w:rFonts w:ascii="Times New Roman" w:hAnsi="Times New Roman" w:cs="Times New Roman"/>
          <w:szCs w:val="24"/>
        </w:rPr>
        <w:t xml:space="preserve">Graph </w:t>
      </w:r>
      <w:r w:rsidR="00382DC1">
        <w:rPr>
          <w:rFonts w:ascii="Times New Roman" w:hAnsi="Times New Roman" w:cs="Times New Roman"/>
          <w:szCs w:val="24"/>
        </w:rPr>
        <w:t>4</w:t>
      </w:r>
      <w:r>
        <w:rPr>
          <w:rFonts w:ascii="Times New Roman" w:hAnsi="Times New Roman" w:cs="Times New Roman"/>
          <w:szCs w:val="24"/>
        </w:rPr>
        <w:t xml:space="preserve"> </w:t>
      </w:r>
      <w:r w:rsidRPr="00BB641B">
        <w:rPr>
          <w:rFonts w:ascii="Times New Roman" w:hAnsi="Times New Roman" w:cs="Times New Roman"/>
          <w:szCs w:val="24"/>
        </w:rPr>
        <w:t>Seasonal variation of heavy metals in estuarine sediments</w:t>
      </w:r>
      <w:r w:rsidR="0074304A">
        <w:rPr>
          <w:rFonts w:ascii="Times New Roman" w:hAnsi="Times New Roman" w:cs="Times New Roman"/>
          <w:szCs w:val="24"/>
        </w:rPr>
        <w:t xml:space="preserve"> (</w:t>
      </w:r>
      <w:proofErr w:type="spellStart"/>
      <w:r w:rsidR="0074304A">
        <w:rPr>
          <w:rFonts w:ascii="Times New Roman" w:hAnsi="Times New Roman" w:cs="Times New Roman"/>
          <w:szCs w:val="24"/>
        </w:rPr>
        <w:t>Bhatye</w:t>
      </w:r>
      <w:proofErr w:type="spellEnd"/>
      <w:r w:rsidR="001C5F02">
        <w:rPr>
          <w:rFonts w:ascii="Times New Roman" w:hAnsi="Times New Roman" w:cs="Times New Roman"/>
          <w:szCs w:val="24"/>
        </w:rPr>
        <w:t xml:space="preserve"> </w:t>
      </w:r>
      <w:proofErr w:type="spellStart"/>
      <w:r w:rsidR="0074304A">
        <w:rPr>
          <w:rFonts w:ascii="Times New Roman" w:hAnsi="Times New Roman" w:cs="Times New Roman"/>
          <w:szCs w:val="24"/>
        </w:rPr>
        <w:t>Estury</w:t>
      </w:r>
      <w:proofErr w:type="spellEnd"/>
      <w:r w:rsidR="0074304A">
        <w:rPr>
          <w:rFonts w:ascii="Times New Roman" w:hAnsi="Times New Roman" w:cs="Times New Roman"/>
          <w:szCs w:val="24"/>
        </w:rPr>
        <w:t>)</w:t>
      </w:r>
    </w:p>
    <w:p w14:paraId="7D2D6169" w14:textId="77777777" w:rsidR="00EC0180" w:rsidRDefault="00EC0180" w:rsidP="000317A4">
      <w:pPr>
        <w:tabs>
          <w:tab w:val="left" w:pos="2550"/>
        </w:tabs>
        <w:spacing w:line="360" w:lineRule="auto"/>
        <w:jc w:val="both"/>
        <w:rPr>
          <w:rFonts w:ascii="Times New Roman" w:hAnsi="Times New Roman" w:cs="Times New Roman"/>
          <w:szCs w:val="24"/>
        </w:rPr>
      </w:pPr>
      <w:r>
        <w:rPr>
          <w:rFonts w:ascii="Times New Roman" w:hAnsi="Times New Roman" w:cs="Times New Roman"/>
          <w:noProof/>
          <w:szCs w:val="24"/>
          <w:lang w:val="en-US" w:bidi="ar-SA"/>
        </w:rPr>
        <w:drawing>
          <wp:inline distT="0" distB="0" distL="0" distR="0" wp14:anchorId="60AAEE13" wp14:editId="187C309D">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FEF11B" w14:textId="17038769" w:rsidR="00AA3D54" w:rsidRDefault="00AA3D54" w:rsidP="00AA3D54">
      <w:pPr>
        <w:tabs>
          <w:tab w:val="left" w:pos="2550"/>
        </w:tabs>
        <w:spacing w:line="360" w:lineRule="auto"/>
        <w:jc w:val="both"/>
        <w:rPr>
          <w:rFonts w:ascii="Times New Roman" w:hAnsi="Times New Roman" w:cs="Times New Roman"/>
          <w:szCs w:val="24"/>
        </w:rPr>
      </w:pPr>
      <w:r>
        <w:rPr>
          <w:rFonts w:ascii="Times New Roman" w:hAnsi="Times New Roman" w:cs="Times New Roman"/>
          <w:szCs w:val="24"/>
        </w:rPr>
        <w:t xml:space="preserve">Graph </w:t>
      </w:r>
      <w:r w:rsidR="00382DC1">
        <w:rPr>
          <w:rFonts w:ascii="Times New Roman" w:hAnsi="Times New Roman" w:cs="Times New Roman"/>
          <w:szCs w:val="24"/>
        </w:rPr>
        <w:t>5</w:t>
      </w:r>
      <w:r w:rsidR="001C5F02">
        <w:rPr>
          <w:rFonts w:ascii="Times New Roman" w:hAnsi="Times New Roman" w:cs="Times New Roman"/>
          <w:szCs w:val="24"/>
        </w:rPr>
        <w:t xml:space="preserve"> </w:t>
      </w:r>
      <w:r w:rsidRPr="00BB641B">
        <w:rPr>
          <w:rFonts w:ascii="Times New Roman" w:hAnsi="Times New Roman" w:cs="Times New Roman"/>
          <w:szCs w:val="24"/>
        </w:rPr>
        <w:t>Seasonal variation of heavy metals in estuarine sediments</w:t>
      </w:r>
      <w:r w:rsidR="0074304A">
        <w:rPr>
          <w:rFonts w:ascii="Times New Roman" w:hAnsi="Times New Roman" w:cs="Times New Roman"/>
          <w:szCs w:val="24"/>
        </w:rPr>
        <w:t xml:space="preserve"> (</w:t>
      </w:r>
      <w:proofErr w:type="spellStart"/>
      <w:r w:rsidR="0074304A">
        <w:rPr>
          <w:rFonts w:ascii="Times New Roman" w:hAnsi="Times New Roman" w:cs="Times New Roman"/>
          <w:szCs w:val="24"/>
        </w:rPr>
        <w:t>Kalbadevi</w:t>
      </w:r>
      <w:proofErr w:type="spellEnd"/>
      <w:r w:rsidR="0074304A">
        <w:rPr>
          <w:rFonts w:ascii="Times New Roman" w:hAnsi="Times New Roman" w:cs="Times New Roman"/>
          <w:szCs w:val="24"/>
        </w:rPr>
        <w:t xml:space="preserve"> Estuary)</w:t>
      </w:r>
    </w:p>
    <w:p w14:paraId="5F746B4E" w14:textId="77777777" w:rsidR="00EA5FB8" w:rsidRDefault="00EA5FB8" w:rsidP="000317A4">
      <w:pPr>
        <w:tabs>
          <w:tab w:val="left" w:pos="2550"/>
        </w:tabs>
        <w:spacing w:line="360" w:lineRule="auto"/>
        <w:jc w:val="both"/>
        <w:rPr>
          <w:rFonts w:ascii="Times New Roman" w:hAnsi="Times New Roman" w:cs="Times New Roman"/>
          <w:szCs w:val="24"/>
        </w:rPr>
      </w:pPr>
      <w:r>
        <w:rPr>
          <w:rFonts w:ascii="Times New Roman" w:hAnsi="Times New Roman" w:cs="Times New Roman"/>
          <w:noProof/>
          <w:szCs w:val="24"/>
          <w:lang w:val="en-US" w:bidi="ar-SA"/>
        </w:rPr>
        <w:lastRenderedPageBreak/>
        <w:drawing>
          <wp:inline distT="0" distB="0" distL="0" distR="0" wp14:anchorId="02F477B2" wp14:editId="77A095F7">
            <wp:extent cx="5486400" cy="3200400"/>
            <wp:effectExtent l="0" t="0" r="0" b="0"/>
            <wp:docPr id="557109436" name="Chart 5571094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4568A7" w14:textId="15489612" w:rsidR="00AA3D54" w:rsidRPr="00C46A31" w:rsidRDefault="00E62478" w:rsidP="000317A4">
      <w:pPr>
        <w:tabs>
          <w:tab w:val="left" w:pos="2550"/>
        </w:tabs>
        <w:spacing w:line="360" w:lineRule="auto"/>
        <w:jc w:val="both"/>
        <w:rPr>
          <w:rFonts w:ascii="Times New Roman" w:hAnsi="Times New Roman" w:cs="Times New Roman"/>
          <w:szCs w:val="24"/>
        </w:rPr>
      </w:pPr>
      <w:r>
        <w:rPr>
          <w:rFonts w:ascii="Times New Roman" w:hAnsi="Times New Roman" w:cs="Times New Roman"/>
          <w:szCs w:val="24"/>
        </w:rPr>
        <w:t xml:space="preserve">Graph </w:t>
      </w:r>
      <w:r w:rsidR="00382DC1">
        <w:rPr>
          <w:rFonts w:ascii="Times New Roman" w:hAnsi="Times New Roman" w:cs="Times New Roman"/>
          <w:szCs w:val="24"/>
        </w:rPr>
        <w:t>6</w:t>
      </w:r>
      <w:r w:rsidR="00AE2D9E">
        <w:rPr>
          <w:rFonts w:ascii="Times New Roman" w:hAnsi="Times New Roman" w:cs="Times New Roman"/>
          <w:szCs w:val="24"/>
        </w:rPr>
        <w:t xml:space="preserve"> </w:t>
      </w:r>
      <w:r w:rsidRPr="00BB641B">
        <w:rPr>
          <w:rFonts w:ascii="Times New Roman" w:hAnsi="Times New Roman" w:cs="Times New Roman"/>
          <w:szCs w:val="24"/>
        </w:rPr>
        <w:t>Seasonal variation of heavy metals in estuarine sediments</w:t>
      </w:r>
      <w:r w:rsidR="0074304A">
        <w:rPr>
          <w:rFonts w:ascii="Times New Roman" w:hAnsi="Times New Roman" w:cs="Times New Roman"/>
          <w:szCs w:val="24"/>
        </w:rPr>
        <w:t xml:space="preserve"> (</w:t>
      </w:r>
      <w:proofErr w:type="spellStart"/>
      <w:r w:rsidR="0074304A">
        <w:rPr>
          <w:rFonts w:ascii="Times New Roman" w:hAnsi="Times New Roman" w:cs="Times New Roman"/>
          <w:szCs w:val="24"/>
        </w:rPr>
        <w:t>Sakhartar</w:t>
      </w:r>
      <w:proofErr w:type="spellEnd"/>
      <w:r w:rsidR="0074304A">
        <w:rPr>
          <w:rFonts w:ascii="Times New Roman" w:hAnsi="Times New Roman" w:cs="Times New Roman"/>
          <w:szCs w:val="24"/>
        </w:rPr>
        <w:t xml:space="preserve"> Estuary)</w:t>
      </w:r>
    </w:p>
    <w:p w14:paraId="51CC95ED" w14:textId="77777777" w:rsidR="000F76ED" w:rsidRPr="00C46A31" w:rsidRDefault="000F76ED"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 xml:space="preserve">3.4 </w:t>
      </w:r>
      <w:r w:rsidR="006A65F8" w:rsidRPr="00C46A31">
        <w:rPr>
          <w:rFonts w:ascii="Times New Roman" w:hAnsi="Times New Roman" w:cs="Times New Roman"/>
          <w:b/>
          <w:bCs/>
          <w:szCs w:val="24"/>
        </w:rPr>
        <w:t>Correlation Between Hydrographical Parameters and Heavy Metals</w:t>
      </w:r>
    </w:p>
    <w:p w14:paraId="30A074F9" w14:textId="77777777" w:rsidR="00FF1842" w:rsidRDefault="00FF1842" w:rsidP="00FF1842">
      <w:pPr>
        <w:spacing w:line="360" w:lineRule="auto"/>
        <w:jc w:val="both"/>
        <w:rPr>
          <w:rFonts w:ascii="Times New Roman" w:hAnsi="Times New Roman" w:cs="Times New Roman"/>
          <w:szCs w:val="24"/>
        </w:rPr>
      </w:pPr>
      <w:r w:rsidRPr="00FF1842">
        <w:rPr>
          <w:rFonts w:ascii="Times New Roman" w:hAnsi="Times New Roman" w:cs="Times New Roman"/>
          <w:szCs w:val="24"/>
        </w:rPr>
        <w:t>According to a correlation analysis, hydrographical features mostly govern the mobility and distribution of heavy metals in the estuary waters along the Ratnagiri coast.</w:t>
      </w:r>
      <w:r w:rsidR="007833B1" w:rsidRPr="00C46A31">
        <w:rPr>
          <w:rFonts w:ascii="Times New Roman" w:hAnsi="Times New Roman" w:cs="Times New Roman"/>
          <w:szCs w:val="24"/>
        </w:rPr>
        <w:t xml:space="preserve"> </w:t>
      </w:r>
      <w:r w:rsidR="00C341B8" w:rsidRPr="00C341B8">
        <w:rPr>
          <w:rFonts w:ascii="Times New Roman" w:hAnsi="Times New Roman" w:cs="Times New Roman"/>
          <w:szCs w:val="24"/>
        </w:rPr>
        <w:t xml:space="preserve">The concentrations of Cd, Cu, Zn, Cr, Ni and Pb showed positive connections with turbidity and dissolved oxygen but severe negative correlations with salinity and </w:t>
      </w:r>
      <w:proofErr w:type="spellStart"/>
      <w:r w:rsidR="00C341B8" w:rsidRPr="00C341B8">
        <w:rPr>
          <w:rFonts w:ascii="Times New Roman" w:hAnsi="Times New Roman" w:cs="Times New Roman"/>
          <w:szCs w:val="24"/>
        </w:rPr>
        <w:t>pH</w:t>
      </w:r>
      <w:r w:rsidR="007833B1" w:rsidRPr="00C46A31">
        <w:rPr>
          <w:rFonts w:ascii="Times New Roman" w:hAnsi="Times New Roman" w:cs="Times New Roman"/>
          <w:szCs w:val="24"/>
        </w:rPr>
        <w:t>.</w:t>
      </w:r>
      <w:proofErr w:type="spellEnd"/>
      <w:r w:rsidR="007833B1" w:rsidRPr="00C46A31">
        <w:rPr>
          <w:rFonts w:ascii="Times New Roman" w:hAnsi="Times New Roman" w:cs="Times New Roman"/>
          <w:szCs w:val="24"/>
        </w:rPr>
        <w:t xml:space="preserve"> </w:t>
      </w:r>
      <w:r w:rsidRPr="00FF1842">
        <w:rPr>
          <w:rFonts w:ascii="Times New Roman" w:hAnsi="Times New Roman" w:cs="Times New Roman"/>
          <w:szCs w:val="24"/>
        </w:rPr>
        <w:t xml:space="preserve">In monsoon-dominated estuarine habitats, these results show that seasonal hydrographical gradients control metal speciation, partitioning and bioavailability (Chakraborty et al., 2024; Varol &amp; Sen, 2024). </w:t>
      </w:r>
    </w:p>
    <w:p w14:paraId="16B44010" w14:textId="77777777" w:rsidR="007833B1" w:rsidRPr="00C46A31" w:rsidRDefault="00FF1842" w:rsidP="00FF1842">
      <w:pPr>
        <w:spacing w:line="360" w:lineRule="auto"/>
        <w:jc w:val="both"/>
        <w:rPr>
          <w:rFonts w:ascii="Times New Roman" w:hAnsi="Times New Roman" w:cs="Times New Roman"/>
          <w:szCs w:val="24"/>
        </w:rPr>
      </w:pPr>
      <w:r w:rsidRPr="00FF1842">
        <w:rPr>
          <w:rFonts w:ascii="Times New Roman" w:hAnsi="Times New Roman" w:cs="Times New Roman"/>
          <w:szCs w:val="24"/>
        </w:rPr>
        <w:t>Desorption of metals from suspended particulates and sediments into the dissolved phase is facilitated by both dilution effects and changes in ionic strength during monsoonal freshwater influx, which are reflected in the inverse relationship between salinity and metal concentrations (Riba et al., 2004; Zeng et al., 2024). Similar to this, lower pH levels improve metal solubility and bioavailability by weakening metal–carbonate and metal</w:t>
      </w:r>
      <w:r w:rsidR="00F25ECF">
        <w:rPr>
          <w:rFonts w:ascii="Times New Roman" w:hAnsi="Times New Roman" w:cs="Times New Roman"/>
          <w:szCs w:val="24"/>
        </w:rPr>
        <w:t>-</w:t>
      </w:r>
      <w:r w:rsidRPr="00FF1842">
        <w:rPr>
          <w:rFonts w:ascii="Times New Roman" w:hAnsi="Times New Roman" w:cs="Times New Roman"/>
          <w:szCs w:val="24"/>
        </w:rPr>
        <w:t>oxide bindings (Atkinson et al., 2007; Zhao et al., 2024).</w:t>
      </w:r>
    </w:p>
    <w:p w14:paraId="1C0A63DB" w14:textId="77777777" w:rsidR="00FF1842" w:rsidRPr="00FF1842" w:rsidRDefault="00FF1842" w:rsidP="00FF1842">
      <w:pPr>
        <w:spacing w:line="360" w:lineRule="auto"/>
        <w:jc w:val="both"/>
        <w:rPr>
          <w:rFonts w:ascii="Times New Roman" w:hAnsi="Times New Roman" w:cs="Times New Roman"/>
          <w:szCs w:val="24"/>
        </w:rPr>
      </w:pPr>
      <w:r w:rsidRPr="00FF1842">
        <w:rPr>
          <w:rFonts w:ascii="Times New Roman" w:hAnsi="Times New Roman" w:cs="Times New Roman"/>
          <w:szCs w:val="24"/>
        </w:rPr>
        <w:t xml:space="preserve">The significance of suspended particulate matter as a primary transport channel for particle-bound metals during times of strong runoff is shown by positive relationships between turbidity and metal concentrations. Because Pb, Cr and Ni have a strong affinity for fine particles and organic matter, elevated turbidity during the monsoon indicates increased </w:t>
      </w:r>
      <w:r w:rsidRPr="00FF1842">
        <w:rPr>
          <w:rFonts w:ascii="Times New Roman" w:hAnsi="Times New Roman" w:cs="Times New Roman"/>
          <w:szCs w:val="24"/>
        </w:rPr>
        <w:lastRenderedPageBreak/>
        <w:t xml:space="preserve">sediment resuspension and terrestrial input, significantly increasing metal availability (Fan et al., 2023; </w:t>
      </w:r>
      <w:proofErr w:type="spellStart"/>
      <w:r w:rsidRPr="00FF1842">
        <w:rPr>
          <w:rFonts w:ascii="Times New Roman" w:hAnsi="Times New Roman" w:cs="Times New Roman"/>
          <w:szCs w:val="24"/>
        </w:rPr>
        <w:t>Ostner</w:t>
      </w:r>
      <w:proofErr w:type="spellEnd"/>
      <w:r w:rsidRPr="00FF1842">
        <w:rPr>
          <w:rFonts w:ascii="Times New Roman" w:hAnsi="Times New Roman" w:cs="Times New Roman"/>
          <w:szCs w:val="24"/>
        </w:rPr>
        <w:t xml:space="preserve"> &amp; Wittmann, 2019).</w:t>
      </w:r>
    </w:p>
    <w:p w14:paraId="55A58B52" w14:textId="77777777" w:rsidR="00A856E4" w:rsidRPr="00C46A31" w:rsidRDefault="00A856E4" w:rsidP="00C46A31">
      <w:pPr>
        <w:spacing w:line="360" w:lineRule="auto"/>
        <w:jc w:val="both"/>
        <w:rPr>
          <w:rFonts w:ascii="Times New Roman" w:hAnsi="Times New Roman" w:cs="Times New Roman"/>
          <w:szCs w:val="24"/>
        </w:rPr>
      </w:pPr>
      <w:r w:rsidRPr="00C46A31">
        <w:rPr>
          <w:rFonts w:ascii="Times New Roman" w:hAnsi="Times New Roman" w:cs="Times New Roman"/>
          <w:b/>
          <w:bCs/>
          <w:szCs w:val="24"/>
        </w:rPr>
        <w:t xml:space="preserve">4. </w:t>
      </w:r>
      <w:r w:rsidR="00FD3D27" w:rsidRPr="00C46A31">
        <w:rPr>
          <w:rFonts w:ascii="Times New Roman" w:hAnsi="Times New Roman" w:cs="Times New Roman"/>
          <w:b/>
          <w:bCs/>
          <w:szCs w:val="24"/>
        </w:rPr>
        <w:t>DISCUSSION</w:t>
      </w:r>
    </w:p>
    <w:p w14:paraId="4ADE9C8F" w14:textId="77777777" w:rsidR="00AF6B6C" w:rsidRDefault="00FF1842" w:rsidP="00FF1842">
      <w:pPr>
        <w:spacing w:line="360" w:lineRule="auto"/>
        <w:jc w:val="both"/>
        <w:rPr>
          <w:rFonts w:ascii="Times New Roman" w:hAnsi="Times New Roman" w:cs="Times New Roman"/>
          <w:szCs w:val="24"/>
        </w:rPr>
      </w:pPr>
      <w:r w:rsidRPr="00FF1842">
        <w:rPr>
          <w:rFonts w:ascii="Times New Roman" w:hAnsi="Times New Roman" w:cs="Times New Roman"/>
          <w:szCs w:val="24"/>
        </w:rPr>
        <w:t xml:space="preserve">The </w:t>
      </w:r>
      <w:r>
        <w:rPr>
          <w:rFonts w:ascii="Times New Roman" w:hAnsi="Times New Roman" w:cs="Times New Roman"/>
          <w:szCs w:val="24"/>
        </w:rPr>
        <w:t>prese</w:t>
      </w:r>
      <w:r w:rsidRPr="00FF1842">
        <w:rPr>
          <w:rFonts w:ascii="Times New Roman" w:hAnsi="Times New Roman" w:cs="Times New Roman"/>
          <w:szCs w:val="24"/>
        </w:rPr>
        <w:t xml:space="preserve">nt study demonstrates that monsoon-driven hydrographical variability is the primary factor affecting the distribution of heavy metals in the estuary systems along the Ratnagiri coast. Seasonal freshwater inflow linked to the southwest monsoon led to significant drops in pH and salinity as well as increases in turbidity and dissolved oxygen, all of which improved metal mobility and redistribution in all estuaries under investigation. </w:t>
      </w:r>
    </w:p>
    <w:p w14:paraId="5928F6A2" w14:textId="77777777" w:rsidR="00683EC8" w:rsidRPr="00683EC8" w:rsidRDefault="00683EC8" w:rsidP="00683EC8">
      <w:pPr>
        <w:spacing w:line="360" w:lineRule="auto"/>
        <w:jc w:val="both"/>
        <w:rPr>
          <w:rFonts w:ascii="Times New Roman" w:hAnsi="Times New Roman" w:cs="Times New Roman"/>
          <w:szCs w:val="24"/>
        </w:rPr>
      </w:pPr>
      <w:r w:rsidRPr="00683EC8">
        <w:rPr>
          <w:rFonts w:ascii="Times New Roman" w:hAnsi="Times New Roman" w:cs="Times New Roman"/>
          <w:szCs w:val="24"/>
        </w:rPr>
        <w:t>During the monsoon season, reduced salinity and near-neutral pH conditions promote the release of metals from suspended particles and surface sediments by weakening metal</w:t>
      </w:r>
      <w:r>
        <w:rPr>
          <w:rFonts w:ascii="Times New Roman" w:hAnsi="Times New Roman" w:cs="Times New Roman"/>
          <w:szCs w:val="24"/>
        </w:rPr>
        <w:t>-</w:t>
      </w:r>
      <w:r w:rsidRPr="00683EC8">
        <w:rPr>
          <w:rFonts w:ascii="Times New Roman" w:hAnsi="Times New Roman" w:cs="Times New Roman"/>
          <w:szCs w:val="24"/>
        </w:rPr>
        <w:t>carbonate and metal</w:t>
      </w:r>
      <w:r>
        <w:rPr>
          <w:rFonts w:ascii="Times New Roman" w:hAnsi="Times New Roman" w:cs="Times New Roman"/>
          <w:szCs w:val="24"/>
        </w:rPr>
        <w:t>-</w:t>
      </w:r>
      <w:r w:rsidRPr="00683EC8">
        <w:rPr>
          <w:rFonts w:ascii="Times New Roman" w:hAnsi="Times New Roman" w:cs="Times New Roman"/>
          <w:szCs w:val="24"/>
        </w:rPr>
        <w:t>oxide binding mechanisms. This process explains the higher monsoonal concentrations of Cd, Cu, Zn, Cr, Ni and Pb, a pattern that is consistent with observations reported from other tropical estuarine environments (Islam et al., 2024; Zeng et al., 2024).</w:t>
      </w:r>
    </w:p>
    <w:p w14:paraId="138A9925" w14:textId="77777777" w:rsidR="00683EC8" w:rsidRPr="00683EC8" w:rsidRDefault="00683EC8" w:rsidP="00683EC8">
      <w:pPr>
        <w:spacing w:line="360" w:lineRule="auto"/>
        <w:jc w:val="both"/>
        <w:rPr>
          <w:rFonts w:ascii="Times New Roman" w:hAnsi="Times New Roman" w:cs="Times New Roman"/>
          <w:szCs w:val="24"/>
        </w:rPr>
      </w:pPr>
      <w:r w:rsidRPr="00683EC8">
        <w:rPr>
          <w:rFonts w:ascii="Times New Roman" w:hAnsi="Times New Roman" w:cs="Times New Roman"/>
          <w:szCs w:val="24"/>
        </w:rPr>
        <w:t xml:space="preserve">Monsoon-driven increases in turbidity constitute a major pathway for metal transport, reflecting intensified sediment resuspension and enhanced terrestrial runoff. The strong associations observed between turbidity and metal concentrations underscore the importance of suspended particulate matter in controlling metal mobility, particularly for particle-reactive elements such as Pb and Cr (Fan et al., 2023; </w:t>
      </w:r>
      <w:proofErr w:type="spellStart"/>
      <w:r w:rsidRPr="00683EC8">
        <w:rPr>
          <w:rFonts w:ascii="Times New Roman" w:hAnsi="Times New Roman" w:cs="Times New Roman"/>
          <w:szCs w:val="24"/>
        </w:rPr>
        <w:t>Ostner</w:t>
      </w:r>
      <w:proofErr w:type="spellEnd"/>
      <w:r w:rsidRPr="00683EC8">
        <w:rPr>
          <w:rFonts w:ascii="Times New Roman" w:hAnsi="Times New Roman" w:cs="Times New Roman"/>
          <w:szCs w:val="24"/>
        </w:rPr>
        <w:t xml:space="preserve"> &amp; Wittmann, 2019).</w:t>
      </w:r>
    </w:p>
    <w:p w14:paraId="4721D052" w14:textId="77777777" w:rsidR="00683EC8" w:rsidRDefault="00683EC8" w:rsidP="00683EC8">
      <w:pPr>
        <w:spacing w:line="360" w:lineRule="auto"/>
        <w:jc w:val="both"/>
        <w:rPr>
          <w:rFonts w:ascii="Times New Roman" w:hAnsi="Times New Roman" w:cs="Times New Roman"/>
          <w:szCs w:val="24"/>
        </w:rPr>
      </w:pPr>
      <w:r w:rsidRPr="00683EC8">
        <w:rPr>
          <w:rFonts w:ascii="Times New Roman" w:hAnsi="Times New Roman" w:cs="Times New Roman"/>
          <w:szCs w:val="24"/>
        </w:rPr>
        <w:t>Significant correlations between metal levels in sediments and the overlying water column further suggest the presence of active benthic</w:t>
      </w:r>
      <w:r>
        <w:rPr>
          <w:rFonts w:ascii="Times New Roman" w:hAnsi="Times New Roman" w:cs="Times New Roman"/>
          <w:szCs w:val="24"/>
        </w:rPr>
        <w:t>-</w:t>
      </w:r>
      <w:r w:rsidRPr="00683EC8">
        <w:rPr>
          <w:rFonts w:ascii="Times New Roman" w:hAnsi="Times New Roman" w:cs="Times New Roman"/>
          <w:szCs w:val="24"/>
        </w:rPr>
        <w:t xml:space="preserve">pelagic coupling, whereby sediments operate as dynamic metal reservoirs capable of releasing accumulated contaminants under changing hydrodynamic conditions. </w:t>
      </w:r>
      <w:r w:rsidR="005A159E" w:rsidRPr="005A159E">
        <w:rPr>
          <w:rFonts w:ascii="Times New Roman" w:hAnsi="Times New Roman" w:cs="Times New Roman"/>
          <w:szCs w:val="24"/>
        </w:rPr>
        <w:t>When analysed together, these findings show that heavy-metal transit and dispersion in the Ratnagiri estuary are mostly controlled by hydrographical forcing rather than being exclusively influenced by localised point-source inputs</w:t>
      </w:r>
      <w:r w:rsidRPr="00683EC8">
        <w:rPr>
          <w:rFonts w:ascii="Times New Roman" w:hAnsi="Times New Roman" w:cs="Times New Roman"/>
          <w:szCs w:val="24"/>
        </w:rPr>
        <w:t>.</w:t>
      </w:r>
    </w:p>
    <w:p w14:paraId="7741B63F" w14:textId="77777777" w:rsidR="0031578E" w:rsidRPr="00C46A31" w:rsidRDefault="00E660AE" w:rsidP="00683EC8">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 xml:space="preserve">5. </w:t>
      </w:r>
      <w:r w:rsidR="00FD3D27" w:rsidRPr="00C46A31">
        <w:rPr>
          <w:rFonts w:ascii="Times New Roman" w:hAnsi="Times New Roman" w:cs="Times New Roman"/>
          <w:b/>
          <w:bCs/>
          <w:szCs w:val="24"/>
        </w:rPr>
        <w:t>CONCLUSION</w:t>
      </w:r>
    </w:p>
    <w:p w14:paraId="2EF994A3" w14:textId="77777777" w:rsidR="00EE13DB" w:rsidRDefault="00E310A5" w:rsidP="00C46A31">
      <w:pPr>
        <w:spacing w:line="360" w:lineRule="auto"/>
        <w:jc w:val="both"/>
        <w:rPr>
          <w:rFonts w:ascii="Times New Roman" w:hAnsi="Times New Roman" w:cs="Times New Roman"/>
          <w:szCs w:val="24"/>
        </w:rPr>
      </w:pPr>
      <w:r w:rsidRPr="00E310A5">
        <w:rPr>
          <w:rFonts w:ascii="Times New Roman" w:hAnsi="Times New Roman" w:cs="Times New Roman"/>
          <w:szCs w:val="24"/>
        </w:rPr>
        <w:t xml:space="preserve">This investigation demonstrates that monsoon-driven hydrographical variability plays a primary role in regulating the distribution of heavy metals in estuarine waters as well as surface sediments along the Ratnagiri coast. During the monsoon season, declines in salinity and pH, coupled with elevated turbidity and dissolved oxygen, markedly promote the mobilization, redistribution, and exchange of Cd, Cu, Zn, Cr, Ni and Pb across the sediment–water interface. The seasonal accumulation of metals in surface sediments further indicates </w:t>
      </w:r>
      <w:r w:rsidRPr="00E310A5">
        <w:rPr>
          <w:rFonts w:ascii="Times New Roman" w:hAnsi="Times New Roman" w:cs="Times New Roman"/>
          <w:szCs w:val="24"/>
        </w:rPr>
        <w:lastRenderedPageBreak/>
        <w:t>that sediments function not only as long-term sinks but also as potential secondary sources of contamination under fluctuating hydrographical regimes. These results underline the importance of season-specific monitoring frameworks that explicitly account for coupled water</w:t>
      </w:r>
      <w:r w:rsidR="00532B37">
        <w:rPr>
          <w:rFonts w:ascii="Times New Roman" w:hAnsi="Times New Roman" w:cs="Times New Roman"/>
          <w:szCs w:val="24"/>
        </w:rPr>
        <w:t>-</w:t>
      </w:r>
      <w:r w:rsidRPr="00E310A5">
        <w:rPr>
          <w:rFonts w:ascii="Times New Roman" w:hAnsi="Times New Roman" w:cs="Times New Roman"/>
          <w:szCs w:val="24"/>
        </w:rPr>
        <w:t>sediment processes to achieve a realistic understanding of metal dynamics in tropical estuarine systems. Consequently, the incorporation of hydrographical forcing into estuarine management and assessment strategies is critical for the accurate evaluation of heavy metal behaviour and the sustained protection of coastal water quality along the west coast of India</w:t>
      </w:r>
      <w:r w:rsidR="00C70AD9" w:rsidRPr="00C70AD9">
        <w:rPr>
          <w:rFonts w:ascii="Times New Roman" w:hAnsi="Times New Roman" w:cs="Times New Roman"/>
          <w:szCs w:val="24"/>
        </w:rPr>
        <w:t>.</w:t>
      </w:r>
    </w:p>
    <w:p w14:paraId="71D6EAD0" w14:textId="77777777" w:rsidR="00180A21" w:rsidRDefault="00180A21" w:rsidP="00C46A31">
      <w:pPr>
        <w:spacing w:line="360" w:lineRule="auto"/>
        <w:jc w:val="both"/>
        <w:rPr>
          <w:rFonts w:ascii="Times New Roman" w:hAnsi="Times New Roman" w:cs="Times New Roman"/>
          <w:szCs w:val="24"/>
        </w:rPr>
      </w:pPr>
    </w:p>
    <w:p w14:paraId="3172CBD1" w14:textId="77777777" w:rsidR="00180A21" w:rsidRPr="00180A21" w:rsidRDefault="00180A21" w:rsidP="00180A21">
      <w:pPr>
        <w:spacing w:line="360" w:lineRule="auto"/>
        <w:jc w:val="both"/>
        <w:rPr>
          <w:rFonts w:ascii="Times New Roman" w:hAnsi="Times New Roman" w:cs="Times New Roman"/>
          <w:szCs w:val="24"/>
        </w:rPr>
      </w:pPr>
      <w:r w:rsidRPr="00180A21">
        <w:rPr>
          <w:rFonts w:ascii="Times New Roman" w:hAnsi="Times New Roman" w:cs="Times New Roman"/>
          <w:szCs w:val="24"/>
        </w:rPr>
        <w:t>COMPETING INTERESTS DISCLAIMER:</w:t>
      </w:r>
    </w:p>
    <w:p w14:paraId="26C4DBD1" w14:textId="761A0DD1" w:rsidR="00180A21" w:rsidRDefault="00180A21" w:rsidP="00180A21">
      <w:pPr>
        <w:spacing w:line="360" w:lineRule="auto"/>
        <w:jc w:val="both"/>
        <w:rPr>
          <w:rFonts w:ascii="Times New Roman" w:hAnsi="Times New Roman" w:cs="Times New Roman"/>
          <w:szCs w:val="24"/>
        </w:rPr>
      </w:pPr>
      <w:r w:rsidRPr="00180A21">
        <w:rPr>
          <w:rFonts w:ascii="Times New Roman" w:hAnsi="Times New Roman" w:cs="Times New Roman"/>
          <w:szCs w:val="24"/>
        </w:rPr>
        <w:t>Authors have declared that they have no known competing financial interests OR non-financial interests OR personal relationships that could have appeared to influence the work reported in this paper.</w:t>
      </w:r>
    </w:p>
    <w:p w14:paraId="60910402" w14:textId="3653AEF2" w:rsidR="00CE7C1E" w:rsidRDefault="00CE7C1E" w:rsidP="00180A21">
      <w:pPr>
        <w:spacing w:line="360" w:lineRule="auto"/>
        <w:jc w:val="both"/>
        <w:rPr>
          <w:rFonts w:ascii="Times New Roman" w:hAnsi="Times New Roman" w:cs="Times New Roman"/>
          <w:szCs w:val="24"/>
        </w:rPr>
      </w:pPr>
    </w:p>
    <w:p w14:paraId="6AE88F01" w14:textId="77777777" w:rsidR="00CE7C1E" w:rsidRPr="00CE7C1E" w:rsidRDefault="00CE7C1E" w:rsidP="00CE7C1E">
      <w:pPr>
        <w:shd w:val="clear" w:color="auto" w:fill="FFFFFF"/>
        <w:spacing w:before="100" w:beforeAutospacing="1" w:after="0" w:line="240" w:lineRule="auto"/>
        <w:rPr>
          <w:rFonts w:ascii="Times New Roman" w:eastAsia="Times New Roman" w:hAnsi="Times New Roman" w:cs="Times New Roman"/>
          <w:color w:val="222222"/>
          <w:kern w:val="0"/>
          <w:szCs w:val="24"/>
          <w:lang w:val="en-US" w:bidi="ar-SA"/>
        </w:rPr>
      </w:pPr>
      <w:bookmarkStart w:id="0" w:name="_Hlk197531964"/>
      <w:r w:rsidRPr="00CE7C1E">
        <w:rPr>
          <w:rFonts w:ascii="Arial" w:eastAsia="Times New Roman" w:hAnsi="Arial" w:cs="Arial"/>
          <w:b/>
          <w:bCs/>
          <w:color w:val="0000FF"/>
          <w:kern w:val="0"/>
          <w:sz w:val="20"/>
          <w:szCs w:val="20"/>
          <w:lang w:val="en-GB" w:bidi="ar-SA"/>
        </w:rPr>
        <w:t> </w:t>
      </w:r>
    </w:p>
    <w:p w14:paraId="76C318AA" w14:textId="77777777" w:rsidR="00CE7C1E" w:rsidRPr="00CE7C1E" w:rsidRDefault="00CE7C1E" w:rsidP="00CE7C1E">
      <w:pPr>
        <w:spacing w:after="0" w:line="240" w:lineRule="auto"/>
        <w:rPr>
          <w:rFonts w:ascii="Arial" w:eastAsia="Calibri" w:hAnsi="Arial" w:cs="Arial"/>
          <w:sz w:val="22"/>
          <w:szCs w:val="22"/>
          <w:highlight w:val="yellow"/>
          <w:lang w:val="en-US" w:bidi="ar-SA"/>
        </w:rPr>
      </w:pPr>
      <w:bookmarkStart w:id="1" w:name="_Hlk198031404"/>
      <w:bookmarkEnd w:id="0"/>
      <w:r w:rsidRPr="00CE7C1E">
        <w:rPr>
          <w:rFonts w:ascii="Arial" w:eastAsia="Calibri" w:hAnsi="Arial" w:cs="Arial"/>
          <w:sz w:val="22"/>
          <w:szCs w:val="22"/>
          <w:highlight w:val="yellow"/>
          <w:lang w:val="en-US" w:bidi="ar-SA"/>
        </w:rPr>
        <w:t>Disclaimer (Artificial intelligence)</w:t>
      </w:r>
    </w:p>
    <w:p w14:paraId="359622FA" w14:textId="77777777" w:rsidR="00CE7C1E" w:rsidRPr="00CE7C1E" w:rsidRDefault="00CE7C1E" w:rsidP="00CE7C1E">
      <w:pPr>
        <w:spacing w:after="0" w:line="240" w:lineRule="auto"/>
        <w:rPr>
          <w:rFonts w:ascii="Arial" w:eastAsia="Calibri" w:hAnsi="Arial" w:cs="Arial"/>
          <w:sz w:val="22"/>
          <w:szCs w:val="22"/>
          <w:highlight w:val="yellow"/>
          <w:lang w:val="en-US" w:bidi="ar-SA"/>
        </w:rPr>
      </w:pPr>
    </w:p>
    <w:p w14:paraId="5BC895FA" w14:textId="77777777" w:rsidR="00CE7C1E" w:rsidRPr="00CE7C1E" w:rsidRDefault="00CE7C1E" w:rsidP="00CE7C1E">
      <w:pPr>
        <w:spacing w:after="0" w:line="240" w:lineRule="auto"/>
        <w:rPr>
          <w:rFonts w:ascii="Arial" w:eastAsia="Calibri" w:hAnsi="Arial" w:cs="Arial"/>
          <w:sz w:val="22"/>
          <w:szCs w:val="22"/>
          <w:highlight w:val="yellow"/>
          <w:lang w:val="en-US" w:bidi="ar-SA"/>
        </w:rPr>
      </w:pPr>
      <w:r w:rsidRPr="00CE7C1E">
        <w:rPr>
          <w:rFonts w:ascii="Arial" w:eastAsia="Calibri" w:hAnsi="Arial" w:cs="Arial"/>
          <w:sz w:val="22"/>
          <w:szCs w:val="22"/>
          <w:highlight w:val="yellow"/>
          <w:lang w:val="en-US" w:bidi="ar-SA"/>
        </w:rPr>
        <w:t xml:space="preserve">Author(s) hereby declare that NO generative AI technologies such as Large Language Models (ChatGPT, COPILOT, etc.) and text-to-image generators have been used during the writing or editing of this manuscript. </w:t>
      </w:r>
    </w:p>
    <w:bookmarkEnd w:id="1"/>
    <w:p w14:paraId="436B5B2C" w14:textId="77777777" w:rsidR="00CE7C1E" w:rsidRPr="00CE7C1E" w:rsidRDefault="00CE7C1E" w:rsidP="00180A21">
      <w:pPr>
        <w:spacing w:line="360" w:lineRule="auto"/>
        <w:jc w:val="both"/>
        <w:rPr>
          <w:rFonts w:ascii="Times New Roman" w:hAnsi="Times New Roman" w:cs="Times New Roman"/>
          <w:szCs w:val="24"/>
          <w:lang w:val="en-US"/>
        </w:rPr>
      </w:pPr>
    </w:p>
    <w:p w14:paraId="1F2197F2" w14:textId="77777777" w:rsidR="00E660AE" w:rsidRPr="00C46A31" w:rsidRDefault="00FD3D27" w:rsidP="00C46A31">
      <w:pPr>
        <w:spacing w:line="360" w:lineRule="auto"/>
        <w:jc w:val="both"/>
        <w:rPr>
          <w:rFonts w:ascii="Times New Roman" w:hAnsi="Times New Roman" w:cs="Times New Roman"/>
          <w:b/>
          <w:bCs/>
          <w:szCs w:val="24"/>
        </w:rPr>
      </w:pPr>
      <w:r w:rsidRPr="00C46A31">
        <w:rPr>
          <w:rFonts w:ascii="Times New Roman" w:hAnsi="Times New Roman" w:cs="Times New Roman"/>
          <w:b/>
          <w:bCs/>
          <w:szCs w:val="24"/>
        </w:rPr>
        <w:t>REFERENCES</w:t>
      </w:r>
    </w:p>
    <w:p w14:paraId="66CEF2FB"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APHA. (2017). </w:t>
      </w:r>
      <w:r w:rsidRPr="00FD3D27">
        <w:rPr>
          <w:rFonts w:ascii="Times New Roman" w:hAnsi="Times New Roman" w:cs="Times New Roman"/>
          <w:szCs w:val="24"/>
        </w:rPr>
        <w:t>Standard methods for the examination of water and wastewater</w:t>
      </w:r>
      <w:r w:rsidRPr="00C46A31">
        <w:rPr>
          <w:rFonts w:ascii="Times New Roman" w:hAnsi="Times New Roman" w:cs="Times New Roman"/>
          <w:szCs w:val="24"/>
        </w:rPr>
        <w:t xml:space="preserve"> (23rd ed.). American Public Health Association.</w:t>
      </w:r>
    </w:p>
    <w:p w14:paraId="2C4C7FBF"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E7C1E">
        <w:rPr>
          <w:rFonts w:ascii="Times New Roman" w:hAnsi="Times New Roman" w:cs="Times New Roman"/>
          <w:szCs w:val="24"/>
          <w:lang w:val="fr-FR"/>
        </w:rPr>
        <w:t xml:space="preserve">Atkinson, J. F., Du Laing, G., Davenport, R., Stewart, M., &amp; Styles, D. (2007). </w:t>
      </w:r>
      <w:r w:rsidRPr="00C46A31">
        <w:rPr>
          <w:rFonts w:ascii="Times New Roman" w:hAnsi="Times New Roman" w:cs="Times New Roman"/>
          <w:szCs w:val="24"/>
        </w:rPr>
        <w:t xml:space="preserve">Processes affecting metal bioavailability in estuarine sediments: The importance of redox, pH, and bioturbation. </w:t>
      </w:r>
      <w:r w:rsidRPr="00C46A31">
        <w:rPr>
          <w:rFonts w:ascii="Times New Roman" w:hAnsi="Times New Roman" w:cs="Times New Roman"/>
          <w:i/>
          <w:iCs/>
          <w:szCs w:val="24"/>
        </w:rPr>
        <w:t>Chemosphere, 66</w:t>
      </w:r>
      <w:r w:rsidRPr="00C46A31">
        <w:rPr>
          <w:rFonts w:ascii="Times New Roman" w:hAnsi="Times New Roman" w:cs="Times New Roman"/>
          <w:szCs w:val="24"/>
        </w:rPr>
        <w:t>(2), 207–217.</w:t>
      </w:r>
    </w:p>
    <w:p w14:paraId="0DCD7FD5"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Babu, S. S., Udayakumar, P., &amp; Krishnakumar, S. (2024). Seasonal variability of hydrographical parameters and trace metals in tropical estuaries of southwest India. </w:t>
      </w:r>
      <w:r w:rsidRPr="00C46A31">
        <w:rPr>
          <w:rFonts w:ascii="Times New Roman" w:hAnsi="Times New Roman" w:cs="Times New Roman"/>
          <w:i/>
          <w:iCs/>
          <w:szCs w:val="24"/>
        </w:rPr>
        <w:t>Environmental Monitoring and Assessment, 196</w:t>
      </w:r>
      <w:r w:rsidRPr="00C46A31">
        <w:rPr>
          <w:rFonts w:ascii="Times New Roman" w:hAnsi="Times New Roman" w:cs="Times New Roman"/>
          <w:szCs w:val="24"/>
        </w:rPr>
        <w:t>, 112.</w:t>
      </w:r>
    </w:p>
    <w:p w14:paraId="1FADBFC2"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Birch, G. F., &amp; Hutson, P. (2024). Estuarine metal contamination and seasonal controls on bioavailability. </w:t>
      </w:r>
      <w:r w:rsidRPr="00C46A31">
        <w:rPr>
          <w:rFonts w:ascii="Times New Roman" w:hAnsi="Times New Roman" w:cs="Times New Roman"/>
          <w:i/>
          <w:iCs/>
          <w:szCs w:val="24"/>
        </w:rPr>
        <w:t>Marine Pollution Bulletin, 197</w:t>
      </w:r>
      <w:r w:rsidRPr="00C46A31">
        <w:rPr>
          <w:rFonts w:ascii="Times New Roman" w:hAnsi="Times New Roman" w:cs="Times New Roman"/>
          <w:szCs w:val="24"/>
        </w:rPr>
        <w:t>, 115742.</w:t>
      </w:r>
    </w:p>
    <w:p w14:paraId="67A243D9"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E7C1E">
        <w:rPr>
          <w:rFonts w:ascii="Times New Roman" w:hAnsi="Times New Roman" w:cs="Times New Roman"/>
          <w:szCs w:val="24"/>
          <w:lang w:val="fr-FR"/>
        </w:rPr>
        <w:lastRenderedPageBreak/>
        <w:t xml:space="preserve">Cai, L., Xu, Z., Ren, M., Guo, Q., Hu, X., Hu, G., &amp; Peng, P. (2023). </w:t>
      </w:r>
      <w:r w:rsidRPr="00C46A31">
        <w:rPr>
          <w:rFonts w:ascii="Times New Roman" w:hAnsi="Times New Roman" w:cs="Times New Roman"/>
          <w:szCs w:val="24"/>
        </w:rPr>
        <w:t xml:space="preserve">Source identification and ecological risk assessment of heavy metals in estuarine environments. </w:t>
      </w:r>
      <w:r w:rsidRPr="00C46A31">
        <w:rPr>
          <w:rFonts w:ascii="Times New Roman" w:hAnsi="Times New Roman" w:cs="Times New Roman"/>
          <w:i/>
          <w:iCs/>
          <w:szCs w:val="24"/>
        </w:rPr>
        <w:t>Science of the Total Environment, 857</w:t>
      </w:r>
      <w:r w:rsidRPr="00C46A31">
        <w:rPr>
          <w:rFonts w:ascii="Times New Roman" w:hAnsi="Times New Roman" w:cs="Times New Roman"/>
          <w:szCs w:val="24"/>
        </w:rPr>
        <w:t>, 159402.</w:t>
      </w:r>
    </w:p>
    <w:p w14:paraId="5711DBE2"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Chakraborty, P., Babu, P. V. R., &amp; Sarma, V. V. S. S. (2024). Metal–salinity relationships in monsoon-driven Indian estuaries. </w:t>
      </w:r>
      <w:r w:rsidRPr="00C46A31">
        <w:rPr>
          <w:rFonts w:ascii="Times New Roman" w:hAnsi="Times New Roman" w:cs="Times New Roman"/>
          <w:i/>
          <w:iCs/>
          <w:szCs w:val="24"/>
        </w:rPr>
        <w:t>Estuarine, Coastal and Shelf Science, 295</w:t>
      </w:r>
      <w:r w:rsidRPr="00C46A31">
        <w:rPr>
          <w:rFonts w:ascii="Times New Roman" w:hAnsi="Times New Roman" w:cs="Times New Roman"/>
          <w:szCs w:val="24"/>
        </w:rPr>
        <w:t>, 108485.</w:t>
      </w:r>
    </w:p>
    <w:p w14:paraId="632D5733"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Choudhary, S. B., &amp; Rao, D. N. (2024). Geochemical influences on trace metal fate in estuarine sediments. </w:t>
      </w:r>
      <w:r w:rsidRPr="00C46A31">
        <w:rPr>
          <w:rFonts w:ascii="Times New Roman" w:hAnsi="Times New Roman" w:cs="Times New Roman"/>
          <w:i/>
          <w:iCs/>
          <w:szCs w:val="24"/>
        </w:rPr>
        <w:t>Frontiers in Marine Science, 11</w:t>
      </w:r>
      <w:r w:rsidRPr="00C46A31">
        <w:rPr>
          <w:rFonts w:ascii="Times New Roman" w:hAnsi="Times New Roman" w:cs="Times New Roman"/>
          <w:szCs w:val="24"/>
        </w:rPr>
        <w:t>, 950561.</w:t>
      </w:r>
    </w:p>
    <w:p w14:paraId="5D772128"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Dhanakumar, S., &amp; Nagendra, S. (2025). Spatial and temporal dynamics of metal contaminants in a tropical estuary. </w:t>
      </w:r>
      <w:r w:rsidRPr="00C46A31">
        <w:rPr>
          <w:rFonts w:ascii="Times New Roman" w:hAnsi="Times New Roman" w:cs="Times New Roman"/>
          <w:i/>
          <w:iCs/>
          <w:szCs w:val="24"/>
        </w:rPr>
        <w:t>Environmental Research, 231</w:t>
      </w:r>
      <w:r w:rsidRPr="00C46A31">
        <w:rPr>
          <w:rFonts w:ascii="Times New Roman" w:hAnsi="Times New Roman" w:cs="Times New Roman"/>
          <w:szCs w:val="24"/>
        </w:rPr>
        <w:t>, 115281.</w:t>
      </w:r>
    </w:p>
    <w:p w14:paraId="3E3FEF5F"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Fan, W., Wang, W., Chen, J., Li, X., &amp; Guo, H. (2023). Influence of turbidity and suspended particulate matter on metal transport in estuaries. </w:t>
      </w:r>
      <w:r w:rsidRPr="00C46A31">
        <w:rPr>
          <w:rFonts w:ascii="Times New Roman" w:hAnsi="Times New Roman" w:cs="Times New Roman"/>
          <w:i/>
          <w:iCs/>
          <w:szCs w:val="24"/>
        </w:rPr>
        <w:t>Marine Chemistry, 252</w:t>
      </w:r>
      <w:r w:rsidRPr="00C46A31">
        <w:rPr>
          <w:rFonts w:ascii="Times New Roman" w:hAnsi="Times New Roman" w:cs="Times New Roman"/>
          <w:szCs w:val="24"/>
        </w:rPr>
        <w:t>, 104206.</w:t>
      </w:r>
    </w:p>
    <w:p w14:paraId="35CEE24F"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Förstner, U., &amp; Wittmann, G. T. W. (2019). </w:t>
      </w:r>
      <w:r w:rsidRPr="00C46A31">
        <w:rPr>
          <w:rFonts w:ascii="Times New Roman" w:hAnsi="Times New Roman" w:cs="Times New Roman"/>
          <w:i/>
          <w:iCs/>
          <w:szCs w:val="24"/>
        </w:rPr>
        <w:t>Metal pollution in the aquatic environment</w:t>
      </w:r>
      <w:r w:rsidRPr="00C46A31">
        <w:rPr>
          <w:rFonts w:ascii="Times New Roman" w:hAnsi="Times New Roman" w:cs="Times New Roman"/>
          <w:szCs w:val="24"/>
        </w:rPr>
        <w:t>. Springer.</w:t>
      </w:r>
    </w:p>
    <w:p w14:paraId="5CCCBF86"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Golbuu, Y., Victor, S., &amp; Takaoka, S. (2024). Heavy metal contamination and ecological risk in Pacific estuaries. </w:t>
      </w:r>
      <w:r w:rsidRPr="00C46A31">
        <w:rPr>
          <w:rFonts w:ascii="Times New Roman" w:hAnsi="Times New Roman" w:cs="Times New Roman"/>
          <w:i/>
          <w:iCs/>
          <w:szCs w:val="24"/>
        </w:rPr>
        <w:t>Environmental Science and Pollution Research, 31</w:t>
      </w:r>
      <w:r w:rsidRPr="00C46A31">
        <w:rPr>
          <w:rFonts w:ascii="Times New Roman" w:hAnsi="Times New Roman" w:cs="Times New Roman"/>
          <w:szCs w:val="24"/>
        </w:rPr>
        <w:t>, 32145–32159.</w:t>
      </w:r>
    </w:p>
    <w:p w14:paraId="35DC54D1"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Hakanson, L. (1980). An ecological risk index for aquatic pollution control. </w:t>
      </w:r>
      <w:r w:rsidRPr="00C46A31">
        <w:rPr>
          <w:rFonts w:ascii="Times New Roman" w:hAnsi="Times New Roman" w:cs="Times New Roman"/>
          <w:i/>
          <w:iCs/>
          <w:szCs w:val="24"/>
        </w:rPr>
        <w:t>A sedimentological approach</w:t>
      </w:r>
      <w:r w:rsidRPr="00C46A31">
        <w:rPr>
          <w:rFonts w:ascii="Times New Roman" w:hAnsi="Times New Roman" w:cs="Times New Roman"/>
          <w:szCs w:val="24"/>
        </w:rPr>
        <w:t>. Water Research, 14(8), 975–1001.</w:t>
      </w:r>
    </w:p>
    <w:p w14:paraId="60AEA74C"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06389">
        <w:rPr>
          <w:rFonts w:ascii="Times New Roman" w:hAnsi="Times New Roman" w:cs="Times New Roman"/>
          <w:szCs w:val="24"/>
          <w:lang w:val="es-US"/>
        </w:rPr>
        <w:t xml:space="preserve">Islam, M. S., Ahmed, M. K., Habibullah-Al-Mamun, M., &amp; Masunaga, S. (2024). </w:t>
      </w:r>
      <w:r w:rsidRPr="00C46A31">
        <w:rPr>
          <w:rFonts w:ascii="Times New Roman" w:hAnsi="Times New Roman" w:cs="Times New Roman"/>
          <w:szCs w:val="24"/>
        </w:rPr>
        <w:t xml:space="preserve">Seasonal metal dynamics in estuarine waters and sediments. </w:t>
      </w:r>
      <w:r w:rsidRPr="00C46A31">
        <w:rPr>
          <w:rFonts w:ascii="Times New Roman" w:hAnsi="Times New Roman" w:cs="Times New Roman"/>
          <w:i/>
          <w:iCs/>
          <w:szCs w:val="24"/>
        </w:rPr>
        <w:t>Chemosphere, 349</w:t>
      </w:r>
      <w:r w:rsidRPr="00C46A31">
        <w:rPr>
          <w:rFonts w:ascii="Times New Roman" w:hAnsi="Times New Roman" w:cs="Times New Roman"/>
          <w:szCs w:val="24"/>
        </w:rPr>
        <w:t>, 140833.</w:t>
      </w:r>
    </w:p>
    <w:p w14:paraId="2754F27E"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Jamal, T., Khan, M. F., &amp; Ahmad, M. (2025). Heavy metal speciation and seasonal variation in a subtropical estuary. </w:t>
      </w:r>
      <w:r w:rsidRPr="00C46A31">
        <w:rPr>
          <w:rFonts w:ascii="Times New Roman" w:hAnsi="Times New Roman" w:cs="Times New Roman"/>
          <w:i/>
          <w:iCs/>
          <w:szCs w:val="24"/>
        </w:rPr>
        <w:t>Journal of Coastal Research, 41</w:t>
      </w:r>
      <w:r w:rsidRPr="00C46A31">
        <w:rPr>
          <w:rFonts w:ascii="Times New Roman" w:hAnsi="Times New Roman" w:cs="Times New Roman"/>
          <w:szCs w:val="24"/>
        </w:rPr>
        <w:t>(3), 605–619.</w:t>
      </w:r>
    </w:p>
    <w:p w14:paraId="00E78420"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Jayakumar, S., &amp; Nair, S. (2023). Longitudinal distribution of metals in Indian coastal waters. </w:t>
      </w:r>
      <w:r w:rsidRPr="00C46A31">
        <w:rPr>
          <w:rFonts w:ascii="Times New Roman" w:hAnsi="Times New Roman" w:cs="Times New Roman"/>
          <w:i/>
          <w:iCs/>
          <w:szCs w:val="24"/>
        </w:rPr>
        <w:t>Marine Pollution Bulletin, 189</w:t>
      </w:r>
      <w:r w:rsidRPr="00C46A31">
        <w:rPr>
          <w:rFonts w:ascii="Times New Roman" w:hAnsi="Times New Roman" w:cs="Times New Roman"/>
          <w:szCs w:val="24"/>
        </w:rPr>
        <w:t>, 115120.</w:t>
      </w:r>
    </w:p>
    <w:p w14:paraId="4CC46384"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Jayapal, R., &amp; Subramanian, V. (2024). Anthropogenic influences on estuarine water quality in tropical India. </w:t>
      </w:r>
      <w:r w:rsidRPr="00C46A31">
        <w:rPr>
          <w:rFonts w:ascii="Times New Roman" w:hAnsi="Times New Roman" w:cs="Times New Roman"/>
          <w:i/>
          <w:iCs/>
          <w:szCs w:val="24"/>
        </w:rPr>
        <w:t>Environmental Pollution, 309</w:t>
      </w:r>
      <w:r w:rsidRPr="00C46A31">
        <w:rPr>
          <w:rFonts w:ascii="Times New Roman" w:hAnsi="Times New Roman" w:cs="Times New Roman"/>
          <w:szCs w:val="24"/>
        </w:rPr>
        <w:t>, 119837.</w:t>
      </w:r>
    </w:p>
    <w:p w14:paraId="252A9905"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lastRenderedPageBreak/>
        <w:t xml:space="preserve">Jiang, W., Liu, Q., &amp; Zhu, Z. (2024). Heavy metals accumulation and risk assessment in sediments of global estuaries. </w:t>
      </w:r>
      <w:r w:rsidRPr="00C46A31">
        <w:rPr>
          <w:rFonts w:ascii="Times New Roman" w:hAnsi="Times New Roman" w:cs="Times New Roman"/>
          <w:i/>
          <w:iCs/>
          <w:szCs w:val="24"/>
        </w:rPr>
        <w:t>Environmental Earth Sciences, 83</w:t>
      </w:r>
      <w:r w:rsidRPr="00C46A31">
        <w:rPr>
          <w:rFonts w:ascii="Times New Roman" w:hAnsi="Times New Roman" w:cs="Times New Roman"/>
          <w:szCs w:val="24"/>
        </w:rPr>
        <w:t>, 23.</w:t>
      </w:r>
    </w:p>
    <w:p w14:paraId="6E3D207E"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Kayani, A., &amp; Mohammed, A. (2025). Bioaccumulation and ecological risk of trace metals in coastal waters. </w:t>
      </w:r>
      <w:r w:rsidRPr="00C46A31">
        <w:rPr>
          <w:rFonts w:ascii="Times New Roman" w:hAnsi="Times New Roman" w:cs="Times New Roman"/>
          <w:i/>
          <w:iCs/>
          <w:szCs w:val="24"/>
        </w:rPr>
        <w:t>Journal of Environmental Management, 355</w:t>
      </w:r>
      <w:r w:rsidRPr="00C46A31">
        <w:rPr>
          <w:rFonts w:ascii="Times New Roman" w:hAnsi="Times New Roman" w:cs="Times New Roman"/>
          <w:szCs w:val="24"/>
        </w:rPr>
        <w:t>, 120320.</w:t>
      </w:r>
    </w:p>
    <w:p w14:paraId="3A146D25"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Kumar, V., Sharma, A., &amp; Pandey, G. (2024). Effect of salinity and pH on heavy metal mobility in estuarine waters. </w:t>
      </w:r>
      <w:r w:rsidRPr="00C46A31">
        <w:rPr>
          <w:rFonts w:ascii="Times New Roman" w:hAnsi="Times New Roman" w:cs="Times New Roman"/>
          <w:i/>
          <w:iCs/>
          <w:szCs w:val="24"/>
        </w:rPr>
        <w:t>Environmental Science and Pollution Research, 31</w:t>
      </w:r>
      <w:r w:rsidRPr="00C46A31">
        <w:rPr>
          <w:rFonts w:ascii="Times New Roman" w:hAnsi="Times New Roman" w:cs="Times New Roman"/>
          <w:szCs w:val="24"/>
        </w:rPr>
        <w:t>, 21540–21555.</w:t>
      </w:r>
    </w:p>
    <w:p w14:paraId="3CAC0985"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Lee, J.-H., &amp; Choi, H. (2023). Sediment–water interactions and trace metal distribution in monsoonal estuaries. </w:t>
      </w:r>
      <w:r w:rsidRPr="00C46A31">
        <w:rPr>
          <w:rFonts w:ascii="Times New Roman" w:hAnsi="Times New Roman" w:cs="Times New Roman"/>
          <w:i/>
          <w:iCs/>
          <w:szCs w:val="24"/>
        </w:rPr>
        <w:t>Estuarine, Coastal and Shelf Science, 280</w:t>
      </w:r>
      <w:r w:rsidRPr="00C46A31">
        <w:rPr>
          <w:rFonts w:ascii="Times New Roman" w:hAnsi="Times New Roman" w:cs="Times New Roman"/>
          <w:szCs w:val="24"/>
        </w:rPr>
        <w:t>, 107131.</w:t>
      </w:r>
    </w:p>
    <w:p w14:paraId="2EF60E6E" w14:textId="28C39779"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Liu, J., Li, Y., Zhang, B., Cao, J., &amp; Li, Z. (2023</w:t>
      </w:r>
      <w:r w:rsidR="003A6EE5">
        <w:rPr>
          <w:rFonts w:ascii="Times New Roman" w:hAnsi="Times New Roman" w:cs="Times New Roman"/>
          <w:szCs w:val="24"/>
        </w:rPr>
        <w:t>a</w:t>
      </w:r>
      <w:r w:rsidRPr="00C46A31">
        <w:rPr>
          <w:rFonts w:ascii="Times New Roman" w:hAnsi="Times New Roman" w:cs="Times New Roman"/>
          <w:szCs w:val="24"/>
        </w:rPr>
        <w:t xml:space="preserve">). Environmental </w:t>
      </w:r>
      <w:proofErr w:type="spellStart"/>
      <w:r w:rsidRPr="00C46A31">
        <w:rPr>
          <w:rFonts w:ascii="Times New Roman" w:hAnsi="Times New Roman" w:cs="Times New Roman"/>
          <w:szCs w:val="24"/>
        </w:rPr>
        <w:t>behavior</w:t>
      </w:r>
      <w:proofErr w:type="spellEnd"/>
      <w:r w:rsidRPr="00C46A31">
        <w:rPr>
          <w:rFonts w:ascii="Times New Roman" w:hAnsi="Times New Roman" w:cs="Times New Roman"/>
          <w:szCs w:val="24"/>
        </w:rPr>
        <w:t xml:space="preserve"> of toxic metals in estuarine ecosystems. </w:t>
      </w:r>
      <w:r w:rsidRPr="00C46A31">
        <w:rPr>
          <w:rFonts w:ascii="Times New Roman" w:hAnsi="Times New Roman" w:cs="Times New Roman"/>
          <w:i/>
          <w:iCs/>
          <w:szCs w:val="24"/>
        </w:rPr>
        <w:t>Journal of Hazardous Materials, 452</w:t>
      </w:r>
      <w:r w:rsidRPr="00C46A31">
        <w:rPr>
          <w:rFonts w:ascii="Times New Roman" w:hAnsi="Times New Roman" w:cs="Times New Roman"/>
          <w:szCs w:val="24"/>
        </w:rPr>
        <w:t>, 131277.</w:t>
      </w:r>
    </w:p>
    <w:p w14:paraId="30946701"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Luoma, S. N., &amp; Rainbow, P. S. (2008). </w:t>
      </w:r>
      <w:r w:rsidRPr="00C46A31">
        <w:rPr>
          <w:rFonts w:ascii="Times New Roman" w:hAnsi="Times New Roman" w:cs="Times New Roman"/>
          <w:i/>
          <w:iCs/>
          <w:szCs w:val="24"/>
        </w:rPr>
        <w:t>Metal contamination in aquatic environments: Science and lateral management</w:t>
      </w:r>
      <w:r w:rsidRPr="00C46A31">
        <w:rPr>
          <w:rFonts w:ascii="Times New Roman" w:hAnsi="Times New Roman" w:cs="Times New Roman"/>
          <w:szCs w:val="24"/>
        </w:rPr>
        <w:t>. Cambridge University Press.</w:t>
      </w:r>
    </w:p>
    <w:p w14:paraId="4840716C"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Marine Pollution Bulletin Editorial Board. (2024). Heavy metal pollution in Asian estuaries: Emerging concerns. </w:t>
      </w:r>
      <w:r w:rsidRPr="00C46A31">
        <w:rPr>
          <w:rFonts w:ascii="Times New Roman" w:hAnsi="Times New Roman" w:cs="Times New Roman"/>
          <w:i/>
          <w:iCs/>
          <w:szCs w:val="24"/>
        </w:rPr>
        <w:t>Marine Pollution Bulletin, 195</w:t>
      </w:r>
      <w:r w:rsidRPr="00C46A31">
        <w:rPr>
          <w:rFonts w:ascii="Times New Roman" w:hAnsi="Times New Roman" w:cs="Times New Roman"/>
          <w:szCs w:val="24"/>
        </w:rPr>
        <w:t>, 115489.</w:t>
      </w:r>
    </w:p>
    <w:p w14:paraId="6B4C10D3"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Mohanty, B., Behera, S., &amp;</w:t>
      </w:r>
      <w:proofErr w:type="spellStart"/>
      <w:r w:rsidRPr="00C46A31">
        <w:rPr>
          <w:rFonts w:ascii="Times New Roman" w:hAnsi="Times New Roman" w:cs="Times New Roman"/>
          <w:szCs w:val="24"/>
        </w:rPr>
        <w:t>Satpathy</w:t>
      </w:r>
      <w:proofErr w:type="spellEnd"/>
      <w:r w:rsidRPr="00C46A31">
        <w:rPr>
          <w:rFonts w:ascii="Times New Roman" w:hAnsi="Times New Roman" w:cs="Times New Roman"/>
          <w:szCs w:val="24"/>
        </w:rPr>
        <w:t xml:space="preserve">, K. K. (2024). Seasonal metal enrichment in Indian estuaries under monsoonal influence. </w:t>
      </w:r>
      <w:r w:rsidRPr="00C46A31">
        <w:rPr>
          <w:rFonts w:ascii="Times New Roman" w:hAnsi="Times New Roman" w:cs="Times New Roman"/>
          <w:i/>
          <w:iCs/>
          <w:szCs w:val="24"/>
        </w:rPr>
        <w:t>Regional Studies in Marine Science, 66</w:t>
      </w:r>
      <w:r w:rsidRPr="00C46A31">
        <w:rPr>
          <w:rFonts w:ascii="Times New Roman" w:hAnsi="Times New Roman" w:cs="Times New Roman"/>
          <w:szCs w:val="24"/>
        </w:rPr>
        <w:t>, 103139.</w:t>
      </w:r>
    </w:p>
    <w:p w14:paraId="602E71A0" w14:textId="77777777" w:rsidR="00407946" w:rsidRPr="00C46A31" w:rsidRDefault="00407946" w:rsidP="00C46A31">
      <w:pPr>
        <w:numPr>
          <w:ilvl w:val="0"/>
          <w:numId w:val="2"/>
        </w:numPr>
        <w:spacing w:line="360" w:lineRule="auto"/>
        <w:jc w:val="both"/>
        <w:rPr>
          <w:rFonts w:ascii="Times New Roman" w:hAnsi="Times New Roman" w:cs="Times New Roman"/>
          <w:szCs w:val="24"/>
        </w:rPr>
      </w:pPr>
      <w:proofErr w:type="spellStart"/>
      <w:r w:rsidRPr="00C46A31">
        <w:rPr>
          <w:rFonts w:ascii="Times New Roman" w:hAnsi="Times New Roman" w:cs="Times New Roman"/>
          <w:szCs w:val="24"/>
        </w:rPr>
        <w:t>Nagajyoti</w:t>
      </w:r>
      <w:proofErr w:type="spellEnd"/>
      <w:r w:rsidRPr="00C46A31">
        <w:rPr>
          <w:rFonts w:ascii="Times New Roman" w:hAnsi="Times New Roman" w:cs="Times New Roman"/>
          <w:szCs w:val="24"/>
        </w:rPr>
        <w:t xml:space="preserve">, P. C., Lee, K. D., &amp; Sreekanth, T. V. M. (2023). Heavy metals, occurrence and toxicity for plants: A review. </w:t>
      </w:r>
      <w:r w:rsidRPr="00C46A31">
        <w:rPr>
          <w:rFonts w:ascii="Times New Roman" w:hAnsi="Times New Roman" w:cs="Times New Roman"/>
          <w:i/>
          <w:iCs/>
          <w:szCs w:val="24"/>
        </w:rPr>
        <w:t>Environmental Chemistry Letters, 21</w:t>
      </w:r>
      <w:r w:rsidRPr="00C46A31">
        <w:rPr>
          <w:rFonts w:ascii="Times New Roman" w:hAnsi="Times New Roman" w:cs="Times New Roman"/>
          <w:szCs w:val="24"/>
        </w:rPr>
        <w:t>(6), 3725–3749.</w:t>
      </w:r>
    </w:p>
    <w:p w14:paraId="70C9F471"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National Oceanic and Atmospheric Administration (NOAA). (2023). </w:t>
      </w:r>
      <w:r w:rsidRPr="00C46A31">
        <w:rPr>
          <w:rFonts w:ascii="Times New Roman" w:hAnsi="Times New Roman" w:cs="Times New Roman"/>
          <w:i/>
          <w:iCs/>
          <w:szCs w:val="24"/>
        </w:rPr>
        <w:t>Sediment quality guidelines for coastal ecosystems</w:t>
      </w:r>
      <w:r w:rsidRPr="00C46A31">
        <w:rPr>
          <w:rFonts w:ascii="Times New Roman" w:hAnsi="Times New Roman" w:cs="Times New Roman"/>
          <w:szCs w:val="24"/>
        </w:rPr>
        <w:t>. NOAA.</w:t>
      </w:r>
    </w:p>
    <w:p w14:paraId="0EB393C8"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06389">
        <w:rPr>
          <w:rFonts w:ascii="Times New Roman" w:hAnsi="Times New Roman" w:cs="Times New Roman"/>
          <w:szCs w:val="24"/>
          <w:lang w:val="es-US"/>
        </w:rPr>
        <w:t xml:space="preserve">Nascimento, A. S. D., Almeida, C. A. P., &amp; Silva, E. C. (2024). </w:t>
      </w:r>
      <w:r w:rsidRPr="00C46A31">
        <w:rPr>
          <w:rFonts w:ascii="Times New Roman" w:hAnsi="Times New Roman" w:cs="Times New Roman"/>
          <w:szCs w:val="24"/>
        </w:rPr>
        <w:t xml:space="preserve">Ecological risk assessment of metals in estuarine sediments. </w:t>
      </w:r>
      <w:r w:rsidRPr="00C46A31">
        <w:rPr>
          <w:rFonts w:ascii="Times New Roman" w:hAnsi="Times New Roman" w:cs="Times New Roman"/>
          <w:i/>
          <w:iCs/>
          <w:szCs w:val="24"/>
        </w:rPr>
        <w:t>Environmental Toxicology and Chemistry, 43</w:t>
      </w:r>
      <w:r w:rsidRPr="00C46A31">
        <w:rPr>
          <w:rFonts w:ascii="Times New Roman" w:hAnsi="Times New Roman" w:cs="Times New Roman"/>
          <w:szCs w:val="24"/>
        </w:rPr>
        <w:t>(2), 289–303.</w:t>
      </w:r>
    </w:p>
    <w:p w14:paraId="1A391588"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NOAA. (2023). </w:t>
      </w:r>
      <w:r w:rsidRPr="00C46A31">
        <w:rPr>
          <w:rFonts w:ascii="Times New Roman" w:hAnsi="Times New Roman" w:cs="Times New Roman"/>
          <w:i/>
          <w:iCs/>
          <w:szCs w:val="24"/>
        </w:rPr>
        <w:t>National Status and Trends Program: Overview and guidelines</w:t>
      </w:r>
      <w:r w:rsidRPr="00C46A31">
        <w:rPr>
          <w:rFonts w:ascii="Times New Roman" w:hAnsi="Times New Roman" w:cs="Times New Roman"/>
          <w:szCs w:val="24"/>
        </w:rPr>
        <w:t>. NOAA.</w:t>
      </w:r>
    </w:p>
    <w:p w14:paraId="1AFBCCE3"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lastRenderedPageBreak/>
        <w:t xml:space="preserve">Rainbow, P. S. (2019). Trace metal bioaccumulation: Models, metabolic availability, and toxicity. </w:t>
      </w:r>
      <w:r w:rsidRPr="00C46A31">
        <w:rPr>
          <w:rFonts w:ascii="Times New Roman" w:hAnsi="Times New Roman" w:cs="Times New Roman"/>
          <w:i/>
          <w:iCs/>
          <w:szCs w:val="24"/>
        </w:rPr>
        <w:t>Environment International, 128</w:t>
      </w:r>
      <w:r w:rsidRPr="00C46A31">
        <w:rPr>
          <w:rFonts w:ascii="Times New Roman" w:hAnsi="Times New Roman" w:cs="Times New Roman"/>
          <w:szCs w:val="24"/>
        </w:rPr>
        <w:t>, 252–264.</w:t>
      </w:r>
    </w:p>
    <w:p w14:paraId="48EFE912"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Rahman, M. S., Khan, M. D. H., Jolly, Y. N., Kabir, J., Akter, S., &amp; Salam, A. (2024). Anthropogenic influence on estuarine metal contamination. </w:t>
      </w:r>
      <w:r w:rsidRPr="00C46A31">
        <w:rPr>
          <w:rFonts w:ascii="Times New Roman" w:hAnsi="Times New Roman" w:cs="Times New Roman"/>
          <w:i/>
          <w:iCs/>
          <w:szCs w:val="24"/>
        </w:rPr>
        <w:t>Environmental Nanotechnology, Monitoring &amp; Management, 22</w:t>
      </w:r>
      <w:r w:rsidRPr="00C46A31">
        <w:rPr>
          <w:rFonts w:ascii="Times New Roman" w:hAnsi="Times New Roman" w:cs="Times New Roman"/>
          <w:szCs w:val="24"/>
        </w:rPr>
        <w:t>, 100914.</w:t>
      </w:r>
    </w:p>
    <w:p w14:paraId="36CD31C1"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Sarma, V. V. S. S., Krishna, M. S., </w:t>
      </w:r>
      <w:proofErr w:type="spellStart"/>
      <w:r w:rsidRPr="00C46A31">
        <w:rPr>
          <w:rFonts w:ascii="Times New Roman" w:hAnsi="Times New Roman" w:cs="Times New Roman"/>
          <w:szCs w:val="24"/>
        </w:rPr>
        <w:t>Viswanadham</w:t>
      </w:r>
      <w:proofErr w:type="spellEnd"/>
      <w:r w:rsidRPr="00C46A31">
        <w:rPr>
          <w:rFonts w:ascii="Times New Roman" w:hAnsi="Times New Roman" w:cs="Times New Roman"/>
          <w:szCs w:val="24"/>
        </w:rPr>
        <w:t xml:space="preserve">, R., &amp; Rao, G. D. (2024). Dissolved oxygen variability in monsoon-dominated estuaries. </w:t>
      </w:r>
      <w:r w:rsidRPr="00C46A31">
        <w:rPr>
          <w:rFonts w:ascii="Times New Roman" w:hAnsi="Times New Roman" w:cs="Times New Roman"/>
          <w:i/>
          <w:iCs/>
          <w:szCs w:val="24"/>
        </w:rPr>
        <w:t>Continental Shelf Research, 262</w:t>
      </w:r>
      <w:r w:rsidRPr="00C46A31">
        <w:rPr>
          <w:rFonts w:ascii="Times New Roman" w:hAnsi="Times New Roman" w:cs="Times New Roman"/>
          <w:szCs w:val="24"/>
        </w:rPr>
        <w:t>, 105054.</w:t>
      </w:r>
    </w:p>
    <w:p w14:paraId="78FA8743"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Sharma, P., &amp; Singh, R. (2024). Coastal urbanization and estuarine pollution in India. </w:t>
      </w:r>
      <w:r w:rsidRPr="00C46A31">
        <w:rPr>
          <w:rFonts w:ascii="Times New Roman" w:hAnsi="Times New Roman" w:cs="Times New Roman"/>
          <w:i/>
          <w:iCs/>
          <w:szCs w:val="24"/>
        </w:rPr>
        <w:t>Ocean &amp; Coastal Management, 244</w:t>
      </w:r>
      <w:r w:rsidRPr="00C46A31">
        <w:rPr>
          <w:rFonts w:ascii="Times New Roman" w:hAnsi="Times New Roman" w:cs="Times New Roman"/>
          <w:szCs w:val="24"/>
        </w:rPr>
        <w:t>, 106792.</w:t>
      </w:r>
    </w:p>
    <w:p w14:paraId="3E24007D"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Singh, A. K., Kumar, A., &amp; Mishra, S. (2025). Seasonal heavy metal loading and ecological risk in tropical estuaries. </w:t>
      </w:r>
      <w:r w:rsidRPr="00C46A31">
        <w:rPr>
          <w:rFonts w:ascii="Times New Roman" w:hAnsi="Times New Roman" w:cs="Times New Roman"/>
          <w:i/>
          <w:iCs/>
          <w:szCs w:val="24"/>
        </w:rPr>
        <w:t>Ecotoxicology and Environmental Safety, 262</w:t>
      </w:r>
      <w:r w:rsidRPr="00C46A31">
        <w:rPr>
          <w:rFonts w:ascii="Times New Roman" w:hAnsi="Times New Roman" w:cs="Times New Roman"/>
          <w:szCs w:val="24"/>
        </w:rPr>
        <w:t>, 115326.</w:t>
      </w:r>
    </w:p>
    <w:p w14:paraId="06338BAA"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Singh, S. P., &amp; Das, S. (2023). Seasonal patterns of trace metals in estuarine sediments: Influence of monsoonal discharge. </w:t>
      </w:r>
      <w:r w:rsidRPr="00C46A31">
        <w:rPr>
          <w:rFonts w:ascii="Times New Roman" w:hAnsi="Times New Roman" w:cs="Times New Roman"/>
          <w:i/>
          <w:iCs/>
          <w:szCs w:val="24"/>
        </w:rPr>
        <w:t>Journal of Environmental Sciences, 128</w:t>
      </w:r>
      <w:r w:rsidRPr="00C46A31">
        <w:rPr>
          <w:rFonts w:ascii="Times New Roman" w:hAnsi="Times New Roman" w:cs="Times New Roman"/>
          <w:szCs w:val="24"/>
        </w:rPr>
        <w:t>, 78–87.</w:t>
      </w:r>
    </w:p>
    <w:p w14:paraId="02819A7B" w14:textId="77777777" w:rsidR="00407946" w:rsidRPr="00C46A31" w:rsidRDefault="00407946" w:rsidP="00C46A31">
      <w:pPr>
        <w:numPr>
          <w:ilvl w:val="0"/>
          <w:numId w:val="2"/>
        </w:numPr>
        <w:spacing w:line="360" w:lineRule="auto"/>
        <w:jc w:val="both"/>
        <w:rPr>
          <w:rFonts w:ascii="Times New Roman" w:hAnsi="Times New Roman" w:cs="Times New Roman"/>
          <w:szCs w:val="24"/>
        </w:rPr>
      </w:pPr>
      <w:proofErr w:type="spellStart"/>
      <w:r w:rsidRPr="00C46A31">
        <w:rPr>
          <w:rFonts w:ascii="Times New Roman" w:hAnsi="Times New Roman" w:cs="Times New Roman"/>
          <w:szCs w:val="24"/>
        </w:rPr>
        <w:t>Sundaray</w:t>
      </w:r>
      <w:proofErr w:type="spellEnd"/>
      <w:r w:rsidRPr="00C46A31">
        <w:rPr>
          <w:rFonts w:ascii="Times New Roman" w:hAnsi="Times New Roman" w:cs="Times New Roman"/>
          <w:szCs w:val="24"/>
        </w:rPr>
        <w:t xml:space="preserve">, S. K., Nayak, B. B., Lin, S., &amp; Bhatta, D. (2023). Geochemical partitioning of metals in estuarine waters. </w:t>
      </w:r>
      <w:r w:rsidRPr="00C46A31">
        <w:rPr>
          <w:rFonts w:ascii="Times New Roman" w:hAnsi="Times New Roman" w:cs="Times New Roman"/>
          <w:i/>
          <w:iCs/>
          <w:szCs w:val="24"/>
        </w:rPr>
        <w:t>Environmental Earth Sciences, 82</w:t>
      </w:r>
      <w:r w:rsidRPr="00C46A31">
        <w:rPr>
          <w:rFonts w:ascii="Times New Roman" w:hAnsi="Times New Roman" w:cs="Times New Roman"/>
          <w:szCs w:val="24"/>
        </w:rPr>
        <w:t>, 451.</w:t>
      </w:r>
    </w:p>
    <w:p w14:paraId="41100A1F"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Tran, V. T., Nguyen, P.-D., &amp;</w:t>
      </w:r>
      <w:proofErr w:type="spellStart"/>
      <w:r w:rsidRPr="00C46A31">
        <w:rPr>
          <w:rFonts w:ascii="Times New Roman" w:hAnsi="Times New Roman" w:cs="Times New Roman"/>
          <w:szCs w:val="24"/>
        </w:rPr>
        <w:t>Strady</w:t>
      </w:r>
      <w:proofErr w:type="spellEnd"/>
      <w:r w:rsidRPr="00C46A31">
        <w:rPr>
          <w:rFonts w:ascii="Times New Roman" w:hAnsi="Times New Roman" w:cs="Times New Roman"/>
          <w:szCs w:val="24"/>
        </w:rPr>
        <w:t xml:space="preserve">, E. (2020). Bioaccumulation of trace elements in the hard clam </w:t>
      </w:r>
      <w:r w:rsidRPr="00C46A31">
        <w:rPr>
          <w:rFonts w:ascii="Times New Roman" w:hAnsi="Times New Roman" w:cs="Times New Roman"/>
          <w:i/>
          <w:iCs/>
          <w:szCs w:val="24"/>
        </w:rPr>
        <w:t>Meretrix lyrata</w:t>
      </w:r>
      <w:r w:rsidRPr="00C46A31">
        <w:rPr>
          <w:rFonts w:ascii="Times New Roman" w:hAnsi="Times New Roman" w:cs="Times New Roman"/>
          <w:szCs w:val="24"/>
        </w:rPr>
        <w:t xml:space="preserve"> reared downstream of a developing megacity. </w:t>
      </w:r>
      <w:r w:rsidRPr="00C46A31">
        <w:rPr>
          <w:rFonts w:ascii="Times New Roman" w:hAnsi="Times New Roman" w:cs="Times New Roman"/>
          <w:i/>
          <w:iCs/>
          <w:szCs w:val="24"/>
        </w:rPr>
        <w:t>Environmental Monitoring and Assessment, 192</w:t>
      </w:r>
      <w:r w:rsidRPr="00C46A31">
        <w:rPr>
          <w:rFonts w:ascii="Times New Roman" w:hAnsi="Times New Roman" w:cs="Times New Roman"/>
          <w:szCs w:val="24"/>
        </w:rPr>
        <w:t>, 566.</w:t>
      </w:r>
    </w:p>
    <w:p w14:paraId="1F610BE7"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USEPA. (2022). </w:t>
      </w:r>
      <w:r w:rsidRPr="00C46A31">
        <w:rPr>
          <w:rFonts w:ascii="Times New Roman" w:hAnsi="Times New Roman" w:cs="Times New Roman"/>
          <w:i/>
          <w:iCs/>
          <w:szCs w:val="24"/>
        </w:rPr>
        <w:t>Aquatic life ambient water quality criteria for metals</w:t>
      </w:r>
      <w:r w:rsidRPr="00C46A31">
        <w:rPr>
          <w:rFonts w:ascii="Times New Roman" w:hAnsi="Times New Roman" w:cs="Times New Roman"/>
          <w:szCs w:val="24"/>
        </w:rPr>
        <w:t>. United States Environmental Protection Agency.</w:t>
      </w:r>
    </w:p>
    <w:p w14:paraId="69124FB8"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Varol, M., &amp; Şen, B. (2024). Assessment of trace metal contamination in estuarine waters using multivariate statistics. </w:t>
      </w:r>
      <w:r w:rsidRPr="00C46A31">
        <w:rPr>
          <w:rFonts w:ascii="Times New Roman" w:hAnsi="Times New Roman" w:cs="Times New Roman"/>
          <w:i/>
          <w:iCs/>
          <w:szCs w:val="24"/>
        </w:rPr>
        <w:t>Environmental Research, 241</w:t>
      </w:r>
      <w:r w:rsidRPr="00C46A31">
        <w:rPr>
          <w:rFonts w:ascii="Times New Roman" w:hAnsi="Times New Roman" w:cs="Times New Roman"/>
          <w:szCs w:val="24"/>
        </w:rPr>
        <w:t>, 117545.</w:t>
      </w:r>
    </w:p>
    <w:p w14:paraId="7E892586"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Wang, X., Li, Y., Zhang, J., &amp; Liu, Q. (2024). Roles of hydrology and monsoon on estuarine heavy metal distribution. </w:t>
      </w:r>
      <w:r w:rsidRPr="00C46A31">
        <w:rPr>
          <w:rFonts w:ascii="Times New Roman" w:hAnsi="Times New Roman" w:cs="Times New Roman"/>
          <w:i/>
          <w:iCs/>
          <w:szCs w:val="24"/>
        </w:rPr>
        <w:t>Journal of Marine Systems, 243</w:t>
      </w:r>
      <w:r w:rsidRPr="00C46A31">
        <w:rPr>
          <w:rFonts w:ascii="Times New Roman" w:hAnsi="Times New Roman" w:cs="Times New Roman"/>
          <w:szCs w:val="24"/>
        </w:rPr>
        <w:t>, 104716.</w:t>
      </w:r>
    </w:p>
    <w:p w14:paraId="6E718428"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WHO. (2023). </w:t>
      </w:r>
      <w:r w:rsidRPr="00C46A31">
        <w:rPr>
          <w:rFonts w:ascii="Times New Roman" w:hAnsi="Times New Roman" w:cs="Times New Roman"/>
          <w:i/>
          <w:iCs/>
          <w:szCs w:val="24"/>
        </w:rPr>
        <w:t>Guidelines for drinking-water quality</w:t>
      </w:r>
      <w:r w:rsidRPr="00C46A31">
        <w:rPr>
          <w:rFonts w:ascii="Times New Roman" w:hAnsi="Times New Roman" w:cs="Times New Roman"/>
          <w:szCs w:val="24"/>
        </w:rPr>
        <w:t xml:space="preserve"> (4th edition).</w:t>
      </w:r>
    </w:p>
    <w:p w14:paraId="13E7E3C0"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lastRenderedPageBreak/>
        <w:t xml:space="preserve">Yuan, Y., Sun, T., Wang, H., Liu, Y., Pan, Y., Xie, Y., &amp; Song, S. (2020). Bioaccumulation and health risk assessment of heavy metals in bivalve species in Daya Bay (South China Sea). </w:t>
      </w:r>
      <w:r w:rsidRPr="00C46A31">
        <w:rPr>
          <w:rFonts w:ascii="Times New Roman" w:hAnsi="Times New Roman" w:cs="Times New Roman"/>
          <w:i/>
          <w:iCs/>
          <w:szCs w:val="24"/>
        </w:rPr>
        <w:t>Marine Pollution Bulletin, 150</w:t>
      </w:r>
      <w:r w:rsidRPr="00C46A31">
        <w:rPr>
          <w:rFonts w:ascii="Times New Roman" w:hAnsi="Times New Roman" w:cs="Times New Roman"/>
          <w:szCs w:val="24"/>
        </w:rPr>
        <w:t>, 110717.</w:t>
      </w:r>
    </w:p>
    <w:p w14:paraId="421901E9"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Zeng, X., Chen, X., Li, X., &amp; Zhang, Y. (2024). </w:t>
      </w:r>
      <w:proofErr w:type="spellStart"/>
      <w:r w:rsidRPr="00C46A31">
        <w:rPr>
          <w:rFonts w:ascii="Times New Roman" w:hAnsi="Times New Roman" w:cs="Times New Roman"/>
          <w:szCs w:val="24"/>
        </w:rPr>
        <w:t>Hydrochemical</w:t>
      </w:r>
      <w:proofErr w:type="spellEnd"/>
      <w:r w:rsidRPr="00C46A31">
        <w:rPr>
          <w:rFonts w:ascii="Times New Roman" w:hAnsi="Times New Roman" w:cs="Times New Roman"/>
          <w:szCs w:val="24"/>
        </w:rPr>
        <w:t xml:space="preserve"> controls on metal transport in estuarine mixing zones. </w:t>
      </w:r>
      <w:r w:rsidRPr="00C46A31">
        <w:rPr>
          <w:rFonts w:ascii="Times New Roman" w:hAnsi="Times New Roman" w:cs="Times New Roman"/>
          <w:i/>
          <w:iCs/>
          <w:szCs w:val="24"/>
        </w:rPr>
        <w:t>Journal of Hydrology, 628</w:t>
      </w:r>
      <w:r w:rsidRPr="00C46A31">
        <w:rPr>
          <w:rFonts w:ascii="Times New Roman" w:hAnsi="Times New Roman" w:cs="Times New Roman"/>
          <w:szCs w:val="24"/>
        </w:rPr>
        <w:t>, 130430.</w:t>
      </w:r>
    </w:p>
    <w:p w14:paraId="546B1438"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E7C1E">
        <w:rPr>
          <w:rFonts w:ascii="Times New Roman" w:hAnsi="Times New Roman" w:cs="Times New Roman"/>
          <w:szCs w:val="24"/>
          <w:lang w:val="fr-FR"/>
        </w:rPr>
        <w:t xml:space="preserve">Zhao, S., Zhao, Y., Cui, Z., Zhang, H., &amp; Zhang, J. (2024). </w:t>
      </w:r>
      <w:r w:rsidRPr="00C46A31">
        <w:rPr>
          <w:rFonts w:ascii="Times New Roman" w:hAnsi="Times New Roman" w:cs="Times New Roman"/>
          <w:szCs w:val="24"/>
        </w:rPr>
        <w:t xml:space="preserve">Effect of pH, temperature, and salinity levels on heavy metal fraction in lake sediments. </w:t>
      </w:r>
      <w:r w:rsidRPr="00C46A31">
        <w:rPr>
          <w:rFonts w:ascii="Times New Roman" w:hAnsi="Times New Roman" w:cs="Times New Roman"/>
          <w:i/>
          <w:iCs/>
          <w:szCs w:val="24"/>
        </w:rPr>
        <w:t>Toxics, 12</w:t>
      </w:r>
      <w:r w:rsidRPr="00C46A31">
        <w:rPr>
          <w:rFonts w:ascii="Times New Roman" w:hAnsi="Times New Roman" w:cs="Times New Roman"/>
          <w:szCs w:val="24"/>
        </w:rPr>
        <w:t>(7), 494.</w:t>
      </w:r>
    </w:p>
    <w:p w14:paraId="2AF39A9C" w14:textId="77777777" w:rsidR="00407946" w:rsidRPr="00C46A31" w:rsidRDefault="00407946" w:rsidP="00C46A31">
      <w:pPr>
        <w:numPr>
          <w:ilvl w:val="0"/>
          <w:numId w:val="2"/>
        </w:numPr>
        <w:spacing w:line="360" w:lineRule="auto"/>
        <w:jc w:val="both"/>
        <w:rPr>
          <w:rFonts w:ascii="Times New Roman" w:hAnsi="Times New Roman" w:cs="Times New Roman"/>
          <w:szCs w:val="24"/>
        </w:rPr>
      </w:pPr>
      <w:r w:rsidRPr="00C46A31">
        <w:rPr>
          <w:rFonts w:ascii="Times New Roman" w:hAnsi="Times New Roman" w:cs="Times New Roman"/>
          <w:szCs w:val="24"/>
        </w:rPr>
        <w:t xml:space="preserve">Zhou, L., Wang, B., &amp; Liu, X. (2025). Seasonal monsoon effects on estuarine sediment metal chemistry. </w:t>
      </w:r>
      <w:r w:rsidRPr="00C46A31">
        <w:rPr>
          <w:rFonts w:ascii="Times New Roman" w:hAnsi="Times New Roman" w:cs="Times New Roman"/>
          <w:i/>
          <w:iCs/>
          <w:szCs w:val="24"/>
        </w:rPr>
        <w:t>Environmental Toxicology, 40</w:t>
      </w:r>
      <w:r w:rsidRPr="00C46A31">
        <w:rPr>
          <w:rFonts w:ascii="Times New Roman" w:hAnsi="Times New Roman" w:cs="Times New Roman"/>
          <w:szCs w:val="24"/>
        </w:rPr>
        <w:t>(1), 55–70.</w:t>
      </w:r>
    </w:p>
    <w:p w14:paraId="09B3AF39" w14:textId="77777777" w:rsidR="0026141C" w:rsidRPr="00496BFD" w:rsidRDefault="00407946" w:rsidP="0026141C">
      <w:pPr>
        <w:numPr>
          <w:ilvl w:val="0"/>
          <w:numId w:val="2"/>
        </w:numPr>
        <w:spacing w:line="360" w:lineRule="auto"/>
        <w:jc w:val="both"/>
        <w:rPr>
          <w:szCs w:val="24"/>
          <w:lang w:val="en-US"/>
        </w:rPr>
      </w:pPr>
      <w:r w:rsidRPr="00C46A31">
        <w:rPr>
          <w:rFonts w:ascii="Times New Roman" w:hAnsi="Times New Roman" w:cs="Times New Roman"/>
          <w:szCs w:val="24"/>
        </w:rPr>
        <w:t xml:space="preserve">Zhu, N., &amp; Kong, M. (2023). Seasonal dynamics of trace metals in subtropical estuaries. </w:t>
      </w:r>
      <w:r w:rsidRPr="00C46A31">
        <w:rPr>
          <w:rFonts w:ascii="Times New Roman" w:hAnsi="Times New Roman" w:cs="Times New Roman"/>
          <w:i/>
          <w:iCs/>
          <w:szCs w:val="24"/>
        </w:rPr>
        <w:t>Marine Environmental Research, 185</w:t>
      </w:r>
      <w:r w:rsidRPr="00C46A31">
        <w:rPr>
          <w:rFonts w:ascii="Times New Roman" w:hAnsi="Times New Roman" w:cs="Times New Roman"/>
          <w:szCs w:val="24"/>
        </w:rPr>
        <w:t>, 106637.</w:t>
      </w:r>
      <w:r w:rsidR="0026141C">
        <w:rPr>
          <w:rFonts w:ascii="Times New Roman" w:hAnsi="Times New Roman" w:cs="Times New Roman"/>
          <w:szCs w:val="24"/>
        </w:rPr>
        <w:t xml:space="preserve"> </w:t>
      </w:r>
    </w:p>
    <w:p w14:paraId="1A3D3E32" w14:textId="11E37E5A" w:rsidR="0026141C" w:rsidRPr="00496BFD" w:rsidRDefault="0026141C" w:rsidP="0026141C">
      <w:pPr>
        <w:numPr>
          <w:ilvl w:val="0"/>
          <w:numId w:val="2"/>
        </w:numPr>
        <w:spacing w:line="360" w:lineRule="auto"/>
        <w:jc w:val="both"/>
        <w:rPr>
          <w:rFonts w:ascii="Times New Roman" w:hAnsi="Times New Roman" w:cs="Times New Roman"/>
          <w:szCs w:val="24"/>
          <w:highlight w:val="yellow"/>
          <w:lang w:val="en-US"/>
        </w:rPr>
      </w:pPr>
      <w:proofErr w:type="spellStart"/>
      <w:r w:rsidRPr="00496BFD">
        <w:rPr>
          <w:rFonts w:ascii="Times New Roman" w:hAnsi="Times New Roman" w:cs="Times New Roman"/>
          <w:szCs w:val="24"/>
          <w:highlight w:val="yellow"/>
          <w:lang w:val="en-US"/>
        </w:rPr>
        <w:t>Laignel</w:t>
      </w:r>
      <w:proofErr w:type="spellEnd"/>
      <w:r w:rsidRPr="00496BFD">
        <w:rPr>
          <w:rFonts w:ascii="Times New Roman" w:hAnsi="Times New Roman" w:cs="Times New Roman"/>
          <w:szCs w:val="24"/>
          <w:highlight w:val="yellow"/>
          <w:lang w:val="en-US"/>
        </w:rPr>
        <w:t xml:space="preserve">, B., </w:t>
      </w:r>
      <w:proofErr w:type="spellStart"/>
      <w:r w:rsidRPr="00496BFD">
        <w:rPr>
          <w:rFonts w:ascii="Times New Roman" w:hAnsi="Times New Roman" w:cs="Times New Roman"/>
          <w:szCs w:val="24"/>
          <w:highlight w:val="yellow"/>
          <w:lang w:val="en-US"/>
        </w:rPr>
        <w:t>Vignudelli</w:t>
      </w:r>
      <w:proofErr w:type="spellEnd"/>
      <w:r w:rsidRPr="00496BFD">
        <w:rPr>
          <w:rFonts w:ascii="Times New Roman" w:hAnsi="Times New Roman" w:cs="Times New Roman"/>
          <w:szCs w:val="24"/>
          <w:highlight w:val="yellow"/>
          <w:lang w:val="en-US"/>
        </w:rPr>
        <w:t xml:space="preserve">, S., Almar, R., Becker, M., Bentamy, A., Benveniste, J., Birol, F., </w:t>
      </w:r>
      <w:proofErr w:type="spellStart"/>
      <w:r w:rsidRPr="00496BFD">
        <w:rPr>
          <w:rFonts w:ascii="Times New Roman" w:hAnsi="Times New Roman" w:cs="Times New Roman"/>
          <w:szCs w:val="24"/>
          <w:highlight w:val="yellow"/>
          <w:lang w:val="en-US"/>
        </w:rPr>
        <w:t>Frappart</w:t>
      </w:r>
      <w:proofErr w:type="spellEnd"/>
      <w:r w:rsidRPr="00496BFD">
        <w:rPr>
          <w:rFonts w:ascii="Times New Roman" w:hAnsi="Times New Roman" w:cs="Times New Roman"/>
          <w:szCs w:val="24"/>
          <w:highlight w:val="yellow"/>
          <w:lang w:val="en-US"/>
        </w:rPr>
        <w:t>, F., Idier, D., Salameh, E., Passaro, M., Menende, M., Simard, M., Turki, E. I., &amp; Verpoorter, C. (2023). Observation of the Coastal Areas, Estuaries and Deltas from Space. </w:t>
      </w:r>
      <w:r w:rsidRPr="00496BFD">
        <w:rPr>
          <w:rFonts w:ascii="Times New Roman" w:hAnsi="Times New Roman" w:cs="Times New Roman"/>
          <w:i/>
          <w:iCs/>
          <w:szCs w:val="24"/>
          <w:highlight w:val="yellow"/>
          <w:lang w:val="en-US"/>
        </w:rPr>
        <w:t>Surveys in Geophysics</w:t>
      </w:r>
      <w:r w:rsidRPr="00496BFD">
        <w:rPr>
          <w:rFonts w:ascii="Times New Roman" w:hAnsi="Times New Roman" w:cs="Times New Roman"/>
          <w:szCs w:val="24"/>
          <w:highlight w:val="yellow"/>
          <w:lang w:val="en-US"/>
        </w:rPr>
        <w:t>, </w:t>
      </w:r>
      <w:r w:rsidRPr="00496BFD">
        <w:rPr>
          <w:rFonts w:ascii="Times New Roman" w:hAnsi="Times New Roman" w:cs="Times New Roman"/>
          <w:i/>
          <w:iCs/>
          <w:szCs w:val="24"/>
          <w:highlight w:val="yellow"/>
          <w:lang w:val="en-US"/>
        </w:rPr>
        <w:t>44</w:t>
      </w:r>
      <w:r w:rsidRPr="00496BFD">
        <w:rPr>
          <w:rFonts w:ascii="Times New Roman" w:hAnsi="Times New Roman" w:cs="Times New Roman"/>
          <w:szCs w:val="24"/>
          <w:highlight w:val="yellow"/>
          <w:lang w:val="en-US"/>
        </w:rPr>
        <w:t xml:space="preserve">(5), 1309–1356. </w:t>
      </w:r>
      <w:hyperlink r:id="rId13" w:history="1">
        <w:r w:rsidRPr="00496BFD">
          <w:rPr>
            <w:rStyle w:val="Hyperlink"/>
            <w:rFonts w:ascii="Times New Roman" w:hAnsi="Times New Roman" w:cs="Times New Roman"/>
            <w:szCs w:val="24"/>
            <w:highlight w:val="yellow"/>
            <w:lang w:val="en-US"/>
          </w:rPr>
          <w:t>https://doi.org/10.1007/s10712-022-09757-6</w:t>
        </w:r>
      </w:hyperlink>
      <w:r w:rsidRPr="00496BFD">
        <w:rPr>
          <w:rFonts w:ascii="Times New Roman" w:hAnsi="Times New Roman" w:cs="Times New Roman"/>
          <w:szCs w:val="24"/>
          <w:highlight w:val="yellow"/>
          <w:lang w:val="en-US"/>
        </w:rPr>
        <w:t xml:space="preserve"> </w:t>
      </w:r>
    </w:p>
    <w:p w14:paraId="3A87B744" w14:textId="783534D3" w:rsidR="0026141C" w:rsidRPr="00496BFD" w:rsidRDefault="0026141C" w:rsidP="0026141C">
      <w:pPr>
        <w:numPr>
          <w:ilvl w:val="0"/>
          <w:numId w:val="2"/>
        </w:numPr>
        <w:spacing w:line="360" w:lineRule="auto"/>
        <w:jc w:val="both"/>
        <w:rPr>
          <w:rFonts w:ascii="Times New Roman" w:hAnsi="Times New Roman" w:cs="Times New Roman"/>
          <w:szCs w:val="24"/>
          <w:highlight w:val="yellow"/>
          <w:lang w:val="en-US"/>
        </w:rPr>
      </w:pPr>
      <w:r w:rsidRPr="00496BFD">
        <w:rPr>
          <w:rFonts w:ascii="Times New Roman" w:hAnsi="Times New Roman" w:cs="Times New Roman"/>
          <w:szCs w:val="24"/>
          <w:highlight w:val="yellow"/>
          <w:lang w:val="en-US"/>
        </w:rPr>
        <w:t>‌</w:t>
      </w:r>
      <w:r w:rsidRPr="00496BFD">
        <w:rPr>
          <w:rFonts w:ascii="Times New Roman" w:hAnsi="Times New Roman" w:cs="Times New Roman"/>
          <w:szCs w:val="24"/>
          <w:highlight w:val="yellow"/>
        </w:rPr>
        <w:t>Booi, S., Mishi, S., &amp; Andersen, O. (2022). Ecosystem Services: A Systematic Review of Provisioning and Cultural Ecosystem Services in Estuaries. </w:t>
      </w:r>
      <w:r w:rsidRPr="00496BFD">
        <w:rPr>
          <w:rFonts w:ascii="Times New Roman" w:hAnsi="Times New Roman" w:cs="Times New Roman"/>
          <w:i/>
          <w:iCs/>
          <w:szCs w:val="24"/>
          <w:highlight w:val="yellow"/>
        </w:rPr>
        <w:t>Sustainability</w:t>
      </w:r>
      <w:r w:rsidRPr="00496BFD">
        <w:rPr>
          <w:rFonts w:ascii="Times New Roman" w:hAnsi="Times New Roman" w:cs="Times New Roman"/>
          <w:szCs w:val="24"/>
          <w:highlight w:val="yellow"/>
        </w:rPr>
        <w:t>, </w:t>
      </w:r>
      <w:r w:rsidRPr="00496BFD">
        <w:rPr>
          <w:rFonts w:ascii="Times New Roman" w:hAnsi="Times New Roman" w:cs="Times New Roman"/>
          <w:i/>
          <w:iCs/>
          <w:szCs w:val="24"/>
          <w:highlight w:val="yellow"/>
        </w:rPr>
        <w:t>14</w:t>
      </w:r>
      <w:r w:rsidRPr="00496BFD">
        <w:rPr>
          <w:rFonts w:ascii="Times New Roman" w:hAnsi="Times New Roman" w:cs="Times New Roman"/>
          <w:szCs w:val="24"/>
          <w:highlight w:val="yellow"/>
        </w:rPr>
        <w:t xml:space="preserve">(12), 7252. </w:t>
      </w:r>
      <w:hyperlink r:id="rId14" w:history="1">
        <w:r w:rsidRPr="00496BFD">
          <w:rPr>
            <w:rStyle w:val="Hyperlink"/>
            <w:rFonts w:ascii="Times New Roman" w:hAnsi="Times New Roman" w:cs="Times New Roman"/>
            <w:szCs w:val="24"/>
            <w:highlight w:val="yellow"/>
          </w:rPr>
          <w:t>https://doi.org/10.3390/su14127252</w:t>
        </w:r>
      </w:hyperlink>
      <w:r w:rsidRPr="00496BFD">
        <w:rPr>
          <w:rFonts w:ascii="Times New Roman" w:hAnsi="Times New Roman" w:cs="Times New Roman"/>
          <w:szCs w:val="24"/>
          <w:highlight w:val="yellow"/>
        </w:rPr>
        <w:t xml:space="preserve"> </w:t>
      </w:r>
    </w:p>
    <w:p w14:paraId="1C318492" w14:textId="361A170C" w:rsidR="0026141C" w:rsidRPr="00496BFD" w:rsidRDefault="0026141C" w:rsidP="0026141C">
      <w:pPr>
        <w:pStyle w:val="ListParagraph"/>
        <w:numPr>
          <w:ilvl w:val="0"/>
          <w:numId w:val="2"/>
        </w:numPr>
        <w:spacing w:after="0" w:line="480" w:lineRule="atLeast"/>
        <w:rPr>
          <w:rFonts w:ascii="Times New Roman" w:eastAsia="Times New Roman" w:hAnsi="Times New Roman" w:cs="Times New Roman"/>
          <w:color w:val="000000"/>
          <w:kern w:val="0"/>
          <w:szCs w:val="24"/>
          <w:highlight w:val="yellow"/>
          <w:lang w:val="en-US" w:bidi="ar-SA"/>
        </w:rPr>
      </w:pPr>
      <w:proofErr w:type="spellStart"/>
      <w:r w:rsidRPr="00496BFD">
        <w:rPr>
          <w:rFonts w:ascii="Times New Roman" w:eastAsia="Times New Roman" w:hAnsi="Times New Roman" w:cs="Times New Roman"/>
          <w:color w:val="000000"/>
          <w:kern w:val="0"/>
          <w:szCs w:val="24"/>
          <w:highlight w:val="yellow"/>
          <w:lang w:val="en-US" w:bidi="ar-SA"/>
        </w:rPr>
        <w:t>Largier</w:t>
      </w:r>
      <w:proofErr w:type="spellEnd"/>
      <w:r w:rsidRPr="00496BFD">
        <w:rPr>
          <w:rFonts w:ascii="Times New Roman" w:eastAsia="Times New Roman" w:hAnsi="Times New Roman" w:cs="Times New Roman"/>
          <w:color w:val="000000"/>
          <w:kern w:val="0"/>
          <w:szCs w:val="24"/>
          <w:highlight w:val="yellow"/>
          <w:lang w:val="en-US" w:bidi="ar-SA"/>
        </w:rPr>
        <w:t>, J. L. (2023). Recognizing Low-Inflow Estuaries as a Common Estuary Paradigm. </w:t>
      </w:r>
      <w:r w:rsidRPr="00496BFD">
        <w:rPr>
          <w:rFonts w:ascii="Times New Roman" w:eastAsia="Times New Roman" w:hAnsi="Times New Roman" w:cs="Times New Roman"/>
          <w:i/>
          <w:iCs/>
          <w:color w:val="000000"/>
          <w:kern w:val="0"/>
          <w:szCs w:val="24"/>
          <w:highlight w:val="yellow"/>
          <w:lang w:val="en-US" w:bidi="ar-SA"/>
        </w:rPr>
        <w:t>Estuaries and Coasts</w:t>
      </w:r>
      <w:r w:rsidRPr="00496BFD">
        <w:rPr>
          <w:rFonts w:ascii="Times New Roman" w:eastAsia="Times New Roman" w:hAnsi="Times New Roman" w:cs="Times New Roman"/>
          <w:color w:val="000000"/>
          <w:kern w:val="0"/>
          <w:szCs w:val="24"/>
          <w:highlight w:val="yellow"/>
          <w:lang w:val="en-US" w:bidi="ar-SA"/>
        </w:rPr>
        <w:t>, </w:t>
      </w:r>
      <w:r w:rsidRPr="00496BFD">
        <w:rPr>
          <w:rFonts w:ascii="Times New Roman" w:eastAsia="Times New Roman" w:hAnsi="Times New Roman" w:cs="Times New Roman"/>
          <w:i/>
          <w:iCs/>
          <w:color w:val="000000"/>
          <w:kern w:val="0"/>
          <w:szCs w:val="24"/>
          <w:highlight w:val="yellow"/>
          <w:lang w:val="en-US" w:bidi="ar-SA"/>
        </w:rPr>
        <w:t>46</w:t>
      </w:r>
      <w:r w:rsidRPr="00496BFD">
        <w:rPr>
          <w:rFonts w:ascii="Times New Roman" w:eastAsia="Times New Roman" w:hAnsi="Times New Roman" w:cs="Times New Roman"/>
          <w:color w:val="000000"/>
          <w:kern w:val="0"/>
          <w:szCs w:val="24"/>
          <w:highlight w:val="yellow"/>
          <w:lang w:val="en-US" w:bidi="ar-SA"/>
        </w:rPr>
        <w:t xml:space="preserve">(8), 1949–1970. </w:t>
      </w:r>
      <w:hyperlink r:id="rId15" w:history="1">
        <w:r w:rsidRPr="00496BFD">
          <w:rPr>
            <w:rStyle w:val="Hyperlink"/>
            <w:rFonts w:ascii="Times New Roman" w:eastAsia="Times New Roman" w:hAnsi="Times New Roman" w:cs="Times New Roman"/>
            <w:kern w:val="0"/>
            <w:szCs w:val="24"/>
            <w:highlight w:val="yellow"/>
            <w:lang w:val="en-US" w:bidi="ar-SA"/>
          </w:rPr>
          <w:t>https://doi.org/10.1007/s12237-023-01271-1</w:t>
        </w:r>
      </w:hyperlink>
      <w:r w:rsidRPr="00496BFD">
        <w:rPr>
          <w:rFonts w:ascii="Times New Roman" w:eastAsia="Times New Roman" w:hAnsi="Times New Roman" w:cs="Times New Roman"/>
          <w:color w:val="000000"/>
          <w:kern w:val="0"/>
          <w:szCs w:val="24"/>
          <w:highlight w:val="yellow"/>
          <w:lang w:val="en-US" w:bidi="ar-SA"/>
        </w:rPr>
        <w:t xml:space="preserve"> </w:t>
      </w:r>
    </w:p>
    <w:p w14:paraId="2FD1793E" w14:textId="77777777" w:rsidR="00430042" w:rsidRPr="00496BFD" w:rsidRDefault="0026141C" w:rsidP="00430042">
      <w:pPr>
        <w:pStyle w:val="ListParagraph"/>
        <w:numPr>
          <w:ilvl w:val="0"/>
          <w:numId w:val="2"/>
        </w:numPr>
        <w:spacing w:before="100" w:beforeAutospacing="1" w:after="100" w:afterAutospacing="1" w:line="240" w:lineRule="auto"/>
        <w:rPr>
          <w:rFonts w:ascii="Times New Roman" w:eastAsia="Times New Roman" w:hAnsi="Times New Roman" w:cs="Times New Roman"/>
          <w:color w:val="000000"/>
          <w:kern w:val="0"/>
          <w:szCs w:val="24"/>
          <w:highlight w:val="yellow"/>
          <w:lang w:val="en-US" w:bidi="ar-SA"/>
        </w:rPr>
      </w:pPr>
      <w:r w:rsidRPr="00496BFD">
        <w:rPr>
          <w:rFonts w:ascii="Times New Roman" w:eastAsia="Times New Roman" w:hAnsi="Times New Roman" w:cs="Times New Roman"/>
          <w:color w:val="000000"/>
          <w:kern w:val="0"/>
          <w:szCs w:val="24"/>
          <w:highlight w:val="yellow"/>
          <w:lang w:val="en-US" w:bidi="ar-SA"/>
        </w:rPr>
        <w:t>‌</w:t>
      </w:r>
      <w:r w:rsidR="00430042" w:rsidRPr="00496BFD">
        <w:rPr>
          <w:rFonts w:ascii="Times New Roman" w:eastAsia="Times New Roman" w:hAnsi="Times New Roman" w:cs="Times New Roman"/>
          <w:color w:val="000000"/>
          <w:kern w:val="0"/>
          <w:szCs w:val="24"/>
          <w:highlight w:val="yellow"/>
          <w:lang w:val="en-US" w:bidi="ar-SA"/>
        </w:rPr>
        <w:t>Sekar, S., &amp; Perumal, M. (2026). Geochemical variation and ecological risk assessment of heavy metals and their bioaccumulation in fish species from two estuaries in Southern India. </w:t>
      </w:r>
      <w:r w:rsidR="00430042" w:rsidRPr="00496BFD">
        <w:rPr>
          <w:rFonts w:ascii="Times New Roman" w:eastAsia="Times New Roman" w:hAnsi="Times New Roman" w:cs="Times New Roman"/>
          <w:i/>
          <w:iCs/>
          <w:color w:val="000000"/>
          <w:kern w:val="0"/>
          <w:szCs w:val="24"/>
          <w:highlight w:val="yellow"/>
          <w:lang w:val="en-US" w:bidi="ar-SA"/>
        </w:rPr>
        <w:t>Geoscience Frontiers</w:t>
      </w:r>
      <w:r w:rsidR="00430042" w:rsidRPr="00496BFD">
        <w:rPr>
          <w:rFonts w:ascii="Times New Roman" w:eastAsia="Times New Roman" w:hAnsi="Times New Roman" w:cs="Times New Roman"/>
          <w:color w:val="000000"/>
          <w:kern w:val="0"/>
          <w:szCs w:val="24"/>
          <w:highlight w:val="yellow"/>
          <w:lang w:val="en-US" w:bidi="ar-SA"/>
        </w:rPr>
        <w:t>, </w:t>
      </w:r>
      <w:r w:rsidR="00430042" w:rsidRPr="00496BFD">
        <w:rPr>
          <w:rFonts w:ascii="Times New Roman" w:eastAsia="Times New Roman" w:hAnsi="Times New Roman" w:cs="Times New Roman"/>
          <w:i/>
          <w:iCs/>
          <w:color w:val="000000"/>
          <w:kern w:val="0"/>
          <w:szCs w:val="24"/>
          <w:highlight w:val="yellow"/>
          <w:lang w:val="en-US" w:bidi="ar-SA"/>
        </w:rPr>
        <w:t>17</w:t>
      </w:r>
      <w:r w:rsidR="00430042" w:rsidRPr="00496BFD">
        <w:rPr>
          <w:rFonts w:ascii="Times New Roman" w:eastAsia="Times New Roman" w:hAnsi="Times New Roman" w:cs="Times New Roman"/>
          <w:color w:val="000000"/>
          <w:kern w:val="0"/>
          <w:szCs w:val="24"/>
          <w:highlight w:val="yellow"/>
          <w:lang w:val="en-US" w:bidi="ar-SA"/>
        </w:rPr>
        <w:t>(4), 102300. https://doi.org/10.1016/j.gsf.2026.102300</w:t>
      </w:r>
    </w:p>
    <w:p w14:paraId="2C57EC3D" w14:textId="440EABFD" w:rsidR="005D7294" w:rsidRDefault="005D7294" w:rsidP="005D7294">
      <w:pPr>
        <w:pStyle w:val="ListParagraph"/>
        <w:rPr>
          <w:rFonts w:ascii="Times New Roman" w:eastAsia="Times New Roman" w:hAnsi="Times New Roman" w:cs="Times New Roman"/>
          <w:color w:val="000000"/>
          <w:kern w:val="0"/>
          <w:szCs w:val="24"/>
          <w:highlight w:val="yellow"/>
          <w:lang w:val="en-US" w:bidi="ar-SA"/>
        </w:rPr>
      </w:pPr>
    </w:p>
    <w:p w14:paraId="3AC6F7A5" w14:textId="51044856" w:rsidR="003A6EE5" w:rsidRPr="00496BFD" w:rsidRDefault="003A6EE5" w:rsidP="003A6EE5">
      <w:pPr>
        <w:pStyle w:val="ListParagraph"/>
        <w:numPr>
          <w:ilvl w:val="0"/>
          <w:numId w:val="2"/>
        </w:numPr>
        <w:rPr>
          <w:rFonts w:ascii="Times New Roman" w:eastAsia="Times New Roman" w:hAnsi="Times New Roman" w:cs="Times New Roman"/>
          <w:color w:val="000000"/>
          <w:kern w:val="0"/>
          <w:szCs w:val="24"/>
          <w:highlight w:val="yellow"/>
          <w:lang w:val="en-US" w:bidi="ar-SA"/>
        </w:rPr>
      </w:pPr>
      <w:r w:rsidRPr="00496BFD">
        <w:rPr>
          <w:rFonts w:ascii="Times New Roman" w:eastAsia="Times New Roman" w:hAnsi="Times New Roman" w:cs="Times New Roman"/>
          <w:color w:val="000000"/>
          <w:kern w:val="0"/>
          <w:szCs w:val="24"/>
          <w:highlight w:val="yellow"/>
          <w:lang w:val="en-US" w:bidi="ar-SA"/>
        </w:rPr>
        <w:t>Liu, P., Wu, Q., Hu, W., Tian, K., Huang, B., &amp; Zhao, Y. (2023b). Comparison of heavy metals in riverine and estuarine sediments in the lower Yangtze River: Distribution, sources, and ecological risks. </w:t>
      </w:r>
      <w:r w:rsidRPr="00496BFD">
        <w:rPr>
          <w:rFonts w:ascii="Times New Roman" w:eastAsia="Times New Roman" w:hAnsi="Times New Roman" w:cs="Times New Roman"/>
          <w:i/>
          <w:iCs/>
          <w:color w:val="000000"/>
          <w:kern w:val="0"/>
          <w:szCs w:val="24"/>
          <w:highlight w:val="yellow"/>
          <w:lang w:val="en-US" w:bidi="ar-SA"/>
        </w:rPr>
        <w:t>Environmental Technology &amp; Innovation</w:t>
      </w:r>
      <w:r w:rsidRPr="00496BFD">
        <w:rPr>
          <w:rFonts w:ascii="Times New Roman" w:eastAsia="Times New Roman" w:hAnsi="Times New Roman" w:cs="Times New Roman"/>
          <w:color w:val="000000"/>
          <w:kern w:val="0"/>
          <w:szCs w:val="24"/>
          <w:highlight w:val="yellow"/>
          <w:lang w:val="en-US" w:bidi="ar-SA"/>
        </w:rPr>
        <w:t>, </w:t>
      </w:r>
      <w:r w:rsidRPr="00496BFD">
        <w:rPr>
          <w:rFonts w:ascii="Times New Roman" w:eastAsia="Times New Roman" w:hAnsi="Times New Roman" w:cs="Times New Roman"/>
          <w:i/>
          <w:iCs/>
          <w:color w:val="000000"/>
          <w:kern w:val="0"/>
          <w:szCs w:val="24"/>
          <w:highlight w:val="yellow"/>
          <w:lang w:val="en-US" w:bidi="ar-SA"/>
        </w:rPr>
        <w:t>30</w:t>
      </w:r>
      <w:r w:rsidRPr="00496BFD">
        <w:rPr>
          <w:rFonts w:ascii="Times New Roman" w:eastAsia="Times New Roman" w:hAnsi="Times New Roman" w:cs="Times New Roman"/>
          <w:color w:val="000000"/>
          <w:kern w:val="0"/>
          <w:szCs w:val="24"/>
          <w:highlight w:val="yellow"/>
          <w:lang w:val="en-US" w:bidi="ar-SA"/>
        </w:rPr>
        <w:t>, 103076. https://doi.org/10.1016/j.eti.2023.103076</w:t>
      </w:r>
    </w:p>
    <w:p w14:paraId="7E174F74" w14:textId="5A9F25CB" w:rsidR="003A6EE5" w:rsidRPr="00496BFD" w:rsidRDefault="003A6EE5" w:rsidP="00496BFD">
      <w:pPr>
        <w:pStyle w:val="ListParagraph"/>
        <w:rPr>
          <w:rFonts w:ascii="Times New Roman" w:eastAsia="Times New Roman" w:hAnsi="Times New Roman" w:cs="Times New Roman"/>
          <w:color w:val="000000"/>
          <w:kern w:val="0"/>
          <w:szCs w:val="24"/>
          <w:highlight w:val="yellow"/>
          <w:lang w:val="en-US" w:bidi="ar-SA"/>
        </w:rPr>
      </w:pPr>
    </w:p>
    <w:p w14:paraId="122502BD" w14:textId="5F4FFF2A" w:rsidR="00430042" w:rsidRPr="00496BFD" w:rsidRDefault="00430042" w:rsidP="00496BFD">
      <w:pPr>
        <w:rPr>
          <w:rFonts w:ascii="Times New Roman" w:eastAsia="Times New Roman" w:hAnsi="Times New Roman" w:cs="Times New Roman"/>
          <w:color w:val="000000"/>
          <w:kern w:val="0"/>
          <w:szCs w:val="24"/>
          <w:highlight w:val="yellow"/>
          <w:lang w:val="en-US" w:bidi="ar-SA"/>
        </w:rPr>
      </w:pPr>
    </w:p>
    <w:p w14:paraId="32B78675" w14:textId="30E6BD84" w:rsidR="0026141C" w:rsidRPr="00496BFD" w:rsidRDefault="0026141C" w:rsidP="00961A78">
      <w:pPr>
        <w:pStyle w:val="ListParagraph"/>
        <w:spacing w:before="100" w:beforeAutospacing="1" w:after="100" w:afterAutospacing="1" w:line="240" w:lineRule="auto"/>
        <w:rPr>
          <w:rFonts w:ascii="Times New Roman" w:eastAsia="Times New Roman" w:hAnsi="Times New Roman" w:cs="Times New Roman"/>
          <w:color w:val="000000"/>
          <w:kern w:val="0"/>
          <w:szCs w:val="24"/>
          <w:highlight w:val="yellow"/>
          <w:lang w:val="en-US" w:bidi="ar-SA"/>
        </w:rPr>
      </w:pPr>
    </w:p>
    <w:p w14:paraId="5E7F2C96" w14:textId="038E80E7" w:rsidR="007C30BB" w:rsidRPr="0026141C" w:rsidRDefault="007C30BB" w:rsidP="00961A78">
      <w:pPr>
        <w:spacing w:line="360" w:lineRule="auto"/>
        <w:ind w:left="720"/>
        <w:jc w:val="both"/>
        <w:rPr>
          <w:rFonts w:ascii="Times New Roman" w:hAnsi="Times New Roman" w:cs="Times New Roman"/>
          <w:szCs w:val="24"/>
        </w:rPr>
      </w:pPr>
    </w:p>
    <w:sectPr w:rsidR="007C30BB" w:rsidRPr="0026141C" w:rsidSect="00790D8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FDB75" w14:textId="77777777" w:rsidR="00937AA3" w:rsidRDefault="00937AA3" w:rsidP="00D627EC">
      <w:pPr>
        <w:spacing w:after="0" w:line="240" w:lineRule="auto"/>
      </w:pPr>
      <w:r>
        <w:separator/>
      </w:r>
    </w:p>
  </w:endnote>
  <w:endnote w:type="continuationSeparator" w:id="0">
    <w:p w14:paraId="2CFA8FAD" w14:textId="77777777" w:rsidR="00937AA3" w:rsidRDefault="00937AA3" w:rsidP="00D62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0AC7" w14:textId="77777777" w:rsidR="00A2319F" w:rsidRDefault="00A23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E5D7" w14:textId="77777777" w:rsidR="00A2319F" w:rsidRDefault="00A231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9C9" w14:textId="77777777" w:rsidR="00A2319F" w:rsidRDefault="00A23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EF8B4" w14:textId="77777777" w:rsidR="00937AA3" w:rsidRDefault="00937AA3" w:rsidP="00D627EC">
      <w:pPr>
        <w:spacing w:after="0" w:line="240" w:lineRule="auto"/>
      </w:pPr>
      <w:r>
        <w:separator/>
      </w:r>
    </w:p>
  </w:footnote>
  <w:footnote w:type="continuationSeparator" w:id="0">
    <w:p w14:paraId="1D05BB52" w14:textId="77777777" w:rsidR="00937AA3" w:rsidRDefault="00937AA3" w:rsidP="00D62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3C08" w14:textId="77CCB7BF" w:rsidR="00A2319F" w:rsidRDefault="005D7294">
    <w:pPr>
      <w:pStyle w:val="Header"/>
    </w:pPr>
    <w:r>
      <w:rPr>
        <w:noProof/>
      </w:rPr>
      <w:pict w14:anchorId="38E65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711408"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3EFD" w14:textId="06C603A9" w:rsidR="00A2319F" w:rsidRDefault="005D7294">
    <w:pPr>
      <w:pStyle w:val="Header"/>
    </w:pPr>
    <w:r>
      <w:rPr>
        <w:noProof/>
      </w:rPr>
      <w:pict w14:anchorId="5B527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711409"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1915" w14:textId="66507E33" w:rsidR="00A2319F" w:rsidRDefault="005D7294">
    <w:pPr>
      <w:pStyle w:val="Header"/>
    </w:pPr>
    <w:r>
      <w:rPr>
        <w:noProof/>
      </w:rPr>
      <w:pict w14:anchorId="5123D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711407"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04D7"/>
    <w:multiLevelType w:val="multilevel"/>
    <w:tmpl w:val="C9C4F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762F12"/>
    <w:multiLevelType w:val="multilevel"/>
    <w:tmpl w:val="EFB8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467750">
    <w:abstractNumId w:val="1"/>
  </w:num>
  <w:num w:numId="2" w16cid:durableId="883759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xNzY2MDM3sjA3NTJU0lEKTi0uzszPAykwrgUAS2qVBCwAAAA="/>
  </w:docVars>
  <w:rsids>
    <w:rsidRoot w:val="007C30BB"/>
    <w:rsid w:val="00021DCE"/>
    <w:rsid w:val="000317A4"/>
    <w:rsid w:val="00057074"/>
    <w:rsid w:val="0007332F"/>
    <w:rsid w:val="00085588"/>
    <w:rsid w:val="000B331F"/>
    <w:rsid w:val="000F004A"/>
    <w:rsid w:val="000F6D6C"/>
    <w:rsid w:val="000F76ED"/>
    <w:rsid w:val="001006B1"/>
    <w:rsid w:val="00107005"/>
    <w:rsid w:val="00123401"/>
    <w:rsid w:val="00135085"/>
    <w:rsid w:val="00137D42"/>
    <w:rsid w:val="0014288D"/>
    <w:rsid w:val="00147F6E"/>
    <w:rsid w:val="00160641"/>
    <w:rsid w:val="00163FB8"/>
    <w:rsid w:val="00180A21"/>
    <w:rsid w:val="00187569"/>
    <w:rsid w:val="001B76DD"/>
    <w:rsid w:val="001C5F02"/>
    <w:rsid w:val="001F6010"/>
    <w:rsid w:val="00256E09"/>
    <w:rsid w:val="0026141C"/>
    <w:rsid w:val="00265E60"/>
    <w:rsid w:val="00266875"/>
    <w:rsid w:val="002C44ED"/>
    <w:rsid w:val="002F690B"/>
    <w:rsid w:val="003127EE"/>
    <w:rsid w:val="00313F40"/>
    <w:rsid w:val="0031578E"/>
    <w:rsid w:val="00315A49"/>
    <w:rsid w:val="00343635"/>
    <w:rsid w:val="00381ABA"/>
    <w:rsid w:val="00382DC1"/>
    <w:rsid w:val="00392FE7"/>
    <w:rsid w:val="003A6EE5"/>
    <w:rsid w:val="003C51A2"/>
    <w:rsid w:val="003D439C"/>
    <w:rsid w:val="003F32F7"/>
    <w:rsid w:val="00400A71"/>
    <w:rsid w:val="00405888"/>
    <w:rsid w:val="00407946"/>
    <w:rsid w:val="00416FE4"/>
    <w:rsid w:val="00430042"/>
    <w:rsid w:val="00436FB8"/>
    <w:rsid w:val="004418FF"/>
    <w:rsid w:val="00460654"/>
    <w:rsid w:val="00467418"/>
    <w:rsid w:val="004860D0"/>
    <w:rsid w:val="004910C4"/>
    <w:rsid w:val="00496BFD"/>
    <w:rsid w:val="004D6191"/>
    <w:rsid w:val="0051591B"/>
    <w:rsid w:val="00522FD6"/>
    <w:rsid w:val="00532B37"/>
    <w:rsid w:val="00541783"/>
    <w:rsid w:val="0056455B"/>
    <w:rsid w:val="00571BA6"/>
    <w:rsid w:val="00594320"/>
    <w:rsid w:val="005A159E"/>
    <w:rsid w:val="005B043E"/>
    <w:rsid w:val="005C1158"/>
    <w:rsid w:val="005C1994"/>
    <w:rsid w:val="005D7294"/>
    <w:rsid w:val="005E1B15"/>
    <w:rsid w:val="005E3557"/>
    <w:rsid w:val="00611292"/>
    <w:rsid w:val="006601F1"/>
    <w:rsid w:val="00683EC8"/>
    <w:rsid w:val="006A65F8"/>
    <w:rsid w:val="006A6DAC"/>
    <w:rsid w:val="007010C8"/>
    <w:rsid w:val="00740B06"/>
    <w:rsid w:val="00741276"/>
    <w:rsid w:val="0074304A"/>
    <w:rsid w:val="00756E40"/>
    <w:rsid w:val="007833B1"/>
    <w:rsid w:val="00790D87"/>
    <w:rsid w:val="00792EF0"/>
    <w:rsid w:val="0079614E"/>
    <w:rsid w:val="007A60CB"/>
    <w:rsid w:val="007C30BB"/>
    <w:rsid w:val="007D2FEA"/>
    <w:rsid w:val="007D35F7"/>
    <w:rsid w:val="007F0D26"/>
    <w:rsid w:val="007F4034"/>
    <w:rsid w:val="00806E15"/>
    <w:rsid w:val="00811098"/>
    <w:rsid w:val="00812407"/>
    <w:rsid w:val="008173E7"/>
    <w:rsid w:val="00821424"/>
    <w:rsid w:val="00822EA1"/>
    <w:rsid w:val="00841DEB"/>
    <w:rsid w:val="0084722F"/>
    <w:rsid w:val="008562D4"/>
    <w:rsid w:val="008622B0"/>
    <w:rsid w:val="00874406"/>
    <w:rsid w:val="00887197"/>
    <w:rsid w:val="008934B1"/>
    <w:rsid w:val="008A3B78"/>
    <w:rsid w:val="008E47C0"/>
    <w:rsid w:val="00937AA3"/>
    <w:rsid w:val="00943656"/>
    <w:rsid w:val="00947779"/>
    <w:rsid w:val="00951ABF"/>
    <w:rsid w:val="00954897"/>
    <w:rsid w:val="00954F1B"/>
    <w:rsid w:val="00956789"/>
    <w:rsid w:val="0095741F"/>
    <w:rsid w:val="00961A78"/>
    <w:rsid w:val="00961F43"/>
    <w:rsid w:val="00965B24"/>
    <w:rsid w:val="00981DE4"/>
    <w:rsid w:val="00984CA6"/>
    <w:rsid w:val="0099060C"/>
    <w:rsid w:val="00A146F6"/>
    <w:rsid w:val="00A2319F"/>
    <w:rsid w:val="00A23820"/>
    <w:rsid w:val="00A26AB4"/>
    <w:rsid w:val="00A84192"/>
    <w:rsid w:val="00A856E4"/>
    <w:rsid w:val="00A97492"/>
    <w:rsid w:val="00AA1218"/>
    <w:rsid w:val="00AA3D54"/>
    <w:rsid w:val="00AD0BA9"/>
    <w:rsid w:val="00AE2D9E"/>
    <w:rsid w:val="00AF5D9E"/>
    <w:rsid w:val="00AF6B6C"/>
    <w:rsid w:val="00B309BD"/>
    <w:rsid w:val="00B369D3"/>
    <w:rsid w:val="00B37C86"/>
    <w:rsid w:val="00B41572"/>
    <w:rsid w:val="00B51ACF"/>
    <w:rsid w:val="00B5538B"/>
    <w:rsid w:val="00B722B9"/>
    <w:rsid w:val="00B80A2E"/>
    <w:rsid w:val="00BA2B8D"/>
    <w:rsid w:val="00BB51AC"/>
    <w:rsid w:val="00BB641B"/>
    <w:rsid w:val="00C06389"/>
    <w:rsid w:val="00C15585"/>
    <w:rsid w:val="00C31851"/>
    <w:rsid w:val="00C341B8"/>
    <w:rsid w:val="00C46A31"/>
    <w:rsid w:val="00C70AD9"/>
    <w:rsid w:val="00C75C3A"/>
    <w:rsid w:val="00C823F9"/>
    <w:rsid w:val="00C87374"/>
    <w:rsid w:val="00CC0B9C"/>
    <w:rsid w:val="00CD1F00"/>
    <w:rsid w:val="00CE7C1E"/>
    <w:rsid w:val="00D06EBF"/>
    <w:rsid w:val="00D34278"/>
    <w:rsid w:val="00D56107"/>
    <w:rsid w:val="00D5619E"/>
    <w:rsid w:val="00D57041"/>
    <w:rsid w:val="00D627EC"/>
    <w:rsid w:val="00D7611C"/>
    <w:rsid w:val="00D85287"/>
    <w:rsid w:val="00DA35B1"/>
    <w:rsid w:val="00DA4CAF"/>
    <w:rsid w:val="00DB10CD"/>
    <w:rsid w:val="00DF2477"/>
    <w:rsid w:val="00E03CB1"/>
    <w:rsid w:val="00E176D7"/>
    <w:rsid w:val="00E310A5"/>
    <w:rsid w:val="00E32214"/>
    <w:rsid w:val="00E365F1"/>
    <w:rsid w:val="00E51401"/>
    <w:rsid w:val="00E62478"/>
    <w:rsid w:val="00E660AE"/>
    <w:rsid w:val="00E67572"/>
    <w:rsid w:val="00EA5FB8"/>
    <w:rsid w:val="00EA6C48"/>
    <w:rsid w:val="00EC0180"/>
    <w:rsid w:val="00ED0448"/>
    <w:rsid w:val="00EE13DB"/>
    <w:rsid w:val="00EF5319"/>
    <w:rsid w:val="00F10F0A"/>
    <w:rsid w:val="00F25ECF"/>
    <w:rsid w:val="00F53838"/>
    <w:rsid w:val="00F55CF2"/>
    <w:rsid w:val="00F603CF"/>
    <w:rsid w:val="00F667D9"/>
    <w:rsid w:val="00F81033"/>
    <w:rsid w:val="00F81424"/>
    <w:rsid w:val="00FC5152"/>
    <w:rsid w:val="00FD23CD"/>
    <w:rsid w:val="00FD3D27"/>
    <w:rsid w:val="00FE5E4C"/>
    <w:rsid w:val="00FF1842"/>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D3695"/>
  <w15:docId w15:val="{653068CB-4F8D-4A95-A783-5385A9EF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mr-IN"/>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D87"/>
  </w:style>
  <w:style w:type="paragraph" w:styleId="Heading1">
    <w:name w:val="heading 1"/>
    <w:basedOn w:val="Normal"/>
    <w:next w:val="Normal"/>
    <w:link w:val="Heading1Char"/>
    <w:uiPriority w:val="9"/>
    <w:qFormat/>
    <w:rsid w:val="007C30B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C30B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C30B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C3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0B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C30B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C30B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C3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0BB"/>
    <w:rPr>
      <w:rFonts w:eastAsiaTheme="majorEastAsia" w:cstheme="majorBidi"/>
      <w:color w:val="272727" w:themeColor="text1" w:themeTint="D8"/>
    </w:rPr>
  </w:style>
  <w:style w:type="paragraph" w:styleId="Title">
    <w:name w:val="Title"/>
    <w:basedOn w:val="Normal"/>
    <w:next w:val="Normal"/>
    <w:link w:val="TitleChar"/>
    <w:uiPriority w:val="10"/>
    <w:qFormat/>
    <w:rsid w:val="007C30B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C30B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C30B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C30B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C30BB"/>
    <w:pPr>
      <w:spacing w:before="160"/>
      <w:jc w:val="center"/>
    </w:pPr>
    <w:rPr>
      <w:i/>
      <w:iCs/>
      <w:color w:val="404040" w:themeColor="text1" w:themeTint="BF"/>
    </w:rPr>
  </w:style>
  <w:style w:type="character" w:customStyle="1" w:styleId="QuoteChar">
    <w:name w:val="Quote Char"/>
    <w:basedOn w:val="DefaultParagraphFont"/>
    <w:link w:val="Quote"/>
    <w:uiPriority w:val="29"/>
    <w:rsid w:val="007C30BB"/>
    <w:rPr>
      <w:i/>
      <w:iCs/>
      <w:color w:val="404040" w:themeColor="text1" w:themeTint="BF"/>
    </w:rPr>
  </w:style>
  <w:style w:type="paragraph" w:styleId="ListParagraph">
    <w:name w:val="List Paragraph"/>
    <w:basedOn w:val="Normal"/>
    <w:uiPriority w:val="34"/>
    <w:qFormat/>
    <w:rsid w:val="007C30BB"/>
    <w:pPr>
      <w:ind w:left="720"/>
      <w:contextualSpacing/>
    </w:pPr>
  </w:style>
  <w:style w:type="character" w:styleId="IntenseEmphasis">
    <w:name w:val="Intense Emphasis"/>
    <w:basedOn w:val="DefaultParagraphFont"/>
    <w:uiPriority w:val="21"/>
    <w:qFormat/>
    <w:rsid w:val="007C30BB"/>
    <w:rPr>
      <w:i/>
      <w:iCs/>
      <w:color w:val="0F4761" w:themeColor="accent1" w:themeShade="BF"/>
    </w:rPr>
  </w:style>
  <w:style w:type="paragraph" w:styleId="IntenseQuote">
    <w:name w:val="Intense Quote"/>
    <w:basedOn w:val="Normal"/>
    <w:next w:val="Normal"/>
    <w:link w:val="IntenseQuoteChar"/>
    <w:uiPriority w:val="30"/>
    <w:qFormat/>
    <w:rsid w:val="007C3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0BB"/>
    <w:rPr>
      <w:i/>
      <w:iCs/>
      <w:color w:val="0F4761" w:themeColor="accent1" w:themeShade="BF"/>
    </w:rPr>
  </w:style>
  <w:style w:type="character" w:styleId="IntenseReference">
    <w:name w:val="Intense Reference"/>
    <w:basedOn w:val="DefaultParagraphFont"/>
    <w:uiPriority w:val="32"/>
    <w:qFormat/>
    <w:rsid w:val="007C30BB"/>
    <w:rPr>
      <w:b/>
      <w:bCs/>
      <w:smallCaps/>
      <w:color w:val="0F4761" w:themeColor="accent1" w:themeShade="BF"/>
      <w:spacing w:val="5"/>
    </w:rPr>
  </w:style>
  <w:style w:type="table" w:styleId="TableGrid">
    <w:name w:val="Table Grid"/>
    <w:basedOn w:val="TableNormal"/>
    <w:uiPriority w:val="39"/>
    <w:rsid w:val="00E66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4320"/>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594320"/>
    <w:rPr>
      <w:rFonts w:ascii="Tahoma" w:hAnsi="Tahoma" w:cs="Tahoma"/>
      <w:sz w:val="16"/>
      <w:szCs w:val="14"/>
    </w:rPr>
  </w:style>
  <w:style w:type="paragraph" w:styleId="Header">
    <w:name w:val="header"/>
    <w:basedOn w:val="Normal"/>
    <w:link w:val="HeaderChar"/>
    <w:uiPriority w:val="99"/>
    <w:unhideWhenUsed/>
    <w:rsid w:val="00D62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7EC"/>
  </w:style>
  <w:style w:type="paragraph" w:styleId="Footer">
    <w:name w:val="footer"/>
    <w:basedOn w:val="Normal"/>
    <w:link w:val="FooterChar"/>
    <w:uiPriority w:val="99"/>
    <w:unhideWhenUsed/>
    <w:rsid w:val="00D62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7EC"/>
  </w:style>
  <w:style w:type="character" w:styleId="Hyperlink">
    <w:name w:val="Hyperlink"/>
    <w:basedOn w:val="DefaultParagraphFont"/>
    <w:uiPriority w:val="99"/>
    <w:unhideWhenUsed/>
    <w:rsid w:val="002C44ED"/>
    <w:rPr>
      <w:color w:val="467886" w:themeColor="hyperlink"/>
      <w:u w:val="single"/>
    </w:rPr>
  </w:style>
  <w:style w:type="character" w:styleId="UnresolvedMention">
    <w:name w:val="Unresolved Mention"/>
    <w:basedOn w:val="DefaultParagraphFont"/>
    <w:uiPriority w:val="99"/>
    <w:semiHidden/>
    <w:unhideWhenUsed/>
    <w:rsid w:val="002C44ED"/>
    <w:rPr>
      <w:color w:val="605E5C"/>
      <w:shd w:val="clear" w:color="auto" w:fill="E1DFDD"/>
    </w:rPr>
  </w:style>
  <w:style w:type="paragraph" w:styleId="NormalWeb">
    <w:name w:val="Normal (Web)"/>
    <w:basedOn w:val="Normal"/>
    <w:uiPriority w:val="99"/>
    <w:semiHidden/>
    <w:unhideWhenUsed/>
    <w:rsid w:val="00A97492"/>
    <w:rPr>
      <w:rFonts w:ascii="Times New Roman" w:hAnsi="Times New Roman" w:cs="Times New Roman"/>
    </w:rPr>
  </w:style>
  <w:style w:type="paragraph" w:styleId="Revision">
    <w:name w:val="Revision"/>
    <w:hidden/>
    <w:uiPriority w:val="99"/>
    <w:semiHidden/>
    <w:rsid w:val="00C063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07/s10712-022-09757-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yperlink" Target="https://doi.org/10.1007/s12237-023-01271-1" TargetMode="Externa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3390/su14127252"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Pre Mon</c:v>
                </c:pt>
              </c:strCache>
            </c:strRef>
          </c:tx>
          <c:cat>
            <c:strRef>
              <c:f>Sheet1!$A$2:$A$7</c:f>
              <c:strCache>
                <c:ptCount val="6"/>
                <c:pt idx="0">
                  <c:v>Cd</c:v>
                </c:pt>
                <c:pt idx="1">
                  <c:v>Cu</c:v>
                </c:pt>
                <c:pt idx="2">
                  <c:v>Zn</c:v>
                </c:pt>
                <c:pt idx="3">
                  <c:v>Cr</c:v>
                </c:pt>
                <c:pt idx="4">
                  <c:v>Ni</c:v>
                </c:pt>
                <c:pt idx="5">
                  <c:v>Pb</c:v>
                </c:pt>
              </c:strCache>
            </c:strRef>
          </c:cat>
          <c:val>
            <c:numRef>
              <c:f>Sheet1!$B$2:$B$7</c:f>
              <c:numCache>
                <c:formatCode>General</c:formatCode>
                <c:ptCount val="6"/>
                <c:pt idx="0">
                  <c:v>0.42000000000000004</c:v>
                </c:pt>
                <c:pt idx="1">
                  <c:v>1.1200000000000001</c:v>
                </c:pt>
                <c:pt idx="2">
                  <c:v>3.24</c:v>
                </c:pt>
                <c:pt idx="3">
                  <c:v>0.78</c:v>
                </c:pt>
                <c:pt idx="4">
                  <c:v>0.65000000000000013</c:v>
                </c:pt>
                <c:pt idx="5">
                  <c:v>1.02</c:v>
                </c:pt>
              </c:numCache>
            </c:numRef>
          </c:val>
          <c:smooth val="0"/>
          <c:extLst>
            <c:ext xmlns:c16="http://schemas.microsoft.com/office/drawing/2014/chart" uri="{C3380CC4-5D6E-409C-BE32-E72D297353CC}">
              <c16:uniqueId val="{00000000-AF51-41EF-9C5D-B25411762AAF}"/>
            </c:ext>
          </c:extLst>
        </c:ser>
        <c:ser>
          <c:idx val="1"/>
          <c:order val="1"/>
          <c:tx>
            <c:strRef>
              <c:f>Sheet1!$C$1</c:f>
              <c:strCache>
                <c:ptCount val="1"/>
                <c:pt idx="0">
                  <c:v>Monsoon</c:v>
                </c:pt>
              </c:strCache>
            </c:strRef>
          </c:tx>
          <c:cat>
            <c:strRef>
              <c:f>Sheet1!$A$2:$A$7</c:f>
              <c:strCache>
                <c:ptCount val="6"/>
                <c:pt idx="0">
                  <c:v>Cd</c:v>
                </c:pt>
                <c:pt idx="1">
                  <c:v>Cu</c:v>
                </c:pt>
                <c:pt idx="2">
                  <c:v>Zn</c:v>
                </c:pt>
                <c:pt idx="3">
                  <c:v>Cr</c:v>
                </c:pt>
                <c:pt idx="4">
                  <c:v>Ni</c:v>
                </c:pt>
                <c:pt idx="5">
                  <c:v>Pb</c:v>
                </c:pt>
              </c:strCache>
            </c:strRef>
          </c:cat>
          <c:val>
            <c:numRef>
              <c:f>Sheet1!$C$2:$C$7</c:f>
              <c:numCache>
                <c:formatCode>General</c:formatCode>
                <c:ptCount val="6"/>
                <c:pt idx="0">
                  <c:v>0.6100000000000001</c:v>
                </c:pt>
                <c:pt idx="1">
                  <c:v>1.45</c:v>
                </c:pt>
                <c:pt idx="2">
                  <c:v>4.1199999999999992</c:v>
                </c:pt>
                <c:pt idx="3">
                  <c:v>1.05</c:v>
                </c:pt>
                <c:pt idx="4">
                  <c:v>1.1200000000000001</c:v>
                </c:pt>
                <c:pt idx="5">
                  <c:v>1.3800000000000001</c:v>
                </c:pt>
              </c:numCache>
            </c:numRef>
          </c:val>
          <c:smooth val="0"/>
          <c:extLst>
            <c:ext xmlns:c16="http://schemas.microsoft.com/office/drawing/2014/chart" uri="{C3380CC4-5D6E-409C-BE32-E72D297353CC}">
              <c16:uniqueId val="{00000001-AF51-41EF-9C5D-B25411762AAF}"/>
            </c:ext>
          </c:extLst>
        </c:ser>
        <c:ser>
          <c:idx val="2"/>
          <c:order val="2"/>
          <c:tx>
            <c:strRef>
              <c:f>Sheet1!$D$1</c:f>
              <c:strCache>
                <c:ptCount val="1"/>
                <c:pt idx="0">
                  <c:v>Post Mon</c:v>
                </c:pt>
              </c:strCache>
            </c:strRef>
          </c:tx>
          <c:cat>
            <c:strRef>
              <c:f>Sheet1!$A$2:$A$7</c:f>
              <c:strCache>
                <c:ptCount val="6"/>
                <c:pt idx="0">
                  <c:v>Cd</c:v>
                </c:pt>
                <c:pt idx="1">
                  <c:v>Cu</c:v>
                </c:pt>
                <c:pt idx="2">
                  <c:v>Zn</c:v>
                </c:pt>
                <c:pt idx="3">
                  <c:v>Cr</c:v>
                </c:pt>
                <c:pt idx="4">
                  <c:v>Ni</c:v>
                </c:pt>
                <c:pt idx="5">
                  <c:v>Pb</c:v>
                </c:pt>
              </c:strCache>
            </c:strRef>
          </c:cat>
          <c:val>
            <c:numRef>
              <c:f>Sheet1!$D$2:$D$7</c:f>
              <c:numCache>
                <c:formatCode>General</c:formatCode>
                <c:ptCount val="6"/>
                <c:pt idx="0">
                  <c:v>0.53</c:v>
                </c:pt>
                <c:pt idx="1">
                  <c:v>1.28</c:v>
                </c:pt>
                <c:pt idx="2">
                  <c:v>3.68</c:v>
                </c:pt>
                <c:pt idx="3">
                  <c:v>0.91</c:v>
                </c:pt>
                <c:pt idx="4">
                  <c:v>0.88</c:v>
                </c:pt>
                <c:pt idx="5">
                  <c:v>1.1900000000000002</c:v>
                </c:pt>
              </c:numCache>
            </c:numRef>
          </c:val>
          <c:smooth val="0"/>
          <c:extLst>
            <c:ext xmlns:c16="http://schemas.microsoft.com/office/drawing/2014/chart" uri="{C3380CC4-5D6E-409C-BE32-E72D297353CC}">
              <c16:uniqueId val="{00000002-AF51-41EF-9C5D-B25411762AAF}"/>
            </c:ext>
          </c:extLst>
        </c:ser>
        <c:dLbls>
          <c:showLegendKey val="0"/>
          <c:showVal val="0"/>
          <c:showCatName val="0"/>
          <c:showSerName val="0"/>
          <c:showPercent val="0"/>
          <c:showBubbleSize val="0"/>
        </c:dLbls>
        <c:marker val="1"/>
        <c:smooth val="0"/>
        <c:axId val="47952256"/>
        <c:axId val="47954176"/>
      </c:lineChart>
      <c:catAx>
        <c:axId val="47952256"/>
        <c:scaling>
          <c:orientation val="minMax"/>
        </c:scaling>
        <c:delete val="0"/>
        <c:axPos val="b"/>
        <c:title>
          <c:tx>
            <c:rich>
              <a:bodyPr/>
              <a:lstStyle/>
              <a:p>
                <a:pPr>
                  <a:defRPr/>
                </a:pPr>
                <a:r>
                  <a:rPr lang="en-IN" b="0"/>
                  <a:t>Heavy metal</a:t>
                </a:r>
              </a:p>
            </c:rich>
          </c:tx>
          <c:overlay val="0"/>
        </c:title>
        <c:numFmt formatCode="General" sourceLinked="0"/>
        <c:majorTickMark val="out"/>
        <c:minorTickMark val="none"/>
        <c:tickLblPos val="nextTo"/>
        <c:crossAx val="47954176"/>
        <c:crosses val="autoZero"/>
        <c:auto val="1"/>
        <c:lblAlgn val="ctr"/>
        <c:lblOffset val="100"/>
        <c:noMultiLvlLbl val="0"/>
      </c:catAx>
      <c:valAx>
        <c:axId val="47954176"/>
        <c:scaling>
          <c:orientation val="minMax"/>
        </c:scaling>
        <c:delete val="0"/>
        <c:axPos val="l"/>
        <c:majorGridlines/>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IN" sz="1000" b="0" i="0" u="none" strike="noStrike" kern="1200" baseline="0">
                    <a:solidFill>
                      <a:sysClr val="windowText" lastClr="000000"/>
                    </a:solidFill>
                  </a:rPr>
                  <a:t>concentration</a:t>
                </a:r>
                <a:r>
                  <a:rPr lang="en-IN" sz="1000" b="1" i="0" u="none" strike="noStrike" kern="1200" baseline="0">
                    <a:solidFill>
                      <a:sysClr val="windowText" lastClr="000000"/>
                    </a:solidFill>
                  </a:rPr>
                  <a:t> </a:t>
                </a:r>
                <a:r>
                  <a:rPr lang="en-IN" sz="1000" b="0" i="0" u="none" strike="noStrike" kern="1200" baseline="0">
                    <a:solidFill>
                      <a:sysClr val="windowText" lastClr="000000"/>
                    </a:solidFill>
                  </a:rPr>
                  <a:t>in PPM</a:t>
                </a:r>
              </a:p>
            </c:rich>
          </c:tx>
          <c:overlay val="0"/>
        </c:title>
        <c:numFmt formatCode="General" sourceLinked="1"/>
        <c:majorTickMark val="out"/>
        <c:minorTickMark val="none"/>
        <c:tickLblPos val="nextTo"/>
        <c:crossAx val="4795225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Pre Mon</c:v>
                </c:pt>
              </c:strCache>
            </c:strRef>
          </c:tx>
          <c:cat>
            <c:strRef>
              <c:f>Sheet1!$A$2:$A$7</c:f>
              <c:strCache>
                <c:ptCount val="6"/>
                <c:pt idx="0">
                  <c:v>Cd</c:v>
                </c:pt>
                <c:pt idx="1">
                  <c:v>Cu</c:v>
                </c:pt>
                <c:pt idx="2">
                  <c:v>Zn</c:v>
                </c:pt>
                <c:pt idx="3">
                  <c:v>Cr</c:v>
                </c:pt>
                <c:pt idx="4">
                  <c:v>Ni</c:v>
                </c:pt>
                <c:pt idx="5">
                  <c:v>Pb</c:v>
                </c:pt>
              </c:strCache>
            </c:strRef>
          </c:cat>
          <c:val>
            <c:numRef>
              <c:f>Sheet1!$B$2:$B$7</c:f>
              <c:numCache>
                <c:formatCode>General</c:formatCode>
                <c:ptCount val="6"/>
                <c:pt idx="0">
                  <c:v>0.47000000000000003</c:v>
                </c:pt>
                <c:pt idx="1">
                  <c:v>1.34</c:v>
                </c:pt>
                <c:pt idx="2">
                  <c:v>3.92</c:v>
                </c:pt>
                <c:pt idx="3">
                  <c:v>0.85000000000000009</c:v>
                </c:pt>
                <c:pt idx="4">
                  <c:v>0.69000000000000006</c:v>
                </c:pt>
                <c:pt idx="5">
                  <c:v>1.1399999999999997</c:v>
                </c:pt>
              </c:numCache>
            </c:numRef>
          </c:val>
          <c:smooth val="0"/>
          <c:extLst>
            <c:ext xmlns:c16="http://schemas.microsoft.com/office/drawing/2014/chart" uri="{C3380CC4-5D6E-409C-BE32-E72D297353CC}">
              <c16:uniqueId val="{00000000-AA71-43F5-9DAC-D79B776856F6}"/>
            </c:ext>
          </c:extLst>
        </c:ser>
        <c:ser>
          <c:idx val="1"/>
          <c:order val="1"/>
          <c:tx>
            <c:strRef>
              <c:f>Sheet1!$C$1</c:f>
              <c:strCache>
                <c:ptCount val="1"/>
                <c:pt idx="0">
                  <c:v>Mon</c:v>
                </c:pt>
              </c:strCache>
            </c:strRef>
          </c:tx>
          <c:cat>
            <c:strRef>
              <c:f>Sheet1!$A$2:$A$7</c:f>
              <c:strCache>
                <c:ptCount val="6"/>
                <c:pt idx="0">
                  <c:v>Cd</c:v>
                </c:pt>
                <c:pt idx="1">
                  <c:v>Cu</c:v>
                </c:pt>
                <c:pt idx="2">
                  <c:v>Zn</c:v>
                </c:pt>
                <c:pt idx="3">
                  <c:v>Cr</c:v>
                </c:pt>
                <c:pt idx="4">
                  <c:v>Ni</c:v>
                </c:pt>
                <c:pt idx="5">
                  <c:v>Pb</c:v>
                </c:pt>
              </c:strCache>
            </c:strRef>
          </c:cat>
          <c:val>
            <c:numRef>
              <c:f>Sheet1!$C$2:$C$7</c:f>
              <c:numCache>
                <c:formatCode>General</c:formatCode>
                <c:ptCount val="6"/>
                <c:pt idx="0">
                  <c:v>0.66000000000000014</c:v>
                </c:pt>
                <c:pt idx="1">
                  <c:v>1.58</c:v>
                </c:pt>
                <c:pt idx="2">
                  <c:v>4.4800000000000004</c:v>
                </c:pt>
                <c:pt idx="3">
                  <c:v>1.0900000000000001</c:v>
                </c:pt>
                <c:pt idx="4">
                  <c:v>1.1800000000000002</c:v>
                </c:pt>
                <c:pt idx="5">
                  <c:v>1.47</c:v>
                </c:pt>
              </c:numCache>
            </c:numRef>
          </c:val>
          <c:smooth val="0"/>
          <c:extLst>
            <c:ext xmlns:c16="http://schemas.microsoft.com/office/drawing/2014/chart" uri="{C3380CC4-5D6E-409C-BE32-E72D297353CC}">
              <c16:uniqueId val="{00000001-AA71-43F5-9DAC-D79B776856F6}"/>
            </c:ext>
          </c:extLst>
        </c:ser>
        <c:ser>
          <c:idx val="2"/>
          <c:order val="2"/>
          <c:tx>
            <c:strRef>
              <c:f>Sheet1!$D$1</c:f>
              <c:strCache>
                <c:ptCount val="1"/>
                <c:pt idx="0">
                  <c:v>Post Mon</c:v>
                </c:pt>
              </c:strCache>
            </c:strRef>
          </c:tx>
          <c:cat>
            <c:strRef>
              <c:f>Sheet1!$A$2:$A$7</c:f>
              <c:strCache>
                <c:ptCount val="6"/>
                <c:pt idx="0">
                  <c:v>Cd</c:v>
                </c:pt>
                <c:pt idx="1">
                  <c:v>Cu</c:v>
                </c:pt>
                <c:pt idx="2">
                  <c:v>Zn</c:v>
                </c:pt>
                <c:pt idx="3">
                  <c:v>Cr</c:v>
                </c:pt>
                <c:pt idx="4">
                  <c:v>Ni</c:v>
                </c:pt>
                <c:pt idx="5">
                  <c:v>Pb</c:v>
                </c:pt>
              </c:strCache>
            </c:strRef>
          </c:cat>
          <c:val>
            <c:numRef>
              <c:f>Sheet1!$D$2:$D$7</c:f>
              <c:numCache>
                <c:formatCode>General</c:formatCode>
                <c:ptCount val="6"/>
                <c:pt idx="0">
                  <c:v>0.55000000000000004</c:v>
                </c:pt>
                <c:pt idx="1">
                  <c:v>1.31</c:v>
                </c:pt>
                <c:pt idx="2">
                  <c:v>3.86</c:v>
                </c:pt>
                <c:pt idx="3">
                  <c:v>0.94000000000000006</c:v>
                </c:pt>
                <c:pt idx="4">
                  <c:v>0.92</c:v>
                </c:pt>
                <c:pt idx="5">
                  <c:v>1.23</c:v>
                </c:pt>
              </c:numCache>
            </c:numRef>
          </c:val>
          <c:smooth val="0"/>
          <c:extLst>
            <c:ext xmlns:c16="http://schemas.microsoft.com/office/drawing/2014/chart" uri="{C3380CC4-5D6E-409C-BE32-E72D297353CC}">
              <c16:uniqueId val="{00000002-AA71-43F5-9DAC-D79B776856F6}"/>
            </c:ext>
          </c:extLst>
        </c:ser>
        <c:dLbls>
          <c:showLegendKey val="0"/>
          <c:showVal val="0"/>
          <c:showCatName val="0"/>
          <c:showSerName val="0"/>
          <c:showPercent val="0"/>
          <c:showBubbleSize val="0"/>
        </c:dLbls>
        <c:marker val="1"/>
        <c:smooth val="0"/>
        <c:axId val="87747200"/>
        <c:axId val="95499008"/>
      </c:lineChart>
      <c:catAx>
        <c:axId val="87747200"/>
        <c:scaling>
          <c:orientation val="minMax"/>
        </c:scaling>
        <c:delete val="0"/>
        <c:axPos val="b"/>
        <c:title>
          <c:tx>
            <c:rich>
              <a:bodyPr/>
              <a:lstStyle/>
              <a:p>
                <a:pPr>
                  <a:defRPr/>
                </a:pPr>
                <a:r>
                  <a:rPr lang="en-IN" b="0"/>
                  <a:t>Heavy metal</a:t>
                </a:r>
              </a:p>
            </c:rich>
          </c:tx>
          <c:overlay val="0"/>
        </c:title>
        <c:numFmt formatCode="General" sourceLinked="0"/>
        <c:majorTickMark val="out"/>
        <c:minorTickMark val="none"/>
        <c:tickLblPos val="nextTo"/>
        <c:crossAx val="95499008"/>
        <c:crosses val="autoZero"/>
        <c:auto val="1"/>
        <c:lblAlgn val="ctr"/>
        <c:lblOffset val="100"/>
        <c:noMultiLvlLbl val="0"/>
      </c:catAx>
      <c:valAx>
        <c:axId val="95499008"/>
        <c:scaling>
          <c:orientation val="minMax"/>
        </c:scaling>
        <c:delete val="0"/>
        <c:axPos val="l"/>
        <c:majorGridlines/>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IN" sz="1000" b="0" i="0" u="none" strike="noStrike" kern="1200" baseline="0">
                    <a:solidFill>
                      <a:sysClr val="windowText" lastClr="000000"/>
                    </a:solidFill>
                  </a:rPr>
                  <a:t>concentration</a:t>
                </a:r>
                <a:r>
                  <a:rPr lang="en-IN" sz="1000" b="1" i="0" u="none" strike="noStrike" kern="1200" baseline="0">
                    <a:solidFill>
                      <a:sysClr val="windowText" lastClr="000000"/>
                    </a:solidFill>
                  </a:rPr>
                  <a:t> </a:t>
                </a:r>
                <a:r>
                  <a:rPr lang="en-IN" sz="1000" b="0" i="0" u="none" strike="noStrike" kern="1200" baseline="0">
                    <a:solidFill>
                      <a:sysClr val="windowText" lastClr="000000"/>
                    </a:solidFill>
                  </a:rPr>
                  <a:t>in PPM</a:t>
                </a:r>
              </a:p>
            </c:rich>
          </c:tx>
          <c:overlay val="0"/>
        </c:title>
        <c:numFmt formatCode="General" sourceLinked="1"/>
        <c:majorTickMark val="out"/>
        <c:minorTickMark val="none"/>
        <c:tickLblPos val="nextTo"/>
        <c:crossAx val="8774720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Pre Mon</c:v>
                </c:pt>
              </c:strCache>
            </c:strRef>
          </c:tx>
          <c:cat>
            <c:strRef>
              <c:f>Sheet1!$A$2:$A$7</c:f>
              <c:strCache>
                <c:ptCount val="6"/>
                <c:pt idx="0">
                  <c:v>Cd</c:v>
                </c:pt>
                <c:pt idx="1">
                  <c:v>Cu</c:v>
                </c:pt>
                <c:pt idx="2">
                  <c:v>Zn</c:v>
                </c:pt>
                <c:pt idx="3">
                  <c:v>Cr</c:v>
                </c:pt>
                <c:pt idx="4">
                  <c:v>Ni</c:v>
                </c:pt>
                <c:pt idx="5">
                  <c:v>Pb</c:v>
                </c:pt>
              </c:strCache>
            </c:strRef>
          </c:cat>
          <c:val>
            <c:numRef>
              <c:f>Sheet1!$B$2:$B$7</c:f>
              <c:numCache>
                <c:formatCode>General</c:formatCode>
                <c:ptCount val="6"/>
                <c:pt idx="0">
                  <c:v>0.49000000000000005</c:v>
                </c:pt>
                <c:pt idx="1">
                  <c:v>1.3900000000000001</c:v>
                </c:pt>
                <c:pt idx="2">
                  <c:v>4.05</c:v>
                </c:pt>
                <c:pt idx="3">
                  <c:v>0.88</c:v>
                </c:pt>
                <c:pt idx="4">
                  <c:v>0.72000000000000008</c:v>
                </c:pt>
                <c:pt idx="5">
                  <c:v>1.1800000000000002</c:v>
                </c:pt>
              </c:numCache>
            </c:numRef>
          </c:val>
          <c:smooth val="0"/>
          <c:extLst>
            <c:ext xmlns:c16="http://schemas.microsoft.com/office/drawing/2014/chart" uri="{C3380CC4-5D6E-409C-BE32-E72D297353CC}">
              <c16:uniqueId val="{00000000-E9C3-4A96-A55B-2061B73F9422}"/>
            </c:ext>
          </c:extLst>
        </c:ser>
        <c:ser>
          <c:idx val="1"/>
          <c:order val="1"/>
          <c:tx>
            <c:strRef>
              <c:f>Sheet1!$C$1</c:f>
              <c:strCache>
                <c:ptCount val="1"/>
                <c:pt idx="0">
                  <c:v>Monsoon</c:v>
                </c:pt>
              </c:strCache>
            </c:strRef>
          </c:tx>
          <c:cat>
            <c:strRef>
              <c:f>Sheet1!$A$2:$A$7</c:f>
              <c:strCache>
                <c:ptCount val="6"/>
                <c:pt idx="0">
                  <c:v>Cd</c:v>
                </c:pt>
                <c:pt idx="1">
                  <c:v>Cu</c:v>
                </c:pt>
                <c:pt idx="2">
                  <c:v>Zn</c:v>
                </c:pt>
                <c:pt idx="3">
                  <c:v>Cr</c:v>
                </c:pt>
                <c:pt idx="4">
                  <c:v>Ni</c:v>
                </c:pt>
                <c:pt idx="5">
                  <c:v>Pb</c:v>
                </c:pt>
              </c:strCache>
            </c:strRef>
          </c:cat>
          <c:val>
            <c:numRef>
              <c:f>Sheet1!$C$2:$C$7</c:f>
              <c:numCache>
                <c:formatCode>General</c:formatCode>
                <c:ptCount val="6"/>
                <c:pt idx="0">
                  <c:v>0.69000000000000006</c:v>
                </c:pt>
                <c:pt idx="1">
                  <c:v>1.62</c:v>
                </c:pt>
                <c:pt idx="2">
                  <c:v>4.3499999999999996</c:v>
                </c:pt>
                <c:pt idx="3">
                  <c:v>1.1200000000000001</c:v>
                </c:pt>
                <c:pt idx="4">
                  <c:v>1.2</c:v>
                </c:pt>
                <c:pt idx="5">
                  <c:v>1.52</c:v>
                </c:pt>
              </c:numCache>
            </c:numRef>
          </c:val>
          <c:smooth val="0"/>
          <c:extLst>
            <c:ext xmlns:c16="http://schemas.microsoft.com/office/drawing/2014/chart" uri="{C3380CC4-5D6E-409C-BE32-E72D297353CC}">
              <c16:uniqueId val="{00000001-E9C3-4A96-A55B-2061B73F9422}"/>
            </c:ext>
          </c:extLst>
        </c:ser>
        <c:ser>
          <c:idx val="2"/>
          <c:order val="2"/>
          <c:tx>
            <c:strRef>
              <c:f>Sheet1!$D$1</c:f>
              <c:strCache>
                <c:ptCount val="1"/>
                <c:pt idx="0">
                  <c:v>Post Mon</c:v>
                </c:pt>
              </c:strCache>
            </c:strRef>
          </c:tx>
          <c:cat>
            <c:strRef>
              <c:f>Sheet1!$A$2:$A$7</c:f>
              <c:strCache>
                <c:ptCount val="6"/>
                <c:pt idx="0">
                  <c:v>Cd</c:v>
                </c:pt>
                <c:pt idx="1">
                  <c:v>Cu</c:v>
                </c:pt>
                <c:pt idx="2">
                  <c:v>Zn</c:v>
                </c:pt>
                <c:pt idx="3">
                  <c:v>Cr</c:v>
                </c:pt>
                <c:pt idx="4">
                  <c:v>Ni</c:v>
                </c:pt>
                <c:pt idx="5">
                  <c:v>Pb</c:v>
                </c:pt>
              </c:strCache>
            </c:strRef>
          </c:cat>
          <c:val>
            <c:numRef>
              <c:f>Sheet1!$D$2:$D$7</c:f>
              <c:numCache>
                <c:formatCode>General</c:formatCode>
                <c:ptCount val="6"/>
                <c:pt idx="0">
                  <c:v>0.56999999999999995</c:v>
                </c:pt>
                <c:pt idx="1">
                  <c:v>1.36</c:v>
                </c:pt>
                <c:pt idx="2">
                  <c:v>3.9099999999999997</c:v>
                </c:pt>
                <c:pt idx="3">
                  <c:v>0.97000000000000008</c:v>
                </c:pt>
                <c:pt idx="4">
                  <c:v>0.95000000000000007</c:v>
                </c:pt>
                <c:pt idx="5">
                  <c:v>1.27</c:v>
                </c:pt>
              </c:numCache>
            </c:numRef>
          </c:val>
          <c:smooth val="0"/>
          <c:extLst>
            <c:ext xmlns:c16="http://schemas.microsoft.com/office/drawing/2014/chart" uri="{C3380CC4-5D6E-409C-BE32-E72D297353CC}">
              <c16:uniqueId val="{00000002-E9C3-4A96-A55B-2061B73F9422}"/>
            </c:ext>
          </c:extLst>
        </c:ser>
        <c:dLbls>
          <c:showLegendKey val="0"/>
          <c:showVal val="0"/>
          <c:showCatName val="0"/>
          <c:showSerName val="0"/>
          <c:showPercent val="0"/>
          <c:showBubbleSize val="0"/>
        </c:dLbls>
        <c:marker val="1"/>
        <c:smooth val="0"/>
        <c:axId val="96184192"/>
        <c:axId val="96403456"/>
      </c:lineChart>
      <c:catAx>
        <c:axId val="96184192"/>
        <c:scaling>
          <c:orientation val="minMax"/>
        </c:scaling>
        <c:delete val="0"/>
        <c:axPos val="b"/>
        <c:title>
          <c:tx>
            <c:rich>
              <a:bodyPr/>
              <a:lstStyle/>
              <a:p>
                <a:pPr>
                  <a:defRPr/>
                </a:pPr>
                <a:r>
                  <a:rPr lang="en-IN" b="0"/>
                  <a:t>Heavy</a:t>
                </a:r>
                <a:r>
                  <a:rPr lang="en-IN" baseline="0"/>
                  <a:t> </a:t>
                </a:r>
                <a:r>
                  <a:rPr lang="en-IN" b="0" baseline="0"/>
                  <a:t>metal</a:t>
                </a:r>
                <a:endParaRPr lang="en-IN" b="0"/>
              </a:p>
            </c:rich>
          </c:tx>
          <c:overlay val="0"/>
        </c:title>
        <c:numFmt formatCode="General" sourceLinked="0"/>
        <c:majorTickMark val="out"/>
        <c:minorTickMark val="none"/>
        <c:tickLblPos val="nextTo"/>
        <c:crossAx val="96403456"/>
        <c:crosses val="autoZero"/>
        <c:auto val="1"/>
        <c:lblAlgn val="ctr"/>
        <c:lblOffset val="100"/>
        <c:noMultiLvlLbl val="0"/>
      </c:catAx>
      <c:valAx>
        <c:axId val="96403456"/>
        <c:scaling>
          <c:orientation val="minMax"/>
        </c:scaling>
        <c:delete val="0"/>
        <c:axPos val="l"/>
        <c:majorGridlines/>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IN" sz="1000" b="0" i="0" u="none" strike="noStrike" kern="1200" baseline="0">
                    <a:solidFill>
                      <a:sysClr val="windowText" lastClr="000000"/>
                    </a:solidFill>
                  </a:rPr>
                  <a:t>concentration</a:t>
                </a:r>
                <a:r>
                  <a:rPr lang="en-IN" sz="1000" b="1" i="0" u="none" strike="noStrike" kern="1200" baseline="0">
                    <a:solidFill>
                      <a:sysClr val="windowText" lastClr="000000"/>
                    </a:solidFill>
                  </a:rPr>
                  <a:t> </a:t>
                </a:r>
                <a:r>
                  <a:rPr lang="en-IN" sz="1000" b="0" i="0" u="none" strike="noStrike" kern="1200" baseline="0">
                    <a:solidFill>
                      <a:sysClr val="windowText" lastClr="000000"/>
                    </a:solidFill>
                  </a:rPr>
                  <a:t>in PPM</a:t>
                </a:r>
              </a:p>
            </c:rich>
          </c:tx>
          <c:overlay val="0"/>
        </c:title>
        <c:numFmt formatCode="General" sourceLinked="1"/>
        <c:majorTickMark val="out"/>
        <c:minorTickMark val="none"/>
        <c:tickLblPos val="nextTo"/>
        <c:crossAx val="96184192"/>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Pre Mon</c:v>
                </c:pt>
              </c:strCache>
            </c:strRef>
          </c:tx>
          <c:cat>
            <c:strRef>
              <c:f>Sheet1!$A$2:$A$7</c:f>
              <c:strCache>
                <c:ptCount val="6"/>
                <c:pt idx="0">
                  <c:v>Cd</c:v>
                </c:pt>
                <c:pt idx="1">
                  <c:v>Cu</c:v>
                </c:pt>
                <c:pt idx="2">
                  <c:v>Zn</c:v>
                </c:pt>
                <c:pt idx="3">
                  <c:v>Cr</c:v>
                </c:pt>
                <c:pt idx="4">
                  <c:v>Ni</c:v>
                </c:pt>
                <c:pt idx="5">
                  <c:v>Pb</c:v>
                </c:pt>
              </c:strCache>
            </c:strRef>
          </c:cat>
          <c:val>
            <c:numRef>
              <c:f>Sheet1!$B$2:$B$7</c:f>
              <c:numCache>
                <c:formatCode>General</c:formatCode>
                <c:ptCount val="6"/>
                <c:pt idx="0">
                  <c:v>0.7</c:v>
                </c:pt>
                <c:pt idx="1">
                  <c:v>0.42</c:v>
                </c:pt>
                <c:pt idx="2">
                  <c:v>0.65</c:v>
                </c:pt>
                <c:pt idx="3">
                  <c:v>0.31</c:v>
                </c:pt>
                <c:pt idx="4">
                  <c:v>0.28999999999999998</c:v>
                </c:pt>
                <c:pt idx="5">
                  <c:v>0.47</c:v>
                </c:pt>
              </c:numCache>
            </c:numRef>
          </c:val>
          <c:smooth val="0"/>
          <c:extLst>
            <c:ext xmlns:c16="http://schemas.microsoft.com/office/drawing/2014/chart" uri="{C3380CC4-5D6E-409C-BE32-E72D297353CC}">
              <c16:uniqueId val="{00000000-E7B6-47C5-A96B-3F16C12F1302}"/>
            </c:ext>
          </c:extLst>
        </c:ser>
        <c:ser>
          <c:idx val="1"/>
          <c:order val="1"/>
          <c:tx>
            <c:strRef>
              <c:f>Sheet1!$C$1</c:f>
              <c:strCache>
                <c:ptCount val="1"/>
                <c:pt idx="0">
                  <c:v>Monsoon</c:v>
                </c:pt>
              </c:strCache>
            </c:strRef>
          </c:tx>
          <c:cat>
            <c:strRef>
              <c:f>Sheet1!$A$2:$A$7</c:f>
              <c:strCache>
                <c:ptCount val="6"/>
                <c:pt idx="0">
                  <c:v>Cd</c:v>
                </c:pt>
                <c:pt idx="1">
                  <c:v>Cu</c:v>
                </c:pt>
                <c:pt idx="2">
                  <c:v>Zn</c:v>
                </c:pt>
                <c:pt idx="3">
                  <c:v>Cr</c:v>
                </c:pt>
                <c:pt idx="4">
                  <c:v>Ni</c:v>
                </c:pt>
                <c:pt idx="5">
                  <c:v>Pb</c:v>
                </c:pt>
              </c:strCache>
            </c:strRef>
          </c:cat>
          <c:val>
            <c:numRef>
              <c:f>Sheet1!$C$2:$C$7</c:f>
              <c:numCache>
                <c:formatCode>General</c:formatCode>
                <c:ptCount val="6"/>
                <c:pt idx="0">
                  <c:v>1.02</c:v>
                </c:pt>
                <c:pt idx="1">
                  <c:v>0.51</c:v>
                </c:pt>
                <c:pt idx="2">
                  <c:v>0.72</c:v>
                </c:pt>
                <c:pt idx="3">
                  <c:v>0.38</c:v>
                </c:pt>
                <c:pt idx="4">
                  <c:v>0.41</c:v>
                </c:pt>
                <c:pt idx="5">
                  <c:v>0.56000000000000005</c:v>
                </c:pt>
              </c:numCache>
            </c:numRef>
          </c:val>
          <c:smooth val="0"/>
          <c:extLst>
            <c:ext xmlns:c16="http://schemas.microsoft.com/office/drawing/2014/chart" uri="{C3380CC4-5D6E-409C-BE32-E72D297353CC}">
              <c16:uniqueId val="{00000001-E7B6-47C5-A96B-3F16C12F1302}"/>
            </c:ext>
          </c:extLst>
        </c:ser>
        <c:ser>
          <c:idx val="2"/>
          <c:order val="2"/>
          <c:tx>
            <c:strRef>
              <c:f>Sheet1!$D$1</c:f>
              <c:strCache>
                <c:ptCount val="1"/>
                <c:pt idx="0">
                  <c:v>Post Mon</c:v>
                </c:pt>
              </c:strCache>
            </c:strRef>
          </c:tx>
          <c:cat>
            <c:strRef>
              <c:f>Sheet1!$A$2:$A$7</c:f>
              <c:strCache>
                <c:ptCount val="6"/>
                <c:pt idx="0">
                  <c:v>Cd</c:v>
                </c:pt>
                <c:pt idx="1">
                  <c:v>Cu</c:v>
                </c:pt>
                <c:pt idx="2">
                  <c:v>Zn</c:v>
                </c:pt>
                <c:pt idx="3">
                  <c:v>Cr</c:v>
                </c:pt>
                <c:pt idx="4">
                  <c:v>Ni</c:v>
                </c:pt>
                <c:pt idx="5">
                  <c:v>Pb</c:v>
                </c:pt>
              </c:strCache>
            </c:strRef>
          </c:cat>
          <c:val>
            <c:numRef>
              <c:f>Sheet1!$D$2:$D$7</c:f>
              <c:numCache>
                <c:formatCode>General</c:formatCode>
                <c:ptCount val="6"/>
                <c:pt idx="0">
                  <c:v>0.89</c:v>
                </c:pt>
                <c:pt idx="1">
                  <c:v>0.47</c:v>
                </c:pt>
                <c:pt idx="2">
                  <c:v>0.68</c:v>
                </c:pt>
                <c:pt idx="3">
                  <c:v>0.34</c:v>
                </c:pt>
                <c:pt idx="4">
                  <c:v>0.36</c:v>
                </c:pt>
                <c:pt idx="5">
                  <c:v>0.52</c:v>
                </c:pt>
              </c:numCache>
            </c:numRef>
          </c:val>
          <c:smooth val="0"/>
          <c:extLst>
            <c:ext xmlns:c16="http://schemas.microsoft.com/office/drawing/2014/chart" uri="{C3380CC4-5D6E-409C-BE32-E72D297353CC}">
              <c16:uniqueId val="{00000002-E7B6-47C5-A96B-3F16C12F1302}"/>
            </c:ext>
          </c:extLst>
        </c:ser>
        <c:dLbls>
          <c:showLegendKey val="0"/>
          <c:showVal val="0"/>
          <c:showCatName val="0"/>
          <c:showSerName val="0"/>
          <c:showPercent val="0"/>
          <c:showBubbleSize val="0"/>
        </c:dLbls>
        <c:marker val="1"/>
        <c:smooth val="0"/>
        <c:axId val="96184192"/>
        <c:axId val="96403456"/>
      </c:lineChart>
      <c:catAx>
        <c:axId val="96184192"/>
        <c:scaling>
          <c:orientation val="minMax"/>
        </c:scaling>
        <c:delete val="0"/>
        <c:axPos val="b"/>
        <c:title>
          <c:tx>
            <c:rich>
              <a:bodyPr/>
              <a:lstStyle/>
              <a:p>
                <a:pPr>
                  <a:defRPr/>
                </a:pPr>
                <a:r>
                  <a:rPr lang="en-IN" b="0"/>
                  <a:t>Heavy</a:t>
                </a:r>
                <a:r>
                  <a:rPr lang="en-IN" baseline="0"/>
                  <a:t> </a:t>
                </a:r>
                <a:r>
                  <a:rPr lang="en-IN" b="0" baseline="0"/>
                  <a:t>Metal</a:t>
                </a:r>
                <a:endParaRPr lang="en-IN" b="0"/>
              </a:p>
            </c:rich>
          </c:tx>
          <c:overlay val="0"/>
        </c:title>
        <c:numFmt formatCode="General" sourceLinked="0"/>
        <c:majorTickMark val="out"/>
        <c:minorTickMark val="none"/>
        <c:tickLblPos val="nextTo"/>
        <c:crossAx val="96403456"/>
        <c:crosses val="autoZero"/>
        <c:auto val="1"/>
        <c:lblAlgn val="ctr"/>
        <c:lblOffset val="100"/>
        <c:noMultiLvlLbl val="0"/>
      </c:catAx>
      <c:valAx>
        <c:axId val="96403456"/>
        <c:scaling>
          <c:orientation val="minMax"/>
        </c:scaling>
        <c:delete val="0"/>
        <c:axPos val="l"/>
        <c:majorGridlines/>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IN" sz="1000" b="0" i="0" u="none" strike="noStrike" kern="1200" baseline="0">
                    <a:solidFill>
                      <a:sysClr val="windowText" lastClr="000000"/>
                    </a:solidFill>
                  </a:rPr>
                  <a:t>concentration</a:t>
                </a:r>
                <a:r>
                  <a:rPr lang="en-IN" sz="1000" b="1" i="0" u="none" strike="noStrike" kern="1200" baseline="0">
                    <a:solidFill>
                      <a:sysClr val="windowText" lastClr="000000"/>
                    </a:solidFill>
                  </a:rPr>
                  <a:t> </a:t>
                </a:r>
                <a:r>
                  <a:rPr lang="en-IN" sz="1000" b="0" i="0" u="none" strike="noStrike" kern="1200" baseline="0">
                    <a:solidFill>
                      <a:sysClr val="windowText" lastClr="000000"/>
                    </a:solidFill>
                  </a:rPr>
                  <a:t>in PPM</a:t>
                </a:r>
              </a:p>
            </c:rich>
          </c:tx>
          <c:overlay val="0"/>
        </c:title>
        <c:numFmt formatCode="General" sourceLinked="1"/>
        <c:majorTickMark val="out"/>
        <c:minorTickMark val="none"/>
        <c:tickLblPos val="nextTo"/>
        <c:crossAx val="9618419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Pre Mon</c:v>
                </c:pt>
              </c:strCache>
            </c:strRef>
          </c:tx>
          <c:cat>
            <c:strRef>
              <c:f>Sheet1!$A$2:$A$7</c:f>
              <c:strCache>
                <c:ptCount val="6"/>
                <c:pt idx="0">
                  <c:v>Cd</c:v>
                </c:pt>
                <c:pt idx="1">
                  <c:v>Cu</c:v>
                </c:pt>
                <c:pt idx="2">
                  <c:v>Zn</c:v>
                </c:pt>
                <c:pt idx="3">
                  <c:v>Cr</c:v>
                </c:pt>
                <c:pt idx="4">
                  <c:v>Ni</c:v>
                </c:pt>
                <c:pt idx="5">
                  <c:v>Pb</c:v>
                </c:pt>
              </c:strCache>
            </c:strRef>
          </c:cat>
          <c:val>
            <c:numRef>
              <c:f>Sheet1!$B$2:$B$7</c:f>
              <c:numCache>
                <c:formatCode>General</c:formatCode>
                <c:ptCount val="6"/>
                <c:pt idx="0">
                  <c:v>0.69000000000000006</c:v>
                </c:pt>
                <c:pt idx="1">
                  <c:v>0.43000000000000005</c:v>
                </c:pt>
                <c:pt idx="2">
                  <c:v>0.63000000000000012</c:v>
                </c:pt>
                <c:pt idx="3">
                  <c:v>0.29000000000000004</c:v>
                </c:pt>
                <c:pt idx="4">
                  <c:v>0.31000000000000005</c:v>
                </c:pt>
                <c:pt idx="5">
                  <c:v>0.46</c:v>
                </c:pt>
              </c:numCache>
            </c:numRef>
          </c:val>
          <c:smooth val="0"/>
          <c:extLst>
            <c:ext xmlns:c16="http://schemas.microsoft.com/office/drawing/2014/chart" uri="{C3380CC4-5D6E-409C-BE32-E72D297353CC}">
              <c16:uniqueId val="{00000000-06EC-4388-8A20-2EBEBD3CA105}"/>
            </c:ext>
          </c:extLst>
        </c:ser>
        <c:ser>
          <c:idx val="1"/>
          <c:order val="1"/>
          <c:tx>
            <c:strRef>
              <c:f>Sheet1!$C$1</c:f>
              <c:strCache>
                <c:ptCount val="1"/>
                <c:pt idx="0">
                  <c:v>Mon</c:v>
                </c:pt>
              </c:strCache>
            </c:strRef>
          </c:tx>
          <c:cat>
            <c:strRef>
              <c:f>Sheet1!$A$2:$A$7</c:f>
              <c:strCache>
                <c:ptCount val="6"/>
                <c:pt idx="0">
                  <c:v>Cd</c:v>
                </c:pt>
                <c:pt idx="1">
                  <c:v>Cu</c:v>
                </c:pt>
                <c:pt idx="2">
                  <c:v>Zn</c:v>
                </c:pt>
                <c:pt idx="3">
                  <c:v>Cr</c:v>
                </c:pt>
                <c:pt idx="4">
                  <c:v>Ni</c:v>
                </c:pt>
                <c:pt idx="5">
                  <c:v>Pb</c:v>
                </c:pt>
              </c:strCache>
            </c:strRef>
          </c:cat>
          <c:val>
            <c:numRef>
              <c:f>Sheet1!$C$2:$C$7</c:f>
              <c:numCache>
                <c:formatCode>General</c:formatCode>
                <c:ptCount val="6"/>
                <c:pt idx="0">
                  <c:v>1.05</c:v>
                </c:pt>
                <c:pt idx="1">
                  <c:v>0.53</c:v>
                </c:pt>
                <c:pt idx="2">
                  <c:v>0.7400000000000001</c:v>
                </c:pt>
                <c:pt idx="3">
                  <c:v>0.36000000000000004</c:v>
                </c:pt>
                <c:pt idx="4">
                  <c:v>0.44</c:v>
                </c:pt>
                <c:pt idx="5">
                  <c:v>0.58000000000000007</c:v>
                </c:pt>
              </c:numCache>
            </c:numRef>
          </c:val>
          <c:smooth val="0"/>
          <c:extLst>
            <c:ext xmlns:c16="http://schemas.microsoft.com/office/drawing/2014/chart" uri="{C3380CC4-5D6E-409C-BE32-E72D297353CC}">
              <c16:uniqueId val="{00000001-06EC-4388-8A20-2EBEBD3CA105}"/>
            </c:ext>
          </c:extLst>
        </c:ser>
        <c:ser>
          <c:idx val="2"/>
          <c:order val="2"/>
          <c:tx>
            <c:strRef>
              <c:f>Sheet1!$D$1</c:f>
              <c:strCache>
                <c:ptCount val="1"/>
                <c:pt idx="0">
                  <c:v>Post Mon</c:v>
                </c:pt>
              </c:strCache>
            </c:strRef>
          </c:tx>
          <c:cat>
            <c:strRef>
              <c:f>Sheet1!$A$2:$A$7</c:f>
              <c:strCache>
                <c:ptCount val="6"/>
                <c:pt idx="0">
                  <c:v>Cd</c:v>
                </c:pt>
                <c:pt idx="1">
                  <c:v>Cu</c:v>
                </c:pt>
                <c:pt idx="2">
                  <c:v>Zn</c:v>
                </c:pt>
                <c:pt idx="3">
                  <c:v>Cr</c:v>
                </c:pt>
                <c:pt idx="4">
                  <c:v>Ni</c:v>
                </c:pt>
                <c:pt idx="5">
                  <c:v>Pb</c:v>
                </c:pt>
              </c:strCache>
            </c:strRef>
          </c:cat>
          <c:val>
            <c:numRef>
              <c:f>Sheet1!$D$2:$D$7</c:f>
              <c:numCache>
                <c:formatCode>General</c:formatCode>
                <c:ptCount val="6"/>
                <c:pt idx="0">
                  <c:v>0.91</c:v>
                </c:pt>
                <c:pt idx="1">
                  <c:v>0.48000000000000004</c:v>
                </c:pt>
                <c:pt idx="2">
                  <c:v>0.69000000000000006</c:v>
                </c:pt>
                <c:pt idx="3">
                  <c:v>0.33000000000000007</c:v>
                </c:pt>
                <c:pt idx="4">
                  <c:v>0.38000000000000006</c:v>
                </c:pt>
                <c:pt idx="5">
                  <c:v>0.54</c:v>
                </c:pt>
              </c:numCache>
            </c:numRef>
          </c:val>
          <c:smooth val="0"/>
          <c:extLst>
            <c:ext xmlns:c16="http://schemas.microsoft.com/office/drawing/2014/chart" uri="{C3380CC4-5D6E-409C-BE32-E72D297353CC}">
              <c16:uniqueId val="{00000002-06EC-4388-8A20-2EBEBD3CA105}"/>
            </c:ext>
          </c:extLst>
        </c:ser>
        <c:dLbls>
          <c:showLegendKey val="0"/>
          <c:showVal val="0"/>
          <c:showCatName val="0"/>
          <c:showSerName val="0"/>
          <c:showPercent val="0"/>
          <c:showBubbleSize val="0"/>
        </c:dLbls>
        <c:marker val="1"/>
        <c:smooth val="0"/>
        <c:axId val="114426624"/>
        <c:axId val="114429312"/>
      </c:lineChart>
      <c:catAx>
        <c:axId val="114426624"/>
        <c:scaling>
          <c:orientation val="minMax"/>
        </c:scaling>
        <c:delete val="0"/>
        <c:axPos val="b"/>
        <c:title>
          <c:tx>
            <c:rich>
              <a:bodyPr/>
              <a:lstStyle/>
              <a:p>
                <a:pPr>
                  <a:defRPr/>
                </a:pPr>
                <a:r>
                  <a:rPr lang="en-IN" b="0"/>
                  <a:t>Heavy</a:t>
                </a:r>
                <a:r>
                  <a:rPr lang="en-IN"/>
                  <a:t> </a:t>
                </a:r>
                <a:r>
                  <a:rPr lang="en-IN" b="0"/>
                  <a:t>metal</a:t>
                </a:r>
              </a:p>
            </c:rich>
          </c:tx>
          <c:overlay val="0"/>
        </c:title>
        <c:numFmt formatCode="General" sourceLinked="0"/>
        <c:majorTickMark val="out"/>
        <c:minorTickMark val="none"/>
        <c:tickLblPos val="nextTo"/>
        <c:crossAx val="114429312"/>
        <c:crosses val="autoZero"/>
        <c:auto val="1"/>
        <c:lblAlgn val="ctr"/>
        <c:lblOffset val="100"/>
        <c:noMultiLvlLbl val="0"/>
      </c:catAx>
      <c:valAx>
        <c:axId val="114429312"/>
        <c:scaling>
          <c:orientation val="minMax"/>
        </c:scaling>
        <c:delete val="0"/>
        <c:axPos val="l"/>
        <c:majorGridlines/>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IN" sz="1000" b="0" i="0" u="none" strike="noStrike" kern="1200" baseline="0">
                    <a:solidFill>
                      <a:sysClr val="windowText" lastClr="000000"/>
                    </a:solidFill>
                  </a:rPr>
                  <a:t>concentration</a:t>
                </a:r>
                <a:r>
                  <a:rPr lang="en-IN" sz="1000" b="1" i="0" u="none" strike="noStrike" kern="1200" baseline="0">
                    <a:solidFill>
                      <a:sysClr val="windowText" lastClr="000000"/>
                    </a:solidFill>
                  </a:rPr>
                  <a:t> </a:t>
                </a:r>
                <a:r>
                  <a:rPr lang="en-IN" sz="1000" b="0" i="0" u="none" strike="noStrike" kern="1200" baseline="0">
                    <a:solidFill>
                      <a:sysClr val="windowText" lastClr="000000"/>
                    </a:solidFill>
                  </a:rPr>
                  <a:t>in PPM</a:t>
                </a:r>
              </a:p>
            </c:rich>
          </c:tx>
          <c:overlay val="0"/>
        </c:title>
        <c:numFmt formatCode="General" sourceLinked="1"/>
        <c:majorTickMark val="out"/>
        <c:minorTickMark val="none"/>
        <c:tickLblPos val="nextTo"/>
        <c:crossAx val="11442662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Sheet1!$B$1</c:f>
              <c:strCache>
                <c:ptCount val="1"/>
                <c:pt idx="0">
                  <c:v>Pre Mon</c:v>
                </c:pt>
              </c:strCache>
            </c:strRef>
          </c:tx>
          <c:cat>
            <c:strRef>
              <c:f>Sheet1!$A$2:$A$7</c:f>
              <c:strCache>
                <c:ptCount val="6"/>
                <c:pt idx="0">
                  <c:v>Cd</c:v>
                </c:pt>
                <c:pt idx="1">
                  <c:v>Cu</c:v>
                </c:pt>
                <c:pt idx="2">
                  <c:v>Zn</c:v>
                </c:pt>
                <c:pt idx="3">
                  <c:v>Cr</c:v>
                </c:pt>
                <c:pt idx="4">
                  <c:v>Ni</c:v>
                </c:pt>
                <c:pt idx="5">
                  <c:v>Pb</c:v>
                </c:pt>
              </c:strCache>
            </c:strRef>
          </c:cat>
          <c:val>
            <c:numRef>
              <c:f>Sheet1!$B$2:$B$7</c:f>
              <c:numCache>
                <c:formatCode>General</c:formatCode>
                <c:ptCount val="6"/>
                <c:pt idx="0">
                  <c:v>0.71</c:v>
                </c:pt>
                <c:pt idx="1">
                  <c:v>0.44</c:v>
                </c:pt>
                <c:pt idx="2">
                  <c:v>0.64</c:v>
                </c:pt>
                <c:pt idx="3">
                  <c:v>0.3</c:v>
                </c:pt>
                <c:pt idx="4">
                  <c:v>0.32</c:v>
                </c:pt>
                <c:pt idx="5">
                  <c:v>0.45</c:v>
                </c:pt>
              </c:numCache>
            </c:numRef>
          </c:val>
          <c:smooth val="0"/>
          <c:extLst>
            <c:ext xmlns:c16="http://schemas.microsoft.com/office/drawing/2014/chart" uri="{C3380CC4-5D6E-409C-BE32-E72D297353CC}">
              <c16:uniqueId val="{00000000-A9C1-4CCE-B082-367620CD9F9F}"/>
            </c:ext>
          </c:extLst>
        </c:ser>
        <c:ser>
          <c:idx val="1"/>
          <c:order val="1"/>
          <c:tx>
            <c:strRef>
              <c:f>Sheet1!$C$1</c:f>
              <c:strCache>
                <c:ptCount val="1"/>
                <c:pt idx="0">
                  <c:v>Monsoon</c:v>
                </c:pt>
              </c:strCache>
            </c:strRef>
          </c:tx>
          <c:cat>
            <c:strRef>
              <c:f>Sheet1!$A$2:$A$7</c:f>
              <c:strCache>
                <c:ptCount val="6"/>
                <c:pt idx="0">
                  <c:v>Cd</c:v>
                </c:pt>
                <c:pt idx="1">
                  <c:v>Cu</c:v>
                </c:pt>
                <c:pt idx="2">
                  <c:v>Zn</c:v>
                </c:pt>
                <c:pt idx="3">
                  <c:v>Cr</c:v>
                </c:pt>
                <c:pt idx="4">
                  <c:v>Ni</c:v>
                </c:pt>
                <c:pt idx="5">
                  <c:v>Pb</c:v>
                </c:pt>
              </c:strCache>
            </c:strRef>
          </c:cat>
          <c:val>
            <c:numRef>
              <c:f>Sheet1!$C$2:$C$7</c:f>
              <c:numCache>
                <c:formatCode>General</c:formatCode>
                <c:ptCount val="6"/>
                <c:pt idx="0">
                  <c:v>1.08</c:v>
                </c:pt>
                <c:pt idx="1">
                  <c:v>0.55000000000000004</c:v>
                </c:pt>
                <c:pt idx="2">
                  <c:v>0.75</c:v>
                </c:pt>
                <c:pt idx="3">
                  <c:v>0.37</c:v>
                </c:pt>
                <c:pt idx="4">
                  <c:v>0.46</c:v>
                </c:pt>
                <c:pt idx="5">
                  <c:v>0.59</c:v>
                </c:pt>
              </c:numCache>
            </c:numRef>
          </c:val>
          <c:smooth val="0"/>
          <c:extLst>
            <c:ext xmlns:c16="http://schemas.microsoft.com/office/drawing/2014/chart" uri="{C3380CC4-5D6E-409C-BE32-E72D297353CC}">
              <c16:uniqueId val="{00000001-A9C1-4CCE-B082-367620CD9F9F}"/>
            </c:ext>
          </c:extLst>
        </c:ser>
        <c:ser>
          <c:idx val="2"/>
          <c:order val="2"/>
          <c:tx>
            <c:strRef>
              <c:f>Sheet1!$D$1</c:f>
              <c:strCache>
                <c:ptCount val="1"/>
                <c:pt idx="0">
                  <c:v>Post Mon</c:v>
                </c:pt>
              </c:strCache>
            </c:strRef>
          </c:tx>
          <c:cat>
            <c:strRef>
              <c:f>Sheet1!$A$2:$A$7</c:f>
              <c:strCache>
                <c:ptCount val="6"/>
                <c:pt idx="0">
                  <c:v>Cd</c:v>
                </c:pt>
                <c:pt idx="1">
                  <c:v>Cu</c:v>
                </c:pt>
                <c:pt idx="2">
                  <c:v>Zn</c:v>
                </c:pt>
                <c:pt idx="3">
                  <c:v>Cr</c:v>
                </c:pt>
                <c:pt idx="4">
                  <c:v>Ni</c:v>
                </c:pt>
                <c:pt idx="5">
                  <c:v>Pb</c:v>
                </c:pt>
              </c:strCache>
            </c:strRef>
          </c:cat>
          <c:val>
            <c:numRef>
              <c:f>Sheet1!$D$2:$D$7</c:f>
              <c:numCache>
                <c:formatCode>General</c:formatCode>
                <c:ptCount val="6"/>
                <c:pt idx="0">
                  <c:v>0.93</c:v>
                </c:pt>
                <c:pt idx="1">
                  <c:v>0.49</c:v>
                </c:pt>
                <c:pt idx="2">
                  <c:v>0.7</c:v>
                </c:pt>
                <c:pt idx="3">
                  <c:v>0.35</c:v>
                </c:pt>
                <c:pt idx="4">
                  <c:v>0.4</c:v>
                </c:pt>
                <c:pt idx="5">
                  <c:v>0.55000000000000004</c:v>
                </c:pt>
              </c:numCache>
            </c:numRef>
          </c:val>
          <c:smooth val="0"/>
          <c:extLst>
            <c:ext xmlns:c16="http://schemas.microsoft.com/office/drawing/2014/chart" uri="{C3380CC4-5D6E-409C-BE32-E72D297353CC}">
              <c16:uniqueId val="{00000002-A9C1-4CCE-B082-367620CD9F9F}"/>
            </c:ext>
          </c:extLst>
        </c:ser>
        <c:dLbls>
          <c:showLegendKey val="0"/>
          <c:showVal val="0"/>
          <c:showCatName val="0"/>
          <c:showSerName val="0"/>
          <c:showPercent val="0"/>
          <c:showBubbleSize val="0"/>
        </c:dLbls>
        <c:marker val="1"/>
        <c:smooth val="0"/>
        <c:axId val="96184192"/>
        <c:axId val="96403456"/>
      </c:lineChart>
      <c:catAx>
        <c:axId val="96184192"/>
        <c:scaling>
          <c:orientation val="minMax"/>
        </c:scaling>
        <c:delete val="0"/>
        <c:axPos val="b"/>
        <c:title>
          <c:tx>
            <c:rich>
              <a:bodyPr/>
              <a:lstStyle/>
              <a:p>
                <a:pPr>
                  <a:defRPr/>
                </a:pPr>
                <a:r>
                  <a:rPr lang="en-IN" b="0"/>
                  <a:t>Heavy</a:t>
                </a:r>
                <a:r>
                  <a:rPr lang="en-IN"/>
                  <a:t> </a:t>
                </a:r>
                <a:r>
                  <a:rPr lang="en-IN" b="0"/>
                  <a:t>metal</a:t>
                </a:r>
              </a:p>
            </c:rich>
          </c:tx>
          <c:overlay val="0"/>
        </c:title>
        <c:numFmt formatCode="General" sourceLinked="0"/>
        <c:majorTickMark val="out"/>
        <c:minorTickMark val="none"/>
        <c:tickLblPos val="nextTo"/>
        <c:crossAx val="96403456"/>
        <c:crosses val="autoZero"/>
        <c:auto val="1"/>
        <c:lblAlgn val="ctr"/>
        <c:lblOffset val="100"/>
        <c:noMultiLvlLbl val="0"/>
      </c:catAx>
      <c:valAx>
        <c:axId val="96403456"/>
        <c:scaling>
          <c:orientation val="minMax"/>
        </c:scaling>
        <c:delete val="0"/>
        <c:axPos val="l"/>
        <c:majorGridlines/>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IN" sz="1000" b="0" i="0" u="none" strike="noStrike" kern="1200" baseline="0">
                    <a:solidFill>
                      <a:sysClr val="windowText" lastClr="000000"/>
                    </a:solidFill>
                  </a:rPr>
                  <a:t>concentration</a:t>
                </a:r>
                <a:r>
                  <a:rPr lang="en-IN" sz="1000" b="1" i="0" u="none" strike="noStrike" kern="1200" baseline="0">
                    <a:solidFill>
                      <a:sysClr val="windowText" lastClr="000000"/>
                    </a:solidFill>
                  </a:rPr>
                  <a:t> </a:t>
                </a:r>
                <a:r>
                  <a:rPr lang="en-IN" sz="1000" b="0" i="0" u="none" strike="noStrike" kern="1200" baseline="0">
                    <a:solidFill>
                      <a:sysClr val="windowText" lastClr="000000"/>
                    </a:solidFill>
                  </a:rPr>
                  <a:t>in PPM</a:t>
                </a:r>
              </a:p>
            </c:rich>
          </c:tx>
          <c:overlay val="0"/>
        </c:title>
        <c:numFmt formatCode="General" sourceLinked="1"/>
        <c:majorTickMark val="out"/>
        <c:minorTickMark val="none"/>
        <c:tickLblPos val="nextTo"/>
        <c:crossAx val="961841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1323</TotalTime>
  <Pages>16</Pages>
  <Words>3887</Words>
  <Characters>22159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pundamol98@outlook.com</dc:creator>
  <cp:keywords/>
  <dc:description/>
  <cp:lastModifiedBy>Editor-17</cp:lastModifiedBy>
  <cp:revision>154</cp:revision>
  <dcterms:created xsi:type="dcterms:W3CDTF">2026-01-26T12:49:00Z</dcterms:created>
  <dcterms:modified xsi:type="dcterms:W3CDTF">2026-03-20T10:28:00Z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9a6e2ca6-7f93-48e1-9e2d-7f9985ecd057</vt:lpwstr>
  </property>
</Properties>
</file>