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D341E" w14:textId="58261A4F" w:rsidR="00AE4255" w:rsidRPr="00AE4255" w:rsidRDefault="00AE4255" w:rsidP="00AE4255">
      <w:pPr>
        <w:spacing w:before="240" w:line="240" w:lineRule="auto"/>
        <w:rPr>
          <w:rFonts w:ascii="Times New Roman" w:hAnsi="Times New Roman" w:cs="Times New Roman"/>
          <w:b/>
          <w:bCs/>
          <w:sz w:val="28"/>
          <w:szCs w:val="28"/>
          <w:u w:val="single"/>
        </w:rPr>
      </w:pPr>
      <w:r w:rsidRPr="00AE4255">
        <w:rPr>
          <w:rFonts w:ascii="Times New Roman" w:hAnsi="Times New Roman" w:cs="Times New Roman"/>
          <w:b/>
          <w:bCs/>
          <w:sz w:val="28"/>
          <w:szCs w:val="28"/>
          <w:u w:val="single"/>
        </w:rPr>
        <w:t>Original Research Article</w:t>
      </w:r>
    </w:p>
    <w:p w14:paraId="02F905CD" w14:textId="47F5B2E7" w:rsidR="00396238" w:rsidRDefault="00F901AC" w:rsidP="0062223D">
      <w:pPr>
        <w:spacing w:before="240" w:line="240" w:lineRule="auto"/>
        <w:jc w:val="center"/>
        <w:rPr>
          <w:rFonts w:ascii="Times New Roman" w:hAnsi="Times New Roman" w:cs="Times New Roman"/>
          <w:b/>
          <w:bCs/>
          <w:sz w:val="28"/>
          <w:szCs w:val="28"/>
        </w:rPr>
      </w:pPr>
      <w:r w:rsidRPr="00770BBF">
        <w:rPr>
          <w:rFonts w:ascii="Times New Roman" w:hAnsi="Times New Roman" w:cs="Times New Roman"/>
          <w:b/>
          <w:bCs/>
          <w:sz w:val="28"/>
          <w:szCs w:val="28"/>
        </w:rPr>
        <w:t>Aquatic Insect Diversity and Their Role in Natural Pest Regulation in Semi-Arid Paddy Agroecosystems of Telangana, India</w:t>
      </w:r>
    </w:p>
    <w:p w14:paraId="0F311B99" w14:textId="77777777" w:rsidR="00AE4255" w:rsidRPr="00A94586" w:rsidRDefault="00AE4255" w:rsidP="0062223D">
      <w:pPr>
        <w:spacing w:before="240" w:line="240" w:lineRule="auto"/>
        <w:jc w:val="center"/>
        <w:rPr>
          <w:rFonts w:ascii="Times New Roman" w:hAnsi="Times New Roman" w:cs="Times New Roman"/>
          <w:b/>
          <w:bCs/>
          <w:sz w:val="28"/>
          <w:szCs w:val="28"/>
        </w:rPr>
      </w:pPr>
    </w:p>
    <w:p w14:paraId="31E6AFEA" w14:textId="21DF073C" w:rsidR="00AE4255" w:rsidRDefault="00AE4255" w:rsidP="003F141B">
      <w:pPr>
        <w:spacing w:line="240" w:lineRule="auto"/>
        <w:jc w:val="center"/>
      </w:pPr>
    </w:p>
    <w:p w14:paraId="5A363B3A" w14:textId="77777777" w:rsidR="00AE4255" w:rsidRPr="003F141B" w:rsidRDefault="00AE4255" w:rsidP="003F141B">
      <w:pPr>
        <w:spacing w:line="240" w:lineRule="auto"/>
        <w:jc w:val="center"/>
        <w:rPr>
          <w:rFonts w:ascii="Times New Roman" w:hAnsi="Times New Roman" w:cs="Times New Roman"/>
          <w:b/>
          <w:bCs/>
          <w:sz w:val="28"/>
          <w:szCs w:val="28"/>
        </w:rPr>
      </w:pPr>
    </w:p>
    <w:p w14:paraId="221E9399" w14:textId="3DB73938" w:rsidR="002F6730" w:rsidRPr="00FF6695" w:rsidRDefault="002F6730" w:rsidP="0062223D">
      <w:pPr>
        <w:spacing w:after="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ABSTRACT</w:t>
      </w:r>
    </w:p>
    <w:p w14:paraId="64B7E47D" w14:textId="5B875855" w:rsidR="00B95E98" w:rsidRPr="00FF6695" w:rsidRDefault="00B95E98" w:rsidP="0062223D">
      <w:pPr>
        <w:spacing w:after="0" w:line="240" w:lineRule="auto"/>
        <w:jc w:val="both"/>
        <w:rPr>
          <w:rFonts w:ascii="Times New Roman" w:hAnsi="Times New Roman" w:cs="Times New Roman"/>
          <w:sz w:val="24"/>
          <w:szCs w:val="24"/>
        </w:rPr>
      </w:pPr>
      <w:r w:rsidRPr="00FF6695">
        <w:rPr>
          <w:rFonts w:ascii="Times New Roman" w:hAnsi="Times New Roman" w:cs="Times New Roman"/>
          <w:sz w:val="24"/>
          <w:szCs w:val="24"/>
        </w:rPr>
        <w:t xml:space="preserve">Rice agroecosystems function as temporary wetland habitats that support diverse aquatic insect communities, which play a crucial role in ecosystem functioning and natural pest regulation. The present study was conducted in paddy fields of </w:t>
      </w:r>
      <w:r w:rsidR="0064595F">
        <w:rPr>
          <w:rFonts w:ascii="Times New Roman" w:hAnsi="Times New Roman" w:cs="Times New Roman"/>
          <w:sz w:val="24"/>
          <w:szCs w:val="24"/>
        </w:rPr>
        <w:t>Kerchipally</w:t>
      </w:r>
      <w:r w:rsidRPr="00FF6695">
        <w:rPr>
          <w:rFonts w:ascii="Times New Roman" w:hAnsi="Times New Roman" w:cs="Times New Roman"/>
          <w:sz w:val="24"/>
          <w:szCs w:val="24"/>
        </w:rPr>
        <w:t xml:space="preserve"> and </w:t>
      </w:r>
      <w:r w:rsidR="0064595F">
        <w:rPr>
          <w:rFonts w:ascii="Times New Roman" w:hAnsi="Times New Roman" w:cs="Times New Roman"/>
          <w:sz w:val="24"/>
          <w:szCs w:val="24"/>
        </w:rPr>
        <w:t>Velvarthi</w:t>
      </w:r>
      <w:r w:rsidRPr="00FF6695">
        <w:rPr>
          <w:rFonts w:ascii="Times New Roman" w:hAnsi="Times New Roman" w:cs="Times New Roman"/>
          <w:sz w:val="24"/>
          <w:szCs w:val="24"/>
        </w:rPr>
        <w:t xml:space="preserve"> villages, Valigonda Mandal, Yadadri Bhuvanagiri district, Telangana, India, to assess aquatic insect diversity and evaluate their role in pest suppression.</w:t>
      </w:r>
      <w:r w:rsidR="00F441E7" w:rsidRPr="00FF6695">
        <w:rPr>
          <w:rFonts w:ascii="Times New Roman" w:hAnsi="Times New Roman" w:cs="Times New Roman"/>
          <w:sz w:val="24"/>
          <w:szCs w:val="24"/>
        </w:rPr>
        <w:t xml:space="preserve"> </w:t>
      </w:r>
      <w:r w:rsidRPr="00FF6695">
        <w:rPr>
          <w:rFonts w:ascii="Times New Roman" w:hAnsi="Times New Roman" w:cs="Times New Roman"/>
          <w:sz w:val="24"/>
          <w:szCs w:val="24"/>
        </w:rPr>
        <w:t>Sampling was carried out during the Kharif season (June to October 2023) across three crop growth stages (vegetative, reproductive, and harvesting) using standard dip-net and sweep-net methods. A total of 40 aquatic insect species belonging to five orders and 18 families were recorded. Diptera dominated the community (35 %), followed by Hemiptera (22.5 %), Coleoptera (17.5 %), Odonata (15 %), and Ephemeroptera (10 %).</w:t>
      </w:r>
      <w:r w:rsidR="00F441E7" w:rsidRPr="00FF6695">
        <w:rPr>
          <w:rFonts w:ascii="Times New Roman" w:hAnsi="Times New Roman" w:cs="Times New Roman"/>
          <w:sz w:val="24"/>
          <w:szCs w:val="24"/>
        </w:rPr>
        <w:t xml:space="preserve"> </w:t>
      </w:r>
      <w:r w:rsidRPr="00FF6695">
        <w:rPr>
          <w:rFonts w:ascii="Times New Roman" w:hAnsi="Times New Roman" w:cs="Times New Roman"/>
          <w:sz w:val="24"/>
          <w:szCs w:val="24"/>
        </w:rPr>
        <w:t>Diversity indices showed significant variation across crop stages, with the highest Shannon–Wiener index (H′ = 3.12) observed during the reproductive stage, indicating optimal habitat stability and resource availability. Functional feeding group analysis revealed dominance of collectors (40 %), followed by predators (47.5 %) and grazers (12.5 %), reflecting a detritus-driven ecosystem with well-structured trophic interactions.</w:t>
      </w:r>
      <w:r w:rsidR="00F441E7" w:rsidRPr="00FF6695">
        <w:rPr>
          <w:rFonts w:ascii="Times New Roman" w:hAnsi="Times New Roman" w:cs="Times New Roman"/>
          <w:sz w:val="24"/>
          <w:szCs w:val="24"/>
        </w:rPr>
        <w:t xml:space="preserve"> </w:t>
      </w:r>
      <w:r w:rsidRPr="00FF6695">
        <w:rPr>
          <w:rFonts w:ascii="Times New Roman" w:hAnsi="Times New Roman" w:cs="Times New Roman"/>
          <w:sz w:val="24"/>
          <w:szCs w:val="24"/>
        </w:rPr>
        <w:t xml:space="preserve">Pest density decreased from 68 ± 5.2 individuals m⁻² in the vegetative stage to 25 ± 2.6 individuals m⁻² during the harvesting stage, corresponding with increased predator abundance. A significant negative correlation (r = –0.72, </w:t>
      </w:r>
      <w:r w:rsidRPr="0024578A">
        <w:rPr>
          <w:rFonts w:ascii="Times New Roman" w:hAnsi="Times New Roman" w:cs="Times New Roman"/>
          <w:i/>
          <w:iCs/>
          <w:sz w:val="24"/>
          <w:szCs w:val="24"/>
        </w:rPr>
        <w:t>p</w:t>
      </w:r>
      <w:r w:rsidRPr="00FF6695">
        <w:rPr>
          <w:rFonts w:ascii="Times New Roman" w:hAnsi="Times New Roman" w:cs="Times New Roman"/>
          <w:sz w:val="24"/>
          <w:szCs w:val="24"/>
        </w:rPr>
        <w:t xml:space="preserve"> &lt; 0.05) between predator abundance and pest density confirmed the role of aquatic insects as effective biological control agents.</w:t>
      </w:r>
      <w:r w:rsidR="00F441E7" w:rsidRPr="00FF6695">
        <w:rPr>
          <w:rFonts w:ascii="Times New Roman" w:hAnsi="Times New Roman" w:cs="Times New Roman"/>
          <w:sz w:val="24"/>
          <w:szCs w:val="24"/>
        </w:rPr>
        <w:t xml:space="preserve"> </w:t>
      </w:r>
      <w:r w:rsidRPr="00FF6695">
        <w:rPr>
          <w:rFonts w:ascii="Times New Roman" w:hAnsi="Times New Roman" w:cs="Times New Roman"/>
          <w:sz w:val="24"/>
          <w:szCs w:val="24"/>
        </w:rPr>
        <w:t xml:space="preserve">The study highlights the ecological importance of aquatic insects in pest regulation and </w:t>
      </w:r>
      <w:commentRangeStart w:id="0"/>
      <w:r w:rsidRPr="00FF6695">
        <w:rPr>
          <w:rFonts w:ascii="Times New Roman" w:hAnsi="Times New Roman" w:cs="Times New Roman"/>
          <w:sz w:val="24"/>
          <w:szCs w:val="24"/>
        </w:rPr>
        <w:t>emphasises</w:t>
      </w:r>
      <w:commentRangeEnd w:id="0"/>
      <w:r w:rsidR="001765BA" w:rsidRPr="00FF6695">
        <w:rPr>
          <w:rStyle w:val="Referincomentariu"/>
          <w:rFonts w:ascii="Times New Roman" w:hAnsi="Times New Roman" w:cs="Times New Roman"/>
          <w:sz w:val="24"/>
          <w:szCs w:val="24"/>
        </w:rPr>
        <w:commentReference w:id="0"/>
      </w:r>
      <w:r w:rsidRPr="00FF6695">
        <w:rPr>
          <w:rFonts w:ascii="Times New Roman" w:hAnsi="Times New Roman" w:cs="Times New Roman"/>
          <w:sz w:val="24"/>
          <w:szCs w:val="24"/>
        </w:rPr>
        <w:t xml:space="preserve"> the need for biodiversity-based management practices and reduced pesticide use for sustainable rice production.</w:t>
      </w:r>
    </w:p>
    <w:p w14:paraId="1ECC6A11" w14:textId="463D3B32" w:rsidR="002F6730" w:rsidRPr="00FF6695" w:rsidRDefault="00B95E98" w:rsidP="00773850">
      <w:pPr>
        <w:spacing w:before="240" w:line="240" w:lineRule="auto"/>
        <w:jc w:val="both"/>
        <w:rPr>
          <w:rFonts w:ascii="Times New Roman" w:hAnsi="Times New Roman" w:cs="Times New Roman"/>
          <w:sz w:val="24"/>
          <w:szCs w:val="24"/>
        </w:rPr>
      </w:pPr>
      <w:r w:rsidRPr="00FF6695">
        <w:rPr>
          <w:rFonts w:ascii="Times New Roman" w:hAnsi="Times New Roman" w:cs="Times New Roman"/>
          <w:b/>
          <w:bCs/>
          <w:sz w:val="24"/>
          <w:szCs w:val="24"/>
        </w:rPr>
        <w:t>Keywords:</w:t>
      </w:r>
      <w:r w:rsidRPr="00FF6695">
        <w:rPr>
          <w:rFonts w:ascii="Times New Roman" w:hAnsi="Times New Roman" w:cs="Times New Roman"/>
          <w:sz w:val="24"/>
          <w:szCs w:val="24"/>
        </w:rPr>
        <w:t xml:space="preserve"> aquatic insects</w:t>
      </w:r>
      <w:r w:rsidR="005818DD">
        <w:rPr>
          <w:rFonts w:ascii="Times New Roman" w:hAnsi="Times New Roman" w:cs="Times New Roman"/>
          <w:sz w:val="24"/>
          <w:szCs w:val="24"/>
        </w:rPr>
        <w:t xml:space="preserve">, </w:t>
      </w:r>
      <w:r w:rsidRPr="00FF6695">
        <w:rPr>
          <w:rFonts w:ascii="Times New Roman" w:hAnsi="Times New Roman" w:cs="Times New Roman"/>
          <w:sz w:val="24"/>
          <w:szCs w:val="24"/>
        </w:rPr>
        <w:t>paddy agroecosystem</w:t>
      </w:r>
      <w:r w:rsidR="005818DD">
        <w:rPr>
          <w:rFonts w:ascii="Times New Roman" w:hAnsi="Times New Roman" w:cs="Times New Roman"/>
          <w:sz w:val="24"/>
          <w:szCs w:val="24"/>
        </w:rPr>
        <w:t xml:space="preserve">, </w:t>
      </w:r>
      <w:r w:rsidRPr="00FF6695">
        <w:rPr>
          <w:rFonts w:ascii="Times New Roman" w:hAnsi="Times New Roman" w:cs="Times New Roman"/>
          <w:sz w:val="24"/>
          <w:szCs w:val="24"/>
        </w:rPr>
        <w:t>biodiversity</w:t>
      </w:r>
      <w:r w:rsidR="005818DD">
        <w:rPr>
          <w:rFonts w:ascii="Times New Roman" w:hAnsi="Times New Roman" w:cs="Times New Roman"/>
          <w:sz w:val="24"/>
          <w:szCs w:val="24"/>
        </w:rPr>
        <w:t xml:space="preserve">, </w:t>
      </w:r>
      <w:r w:rsidRPr="00FF6695">
        <w:rPr>
          <w:rFonts w:ascii="Times New Roman" w:hAnsi="Times New Roman" w:cs="Times New Roman"/>
          <w:sz w:val="24"/>
          <w:szCs w:val="24"/>
        </w:rPr>
        <w:t>biological control</w:t>
      </w:r>
      <w:r w:rsidR="005818DD">
        <w:rPr>
          <w:rFonts w:ascii="Times New Roman" w:hAnsi="Times New Roman" w:cs="Times New Roman"/>
          <w:sz w:val="24"/>
          <w:szCs w:val="24"/>
        </w:rPr>
        <w:t xml:space="preserve">, </w:t>
      </w:r>
      <w:r w:rsidRPr="00FF6695">
        <w:rPr>
          <w:rFonts w:ascii="Times New Roman" w:hAnsi="Times New Roman" w:cs="Times New Roman"/>
          <w:sz w:val="24"/>
          <w:szCs w:val="24"/>
        </w:rPr>
        <w:t>pest regulation</w:t>
      </w:r>
      <w:r w:rsidR="005818DD">
        <w:rPr>
          <w:rFonts w:ascii="Times New Roman" w:hAnsi="Times New Roman" w:cs="Times New Roman"/>
          <w:sz w:val="24"/>
          <w:szCs w:val="24"/>
        </w:rPr>
        <w:t>,</w:t>
      </w:r>
      <w:r w:rsidRPr="00FF6695">
        <w:rPr>
          <w:rFonts w:ascii="Times New Roman" w:hAnsi="Times New Roman" w:cs="Times New Roman"/>
          <w:sz w:val="24"/>
          <w:szCs w:val="24"/>
        </w:rPr>
        <w:t xml:space="preserve"> diversity indices</w:t>
      </w:r>
      <w:r w:rsidR="005818DD">
        <w:rPr>
          <w:rFonts w:ascii="Times New Roman" w:hAnsi="Times New Roman" w:cs="Times New Roman"/>
          <w:sz w:val="24"/>
          <w:szCs w:val="24"/>
        </w:rPr>
        <w:t>,</w:t>
      </w:r>
      <w:r w:rsidRPr="00FF6695">
        <w:rPr>
          <w:rFonts w:ascii="Times New Roman" w:hAnsi="Times New Roman" w:cs="Times New Roman"/>
          <w:sz w:val="24"/>
          <w:szCs w:val="24"/>
        </w:rPr>
        <w:t xml:space="preserve"> functional feeding groups</w:t>
      </w:r>
      <w:r w:rsidR="002F6730" w:rsidRPr="00FF6695">
        <w:rPr>
          <w:rFonts w:ascii="Times New Roman" w:hAnsi="Times New Roman" w:cs="Times New Roman"/>
          <w:sz w:val="24"/>
          <w:szCs w:val="24"/>
        </w:rPr>
        <w:t>.</w:t>
      </w:r>
    </w:p>
    <w:p w14:paraId="05B858E6" w14:textId="143C6B10" w:rsidR="002F6730" w:rsidRPr="00FF6695" w:rsidRDefault="0062223D"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2F6730" w:rsidRPr="00FF6695">
        <w:rPr>
          <w:rFonts w:ascii="Times New Roman" w:hAnsi="Times New Roman" w:cs="Times New Roman"/>
          <w:b/>
          <w:bCs/>
          <w:sz w:val="24"/>
          <w:szCs w:val="24"/>
        </w:rPr>
        <w:t>INTRODUCTION</w:t>
      </w:r>
    </w:p>
    <w:p w14:paraId="6C9903BA" w14:textId="77777777"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Rice (</w:t>
      </w:r>
      <w:r w:rsidRPr="00FF6695">
        <w:rPr>
          <w:rFonts w:ascii="Times New Roman" w:hAnsi="Times New Roman" w:cs="Times New Roman"/>
          <w:i/>
          <w:iCs/>
          <w:sz w:val="24"/>
          <w:szCs w:val="24"/>
        </w:rPr>
        <w:t>Oryza sativa</w:t>
      </w:r>
      <w:r w:rsidRPr="00FF6695">
        <w:rPr>
          <w:rFonts w:ascii="Times New Roman" w:hAnsi="Times New Roman" w:cs="Times New Roman"/>
          <w:sz w:val="24"/>
          <w:szCs w:val="24"/>
        </w:rPr>
        <w:t xml:space="preserve"> L.) is one of the most important staple crops globally, providing food security for more than half of the world’s population. </w:t>
      </w:r>
      <w:r w:rsidRPr="001765BA">
        <w:rPr>
          <w:rFonts w:ascii="Times New Roman" w:hAnsi="Times New Roman" w:cs="Times New Roman"/>
          <w:sz w:val="24"/>
          <w:szCs w:val="24"/>
        </w:rPr>
        <w:t>It</w:t>
      </w:r>
      <w:r w:rsidRPr="00FF6695">
        <w:rPr>
          <w:rFonts w:ascii="Times New Roman" w:hAnsi="Times New Roman" w:cs="Times New Roman"/>
          <w:sz w:val="24"/>
          <w:szCs w:val="24"/>
        </w:rPr>
        <w:t xml:space="preserve"> is cultivated across diverse agroecological regions, particularly in Asia, where rice-based farming systems dominate agricultural landscapes (FAO, 2021). Paddy fields are unique agroecosystems that function as temporary freshwater wetlands, </w:t>
      </w:r>
      <w:commentRangeStart w:id="1"/>
      <w:r w:rsidRPr="00FF6695">
        <w:rPr>
          <w:rFonts w:ascii="Times New Roman" w:hAnsi="Times New Roman" w:cs="Times New Roman"/>
          <w:sz w:val="24"/>
          <w:szCs w:val="24"/>
        </w:rPr>
        <w:t>characterised</w:t>
      </w:r>
      <w:commentRangeEnd w:id="1"/>
      <w:r w:rsidR="001765BA" w:rsidRPr="00FF6695">
        <w:rPr>
          <w:rStyle w:val="Referincomentariu"/>
          <w:rFonts w:ascii="Times New Roman" w:hAnsi="Times New Roman" w:cs="Times New Roman"/>
          <w:sz w:val="24"/>
          <w:szCs w:val="24"/>
        </w:rPr>
        <w:commentReference w:id="1"/>
      </w:r>
      <w:r w:rsidRPr="00FF6695">
        <w:rPr>
          <w:rFonts w:ascii="Times New Roman" w:hAnsi="Times New Roman" w:cs="Times New Roman"/>
          <w:sz w:val="24"/>
          <w:szCs w:val="24"/>
        </w:rPr>
        <w:t xml:space="preserve"> by periodic flooding, high organic matter input, and dynamic physicochemical conditions. These conditions provide suitable habitats for diverse aquatic organisms, particularly insects, thereby enhancing ecosystem functioning and biodiversity (Lawler, 2001; Bambaradeniya &amp; Amerasinghe, 2003). Thus, understanding aquatic insect diversity in rice ecosystems is essential for developing sustainable pest management strategies.</w:t>
      </w:r>
    </w:p>
    <w:p w14:paraId="4530F81F" w14:textId="77777777"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lastRenderedPageBreak/>
        <w:t xml:space="preserve">Aquatic insects constitute a major component of freshwater biodiversity and play crucial roles in maintaining ecological balance. They are involved in essential ecosystem processes such as nutrient cycling, decomposition of organic matter, energy transfer, and trophic regulation (Batzer &amp; Wissinger, 1996; Dudgeon et al., 2006). Based on their feeding strategies, aquatic insects are </w:t>
      </w:r>
      <w:commentRangeStart w:id="2"/>
      <w:r w:rsidRPr="00FF6695">
        <w:rPr>
          <w:rFonts w:ascii="Times New Roman" w:hAnsi="Times New Roman" w:cs="Times New Roman"/>
          <w:sz w:val="24"/>
          <w:szCs w:val="24"/>
        </w:rPr>
        <w:t xml:space="preserve">categorised </w:t>
      </w:r>
      <w:commentRangeEnd w:id="2"/>
      <w:r w:rsidR="001765BA" w:rsidRPr="00FF6695">
        <w:rPr>
          <w:rStyle w:val="Referincomentariu"/>
          <w:rFonts w:ascii="Times New Roman" w:hAnsi="Times New Roman" w:cs="Times New Roman"/>
          <w:sz w:val="24"/>
          <w:szCs w:val="24"/>
        </w:rPr>
        <w:commentReference w:id="2"/>
      </w:r>
      <w:r w:rsidRPr="00FF6695">
        <w:rPr>
          <w:rFonts w:ascii="Times New Roman" w:hAnsi="Times New Roman" w:cs="Times New Roman"/>
          <w:sz w:val="24"/>
          <w:szCs w:val="24"/>
        </w:rPr>
        <w:t>into functional feeding groups such as collectors, predators, grazers, shredders, and filter feeders, each contributing to ecosystem processes in distinct ways (Merritt et al., 2008). The diversity and distribution of these functional groups reflect the ecological condition and productivity of aquatic habitats.</w:t>
      </w:r>
    </w:p>
    <w:p w14:paraId="02AB995A" w14:textId="77777777"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Rice agroecosystems are particularly important for sustaining aquatic insect diversity due to the availability of standing water, detritus, and microhabitats. Several studies have demonstrated that rice fields support a rich assemblage of aquatic insects comparable to natural wetlands (Bambaradeniya &amp; Amerasinghe, 2003; Heckman, 1979). These systems provide breeding grounds for both herbivorous and predatory insects, resulting in complex trophic interactions that influence ecosystem stability.</w:t>
      </w:r>
    </w:p>
    <w:p w14:paraId="0C26CE3E" w14:textId="77777777"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One of the most significant ecological roles of aquatic insects in rice fields is their contribution to natural biological control of pests. Predatory taxa such as Hemiptera (Notonectidae, Gerridae, Belostomatidae), Coleoptera (Dytiscidae), and Odonata nymphs actively prey on mosquito larvae and early instars of rice pests (e.g., brown planthopper </w:t>
      </w:r>
      <w:commentRangeStart w:id="3"/>
      <w:r w:rsidRPr="00FF6695">
        <w:rPr>
          <w:rFonts w:ascii="Times New Roman" w:hAnsi="Times New Roman" w:cs="Times New Roman"/>
          <w:sz w:val="24"/>
          <w:szCs w:val="24"/>
        </w:rPr>
        <w:t>Nilaparvata lugens</w:t>
      </w:r>
      <w:commentRangeEnd w:id="3"/>
      <w:r w:rsidR="001765BA" w:rsidRPr="00FF6695">
        <w:rPr>
          <w:rStyle w:val="Referincomentariu"/>
          <w:rFonts w:ascii="Times New Roman" w:hAnsi="Times New Roman" w:cs="Times New Roman"/>
          <w:sz w:val="24"/>
          <w:szCs w:val="24"/>
        </w:rPr>
        <w:commentReference w:id="3"/>
      </w:r>
      <w:r w:rsidRPr="00FF6695">
        <w:rPr>
          <w:rFonts w:ascii="Times New Roman" w:hAnsi="Times New Roman" w:cs="Times New Roman"/>
          <w:sz w:val="24"/>
          <w:szCs w:val="24"/>
        </w:rPr>
        <w:t xml:space="preserve"> and green leafhopper </w:t>
      </w:r>
      <w:commentRangeStart w:id="4"/>
      <w:r w:rsidRPr="00FF6695">
        <w:rPr>
          <w:rFonts w:ascii="Times New Roman" w:hAnsi="Times New Roman" w:cs="Times New Roman"/>
          <w:sz w:val="24"/>
          <w:szCs w:val="24"/>
        </w:rPr>
        <w:t>Nephotettix virescens</w:t>
      </w:r>
      <w:commentRangeEnd w:id="4"/>
      <w:r w:rsidR="001765BA" w:rsidRPr="00FF6695">
        <w:rPr>
          <w:rStyle w:val="Referincomentariu"/>
          <w:rFonts w:ascii="Times New Roman" w:hAnsi="Times New Roman" w:cs="Times New Roman"/>
          <w:sz w:val="24"/>
          <w:szCs w:val="24"/>
        </w:rPr>
        <w:commentReference w:id="4"/>
      </w:r>
      <w:r w:rsidRPr="00FF6695">
        <w:rPr>
          <w:rFonts w:ascii="Times New Roman" w:hAnsi="Times New Roman" w:cs="Times New Roman"/>
          <w:sz w:val="24"/>
          <w:szCs w:val="24"/>
        </w:rPr>
        <w:t xml:space="preserve">), thereby reducing pest populations and </w:t>
      </w:r>
      <w:commentRangeStart w:id="5"/>
      <w:r w:rsidRPr="00FF6695">
        <w:rPr>
          <w:rFonts w:ascii="Times New Roman" w:hAnsi="Times New Roman" w:cs="Times New Roman"/>
          <w:sz w:val="24"/>
          <w:szCs w:val="24"/>
        </w:rPr>
        <w:t>minimising</w:t>
      </w:r>
      <w:commentRangeEnd w:id="5"/>
      <w:r w:rsidR="001765BA" w:rsidRPr="00FF6695">
        <w:rPr>
          <w:rStyle w:val="Referincomentariu"/>
          <w:rFonts w:ascii="Times New Roman" w:hAnsi="Times New Roman" w:cs="Times New Roman"/>
          <w:sz w:val="24"/>
          <w:szCs w:val="24"/>
        </w:rPr>
        <w:commentReference w:id="5"/>
      </w:r>
      <w:r w:rsidRPr="00FF6695">
        <w:rPr>
          <w:rFonts w:ascii="Times New Roman" w:hAnsi="Times New Roman" w:cs="Times New Roman"/>
          <w:sz w:val="24"/>
          <w:szCs w:val="24"/>
        </w:rPr>
        <w:t xml:space="preserve"> crop damage (Settle et al., 1996; Way &amp; Heong, 1994). The conservation of these natural enemies is a key component of integrated pest management (IPM) and sustainable agriculture.</w:t>
      </w:r>
    </w:p>
    <w:p w14:paraId="16F2FC30" w14:textId="2D9B5CB1" w:rsidR="00B24B02" w:rsidRPr="00FF6695" w:rsidRDefault="00B24B02" w:rsidP="00CF122A">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However, modern agricultural intensification has led to increased reliance on chemical pesticides, which adversely affect aquatic biodiversity and disrupt ecological interactions. Pesticides not only reduce the abundance of non-target organisms, including beneficial insects, but also alter community structure and ecosystem functioning (Geiger et al., 2010; Sánchez-Bayo &amp; Wyckhuys, 2019). The decline of natural enemies due to pesticide exposure often results in secondary pest outbreaks and ecological imbalance.</w:t>
      </w:r>
      <w:r w:rsidR="00CF122A">
        <w:rPr>
          <w:rFonts w:ascii="Times New Roman" w:hAnsi="Times New Roman" w:cs="Times New Roman"/>
          <w:sz w:val="24"/>
          <w:szCs w:val="24"/>
        </w:rPr>
        <w:t xml:space="preserve"> </w:t>
      </w:r>
      <w:r w:rsidRPr="00FF6695">
        <w:rPr>
          <w:rFonts w:ascii="Times New Roman" w:hAnsi="Times New Roman" w:cs="Times New Roman"/>
          <w:sz w:val="24"/>
          <w:szCs w:val="24"/>
        </w:rPr>
        <w:t xml:space="preserve">In recent years, there has been growing interest in ecological engineering and biodiversity-based pest management strategies in rice ecosystems (Gurr et al., 2017; Ali et al., 2019; Liu et al., 2023). These approaches </w:t>
      </w:r>
      <w:commentRangeStart w:id="6"/>
      <w:r w:rsidRPr="00FF6695">
        <w:rPr>
          <w:rFonts w:ascii="Times New Roman" w:hAnsi="Times New Roman" w:cs="Times New Roman"/>
          <w:sz w:val="24"/>
          <w:szCs w:val="24"/>
        </w:rPr>
        <w:t>emphasise</w:t>
      </w:r>
      <w:commentRangeEnd w:id="6"/>
      <w:r w:rsidR="001765BA" w:rsidRPr="00FF6695">
        <w:rPr>
          <w:rStyle w:val="Referincomentariu"/>
          <w:rFonts w:ascii="Times New Roman" w:hAnsi="Times New Roman" w:cs="Times New Roman"/>
          <w:sz w:val="24"/>
          <w:szCs w:val="24"/>
        </w:rPr>
        <w:commentReference w:id="6"/>
      </w:r>
      <w:r w:rsidRPr="00FF6695">
        <w:rPr>
          <w:rFonts w:ascii="Times New Roman" w:hAnsi="Times New Roman" w:cs="Times New Roman"/>
          <w:sz w:val="24"/>
          <w:szCs w:val="24"/>
        </w:rPr>
        <w:t xml:space="preserve"> habitat manipulation, conservation of natural enemies, and reduction of chemical inputs to enhance ecosystem services such as pest control (Pretty &amp; Bharucha, 2021; Zhang et al., 2022). Maintaining aquatic insect diversity is therefore essential for sustaining ecosystem resilience and improving crop productivity.</w:t>
      </w:r>
    </w:p>
    <w:p w14:paraId="02C17A49" w14:textId="77777777"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Despite their ecological and agricultural importance, studies on aquatic insect diversity in rice ecosystems of semi-arid regions such as Telangana, India, are limited. Most existing studies are concentrated in humid and tropical regions, leaving a significant knowledge gap in dryland agroecosystems. Understanding the diversity, community structure, and ecological roles of aquatic insects in such regions is crucial for developing region-specific sustainable agricultural practices.</w:t>
      </w:r>
    </w:p>
    <w:p w14:paraId="05B2AA44" w14:textId="318973CB" w:rsidR="002F6730"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The present study was undertaken to evaluate the diversity and ecological role of aquatic insects in paddy agroecosystems of </w:t>
      </w:r>
      <w:r w:rsidR="0064595F">
        <w:rPr>
          <w:rFonts w:ascii="Times New Roman" w:hAnsi="Times New Roman" w:cs="Times New Roman"/>
          <w:sz w:val="24"/>
          <w:szCs w:val="24"/>
        </w:rPr>
        <w:t>Kerchipally</w:t>
      </w:r>
      <w:r w:rsidRPr="00FF6695">
        <w:rPr>
          <w:rFonts w:ascii="Times New Roman" w:hAnsi="Times New Roman" w:cs="Times New Roman"/>
          <w:sz w:val="24"/>
          <w:szCs w:val="24"/>
        </w:rPr>
        <w:t xml:space="preserve"> and </w:t>
      </w:r>
      <w:r w:rsidR="0064595F">
        <w:rPr>
          <w:rFonts w:ascii="Times New Roman" w:hAnsi="Times New Roman" w:cs="Times New Roman"/>
          <w:sz w:val="24"/>
          <w:szCs w:val="24"/>
        </w:rPr>
        <w:t>Velvarthi</w:t>
      </w:r>
      <w:r w:rsidRPr="00FF6695">
        <w:rPr>
          <w:rFonts w:ascii="Times New Roman" w:hAnsi="Times New Roman" w:cs="Times New Roman"/>
          <w:sz w:val="24"/>
          <w:szCs w:val="24"/>
        </w:rPr>
        <w:t xml:space="preserve"> villages. Specifically, it aimed to document species diversity and taxonomic composition, </w:t>
      </w:r>
      <w:commentRangeStart w:id="7"/>
      <w:r w:rsidRPr="00FF6695">
        <w:rPr>
          <w:rFonts w:ascii="Times New Roman" w:hAnsi="Times New Roman" w:cs="Times New Roman"/>
          <w:sz w:val="24"/>
          <w:szCs w:val="24"/>
        </w:rPr>
        <w:t>analyse</w:t>
      </w:r>
      <w:commentRangeEnd w:id="7"/>
      <w:r w:rsidR="001765BA" w:rsidRPr="00FF6695">
        <w:rPr>
          <w:rStyle w:val="Referincomentariu"/>
          <w:rFonts w:ascii="Times New Roman" w:hAnsi="Times New Roman" w:cs="Times New Roman"/>
          <w:sz w:val="24"/>
          <w:szCs w:val="24"/>
        </w:rPr>
        <w:commentReference w:id="7"/>
      </w:r>
      <w:r w:rsidRPr="00FF6695">
        <w:rPr>
          <w:rFonts w:ascii="Times New Roman" w:hAnsi="Times New Roman" w:cs="Times New Roman"/>
          <w:sz w:val="24"/>
          <w:szCs w:val="24"/>
        </w:rPr>
        <w:t xml:space="preserve"> order-wise distribution, and assess variations in species richness and diversity indices across different crop growth stages. The study also classified aquatic insects into functional feeding groups and </w:t>
      </w:r>
      <w:r w:rsidRPr="00FF6695">
        <w:rPr>
          <w:rFonts w:ascii="Times New Roman" w:hAnsi="Times New Roman" w:cs="Times New Roman"/>
          <w:sz w:val="24"/>
          <w:szCs w:val="24"/>
        </w:rPr>
        <w:lastRenderedPageBreak/>
        <w:t xml:space="preserve">examined their contribution to ecosystem functioning. In addition, temporal changes in pest populations and the relationship between predator abundance and pest density were </w:t>
      </w:r>
      <w:r w:rsidRPr="001765BA">
        <w:rPr>
          <w:rFonts w:ascii="Times New Roman" w:hAnsi="Times New Roman" w:cs="Times New Roman"/>
          <w:sz w:val="24"/>
          <w:szCs w:val="24"/>
          <w:highlight w:val="yellow"/>
        </w:rPr>
        <w:t>analysed.</w:t>
      </w:r>
      <w:r w:rsidR="0011307A" w:rsidRPr="001765BA">
        <w:rPr>
          <w:rFonts w:ascii="Times New Roman" w:hAnsi="Times New Roman" w:cs="Times New Roman"/>
          <w:sz w:val="24"/>
          <w:szCs w:val="24"/>
          <w:highlight w:val="yellow"/>
        </w:rPr>
        <w:t>.</w:t>
      </w:r>
    </w:p>
    <w:p w14:paraId="104F854D" w14:textId="38222DC4" w:rsidR="006D7588" w:rsidRPr="00FF6695" w:rsidRDefault="0062223D"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6D7588" w:rsidRPr="00FF6695">
        <w:rPr>
          <w:rFonts w:ascii="Times New Roman" w:hAnsi="Times New Roman" w:cs="Times New Roman"/>
          <w:b/>
          <w:bCs/>
          <w:sz w:val="24"/>
          <w:szCs w:val="24"/>
        </w:rPr>
        <w:t>MATERIALS AND METHODS</w:t>
      </w:r>
    </w:p>
    <w:p w14:paraId="07D1E6E9" w14:textId="0E81CF7C" w:rsidR="006D7588" w:rsidRDefault="0062223D"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6D7588" w:rsidRPr="00FF6695">
        <w:rPr>
          <w:rFonts w:ascii="Times New Roman" w:hAnsi="Times New Roman" w:cs="Times New Roman"/>
          <w:b/>
          <w:bCs/>
          <w:sz w:val="24"/>
          <w:szCs w:val="24"/>
        </w:rPr>
        <w:t>Study Area</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 xml:space="preserve">The study was conducted in </w:t>
      </w:r>
      <w:r w:rsidR="0064595F">
        <w:rPr>
          <w:rFonts w:ascii="Times New Roman" w:hAnsi="Times New Roman" w:cs="Times New Roman"/>
          <w:sz w:val="24"/>
          <w:szCs w:val="24"/>
        </w:rPr>
        <w:t>Kerchipally</w:t>
      </w:r>
      <w:r w:rsidR="006D7588" w:rsidRPr="00FF6695">
        <w:rPr>
          <w:rFonts w:ascii="Times New Roman" w:hAnsi="Times New Roman" w:cs="Times New Roman"/>
          <w:sz w:val="24"/>
          <w:szCs w:val="24"/>
        </w:rPr>
        <w:t xml:space="preserve"> (17.30</w:t>
      </w:r>
      <w:r w:rsidR="006D7588" w:rsidRPr="00FF6695">
        <w:rPr>
          <w:rFonts w:ascii="Times New Roman" w:hAnsi="Times New Roman" w:cs="Times New Roman"/>
          <w:sz w:val="24"/>
          <w:szCs w:val="24"/>
          <w:vertAlign w:val="superscript"/>
        </w:rPr>
        <w:t>°</w:t>
      </w:r>
      <w:r w:rsidR="006D7588" w:rsidRPr="00FF6695">
        <w:rPr>
          <w:rFonts w:ascii="Times New Roman" w:hAnsi="Times New Roman" w:cs="Times New Roman"/>
          <w:sz w:val="24"/>
          <w:szCs w:val="24"/>
        </w:rPr>
        <w:t>N, 79.10</w:t>
      </w:r>
      <w:r w:rsidR="006D7588" w:rsidRPr="00FF6695">
        <w:rPr>
          <w:rFonts w:ascii="Times New Roman" w:hAnsi="Times New Roman" w:cs="Times New Roman"/>
          <w:sz w:val="24"/>
          <w:szCs w:val="24"/>
          <w:vertAlign w:val="superscript"/>
        </w:rPr>
        <w:t>°</w:t>
      </w:r>
      <w:r w:rsidR="006D7588" w:rsidRPr="00FF6695">
        <w:rPr>
          <w:rFonts w:ascii="Times New Roman" w:hAnsi="Times New Roman" w:cs="Times New Roman"/>
          <w:sz w:val="24"/>
          <w:szCs w:val="24"/>
        </w:rPr>
        <w:t xml:space="preserve">E) and </w:t>
      </w:r>
      <w:r w:rsidR="0064595F">
        <w:rPr>
          <w:rFonts w:ascii="Times New Roman" w:hAnsi="Times New Roman" w:cs="Times New Roman"/>
          <w:sz w:val="24"/>
          <w:szCs w:val="24"/>
        </w:rPr>
        <w:t>Velvarthi</w:t>
      </w:r>
      <w:r w:rsidR="006D7588" w:rsidRPr="00FF6695">
        <w:rPr>
          <w:rFonts w:ascii="Times New Roman" w:hAnsi="Times New Roman" w:cs="Times New Roman"/>
          <w:sz w:val="24"/>
          <w:szCs w:val="24"/>
        </w:rPr>
        <w:t xml:space="preserve"> (17.28</w:t>
      </w:r>
      <w:r w:rsidR="006D7588" w:rsidRPr="00FF6695">
        <w:rPr>
          <w:rFonts w:ascii="Times New Roman" w:hAnsi="Times New Roman" w:cs="Times New Roman"/>
          <w:sz w:val="24"/>
          <w:szCs w:val="24"/>
          <w:vertAlign w:val="superscript"/>
        </w:rPr>
        <w:t>°</w:t>
      </w:r>
      <w:r w:rsidR="006D7588" w:rsidRPr="00FF6695">
        <w:rPr>
          <w:rFonts w:ascii="Times New Roman" w:hAnsi="Times New Roman" w:cs="Times New Roman"/>
          <w:sz w:val="24"/>
          <w:szCs w:val="24"/>
        </w:rPr>
        <w:t>N, 79.15</w:t>
      </w:r>
      <w:r w:rsidR="006D7588" w:rsidRPr="00FF6695">
        <w:rPr>
          <w:rFonts w:ascii="Times New Roman" w:hAnsi="Times New Roman" w:cs="Times New Roman"/>
          <w:sz w:val="24"/>
          <w:szCs w:val="24"/>
          <w:vertAlign w:val="superscript"/>
        </w:rPr>
        <w:t>°</w:t>
      </w:r>
      <w:r w:rsidR="006D7588" w:rsidRPr="00FF6695">
        <w:rPr>
          <w:rFonts w:ascii="Times New Roman" w:hAnsi="Times New Roman" w:cs="Times New Roman"/>
          <w:sz w:val="24"/>
          <w:szCs w:val="24"/>
        </w:rPr>
        <w:t>E) villages, located in Valigonda Mandal of Yadadri Bhuvanagiri district, Telangana, India</w:t>
      </w:r>
      <w:r w:rsidR="00137858">
        <w:rPr>
          <w:rFonts w:ascii="Times New Roman" w:hAnsi="Times New Roman" w:cs="Times New Roman"/>
          <w:sz w:val="24"/>
          <w:szCs w:val="24"/>
        </w:rPr>
        <w:t xml:space="preserve"> (Fig. 1)</w:t>
      </w:r>
      <w:r w:rsidR="006D7588" w:rsidRPr="00FF6695">
        <w:rPr>
          <w:rFonts w:ascii="Times New Roman" w:hAnsi="Times New Roman" w:cs="Times New Roman"/>
          <w:sz w:val="24"/>
          <w:szCs w:val="24"/>
        </w:rPr>
        <w:t xml:space="preserve">. The region falls under a semi-arid climatic zone, characterized by an average annual rainfall of 700–800 mm, primarily received during the southwest monsoon, and a temperature range of 22°C to 40°C. </w:t>
      </w:r>
      <w:commentRangeStart w:id="8"/>
      <w:r w:rsidR="006D7588" w:rsidRPr="00FF6695">
        <w:rPr>
          <w:rFonts w:ascii="Times New Roman" w:hAnsi="Times New Roman" w:cs="Times New Roman"/>
          <w:sz w:val="24"/>
          <w:szCs w:val="24"/>
        </w:rPr>
        <w:t xml:space="preserve">The study area is predominantly characterized by irrigated paddy cultivation during the Kharif season, where fields remain flooded for most of the crop cycle, creating conditions </w:t>
      </w:r>
      <w:r w:rsidR="00B249E2" w:rsidRPr="00FF6695">
        <w:rPr>
          <w:rFonts w:ascii="Times New Roman" w:hAnsi="Times New Roman" w:cs="Times New Roman"/>
          <w:sz w:val="24"/>
          <w:szCs w:val="24"/>
        </w:rPr>
        <w:t>like</w:t>
      </w:r>
      <w:r w:rsidR="006D7588" w:rsidRPr="00FF6695">
        <w:rPr>
          <w:rFonts w:ascii="Times New Roman" w:hAnsi="Times New Roman" w:cs="Times New Roman"/>
          <w:sz w:val="24"/>
          <w:szCs w:val="24"/>
        </w:rPr>
        <w:t xml:space="preserve"> temporary freshwater ecosystems that support diverse aquatic organisms, particularly insects (Lawler, 2001). </w:t>
      </w:r>
      <w:commentRangeEnd w:id="8"/>
      <w:r w:rsidR="00D15EA7" w:rsidRPr="00FF6695">
        <w:rPr>
          <w:rStyle w:val="Referincomentariu"/>
          <w:rFonts w:ascii="Times New Roman" w:hAnsi="Times New Roman" w:cs="Times New Roman"/>
          <w:sz w:val="24"/>
          <w:szCs w:val="24"/>
        </w:rPr>
        <w:commentReference w:id="8"/>
      </w:r>
      <w:r w:rsidR="006D7588" w:rsidRPr="00FF6695">
        <w:rPr>
          <w:rFonts w:ascii="Times New Roman" w:hAnsi="Times New Roman" w:cs="Times New Roman"/>
          <w:sz w:val="24"/>
          <w:szCs w:val="24"/>
        </w:rPr>
        <w:t>The selected sites were chosen based on continuous rice cultivation, availability of standing water, and variation in pesticide usage.</w:t>
      </w:r>
    </w:p>
    <w:p w14:paraId="69F782A9" w14:textId="32369284" w:rsidR="00137858" w:rsidRDefault="00137858" w:rsidP="00137858">
      <w:pPr>
        <w:spacing w:before="240" w:line="240" w:lineRule="auto"/>
        <w:jc w:val="center"/>
        <w:rPr>
          <w:rFonts w:ascii="Times New Roman" w:hAnsi="Times New Roman" w:cs="Times New Roman"/>
          <w:b/>
          <w:bCs/>
          <w:sz w:val="24"/>
          <w:szCs w:val="24"/>
        </w:rPr>
      </w:pPr>
      <w:r w:rsidRPr="00137858">
        <w:rPr>
          <w:rFonts w:ascii="Times New Roman" w:hAnsi="Times New Roman" w:cs="Times New Roman"/>
          <w:b/>
          <w:bCs/>
          <w:noProof/>
          <w:sz w:val="24"/>
          <w:szCs w:val="24"/>
        </w:rPr>
        <w:drawing>
          <wp:inline distT="0" distB="0" distL="0" distR="0" wp14:anchorId="729F9B4E" wp14:editId="5663A5A4">
            <wp:extent cx="5731510" cy="2961640"/>
            <wp:effectExtent l="19050" t="19050" r="21590" b="10160"/>
            <wp:docPr id="79887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74739" name=""/>
                    <pic:cNvPicPr/>
                  </pic:nvPicPr>
                  <pic:blipFill>
                    <a:blip r:embed="rId10"/>
                    <a:stretch>
                      <a:fillRect/>
                    </a:stretch>
                  </pic:blipFill>
                  <pic:spPr>
                    <a:xfrm>
                      <a:off x="0" y="0"/>
                      <a:ext cx="5731510" cy="2961640"/>
                    </a:xfrm>
                    <a:prstGeom prst="rect">
                      <a:avLst/>
                    </a:prstGeom>
                    <a:ln>
                      <a:solidFill>
                        <a:schemeClr val="tx1"/>
                      </a:solidFill>
                    </a:ln>
                  </pic:spPr>
                </pic:pic>
              </a:graphicData>
            </a:graphic>
          </wp:inline>
        </w:drawing>
      </w:r>
    </w:p>
    <w:p w14:paraId="0581AC29" w14:textId="42E17864" w:rsidR="00137858" w:rsidRPr="00222934" w:rsidRDefault="00137858" w:rsidP="00137858">
      <w:pPr>
        <w:spacing w:before="240" w:line="240" w:lineRule="auto"/>
        <w:jc w:val="center"/>
        <w:rPr>
          <w:rFonts w:ascii="Times New Roman" w:hAnsi="Times New Roman" w:cs="Times New Roman"/>
          <w:b/>
          <w:bCs/>
          <w:sz w:val="24"/>
          <w:szCs w:val="24"/>
          <w:lang w:val="en-IN"/>
        </w:rPr>
      </w:pPr>
      <w:r w:rsidRPr="00ED6274">
        <w:rPr>
          <w:rFonts w:ascii="Times New Roman" w:hAnsi="Times New Roman" w:cs="Times New Roman"/>
          <w:b/>
          <w:bCs/>
          <w:sz w:val="24"/>
          <w:szCs w:val="24"/>
        </w:rPr>
        <w:t>Fig.</w:t>
      </w:r>
      <w:r w:rsidR="00ED6274" w:rsidRPr="00ED6274">
        <w:rPr>
          <w:rFonts w:ascii="Times New Roman" w:hAnsi="Times New Roman" w:cs="Times New Roman"/>
          <w:b/>
          <w:bCs/>
          <w:sz w:val="24"/>
          <w:szCs w:val="24"/>
        </w:rPr>
        <w:t xml:space="preserve"> 1. Study site showing paddy fields of </w:t>
      </w:r>
      <w:r w:rsidR="0064595F">
        <w:rPr>
          <w:rFonts w:ascii="Times New Roman" w:hAnsi="Times New Roman" w:cs="Times New Roman"/>
          <w:b/>
          <w:bCs/>
          <w:sz w:val="24"/>
          <w:szCs w:val="24"/>
        </w:rPr>
        <w:t>Kerchipally</w:t>
      </w:r>
      <w:r w:rsidR="00ED6274" w:rsidRPr="00ED6274">
        <w:rPr>
          <w:rFonts w:ascii="Times New Roman" w:hAnsi="Times New Roman" w:cs="Times New Roman"/>
          <w:b/>
          <w:bCs/>
          <w:sz w:val="24"/>
          <w:szCs w:val="24"/>
        </w:rPr>
        <w:t xml:space="preserve"> and </w:t>
      </w:r>
      <w:r w:rsidR="0064595F">
        <w:rPr>
          <w:rFonts w:ascii="Times New Roman" w:hAnsi="Times New Roman" w:cs="Times New Roman"/>
          <w:b/>
          <w:bCs/>
          <w:sz w:val="24"/>
          <w:szCs w:val="24"/>
        </w:rPr>
        <w:t>Velvarthi</w:t>
      </w:r>
      <w:r w:rsidR="00ED6274" w:rsidRPr="00ED6274">
        <w:rPr>
          <w:rFonts w:ascii="Times New Roman" w:hAnsi="Times New Roman" w:cs="Times New Roman"/>
          <w:b/>
          <w:bCs/>
          <w:sz w:val="24"/>
          <w:szCs w:val="24"/>
        </w:rPr>
        <w:t xml:space="preserve"> villages</w:t>
      </w:r>
    </w:p>
    <w:p w14:paraId="251034D6" w14:textId="443916C3"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6D7588" w:rsidRPr="00FF6695">
        <w:rPr>
          <w:rFonts w:ascii="Times New Roman" w:hAnsi="Times New Roman" w:cs="Times New Roman"/>
          <w:b/>
          <w:bCs/>
          <w:sz w:val="24"/>
          <w:szCs w:val="24"/>
        </w:rPr>
        <w:t>Study Period and Sampling Design</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The study was carried out during the Kharif season (June to October 2023), covering the entire rice crop cycle. Sampling was conducted across three major crop growth stages, namely the vegetative stage, reproductive stage, and harvesting stage. At each village, three representative paddy fields were selected, and within each field, five quadrats of 1 m² area were marked randomly for sampling. Sampling was performed at biweekly intervals to capture temporal variations in aquatic insect diversity and pest populations throughout the crop cycle.</w:t>
      </w:r>
    </w:p>
    <w:p w14:paraId="2849D800" w14:textId="0C5EF9CA"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6D7588" w:rsidRPr="00FF6695">
        <w:rPr>
          <w:rFonts w:ascii="Times New Roman" w:hAnsi="Times New Roman" w:cs="Times New Roman"/>
          <w:b/>
          <w:bCs/>
          <w:sz w:val="24"/>
          <w:szCs w:val="24"/>
        </w:rPr>
        <w:t>Collection of Aquatic Insects</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Aquatic insects were collected using standard field sampling techniques commonly employed in freshwater ecological studies (APHA, 2017; Merritt et al., 2008). A dip net with a mesh size of 500 µm was used for collecting larvae and nymphs from the water column, while a sweep net was used for capturing surface-dwelling and mobile insects. In addition, hand picking was employed for collecting larger or less mobile taxa. Each quadrat was sampled thoroughly to ensure representative collection of insect fauna. The collected specimens were preserved in 70% ethanol for subsequent laboratory analysis.</w:t>
      </w:r>
    </w:p>
    <w:p w14:paraId="3CA5F4BF" w14:textId="46310161"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2.4 </w:t>
      </w:r>
      <w:r w:rsidR="006D7588" w:rsidRPr="00FF6695">
        <w:rPr>
          <w:rFonts w:ascii="Times New Roman" w:hAnsi="Times New Roman" w:cs="Times New Roman"/>
          <w:b/>
          <w:bCs/>
          <w:sz w:val="24"/>
          <w:szCs w:val="24"/>
        </w:rPr>
        <w:t>Identification of Specimens</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The collected aquatic insects were identified up to genus or species level using standard taxonomic keys and reference manuals (Merritt et al., 2008). Identification was carried out based on morphological characteristics and diagnostic features of larvae and nymphs.</w:t>
      </w:r>
    </w:p>
    <w:p w14:paraId="3AE44BAB" w14:textId="1A6CACB7" w:rsidR="006D7588"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2.5 </w:t>
      </w:r>
      <w:r w:rsidR="006D7588" w:rsidRPr="00FF6695">
        <w:rPr>
          <w:rFonts w:ascii="Times New Roman" w:hAnsi="Times New Roman" w:cs="Times New Roman"/>
          <w:b/>
          <w:bCs/>
          <w:sz w:val="24"/>
          <w:szCs w:val="24"/>
        </w:rPr>
        <w:t>Functional Feeding Group Classification</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Aquatic insects were classified into three major functional feeding groups based on their feeding habits, namely collectors (detritus feeders), predators (carnivorous insects), and grazers (algae feeders). This classification was carried out following established ecological frameworks for aquatic insects (Merritt et al., 2008).</w:t>
      </w:r>
    </w:p>
    <w:p w14:paraId="2FD1824D" w14:textId="7B2558C4"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2.6 </w:t>
      </w:r>
      <w:r w:rsidR="006D7588" w:rsidRPr="00FF6695">
        <w:rPr>
          <w:rFonts w:ascii="Times New Roman" w:hAnsi="Times New Roman" w:cs="Times New Roman"/>
          <w:b/>
          <w:bCs/>
          <w:sz w:val="24"/>
          <w:szCs w:val="24"/>
        </w:rPr>
        <w:t>Pest Population Assessment</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Pest populations, including mosquito larvae and early-stage rice pests (nymphal forms), were recorded from the same quadrats used for insect sampling. Pest density was expressed as the number of individuals per square meter (No./m²), and the data were presented as mean ± standard error (SE).</w:t>
      </w:r>
    </w:p>
    <w:p w14:paraId="567DE5D6" w14:textId="34F676D6" w:rsidR="001F34DD"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006D7588" w:rsidRPr="00FF6695">
        <w:rPr>
          <w:rFonts w:ascii="Times New Roman" w:hAnsi="Times New Roman" w:cs="Times New Roman"/>
          <w:b/>
          <w:bCs/>
          <w:sz w:val="24"/>
          <w:szCs w:val="24"/>
        </w:rPr>
        <w:t>Data Analysis</w:t>
      </w:r>
    </w:p>
    <w:p w14:paraId="3B6E478B" w14:textId="586C5790"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2.7.1 </w:t>
      </w:r>
      <w:r w:rsidR="006D7588" w:rsidRPr="00FF6695">
        <w:rPr>
          <w:rFonts w:ascii="Times New Roman" w:hAnsi="Times New Roman" w:cs="Times New Roman"/>
          <w:b/>
          <w:bCs/>
          <w:sz w:val="24"/>
          <w:szCs w:val="24"/>
        </w:rPr>
        <w:t>Diversity Indices</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Aquatic insect diversity was assessed using the Shannon–Wiener Index (H′) (Shannon &amp; Weaver, 1949) and Simpson’s Diversity Index (D) (Simpson, 1949). These indices were calculated based on species-wise abundance data obtained from quadrat sampling.</w:t>
      </w:r>
    </w:p>
    <w:p w14:paraId="00D4C4D1" w14:textId="1D9B6E8D"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2.7.2 </w:t>
      </w:r>
      <w:r w:rsidR="006D7588" w:rsidRPr="00FF6695">
        <w:rPr>
          <w:rFonts w:ascii="Times New Roman" w:hAnsi="Times New Roman" w:cs="Times New Roman"/>
          <w:b/>
          <w:bCs/>
          <w:sz w:val="24"/>
          <w:szCs w:val="24"/>
        </w:rPr>
        <w:t>Community Composition</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The order-wise composition of aquatic insects was expressed as relative species composition (%), while functional feeding groups were calculated as the percentage contribution of total species.</w:t>
      </w:r>
    </w:p>
    <w:p w14:paraId="0313B527" w14:textId="60E6BBD1" w:rsidR="006D7588"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2.7.3 </w:t>
      </w:r>
      <w:r w:rsidR="006D7588" w:rsidRPr="00FF6695">
        <w:rPr>
          <w:rFonts w:ascii="Times New Roman" w:hAnsi="Times New Roman" w:cs="Times New Roman"/>
          <w:b/>
          <w:bCs/>
          <w:sz w:val="24"/>
          <w:szCs w:val="24"/>
        </w:rPr>
        <w:t>Statistical Analysis</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 xml:space="preserve">The relationship between predator abundance and pest density was analyzed using Pearson correlation coefficient (r), and </w:t>
      </w:r>
      <w:r w:rsidR="00F95FC2" w:rsidRPr="00FF6695">
        <w:rPr>
          <w:rFonts w:ascii="Times New Roman" w:hAnsi="Times New Roman" w:cs="Times New Roman"/>
          <w:sz w:val="24"/>
          <w:szCs w:val="24"/>
        </w:rPr>
        <w:t xml:space="preserve">statistical significance was evaluated at </w:t>
      </w:r>
      <w:r w:rsidR="00F95FC2" w:rsidRPr="00FF6695">
        <w:rPr>
          <w:rFonts w:ascii="Times New Roman" w:hAnsi="Times New Roman" w:cs="Times New Roman"/>
          <w:i/>
          <w:iCs/>
          <w:sz w:val="24"/>
          <w:szCs w:val="24"/>
        </w:rPr>
        <w:t>p</w:t>
      </w:r>
      <w:r w:rsidR="00F95FC2" w:rsidRPr="00FF6695">
        <w:rPr>
          <w:rFonts w:ascii="Times New Roman" w:hAnsi="Times New Roman" w:cs="Times New Roman"/>
          <w:sz w:val="24"/>
          <w:szCs w:val="24"/>
        </w:rPr>
        <w:t xml:space="preserve"> &lt; 0.05, and correlation strength was interpreted based on standard ecological criteria</w:t>
      </w:r>
      <w:r w:rsidR="006D7588" w:rsidRPr="00FF6695">
        <w:rPr>
          <w:rFonts w:ascii="Times New Roman" w:hAnsi="Times New Roman" w:cs="Times New Roman"/>
          <w:sz w:val="24"/>
          <w:szCs w:val="24"/>
        </w:rPr>
        <w:t xml:space="preserve">. </w:t>
      </w:r>
      <w:r w:rsidR="004D0582" w:rsidRPr="00FF6695">
        <w:rPr>
          <w:rFonts w:ascii="Times New Roman" w:hAnsi="Times New Roman" w:cs="Times New Roman"/>
          <w:sz w:val="24"/>
          <w:szCs w:val="24"/>
        </w:rPr>
        <w:t>All statistical analyses were performed using R (version 4.3.x) or SPSS (version 28)</w:t>
      </w:r>
      <w:r w:rsidR="006D7588" w:rsidRPr="00FF6695">
        <w:rPr>
          <w:rFonts w:ascii="Times New Roman" w:hAnsi="Times New Roman" w:cs="Times New Roman"/>
          <w:sz w:val="24"/>
          <w:szCs w:val="24"/>
        </w:rPr>
        <w:t>.</w:t>
      </w:r>
    </w:p>
    <w:p w14:paraId="758DD5E4" w14:textId="7A49238B" w:rsidR="009A01AF"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9A01AF" w:rsidRPr="00FF6695">
        <w:rPr>
          <w:rFonts w:ascii="Times New Roman" w:hAnsi="Times New Roman" w:cs="Times New Roman"/>
          <w:b/>
          <w:bCs/>
          <w:sz w:val="24"/>
          <w:szCs w:val="24"/>
        </w:rPr>
        <w:t>RESULTS</w:t>
      </w:r>
    </w:p>
    <w:p w14:paraId="2B903637" w14:textId="161ECE92" w:rsidR="009732D0" w:rsidRPr="00FF6695" w:rsidRDefault="009732D0" w:rsidP="00025A39">
      <w:pPr>
        <w:spacing w:before="240" w:line="240" w:lineRule="auto"/>
        <w:jc w:val="both"/>
        <w:rPr>
          <w:rFonts w:ascii="Times New Roman" w:hAnsi="Times New Roman" w:cs="Times New Roman"/>
          <w:sz w:val="24"/>
          <w:szCs w:val="24"/>
        </w:rPr>
      </w:pPr>
      <w:r w:rsidRPr="00FF6695">
        <w:rPr>
          <w:rFonts w:ascii="Times New Roman" w:hAnsi="Times New Roman" w:cs="Times New Roman"/>
          <w:sz w:val="24"/>
          <w:szCs w:val="24"/>
        </w:rPr>
        <w:t xml:space="preserve">The results of the present study provide a comprehensive account of the diversity, community structure, and ecological role of aquatic insects in paddy agroecosystems of </w:t>
      </w:r>
      <w:r w:rsidR="0064595F">
        <w:rPr>
          <w:rFonts w:ascii="Times New Roman" w:hAnsi="Times New Roman" w:cs="Times New Roman"/>
          <w:sz w:val="24"/>
          <w:szCs w:val="24"/>
        </w:rPr>
        <w:t>Kerchipally</w:t>
      </w:r>
      <w:r w:rsidRPr="00FF6695">
        <w:rPr>
          <w:rFonts w:ascii="Times New Roman" w:hAnsi="Times New Roman" w:cs="Times New Roman"/>
          <w:sz w:val="24"/>
          <w:szCs w:val="24"/>
        </w:rPr>
        <w:t xml:space="preserve"> and </w:t>
      </w:r>
      <w:r w:rsidR="0064595F">
        <w:rPr>
          <w:rFonts w:ascii="Times New Roman" w:hAnsi="Times New Roman" w:cs="Times New Roman"/>
          <w:sz w:val="24"/>
          <w:szCs w:val="24"/>
        </w:rPr>
        <w:t>Velvarthi</w:t>
      </w:r>
      <w:r w:rsidRPr="00FF6695">
        <w:rPr>
          <w:rFonts w:ascii="Times New Roman" w:hAnsi="Times New Roman" w:cs="Times New Roman"/>
          <w:sz w:val="24"/>
          <w:szCs w:val="24"/>
        </w:rPr>
        <w:t xml:space="preserve"> villages. The findings are organized to present species composition, order-wise distribution, diversity patterns across crop growth stages, functional feeding group structure, pest population dynamics, and the relationship between predator abundance and pest density. These results collectively highlight the contribution of aquatic insect communities to ecosystem functioning and natural pest regulation.</w:t>
      </w:r>
    </w:p>
    <w:p w14:paraId="75AF6405" w14:textId="69667F2C"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3.1 </w:t>
      </w:r>
      <w:r w:rsidR="003374CA" w:rsidRPr="00FF6695">
        <w:rPr>
          <w:rFonts w:ascii="Times New Roman" w:hAnsi="Times New Roman" w:cs="Times New Roman"/>
          <w:b/>
          <w:bCs/>
          <w:sz w:val="24"/>
          <w:szCs w:val="24"/>
        </w:rPr>
        <w:t>Species</w:t>
      </w:r>
      <w:r w:rsidR="00D47D8C">
        <w:rPr>
          <w:rFonts w:ascii="Times New Roman" w:hAnsi="Times New Roman" w:cs="Times New Roman"/>
          <w:b/>
          <w:bCs/>
          <w:sz w:val="24"/>
          <w:szCs w:val="24"/>
        </w:rPr>
        <w:t xml:space="preserve"> </w:t>
      </w:r>
      <w:r w:rsidR="003374CA" w:rsidRPr="00FF6695">
        <w:rPr>
          <w:rFonts w:ascii="Times New Roman" w:hAnsi="Times New Roman" w:cs="Times New Roman"/>
          <w:b/>
          <w:bCs/>
          <w:sz w:val="24"/>
          <w:szCs w:val="24"/>
        </w:rPr>
        <w:t xml:space="preserve">Diversity: </w:t>
      </w:r>
      <w:r w:rsidR="003374CA" w:rsidRPr="00FF6695">
        <w:rPr>
          <w:rFonts w:ascii="Times New Roman" w:hAnsi="Times New Roman" w:cs="Times New Roman"/>
          <w:sz w:val="24"/>
          <w:szCs w:val="24"/>
        </w:rPr>
        <w:t>A total of 4</w:t>
      </w:r>
      <w:r w:rsidR="00692DF4" w:rsidRPr="00FF6695">
        <w:rPr>
          <w:rFonts w:ascii="Times New Roman" w:hAnsi="Times New Roman" w:cs="Times New Roman"/>
          <w:sz w:val="24"/>
          <w:szCs w:val="24"/>
        </w:rPr>
        <w:t>0</w:t>
      </w:r>
      <w:r w:rsidR="003374CA" w:rsidRPr="00FF6695">
        <w:rPr>
          <w:rFonts w:ascii="Times New Roman" w:hAnsi="Times New Roman" w:cs="Times New Roman"/>
          <w:sz w:val="24"/>
          <w:szCs w:val="24"/>
        </w:rPr>
        <w:t xml:space="preserve"> aquatic insect species, belonging to 5 orders and 18 families, were recorded from the paddy fields of </w:t>
      </w:r>
      <w:r w:rsidR="0064595F">
        <w:rPr>
          <w:rFonts w:ascii="Times New Roman" w:hAnsi="Times New Roman" w:cs="Times New Roman"/>
          <w:sz w:val="24"/>
          <w:szCs w:val="24"/>
        </w:rPr>
        <w:t>Kerchipally</w:t>
      </w:r>
      <w:r w:rsidR="003374CA" w:rsidRPr="00FF6695">
        <w:rPr>
          <w:rFonts w:ascii="Times New Roman" w:hAnsi="Times New Roman" w:cs="Times New Roman"/>
          <w:sz w:val="24"/>
          <w:szCs w:val="24"/>
        </w:rPr>
        <w:t xml:space="preserve"> and </w:t>
      </w:r>
      <w:r w:rsidR="0064595F">
        <w:rPr>
          <w:rFonts w:ascii="Times New Roman" w:hAnsi="Times New Roman" w:cs="Times New Roman"/>
          <w:sz w:val="24"/>
          <w:szCs w:val="24"/>
        </w:rPr>
        <w:t>Velvarthi</w:t>
      </w:r>
      <w:r w:rsidR="003374CA" w:rsidRPr="00FF6695">
        <w:rPr>
          <w:rFonts w:ascii="Times New Roman" w:hAnsi="Times New Roman" w:cs="Times New Roman"/>
          <w:sz w:val="24"/>
          <w:szCs w:val="24"/>
        </w:rPr>
        <w:t xml:space="preserve"> villages during the study period. This indicates that the selected rice agroecosystems support </w:t>
      </w:r>
      <w:r w:rsidR="00EB64C9" w:rsidRPr="00FF6695">
        <w:rPr>
          <w:rFonts w:ascii="Times New Roman" w:hAnsi="Times New Roman" w:cs="Times New Roman"/>
          <w:sz w:val="24"/>
          <w:szCs w:val="24"/>
        </w:rPr>
        <w:t>a considerable level of aquatic insect biodiversity</w:t>
      </w:r>
      <w:r w:rsidR="003374CA" w:rsidRPr="00FF6695">
        <w:rPr>
          <w:rFonts w:ascii="Times New Roman" w:hAnsi="Times New Roman" w:cs="Times New Roman"/>
          <w:sz w:val="24"/>
          <w:szCs w:val="24"/>
        </w:rPr>
        <w:t>, characteristic of semi-arid irrigated wetlands</w:t>
      </w:r>
      <w:r w:rsidR="00F64DC2">
        <w:rPr>
          <w:rFonts w:ascii="Times New Roman" w:hAnsi="Times New Roman" w:cs="Times New Roman"/>
          <w:sz w:val="24"/>
          <w:szCs w:val="24"/>
        </w:rPr>
        <w:t xml:space="preserve"> (Table 1)</w:t>
      </w:r>
      <w:r w:rsidR="00622562">
        <w:rPr>
          <w:rFonts w:ascii="Times New Roman" w:hAnsi="Times New Roman" w:cs="Times New Roman"/>
          <w:sz w:val="24"/>
          <w:szCs w:val="24"/>
        </w:rPr>
        <w:t>.</w:t>
      </w:r>
    </w:p>
    <w:p w14:paraId="4287F00E" w14:textId="2310D323" w:rsidR="003374CA" w:rsidRPr="00FF6695" w:rsidRDefault="003374CA" w:rsidP="00F64DC2">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The aquatic insect community was taxonomically diverse, comprising representatives from Diptera, Hemiptera, Coleoptera, Odonata, and Ephemeroptera. Among these, Diptera constituted the dominant taxonomic group, </w:t>
      </w:r>
      <w:r w:rsidR="008B643B" w:rsidRPr="00FF6695">
        <w:rPr>
          <w:rFonts w:ascii="Times New Roman" w:hAnsi="Times New Roman" w:cs="Times New Roman"/>
          <w:sz w:val="24"/>
          <w:szCs w:val="24"/>
        </w:rPr>
        <w:t>indicating their high adaptability</w:t>
      </w:r>
      <w:r w:rsidRPr="00FF6695">
        <w:rPr>
          <w:rFonts w:ascii="Times New Roman" w:hAnsi="Times New Roman" w:cs="Times New Roman"/>
          <w:sz w:val="24"/>
          <w:szCs w:val="24"/>
        </w:rPr>
        <w:t xml:space="preserve"> to nutrient-rich, shallow water environments commonly found in paddy fields.</w:t>
      </w:r>
      <w:r w:rsidR="00F64DC2">
        <w:rPr>
          <w:rFonts w:ascii="Times New Roman" w:hAnsi="Times New Roman" w:cs="Times New Roman"/>
          <w:sz w:val="24"/>
          <w:szCs w:val="24"/>
        </w:rPr>
        <w:t xml:space="preserve"> </w:t>
      </w:r>
      <w:r w:rsidRPr="00FF6695">
        <w:rPr>
          <w:rFonts w:ascii="Times New Roman" w:hAnsi="Times New Roman" w:cs="Times New Roman"/>
          <w:sz w:val="24"/>
          <w:szCs w:val="24"/>
        </w:rPr>
        <w:t xml:space="preserve">Hemiptera formed the second </w:t>
      </w:r>
      <w:r w:rsidRPr="00FF6695">
        <w:rPr>
          <w:rFonts w:ascii="Times New Roman" w:hAnsi="Times New Roman" w:cs="Times New Roman"/>
          <w:sz w:val="24"/>
          <w:szCs w:val="24"/>
        </w:rPr>
        <w:lastRenderedPageBreak/>
        <w:t>most dominant group, primarily represented by aquatic predators such as backswimmers, water striders, and water scorpions, which play a crucial role in regulating prey populations. Coleoptera contributed a considerable proportion of the fauna, including both predatory diving beetles and scavenging water beetles, indicating the presence of diverse ecological niches.</w:t>
      </w:r>
      <w:r w:rsidR="00F64DC2">
        <w:rPr>
          <w:rFonts w:ascii="Times New Roman" w:hAnsi="Times New Roman" w:cs="Times New Roman"/>
          <w:sz w:val="24"/>
          <w:szCs w:val="24"/>
        </w:rPr>
        <w:t xml:space="preserve"> </w:t>
      </w:r>
      <w:r w:rsidRPr="00FF6695">
        <w:rPr>
          <w:rFonts w:ascii="Times New Roman" w:hAnsi="Times New Roman" w:cs="Times New Roman"/>
          <w:sz w:val="24"/>
          <w:szCs w:val="24"/>
        </w:rPr>
        <w:t>Odonata, represented by dragonfly and damselfly nymphs, were consistently observed across all sampling sites, suggesting stable aquatic conditions suitable for their development. Ephemeroptera, though less abundant, contributed to the grazing community and indicated relatively good water quality conditions, as they are often sensitive to environmental disturbances</w:t>
      </w:r>
      <w:r w:rsidR="00F64DC2">
        <w:rPr>
          <w:rFonts w:ascii="Times New Roman" w:hAnsi="Times New Roman" w:cs="Times New Roman"/>
          <w:sz w:val="24"/>
          <w:szCs w:val="24"/>
        </w:rPr>
        <w:t xml:space="preserve"> (Table 1)</w:t>
      </w:r>
      <w:r w:rsidRPr="00FF6695">
        <w:rPr>
          <w:rFonts w:ascii="Times New Roman" w:hAnsi="Times New Roman" w:cs="Times New Roman"/>
          <w:sz w:val="24"/>
          <w:szCs w:val="24"/>
        </w:rPr>
        <w:t>.</w:t>
      </w:r>
    </w:p>
    <w:p w14:paraId="74111C07" w14:textId="0F6B61D4" w:rsidR="003374CA" w:rsidRPr="00FF6695" w:rsidRDefault="003374CA"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presence of multiple insect orders and families highlights the structural and functional complexity of the paddy ecosystem, which supports diverse trophic interactions and ecological processes</w:t>
      </w:r>
      <w:r w:rsidR="00F64DC2">
        <w:rPr>
          <w:rFonts w:ascii="Times New Roman" w:hAnsi="Times New Roman" w:cs="Times New Roman"/>
          <w:sz w:val="24"/>
          <w:szCs w:val="24"/>
        </w:rPr>
        <w:t>.</w:t>
      </w:r>
    </w:p>
    <w:p w14:paraId="4F6D3BAB" w14:textId="782BEF0D" w:rsidR="003374CA" w:rsidRPr="00D47D8C" w:rsidRDefault="003374CA" w:rsidP="00190954">
      <w:pPr>
        <w:spacing w:before="240" w:line="240" w:lineRule="auto"/>
        <w:jc w:val="center"/>
        <w:rPr>
          <w:rFonts w:ascii="Times New Roman" w:hAnsi="Times New Roman" w:cs="Times New Roman"/>
          <w:b/>
          <w:bCs/>
          <w:sz w:val="24"/>
          <w:szCs w:val="24"/>
        </w:rPr>
      </w:pPr>
      <w:r w:rsidRPr="00D47D8C">
        <w:rPr>
          <w:rFonts w:ascii="Times New Roman" w:hAnsi="Times New Roman" w:cs="Times New Roman"/>
          <w:b/>
          <w:bCs/>
          <w:sz w:val="24"/>
          <w:szCs w:val="24"/>
        </w:rPr>
        <w:t>Table 1.</w:t>
      </w:r>
      <w:r w:rsidR="00D47D8C" w:rsidRPr="00D47D8C">
        <w:rPr>
          <w:rFonts w:ascii="Times New Roman" w:hAnsi="Times New Roman" w:cs="Times New Roman"/>
          <w:b/>
          <w:bCs/>
          <w:sz w:val="24"/>
          <w:szCs w:val="24"/>
        </w:rPr>
        <w:t xml:space="preserve"> </w:t>
      </w:r>
      <w:r w:rsidRPr="00D47D8C">
        <w:rPr>
          <w:rFonts w:ascii="Times New Roman" w:hAnsi="Times New Roman" w:cs="Times New Roman"/>
          <w:b/>
          <w:bCs/>
          <w:sz w:val="24"/>
          <w:szCs w:val="24"/>
        </w:rPr>
        <w:t>Aquatic Insects Recorded</w:t>
      </w:r>
      <w:r w:rsidR="00D47D8C" w:rsidRPr="00D47D8C">
        <w:rPr>
          <w:rFonts w:ascii="Times New Roman" w:hAnsi="Times New Roman" w:cs="Times New Roman"/>
          <w:b/>
          <w:bCs/>
          <w:sz w:val="24"/>
          <w:szCs w:val="24"/>
        </w:rPr>
        <w:t xml:space="preserve"> in paddy agroecosystems of </w:t>
      </w:r>
      <w:r w:rsidR="0064595F">
        <w:rPr>
          <w:rFonts w:ascii="Times New Roman" w:hAnsi="Times New Roman" w:cs="Times New Roman"/>
          <w:b/>
          <w:bCs/>
          <w:sz w:val="24"/>
          <w:szCs w:val="24"/>
        </w:rPr>
        <w:t>Kerchipally</w:t>
      </w:r>
      <w:r w:rsidR="00D47D8C" w:rsidRPr="00D47D8C">
        <w:rPr>
          <w:rFonts w:ascii="Times New Roman" w:hAnsi="Times New Roman" w:cs="Times New Roman"/>
          <w:b/>
          <w:bCs/>
          <w:sz w:val="24"/>
          <w:szCs w:val="24"/>
        </w:rPr>
        <w:t xml:space="preserve"> and </w:t>
      </w:r>
      <w:r w:rsidR="0064595F">
        <w:rPr>
          <w:rFonts w:ascii="Times New Roman" w:hAnsi="Times New Roman" w:cs="Times New Roman"/>
          <w:b/>
          <w:bCs/>
          <w:sz w:val="24"/>
          <w:szCs w:val="24"/>
        </w:rPr>
        <w:t>Velvarthi</w:t>
      </w:r>
      <w:r w:rsidR="00D47D8C" w:rsidRPr="00D47D8C">
        <w:rPr>
          <w:rFonts w:ascii="Times New Roman" w:hAnsi="Times New Roman" w:cs="Times New Roman"/>
          <w:b/>
          <w:bCs/>
          <w:sz w:val="24"/>
          <w:szCs w:val="24"/>
        </w:rPr>
        <w:t xml:space="preserve"> villages</w:t>
      </w:r>
    </w:p>
    <w:tbl>
      <w:tblPr>
        <w:tblStyle w:val="Tabelgril"/>
        <w:tblW w:w="5000" w:type="pct"/>
        <w:tblLook w:val="04A0" w:firstRow="1" w:lastRow="0" w:firstColumn="1" w:lastColumn="0" w:noHBand="0" w:noVBand="1"/>
      </w:tblPr>
      <w:tblGrid>
        <w:gridCol w:w="703"/>
        <w:gridCol w:w="1713"/>
        <w:gridCol w:w="1863"/>
        <w:gridCol w:w="3087"/>
        <w:gridCol w:w="1650"/>
      </w:tblGrid>
      <w:tr w:rsidR="003374CA" w:rsidRPr="00FF6695" w14:paraId="2BC98EBC" w14:textId="77777777" w:rsidTr="00190954">
        <w:tc>
          <w:tcPr>
            <w:tcW w:w="390" w:type="pct"/>
            <w:vAlign w:val="center"/>
            <w:hideMark/>
          </w:tcPr>
          <w:p w14:paraId="2C96E42B"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S.No</w:t>
            </w:r>
          </w:p>
        </w:tc>
        <w:tc>
          <w:tcPr>
            <w:tcW w:w="950" w:type="pct"/>
            <w:vAlign w:val="center"/>
            <w:hideMark/>
          </w:tcPr>
          <w:p w14:paraId="33BBFF51"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Order</w:t>
            </w:r>
          </w:p>
        </w:tc>
        <w:tc>
          <w:tcPr>
            <w:tcW w:w="1033" w:type="pct"/>
            <w:vAlign w:val="center"/>
            <w:hideMark/>
          </w:tcPr>
          <w:p w14:paraId="4E3E9B05"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Family</w:t>
            </w:r>
          </w:p>
        </w:tc>
        <w:tc>
          <w:tcPr>
            <w:tcW w:w="1712" w:type="pct"/>
            <w:vAlign w:val="center"/>
            <w:hideMark/>
          </w:tcPr>
          <w:p w14:paraId="52CDEB6D"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Species</w:t>
            </w:r>
          </w:p>
        </w:tc>
        <w:tc>
          <w:tcPr>
            <w:tcW w:w="915" w:type="pct"/>
            <w:vAlign w:val="center"/>
            <w:hideMark/>
          </w:tcPr>
          <w:p w14:paraId="40CDA1EB"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Functional Group</w:t>
            </w:r>
          </w:p>
        </w:tc>
      </w:tr>
      <w:tr w:rsidR="003374CA" w:rsidRPr="00FF6695" w14:paraId="7DB2CC57" w14:textId="77777777" w:rsidTr="00190954">
        <w:tc>
          <w:tcPr>
            <w:tcW w:w="390" w:type="pct"/>
            <w:vAlign w:val="center"/>
            <w:hideMark/>
          </w:tcPr>
          <w:p w14:paraId="6E759E6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p>
        </w:tc>
        <w:tc>
          <w:tcPr>
            <w:tcW w:w="950" w:type="pct"/>
            <w:vAlign w:val="center"/>
            <w:hideMark/>
          </w:tcPr>
          <w:p w14:paraId="3149F88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7DCF641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Culicidae</w:t>
            </w:r>
          </w:p>
        </w:tc>
        <w:tc>
          <w:tcPr>
            <w:tcW w:w="1712" w:type="pct"/>
            <w:vAlign w:val="center"/>
            <w:hideMark/>
          </w:tcPr>
          <w:p w14:paraId="183F065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Culex quinquefasciatus</w:t>
            </w:r>
          </w:p>
        </w:tc>
        <w:tc>
          <w:tcPr>
            <w:tcW w:w="915" w:type="pct"/>
            <w:vAlign w:val="center"/>
            <w:hideMark/>
          </w:tcPr>
          <w:p w14:paraId="44E4197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585C0624" w14:textId="77777777" w:rsidTr="00190954">
        <w:tc>
          <w:tcPr>
            <w:tcW w:w="390" w:type="pct"/>
            <w:vAlign w:val="center"/>
            <w:hideMark/>
          </w:tcPr>
          <w:p w14:paraId="4F56101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p>
        </w:tc>
        <w:tc>
          <w:tcPr>
            <w:tcW w:w="950" w:type="pct"/>
            <w:vAlign w:val="center"/>
            <w:hideMark/>
          </w:tcPr>
          <w:p w14:paraId="33B3AD7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F11FAF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Culicidae</w:t>
            </w:r>
          </w:p>
        </w:tc>
        <w:tc>
          <w:tcPr>
            <w:tcW w:w="1712" w:type="pct"/>
            <w:vAlign w:val="center"/>
            <w:hideMark/>
          </w:tcPr>
          <w:p w14:paraId="3FD63FB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Anopheles stephensi</w:t>
            </w:r>
          </w:p>
        </w:tc>
        <w:tc>
          <w:tcPr>
            <w:tcW w:w="915" w:type="pct"/>
            <w:vAlign w:val="center"/>
            <w:hideMark/>
          </w:tcPr>
          <w:p w14:paraId="1957CCE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0E1225EC" w14:textId="77777777" w:rsidTr="00190954">
        <w:tc>
          <w:tcPr>
            <w:tcW w:w="390" w:type="pct"/>
            <w:vAlign w:val="center"/>
            <w:hideMark/>
          </w:tcPr>
          <w:p w14:paraId="5D647F9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p>
        </w:tc>
        <w:tc>
          <w:tcPr>
            <w:tcW w:w="950" w:type="pct"/>
            <w:vAlign w:val="center"/>
            <w:hideMark/>
          </w:tcPr>
          <w:p w14:paraId="737F04D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6AE98F2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Culicidae</w:t>
            </w:r>
          </w:p>
        </w:tc>
        <w:tc>
          <w:tcPr>
            <w:tcW w:w="1712" w:type="pct"/>
            <w:vAlign w:val="center"/>
            <w:hideMark/>
          </w:tcPr>
          <w:p w14:paraId="1D25F6D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Aedes aegypti</w:t>
            </w:r>
          </w:p>
        </w:tc>
        <w:tc>
          <w:tcPr>
            <w:tcW w:w="915" w:type="pct"/>
            <w:vAlign w:val="center"/>
            <w:hideMark/>
          </w:tcPr>
          <w:p w14:paraId="547B024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58F739D6" w14:textId="77777777" w:rsidTr="00190954">
        <w:tc>
          <w:tcPr>
            <w:tcW w:w="390" w:type="pct"/>
            <w:vAlign w:val="center"/>
            <w:hideMark/>
          </w:tcPr>
          <w:p w14:paraId="69458BF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4</w:t>
            </w:r>
          </w:p>
        </w:tc>
        <w:tc>
          <w:tcPr>
            <w:tcW w:w="950" w:type="pct"/>
            <w:vAlign w:val="center"/>
            <w:hideMark/>
          </w:tcPr>
          <w:p w14:paraId="2C16D27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2956D1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Chironomidae</w:t>
            </w:r>
          </w:p>
        </w:tc>
        <w:tc>
          <w:tcPr>
            <w:tcW w:w="1712" w:type="pct"/>
            <w:vAlign w:val="center"/>
            <w:hideMark/>
          </w:tcPr>
          <w:p w14:paraId="3985B10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Chironomus plumosus</w:t>
            </w:r>
          </w:p>
        </w:tc>
        <w:tc>
          <w:tcPr>
            <w:tcW w:w="915" w:type="pct"/>
            <w:vAlign w:val="center"/>
            <w:hideMark/>
          </w:tcPr>
          <w:p w14:paraId="58E4B4C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570261B0" w14:textId="77777777" w:rsidTr="00190954">
        <w:tc>
          <w:tcPr>
            <w:tcW w:w="390" w:type="pct"/>
            <w:vAlign w:val="center"/>
            <w:hideMark/>
          </w:tcPr>
          <w:p w14:paraId="1F72ABE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5</w:t>
            </w:r>
          </w:p>
        </w:tc>
        <w:tc>
          <w:tcPr>
            <w:tcW w:w="950" w:type="pct"/>
            <w:vAlign w:val="center"/>
            <w:hideMark/>
          </w:tcPr>
          <w:p w14:paraId="0D39524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6B16185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Chironomidae</w:t>
            </w:r>
          </w:p>
        </w:tc>
        <w:tc>
          <w:tcPr>
            <w:tcW w:w="1712" w:type="pct"/>
            <w:vAlign w:val="center"/>
            <w:hideMark/>
          </w:tcPr>
          <w:p w14:paraId="49B1152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Polypedilum</w:t>
            </w:r>
            <w:r w:rsidRPr="00FF6695">
              <w:rPr>
                <w:rFonts w:ascii="Times New Roman" w:hAnsi="Times New Roman" w:cs="Times New Roman"/>
                <w:sz w:val="24"/>
                <w:szCs w:val="24"/>
              </w:rPr>
              <w:t xml:space="preserve"> sp.</w:t>
            </w:r>
          </w:p>
        </w:tc>
        <w:tc>
          <w:tcPr>
            <w:tcW w:w="915" w:type="pct"/>
            <w:vAlign w:val="center"/>
            <w:hideMark/>
          </w:tcPr>
          <w:p w14:paraId="2984642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7A482BB7" w14:textId="77777777" w:rsidTr="00190954">
        <w:tc>
          <w:tcPr>
            <w:tcW w:w="390" w:type="pct"/>
            <w:vAlign w:val="center"/>
            <w:hideMark/>
          </w:tcPr>
          <w:p w14:paraId="116A880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6</w:t>
            </w:r>
          </w:p>
        </w:tc>
        <w:tc>
          <w:tcPr>
            <w:tcW w:w="950" w:type="pct"/>
            <w:vAlign w:val="center"/>
            <w:hideMark/>
          </w:tcPr>
          <w:p w14:paraId="3EF0A43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30D8DCF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Tipulidae</w:t>
            </w:r>
          </w:p>
        </w:tc>
        <w:tc>
          <w:tcPr>
            <w:tcW w:w="1712" w:type="pct"/>
            <w:vAlign w:val="center"/>
            <w:hideMark/>
          </w:tcPr>
          <w:p w14:paraId="0AA2142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Tipula</w:t>
            </w:r>
            <w:r w:rsidRPr="00FF6695">
              <w:rPr>
                <w:rFonts w:ascii="Times New Roman" w:hAnsi="Times New Roman" w:cs="Times New Roman"/>
                <w:sz w:val="24"/>
                <w:szCs w:val="24"/>
              </w:rPr>
              <w:t xml:space="preserve"> sp.</w:t>
            </w:r>
          </w:p>
        </w:tc>
        <w:tc>
          <w:tcPr>
            <w:tcW w:w="915" w:type="pct"/>
            <w:vAlign w:val="center"/>
            <w:hideMark/>
          </w:tcPr>
          <w:p w14:paraId="06EAD70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19549954" w14:textId="77777777" w:rsidTr="00190954">
        <w:tc>
          <w:tcPr>
            <w:tcW w:w="390" w:type="pct"/>
            <w:vAlign w:val="center"/>
            <w:hideMark/>
          </w:tcPr>
          <w:p w14:paraId="3DC1F53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7</w:t>
            </w:r>
          </w:p>
        </w:tc>
        <w:tc>
          <w:tcPr>
            <w:tcW w:w="950" w:type="pct"/>
            <w:vAlign w:val="center"/>
            <w:hideMark/>
          </w:tcPr>
          <w:p w14:paraId="54E8B11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7DDFB4F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Ceratopogonidae</w:t>
            </w:r>
          </w:p>
        </w:tc>
        <w:tc>
          <w:tcPr>
            <w:tcW w:w="1712" w:type="pct"/>
            <w:vAlign w:val="center"/>
            <w:hideMark/>
          </w:tcPr>
          <w:p w14:paraId="0A2D9B1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Culicoides</w:t>
            </w:r>
            <w:r w:rsidRPr="00FF6695">
              <w:rPr>
                <w:rFonts w:ascii="Times New Roman" w:hAnsi="Times New Roman" w:cs="Times New Roman"/>
                <w:sz w:val="24"/>
                <w:szCs w:val="24"/>
              </w:rPr>
              <w:t xml:space="preserve"> sp.</w:t>
            </w:r>
          </w:p>
        </w:tc>
        <w:tc>
          <w:tcPr>
            <w:tcW w:w="915" w:type="pct"/>
            <w:vAlign w:val="center"/>
            <w:hideMark/>
          </w:tcPr>
          <w:p w14:paraId="12A32F2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2AF44B65" w14:textId="77777777" w:rsidTr="00190954">
        <w:tc>
          <w:tcPr>
            <w:tcW w:w="390" w:type="pct"/>
            <w:vAlign w:val="center"/>
            <w:hideMark/>
          </w:tcPr>
          <w:p w14:paraId="5D8ADAC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8</w:t>
            </w:r>
          </w:p>
        </w:tc>
        <w:tc>
          <w:tcPr>
            <w:tcW w:w="950" w:type="pct"/>
            <w:vAlign w:val="center"/>
            <w:hideMark/>
          </w:tcPr>
          <w:p w14:paraId="32F88F3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499FE6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Ephydridae</w:t>
            </w:r>
          </w:p>
        </w:tc>
        <w:tc>
          <w:tcPr>
            <w:tcW w:w="1712" w:type="pct"/>
            <w:vAlign w:val="center"/>
            <w:hideMark/>
          </w:tcPr>
          <w:p w14:paraId="22C27B3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Ephydra</w:t>
            </w:r>
            <w:r w:rsidRPr="00FF6695">
              <w:rPr>
                <w:rFonts w:ascii="Times New Roman" w:hAnsi="Times New Roman" w:cs="Times New Roman"/>
                <w:sz w:val="24"/>
                <w:szCs w:val="24"/>
              </w:rPr>
              <w:t xml:space="preserve"> sp.</w:t>
            </w:r>
          </w:p>
        </w:tc>
        <w:tc>
          <w:tcPr>
            <w:tcW w:w="915" w:type="pct"/>
            <w:vAlign w:val="center"/>
            <w:hideMark/>
          </w:tcPr>
          <w:p w14:paraId="19FD716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154E3E4C" w14:textId="77777777" w:rsidTr="00190954">
        <w:tc>
          <w:tcPr>
            <w:tcW w:w="390" w:type="pct"/>
            <w:vAlign w:val="center"/>
            <w:hideMark/>
          </w:tcPr>
          <w:p w14:paraId="78FD266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9</w:t>
            </w:r>
          </w:p>
        </w:tc>
        <w:tc>
          <w:tcPr>
            <w:tcW w:w="950" w:type="pct"/>
            <w:vAlign w:val="center"/>
            <w:hideMark/>
          </w:tcPr>
          <w:p w14:paraId="22B7068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62830D7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Stratiomyidae</w:t>
            </w:r>
          </w:p>
        </w:tc>
        <w:tc>
          <w:tcPr>
            <w:tcW w:w="1712" w:type="pct"/>
            <w:vAlign w:val="center"/>
            <w:hideMark/>
          </w:tcPr>
          <w:p w14:paraId="58A94C1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Stratiomys</w:t>
            </w:r>
            <w:r w:rsidRPr="00FF6695">
              <w:rPr>
                <w:rFonts w:ascii="Times New Roman" w:hAnsi="Times New Roman" w:cs="Times New Roman"/>
                <w:sz w:val="24"/>
                <w:szCs w:val="24"/>
              </w:rPr>
              <w:t xml:space="preserve"> sp.</w:t>
            </w:r>
          </w:p>
        </w:tc>
        <w:tc>
          <w:tcPr>
            <w:tcW w:w="915" w:type="pct"/>
            <w:vAlign w:val="center"/>
            <w:hideMark/>
          </w:tcPr>
          <w:p w14:paraId="71D862A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42DD92F1" w14:textId="77777777" w:rsidTr="00190954">
        <w:tc>
          <w:tcPr>
            <w:tcW w:w="390" w:type="pct"/>
            <w:vAlign w:val="center"/>
            <w:hideMark/>
          </w:tcPr>
          <w:p w14:paraId="75B8ACF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10</w:t>
            </w:r>
          </w:p>
        </w:tc>
        <w:tc>
          <w:tcPr>
            <w:tcW w:w="950" w:type="pct"/>
            <w:vAlign w:val="center"/>
            <w:hideMark/>
          </w:tcPr>
          <w:p w14:paraId="48D08B3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37AD21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Tabanidae</w:t>
            </w:r>
          </w:p>
        </w:tc>
        <w:tc>
          <w:tcPr>
            <w:tcW w:w="1712" w:type="pct"/>
            <w:vAlign w:val="center"/>
            <w:hideMark/>
          </w:tcPr>
          <w:p w14:paraId="19DBA7C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Tabanus</w:t>
            </w:r>
            <w:r w:rsidRPr="00FF6695">
              <w:rPr>
                <w:rFonts w:ascii="Times New Roman" w:hAnsi="Times New Roman" w:cs="Times New Roman"/>
                <w:sz w:val="24"/>
                <w:szCs w:val="24"/>
              </w:rPr>
              <w:t xml:space="preserve"> sp.</w:t>
            </w:r>
          </w:p>
        </w:tc>
        <w:tc>
          <w:tcPr>
            <w:tcW w:w="915" w:type="pct"/>
            <w:vAlign w:val="center"/>
            <w:hideMark/>
          </w:tcPr>
          <w:p w14:paraId="1ABF95A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5980B9BE" w14:textId="77777777" w:rsidTr="00190954">
        <w:tc>
          <w:tcPr>
            <w:tcW w:w="390" w:type="pct"/>
            <w:vAlign w:val="center"/>
            <w:hideMark/>
          </w:tcPr>
          <w:p w14:paraId="495B0EE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11</w:t>
            </w:r>
          </w:p>
        </w:tc>
        <w:tc>
          <w:tcPr>
            <w:tcW w:w="950" w:type="pct"/>
            <w:vAlign w:val="center"/>
            <w:hideMark/>
          </w:tcPr>
          <w:p w14:paraId="455693B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256DECB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Psychodidae</w:t>
            </w:r>
          </w:p>
        </w:tc>
        <w:tc>
          <w:tcPr>
            <w:tcW w:w="1712" w:type="pct"/>
            <w:vAlign w:val="center"/>
            <w:hideMark/>
          </w:tcPr>
          <w:p w14:paraId="051EC70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Psychoda</w:t>
            </w:r>
            <w:r w:rsidRPr="00FF6695">
              <w:rPr>
                <w:rFonts w:ascii="Times New Roman" w:hAnsi="Times New Roman" w:cs="Times New Roman"/>
                <w:sz w:val="24"/>
                <w:szCs w:val="24"/>
              </w:rPr>
              <w:t xml:space="preserve"> sp.</w:t>
            </w:r>
          </w:p>
        </w:tc>
        <w:tc>
          <w:tcPr>
            <w:tcW w:w="915" w:type="pct"/>
            <w:vAlign w:val="center"/>
            <w:hideMark/>
          </w:tcPr>
          <w:p w14:paraId="08C71BC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343EC9CE" w14:textId="77777777" w:rsidTr="00190954">
        <w:tc>
          <w:tcPr>
            <w:tcW w:w="390" w:type="pct"/>
            <w:vAlign w:val="center"/>
            <w:hideMark/>
          </w:tcPr>
          <w:p w14:paraId="3A6286D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12</w:t>
            </w:r>
          </w:p>
        </w:tc>
        <w:tc>
          <w:tcPr>
            <w:tcW w:w="950" w:type="pct"/>
            <w:vAlign w:val="center"/>
            <w:hideMark/>
          </w:tcPr>
          <w:p w14:paraId="70DABCC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128897E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Syrphidae</w:t>
            </w:r>
          </w:p>
        </w:tc>
        <w:tc>
          <w:tcPr>
            <w:tcW w:w="1712" w:type="pct"/>
            <w:vAlign w:val="center"/>
            <w:hideMark/>
          </w:tcPr>
          <w:p w14:paraId="1D39282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Eristalis</w:t>
            </w:r>
            <w:r w:rsidRPr="00FF6695">
              <w:rPr>
                <w:rFonts w:ascii="Times New Roman" w:hAnsi="Times New Roman" w:cs="Times New Roman"/>
                <w:sz w:val="24"/>
                <w:szCs w:val="24"/>
              </w:rPr>
              <w:t xml:space="preserve"> sp.</w:t>
            </w:r>
          </w:p>
        </w:tc>
        <w:tc>
          <w:tcPr>
            <w:tcW w:w="915" w:type="pct"/>
            <w:vAlign w:val="center"/>
            <w:hideMark/>
          </w:tcPr>
          <w:p w14:paraId="34C63DD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21607755" w14:textId="77777777" w:rsidTr="00190954">
        <w:tc>
          <w:tcPr>
            <w:tcW w:w="390" w:type="pct"/>
            <w:vAlign w:val="center"/>
            <w:hideMark/>
          </w:tcPr>
          <w:p w14:paraId="31A68038" w14:textId="4F4E4190"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r w:rsidR="000376E1" w:rsidRPr="00FF6695">
              <w:rPr>
                <w:rFonts w:ascii="Times New Roman" w:hAnsi="Times New Roman" w:cs="Times New Roman"/>
                <w:sz w:val="24"/>
                <w:szCs w:val="24"/>
              </w:rPr>
              <w:t>3</w:t>
            </w:r>
          </w:p>
        </w:tc>
        <w:tc>
          <w:tcPr>
            <w:tcW w:w="950" w:type="pct"/>
            <w:vAlign w:val="center"/>
            <w:hideMark/>
          </w:tcPr>
          <w:p w14:paraId="5B91BF2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15F411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Sciomyzidae</w:t>
            </w:r>
          </w:p>
        </w:tc>
        <w:tc>
          <w:tcPr>
            <w:tcW w:w="1712" w:type="pct"/>
            <w:vAlign w:val="center"/>
            <w:hideMark/>
          </w:tcPr>
          <w:p w14:paraId="3E4FF35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Sepedon</w:t>
            </w:r>
            <w:r w:rsidRPr="00FF6695">
              <w:rPr>
                <w:rFonts w:ascii="Times New Roman" w:hAnsi="Times New Roman" w:cs="Times New Roman"/>
                <w:sz w:val="24"/>
                <w:szCs w:val="24"/>
              </w:rPr>
              <w:t xml:space="preserve"> sp.</w:t>
            </w:r>
          </w:p>
        </w:tc>
        <w:tc>
          <w:tcPr>
            <w:tcW w:w="915" w:type="pct"/>
            <w:vAlign w:val="center"/>
            <w:hideMark/>
          </w:tcPr>
          <w:p w14:paraId="1C37BD2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316819C2" w14:textId="77777777" w:rsidTr="00190954">
        <w:tc>
          <w:tcPr>
            <w:tcW w:w="390" w:type="pct"/>
            <w:vAlign w:val="center"/>
            <w:hideMark/>
          </w:tcPr>
          <w:p w14:paraId="0CCEBC84" w14:textId="1ACCDA8F"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r w:rsidR="000376E1" w:rsidRPr="00FF6695">
              <w:rPr>
                <w:rFonts w:ascii="Times New Roman" w:hAnsi="Times New Roman" w:cs="Times New Roman"/>
                <w:sz w:val="24"/>
                <w:szCs w:val="24"/>
              </w:rPr>
              <w:t>4</w:t>
            </w:r>
          </w:p>
        </w:tc>
        <w:tc>
          <w:tcPr>
            <w:tcW w:w="950" w:type="pct"/>
            <w:vAlign w:val="center"/>
            <w:hideMark/>
          </w:tcPr>
          <w:p w14:paraId="7222D61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3D7CFF4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Dixidae</w:t>
            </w:r>
          </w:p>
        </w:tc>
        <w:tc>
          <w:tcPr>
            <w:tcW w:w="1712" w:type="pct"/>
            <w:vAlign w:val="center"/>
            <w:hideMark/>
          </w:tcPr>
          <w:p w14:paraId="7F5A6AF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Dixa</w:t>
            </w:r>
            <w:r w:rsidRPr="00FF6695">
              <w:rPr>
                <w:rFonts w:ascii="Times New Roman" w:hAnsi="Times New Roman" w:cs="Times New Roman"/>
                <w:sz w:val="24"/>
                <w:szCs w:val="24"/>
              </w:rPr>
              <w:t xml:space="preserve"> sp.</w:t>
            </w:r>
          </w:p>
        </w:tc>
        <w:tc>
          <w:tcPr>
            <w:tcW w:w="915" w:type="pct"/>
            <w:vAlign w:val="center"/>
            <w:hideMark/>
          </w:tcPr>
          <w:p w14:paraId="4AC6383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126F5864" w14:textId="77777777" w:rsidTr="00190954">
        <w:tc>
          <w:tcPr>
            <w:tcW w:w="390" w:type="pct"/>
            <w:vAlign w:val="center"/>
            <w:hideMark/>
          </w:tcPr>
          <w:p w14:paraId="01B0F7A7" w14:textId="793FFF94"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r w:rsidR="000376E1" w:rsidRPr="00FF6695">
              <w:rPr>
                <w:rFonts w:ascii="Times New Roman" w:hAnsi="Times New Roman" w:cs="Times New Roman"/>
                <w:sz w:val="24"/>
                <w:szCs w:val="24"/>
              </w:rPr>
              <w:t>5</w:t>
            </w:r>
          </w:p>
        </w:tc>
        <w:tc>
          <w:tcPr>
            <w:tcW w:w="950" w:type="pct"/>
            <w:vAlign w:val="center"/>
            <w:hideMark/>
          </w:tcPr>
          <w:p w14:paraId="7D1982C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56BB069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Notonectidae</w:t>
            </w:r>
          </w:p>
        </w:tc>
        <w:tc>
          <w:tcPr>
            <w:tcW w:w="1712" w:type="pct"/>
            <w:vAlign w:val="center"/>
            <w:hideMark/>
          </w:tcPr>
          <w:p w14:paraId="5FF8371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Notonecta glauca</w:t>
            </w:r>
          </w:p>
        </w:tc>
        <w:tc>
          <w:tcPr>
            <w:tcW w:w="915" w:type="pct"/>
            <w:vAlign w:val="center"/>
            <w:hideMark/>
          </w:tcPr>
          <w:p w14:paraId="5066CA6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058716BC" w14:textId="77777777" w:rsidTr="00190954">
        <w:tc>
          <w:tcPr>
            <w:tcW w:w="390" w:type="pct"/>
            <w:vAlign w:val="center"/>
            <w:hideMark/>
          </w:tcPr>
          <w:p w14:paraId="549EA3AF" w14:textId="645D1E13"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r w:rsidR="000376E1" w:rsidRPr="00FF6695">
              <w:rPr>
                <w:rFonts w:ascii="Times New Roman" w:hAnsi="Times New Roman" w:cs="Times New Roman"/>
                <w:sz w:val="24"/>
                <w:szCs w:val="24"/>
              </w:rPr>
              <w:t>6</w:t>
            </w:r>
          </w:p>
        </w:tc>
        <w:tc>
          <w:tcPr>
            <w:tcW w:w="950" w:type="pct"/>
            <w:vAlign w:val="center"/>
            <w:hideMark/>
          </w:tcPr>
          <w:p w14:paraId="64FA429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6FDAA3A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Notonectidae</w:t>
            </w:r>
          </w:p>
        </w:tc>
        <w:tc>
          <w:tcPr>
            <w:tcW w:w="1712" w:type="pct"/>
            <w:vAlign w:val="center"/>
            <w:hideMark/>
          </w:tcPr>
          <w:p w14:paraId="31C4377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Anisops</w:t>
            </w:r>
            <w:r w:rsidRPr="00FF6695">
              <w:rPr>
                <w:rFonts w:ascii="Times New Roman" w:hAnsi="Times New Roman" w:cs="Times New Roman"/>
                <w:sz w:val="24"/>
                <w:szCs w:val="24"/>
              </w:rPr>
              <w:t xml:space="preserve"> sp.</w:t>
            </w:r>
          </w:p>
        </w:tc>
        <w:tc>
          <w:tcPr>
            <w:tcW w:w="915" w:type="pct"/>
            <w:vAlign w:val="center"/>
            <w:hideMark/>
          </w:tcPr>
          <w:p w14:paraId="4F90EAA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2F11F299" w14:textId="77777777" w:rsidTr="00190954">
        <w:tc>
          <w:tcPr>
            <w:tcW w:w="390" w:type="pct"/>
            <w:vAlign w:val="center"/>
            <w:hideMark/>
          </w:tcPr>
          <w:p w14:paraId="2A7FECC3" w14:textId="377969EC"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lastRenderedPageBreak/>
              <w:t>1</w:t>
            </w:r>
            <w:r w:rsidR="000376E1" w:rsidRPr="00FF6695">
              <w:rPr>
                <w:rFonts w:ascii="Times New Roman" w:hAnsi="Times New Roman" w:cs="Times New Roman"/>
                <w:sz w:val="24"/>
                <w:szCs w:val="24"/>
              </w:rPr>
              <w:t>7</w:t>
            </w:r>
          </w:p>
        </w:tc>
        <w:tc>
          <w:tcPr>
            <w:tcW w:w="950" w:type="pct"/>
            <w:vAlign w:val="center"/>
            <w:hideMark/>
          </w:tcPr>
          <w:p w14:paraId="08AAACB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16B1957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Gerridae</w:t>
            </w:r>
          </w:p>
        </w:tc>
        <w:tc>
          <w:tcPr>
            <w:tcW w:w="1712" w:type="pct"/>
            <w:vAlign w:val="center"/>
            <w:hideMark/>
          </w:tcPr>
          <w:p w14:paraId="35BFE90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Gerris lacustris</w:t>
            </w:r>
          </w:p>
        </w:tc>
        <w:tc>
          <w:tcPr>
            <w:tcW w:w="915" w:type="pct"/>
            <w:vAlign w:val="center"/>
            <w:hideMark/>
          </w:tcPr>
          <w:p w14:paraId="1E5B492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4854BA6C" w14:textId="77777777" w:rsidTr="00190954">
        <w:tc>
          <w:tcPr>
            <w:tcW w:w="390" w:type="pct"/>
            <w:vAlign w:val="center"/>
            <w:hideMark/>
          </w:tcPr>
          <w:p w14:paraId="5E94AF79" w14:textId="6020A0D4"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18</w:t>
            </w:r>
          </w:p>
        </w:tc>
        <w:tc>
          <w:tcPr>
            <w:tcW w:w="950" w:type="pct"/>
            <w:vAlign w:val="center"/>
            <w:hideMark/>
          </w:tcPr>
          <w:p w14:paraId="091C914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27FDD58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Veliidae</w:t>
            </w:r>
          </w:p>
        </w:tc>
        <w:tc>
          <w:tcPr>
            <w:tcW w:w="1712" w:type="pct"/>
            <w:vAlign w:val="center"/>
            <w:hideMark/>
          </w:tcPr>
          <w:p w14:paraId="4FF4ED7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Microvelia</w:t>
            </w:r>
            <w:r w:rsidRPr="00FF6695">
              <w:rPr>
                <w:rFonts w:ascii="Times New Roman" w:hAnsi="Times New Roman" w:cs="Times New Roman"/>
                <w:sz w:val="24"/>
                <w:szCs w:val="24"/>
              </w:rPr>
              <w:t xml:space="preserve"> sp.</w:t>
            </w:r>
          </w:p>
        </w:tc>
        <w:tc>
          <w:tcPr>
            <w:tcW w:w="915" w:type="pct"/>
            <w:vAlign w:val="center"/>
            <w:hideMark/>
          </w:tcPr>
          <w:p w14:paraId="0245BC4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55D29045" w14:textId="77777777" w:rsidTr="00190954">
        <w:tc>
          <w:tcPr>
            <w:tcW w:w="390" w:type="pct"/>
            <w:vAlign w:val="center"/>
            <w:hideMark/>
          </w:tcPr>
          <w:p w14:paraId="758097C7" w14:textId="1D2A5E28"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19</w:t>
            </w:r>
          </w:p>
        </w:tc>
        <w:tc>
          <w:tcPr>
            <w:tcW w:w="950" w:type="pct"/>
            <w:vAlign w:val="center"/>
            <w:hideMark/>
          </w:tcPr>
          <w:p w14:paraId="614B964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2BD09AF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Nepidae</w:t>
            </w:r>
          </w:p>
        </w:tc>
        <w:tc>
          <w:tcPr>
            <w:tcW w:w="1712" w:type="pct"/>
            <w:vAlign w:val="center"/>
            <w:hideMark/>
          </w:tcPr>
          <w:p w14:paraId="7CD62E5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Ranatra linearis</w:t>
            </w:r>
          </w:p>
        </w:tc>
        <w:tc>
          <w:tcPr>
            <w:tcW w:w="915" w:type="pct"/>
            <w:vAlign w:val="center"/>
            <w:hideMark/>
          </w:tcPr>
          <w:p w14:paraId="3FBD221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0D87C5CE" w14:textId="77777777" w:rsidTr="00190954">
        <w:tc>
          <w:tcPr>
            <w:tcW w:w="390" w:type="pct"/>
            <w:vAlign w:val="center"/>
            <w:hideMark/>
          </w:tcPr>
          <w:p w14:paraId="09F589D3" w14:textId="09FE5319"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0</w:t>
            </w:r>
          </w:p>
        </w:tc>
        <w:tc>
          <w:tcPr>
            <w:tcW w:w="950" w:type="pct"/>
            <w:vAlign w:val="center"/>
            <w:hideMark/>
          </w:tcPr>
          <w:p w14:paraId="2BB5269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5F95440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Nepidae</w:t>
            </w:r>
          </w:p>
        </w:tc>
        <w:tc>
          <w:tcPr>
            <w:tcW w:w="1712" w:type="pct"/>
            <w:vAlign w:val="center"/>
            <w:hideMark/>
          </w:tcPr>
          <w:p w14:paraId="7C5F484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Laccotrephes</w:t>
            </w:r>
            <w:r w:rsidRPr="00FF6695">
              <w:rPr>
                <w:rFonts w:ascii="Times New Roman" w:hAnsi="Times New Roman" w:cs="Times New Roman"/>
                <w:sz w:val="24"/>
                <w:szCs w:val="24"/>
              </w:rPr>
              <w:t xml:space="preserve"> sp.</w:t>
            </w:r>
          </w:p>
        </w:tc>
        <w:tc>
          <w:tcPr>
            <w:tcW w:w="915" w:type="pct"/>
            <w:vAlign w:val="center"/>
            <w:hideMark/>
          </w:tcPr>
          <w:p w14:paraId="6E64010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4B577CED" w14:textId="77777777" w:rsidTr="00190954">
        <w:tc>
          <w:tcPr>
            <w:tcW w:w="390" w:type="pct"/>
            <w:vAlign w:val="center"/>
            <w:hideMark/>
          </w:tcPr>
          <w:p w14:paraId="2CBC311A" w14:textId="680F6ADD"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1</w:t>
            </w:r>
          </w:p>
        </w:tc>
        <w:tc>
          <w:tcPr>
            <w:tcW w:w="950" w:type="pct"/>
            <w:vAlign w:val="center"/>
            <w:hideMark/>
          </w:tcPr>
          <w:p w14:paraId="4AB46DF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06EA729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Belostomatidae</w:t>
            </w:r>
          </w:p>
        </w:tc>
        <w:tc>
          <w:tcPr>
            <w:tcW w:w="1712" w:type="pct"/>
            <w:vAlign w:val="center"/>
            <w:hideMark/>
          </w:tcPr>
          <w:p w14:paraId="6B3A117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Lethocerus indicus</w:t>
            </w:r>
          </w:p>
        </w:tc>
        <w:tc>
          <w:tcPr>
            <w:tcW w:w="915" w:type="pct"/>
            <w:vAlign w:val="center"/>
            <w:hideMark/>
          </w:tcPr>
          <w:p w14:paraId="2DBD1EE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449DCA8A" w14:textId="77777777" w:rsidTr="00190954">
        <w:tc>
          <w:tcPr>
            <w:tcW w:w="390" w:type="pct"/>
            <w:vAlign w:val="center"/>
            <w:hideMark/>
          </w:tcPr>
          <w:p w14:paraId="76607759" w14:textId="7BA2D041"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2</w:t>
            </w:r>
          </w:p>
        </w:tc>
        <w:tc>
          <w:tcPr>
            <w:tcW w:w="950" w:type="pct"/>
            <w:vAlign w:val="center"/>
            <w:hideMark/>
          </w:tcPr>
          <w:p w14:paraId="6DCF76B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4B09F4D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Corixidae</w:t>
            </w:r>
          </w:p>
        </w:tc>
        <w:tc>
          <w:tcPr>
            <w:tcW w:w="1712" w:type="pct"/>
            <w:vAlign w:val="center"/>
            <w:hideMark/>
          </w:tcPr>
          <w:p w14:paraId="5801C18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Corixa</w:t>
            </w:r>
            <w:r w:rsidRPr="00FF6695">
              <w:rPr>
                <w:rFonts w:ascii="Times New Roman" w:hAnsi="Times New Roman" w:cs="Times New Roman"/>
                <w:sz w:val="24"/>
                <w:szCs w:val="24"/>
              </w:rPr>
              <w:t xml:space="preserve"> sp.</w:t>
            </w:r>
          </w:p>
        </w:tc>
        <w:tc>
          <w:tcPr>
            <w:tcW w:w="915" w:type="pct"/>
            <w:vAlign w:val="center"/>
            <w:hideMark/>
          </w:tcPr>
          <w:p w14:paraId="566A3C7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33F9914E" w14:textId="77777777" w:rsidTr="00190954">
        <w:tc>
          <w:tcPr>
            <w:tcW w:w="390" w:type="pct"/>
            <w:vAlign w:val="center"/>
            <w:hideMark/>
          </w:tcPr>
          <w:p w14:paraId="746FE3E6" w14:textId="4A12CEF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3</w:t>
            </w:r>
          </w:p>
        </w:tc>
        <w:tc>
          <w:tcPr>
            <w:tcW w:w="950" w:type="pct"/>
            <w:vAlign w:val="center"/>
            <w:hideMark/>
          </w:tcPr>
          <w:p w14:paraId="0386F19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6AEF954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Naucoridae</w:t>
            </w:r>
          </w:p>
        </w:tc>
        <w:tc>
          <w:tcPr>
            <w:tcW w:w="1712" w:type="pct"/>
            <w:vAlign w:val="center"/>
            <w:hideMark/>
          </w:tcPr>
          <w:p w14:paraId="043FD4E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Naucoris</w:t>
            </w:r>
            <w:r w:rsidRPr="00FF6695">
              <w:rPr>
                <w:rFonts w:ascii="Times New Roman" w:hAnsi="Times New Roman" w:cs="Times New Roman"/>
                <w:sz w:val="24"/>
                <w:szCs w:val="24"/>
              </w:rPr>
              <w:t xml:space="preserve"> sp.</w:t>
            </w:r>
          </w:p>
        </w:tc>
        <w:tc>
          <w:tcPr>
            <w:tcW w:w="915" w:type="pct"/>
            <w:vAlign w:val="center"/>
            <w:hideMark/>
          </w:tcPr>
          <w:p w14:paraId="1FD7C6F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4A48611E" w14:textId="77777777" w:rsidTr="00190954">
        <w:tc>
          <w:tcPr>
            <w:tcW w:w="390" w:type="pct"/>
            <w:vAlign w:val="center"/>
            <w:hideMark/>
          </w:tcPr>
          <w:p w14:paraId="08483C6C" w14:textId="1EA8A812"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4</w:t>
            </w:r>
          </w:p>
        </w:tc>
        <w:tc>
          <w:tcPr>
            <w:tcW w:w="950" w:type="pct"/>
            <w:vAlign w:val="center"/>
            <w:hideMark/>
          </w:tcPr>
          <w:p w14:paraId="5642C1F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5A180C8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Dytiscidae</w:t>
            </w:r>
          </w:p>
        </w:tc>
        <w:tc>
          <w:tcPr>
            <w:tcW w:w="1712" w:type="pct"/>
            <w:vAlign w:val="center"/>
            <w:hideMark/>
          </w:tcPr>
          <w:p w14:paraId="67A665A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Dytiscus marginalis</w:t>
            </w:r>
          </w:p>
        </w:tc>
        <w:tc>
          <w:tcPr>
            <w:tcW w:w="915" w:type="pct"/>
            <w:vAlign w:val="center"/>
            <w:hideMark/>
          </w:tcPr>
          <w:p w14:paraId="7597594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3A701010" w14:textId="77777777" w:rsidTr="00190954">
        <w:tc>
          <w:tcPr>
            <w:tcW w:w="390" w:type="pct"/>
            <w:vAlign w:val="center"/>
            <w:hideMark/>
          </w:tcPr>
          <w:p w14:paraId="55C28673" w14:textId="26BC06F2"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5</w:t>
            </w:r>
          </w:p>
        </w:tc>
        <w:tc>
          <w:tcPr>
            <w:tcW w:w="950" w:type="pct"/>
            <w:vAlign w:val="center"/>
            <w:hideMark/>
          </w:tcPr>
          <w:p w14:paraId="22ACDFB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5D0F459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Dytiscidae</w:t>
            </w:r>
          </w:p>
        </w:tc>
        <w:tc>
          <w:tcPr>
            <w:tcW w:w="1712" w:type="pct"/>
            <w:vAlign w:val="center"/>
            <w:hideMark/>
          </w:tcPr>
          <w:p w14:paraId="2DECE6E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Cybister tripunctatus</w:t>
            </w:r>
          </w:p>
        </w:tc>
        <w:tc>
          <w:tcPr>
            <w:tcW w:w="915" w:type="pct"/>
            <w:vAlign w:val="center"/>
            <w:hideMark/>
          </w:tcPr>
          <w:p w14:paraId="7463F9B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2EA0C7E8" w14:textId="77777777" w:rsidTr="00190954">
        <w:tc>
          <w:tcPr>
            <w:tcW w:w="390" w:type="pct"/>
            <w:vAlign w:val="center"/>
            <w:hideMark/>
          </w:tcPr>
          <w:p w14:paraId="78251857" w14:textId="7958688D"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6</w:t>
            </w:r>
          </w:p>
        </w:tc>
        <w:tc>
          <w:tcPr>
            <w:tcW w:w="950" w:type="pct"/>
            <w:vAlign w:val="center"/>
            <w:hideMark/>
          </w:tcPr>
          <w:p w14:paraId="4223BC5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6FFD1D7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Hydrophilidae</w:t>
            </w:r>
          </w:p>
        </w:tc>
        <w:tc>
          <w:tcPr>
            <w:tcW w:w="1712" w:type="pct"/>
            <w:vAlign w:val="center"/>
            <w:hideMark/>
          </w:tcPr>
          <w:p w14:paraId="5C60191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Hydrophilus olivaceus</w:t>
            </w:r>
          </w:p>
        </w:tc>
        <w:tc>
          <w:tcPr>
            <w:tcW w:w="915" w:type="pct"/>
            <w:vAlign w:val="center"/>
            <w:hideMark/>
          </w:tcPr>
          <w:p w14:paraId="6DB0B1C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3B2C5CE7" w14:textId="77777777" w:rsidTr="00190954">
        <w:tc>
          <w:tcPr>
            <w:tcW w:w="390" w:type="pct"/>
            <w:vAlign w:val="center"/>
            <w:hideMark/>
          </w:tcPr>
          <w:p w14:paraId="6921D423" w14:textId="293EFC12"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7</w:t>
            </w:r>
          </w:p>
        </w:tc>
        <w:tc>
          <w:tcPr>
            <w:tcW w:w="950" w:type="pct"/>
            <w:vAlign w:val="center"/>
            <w:hideMark/>
          </w:tcPr>
          <w:p w14:paraId="51D4402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56ADA7D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Hydrophilidae</w:t>
            </w:r>
          </w:p>
        </w:tc>
        <w:tc>
          <w:tcPr>
            <w:tcW w:w="1712" w:type="pct"/>
            <w:vAlign w:val="center"/>
            <w:hideMark/>
          </w:tcPr>
          <w:p w14:paraId="5F0C486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Berosus</w:t>
            </w:r>
            <w:r w:rsidRPr="00FF6695">
              <w:rPr>
                <w:rFonts w:ascii="Times New Roman" w:hAnsi="Times New Roman" w:cs="Times New Roman"/>
                <w:sz w:val="24"/>
                <w:szCs w:val="24"/>
              </w:rPr>
              <w:t xml:space="preserve"> sp.</w:t>
            </w:r>
          </w:p>
        </w:tc>
        <w:tc>
          <w:tcPr>
            <w:tcW w:w="915" w:type="pct"/>
            <w:vAlign w:val="center"/>
            <w:hideMark/>
          </w:tcPr>
          <w:p w14:paraId="75438AA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072076D0" w14:textId="77777777" w:rsidTr="00190954">
        <w:tc>
          <w:tcPr>
            <w:tcW w:w="390" w:type="pct"/>
            <w:vAlign w:val="center"/>
            <w:hideMark/>
          </w:tcPr>
          <w:p w14:paraId="2FF4D12D" w14:textId="7CA809D7"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28</w:t>
            </w:r>
          </w:p>
        </w:tc>
        <w:tc>
          <w:tcPr>
            <w:tcW w:w="950" w:type="pct"/>
            <w:vAlign w:val="center"/>
            <w:hideMark/>
          </w:tcPr>
          <w:p w14:paraId="5E097B3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2CC9055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Gyrinidae</w:t>
            </w:r>
          </w:p>
        </w:tc>
        <w:tc>
          <w:tcPr>
            <w:tcW w:w="1712" w:type="pct"/>
            <w:vAlign w:val="center"/>
            <w:hideMark/>
          </w:tcPr>
          <w:p w14:paraId="36DD8C1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Gyrinus</w:t>
            </w:r>
            <w:r w:rsidRPr="00FF6695">
              <w:rPr>
                <w:rFonts w:ascii="Times New Roman" w:hAnsi="Times New Roman" w:cs="Times New Roman"/>
                <w:sz w:val="24"/>
                <w:szCs w:val="24"/>
              </w:rPr>
              <w:t xml:space="preserve"> sp.</w:t>
            </w:r>
          </w:p>
        </w:tc>
        <w:tc>
          <w:tcPr>
            <w:tcW w:w="915" w:type="pct"/>
            <w:vAlign w:val="center"/>
            <w:hideMark/>
          </w:tcPr>
          <w:p w14:paraId="6C54AA9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0F96C386" w14:textId="77777777" w:rsidTr="00190954">
        <w:tc>
          <w:tcPr>
            <w:tcW w:w="390" w:type="pct"/>
            <w:vAlign w:val="center"/>
            <w:hideMark/>
          </w:tcPr>
          <w:p w14:paraId="037AC00A" w14:textId="5C8DD9C4"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29</w:t>
            </w:r>
          </w:p>
        </w:tc>
        <w:tc>
          <w:tcPr>
            <w:tcW w:w="950" w:type="pct"/>
            <w:vAlign w:val="center"/>
            <w:hideMark/>
          </w:tcPr>
          <w:p w14:paraId="1725F52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2639E75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Haliplidae</w:t>
            </w:r>
          </w:p>
        </w:tc>
        <w:tc>
          <w:tcPr>
            <w:tcW w:w="1712" w:type="pct"/>
            <w:vAlign w:val="center"/>
            <w:hideMark/>
          </w:tcPr>
          <w:p w14:paraId="166D44E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Haliplus</w:t>
            </w:r>
            <w:r w:rsidRPr="00FF6695">
              <w:rPr>
                <w:rFonts w:ascii="Times New Roman" w:hAnsi="Times New Roman" w:cs="Times New Roman"/>
                <w:sz w:val="24"/>
                <w:szCs w:val="24"/>
              </w:rPr>
              <w:t xml:space="preserve"> sp.</w:t>
            </w:r>
          </w:p>
        </w:tc>
        <w:tc>
          <w:tcPr>
            <w:tcW w:w="915" w:type="pct"/>
            <w:vAlign w:val="center"/>
            <w:hideMark/>
          </w:tcPr>
          <w:p w14:paraId="78F9509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r w:rsidR="003374CA" w:rsidRPr="00FF6695" w14:paraId="70CE7E4D" w14:textId="77777777" w:rsidTr="00190954">
        <w:tc>
          <w:tcPr>
            <w:tcW w:w="390" w:type="pct"/>
            <w:vAlign w:val="center"/>
            <w:hideMark/>
          </w:tcPr>
          <w:p w14:paraId="25D7A48D" w14:textId="0ACE3DE5"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0</w:t>
            </w:r>
          </w:p>
        </w:tc>
        <w:tc>
          <w:tcPr>
            <w:tcW w:w="950" w:type="pct"/>
            <w:vAlign w:val="center"/>
            <w:hideMark/>
          </w:tcPr>
          <w:p w14:paraId="5CD089E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4746D36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Noteridae</w:t>
            </w:r>
          </w:p>
        </w:tc>
        <w:tc>
          <w:tcPr>
            <w:tcW w:w="1712" w:type="pct"/>
            <w:vAlign w:val="center"/>
            <w:hideMark/>
          </w:tcPr>
          <w:p w14:paraId="032925F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Noterus</w:t>
            </w:r>
            <w:r w:rsidRPr="00FF6695">
              <w:rPr>
                <w:rFonts w:ascii="Times New Roman" w:hAnsi="Times New Roman" w:cs="Times New Roman"/>
                <w:sz w:val="24"/>
                <w:szCs w:val="24"/>
              </w:rPr>
              <w:t xml:space="preserve"> sp.</w:t>
            </w:r>
          </w:p>
        </w:tc>
        <w:tc>
          <w:tcPr>
            <w:tcW w:w="915" w:type="pct"/>
            <w:vAlign w:val="center"/>
            <w:hideMark/>
          </w:tcPr>
          <w:p w14:paraId="5CA2E8E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09484720" w14:textId="77777777" w:rsidTr="00190954">
        <w:tc>
          <w:tcPr>
            <w:tcW w:w="390" w:type="pct"/>
            <w:vAlign w:val="center"/>
            <w:hideMark/>
          </w:tcPr>
          <w:p w14:paraId="3CD03547" w14:textId="371D528E"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1</w:t>
            </w:r>
          </w:p>
        </w:tc>
        <w:tc>
          <w:tcPr>
            <w:tcW w:w="950" w:type="pct"/>
            <w:vAlign w:val="center"/>
            <w:hideMark/>
          </w:tcPr>
          <w:p w14:paraId="1A98AE7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6E693A7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Libellulidae</w:t>
            </w:r>
          </w:p>
        </w:tc>
        <w:tc>
          <w:tcPr>
            <w:tcW w:w="1712" w:type="pct"/>
            <w:vAlign w:val="center"/>
            <w:hideMark/>
          </w:tcPr>
          <w:p w14:paraId="55F47BA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Orthetrum sabina</w:t>
            </w:r>
            <w:r w:rsidRPr="00FF6695">
              <w:rPr>
                <w:rFonts w:ascii="Times New Roman" w:hAnsi="Times New Roman" w:cs="Times New Roman"/>
                <w:sz w:val="24"/>
                <w:szCs w:val="24"/>
              </w:rPr>
              <w:t xml:space="preserve"> (nymph)</w:t>
            </w:r>
          </w:p>
        </w:tc>
        <w:tc>
          <w:tcPr>
            <w:tcW w:w="915" w:type="pct"/>
            <w:vAlign w:val="center"/>
            <w:hideMark/>
          </w:tcPr>
          <w:p w14:paraId="1F39D90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7829D4E0" w14:textId="77777777" w:rsidTr="00190954">
        <w:tc>
          <w:tcPr>
            <w:tcW w:w="390" w:type="pct"/>
            <w:vAlign w:val="center"/>
            <w:hideMark/>
          </w:tcPr>
          <w:p w14:paraId="34DD5F15" w14:textId="1DB6EBC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2</w:t>
            </w:r>
          </w:p>
        </w:tc>
        <w:tc>
          <w:tcPr>
            <w:tcW w:w="950" w:type="pct"/>
            <w:vAlign w:val="center"/>
            <w:hideMark/>
          </w:tcPr>
          <w:p w14:paraId="2B9574E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1FB2BEA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Libellulidae</w:t>
            </w:r>
          </w:p>
        </w:tc>
        <w:tc>
          <w:tcPr>
            <w:tcW w:w="1712" w:type="pct"/>
            <w:vAlign w:val="center"/>
            <w:hideMark/>
          </w:tcPr>
          <w:p w14:paraId="2749B6E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Pantala flavescens</w:t>
            </w:r>
            <w:r w:rsidRPr="00FF6695">
              <w:rPr>
                <w:rFonts w:ascii="Times New Roman" w:hAnsi="Times New Roman" w:cs="Times New Roman"/>
                <w:sz w:val="24"/>
                <w:szCs w:val="24"/>
              </w:rPr>
              <w:t xml:space="preserve"> (nymph)</w:t>
            </w:r>
          </w:p>
        </w:tc>
        <w:tc>
          <w:tcPr>
            <w:tcW w:w="915" w:type="pct"/>
            <w:vAlign w:val="center"/>
            <w:hideMark/>
          </w:tcPr>
          <w:p w14:paraId="51F9D33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39ACEF84" w14:textId="77777777" w:rsidTr="00190954">
        <w:tc>
          <w:tcPr>
            <w:tcW w:w="390" w:type="pct"/>
            <w:vAlign w:val="center"/>
            <w:hideMark/>
          </w:tcPr>
          <w:p w14:paraId="77D89008" w14:textId="7F4721EC"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3</w:t>
            </w:r>
          </w:p>
        </w:tc>
        <w:tc>
          <w:tcPr>
            <w:tcW w:w="950" w:type="pct"/>
            <w:vAlign w:val="center"/>
            <w:hideMark/>
          </w:tcPr>
          <w:p w14:paraId="4A1A6A1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7264861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Coenagrionidae</w:t>
            </w:r>
          </w:p>
        </w:tc>
        <w:tc>
          <w:tcPr>
            <w:tcW w:w="1712" w:type="pct"/>
            <w:vAlign w:val="center"/>
            <w:hideMark/>
          </w:tcPr>
          <w:p w14:paraId="1579E24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Ischnura</w:t>
            </w:r>
            <w:r w:rsidRPr="00FF6695">
              <w:rPr>
                <w:rFonts w:ascii="Times New Roman" w:hAnsi="Times New Roman" w:cs="Times New Roman"/>
                <w:sz w:val="24"/>
                <w:szCs w:val="24"/>
              </w:rPr>
              <w:t xml:space="preserve"> sp. (nymph)</w:t>
            </w:r>
          </w:p>
        </w:tc>
        <w:tc>
          <w:tcPr>
            <w:tcW w:w="915" w:type="pct"/>
            <w:vAlign w:val="center"/>
            <w:hideMark/>
          </w:tcPr>
          <w:p w14:paraId="7FE9714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5840D78F" w14:textId="77777777" w:rsidTr="00190954">
        <w:tc>
          <w:tcPr>
            <w:tcW w:w="390" w:type="pct"/>
            <w:vAlign w:val="center"/>
            <w:hideMark/>
          </w:tcPr>
          <w:p w14:paraId="3A6D72B2" w14:textId="3C3C2A1F"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4</w:t>
            </w:r>
          </w:p>
        </w:tc>
        <w:tc>
          <w:tcPr>
            <w:tcW w:w="950" w:type="pct"/>
            <w:vAlign w:val="center"/>
            <w:hideMark/>
          </w:tcPr>
          <w:p w14:paraId="13D5E50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0FC08A5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Coenagrionidae</w:t>
            </w:r>
          </w:p>
        </w:tc>
        <w:tc>
          <w:tcPr>
            <w:tcW w:w="1712" w:type="pct"/>
            <w:vAlign w:val="center"/>
            <w:hideMark/>
          </w:tcPr>
          <w:p w14:paraId="688755E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Agriocnemis</w:t>
            </w:r>
            <w:r w:rsidRPr="00FF6695">
              <w:rPr>
                <w:rFonts w:ascii="Times New Roman" w:hAnsi="Times New Roman" w:cs="Times New Roman"/>
                <w:sz w:val="24"/>
                <w:szCs w:val="24"/>
              </w:rPr>
              <w:t xml:space="preserve"> sp. (nymph)</w:t>
            </w:r>
          </w:p>
        </w:tc>
        <w:tc>
          <w:tcPr>
            <w:tcW w:w="915" w:type="pct"/>
            <w:vAlign w:val="center"/>
            <w:hideMark/>
          </w:tcPr>
          <w:p w14:paraId="2AF6C71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289530CF" w14:textId="77777777" w:rsidTr="00190954">
        <w:tc>
          <w:tcPr>
            <w:tcW w:w="390" w:type="pct"/>
            <w:vAlign w:val="center"/>
            <w:hideMark/>
          </w:tcPr>
          <w:p w14:paraId="4A9A5BBF" w14:textId="16B2A68A"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5</w:t>
            </w:r>
          </w:p>
        </w:tc>
        <w:tc>
          <w:tcPr>
            <w:tcW w:w="950" w:type="pct"/>
            <w:vAlign w:val="center"/>
            <w:hideMark/>
          </w:tcPr>
          <w:p w14:paraId="1EBE7D3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0CD65DC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Aeshnidae</w:t>
            </w:r>
          </w:p>
        </w:tc>
        <w:tc>
          <w:tcPr>
            <w:tcW w:w="1712" w:type="pct"/>
            <w:vAlign w:val="center"/>
            <w:hideMark/>
          </w:tcPr>
          <w:p w14:paraId="16D7867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Anax</w:t>
            </w:r>
            <w:r w:rsidRPr="00FF6695">
              <w:rPr>
                <w:rFonts w:ascii="Times New Roman" w:hAnsi="Times New Roman" w:cs="Times New Roman"/>
                <w:sz w:val="24"/>
                <w:szCs w:val="24"/>
              </w:rPr>
              <w:t xml:space="preserve"> sp. (nymph)</w:t>
            </w:r>
          </w:p>
        </w:tc>
        <w:tc>
          <w:tcPr>
            <w:tcW w:w="915" w:type="pct"/>
            <w:vAlign w:val="center"/>
            <w:hideMark/>
          </w:tcPr>
          <w:p w14:paraId="654F26E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30AA7CF2" w14:textId="77777777" w:rsidTr="00190954">
        <w:tc>
          <w:tcPr>
            <w:tcW w:w="390" w:type="pct"/>
            <w:vAlign w:val="center"/>
            <w:hideMark/>
          </w:tcPr>
          <w:p w14:paraId="7E7E3F73" w14:textId="7F931644"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6</w:t>
            </w:r>
          </w:p>
        </w:tc>
        <w:tc>
          <w:tcPr>
            <w:tcW w:w="950" w:type="pct"/>
            <w:vAlign w:val="center"/>
            <w:hideMark/>
          </w:tcPr>
          <w:p w14:paraId="4C551F3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789AF49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Gomphidae</w:t>
            </w:r>
          </w:p>
        </w:tc>
        <w:tc>
          <w:tcPr>
            <w:tcW w:w="1712" w:type="pct"/>
            <w:vAlign w:val="center"/>
            <w:hideMark/>
          </w:tcPr>
          <w:p w14:paraId="6BA72C5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Gomphus</w:t>
            </w:r>
            <w:r w:rsidRPr="00FF6695">
              <w:rPr>
                <w:rFonts w:ascii="Times New Roman" w:hAnsi="Times New Roman" w:cs="Times New Roman"/>
                <w:sz w:val="24"/>
                <w:szCs w:val="24"/>
              </w:rPr>
              <w:t xml:space="preserve"> sp. (nymph)</w:t>
            </w:r>
          </w:p>
        </w:tc>
        <w:tc>
          <w:tcPr>
            <w:tcW w:w="915" w:type="pct"/>
            <w:vAlign w:val="center"/>
            <w:hideMark/>
          </w:tcPr>
          <w:p w14:paraId="075DB30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1885DEA1" w14:textId="77777777" w:rsidTr="00190954">
        <w:tc>
          <w:tcPr>
            <w:tcW w:w="390" w:type="pct"/>
            <w:vAlign w:val="center"/>
            <w:hideMark/>
          </w:tcPr>
          <w:p w14:paraId="1788227D" w14:textId="0ECF9388"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7</w:t>
            </w:r>
          </w:p>
        </w:tc>
        <w:tc>
          <w:tcPr>
            <w:tcW w:w="950" w:type="pct"/>
            <w:vAlign w:val="center"/>
            <w:hideMark/>
          </w:tcPr>
          <w:p w14:paraId="5C9FCF5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Ephemeroptera</w:t>
            </w:r>
          </w:p>
        </w:tc>
        <w:tc>
          <w:tcPr>
            <w:tcW w:w="1033" w:type="pct"/>
            <w:vAlign w:val="center"/>
            <w:hideMark/>
          </w:tcPr>
          <w:p w14:paraId="79E1B30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Baetidae</w:t>
            </w:r>
          </w:p>
        </w:tc>
        <w:tc>
          <w:tcPr>
            <w:tcW w:w="1712" w:type="pct"/>
            <w:vAlign w:val="center"/>
            <w:hideMark/>
          </w:tcPr>
          <w:p w14:paraId="629D70B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Baetis</w:t>
            </w:r>
            <w:r w:rsidRPr="00FF6695">
              <w:rPr>
                <w:rFonts w:ascii="Times New Roman" w:hAnsi="Times New Roman" w:cs="Times New Roman"/>
                <w:sz w:val="24"/>
                <w:szCs w:val="24"/>
              </w:rPr>
              <w:t xml:space="preserve"> sp.</w:t>
            </w:r>
          </w:p>
        </w:tc>
        <w:tc>
          <w:tcPr>
            <w:tcW w:w="915" w:type="pct"/>
            <w:vAlign w:val="center"/>
            <w:hideMark/>
          </w:tcPr>
          <w:p w14:paraId="4CF9718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r w:rsidR="003374CA" w:rsidRPr="00FF6695" w14:paraId="07F3BC66" w14:textId="77777777" w:rsidTr="00190954">
        <w:tc>
          <w:tcPr>
            <w:tcW w:w="390" w:type="pct"/>
            <w:vAlign w:val="center"/>
            <w:hideMark/>
          </w:tcPr>
          <w:p w14:paraId="62BA8700" w14:textId="242170BC"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38</w:t>
            </w:r>
          </w:p>
        </w:tc>
        <w:tc>
          <w:tcPr>
            <w:tcW w:w="950" w:type="pct"/>
            <w:vAlign w:val="center"/>
            <w:hideMark/>
          </w:tcPr>
          <w:p w14:paraId="28D9F3E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Ephemeroptera</w:t>
            </w:r>
          </w:p>
        </w:tc>
        <w:tc>
          <w:tcPr>
            <w:tcW w:w="1033" w:type="pct"/>
            <w:vAlign w:val="center"/>
            <w:hideMark/>
          </w:tcPr>
          <w:p w14:paraId="4C6EA3C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Baetidae</w:t>
            </w:r>
          </w:p>
        </w:tc>
        <w:tc>
          <w:tcPr>
            <w:tcW w:w="1712" w:type="pct"/>
            <w:vAlign w:val="center"/>
            <w:hideMark/>
          </w:tcPr>
          <w:p w14:paraId="4B8E18B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Cloeon</w:t>
            </w:r>
            <w:r w:rsidRPr="00FF6695">
              <w:rPr>
                <w:rFonts w:ascii="Times New Roman" w:hAnsi="Times New Roman" w:cs="Times New Roman"/>
                <w:sz w:val="24"/>
                <w:szCs w:val="24"/>
              </w:rPr>
              <w:t xml:space="preserve"> sp.</w:t>
            </w:r>
          </w:p>
        </w:tc>
        <w:tc>
          <w:tcPr>
            <w:tcW w:w="915" w:type="pct"/>
            <w:vAlign w:val="center"/>
            <w:hideMark/>
          </w:tcPr>
          <w:p w14:paraId="2556A48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r w:rsidR="003374CA" w:rsidRPr="00FF6695" w14:paraId="4A331E41" w14:textId="77777777" w:rsidTr="00190954">
        <w:tc>
          <w:tcPr>
            <w:tcW w:w="390" w:type="pct"/>
            <w:vAlign w:val="center"/>
            <w:hideMark/>
          </w:tcPr>
          <w:p w14:paraId="2C8F3C3E" w14:textId="27C78D20"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39</w:t>
            </w:r>
          </w:p>
        </w:tc>
        <w:tc>
          <w:tcPr>
            <w:tcW w:w="950" w:type="pct"/>
            <w:vAlign w:val="center"/>
            <w:hideMark/>
          </w:tcPr>
          <w:p w14:paraId="0E06F04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Ephemeroptera</w:t>
            </w:r>
          </w:p>
        </w:tc>
        <w:tc>
          <w:tcPr>
            <w:tcW w:w="1033" w:type="pct"/>
            <w:vAlign w:val="center"/>
            <w:hideMark/>
          </w:tcPr>
          <w:p w14:paraId="3B3D119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Caenidae</w:t>
            </w:r>
          </w:p>
        </w:tc>
        <w:tc>
          <w:tcPr>
            <w:tcW w:w="1712" w:type="pct"/>
            <w:vAlign w:val="center"/>
            <w:hideMark/>
          </w:tcPr>
          <w:p w14:paraId="30D8850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Caenis</w:t>
            </w:r>
            <w:r w:rsidRPr="00FF6695">
              <w:rPr>
                <w:rFonts w:ascii="Times New Roman" w:hAnsi="Times New Roman" w:cs="Times New Roman"/>
                <w:sz w:val="24"/>
                <w:szCs w:val="24"/>
              </w:rPr>
              <w:t xml:space="preserve"> sp.</w:t>
            </w:r>
          </w:p>
        </w:tc>
        <w:tc>
          <w:tcPr>
            <w:tcW w:w="915" w:type="pct"/>
            <w:vAlign w:val="center"/>
            <w:hideMark/>
          </w:tcPr>
          <w:p w14:paraId="7D73453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r w:rsidR="003374CA" w:rsidRPr="00FF6695" w14:paraId="4F7554CA" w14:textId="77777777" w:rsidTr="00190954">
        <w:tc>
          <w:tcPr>
            <w:tcW w:w="390" w:type="pct"/>
            <w:vAlign w:val="center"/>
            <w:hideMark/>
          </w:tcPr>
          <w:p w14:paraId="261C8459" w14:textId="4C2082B4"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4</w:t>
            </w:r>
            <w:r w:rsidR="000376E1" w:rsidRPr="00FF6695">
              <w:rPr>
                <w:rFonts w:ascii="Times New Roman" w:hAnsi="Times New Roman" w:cs="Times New Roman"/>
                <w:sz w:val="24"/>
                <w:szCs w:val="24"/>
              </w:rPr>
              <w:t>0</w:t>
            </w:r>
          </w:p>
        </w:tc>
        <w:tc>
          <w:tcPr>
            <w:tcW w:w="950" w:type="pct"/>
            <w:vAlign w:val="center"/>
            <w:hideMark/>
          </w:tcPr>
          <w:p w14:paraId="2F0E10E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Ephemeroptera</w:t>
            </w:r>
          </w:p>
        </w:tc>
        <w:tc>
          <w:tcPr>
            <w:tcW w:w="1033" w:type="pct"/>
            <w:vAlign w:val="center"/>
            <w:hideMark/>
          </w:tcPr>
          <w:p w14:paraId="49ABBEE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Heptageniidae</w:t>
            </w:r>
          </w:p>
        </w:tc>
        <w:tc>
          <w:tcPr>
            <w:tcW w:w="1712" w:type="pct"/>
            <w:vAlign w:val="center"/>
            <w:hideMark/>
          </w:tcPr>
          <w:p w14:paraId="5CC7218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Heptagenia</w:t>
            </w:r>
            <w:r w:rsidRPr="00FF6695">
              <w:rPr>
                <w:rFonts w:ascii="Times New Roman" w:hAnsi="Times New Roman" w:cs="Times New Roman"/>
                <w:sz w:val="24"/>
                <w:szCs w:val="24"/>
              </w:rPr>
              <w:t xml:space="preserve"> sp.</w:t>
            </w:r>
          </w:p>
        </w:tc>
        <w:tc>
          <w:tcPr>
            <w:tcW w:w="915" w:type="pct"/>
            <w:vAlign w:val="center"/>
            <w:hideMark/>
          </w:tcPr>
          <w:p w14:paraId="5E5DCC5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bl>
    <w:p w14:paraId="44D9EDC3" w14:textId="77777777" w:rsidR="00AA2925" w:rsidRDefault="00AA2925" w:rsidP="004B7E63">
      <w:pPr>
        <w:spacing w:before="240" w:line="240" w:lineRule="auto"/>
        <w:jc w:val="both"/>
        <w:rPr>
          <w:rFonts w:ascii="Times New Roman" w:hAnsi="Times New Roman" w:cs="Times New Roman"/>
          <w:b/>
          <w:bCs/>
          <w:sz w:val="24"/>
          <w:szCs w:val="24"/>
        </w:rPr>
      </w:pPr>
    </w:p>
    <w:p w14:paraId="7FA812F0" w14:textId="77777777" w:rsidR="00AA2925" w:rsidRDefault="00AA2925" w:rsidP="004B7E63">
      <w:pPr>
        <w:spacing w:before="240" w:line="240" w:lineRule="auto"/>
        <w:jc w:val="both"/>
        <w:rPr>
          <w:rFonts w:ascii="Times New Roman" w:hAnsi="Times New Roman" w:cs="Times New Roman"/>
          <w:b/>
          <w:bCs/>
          <w:sz w:val="24"/>
          <w:szCs w:val="24"/>
        </w:rPr>
      </w:pPr>
    </w:p>
    <w:p w14:paraId="7E56F081" w14:textId="77777777" w:rsidR="00AA2925" w:rsidRDefault="00AA2925" w:rsidP="004B7E63">
      <w:pPr>
        <w:spacing w:before="240" w:line="240" w:lineRule="auto"/>
        <w:jc w:val="both"/>
        <w:rPr>
          <w:rFonts w:ascii="Times New Roman" w:hAnsi="Times New Roman" w:cs="Times New Roman"/>
          <w:b/>
          <w:bCs/>
          <w:sz w:val="24"/>
          <w:szCs w:val="24"/>
        </w:rPr>
      </w:pPr>
    </w:p>
    <w:p w14:paraId="4427F91B" w14:textId="6DEB7E3E" w:rsidR="004B7E63" w:rsidRDefault="00025A39" w:rsidP="004B7E63">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3.2 </w:t>
      </w:r>
      <w:r w:rsidR="003374CA" w:rsidRPr="00FF6695">
        <w:rPr>
          <w:rFonts w:ascii="Times New Roman" w:hAnsi="Times New Roman" w:cs="Times New Roman"/>
          <w:b/>
          <w:bCs/>
          <w:sz w:val="24"/>
          <w:szCs w:val="24"/>
        </w:rPr>
        <w:t xml:space="preserve">Order-wise Composition: </w:t>
      </w:r>
      <w:r w:rsidR="0046045B" w:rsidRPr="00FF6695">
        <w:rPr>
          <w:rFonts w:ascii="Times New Roman" w:hAnsi="Times New Roman" w:cs="Times New Roman"/>
          <w:sz w:val="24"/>
          <w:szCs w:val="24"/>
        </w:rPr>
        <w:t>The order-wise distribution of aquatic insects revealed a clear dominance of Diptera, which accounted for 35 % of the total species composition, followed by Hemiptera (22.5 %), Coleoptera (17.5 %), Odonata (15 %), and Ephemeroptera (10 %)</w:t>
      </w:r>
      <w:r w:rsidR="00EC764A" w:rsidRPr="00FF6695">
        <w:rPr>
          <w:rFonts w:ascii="Times New Roman" w:hAnsi="Times New Roman" w:cs="Times New Roman"/>
          <w:sz w:val="24"/>
          <w:szCs w:val="24"/>
        </w:rPr>
        <w:t xml:space="preserve"> (Table 2)</w:t>
      </w:r>
      <w:r w:rsidR="0046045B" w:rsidRPr="00FF6695">
        <w:rPr>
          <w:rFonts w:ascii="Times New Roman" w:hAnsi="Times New Roman" w:cs="Times New Roman"/>
          <w:sz w:val="24"/>
          <w:szCs w:val="24"/>
        </w:rPr>
        <w:t>.</w:t>
      </w:r>
    </w:p>
    <w:p w14:paraId="29598A4F" w14:textId="2BCE7E5F" w:rsidR="003374CA" w:rsidRPr="00FF6695" w:rsidRDefault="003374CA" w:rsidP="004B7E63">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high representation of Diptera can be attributed to their short life cycles, high reproductive rates, and adaptability to fluctuating environmental conditions, particularly in temporary aquatic habitats like rice fields. Their larvae thrive in organically enriched water, contributing significantly to detritus processing.</w:t>
      </w:r>
      <w:r w:rsidR="004B7E63">
        <w:rPr>
          <w:rFonts w:ascii="Times New Roman" w:hAnsi="Times New Roman" w:cs="Times New Roman"/>
          <w:sz w:val="24"/>
          <w:szCs w:val="24"/>
        </w:rPr>
        <w:t xml:space="preserve"> </w:t>
      </w:r>
      <w:r w:rsidRPr="00FF6695">
        <w:rPr>
          <w:rFonts w:ascii="Times New Roman" w:hAnsi="Times New Roman" w:cs="Times New Roman"/>
          <w:sz w:val="24"/>
          <w:szCs w:val="24"/>
        </w:rPr>
        <w:t>Hemiptera, being predominantly predatory, formed a substantial component of the community, indicating the availability of prey organisms such as mosquito larvae and other small aquatic invertebrates. The presence of multiple hemipteran families suggests a well-established predator guild within the ecosystem.</w:t>
      </w:r>
      <w:r w:rsidR="004B7E63">
        <w:rPr>
          <w:rFonts w:ascii="Times New Roman" w:hAnsi="Times New Roman" w:cs="Times New Roman"/>
          <w:sz w:val="24"/>
          <w:szCs w:val="24"/>
        </w:rPr>
        <w:t xml:space="preserve"> </w:t>
      </w:r>
      <w:r w:rsidRPr="00FF6695">
        <w:rPr>
          <w:rFonts w:ascii="Times New Roman" w:hAnsi="Times New Roman" w:cs="Times New Roman"/>
          <w:sz w:val="24"/>
          <w:szCs w:val="24"/>
        </w:rPr>
        <w:t xml:space="preserve">Coleopteran diversity reflects the coexistence of predatory and </w:t>
      </w:r>
      <w:commentRangeStart w:id="9"/>
      <w:r w:rsidRPr="00D15EA7">
        <w:rPr>
          <w:rFonts w:ascii="Times New Roman" w:hAnsi="Times New Roman" w:cs="Times New Roman"/>
          <w:sz w:val="24"/>
          <w:szCs w:val="24"/>
          <w:highlight w:val="yellow"/>
        </w:rPr>
        <w:t>detritivorous</w:t>
      </w:r>
      <w:commentRangeEnd w:id="9"/>
      <w:r w:rsidR="00D15EA7" w:rsidRPr="00FF6695">
        <w:rPr>
          <w:rStyle w:val="Referincomentariu"/>
          <w:rFonts w:ascii="Times New Roman" w:hAnsi="Times New Roman" w:cs="Times New Roman"/>
          <w:sz w:val="24"/>
          <w:szCs w:val="24"/>
        </w:rPr>
        <w:commentReference w:id="9"/>
      </w:r>
      <w:r w:rsidRPr="00FF6695">
        <w:rPr>
          <w:rFonts w:ascii="Times New Roman" w:hAnsi="Times New Roman" w:cs="Times New Roman"/>
          <w:sz w:val="24"/>
          <w:szCs w:val="24"/>
        </w:rPr>
        <w:t xml:space="preserve"> species, contributing to both biological control and nutrient recycling. Odonata nymphs, as top invertebrate predators, indicate the presence of a higher trophic level within the aquatic food web.</w:t>
      </w:r>
      <w:r w:rsidR="004B7E63">
        <w:rPr>
          <w:rFonts w:ascii="Times New Roman" w:hAnsi="Times New Roman" w:cs="Times New Roman"/>
          <w:sz w:val="24"/>
          <w:szCs w:val="24"/>
        </w:rPr>
        <w:t xml:space="preserve"> </w:t>
      </w:r>
      <w:r w:rsidRPr="00FF6695">
        <w:rPr>
          <w:rFonts w:ascii="Times New Roman" w:hAnsi="Times New Roman" w:cs="Times New Roman"/>
          <w:sz w:val="24"/>
          <w:szCs w:val="24"/>
        </w:rPr>
        <w:t>Ephemeropterans, although less diverse, play an important role as grazers and contribute to energy transfer from primary producers to higher trophic levels</w:t>
      </w:r>
      <w:r w:rsidR="004B7E63">
        <w:rPr>
          <w:rFonts w:ascii="Times New Roman" w:hAnsi="Times New Roman" w:cs="Times New Roman"/>
          <w:sz w:val="24"/>
          <w:szCs w:val="24"/>
        </w:rPr>
        <w:t xml:space="preserve"> (</w:t>
      </w:r>
      <w:r w:rsidR="00612E9B">
        <w:rPr>
          <w:rFonts w:ascii="Times New Roman" w:hAnsi="Times New Roman" w:cs="Times New Roman"/>
          <w:sz w:val="24"/>
          <w:szCs w:val="24"/>
        </w:rPr>
        <w:t>Fig. 2</w:t>
      </w:r>
      <w:r w:rsidR="004B7E63">
        <w:rPr>
          <w:rFonts w:ascii="Times New Roman" w:hAnsi="Times New Roman" w:cs="Times New Roman"/>
          <w:sz w:val="24"/>
          <w:szCs w:val="24"/>
        </w:rPr>
        <w:t>)</w:t>
      </w:r>
      <w:r w:rsidRPr="00FF6695">
        <w:rPr>
          <w:rFonts w:ascii="Times New Roman" w:hAnsi="Times New Roman" w:cs="Times New Roman"/>
          <w:sz w:val="24"/>
          <w:szCs w:val="24"/>
        </w:rPr>
        <w:t>.</w:t>
      </w:r>
    </w:p>
    <w:p w14:paraId="29338FC8" w14:textId="16800F9B" w:rsidR="005410C4" w:rsidRPr="00372B97" w:rsidRDefault="003374CA" w:rsidP="00372B9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Overall, the observed taxonomic distribution demonstrates a balanced aquatic insect community with representation across multiple ecological roles.</w:t>
      </w:r>
    </w:p>
    <w:p w14:paraId="20A048DD" w14:textId="15DCB816" w:rsidR="001E5C4B" w:rsidRDefault="00AE20F9" w:rsidP="001E5C4B">
      <w:pPr>
        <w:spacing w:before="240" w:line="240" w:lineRule="auto"/>
        <w:jc w:val="center"/>
        <w:rPr>
          <w:rFonts w:ascii="Times New Roman" w:hAnsi="Times New Roman" w:cs="Times New Roman"/>
          <w:b/>
          <w:bCs/>
          <w:sz w:val="24"/>
          <w:szCs w:val="24"/>
        </w:rPr>
      </w:pPr>
      <w:r>
        <w:rPr>
          <w:noProof/>
        </w:rPr>
        <w:drawing>
          <wp:inline distT="0" distB="0" distL="0" distR="0" wp14:anchorId="4F8EDBF7" wp14:editId="36996082">
            <wp:extent cx="4572000" cy="2743200"/>
            <wp:effectExtent l="0" t="0" r="0" b="0"/>
            <wp:docPr id="351412919" name="Chart 1">
              <a:extLst xmlns:a="http://schemas.openxmlformats.org/drawingml/2006/main">
                <a:ext uri="{FF2B5EF4-FFF2-40B4-BE49-F238E27FC236}">
                  <a16:creationId xmlns:a16="http://schemas.microsoft.com/office/drawing/2014/main" id="{5F73CE94-06E4-22E1-F39A-5F0A6FB42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B4303E" w14:textId="57D4FAA4" w:rsidR="003374CA" w:rsidRPr="00FF6695" w:rsidRDefault="001E5C4B" w:rsidP="001E5C4B">
      <w:pPr>
        <w:spacing w:before="240" w:line="240" w:lineRule="auto"/>
        <w:jc w:val="center"/>
        <w:rPr>
          <w:rFonts w:ascii="Times New Roman" w:hAnsi="Times New Roman" w:cs="Times New Roman"/>
          <w:b/>
          <w:bCs/>
          <w:sz w:val="24"/>
          <w:szCs w:val="24"/>
        </w:rPr>
      </w:pPr>
      <w:r>
        <w:rPr>
          <w:rFonts w:ascii="Times New Roman" w:hAnsi="Times New Roman" w:cs="Times New Roman"/>
          <w:b/>
          <w:bCs/>
          <w:sz w:val="24"/>
          <w:szCs w:val="24"/>
        </w:rPr>
        <w:t>Fig. 2</w:t>
      </w:r>
      <w:r w:rsidR="003374CA" w:rsidRPr="00FF6695">
        <w:rPr>
          <w:rFonts w:ascii="Times New Roman" w:hAnsi="Times New Roman" w:cs="Times New Roman"/>
          <w:b/>
          <w:bCs/>
          <w:sz w:val="24"/>
          <w:szCs w:val="24"/>
        </w:rPr>
        <w:t>. Relative Species Composition of Aquatic Insect Orders</w:t>
      </w:r>
    </w:p>
    <w:p w14:paraId="15AB9CC2" w14:textId="03D65E29"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3.3 </w:t>
      </w:r>
      <w:r w:rsidR="003374CA" w:rsidRPr="00FF6695">
        <w:rPr>
          <w:rFonts w:ascii="Times New Roman" w:hAnsi="Times New Roman" w:cs="Times New Roman"/>
          <w:b/>
          <w:bCs/>
          <w:sz w:val="24"/>
          <w:szCs w:val="24"/>
        </w:rPr>
        <w:t xml:space="preserve">Diversity Indices Across Crop Stages: </w:t>
      </w:r>
      <w:r w:rsidR="003374CA" w:rsidRPr="00FF6695">
        <w:rPr>
          <w:rFonts w:ascii="Times New Roman" w:hAnsi="Times New Roman" w:cs="Times New Roman"/>
          <w:sz w:val="24"/>
          <w:szCs w:val="24"/>
        </w:rPr>
        <w:t>Aquatic insect diversity exhibited significant variation across different crop growth stages, reflecting changes in habitat structure and resource availability.</w:t>
      </w:r>
    </w:p>
    <w:p w14:paraId="6479E033" w14:textId="0BB7D272" w:rsidR="003374CA" w:rsidRPr="00FF6695" w:rsidRDefault="006460F3" w:rsidP="00372B9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Species richness (S) was lowest during the vegetative stage (28 species), increased to a maximum during the reproductive stage (40 species), and slightly declined during the harvesting stage (35 species), indicating a clear stage-wise variation in community structure</w:t>
      </w:r>
      <w:r w:rsidR="003374CA" w:rsidRPr="00FF6695">
        <w:rPr>
          <w:rFonts w:ascii="Times New Roman" w:hAnsi="Times New Roman" w:cs="Times New Roman"/>
          <w:sz w:val="24"/>
          <w:szCs w:val="24"/>
        </w:rPr>
        <w:t>.</w:t>
      </w:r>
      <w:r w:rsidR="00372B97">
        <w:rPr>
          <w:rFonts w:ascii="Times New Roman" w:hAnsi="Times New Roman" w:cs="Times New Roman"/>
          <w:sz w:val="24"/>
          <w:szCs w:val="24"/>
        </w:rPr>
        <w:t xml:space="preserve"> </w:t>
      </w:r>
      <w:r w:rsidR="003374CA" w:rsidRPr="00FF6695">
        <w:rPr>
          <w:rFonts w:ascii="Times New Roman" w:hAnsi="Times New Roman" w:cs="Times New Roman"/>
          <w:sz w:val="24"/>
          <w:szCs w:val="24"/>
        </w:rPr>
        <w:t xml:space="preserve">The Shannon–Wiener diversity index (H′) followed a similar trend, with values ranging from 2.48 in the vegetative stage to 3.12 in the reproductive stage, indicating an increase in both </w:t>
      </w:r>
      <w:r w:rsidR="001524E2" w:rsidRPr="00FF6695">
        <w:rPr>
          <w:rFonts w:ascii="Times New Roman" w:hAnsi="Times New Roman" w:cs="Times New Roman"/>
          <w:sz w:val="24"/>
          <w:szCs w:val="24"/>
        </w:rPr>
        <w:lastRenderedPageBreak/>
        <w:t>species’</w:t>
      </w:r>
      <w:r w:rsidR="003374CA" w:rsidRPr="00FF6695">
        <w:rPr>
          <w:rFonts w:ascii="Times New Roman" w:hAnsi="Times New Roman" w:cs="Times New Roman"/>
          <w:sz w:val="24"/>
          <w:szCs w:val="24"/>
        </w:rPr>
        <w:t xml:space="preserve"> richness and evenness. The high Shannon index during the reproductive stage reflects a well-balanced community with equitable distribution of individuals among species.</w:t>
      </w:r>
      <w:r w:rsidR="00372B97">
        <w:rPr>
          <w:rFonts w:ascii="Times New Roman" w:hAnsi="Times New Roman" w:cs="Times New Roman"/>
          <w:sz w:val="24"/>
          <w:szCs w:val="24"/>
        </w:rPr>
        <w:t xml:space="preserve"> </w:t>
      </w:r>
      <w:r w:rsidR="003374CA" w:rsidRPr="00FF6695">
        <w:rPr>
          <w:rFonts w:ascii="Times New Roman" w:hAnsi="Times New Roman" w:cs="Times New Roman"/>
          <w:sz w:val="24"/>
          <w:szCs w:val="24"/>
        </w:rPr>
        <w:t xml:space="preserve">The Simpson’s index (D) values ranged from 0.82 to 0.91, </w:t>
      </w:r>
      <w:r w:rsidR="005E1E27" w:rsidRPr="00FF6695">
        <w:rPr>
          <w:rFonts w:ascii="Times New Roman" w:hAnsi="Times New Roman" w:cs="Times New Roman"/>
          <w:sz w:val="24"/>
          <w:szCs w:val="24"/>
        </w:rPr>
        <w:t>indicating low species dominance and high community diversity</w:t>
      </w:r>
      <w:r w:rsidR="003374CA" w:rsidRPr="00FF6695">
        <w:rPr>
          <w:rFonts w:ascii="Times New Roman" w:hAnsi="Times New Roman" w:cs="Times New Roman"/>
          <w:sz w:val="24"/>
          <w:szCs w:val="24"/>
        </w:rPr>
        <w:t>. The highest Simpson’s value during the reproductive stage further confirms that no single species dominated the community, suggesting stable ecological conditions</w:t>
      </w:r>
      <w:r w:rsidR="000737D1" w:rsidRPr="00FF6695">
        <w:rPr>
          <w:rFonts w:ascii="Times New Roman" w:hAnsi="Times New Roman" w:cs="Times New Roman"/>
          <w:sz w:val="24"/>
          <w:szCs w:val="24"/>
        </w:rPr>
        <w:t xml:space="preserve"> (Table </w:t>
      </w:r>
      <w:r w:rsidR="002777B7">
        <w:rPr>
          <w:rFonts w:ascii="Times New Roman" w:hAnsi="Times New Roman" w:cs="Times New Roman"/>
          <w:sz w:val="24"/>
          <w:szCs w:val="24"/>
        </w:rPr>
        <w:t>2</w:t>
      </w:r>
      <w:r w:rsidR="000737D1" w:rsidRPr="00FF6695">
        <w:rPr>
          <w:rFonts w:ascii="Times New Roman" w:hAnsi="Times New Roman" w:cs="Times New Roman"/>
          <w:sz w:val="24"/>
          <w:szCs w:val="24"/>
        </w:rPr>
        <w:t>)</w:t>
      </w:r>
      <w:r w:rsidR="003374CA" w:rsidRPr="00FF6695">
        <w:rPr>
          <w:rFonts w:ascii="Times New Roman" w:hAnsi="Times New Roman" w:cs="Times New Roman"/>
          <w:sz w:val="24"/>
          <w:szCs w:val="24"/>
        </w:rPr>
        <w:t>.</w:t>
      </w:r>
    </w:p>
    <w:p w14:paraId="01E77CB9" w14:textId="15E4F406" w:rsidR="007505E7" w:rsidRPr="00FF6695" w:rsidRDefault="003374CA" w:rsidP="00372B9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lower diversity observed during the vegetative stage can be attributed to frequent disturbances such as field preparation, water fluctuations, and pesticide application, which limit species establishment. In contrast, the reproductive stage provides stable water conditions, increased vegetation cover, and higher food availability, supporting greater biodiversity.</w:t>
      </w:r>
      <w:r w:rsidR="00372B97">
        <w:rPr>
          <w:rFonts w:ascii="Times New Roman" w:hAnsi="Times New Roman" w:cs="Times New Roman"/>
          <w:sz w:val="24"/>
          <w:szCs w:val="24"/>
        </w:rPr>
        <w:t xml:space="preserve"> </w:t>
      </w:r>
      <w:r w:rsidR="007505E7" w:rsidRPr="00FF6695">
        <w:rPr>
          <w:rFonts w:ascii="Times New Roman" w:hAnsi="Times New Roman" w:cs="Times New Roman"/>
          <w:sz w:val="24"/>
          <w:szCs w:val="24"/>
        </w:rPr>
        <w:t>The slight decline in diversity during the harvesting stage may be due to reduction in water levels and habitat degradation, leading to migration or loss of sensitive species. Diversity indices were calculated based on species-wise abundance data collected from quadrat sampling</w:t>
      </w:r>
      <w:r w:rsidR="00372B97">
        <w:rPr>
          <w:rFonts w:ascii="Times New Roman" w:hAnsi="Times New Roman" w:cs="Times New Roman"/>
          <w:sz w:val="24"/>
          <w:szCs w:val="24"/>
        </w:rPr>
        <w:t xml:space="preserve"> (</w:t>
      </w:r>
      <w:r w:rsidR="00372B97" w:rsidRPr="00FF6695">
        <w:rPr>
          <w:rFonts w:ascii="Times New Roman" w:hAnsi="Times New Roman" w:cs="Times New Roman"/>
          <w:sz w:val="24"/>
          <w:szCs w:val="24"/>
        </w:rPr>
        <w:t xml:space="preserve">Table </w:t>
      </w:r>
      <w:r w:rsidR="002A0D9F">
        <w:rPr>
          <w:rFonts w:ascii="Times New Roman" w:hAnsi="Times New Roman" w:cs="Times New Roman"/>
          <w:sz w:val="24"/>
          <w:szCs w:val="24"/>
        </w:rPr>
        <w:t>2</w:t>
      </w:r>
      <w:r w:rsidR="00372B97">
        <w:rPr>
          <w:rFonts w:ascii="Times New Roman" w:hAnsi="Times New Roman" w:cs="Times New Roman"/>
          <w:sz w:val="24"/>
          <w:szCs w:val="24"/>
        </w:rPr>
        <w:t>).</w:t>
      </w:r>
    </w:p>
    <w:p w14:paraId="04C88AF2" w14:textId="60FC40E3" w:rsidR="003374CA" w:rsidRPr="00FF6695" w:rsidRDefault="003374CA" w:rsidP="00773850">
      <w:pPr>
        <w:spacing w:before="24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 xml:space="preserve">Table </w:t>
      </w:r>
      <w:r w:rsidR="002A0D9F">
        <w:rPr>
          <w:rFonts w:ascii="Times New Roman" w:hAnsi="Times New Roman" w:cs="Times New Roman"/>
          <w:b/>
          <w:bCs/>
          <w:sz w:val="24"/>
          <w:szCs w:val="24"/>
        </w:rPr>
        <w:t>2</w:t>
      </w:r>
      <w:r w:rsidRPr="00FF6695">
        <w:rPr>
          <w:rFonts w:ascii="Times New Roman" w:hAnsi="Times New Roman" w:cs="Times New Roman"/>
          <w:b/>
          <w:bCs/>
          <w:sz w:val="24"/>
          <w:szCs w:val="24"/>
        </w:rPr>
        <w:t>. Diversity Indices at Different Crop Stages</w:t>
      </w:r>
    </w:p>
    <w:tbl>
      <w:tblPr>
        <w:tblStyle w:val="Tabelgril"/>
        <w:tblW w:w="5000" w:type="pct"/>
        <w:tblLook w:val="04A0" w:firstRow="1" w:lastRow="0" w:firstColumn="1" w:lastColumn="0" w:noHBand="0" w:noVBand="1"/>
      </w:tblPr>
      <w:tblGrid>
        <w:gridCol w:w="1632"/>
        <w:gridCol w:w="2469"/>
        <w:gridCol w:w="2427"/>
        <w:gridCol w:w="2488"/>
      </w:tblGrid>
      <w:tr w:rsidR="003374CA" w:rsidRPr="00FF6695" w14:paraId="299B822A" w14:textId="77777777" w:rsidTr="006A181D">
        <w:tc>
          <w:tcPr>
            <w:tcW w:w="905" w:type="pct"/>
            <w:vAlign w:val="center"/>
            <w:hideMark/>
          </w:tcPr>
          <w:p w14:paraId="1C8716EB" w14:textId="77777777" w:rsidR="003374CA" w:rsidRPr="00FF6695" w:rsidRDefault="003374CA" w:rsidP="006A181D">
            <w:pPr>
              <w:spacing w:before="240"/>
              <w:rPr>
                <w:rFonts w:ascii="Times New Roman" w:hAnsi="Times New Roman" w:cs="Times New Roman"/>
                <w:b/>
                <w:bCs/>
                <w:sz w:val="24"/>
                <w:szCs w:val="24"/>
              </w:rPr>
            </w:pPr>
            <w:r w:rsidRPr="00FF6695">
              <w:rPr>
                <w:rFonts w:ascii="Times New Roman" w:hAnsi="Times New Roman" w:cs="Times New Roman"/>
                <w:b/>
                <w:bCs/>
                <w:sz w:val="24"/>
                <w:szCs w:val="24"/>
              </w:rPr>
              <w:t>Crop Stage</w:t>
            </w:r>
          </w:p>
        </w:tc>
        <w:tc>
          <w:tcPr>
            <w:tcW w:w="1369" w:type="pct"/>
            <w:vAlign w:val="center"/>
            <w:hideMark/>
          </w:tcPr>
          <w:p w14:paraId="05870746" w14:textId="77777777" w:rsidR="003374CA" w:rsidRPr="00FF6695" w:rsidRDefault="003374CA" w:rsidP="006A181D">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Species Richness (S)</w:t>
            </w:r>
          </w:p>
        </w:tc>
        <w:tc>
          <w:tcPr>
            <w:tcW w:w="1346" w:type="pct"/>
            <w:vAlign w:val="center"/>
            <w:hideMark/>
          </w:tcPr>
          <w:p w14:paraId="282EAA00" w14:textId="77777777" w:rsidR="003374CA" w:rsidRPr="00FF6695" w:rsidRDefault="003374CA" w:rsidP="006A181D">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Shannon Index (H′)</w:t>
            </w:r>
          </w:p>
        </w:tc>
        <w:tc>
          <w:tcPr>
            <w:tcW w:w="1380" w:type="pct"/>
            <w:vAlign w:val="center"/>
            <w:hideMark/>
          </w:tcPr>
          <w:p w14:paraId="213C83DD" w14:textId="77777777" w:rsidR="003374CA" w:rsidRPr="00FF6695" w:rsidRDefault="003374CA" w:rsidP="006A181D">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Simpson’s Index (D)</w:t>
            </w:r>
          </w:p>
        </w:tc>
      </w:tr>
      <w:tr w:rsidR="003374CA" w:rsidRPr="00FF6695" w14:paraId="1A1FBEF8" w14:textId="77777777" w:rsidTr="006A181D">
        <w:tc>
          <w:tcPr>
            <w:tcW w:w="905" w:type="pct"/>
            <w:vAlign w:val="center"/>
            <w:hideMark/>
          </w:tcPr>
          <w:p w14:paraId="4DDD46AB"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Vegetative</w:t>
            </w:r>
          </w:p>
        </w:tc>
        <w:tc>
          <w:tcPr>
            <w:tcW w:w="1369" w:type="pct"/>
            <w:vAlign w:val="center"/>
            <w:hideMark/>
          </w:tcPr>
          <w:p w14:paraId="3CECFDEA"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28</w:t>
            </w:r>
          </w:p>
        </w:tc>
        <w:tc>
          <w:tcPr>
            <w:tcW w:w="1346" w:type="pct"/>
            <w:vAlign w:val="center"/>
            <w:hideMark/>
          </w:tcPr>
          <w:p w14:paraId="6AD5D425"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2.48</w:t>
            </w:r>
          </w:p>
        </w:tc>
        <w:tc>
          <w:tcPr>
            <w:tcW w:w="1380" w:type="pct"/>
            <w:vAlign w:val="center"/>
            <w:hideMark/>
          </w:tcPr>
          <w:p w14:paraId="28387CFD"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0.82</w:t>
            </w:r>
          </w:p>
        </w:tc>
      </w:tr>
      <w:tr w:rsidR="003374CA" w:rsidRPr="00FF6695" w14:paraId="0465BEB7" w14:textId="77777777" w:rsidTr="006A181D">
        <w:tc>
          <w:tcPr>
            <w:tcW w:w="905" w:type="pct"/>
            <w:vAlign w:val="center"/>
            <w:hideMark/>
          </w:tcPr>
          <w:p w14:paraId="4EEDE764"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Reproductive</w:t>
            </w:r>
          </w:p>
        </w:tc>
        <w:tc>
          <w:tcPr>
            <w:tcW w:w="1369" w:type="pct"/>
            <w:vAlign w:val="center"/>
            <w:hideMark/>
          </w:tcPr>
          <w:p w14:paraId="17D2C31E" w14:textId="7C15B72C"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4</w:t>
            </w:r>
            <w:r w:rsidR="00C66072" w:rsidRPr="00FF6695">
              <w:rPr>
                <w:rFonts w:ascii="Times New Roman" w:hAnsi="Times New Roman" w:cs="Times New Roman"/>
                <w:sz w:val="24"/>
                <w:szCs w:val="24"/>
              </w:rPr>
              <w:t>0</w:t>
            </w:r>
          </w:p>
        </w:tc>
        <w:tc>
          <w:tcPr>
            <w:tcW w:w="1346" w:type="pct"/>
            <w:vAlign w:val="center"/>
            <w:hideMark/>
          </w:tcPr>
          <w:p w14:paraId="0B941CEF"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3.12</w:t>
            </w:r>
          </w:p>
        </w:tc>
        <w:tc>
          <w:tcPr>
            <w:tcW w:w="1380" w:type="pct"/>
            <w:vAlign w:val="center"/>
            <w:hideMark/>
          </w:tcPr>
          <w:p w14:paraId="4C26B7CB"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0.91</w:t>
            </w:r>
          </w:p>
        </w:tc>
      </w:tr>
      <w:tr w:rsidR="003374CA" w:rsidRPr="00FF6695" w14:paraId="12F4DF37" w14:textId="77777777" w:rsidTr="006A181D">
        <w:tc>
          <w:tcPr>
            <w:tcW w:w="905" w:type="pct"/>
            <w:vAlign w:val="center"/>
            <w:hideMark/>
          </w:tcPr>
          <w:p w14:paraId="4E522F66"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Harvesting</w:t>
            </w:r>
          </w:p>
        </w:tc>
        <w:tc>
          <w:tcPr>
            <w:tcW w:w="1369" w:type="pct"/>
            <w:vAlign w:val="center"/>
            <w:hideMark/>
          </w:tcPr>
          <w:p w14:paraId="41F12962"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35</w:t>
            </w:r>
          </w:p>
        </w:tc>
        <w:tc>
          <w:tcPr>
            <w:tcW w:w="1346" w:type="pct"/>
            <w:vAlign w:val="center"/>
            <w:hideMark/>
          </w:tcPr>
          <w:p w14:paraId="5BCD5976"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2.76</w:t>
            </w:r>
          </w:p>
        </w:tc>
        <w:tc>
          <w:tcPr>
            <w:tcW w:w="1380" w:type="pct"/>
            <w:vAlign w:val="center"/>
            <w:hideMark/>
          </w:tcPr>
          <w:p w14:paraId="6FEDDAEE"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0.87</w:t>
            </w:r>
          </w:p>
        </w:tc>
      </w:tr>
    </w:tbl>
    <w:p w14:paraId="5723F31B" w14:textId="77777777" w:rsidR="003374CA" w:rsidRPr="00FF6695" w:rsidRDefault="003374CA" w:rsidP="00773850">
      <w:pPr>
        <w:spacing w:before="240" w:line="240" w:lineRule="auto"/>
        <w:jc w:val="both"/>
        <w:rPr>
          <w:rFonts w:ascii="Times New Roman" w:hAnsi="Times New Roman" w:cs="Times New Roman"/>
          <w:b/>
          <w:bCs/>
          <w:sz w:val="24"/>
          <w:szCs w:val="24"/>
        </w:rPr>
      </w:pPr>
    </w:p>
    <w:p w14:paraId="19324082" w14:textId="3A53BFA9"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3.4 </w:t>
      </w:r>
      <w:r w:rsidR="003374CA" w:rsidRPr="00FF6695">
        <w:rPr>
          <w:rFonts w:ascii="Times New Roman" w:hAnsi="Times New Roman" w:cs="Times New Roman"/>
          <w:b/>
          <w:bCs/>
          <w:sz w:val="24"/>
          <w:szCs w:val="24"/>
        </w:rPr>
        <w:t xml:space="preserve">Functional Feeding Group Structure: </w:t>
      </w:r>
      <w:r w:rsidR="003374CA" w:rsidRPr="00FF6695">
        <w:rPr>
          <w:rFonts w:ascii="Times New Roman" w:hAnsi="Times New Roman" w:cs="Times New Roman"/>
          <w:sz w:val="24"/>
          <w:szCs w:val="24"/>
        </w:rPr>
        <w:t>The aquatic insect community was composed of three major functional feeding groups: collectors, predators, and grazers, indicating a well-structured trophic organization.</w:t>
      </w:r>
    </w:p>
    <w:p w14:paraId="36807D02" w14:textId="13270E7F" w:rsidR="003374CA" w:rsidRPr="00FF6695" w:rsidRDefault="00A9572B" w:rsidP="00F97C22">
      <w:pPr>
        <w:spacing w:before="240" w:line="240" w:lineRule="auto"/>
        <w:jc w:val="both"/>
        <w:rPr>
          <w:rFonts w:ascii="Times New Roman" w:hAnsi="Times New Roman" w:cs="Times New Roman"/>
          <w:sz w:val="24"/>
          <w:szCs w:val="24"/>
        </w:rPr>
      </w:pPr>
      <w:r w:rsidRPr="00FF6695">
        <w:rPr>
          <w:rFonts w:ascii="Times New Roman" w:hAnsi="Times New Roman" w:cs="Times New Roman"/>
          <w:sz w:val="24"/>
          <w:szCs w:val="24"/>
        </w:rPr>
        <w:t>Collectors constituted the dominant group, accounting for 40 % of the total species (16 species), followed by predators (47.5 %, 19 species) and grazers (12.5 %, 5 species)</w:t>
      </w:r>
      <w:r w:rsidR="00F97C22">
        <w:rPr>
          <w:rFonts w:ascii="Times New Roman" w:hAnsi="Times New Roman" w:cs="Times New Roman"/>
          <w:sz w:val="24"/>
          <w:szCs w:val="24"/>
        </w:rPr>
        <w:t xml:space="preserve">. </w:t>
      </w:r>
      <w:r w:rsidR="003374CA" w:rsidRPr="00FF6695">
        <w:rPr>
          <w:rFonts w:ascii="Times New Roman" w:hAnsi="Times New Roman" w:cs="Times New Roman"/>
          <w:sz w:val="24"/>
          <w:szCs w:val="24"/>
        </w:rPr>
        <w:t>Predators formed a significant proportion (28.6%) of the community, highlighting their importance in regulating prey populations and maintaining trophic balance. The presence of diverse predatory taxa such as Hemiptera, Coleoptera, and Odonata indicates a robust biological control system within the ecosystem.</w:t>
      </w:r>
      <w:r w:rsidR="00F97C22">
        <w:rPr>
          <w:rFonts w:ascii="Times New Roman" w:hAnsi="Times New Roman" w:cs="Times New Roman"/>
          <w:sz w:val="24"/>
          <w:szCs w:val="24"/>
        </w:rPr>
        <w:t xml:space="preserve"> </w:t>
      </w:r>
      <w:r w:rsidR="003374CA" w:rsidRPr="00FF6695">
        <w:rPr>
          <w:rFonts w:ascii="Times New Roman" w:hAnsi="Times New Roman" w:cs="Times New Roman"/>
          <w:sz w:val="24"/>
          <w:szCs w:val="24"/>
        </w:rPr>
        <w:t>Grazers represented a smaller proportion (9.5%), primarily consisting of Ephemeropteran species that feed on algae and periphyton. Despite their lower abundance, grazers contribute to primary productivity regulation and energy flow.</w:t>
      </w:r>
      <w:r w:rsidR="00F97C22">
        <w:rPr>
          <w:rFonts w:ascii="Times New Roman" w:hAnsi="Times New Roman" w:cs="Times New Roman"/>
          <w:sz w:val="24"/>
          <w:szCs w:val="24"/>
        </w:rPr>
        <w:t xml:space="preserve"> </w:t>
      </w:r>
      <w:r w:rsidR="003374CA" w:rsidRPr="00FF6695">
        <w:rPr>
          <w:rFonts w:ascii="Times New Roman" w:hAnsi="Times New Roman" w:cs="Times New Roman"/>
          <w:sz w:val="24"/>
          <w:szCs w:val="24"/>
        </w:rPr>
        <w:t>The dominance of collectors, coupled with a substantial predator population, suggests a functionally efficient ecosystem, where organic matter processing and biological control operate simultaneously</w:t>
      </w:r>
      <w:r w:rsidR="00F97C22">
        <w:rPr>
          <w:rFonts w:ascii="Times New Roman" w:hAnsi="Times New Roman" w:cs="Times New Roman"/>
          <w:sz w:val="24"/>
          <w:szCs w:val="24"/>
        </w:rPr>
        <w:t xml:space="preserve"> </w:t>
      </w:r>
      <w:r w:rsidR="00F97C22" w:rsidRPr="00FF6695">
        <w:rPr>
          <w:rFonts w:ascii="Times New Roman" w:hAnsi="Times New Roman" w:cs="Times New Roman"/>
          <w:sz w:val="24"/>
          <w:szCs w:val="24"/>
        </w:rPr>
        <w:t>(</w:t>
      </w:r>
      <w:r w:rsidR="003B5071">
        <w:rPr>
          <w:rFonts w:ascii="Times New Roman" w:hAnsi="Times New Roman" w:cs="Times New Roman"/>
          <w:sz w:val="24"/>
          <w:szCs w:val="24"/>
        </w:rPr>
        <w:t>Fig. 3</w:t>
      </w:r>
      <w:r w:rsidR="00F97C22" w:rsidRPr="00FF6695">
        <w:rPr>
          <w:rFonts w:ascii="Times New Roman" w:hAnsi="Times New Roman" w:cs="Times New Roman"/>
          <w:sz w:val="24"/>
          <w:szCs w:val="24"/>
        </w:rPr>
        <w:t>)</w:t>
      </w:r>
      <w:r w:rsidR="003374CA" w:rsidRPr="00FF6695">
        <w:rPr>
          <w:rFonts w:ascii="Times New Roman" w:hAnsi="Times New Roman" w:cs="Times New Roman"/>
          <w:sz w:val="24"/>
          <w:szCs w:val="24"/>
        </w:rPr>
        <w:t>.</w:t>
      </w:r>
    </w:p>
    <w:p w14:paraId="5B87ABA4" w14:textId="7475885D" w:rsidR="005C0B01" w:rsidRDefault="005C0B01" w:rsidP="005C0B01">
      <w:pPr>
        <w:spacing w:before="240" w:line="240" w:lineRule="auto"/>
        <w:jc w:val="center"/>
        <w:rPr>
          <w:rFonts w:ascii="Times New Roman" w:hAnsi="Times New Roman" w:cs="Times New Roman"/>
          <w:b/>
          <w:bCs/>
          <w:sz w:val="24"/>
          <w:szCs w:val="24"/>
        </w:rPr>
      </w:pPr>
      <w:r>
        <w:rPr>
          <w:noProof/>
        </w:rPr>
        <w:lastRenderedPageBreak/>
        <w:drawing>
          <wp:inline distT="0" distB="0" distL="0" distR="0" wp14:anchorId="5BFD49D3" wp14:editId="1F060F2D">
            <wp:extent cx="4572000" cy="2743200"/>
            <wp:effectExtent l="0" t="0" r="0" b="0"/>
            <wp:docPr id="2097358138" name="Chart 1">
              <a:extLst xmlns:a="http://schemas.openxmlformats.org/drawingml/2006/main">
                <a:ext uri="{FF2B5EF4-FFF2-40B4-BE49-F238E27FC236}">
                  <a16:creationId xmlns:a16="http://schemas.microsoft.com/office/drawing/2014/main" id="{FB0D71EE-3A29-F3EC-FECD-1FAF1F584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E03DC5" w14:textId="4297FB12" w:rsidR="003374CA" w:rsidRPr="00FF6695" w:rsidRDefault="005C0B01" w:rsidP="005C0B01">
      <w:pPr>
        <w:spacing w:before="240" w:line="240" w:lineRule="auto"/>
        <w:jc w:val="center"/>
        <w:rPr>
          <w:rFonts w:ascii="Times New Roman" w:hAnsi="Times New Roman" w:cs="Times New Roman"/>
          <w:b/>
          <w:bCs/>
          <w:sz w:val="24"/>
          <w:szCs w:val="24"/>
        </w:rPr>
      </w:pPr>
      <w:r>
        <w:rPr>
          <w:rFonts w:ascii="Times New Roman" w:hAnsi="Times New Roman" w:cs="Times New Roman"/>
          <w:b/>
          <w:bCs/>
          <w:sz w:val="24"/>
          <w:szCs w:val="24"/>
        </w:rPr>
        <w:t>Fig. 3</w:t>
      </w:r>
      <w:r w:rsidR="003374CA" w:rsidRPr="00FF6695">
        <w:rPr>
          <w:rFonts w:ascii="Times New Roman" w:hAnsi="Times New Roman" w:cs="Times New Roman"/>
          <w:b/>
          <w:bCs/>
          <w:sz w:val="24"/>
          <w:szCs w:val="24"/>
        </w:rPr>
        <w:t>. Functional Feeding Groups of Aquatic Insects</w:t>
      </w:r>
    </w:p>
    <w:p w14:paraId="64AE997D" w14:textId="6BA874CE"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3.5 </w:t>
      </w:r>
      <w:r w:rsidR="003374CA" w:rsidRPr="00FF6695">
        <w:rPr>
          <w:rFonts w:ascii="Times New Roman" w:hAnsi="Times New Roman" w:cs="Times New Roman"/>
          <w:b/>
          <w:bCs/>
          <w:sz w:val="24"/>
          <w:szCs w:val="24"/>
        </w:rPr>
        <w:t>Pest Population Dynamics:</w:t>
      </w:r>
      <w:r w:rsidR="003374CA" w:rsidRPr="00FF6695">
        <w:rPr>
          <w:rFonts w:ascii="Times New Roman" w:hAnsi="Times New Roman" w:cs="Times New Roman"/>
          <w:sz w:val="24"/>
          <w:szCs w:val="24"/>
        </w:rPr>
        <w:t xml:space="preserve"> Pest populations exhibited distinct temporal variation across crop growth stages, indicating the influence of ecological factors and predator activity.</w:t>
      </w:r>
    </w:p>
    <w:p w14:paraId="3605E5F6" w14:textId="4D59A19C" w:rsidR="00ED1DD9" w:rsidRPr="00234A49" w:rsidRDefault="003374CA" w:rsidP="00234A49">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highest pest density (68 ± 5.2 individuals/m²) was recorded during the vegetative stage, which can be attributed to low predator abundance and favorable conditions for pest establishment. At this stage, the ecosystem is relatively unstable, allowing pests to proliferate.</w:t>
      </w:r>
      <w:r w:rsidR="00234A49">
        <w:rPr>
          <w:rFonts w:ascii="Times New Roman" w:hAnsi="Times New Roman" w:cs="Times New Roman"/>
          <w:sz w:val="24"/>
          <w:szCs w:val="24"/>
        </w:rPr>
        <w:t xml:space="preserve"> </w:t>
      </w:r>
      <w:r w:rsidRPr="00FF6695">
        <w:rPr>
          <w:rFonts w:ascii="Times New Roman" w:hAnsi="Times New Roman" w:cs="Times New Roman"/>
          <w:sz w:val="24"/>
          <w:szCs w:val="24"/>
        </w:rPr>
        <w:t xml:space="preserve">During the reproductive stage, pest density declined to 42 ± 3.8 individuals/m², coinciding with an increase in aquatic insect diversity and predator abundance. </w:t>
      </w:r>
      <w:r w:rsidR="00424150" w:rsidRPr="00FF6695">
        <w:rPr>
          <w:rFonts w:ascii="Times New Roman" w:hAnsi="Times New Roman" w:cs="Times New Roman"/>
          <w:sz w:val="24"/>
          <w:szCs w:val="24"/>
        </w:rPr>
        <w:t>This indicates that</w:t>
      </w:r>
      <w:r w:rsidRPr="00FF6695">
        <w:rPr>
          <w:rFonts w:ascii="Times New Roman" w:hAnsi="Times New Roman" w:cs="Times New Roman"/>
          <w:sz w:val="24"/>
          <w:szCs w:val="24"/>
        </w:rPr>
        <w:t xml:space="preserve"> biotic regulation by natural enemies plays a significant role in controlling pest populations.</w:t>
      </w:r>
      <w:r w:rsidR="00234A49">
        <w:rPr>
          <w:rFonts w:ascii="Times New Roman" w:hAnsi="Times New Roman" w:cs="Times New Roman"/>
          <w:sz w:val="24"/>
          <w:szCs w:val="24"/>
        </w:rPr>
        <w:t xml:space="preserve"> </w:t>
      </w:r>
      <w:r w:rsidRPr="00FF6695">
        <w:rPr>
          <w:rFonts w:ascii="Times New Roman" w:hAnsi="Times New Roman" w:cs="Times New Roman"/>
          <w:sz w:val="24"/>
          <w:szCs w:val="24"/>
        </w:rPr>
        <w:t>Further reduction in pest density (25 ± 2.6 individuals/m²) was observed during the harvesting stage, indicating sustained pest suppression. However, this decline may also be influenced by reduced habitat suitability and water availability</w:t>
      </w:r>
      <w:r w:rsidR="00234A49">
        <w:rPr>
          <w:rFonts w:ascii="Times New Roman" w:hAnsi="Times New Roman" w:cs="Times New Roman"/>
          <w:sz w:val="24"/>
          <w:szCs w:val="24"/>
        </w:rPr>
        <w:t xml:space="preserve">. </w:t>
      </w:r>
      <w:r w:rsidRPr="00FF6695">
        <w:rPr>
          <w:rFonts w:ascii="Times New Roman" w:hAnsi="Times New Roman" w:cs="Times New Roman"/>
          <w:sz w:val="24"/>
          <w:szCs w:val="24"/>
        </w:rPr>
        <w:t>The observed trend clearly demonstrates that pest populations are inversely related to ecosystem maturity and predator presence</w:t>
      </w:r>
      <w:r w:rsidR="00234A49">
        <w:rPr>
          <w:rFonts w:ascii="Times New Roman" w:hAnsi="Times New Roman" w:cs="Times New Roman"/>
          <w:sz w:val="24"/>
          <w:szCs w:val="24"/>
        </w:rPr>
        <w:t xml:space="preserve"> </w:t>
      </w:r>
      <w:r w:rsidR="00234A49" w:rsidRPr="00FF6695">
        <w:rPr>
          <w:rFonts w:ascii="Times New Roman" w:hAnsi="Times New Roman" w:cs="Times New Roman"/>
          <w:sz w:val="24"/>
          <w:szCs w:val="24"/>
        </w:rPr>
        <w:t xml:space="preserve">(Table </w:t>
      </w:r>
      <w:r w:rsidR="005066CC">
        <w:rPr>
          <w:rFonts w:ascii="Times New Roman" w:hAnsi="Times New Roman" w:cs="Times New Roman"/>
          <w:sz w:val="24"/>
          <w:szCs w:val="24"/>
        </w:rPr>
        <w:t>3</w:t>
      </w:r>
      <w:r w:rsidR="00234A49" w:rsidRPr="00FF6695">
        <w:rPr>
          <w:rFonts w:ascii="Times New Roman" w:hAnsi="Times New Roman" w:cs="Times New Roman"/>
          <w:sz w:val="24"/>
          <w:szCs w:val="24"/>
        </w:rPr>
        <w:t>)</w:t>
      </w:r>
      <w:r w:rsidRPr="00FF6695">
        <w:rPr>
          <w:rFonts w:ascii="Times New Roman" w:hAnsi="Times New Roman" w:cs="Times New Roman"/>
          <w:sz w:val="24"/>
          <w:szCs w:val="24"/>
        </w:rPr>
        <w:t>.</w:t>
      </w:r>
    </w:p>
    <w:p w14:paraId="5F810B52" w14:textId="704678A6" w:rsidR="003374CA" w:rsidRPr="00FF6695" w:rsidRDefault="003374CA" w:rsidP="00773850">
      <w:pPr>
        <w:spacing w:before="24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 xml:space="preserve">Table </w:t>
      </w:r>
      <w:r w:rsidR="005066CC">
        <w:rPr>
          <w:rFonts w:ascii="Times New Roman" w:hAnsi="Times New Roman" w:cs="Times New Roman"/>
          <w:b/>
          <w:bCs/>
          <w:sz w:val="24"/>
          <w:szCs w:val="24"/>
        </w:rPr>
        <w:t>3</w:t>
      </w:r>
      <w:r w:rsidRPr="00FF6695">
        <w:rPr>
          <w:rFonts w:ascii="Times New Roman" w:hAnsi="Times New Roman" w:cs="Times New Roman"/>
          <w:b/>
          <w:bCs/>
          <w:sz w:val="24"/>
          <w:szCs w:val="24"/>
        </w:rPr>
        <w:t>. Pest Density Across Crop Stages</w:t>
      </w:r>
    </w:p>
    <w:tbl>
      <w:tblPr>
        <w:tblStyle w:val="Tabelgril"/>
        <w:tblW w:w="5000" w:type="pct"/>
        <w:tblLook w:val="04A0" w:firstRow="1" w:lastRow="0" w:firstColumn="1" w:lastColumn="0" w:noHBand="0" w:noVBand="1"/>
      </w:tblPr>
      <w:tblGrid>
        <w:gridCol w:w="3385"/>
        <w:gridCol w:w="5631"/>
      </w:tblGrid>
      <w:tr w:rsidR="003374CA" w:rsidRPr="00FF6695" w14:paraId="73210EB2" w14:textId="77777777" w:rsidTr="00B410B7">
        <w:tc>
          <w:tcPr>
            <w:tcW w:w="1830" w:type="pct"/>
            <w:vAlign w:val="center"/>
            <w:hideMark/>
          </w:tcPr>
          <w:p w14:paraId="749C4099" w14:textId="77777777" w:rsidR="003374CA" w:rsidRPr="00FF6695" w:rsidRDefault="003374CA"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Crop Stage</w:t>
            </w:r>
          </w:p>
        </w:tc>
        <w:tc>
          <w:tcPr>
            <w:tcW w:w="3046" w:type="pct"/>
            <w:vAlign w:val="center"/>
            <w:hideMark/>
          </w:tcPr>
          <w:p w14:paraId="2967186E" w14:textId="77777777" w:rsidR="003374CA" w:rsidRPr="00FF6695" w:rsidRDefault="003374CA"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Pest Density (No./m²)</w:t>
            </w:r>
          </w:p>
        </w:tc>
      </w:tr>
      <w:tr w:rsidR="003374CA" w:rsidRPr="00FF6695" w14:paraId="0C2B2AC8" w14:textId="77777777" w:rsidTr="00B410B7">
        <w:tc>
          <w:tcPr>
            <w:tcW w:w="1830" w:type="pct"/>
            <w:vAlign w:val="center"/>
            <w:hideMark/>
          </w:tcPr>
          <w:p w14:paraId="563DC197"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Vegetative</w:t>
            </w:r>
          </w:p>
        </w:tc>
        <w:tc>
          <w:tcPr>
            <w:tcW w:w="3046" w:type="pct"/>
            <w:vAlign w:val="center"/>
            <w:hideMark/>
          </w:tcPr>
          <w:p w14:paraId="1A38B2AC"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68 ± 5.2</w:t>
            </w:r>
          </w:p>
        </w:tc>
      </w:tr>
      <w:tr w:rsidR="003374CA" w:rsidRPr="00FF6695" w14:paraId="1EFFA1DC" w14:textId="77777777" w:rsidTr="00B410B7">
        <w:tc>
          <w:tcPr>
            <w:tcW w:w="1830" w:type="pct"/>
            <w:vAlign w:val="center"/>
            <w:hideMark/>
          </w:tcPr>
          <w:p w14:paraId="6F14FA45"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Reproductive</w:t>
            </w:r>
          </w:p>
        </w:tc>
        <w:tc>
          <w:tcPr>
            <w:tcW w:w="3046" w:type="pct"/>
            <w:vAlign w:val="center"/>
            <w:hideMark/>
          </w:tcPr>
          <w:p w14:paraId="12D20B13"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42 ± 3.8</w:t>
            </w:r>
          </w:p>
        </w:tc>
      </w:tr>
      <w:tr w:rsidR="003374CA" w:rsidRPr="00FF6695" w14:paraId="606FB953" w14:textId="77777777" w:rsidTr="00B410B7">
        <w:tc>
          <w:tcPr>
            <w:tcW w:w="1830" w:type="pct"/>
            <w:vAlign w:val="center"/>
            <w:hideMark/>
          </w:tcPr>
          <w:p w14:paraId="4FF1331D"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Harvesting</w:t>
            </w:r>
          </w:p>
        </w:tc>
        <w:tc>
          <w:tcPr>
            <w:tcW w:w="3046" w:type="pct"/>
            <w:vAlign w:val="center"/>
            <w:hideMark/>
          </w:tcPr>
          <w:p w14:paraId="7342B03B"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25 ± 2.6</w:t>
            </w:r>
          </w:p>
        </w:tc>
      </w:tr>
    </w:tbl>
    <w:p w14:paraId="39258297" w14:textId="77777777" w:rsidR="003374CA" w:rsidRPr="00FF6695" w:rsidRDefault="003374CA" w:rsidP="00773850">
      <w:pPr>
        <w:spacing w:before="240" w:line="240" w:lineRule="auto"/>
        <w:rPr>
          <w:rFonts w:ascii="Times New Roman" w:hAnsi="Times New Roman" w:cs="Times New Roman"/>
          <w:sz w:val="24"/>
          <w:szCs w:val="24"/>
        </w:rPr>
      </w:pPr>
    </w:p>
    <w:p w14:paraId="6F0FA1BC" w14:textId="563A8197"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3.6 </w:t>
      </w:r>
      <w:r w:rsidR="003374CA" w:rsidRPr="00FF6695">
        <w:rPr>
          <w:rFonts w:ascii="Times New Roman" w:hAnsi="Times New Roman" w:cs="Times New Roman"/>
          <w:b/>
          <w:bCs/>
          <w:sz w:val="24"/>
          <w:szCs w:val="24"/>
        </w:rPr>
        <w:t>Predator–Pest Relationship</w:t>
      </w:r>
      <w:r w:rsidR="003374CA" w:rsidRPr="00FF6695">
        <w:rPr>
          <w:rFonts w:ascii="Times New Roman" w:hAnsi="Times New Roman" w:cs="Times New Roman"/>
          <w:sz w:val="24"/>
          <w:szCs w:val="24"/>
        </w:rPr>
        <w:t xml:space="preserve">: </w:t>
      </w:r>
      <w:r w:rsidR="00AB3152" w:rsidRPr="00FF6695">
        <w:rPr>
          <w:rFonts w:ascii="Times New Roman" w:hAnsi="Times New Roman" w:cs="Times New Roman"/>
          <w:sz w:val="24"/>
          <w:szCs w:val="24"/>
        </w:rPr>
        <w:t xml:space="preserve">A strong and statistically significant negative correlation </w:t>
      </w:r>
      <w:r w:rsidR="00517D48" w:rsidRPr="00FF6695">
        <w:rPr>
          <w:rFonts w:ascii="Times New Roman" w:hAnsi="Times New Roman" w:cs="Times New Roman"/>
          <w:sz w:val="24"/>
          <w:szCs w:val="24"/>
        </w:rPr>
        <w:t xml:space="preserve">(r = –0.72, </w:t>
      </w:r>
      <w:r w:rsidR="00517D48" w:rsidRPr="00FF6695">
        <w:rPr>
          <w:rFonts w:ascii="Times New Roman" w:hAnsi="Times New Roman" w:cs="Times New Roman"/>
          <w:i/>
          <w:iCs/>
          <w:sz w:val="24"/>
          <w:szCs w:val="24"/>
        </w:rPr>
        <w:t>p</w:t>
      </w:r>
      <w:r w:rsidR="00517D48" w:rsidRPr="00FF6695">
        <w:rPr>
          <w:rFonts w:ascii="Times New Roman" w:hAnsi="Times New Roman" w:cs="Times New Roman"/>
          <w:sz w:val="24"/>
          <w:szCs w:val="24"/>
        </w:rPr>
        <w:t xml:space="preserve"> &lt; 0.05)</w:t>
      </w:r>
      <w:r w:rsidR="003374CA" w:rsidRPr="00FF6695">
        <w:rPr>
          <w:rFonts w:ascii="Times New Roman" w:hAnsi="Times New Roman" w:cs="Times New Roman"/>
          <w:sz w:val="24"/>
          <w:szCs w:val="24"/>
        </w:rPr>
        <w:t xml:space="preserve"> was observed between predator abundance and pest density, indicating a strong inverse relationship.</w:t>
      </w:r>
    </w:p>
    <w:p w14:paraId="4AF46FA6" w14:textId="5C0DB74B" w:rsidR="003374CA" w:rsidRPr="00FF6695" w:rsidRDefault="003374CA" w:rsidP="00B410B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This result suggests that as the abundance of predatory aquatic insects increases, the density of pest populations decreases significantly. Such a relationship provides quantitative </w:t>
      </w:r>
      <w:r w:rsidRPr="00FF6695">
        <w:rPr>
          <w:rFonts w:ascii="Times New Roman" w:hAnsi="Times New Roman" w:cs="Times New Roman"/>
          <w:sz w:val="24"/>
          <w:szCs w:val="24"/>
        </w:rPr>
        <w:lastRenderedPageBreak/>
        <w:t>evidence for the role of aquatic insects as natural biological control agents.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Predatory taxa such as Notonectidae (backswimmers), Dytiscidae (diving beetles), and Odonata nymphs were particularly effective in preying upon mosquito larvae and early-stage rice pests. Their feeding activity directly reduces pest populations and limits their proliferation.</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The strength of the correlation indicates that predator-driven regulation is a key ecological mechanism in paddy ecosystems, contributing to pest suppression without external inputs</w:t>
      </w:r>
      <w:r w:rsidR="00661727" w:rsidRPr="00FF6695">
        <w:rPr>
          <w:rFonts w:ascii="Times New Roman" w:hAnsi="Times New Roman" w:cs="Times New Roman"/>
          <w:sz w:val="24"/>
          <w:szCs w:val="24"/>
        </w:rPr>
        <w:t xml:space="preserve"> (Table </w:t>
      </w:r>
      <w:r w:rsidR="005066CC">
        <w:rPr>
          <w:rFonts w:ascii="Times New Roman" w:hAnsi="Times New Roman" w:cs="Times New Roman"/>
          <w:sz w:val="24"/>
          <w:szCs w:val="24"/>
        </w:rPr>
        <w:t>4</w:t>
      </w:r>
      <w:r w:rsidR="00661727" w:rsidRPr="00FF6695">
        <w:rPr>
          <w:rFonts w:ascii="Times New Roman" w:hAnsi="Times New Roman" w:cs="Times New Roman"/>
          <w:sz w:val="24"/>
          <w:szCs w:val="24"/>
        </w:rPr>
        <w:t>)</w:t>
      </w:r>
      <w:r w:rsidRPr="00FF6695">
        <w:rPr>
          <w:rFonts w:ascii="Times New Roman" w:hAnsi="Times New Roman" w:cs="Times New Roman"/>
          <w:sz w:val="24"/>
          <w:szCs w:val="24"/>
        </w:rPr>
        <w:t>.</w:t>
      </w:r>
    </w:p>
    <w:p w14:paraId="1E6C038E" w14:textId="604CB54D" w:rsidR="003374CA" w:rsidRPr="00FF6695" w:rsidRDefault="003374CA" w:rsidP="00773850">
      <w:pPr>
        <w:spacing w:before="24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 xml:space="preserve">Table </w:t>
      </w:r>
      <w:r w:rsidR="005066CC">
        <w:rPr>
          <w:rFonts w:ascii="Times New Roman" w:hAnsi="Times New Roman" w:cs="Times New Roman"/>
          <w:b/>
          <w:bCs/>
          <w:sz w:val="24"/>
          <w:szCs w:val="24"/>
        </w:rPr>
        <w:t>4</w:t>
      </w:r>
      <w:r w:rsidRPr="00FF6695">
        <w:rPr>
          <w:rFonts w:ascii="Times New Roman" w:hAnsi="Times New Roman" w:cs="Times New Roman"/>
          <w:b/>
          <w:bCs/>
          <w:sz w:val="24"/>
          <w:szCs w:val="24"/>
        </w:rPr>
        <w:t>. Correlation Between Predator Abundance and Pest Density</w:t>
      </w:r>
    </w:p>
    <w:tbl>
      <w:tblPr>
        <w:tblStyle w:val="Tabelgril"/>
        <w:tblW w:w="5000" w:type="pct"/>
        <w:tblLook w:val="04A0" w:firstRow="1" w:lastRow="0" w:firstColumn="1" w:lastColumn="0" w:noHBand="0" w:noVBand="1"/>
      </w:tblPr>
      <w:tblGrid>
        <w:gridCol w:w="6546"/>
        <w:gridCol w:w="2470"/>
      </w:tblGrid>
      <w:tr w:rsidR="003374CA" w:rsidRPr="00FF6695" w14:paraId="43E54B5E" w14:textId="77777777" w:rsidTr="00710431">
        <w:tc>
          <w:tcPr>
            <w:tcW w:w="3525" w:type="pct"/>
            <w:hideMark/>
          </w:tcPr>
          <w:p w14:paraId="30D126AB" w14:textId="77777777" w:rsidR="003374CA" w:rsidRPr="00FF6695" w:rsidRDefault="003374CA" w:rsidP="00773850">
            <w:pPr>
              <w:spacing w:before="240"/>
              <w:rPr>
                <w:rFonts w:ascii="Times New Roman" w:hAnsi="Times New Roman" w:cs="Times New Roman"/>
                <w:b/>
                <w:bCs/>
                <w:sz w:val="24"/>
                <w:szCs w:val="24"/>
              </w:rPr>
            </w:pPr>
            <w:r w:rsidRPr="00FF6695">
              <w:rPr>
                <w:rFonts w:ascii="Times New Roman" w:hAnsi="Times New Roman" w:cs="Times New Roman"/>
                <w:b/>
                <w:bCs/>
                <w:sz w:val="24"/>
                <w:szCs w:val="24"/>
              </w:rPr>
              <w:t>Parameter</w:t>
            </w:r>
          </w:p>
        </w:tc>
        <w:tc>
          <w:tcPr>
            <w:tcW w:w="1330" w:type="pct"/>
            <w:hideMark/>
          </w:tcPr>
          <w:p w14:paraId="62C53DEB" w14:textId="77777777" w:rsidR="003374CA" w:rsidRPr="00FF6695" w:rsidRDefault="003374CA" w:rsidP="00773850">
            <w:pPr>
              <w:spacing w:before="240"/>
              <w:rPr>
                <w:rFonts w:ascii="Times New Roman" w:hAnsi="Times New Roman" w:cs="Times New Roman"/>
                <w:b/>
                <w:bCs/>
                <w:sz w:val="24"/>
                <w:szCs w:val="24"/>
              </w:rPr>
            </w:pPr>
            <w:r w:rsidRPr="00FF6695">
              <w:rPr>
                <w:rFonts w:ascii="Times New Roman" w:hAnsi="Times New Roman" w:cs="Times New Roman"/>
                <w:b/>
                <w:bCs/>
                <w:sz w:val="24"/>
                <w:szCs w:val="24"/>
              </w:rPr>
              <w:t>Value</w:t>
            </w:r>
          </w:p>
        </w:tc>
      </w:tr>
      <w:tr w:rsidR="003374CA" w:rsidRPr="00FF6695" w14:paraId="34E74D17" w14:textId="77777777" w:rsidTr="00710431">
        <w:tc>
          <w:tcPr>
            <w:tcW w:w="3525" w:type="pct"/>
            <w:hideMark/>
          </w:tcPr>
          <w:p w14:paraId="4E893DAC" w14:textId="77777777" w:rsidR="003374CA" w:rsidRPr="00FF6695" w:rsidRDefault="003374CA" w:rsidP="00773850">
            <w:pPr>
              <w:spacing w:before="240"/>
              <w:rPr>
                <w:rFonts w:ascii="Times New Roman" w:hAnsi="Times New Roman" w:cs="Times New Roman"/>
                <w:sz w:val="24"/>
                <w:szCs w:val="24"/>
              </w:rPr>
            </w:pPr>
            <w:r w:rsidRPr="00FF6695">
              <w:rPr>
                <w:rFonts w:ascii="Times New Roman" w:hAnsi="Times New Roman" w:cs="Times New Roman"/>
                <w:sz w:val="24"/>
                <w:szCs w:val="24"/>
              </w:rPr>
              <w:t>Pearson correlation (r)</w:t>
            </w:r>
          </w:p>
        </w:tc>
        <w:tc>
          <w:tcPr>
            <w:tcW w:w="1330" w:type="pct"/>
            <w:hideMark/>
          </w:tcPr>
          <w:p w14:paraId="020FD83D" w14:textId="77777777" w:rsidR="003374CA" w:rsidRPr="00FF6695" w:rsidRDefault="003374CA" w:rsidP="00773850">
            <w:pPr>
              <w:spacing w:before="240"/>
              <w:rPr>
                <w:rFonts w:ascii="Times New Roman" w:hAnsi="Times New Roman" w:cs="Times New Roman"/>
                <w:sz w:val="24"/>
                <w:szCs w:val="24"/>
              </w:rPr>
            </w:pPr>
            <w:r w:rsidRPr="00FF6695">
              <w:rPr>
                <w:rFonts w:ascii="Times New Roman" w:hAnsi="Times New Roman" w:cs="Times New Roman"/>
                <w:sz w:val="24"/>
                <w:szCs w:val="24"/>
              </w:rPr>
              <w:t>–0.72</w:t>
            </w:r>
          </w:p>
        </w:tc>
      </w:tr>
      <w:tr w:rsidR="003374CA" w:rsidRPr="00FF6695" w14:paraId="6F91F32F" w14:textId="77777777" w:rsidTr="00710431">
        <w:tc>
          <w:tcPr>
            <w:tcW w:w="3525" w:type="pct"/>
            <w:hideMark/>
          </w:tcPr>
          <w:p w14:paraId="2885364A" w14:textId="77777777" w:rsidR="003374CA" w:rsidRPr="00FF6695" w:rsidRDefault="003374CA" w:rsidP="00773850">
            <w:pPr>
              <w:spacing w:before="240"/>
              <w:rPr>
                <w:rFonts w:ascii="Times New Roman" w:hAnsi="Times New Roman" w:cs="Times New Roman"/>
                <w:sz w:val="24"/>
                <w:szCs w:val="24"/>
              </w:rPr>
            </w:pPr>
            <w:r w:rsidRPr="00FF6695">
              <w:rPr>
                <w:rFonts w:ascii="Times New Roman" w:hAnsi="Times New Roman" w:cs="Times New Roman"/>
                <w:sz w:val="24"/>
                <w:szCs w:val="24"/>
              </w:rPr>
              <w:t>Significance</w:t>
            </w:r>
          </w:p>
        </w:tc>
        <w:tc>
          <w:tcPr>
            <w:tcW w:w="1330" w:type="pct"/>
            <w:hideMark/>
          </w:tcPr>
          <w:p w14:paraId="19807194" w14:textId="77777777" w:rsidR="003374CA" w:rsidRPr="00FF6695" w:rsidRDefault="003374CA" w:rsidP="00773850">
            <w:pPr>
              <w:spacing w:before="240"/>
              <w:rPr>
                <w:rFonts w:ascii="Times New Roman" w:hAnsi="Times New Roman" w:cs="Times New Roman"/>
                <w:sz w:val="24"/>
                <w:szCs w:val="24"/>
              </w:rPr>
            </w:pPr>
            <w:r w:rsidRPr="00FF6695">
              <w:rPr>
                <w:rFonts w:ascii="Times New Roman" w:hAnsi="Times New Roman" w:cs="Times New Roman"/>
                <w:sz w:val="24"/>
                <w:szCs w:val="24"/>
              </w:rPr>
              <w:t>p &lt; 0.05</w:t>
            </w:r>
          </w:p>
        </w:tc>
      </w:tr>
    </w:tbl>
    <w:p w14:paraId="4D2B49A9" w14:textId="77777777" w:rsidR="003374CA" w:rsidRPr="00FF6695" w:rsidRDefault="003374CA" w:rsidP="00773850">
      <w:pPr>
        <w:spacing w:before="240" w:line="240" w:lineRule="auto"/>
        <w:rPr>
          <w:rFonts w:ascii="Times New Roman" w:hAnsi="Times New Roman" w:cs="Times New Roman"/>
          <w:sz w:val="24"/>
          <w:szCs w:val="24"/>
        </w:rPr>
      </w:pPr>
    </w:p>
    <w:p w14:paraId="10B5AE57" w14:textId="3F8A2359" w:rsidR="003374CA" w:rsidRPr="00FF6695" w:rsidRDefault="00025A39" w:rsidP="00773850">
      <w:pPr>
        <w:spacing w:before="240" w:line="240" w:lineRule="auto"/>
        <w:rPr>
          <w:rFonts w:ascii="Times New Roman" w:hAnsi="Times New Roman" w:cs="Times New Roman"/>
          <w:sz w:val="24"/>
          <w:szCs w:val="24"/>
        </w:rPr>
      </w:pPr>
      <w:r>
        <w:rPr>
          <w:rFonts w:ascii="Times New Roman" w:hAnsi="Times New Roman" w:cs="Times New Roman"/>
          <w:b/>
          <w:bCs/>
          <w:sz w:val="24"/>
          <w:szCs w:val="24"/>
        </w:rPr>
        <w:t xml:space="preserve">3.7 </w:t>
      </w:r>
      <w:r w:rsidR="003374CA" w:rsidRPr="00FF6695">
        <w:rPr>
          <w:rFonts w:ascii="Times New Roman" w:hAnsi="Times New Roman" w:cs="Times New Roman"/>
          <w:b/>
          <w:bCs/>
          <w:sz w:val="24"/>
          <w:szCs w:val="24"/>
        </w:rPr>
        <w:t xml:space="preserve">Role of Aquatic Insects in Pest Regulation: </w:t>
      </w:r>
      <w:r w:rsidR="003374CA" w:rsidRPr="00FF6695">
        <w:rPr>
          <w:rFonts w:ascii="Times New Roman" w:hAnsi="Times New Roman" w:cs="Times New Roman"/>
          <w:sz w:val="24"/>
          <w:szCs w:val="24"/>
        </w:rPr>
        <w:t>The results clearly demonstrate that aquatic insects play a crucial role in regulating pest populations in paddy fields, thereby contributing to ecosystem stability and agricultural sustainability.</w:t>
      </w:r>
    </w:p>
    <w:p w14:paraId="70F4CF88" w14:textId="7A027AA8" w:rsidR="003A0E08" w:rsidRPr="00FF6695" w:rsidRDefault="003374CA" w:rsidP="00B410B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During the vegetative stage, the relatively low abundance of predators allows pest populations to increase rapidly. However, as the crop progresses to the reproductive stage, the aquatic environment becomes more stable, supporting higher diversity and abundance of predatory insects.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This increase in predator populations leads to effective suppression of pests, particularly mosquito larvae and early instars of rice pests. The continuous predation pressure exerted by aquatic insects prevents pest outbreaks and maintains population balance.</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Furthermore, fields with lower pesticide input exhibited higher predator diversity and more effective pest regulation, indicating that chemical disturbances negatively impact natural control mechanisms.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The coexistence of multiple functional groups suggests the presence of a well-integrated trophic system, where collectors recycle organic matter, grazers regulate primary productivity, and predators control herbivore populations.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Such ecological interactions enhance ecosystem resilience, productivity, and sustainability, highlighting the importance of conserving aquatic insect biodiversity in rice agroecosystems</w:t>
      </w:r>
      <w:r w:rsidR="00B410B7">
        <w:rPr>
          <w:rFonts w:ascii="Times New Roman" w:hAnsi="Times New Roman" w:cs="Times New Roman"/>
          <w:sz w:val="24"/>
          <w:szCs w:val="24"/>
        </w:rPr>
        <w:t xml:space="preserve"> (Table </w:t>
      </w:r>
      <w:r w:rsidR="005066CC">
        <w:rPr>
          <w:rFonts w:ascii="Times New Roman" w:hAnsi="Times New Roman" w:cs="Times New Roman"/>
          <w:sz w:val="24"/>
          <w:szCs w:val="24"/>
        </w:rPr>
        <w:t>5</w:t>
      </w:r>
      <w:r w:rsidR="00B410B7">
        <w:rPr>
          <w:rFonts w:ascii="Times New Roman" w:hAnsi="Times New Roman" w:cs="Times New Roman"/>
          <w:sz w:val="24"/>
          <w:szCs w:val="24"/>
        </w:rPr>
        <w:t>)</w:t>
      </w:r>
      <w:r w:rsidRPr="00FF6695">
        <w:rPr>
          <w:rFonts w:ascii="Times New Roman" w:hAnsi="Times New Roman" w:cs="Times New Roman"/>
          <w:sz w:val="24"/>
          <w:szCs w:val="24"/>
        </w:rPr>
        <w:t>.</w:t>
      </w:r>
    </w:p>
    <w:p w14:paraId="2D1319E2" w14:textId="77777777" w:rsidR="00B410B7" w:rsidRDefault="00B410B7" w:rsidP="00773850">
      <w:pPr>
        <w:spacing w:before="240" w:line="240" w:lineRule="auto"/>
        <w:jc w:val="center"/>
        <w:rPr>
          <w:rFonts w:ascii="Times New Roman" w:hAnsi="Times New Roman" w:cs="Times New Roman"/>
          <w:b/>
          <w:bCs/>
          <w:sz w:val="24"/>
          <w:szCs w:val="24"/>
        </w:rPr>
      </w:pPr>
    </w:p>
    <w:p w14:paraId="06DBBB20" w14:textId="46614CAB" w:rsidR="000862A3" w:rsidRPr="00FF6695" w:rsidRDefault="000862A3" w:rsidP="00773850">
      <w:pPr>
        <w:spacing w:before="24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 xml:space="preserve">Table </w:t>
      </w:r>
      <w:r w:rsidR="005066CC">
        <w:rPr>
          <w:rFonts w:ascii="Times New Roman" w:hAnsi="Times New Roman" w:cs="Times New Roman"/>
          <w:b/>
          <w:bCs/>
          <w:sz w:val="24"/>
          <w:szCs w:val="24"/>
        </w:rPr>
        <w:t>5</w:t>
      </w:r>
      <w:r w:rsidRPr="00FF6695">
        <w:rPr>
          <w:rFonts w:ascii="Times New Roman" w:hAnsi="Times New Roman" w:cs="Times New Roman"/>
          <w:b/>
          <w:bCs/>
          <w:sz w:val="24"/>
          <w:szCs w:val="24"/>
        </w:rPr>
        <w:t xml:space="preserve">. Mean abundance of aquatic insects (total individuals m⁻²) and predatory aquatic insects across crop growth stages in paddy fields of </w:t>
      </w:r>
      <w:r w:rsidR="0064595F">
        <w:rPr>
          <w:rFonts w:ascii="Times New Roman" w:hAnsi="Times New Roman" w:cs="Times New Roman"/>
          <w:b/>
          <w:bCs/>
          <w:sz w:val="24"/>
          <w:szCs w:val="24"/>
        </w:rPr>
        <w:t>Kerchipally</w:t>
      </w:r>
      <w:r w:rsidRPr="00FF6695">
        <w:rPr>
          <w:rFonts w:ascii="Times New Roman" w:hAnsi="Times New Roman" w:cs="Times New Roman"/>
          <w:b/>
          <w:bCs/>
          <w:sz w:val="24"/>
          <w:szCs w:val="24"/>
        </w:rPr>
        <w:t xml:space="preserve"> and </w:t>
      </w:r>
      <w:r w:rsidR="0064595F">
        <w:rPr>
          <w:rFonts w:ascii="Times New Roman" w:hAnsi="Times New Roman" w:cs="Times New Roman"/>
          <w:b/>
          <w:bCs/>
          <w:sz w:val="24"/>
          <w:szCs w:val="24"/>
        </w:rPr>
        <w:t>Velvarthi</w:t>
      </w:r>
      <w:r w:rsidRPr="00FF6695">
        <w:rPr>
          <w:rFonts w:ascii="Times New Roman" w:hAnsi="Times New Roman" w:cs="Times New Roman"/>
          <w:b/>
          <w:bCs/>
          <w:sz w:val="24"/>
          <w:szCs w:val="24"/>
        </w:rPr>
        <w:t xml:space="preserve"> villages (mean ± SE, n = 30 quadrats per stage)</w:t>
      </w:r>
    </w:p>
    <w:tbl>
      <w:tblPr>
        <w:tblStyle w:val="Tabelgril"/>
        <w:tblW w:w="5000" w:type="pct"/>
        <w:tblLook w:val="04A0" w:firstRow="1" w:lastRow="0" w:firstColumn="1" w:lastColumn="0" w:noHBand="0" w:noVBand="1"/>
      </w:tblPr>
      <w:tblGrid>
        <w:gridCol w:w="1509"/>
        <w:gridCol w:w="2431"/>
        <w:gridCol w:w="2624"/>
        <w:gridCol w:w="2452"/>
      </w:tblGrid>
      <w:tr w:rsidR="000862A3" w:rsidRPr="00FF6695" w14:paraId="1BCB7588" w14:textId="77777777" w:rsidTr="00B410B7">
        <w:tc>
          <w:tcPr>
            <w:tcW w:w="837" w:type="pct"/>
            <w:vAlign w:val="center"/>
            <w:hideMark/>
          </w:tcPr>
          <w:p w14:paraId="5098DA67" w14:textId="77777777" w:rsidR="000862A3" w:rsidRPr="00FF6695" w:rsidRDefault="000862A3"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Crop Stage</w:t>
            </w:r>
          </w:p>
        </w:tc>
        <w:tc>
          <w:tcPr>
            <w:tcW w:w="1348" w:type="pct"/>
            <w:vAlign w:val="center"/>
            <w:hideMark/>
          </w:tcPr>
          <w:p w14:paraId="12FF81C7" w14:textId="77777777" w:rsidR="000862A3" w:rsidRPr="00FF6695" w:rsidRDefault="000862A3"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Total aquatic insects (individuals m⁻²)</w:t>
            </w:r>
          </w:p>
        </w:tc>
        <w:tc>
          <w:tcPr>
            <w:tcW w:w="1455" w:type="pct"/>
            <w:vAlign w:val="center"/>
            <w:hideMark/>
          </w:tcPr>
          <w:p w14:paraId="6F227965" w14:textId="77777777" w:rsidR="000862A3" w:rsidRPr="00FF6695" w:rsidRDefault="000862A3"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Predatory aquatic insects (individuals m⁻²)</w:t>
            </w:r>
          </w:p>
        </w:tc>
        <w:tc>
          <w:tcPr>
            <w:tcW w:w="1360" w:type="pct"/>
            <w:vAlign w:val="center"/>
            <w:hideMark/>
          </w:tcPr>
          <w:p w14:paraId="18980A2F" w14:textId="77777777" w:rsidR="000862A3" w:rsidRPr="00FF6695" w:rsidRDefault="000862A3"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Notes / Remarks</w:t>
            </w:r>
          </w:p>
        </w:tc>
      </w:tr>
      <w:tr w:rsidR="000862A3" w:rsidRPr="00FF6695" w14:paraId="103B1159" w14:textId="77777777" w:rsidTr="00B410B7">
        <w:tc>
          <w:tcPr>
            <w:tcW w:w="837" w:type="pct"/>
            <w:vAlign w:val="center"/>
            <w:hideMark/>
          </w:tcPr>
          <w:p w14:paraId="6768AEAE"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Vegetative</w:t>
            </w:r>
          </w:p>
        </w:tc>
        <w:tc>
          <w:tcPr>
            <w:tcW w:w="1348" w:type="pct"/>
            <w:vAlign w:val="center"/>
            <w:hideMark/>
          </w:tcPr>
          <w:p w14:paraId="360245F8"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145 ± 12.4</w:t>
            </w:r>
          </w:p>
        </w:tc>
        <w:tc>
          <w:tcPr>
            <w:tcW w:w="1455" w:type="pct"/>
            <w:vAlign w:val="center"/>
            <w:hideMark/>
          </w:tcPr>
          <w:p w14:paraId="1042FF22"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28 ± 4.1</w:t>
            </w:r>
          </w:p>
        </w:tc>
        <w:tc>
          <w:tcPr>
            <w:tcW w:w="1360" w:type="pct"/>
            <w:vAlign w:val="center"/>
            <w:hideMark/>
          </w:tcPr>
          <w:p w14:paraId="75426C21"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Lowest predator numbers; high pest density</w:t>
            </w:r>
          </w:p>
        </w:tc>
      </w:tr>
      <w:tr w:rsidR="000862A3" w:rsidRPr="00FF6695" w14:paraId="5BD6C420" w14:textId="77777777" w:rsidTr="00B410B7">
        <w:tc>
          <w:tcPr>
            <w:tcW w:w="837" w:type="pct"/>
            <w:vAlign w:val="center"/>
            <w:hideMark/>
          </w:tcPr>
          <w:p w14:paraId="4515316A"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lastRenderedPageBreak/>
              <w:t>Reproductive</w:t>
            </w:r>
          </w:p>
        </w:tc>
        <w:tc>
          <w:tcPr>
            <w:tcW w:w="1348" w:type="pct"/>
            <w:vAlign w:val="center"/>
            <w:hideMark/>
          </w:tcPr>
          <w:p w14:paraId="59157E2E"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218 ± 15.7</w:t>
            </w:r>
          </w:p>
        </w:tc>
        <w:tc>
          <w:tcPr>
            <w:tcW w:w="1455" w:type="pct"/>
            <w:vAlign w:val="center"/>
            <w:hideMark/>
          </w:tcPr>
          <w:p w14:paraId="2896A046"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62 ± 6.3</w:t>
            </w:r>
          </w:p>
        </w:tc>
        <w:tc>
          <w:tcPr>
            <w:tcW w:w="1360" w:type="pct"/>
            <w:vAlign w:val="center"/>
            <w:hideMark/>
          </w:tcPr>
          <w:p w14:paraId="358F770B"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Peak diversity and predator abundance</w:t>
            </w:r>
          </w:p>
        </w:tc>
      </w:tr>
      <w:tr w:rsidR="000862A3" w:rsidRPr="00FF6695" w14:paraId="79587D85" w14:textId="77777777" w:rsidTr="00B410B7">
        <w:tc>
          <w:tcPr>
            <w:tcW w:w="837" w:type="pct"/>
            <w:vAlign w:val="center"/>
            <w:hideMark/>
          </w:tcPr>
          <w:p w14:paraId="592EE560"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Harvesting</w:t>
            </w:r>
          </w:p>
        </w:tc>
        <w:tc>
          <w:tcPr>
            <w:tcW w:w="1348" w:type="pct"/>
            <w:vAlign w:val="center"/>
            <w:hideMark/>
          </w:tcPr>
          <w:p w14:paraId="77228756"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162 ± 11.9</w:t>
            </w:r>
          </w:p>
        </w:tc>
        <w:tc>
          <w:tcPr>
            <w:tcW w:w="1455" w:type="pct"/>
            <w:vAlign w:val="center"/>
            <w:hideMark/>
          </w:tcPr>
          <w:p w14:paraId="02AEEAED"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45 ± 5.2</w:t>
            </w:r>
          </w:p>
        </w:tc>
        <w:tc>
          <w:tcPr>
            <w:tcW w:w="1360" w:type="pct"/>
            <w:vAlign w:val="center"/>
            <w:hideMark/>
          </w:tcPr>
          <w:p w14:paraId="0B77432B"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Moderate decline as water levels reduced</w:t>
            </w:r>
          </w:p>
        </w:tc>
      </w:tr>
    </w:tbl>
    <w:p w14:paraId="77CE0E9A" w14:textId="77777777" w:rsidR="000862A3" w:rsidRPr="00FF6695" w:rsidRDefault="000862A3" w:rsidP="00773850">
      <w:pPr>
        <w:spacing w:before="240" w:line="240" w:lineRule="auto"/>
        <w:jc w:val="center"/>
        <w:rPr>
          <w:rFonts w:ascii="Times New Roman" w:hAnsi="Times New Roman" w:cs="Times New Roman"/>
          <w:sz w:val="24"/>
          <w:szCs w:val="24"/>
        </w:rPr>
      </w:pPr>
    </w:p>
    <w:p w14:paraId="13CDB955" w14:textId="0A54BE70" w:rsidR="000862A3" w:rsidRPr="00FF6695" w:rsidRDefault="000862A3" w:rsidP="00B410B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Predator abundance increased substantially from the vegetative stage (28 ± 4.1 individuals m⁻²) to the reproductive stage (62 ± 6.3 individuals m⁻²), coinciding with peak species diversity and the lowest pest density. This pattern supports the observed negative correlation (r = –0.72, p &lt; 0.05) and underscores the role of predatory aquatic insects in natural pest suppression during the most vulnerable crop phases</w:t>
      </w:r>
      <w:r w:rsidR="00661727" w:rsidRPr="00FF6695">
        <w:rPr>
          <w:rFonts w:ascii="Times New Roman" w:hAnsi="Times New Roman" w:cs="Times New Roman"/>
          <w:sz w:val="24"/>
          <w:szCs w:val="24"/>
        </w:rPr>
        <w:t xml:space="preserve"> (Table 7)</w:t>
      </w:r>
      <w:r w:rsidRPr="00FF6695">
        <w:rPr>
          <w:rFonts w:ascii="Times New Roman" w:hAnsi="Times New Roman" w:cs="Times New Roman"/>
          <w:sz w:val="24"/>
          <w:szCs w:val="24"/>
        </w:rPr>
        <w:t>.</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Values represent means (± standard error) from 30 quadrats per stage (3 fields × 2 villages × 5 quadrats, sampled biweekly). Predatory insects include all predator-assigned taxa from Table 1 (primarily Hemiptera, Coleoptera, Odonata nymphs, and Sepedon sp.). Total aquatic insects include collectors, predators, and grazers. These data support the calculation of diversity indices (Table 3) and the Pearson correlation (r = –0.72, p &lt; 0.05) between predator abundance and pest density (Table 6).</w:t>
      </w:r>
    </w:p>
    <w:p w14:paraId="03F80E75" w14:textId="1A1FAFA7" w:rsidR="006B402F" w:rsidRPr="00FF6695" w:rsidRDefault="000C6F94"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6B402F" w:rsidRPr="00FF6695">
        <w:rPr>
          <w:rFonts w:ascii="Times New Roman" w:hAnsi="Times New Roman" w:cs="Times New Roman"/>
          <w:b/>
          <w:bCs/>
          <w:sz w:val="24"/>
          <w:szCs w:val="24"/>
        </w:rPr>
        <w:t>DISCUSSION</w:t>
      </w:r>
    </w:p>
    <w:p w14:paraId="5E4F599F" w14:textId="49642E9A"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present study provides a comprehensive understanding of aquatic insect diversity and their ecological role in pest regulation within paddy agroecosystems of semi-arid Telangana. The documentation of 4</w:t>
      </w:r>
      <w:r w:rsidR="00142541" w:rsidRPr="00FF6695">
        <w:rPr>
          <w:rFonts w:ascii="Times New Roman" w:hAnsi="Times New Roman" w:cs="Times New Roman"/>
          <w:sz w:val="24"/>
          <w:szCs w:val="24"/>
        </w:rPr>
        <w:t>0</w:t>
      </w:r>
      <w:r w:rsidRPr="00FF6695">
        <w:rPr>
          <w:rFonts w:ascii="Times New Roman" w:hAnsi="Times New Roman" w:cs="Times New Roman"/>
          <w:sz w:val="24"/>
          <w:szCs w:val="24"/>
        </w:rPr>
        <w:t xml:space="preserve"> species belonging to 5 orders and 18 families indicates that rice fields function as ecologically dynamic temporary wetlands, capable of supporting diverse aquatic communities. Similar findings have been reported in tropical rice ecosystems, where the combination of standing water, organic matter, and vegetation creates suitable microhabitats for aquatic insects (Lawler, 2001; Bambaradeniya &amp; Amerasinghe, 2003).</w:t>
      </w:r>
    </w:p>
    <w:p w14:paraId="4C0EE22F" w14:textId="2CCE253D" w:rsidR="006B402F" w:rsidRPr="00FF6695" w:rsidRDefault="006B402F" w:rsidP="00E32216">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dominance of Diptera (38.1%) observed in the present study is consistent with earlier reports, which highlight that dipteran larvae are highly adaptable to nutrient-rich, low-oxygen, and fluctuating aquatic environments (Batzer &amp; Wissinger, 1996; Merritt et al., 2008). Their rapid life cycles and high reproductive potential enable them to colonize temporary habitats such as paddy fields efficiently. Furthermore, dipterans play a key role in detritus processing and nutrient cycling, thereby contributing to ecosystem productivity (Dudgeon et al., 2006).</w:t>
      </w:r>
      <w:r w:rsidR="00E32216">
        <w:rPr>
          <w:rFonts w:ascii="Times New Roman" w:hAnsi="Times New Roman" w:cs="Times New Roman"/>
          <w:sz w:val="24"/>
          <w:szCs w:val="24"/>
        </w:rPr>
        <w:t xml:space="preserve"> </w:t>
      </w:r>
      <w:r w:rsidRPr="00FF6695">
        <w:rPr>
          <w:rFonts w:ascii="Times New Roman" w:hAnsi="Times New Roman" w:cs="Times New Roman"/>
          <w:sz w:val="24"/>
          <w:szCs w:val="24"/>
        </w:rPr>
        <w:t>Hemiptera and Coleoptera together constituted a significant proportion of the aquatic insect community and were predominantly represented by predatory taxa, including Notonectidae, Gerridae, Belostomatidae, and Dytiscidae. The presence of these taxa indicates the establishment of a well-developed predator guild, which is essential for maintaining trophic balance. Similar observations have been reported by Settle et al. (1996), who demonstrated that generalist predators in rice fields effectively regulate pest populations and prevent pest outbreaks.</w:t>
      </w:r>
      <w:r w:rsidR="00E32216">
        <w:rPr>
          <w:rFonts w:ascii="Times New Roman" w:hAnsi="Times New Roman" w:cs="Times New Roman"/>
          <w:sz w:val="24"/>
          <w:szCs w:val="24"/>
        </w:rPr>
        <w:t xml:space="preserve"> </w:t>
      </w:r>
      <w:r w:rsidRPr="00FF6695">
        <w:rPr>
          <w:rFonts w:ascii="Times New Roman" w:hAnsi="Times New Roman" w:cs="Times New Roman"/>
          <w:sz w:val="24"/>
          <w:szCs w:val="24"/>
        </w:rPr>
        <w:t>The occurrence of Odonata nymphs, which function as top invertebrate predators, further indicates the presence of a structured trophic hierarchy within the ecosystem. Their continuous presence across crop stages suggests stable aquatic conditions and sufficient prey availability, which are necessary for sustaining higher trophic levels (Corbet, 1999). In addition, the presence of Ephemeroptera, though limited, indicates relatively good water quality, as many mayfly species are sensitive to environmental disturbances and pollution (Dudgeon et al., 2006).</w:t>
      </w:r>
    </w:p>
    <w:p w14:paraId="395D9693" w14:textId="2F602AE1" w:rsidR="006B402F" w:rsidRPr="00FF6695" w:rsidRDefault="006B402F" w:rsidP="00E32216">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lastRenderedPageBreak/>
        <w:t xml:space="preserve">The variation in diversity indices across crop growth stages reflects the influence of habitat dynamics on aquatic insect communities. The highest diversity observed during the reproductive stage (H′ = 3.12) suggests that this stage provides optimal conditions in terms of water stability, vegetation complexity, and resource availability. </w:t>
      </w:r>
      <w:r w:rsidR="000924FD" w:rsidRPr="00FF6695">
        <w:rPr>
          <w:rFonts w:ascii="Times New Roman" w:hAnsi="Times New Roman" w:cs="Times New Roman"/>
          <w:sz w:val="24"/>
          <w:szCs w:val="24"/>
        </w:rPr>
        <w:t>Similar patterns have been documented in rice ecosystems, where biodiversity peaks during intermediate crop stages due to balanced environmental conditions (Ali et al., 2019; Gurr et al., 2017; Kumar et al., 2022).</w:t>
      </w:r>
      <w:r w:rsidR="00E32216">
        <w:rPr>
          <w:rFonts w:ascii="Times New Roman" w:hAnsi="Times New Roman" w:cs="Times New Roman"/>
          <w:sz w:val="24"/>
          <w:szCs w:val="24"/>
        </w:rPr>
        <w:t xml:space="preserve"> </w:t>
      </w:r>
      <w:r w:rsidRPr="00FF6695">
        <w:rPr>
          <w:rFonts w:ascii="Times New Roman" w:hAnsi="Times New Roman" w:cs="Times New Roman"/>
          <w:sz w:val="24"/>
          <w:szCs w:val="24"/>
        </w:rPr>
        <w:t>The lower diversity recorded during the vegetative stage may be attributed to frequent disturbances, including land preparation, water fluctuations, and pesticide application, which hinder colonization by sensitive species. The subsequent decline in diversity during the harvesting stage can be explained by reduction in water levels and habitat degradation, leading to the loss or migration of aquatic organisms. Such stage-wise variations in diversity are commonly reported in agroecosystems and reflect the dynamic nature of rice field habitats (Heckman, 1979).</w:t>
      </w:r>
    </w:p>
    <w:p w14:paraId="56665D71" w14:textId="6604EAE8" w:rsidR="006B402F" w:rsidRPr="00FF6695" w:rsidRDefault="00193C10"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Functional feeding group analysis revealed the dominance of collectors (40 %), followed by predators (47.5 %) and grazers (12.5 %)</w:t>
      </w:r>
      <w:r w:rsidR="006B402F" w:rsidRPr="00FF6695">
        <w:rPr>
          <w:rFonts w:ascii="Times New Roman" w:hAnsi="Times New Roman" w:cs="Times New Roman"/>
          <w:sz w:val="24"/>
          <w:szCs w:val="24"/>
        </w:rPr>
        <w:t>, indicating a detritus-based ecosystem structure. The high proportion of collectors suggests the abundance of organic matter derived from plant residues and soil inputs. This finding aligns with the ecological framework proposed by Merritt et al. (2008), which emphasizes the importance of detritivores in nutrient cycling and energy flow in freshwater ecosystems.</w:t>
      </w:r>
    </w:p>
    <w:p w14:paraId="301BA24D"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substantial representation of predatory insects highlights their ecological significance in regulating prey populations and maintaining trophic balance. The coexistence of multiple functional groups indicates a well-structured and functionally efficient ecosystem, where different trophic levels interact to sustain ecological stability.</w:t>
      </w:r>
    </w:p>
    <w:p w14:paraId="2F2E2D2E"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temporal variation in pest populations observed in the present study provides strong evidence for natural pest regulation by aquatic insects. The high pest density recorded during the vegetative stage corresponds with low predator abundance, suggesting limited biotic control at the initial stages of crop growth. However, as predator populations increased during the reproductive stage, a marked decline in pest density was observed, indicating effective top-down control.</w:t>
      </w:r>
    </w:p>
    <w:p w14:paraId="198802F3"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The statistically significant negative correlation (r = –0.72, p &lt; 0.05) between predator abundance and pest density further supports the hypothesis that aquatic insects act as biological control agents. Similar relationships have been reported in rice ecosystems, where increased predator diversity leads to reduced pest populations and improved crop productivity </w:t>
      </w:r>
      <w:r w:rsidRPr="00FF6695">
        <w:rPr>
          <w:rFonts w:ascii="Times New Roman" w:hAnsi="Times New Roman" w:cs="Times New Roman"/>
          <w:b/>
          <w:bCs/>
          <w:sz w:val="24"/>
          <w:szCs w:val="24"/>
        </w:rPr>
        <w:t>(</w:t>
      </w:r>
      <w:r w:rsidRPr="00FF6695">
        <w:rPr>
          <w:rFonts w:ascii="Times New Roman" w:hAnsi="Times New Roman" w:cs="Times New Roman"/>
          <w:sz w:val="24"/>
          <w:szCs w:val="24"/>
        </w:rPr>
        <w:t>Settle et al., 1996; Way &amp; Heong, 1994).</w:t>
      </w:r>
    </w:p>
    <w:p w14:paraId="11E5D176"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Predatory taxa such as Notonectidae, Dytiscidae, and Odonata nymphs were found to be particularly effective in suppressing mosquito larvae and early-stage rice pests. Their continuous predation pressure prevents pest population buildup and contributes to ecosystem resilience. These findings emphasize the importance of conserving natural enemy populations in rice fields to enhance biological control.</w:t>
      </w:r>
    </w:p>
    <w:p w14:paraId="38A163A6"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study also highlights the negative impact of pesticide use on aquatic insect diversity and pest regulation. Fields with lower pesticide input exhibited higher predator abundance and more effective pest suppression, supporting previous findings that chemical disturbances reduce biodiversity and disrupt ecosystem services (Geiger et al., 2010; Sánchez-Bayo &amp; Wyckhuys, 2019). Therefore, reducing pesticide use and adopting biodiversity-based pest management strategies is essential for sustainable agriculture.</w:t>
      </w:r>
    </w:p>
    <w:p w14:paraId="2278B198"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lastRenderedPageBreak/>
        <w:t>Recent approaches such as ecological engineering, including habitat diversification and conservation of natural enemies, have been shown to enhance ecosystem services in rice fields (Gurr et al., 2017; Ali et al., 2019). Integrating such approaches with traditional farming practices can improve pest management while maintaining ecological balance.</w:t>
      </w:r>
    </w:p>
    <w:p w14:paraId="0B41E957"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Overall, the findings of the present study demonstrate that aquatic insects play a vital role in biodiversity conservation, nutrient cycling, and natural pest regulation in rice agroecosystems. Their conservation is essential for promoting sustainable, environmentally friendly agricultural practices, particularly in semi-arid regions where ecological resilience is critical.</w:t>
      </w:r>
    </w:p>
    <w:p w14:paraId="6F1BDE19" w14:textId="3EC927B7" w:rsidR="00A94033" w:rsidRPr="00FF6695" w:rsidRDefault="000C6F94"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A94033" w:rsidRPr="00FF6695">
        <w:rPr>
          <w:rFonts w:ascii="Times New Roman" w:hAnsi="Times New Roman" w:cs="Times New Roman"/>
          <w:b/>
          <w:bCs/>
          <w:sz w:val="24"/>
          <w:szCs w:val="24"/>
        </w:rPr>
        <w:t>CONCLUSION</w:t>
      </w:r>
    </w:p>
    <w:p w14:paraId="36179921" w14:textId="420FDB72" w:rsidR="008A5024" w:rsidRDefault="00A94033" w:rsidP="00773850">
      <w:pPr>
        <w:spacing w:before="240" w:line="240" w:lineRule="auto"/>
        <w:jc w:val="both"/>
        <w:rPr>
          <w:rFonts w:ascii="Times New Roman" w:hAnsi="Times New Roman" w:cs="Times New Roman"/>
          <w:sz w:val="24"/>
          <w:szCs w:val="24"/>
        </w:rPr>
      </w:pPr>
      <w:r w:rsidRPr="00FF6695">
        <w:rPr>
          <w:rFonts w:ascii="Times New Roman" w:hAnsi="Times New Roman" w:cs="Times New Roman"/>
          <w:sz w:val="24"/>
          <w:szCs w:val="24"/>
        </w:rPr>
        <w:t xml:space="preserve">The present study demonstrates that paddy agroecosystems of </w:t>
      </w:r>
      <w:r w:rsidR="0064595F">
        <w:rPr>
          <w:rFonts w:ascii="Times New Roman" w:hAnsi="Times New Roman" w:cs="Times New Roman"/>
          <w:sz w:val="24"/>
          <w:szCs w:val="24"/>
        </w:rPr>
        <w:t>Kerchipally</w:t>
      </w:r>
      <w:r w:rsidRPr="00FF6695">
        <w:rPr>
          <w:rFonts w:ascii="Times New Roman" w:hAnsi="Times New Roman" w:cs="Times New Roman"/>
          <w:sz w:val="24"/>
          <w:szCs w:val="24"/>
        </w:rPr>
        <w:t xml:space="preserve"> and </w:t>
      </w:r>
      <w:r w:rsidR="0064595F">
        <w:rPr>
          <w:rFonts w:ascii="Times New Roman" w:hAnsi="Times New Roman" w:cs="Times New Roman"/>
          <w:sz w:val="24"/>
          <w:szCs w:val="24"/>
        </w:rPr>
        <w:t>Velvarthi</w:t>
      </w:r>
      <w:r w:rsidRPr="00FF6695">
        <w:rPr>
          <w:rFonts w:ascii="Times New Roman" w:hAnsi="Times New Roman" w:cs="Times New Roman"/>
          <w:sz w:val="24"/>
          <w:szCs w:val="24"/>
        </w:rPr>
        <w:t xml:space="preserve"> villages support a diverse assemblage of aquatic insects, comprising 4</w:t>
      </w:r>
      <w:r w:rsidR="0077413A" w:rsidRPr="00FF6695">
        <w:rPr>
          <w:rFonts w:ascii="Times New Roman" w:hAnsi="Times New Roman" w:cs="Times New Roman"/>
          <w:sz w:val="24"/>
          <w:szCs w:val="24"/>
        </w:rPr>
        <w:t>0</w:t>
      </w:r>
      <w:r w:rsidRPr="00FF6695">
        <w:rPr>
          <w:rFonts w:ascii="Times New Roman" w:hAnsi="Times New Roman" w:cs="Times New Roman"/>
          <w:sz w:val="24"/>
          <w:szCs w:val="24"/>
        </w:rPr>
        <w:t xml:space="preserve"> species across multiple taxonomic groups. The observed diversity and community structure indicate that rice fields function as dynamic freshwater habitats capable of sustaining complex trophic interactions.</w:t>
      </w:r>
      <w:r w:rsidR="00E32216">
        <w:rPr>
          <w:rFonts w:ascii="Times New Roman" w:hAnsi="Times New Roman" w:cs="Times New Roman"/>
          <w:sz w:val="24"/>
          <w:szCs w:val="24"/>
        </w:rPr>
        <w:t xml:space="preserve"> </w:t>
      </w:r>
      <w:r w:rsidRPr="00FF6695">
        <w:rPr>
          <w:rFonts w:ascii="Times New Roman" w:hAnsi="Times New Roman" w:cs="Times New Roman"/>
          <w:sz w:val="24"/>
          <w:szCs w:val="24"/>
        </w:rPr>
        <w:t>The dominance of collectors reflects the detritus-rich nature of the ecosystem, while the substantial presence of predatory taxa highlights their crucial role in regulating pest populations. The significant negative relationship between predator abundance and pest density confirms that aquatic insects serve as effective natural biological control agents in rice agroecosystems.</w:t>
      </w:r>
      <w:r w:rsidR="00ED1DD9" w:rsidRPr="00FF6695">
        <w:rPr>
          <w:rFonts w:ascii="Times New Roman" w:hAnsi="Times New Roman" w:cs="Times New Roman"/>
          <w:sz w:val="24"/>
          <w:szCs w:val="24"/>
        </w:rPr>
        <w:t xml:space="preserve"> </w:t>
      </w:r>
      <w:r w:rsidRPr="00FF6695">
        <w:rPr>
          <w:rFonts w:ascii="Times New Roman" w:hAnsi="Times New Roman" w:cs="Times New Roman"/>
          <w:sz w:val="24"/>
          <w:szCs w:val="24"/>
        </w:rPr>
        <w:t>Variation in diversity across crop growth stages underscores the influence of habitat conditions and agricultural practices on aquatic communities. The findings clearly indicate that conservation of aquatic insect diversity, particularly predatory species, can enhance natural pest regulation and reduce dependence on chemical pesticides.</w:t>
      </w:r>
      <w:r w:rsidR="00ED1DD9" w:rsidRPr="00FF6695">
        <w:rPr>
          <w:rFonts w:ascii="Times New Roman" w:hAnsi="Times New Roman" w:cs="Times New Roman"/>
          <w:sz w:val="24"/>
          <w:szCs w:val="24"/>
        </w:rPr>
        <w:t xml:space="preserve"> </w:t>
      </w:r>
      <w:r w:rsidRPr="00FF6695">
        <w:rPr>
          <w:rFonts w:ascii="Times New Roman" w:hAnsi="Times New Roman" w:cs="Times New Roman"/>
          <w:sz w:val="24"/>
          <w:szCs w:val="24"/>
        </w:rPr>
        <w:t>Overall, the study emphasizes the importance of adopting biodiversity-based management practices, including reduced pesticide use and ecological habitat management, to promote sustainable rice production and maintain ecological balance in agroecosystems.</w:t>
      </w:r>
      <w:r w:rsidR="00ED1DD9" w:rsidRPr="00FF6695">
        <w:rPr>
          <w:rFonts w:ascii="Times New Roman" w:hAnsi="Times New Roman" w:cs="Times New Roman"/>
          <w:sz w:val="24"/>
          <w:szCs w:val="24"/>
        </w:rPr>
        <w:t xml:space="preserve"> </w:t>
      </w:r>
      <w:r w:rsidR="008A5024" w:rsidRPr="00FF6695">
        <w:rPr>
          <w:rFonts w:ascii="Times New Roman" w:hAnsi="Times New Roman" w:cs="Times New Roman"/>
          <w:sz w:val="24"/>
          <w:szCs w:val="24"/>
        </w:rPr>
        <w:t>The study provides a scientific basis for integrating aquatic biodiversity conservation into sustainable rice production systems</w:t>
      </w:r>
    </w:p>
    <w:p w14:paraId="510F5BF8" w14:textId="77777777" w:rsidR="009661E9" w:rsidRPr="009661E9" w:rsidRDefault="009661E9" w:rsidP="00773850">
      <w:pPr>
        <w:spacing w:before="240" w:line="240" w:lineRule="auto"/>
        <w:jc w:val="both"/>
        <w:rPr>
          <w:rFonts w:ascii="Times New Roman" w:hAnsi="Times New Roman" w:cs="Times New Roman"/>
          <w:b/>
          <w:bCs/>
          <w:sz w:val="28"/>
          <w:szCs w:val="28"/>
        </w:rPr>
      </w:pPr>
      <w:r w:rsidRPr="009661E9">
        <w:rPr>
          <w:rFonts w:ascii="Times New Roman" w:hAnsi="Times New Roman" w:cs="Times New Roman"/>
          <w:b/>
          <w:bCs/>
          <w:sz w:val="28"/>
          <w:szCs w:val="28"/>
        </w:rPr>
        <w:t>Disclaimer (Artificial Intelligence)</w:t>
      </w:r>
    </w:p>
    <w:p w14:paraId="7A73E08A" w14:textId="5BC6B438" w:rsidR="009661E9" w:rsidRDefault="009661E9" w:rsidP="00773850">
      <w:pPr>
        <w:spacing w:before="240" w:line="240" w:lineRule="auto"/>
        <w:jc w:val="both"/>
        <w:rPr>
          <w:rFonts w:ascii="Times New Roman" w:hAnsi="Times New Roman" w:cs="Times New Roman"/>
          <w:sz w:val="24"/>
          <w:szCs w:val="24"/>
        </w:rPr>
      </w:pPr>
      <w:r w:rsidRPr="009661E9">
        <w:rPr>
          <w:rFonts w:ascii="Times New Roman"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2422E7DB" w14:textId="77777777" w:rsidR="0070252D" w:rsidRDefault="0070252D" w:rsidP="00773850">
      <w:pPr>
        <w:spacing w:before="240" w:line="240" w:lineRule="auto"/>
        <w:jc w:val="both"/>
        <w:rPr>
          <w:rFonts w:ascii="Times New Roman" w:hAnsi="Times New Roman" w:cs="Times New Roman"/>
          <w:sz w:val="24"/>
          <w:szCs w:val="24"/>
        </w:rPr>
      </w:pPr>
    </w:p>
    <w:p w14:paraId="5703FD27" w14:textId="77777777" w:rsidR="0070252D" w:rsidRPr="0070252D" w:rsidRDefault="0070252D" w:rsidP="0070252D">
      <w:pPr>
        <w:spacing w:before="240" w:line="240" w:lineRule="auto"/>
        <w:jc w:val="both"/>
        <w:rPr>
          <w:rFonts w:ascii="Times New Roman" w:hAnsi="Times New Roman" w:cs="Times New Roman"/>
          <w:sz w:val="24"/>
          <w:szCs w:val="24"/>
        </w:rPr>
      </w:pPr>
      <w:r w:rsidRPr="0070252D">
        <w:rPr>
          <w:rFonts w:ascii="Times New Roman" w:hAnsi="Times New Roman" w:cs="Times New Roman"/>
          <w:sz w:val="24"/>
          <w:szCs w:val="24"/>
        </w:rPr>
        <w:t>COMPETING INTERESTS DISCLAIMER:</w:t>
      </w:r>
    </w:p>
    <w:p w14:paraId="3CB4937F" w14:textId="4F139FBA" w:rsidR="0070252D" w:rsidRPr="00FF6695" w:rsidRDefault="0070252D" w:rsidP="0070252D">
      <w:pPr>
        <w:spacing w:before="240" w:line="240" w:lineRule="auto"/>
        <w:jc w:val="both"/>
        <w:rPr>
          <w:rFonts w:ascii="Times New Roman" w:hAnsi="Times New Roman" w:cs="Times New Roman"/>
          <w:sz w:val="24"/>
          <w:szCs w:val="24"/>
        </w:rPr>
      </w:pPr>
      <w:r w:rsidRPr="0070252D">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508643E4" w14:textId="4222ABAC" w:rsidR="003C7360" w:rsidRPr="00FF6695" w:rsidRDefault="000C6F94" w:rsidP="00773850">
      <w:pPr>
        <w:spacing w:before="240" w:line="240" w:lineRule="auto"/>
        <w:rPr>
          <w:rFonts w:ascii="Times New Roman" w:hAnsi="Times New Roman" w:cs="Times New Roman"/>
          <w:b/>
          <w:bCs/>
          <w:sz w:val="24"/>
          <w:szCs w:val="24"/>
        </w:rPr>
      </w:pPr>
      <w:r>
        <w:rPr>
          <w:rFonts w:ascii="Times New Roman" w:hAnsi="Times New Roman" w:cs="Times New Roman"/>
          <w:b/>
          <w:bCs/>
          <w:sz w:val="24"/>
          <w:szCs w:val="24"/>
        </w:rPr>
        <w:t>6</w:t>
      </w:r>
      <w:r w:rsidR="00E32216">
        <w:rPr>
          <w:rFonts w:ascii="Times New Roman" w:hAnsi="Times New Roman" w:cs="Times New Roman"/>
          <w:b/>
          <w:bCs/>
          <w:sz w:val="24"/>
          <w:szCs w:val="24"/>
        </w:rPr>
        <w:t xml:space="preserve">. </w:t>
      </w:r>
      <w:r w:rsidR="003C7360" w:rsidRPr="00FF6695">
        <w:rPr>
          <w:rFonts w:ascii="Times New Roman" w:hAnsi="Times New Roman" w:cs="Times New Roman"/>
          <w:b/>
          <w:bCs/>
          <w:sz w:val="24"/>
          <w:szCs w:val="24"/>
        </w:rPr>
        <w:t>REFERENCES</w:t>
      </w:r>
    </w:p>
    <w:p w14:paraId="49E7567F"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Ali, M.P., Bari, M.N., Haque, S.S., Kabir, M.M.M., Afrin, S., Nowrin, F., Islam, M.S., &amp; Landis, D.A. (2019). Ecological engineering for pest management in rice. </w:t>
      </w:r>
      <w:r w:rsidRPr="00FF6695">
        <w:rPr>
          <w:rFonts w:ascii="Times New Roman" w:hAnsi="Times New Roman" w:cs="Times New Roman"/>
          <w:i/>
          <w:iCs/>
          <w:sz w:val="24"/>
          <w:szCs w:val="24"/>
        </w:rPr>
        <w:t>Scientific Reports</w:t>
      </w:r>
      <w:r w:rsidRPr="00FF6695">
        <w:rPr>
          <w:rFonts w:ascii="Times New Roman" w:hAnsi="Times New Roman" w:cs="Times New Roman"/>
          <w:sz w:val="24"/>
          <w:szCs w:val="24"/>
        </w:rPr>
        <w:t xml:space="preserve">, 9, 4192. </w:t>
      </w:r>
      <w:hyperlink r:id="rId13" w:history="1">
        <w:r w:rsidRPr="00FF6695">
          <w:rPr>
            <w:rStyle w:val="Hyperlink"/>
            <w:rFonts w:ascii="Times New Roman" w:hAnsi="Times New Roman" w:cs="Times New Roman"/>
            <w:sz w:val="24"/>
            <w:szCs w:val="24"/>
          </w:rPr>
          <w:t>https://doi.org/10.1038/s41598-019-39341-9</w:t>
        </w:r>
      </w:hyperlink>
    </w:p>
    <w:p w14:paraId="4AEE29B7"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lastRenderedPageBreak/>
        <w:t xml:space="preserve">APHA (2017). </w:t>
      </w:r>
      <w:r w:rsidRPr="00FF6695">
        <w:rPr>
          <w:rFonts w:ascii="Times New Roman" w:hAnsi="Times New Roman" w:cs="Times New Roman"/>
          <w:i/>
          <w:iCs/>
          <w:sz w:val="24"/>
          <w:szCs w:val="24"/>
        </w:rPr>
        <w:t>Standard Methods for the Examination of Water and Wastewater</w:t>
      </w:r>
      <w:r w:rsidRPr="00FF6695">
        <w:rPr>
          <w:rFonts w:ascii="Times New Roman" w:hAnsi="Times New Roman" w:cs="Times New Roman"/>
          <w:sz w:val="24"/>
          <w:szCs w:val="24"/>
        </w:rPr>
        <w:t xml:space="preserve"> (23rd ed.). American Public Health Association, Washington, DC.</w:t>
      </w:r>
    </w:p>
    <w:p w14:paraId="2DC33AAE"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Bambaradeniya, C.N.B., &amp; Amerasinghe, F.P. (2003). Biodiversity associated with the rice field agroecosystem in Asian countries: A brief review. </w:t>
      </w:r>
      <w:r w:rsidRPr="00FF6695">
        <w:rPr>
          <w:rFonts w:ascii="Times New Roman" w:hAnsi="Times New Roman" w:cs="Times New Roman"/>
          <w:i/>
          <w:iCs/>
          <w:sz w:val="24"/>
          <w:szCs w:val="24"/>
        </w:rPr>
        <w:t>Biodiversity &amp; Conservation</w:t>
      </w:r>
      <w:r w:rsidRPr="00FF6695">
        <w:rPr>
          <w:rFonts w:ascii="Times New Roman" w:hAnsi="Times New Roman" w:cs="Times New Roman"/>
          <w:sz w:val="24"/>
          <w:szCs w:val="24"/>
        </w:rPr>
        <w:t xml:space="preserve">, 12, 177–200. </w:t>
      </w:r>
      <w:hyperlink r:id="rId14" w:history="1">
        <w:r w:rsidRPr="00FF6695">
          <w:rPr>
            <w:rStyle w:val="Hyperlink"/>
            <w:rFonts w:ascii="Times New Roman" w:hAnsi="Times New Roman" w:cs="Times New Roman"/>
            <w:sz w:val="24"/>
            <w:szCs w:val="24"/>
          </w:rPr>
          <w:t>https://doi.org/10.1023/A:1022391977079</w:t>
        </w:r>
      </w:hyperlink>
    </w:p>
    <w:p w14:paraId="35AEFFF3" w14:textId="77777777" w:rsidR="003C7360" w:rsidRPr="00FF6695" w:rsidRDefault="003C7360" w:rsidP="00773850">
      <w:pPr>
        <w:spacing w:before="240" w:line="240" w:lineRule="auto"/>
        <w:ind w:left="720" w:hanging="630"/>
        <w:rPr>
          <w:rFonts w:ascii="Times New Roman" w:hAnsi="Times New Roman" w:cs="Times New Roman"/>
          <w:sz w:val="24"/>
          <w:szCs w:val="24"/>
        </w:rPr>
      </w:pPr>
      <w:r w:rsidRPr="00FF6695">
        <w:rPr>
          <w:rFonts w:ascii="Times New Roman" w:hAnsi="Times New Roman" w:cs="Times New Roman"/>
          <w:sz w:val="24"/>
          <w:szCs w:val="24"/>
        </w:rPr>
        <w:t xml:space="preserve">Batzer, D.P., &amp; Wissinger, S.A. (1996). Ecology of insect communities in nontidal wetlands. </w:t>
      </w:r>
      <w:r w:rsidRPr="00FF6695">
        <w:rPr>
          <w:rFonts w:ascii="Times New Roman" w:hAnsi="Times New Roman" w:cs="Times New Roman"/>
          <w:i/>
          <w:iCs/>
          <w:sz w:val="24"/>
          <w:szCs w:val="24"/>
        </w:rPr>
        <w:t>Annual Review of Entomology</w:t>
      </w:r>
      <w:r w:rsidRPr="00FF6695">
        <w:rPr>
          <w:rFonts w:ascii="Times New Roman" w:hAnsi="Times New Roman" w:cs="Times New Roman"/>
          <w:sz w:val="24"/>
          <w:szCs w:val="24"/>
        </w:rPr>
        <w:t xml:space="preserve">, 41, 75–100. </w:t>
      </w:r>
      <w:hyperlink r:id="rId15" w:history="1">
        <w:r w:rsidRPr="00FF6695">
          <w:rPr>
            <w:rStyle w:val="Hyperlink"/>
            <w:rFonts w:ascii="Times New Roman" w:hAnsi="Times New Roman" w:cs="Times New Roman"/>
            <w:sz w:val="24"/>
            <w:szCs w:val="24"/>
          </w:rPr>
          <w:t>https://doi.org/10.1146/annurev.en.41.010196.000451</w:t>
        </w:r>
      </w:hyperlink>
    </w:p>
    <w:p w14:paraId="159DE5D8" w14:textId="77777777" w:rsidR="003C7360" w:rsidRPr="00FF6695" w:rsidRDefault="003C7360" w:rsidP="00773850">
      <w:pPr>
        <w:spacing w:before="240" w:line="240" w:lineRule="auto"/>
        <w:ind w:left="720" w:hanging="630"/>
        <w:rPr>
          <w:rFonts w:ascii="Times New Roman" w:hAnsi="Times New Roman" w:cs="Times New Roman"/>
          <w:sz w:val="24"/>
          <w:szCs w:val="24"/>
        </w:rPr>
      </w:pPr>
      <w:r w:rsidRPr="00FF6695">
        <w:rPr>
          <w:rFonts w:ascii="Times New Roman" w:hAnsi="Times New Roman" w:cs="Times New Roman"/>
          <w:sz w:val="24"/>
          <w:szCs w:val="24"/>
        </w:rPr>
        <w:t xml:space="preserve">Corbet, P.S. (1999). </w:t>
      </w:r>
      <w:r w:rsidRPr="00FF6695">
        <w:rPr>
          <w:rFonts w:ascii="Times New Roman" w:hAnsi="Times New Roman" w:cs="Times New Roman"/>
          <w:i/>
          <w:iCs/>
          <w:sz w:val="24"/>
          <w:szCs w:val="24"/>
        </w:rPr>
        <w:t>Dragonflies: Behavior and Ecology of Odonata</w:t>
      </w:r>
      <w:r w:rsidRPr="00FF6695">
        <w:rPr>
          <w:rFonts w:ascii="Times New Roman" w:hAnsi="Times New Roman" w:cs="Times New Roman"/>
          <w:sz w:val="24"/>
          <w:szCs w:val="24"/>
        </w:rPr>
        <w:t>. Cornell University Press.</w:t>
      </w:r>
    </w:p>
    <w:p w14:paraId="1525214A" w14:textId="51390790"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Dudgeon, D., Arthington, A.H., Gessner, M.O., Kawabata, Z.I., Knowler, D.J., Lévêque, C., Naiman, R.J., Prieur-Richard, A.H., Soto, D., Stiassny, M.L.J., &amp; Sullivan, C.A. (2006). Freshwater biodiversity: Importance, threats, status and conservation challenges. </w:t>
      </w:r>
      <w:r w:rsidRPr="00FF6695">
        <w:rPr>
          <w:rFonts w:ascii="Times New Roman" w:hAnsi="Times New Roman" w:cs="Times New Roman"/>
          <w:i/>
          <w:iCs/>
          <w:sz w:val="24"/>
          <w:szCs w:val="24"/>
        </w:rPr>
        <w:t>Biological Reviews</w:t>
      </w:r>
      <w:r w:rsidRPr="00FF6695">
        <w:rPr>
          <w:rFonts w:ascii="Times New Roman" w:hAnsi="Times New Roman" w:cs="Times New Roman"/>
          <w:sz w:val="24"/>
          <w:szCs w:val="24"/>
        </w:rPr>
        <w:t xml:space="preserve">, 81(2), 163–182. </w:t>
      </w:r>
      <w:hyperlink r:id="rId16" w:history="1">
        <w:r w:rsidRPr="00FF6695">
          <w:rPr>
            <w:rStyle w:val="Hyperlink"/>
            <w:rFonts w:ascii="Times New Roman" w:hAnsi="Times New Roman" w:cs="Times New Roman"/>
            <w:sz w:val="24"/>
            <w:szCs w:val="24"/>
          </w:rPr>
          <w:t>https://doi.org/10.1017/S1464793105006950</w:t>
        </w:r>
      </w:hyperlink>
    </w:p>
    <w:p w14:paraId="2649E813" w14:textId="4D17A2D3" w:rsidR="006F558E" w:rsidRPr="00FF6695" w:rsidRDefault="006F558E"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FAO (2021). Rice Market Monitor. Food and Agriculture Organization of the United Nations, Rome.</w:t>
      </w:r>
    </w:p>
    <w:p w14:paraId="4C7ADBBD"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Geiger, F., Bengtsson, J., Berendse, F., Weisser, W.W., Emmerson, M., Morales, M.B., Ceryngier, P., Liira, J., Tscharntke, T., Winqvist, C., &amp; Eggers, S. (2010). Persistent negative effects of pesticides on biodiversity and biological control potential. </w:t>
      </w:r>
      <w:r w:rsidRPr="00FF6695">
        <w:rPr>
          <w:rFonts w:ascii="Times New Roman" w:hAnsi="Times New Roman" w:cs="Times New Roman"/>
          <w:i/>
          <w:iCs/>
          <w:sz w:val="24"/>
          <w:szCs w:val="24"/>
        </w:rPr>
        <w:t>Science</w:t>
      </w:r>
      <w:r w:rsidRPr="00FF6695">
        <w:rPr>
          <w:rFonts w:ascii="Times New Roman" w:hAnsi="Times New Roman" w:cs="Times New Roman"/>
          <w:sz w:val="24"/>
          <w:szCs w:val="24"/>
        </w:rPr>
        <w:t xml:space="preserve">, 330(6001), 184–187. </w:t>
      </w:r>
      <w:hyperlink r:id="rId17" w:history="1">
        <w:r w:rsidRPr="00FF6695">
          <w:rPr>
            <w:rStyle w:val="Hyperlink"/>
            <w:rFonts w:ascii="Times New Roman" w:hAnsi="Times New Roman" w:cs="Times New Roman"/>
            <w:sz w:val="24"/>
            <w:szCs w:val="24"/>
          </w:rPr>
          <w:t>https://doi.org/10.1126/science.1184475</w:t>
        </w:r>
      </w:hyperlink>
    </w:p>
    <w:p w14:paraId="204CC2EB"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Gurr, G.M., Wratten, S.D., Landis, D.A., &amp; You, M. (2017). Habitat management to suppress pest populations: Progress and prospects. </w:t>
      </w:r>
      <w:r w:rsidRPr="00FF6695">
        <w:rPr>
          <w:rFonts w:ascii="Times New Roman" w:hAnsi="Times New Roman" w:cs="Times New Roman"/>
          <w:i/>
          <w:iCs/>
          <w:sz w:val="24"/>
          <w:szCs w:val="24"/>
        </w:rPr>
        <w:t>Annual Review of Entomology</w:t>
      </w:r>
      <w:r w:rsidRPr="00FF6695">
        <w:rPr>
          <w:rFonts w:ascii="Times New Roman" w:hAnsi="Times New Roman" w:cs="Times New Roman"/>
          <w:sz w:val="24"/>
          <w:szCs w:val="24"/>
        </w:rPr>
        <w:t xml:space="preserve">, 62, 91–109. </w:t>
      </w:r>
      <w:hyperlink r:id="rId18" w:history="1">
        <w:r w:rsidRPr="00FF6695">
          <w:rPr>
            <w:rStyle w:val="Hyperlink"/>
            <w:rFonts w:ascii="Times New Roman" w:hAnsi="Times New Roman" w:cs="Times New Roman"/>
            <w:sz w:val="24"/>
            <w:szCs w:val="24"/>
          </w:rPr>
          <w:t>https://doi.org/10.1146/annurev-ento-031616-035050</w:t>
        </w:r>
      </w:hyperlink>
    </w:p>
    <w:p w14:paraId="3BDE825F"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Heckman, C.W. (1979). Rice field ecology in northeastern Thailand. </w:t>
      </w:r>
      <w:r w:rsidRPr="00FF6695">
        <w:rPr>
          <w:rFonts w:ascii="Times New Roman" w:hAnsi="Times New Roman" w:cs="Times New Roman"/>
          <w:i/>
          <w:iCs/>
          <w:sz w:val="24"/>
          <w:szCs w:val="24"/>
        </w:rPr>
        <w:t>Monographs in Biology</w:t>
      </w:r>
      <w:r w:rsidRPr="00FF6695">
        <w:rPr>
          <w:rFonts w:ascii="Times New Roman" w:hAnsi="Times New Roman" w:cs="Times New Roman"/>
          <w:sz w:val="24"/>
          <w:szCs w:val="24"/>
        </w:rPr>
        <w:t xml:space="preserve">, 34. </w:t>
      </w:r>
      <w:hyperlink r:id="rId19" w:history="1">
        <w:r w:rsidRPr="00FF6695">
          <w:rPr>
            <w:rStyle w:val="Hyperlink"/>
            <w:rFonts w:ascii="Times New Roman" w:hAnsi="Times New Roman" w:cs="Times New Roman"/>
            <w:sz w:val="24"/>
            <w:szCs w:val="24"/>
          </w:rPr>
          <w:t>https://doi.org/10.1007/978-94-009-9626-5</w:t>
        </w:r>
      </w:hyperlink>
    </w:p>
    <w:p w14:paraId="01489904" w14:textId="25BD900D" w:rsidR="00312A17" w:rsidRPr="00FF6695" w:rsidRDefault="00312A17"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Kumar, R., Singh, H., &amp; Singh, R. (2022). Seasonal dynamics of aquatic insects in agroecosystems. </w:t>
      </w:r>
      <w:r w:rsidRPr="00FF6695">
        <w:rPr>
          <w:rFonts w:ascii="Times New Roman" w:hAnsi="Times New Roman" w:cs="Times New Roman"/>
          <w:i/>
          <w:iCs/>
          <w:sz w:val="24"/>
          <w:szCs w:val="24"/>
        </w:rPr>
        <w:t>Journal of Asia-Pacific Entomology</w:t>
      </w:r>
      <w:r w:rsidRPr="00FF6695">
        <w:rPr>
          <w:rFonts w:ascii="Times New Roman" w:hAnsi="Times New Roman" w:cs="Times New Roman"/>
          <w:sz w:val="24"/>
          <w:szCs w:val="24"/>
        </w:rPr>
        <w:t xml:space="preserve">, 25(2), 101905. </w:t>
      </w:r>
      <w:hyperlink r:id="rId20" w:history="1">
        <w:r w:rsidRPr="00FF6695">
          <w:rPr>
            <w:rStyle w:val="Hyperlink"/>
            <w:rFonts w:ascii="Times New Roman" w:hAnsi="Times New Roman" w:cs="Times New Roman"/>
            <w:sz w:val="24"/>
            <w:szCs w:val="24"/>
          </w:rPr>
          <w:t>https://doi.org/10.1016/j.aspen.2022.101905</w:t>
        </w:r>
      </w:hyperlink>
    </w:p>
    <w:p w14:paraId="3B2BE92D"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Lawler, S.P. (2001). Rice fields as temporary wetlands: A review. </w:t>
      </w:r>
      <w:r w:rsidRPr="00FF6695">
        <w:rPr>
          <w:rFonts w:ascii="Times New Roman" w:hAnsi="Times New Roman" w:cs="Times New Roman"/>
          <w:i/>
          <w:iCs/>
          <w:sz w:val="24"/>
          <w:szCs w:val="24"/>
        </w:rPr>
        <w:t>Wetlands Ecology and Management</w:t>
      </w:r>
      <w:r w:rsidRPr="00FF6695">
        <w:rPr>
          <w:rFonts w:ascii="Times New Roman" w:hAnsi="Times New Roman" w:cs="Times New Roman"/>
          <w:sz w:val="24"/>
          <w:szCs w:val="24"/>
        </w:rPr>
        <w:t xml:space="preserve">, 9, 3–17. </w:t>
      </w:r>
      <w:hyperlink r:id="rId21" w:history="1">
        <w:r w:rsidRPr="00FF6695">
          <w:rPr>
            <w:rStyle w:val="Hyperlink"/>
            <w:rFonts w:ascii="Times New Roman" w:hAnsi="Times New Roman" w:cs="Times New Roman"/>
            <w:sz w:val="24"/>
            <w:szCs w:val="24"/>
          </w:rPr>
          <w:t>https://doi.org/10.1023/A:1008499506052</w:t>
        </w:r>
      </w:hyperlink>
    </w:p>
    <w:p w14:paraId="5047C8C6" w14:textId="50DAD369" w:rsidR="00312A17" w:rsidRPr="00FF6695" w:rsidRDefault="00312A17"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Liu, Y., Duan, M., Yu, Z., &amp; Zhang, X. (2023). Biodiversity and ecosystem services in rice agroecosystems. </w:t>
      </w:r>
      <w:r w:rsidRPr="00FF6695">
        <w:rPr>
          <w:rFonts w:ascii="Times New Roman" w:hAnsi="Times New Roman" w:cs="Times New Roman"/>
          <w:i/>
          <w:iCs/>
          <w:sz w:val="24"/>
          <w:szCs w:val="24"/>
        </w:rPr>
        <w:t>Ecological Indicators</w:t>
      </w:r>
      <w:r w:rsidRPr="00FF6695">
        <w:rPr>
          <w:rFonts w:ascii="Times New Roman" w:hAnsi="Times New Roman" w:cs="Times New Roman"/>
          <w:sz w:val="24"/>
          <w:szCs w:val="24"/>
        </w:rPr>
        <w:t xml:space="preserve">, 146, 109876. </w:t>
      </w:r>
      <w:hyperlink r:id="rId22" w:history="1">
        <w:r w:rsidRPr="00FF6695">
          <w:rPr>
            <w:rStyle w:val="Hyperlink"/>
            <w:rFonts w:ascii="Times New Roman" w:hAnsi="Times New Roman" w:cs="Times New Roman"/>
            <w:sz w:val="24"/>
            <w:szCs w:val="24"/>
          </w:rPr>
          <w:t>https://doi.org/10.1016/j.ecolind.2023.109876</w:t>
        </w:r>
      </w:hyperlink>
    </w:p>
    <w:p w14:paraId="1E9D2BBB"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Merritt, R.W., Cummins, K.W., &amp; Berg, M.B. (2008). </w:t>
      </w:r>
      <w:r w:rsidRPr="00FF6695">
        <w:rPr>
          <w:rFonts w:ascii="Times New Roman" w:hAnsi="Times New Roman" w:cs="Times New Roman"/>
          <w:i/>
          <w:iCs/>
          <w:sz w:val="24"/>
          <w:szCs w:val="24"/>
        </w:rPr>
        <w:t>An Introduction to the Aquatic Insects of North America</w:t>
      </w:r>
      <w:r w:rsidRPr="00FF6695">
        <w:rPr>
          <w:rFonts w:ascii="Times New Roman" w:hAnsi="Times New Roman" w:cs="Times New Roman"/>
          <w:sz w:val="24"/>
          <w:szCs w:val="24"/>
        </w:rPr>
        <w:t xml:space="preserve"> (4th ed.). Kendall Hunt Publishing.</w:t>
      </w:r>
    </w:p>
    <w:p w14:paraId="5D449813" w14:textId="1A4BCA6D" w:rsidR="00312A17" w:rsidRPr="00FF6695" w:rsidRDefault="00312A17"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Pretty, J., &amp; Bharucha, Z.P. (2021). Sustainable intensification in agricultural systems. </w:t>
      </w:r>
      <w:r w:rsidRPr="00FF6695">
        <w:rPr>
          <w:rFonts w:ascii="Times New Roman" w:hAnsi="Times New Roman" w:cs="Times New Roman"/>
          <w:i/>
          <w:iCs/>
          <w:sz w:val="24"/>
          <w:szCs w:val="24"/>
        </w:rPr>
        <w:t>Annals of Botany</w:t>
      </w:r>
      <w:r w:rsidRPr="00FF6695">
        <w:rPr>
          <w:rFonts w:ascii="Times New Roman" w:hAnsi="Times New Roman" w:cs="Times New Roman"/>
          <w:sz w:val="24"/>
          <w:szCs w:val="24"/>
        </w:rPr>
        <w:t xml:space="preserve">, 128(2), 157–169. </w:t>
      </w:r>
      <w:hyperlink r:id="rId23" w:history="1">
        <w:r w:rsidRPr="00FF6695">
          <w:rPr>
            <w:rStyle w:val="Hyperlink"/>
            <w:rFonts w:ascii="Times New Roman" w:hAnsi="Times New Roman" w:cs="Times New Roman"/>
            <w:sz w:val="24"/>
            <w:szCs w:val="24"/>
          </w:rPr>
          <w:t>https://doi.org/10.1093/aob/mcab065</w:t>
        </w:r>
      </w:hyperlink>
    </w:p>
    <w:p w14:paraId="0EA36A3F"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lastRenderedPageBreak/>
        <w:t xml:space="preserve">Sánchez-Bayo, F., &amp; Wyckhuys, K.A.G. (2019). Worldwide decline of the entomofauna: A review of its drivers. </w:t>
      </w:r>
      <w:r w:rsidRPr="00FF6695">
        <w:rPr>
          <w:rFonts w:ascii="Times New Roman" w:hAnsi="Times New Roman" w:cs="Times New Roman"/>
          <w:i/>
          <w:iCs/>
          <w:sz w:val="24"/>
          <w:szCs w:val="24"/>
        </w:rPr>
        <w:t>Biological Conservation</w:t>
      </w:r>
      <w:r w:rsidRPr="00FF6695">
        <w:rPr>
          <w:rFonts w:ascii="Times New Roman" w:hAnsi="Times New Roman" w:cs="Times New Roman"/>
          <w:sz w:val="24"/>
          <w:szCs w:val="24"/>
        </w:rPr>
        <w:t xml:space="preserve">, 232, 8–27. </w:t>
      </w:r>
      <w:hyperlink r:id="rId24" w:history="1">
        <w:r w:rsidRPr="00FF6695">
          <w:rPr>
            <w:rStyle w:val="Hyperlink"/>
            <w:rFonts w:ascii="Times New Roman" w:hAnsi="Times New Roman" w:cs="Times New Roman"/>
            <w:sz w:val="24"/>
            <w:szCs w:val="24"/>
          </w:rPr>
          <w:t>https://doi.org/10.1016/j.biocon.2019.01.020</w:t>
        </w:r>
      </w:hyperlink>
    </w:p>
    <w:p w14:paraId="2E2FA70A"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Shannon, C.E., &amp; Weaver, W. (1949). </w:t>
      </w:r>
      <w:r w:rsidRPr="00FF6695">
        <w:rPr>
          <w:rFonts w:ascii="Times New Roman" w:hAnsi="Times New Roman" w:cs="Times New Roman"/>
          <w:i/>
          <w:iCs/>
          <w:sz w:val="24"/>
          <w:szCs w:val="24"/>
        </w:rPr>
        <w:t>The Mathematical Theory of Communication</w:t>
      </w:r>
      <w:r w:rsidRPr="00FF6695">
        <w:rPr>
          <w:rFonts w:ascii="Times New Roman" w:hAnsi="Times New Roman" w:cs="Times New Roman"/>
          <w:sz w:val="24"/>
          <w:szCs w:val="24"/>
        </w:rPr>
        <w:t>. University of Illinois Press.</w:t>
      </w:r>
    </w:p>
    <w:p w14:paraId="7527EE4A"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Simpson, E.H. (1949). Measurement of diversity. </w:t>
      </w:r>
      <w:r w:rsidRPr="00FF6695">
        <w:rPr>
          <w:rFonts w:ascii="Times New Roman" w:hAnsi="Times New Roman" w:cs="Times New Roman"/>
          <w:i/>
          <w:iCs/>
          <w:sz w:val="24"/>
          <w:szCs w:val="24"/>
        </w:rPr>
        <w:t>Nature</w:t>
      </w:r>
      <w:r w:rsidRPr="00FF6695">
        <w:rPr>
          <w:rFonts w:ascii="Times New Roman" w:hAnsi="Times New Roman" w:cs="Times New Roman"/>
          <w:sz w:val="24"/>
          <w:szCs w:val="24"/>
        </w:rPr>
        <w:t xml:space="preserve">, 163, 688. </w:t>
      </w:r>
      <w:hyperlink r:id="rId25" w:history="1">
        <w:r w:rsidRPr="00FF6695">
          <w:rPr>
            <w:rStyle w:val="Hyperlink"/>
            <w:rFonts w:ascii="Times New Roman" w:hAnsi="Times New Roman" w:cs="Times New Roman"/>
            <w:sz w:val="24"/>
            <w:szCs w:val="24"/>
          </w:rPr>
          <w:t>https://doi.org/10.1038/163688a0</w:t>
        </w:r>
      </w:hyperlink>
    </w:p>
    <w:p w14:paraId="17ED8DEA"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Settle, W.H., Ariawan, H., Astuti, E.T., Cahyana, W., Hakim, A.L., Hindayana, D., &amp; Lestari, A.S. (1996). Managing tropical rice pests through conservation of generalist natural enemies. </w:t>
      </w:r>
      <w:r w:rsidRPr="00FF6695">
        <w:rPr>
          <w:rFonts w:ascii="Times New Roman" w:hAnsi="Times New Roman" w:cs="Times New Roman"/>
          <w:i/>
          <w:iCs/>
          <w:sz w:val="24"/>
          <w:szCs w:val="24"/>
        </w:rPr>
        <w:t>Ecology</w:t>
      </w:r>
      <w:r w:rsidRPr="00FF6695">
        <w:rPr>
          <w:rFonts w:ascii="Times New Roman" w:hAnsi="Times New Roman" w:cs="Times New Roman"/>
          <w:sz w:val="24"/>
          <w:szCs w:val="24"/>
        </w:rPr>
        <w:t xml:space="preserve">, 77(7), 1975–1988. </w:t>
      </w:r>
      <w:hyperlink r:id="rId26" w:history="1">
        <w:r w:rsidRPr="00FF6695">
          <w:rPr>
            <w:rStyle w:val="Hyperlink"/>
            <w:rFonts w:ascii="Times New Roman" w:hAnsi="Times New Roman" w:cs="Times New Roman"/>
            <w:sz w:val="24"/>
            <w:szCs w:val="24"/>
          </w:rPr>
          <w:t>https://doi.org/10.2307/2265694</w:t>
        </w:r>
      </w:hyperlink>
    </w:p>
    <w:p w14:paraId="68BA5CC8" w14:textId="46488B6F"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Way, M.J., &amp; Heong, K.L. (1994). The role of biodiversity in the dynamics and management of insect pests of tropical irrigated rice. </w:t>
      </w:r>
      <w:r w:rsidRPr="00FF6695">
        <w:rPr>
          <w:rFonts w:ascii="Times New Roman" w:hAnsi="Times New Roman" w:cs="Times New Roman"/>
          <w:i/>
          <w:iCs/>
          <w:sz w:val="24"/>
          <w:szCs w:val="24"/>
        </w:rPr>
        <w:t>Bulletin of Entomological Research</w:t>
      </w:r>
      <w:r w:rsidRPr="00FF6695">
        <w:rPr>
          <w:rFonts w:ascii="Times New Roman" w:hAnsi="Times New Roman" w:cs="Times New Roman"/>
          <w:sz w:val="24"/>
          <w:szCs w:val="24"/>
        </w:rPr>
        <w:t xml:space="preserve">, 84(4), 567–587. </w:t>
      </w:r>
      <w:hyperlink r:id="rId27" w:history="1">
        <w:r w:rsidRPr="00FF6695">
          <w:rPr>
            <w:rStyle w:val="Hyperlink"/>
            <w:rFonts w:ascii="Times New Roman" w:hAnsi="Times New Roman" w:cs="Times New Roman"/>
            <w:sz w:val="24"/>
            <w:szCs w:val="24"/>
          </w:rPr>
          <w:t>https://doi.org/10.1017/S000748530003282X</w:t>
        </w:r>
      </w:hyperlink>
    </w:p>
    <w:p w14:paraId="47F069FD" w14:textId="346F9FF1" w:rsidR="00204F59" w:rsidRPr="00FF6695" w:rsidRDefault="00204F59"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Zhang, W., Lu, Y., van der Werf, W., Huang, J., Wu, F., &amp; Deng, X. (2022). Ecological engineering enhances biological control in rice ecosystems. Agriculture, Ecosystems &amp; Environment, 324, 107708. </w:t>
      </w:r>
      <w:hyperlink r:id="rId28" w:history="1">
        <w:r w:rsidRPr="00FF6695">
          <w:rPr>
            <w:rStyle w:val="Hyperlink"/>
            <w:rFonts w:ascii="Times New Roman" w:hAnsi="Times New Roman" w:cs="Times New Roman"/>
            <w:sz w:val="24"/>
            <w:szCs w:val="24"/>
          </w:rPr>
          <w:t>https://doi.org/10.1016/j.agee.2021.107708</w:t>
        </w:r>
      </w:hyperlink>
    </w:p>
    <w:sectPr w:rsidR="00204F59" w:rsidRPr="00FF6695" w:rsidSect="00DA275C">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op Adina-Nicoleta" w:date="2026-03-23T15:35:00Z" w:initials="AP">
    <w:p w14:paraId="3308EFF6" w14:textId="77777777" w:rsidR="001765BA" w:rsidRDefault="001765BA" w:rsidP="001765BA">
      <w:pPr>
        <w:pStyle w:val="Textcomentariu"/>
      </w:pPr>
      <w:r>
        <w:rPr>
          <w:rStyle w:val="Referincomentariu"/>
        </w:rPr>
        <w:annotationRef/>
      </w:r>
      <w:r>
        <w:t>Emphasizes</w:t>
      </w:r>
    </w:p>
  </w:comment>
  <w:comment w:id="1" w:author="Pop Adina-Nicoleta" w:date="2026-03-23T15:35:00Z" w:initials="AP">
    <w:p w14:paraId="7E97FA44" w14:textId="77777777" w:rsidR="001765BA" w:rsidRDefault="001765BA" w:rsidP="001765BA">
      <w:pPr>
        <w:pStyle w:val="Textcomentariu"/>
      </w:pPr>
      <w:r>
        <w:rPr>
          <w:rStyle w:val="Referincomentariu"/>
        </w:rPr>
        <w:annotationRef/>
      </w:r>
      <w:r>
        <w:t>characterized</w:t>
      </w:r>
    </w:p>
  </w:comment>
  <w:comment w:id="2" w:author="Pop Adina-Nicoleta" w:date="2026-03-23T15:35:00Z" w:initials="AP">
    <w:p w14:paraId="2AB85A1D" w14:textId="77777777" w:rsidR="001765BA" w:rsidRDefault="001765BA" w:rsidP="001765BA">
      <w:pPr>
        <w:pStyle w:val="Textcomentariu"/>
      </w:pPr>
      <w:r>
        <w:rPr>
          <w:rStyle w:val="Referincomentariu"/>
        </w:rPr>
        <w:annotationRef/>
      </w:r>
      <w:r>
        <w:t>categorized</w:t>
      </w:r>
    </w:p>
  </w:comment>
  <w:comment w:id="3" w:author="Pop Adina-Nicoleta" w:date="2026-03-23T15:34:00Z" w:initials="AP">
    <w:p w14:paraId="48974D6D" w14:textId="77777777" w:rsidR="001765BA" w:rsidRDefault="001765BA" w:rsidP="001765BA">
      <w:pPr>
        <w:pStyle w:val="Textcomentariu"/>
      </w:pPr>
      <w:r>
        <w:rPr>
          <w:rStyle w:val="Referincomentariu"/>
        </w:rPr>
        <w:annotationRef/>
      </w:r>
      <w:r>
        <w:t>Italic</w:t>
      </w:r>
    </w:p>
  </w:comment>
  <w:comment w:id="4" w:author="Pop Adina-Nicoleta" w:date="2026-03-23T15:34:00Z" w:initials="AP">
    <w:p w14:paraId="6A082DB6" w14:textId="77777777" w:rsidR="001765BA" w:rsidRDefault="001765BA" w:rsidP="001765BA">
      <w:pPr>
        <w:pStyle w:val="Textcomentariu"/>
      </w:pPr>
      <w:r>
        <w:rPr>
          <w:rStyle w:val="Referincomentariu"/>
        </w:rPr>
        <w:annotationRef/>
      </w:r>
      <w:r>
        <w:t>Italic</w:t>
      </w:r>
    </w:p>
  </w:comment>
  <w:comment w:id="5" w:author="Pop Adina-Nicoleta" w:date="2026-03-23T15:36:00Z" w:initials="AP">
    <w:p w14:paraId="26E0DA07" w14:textId="77777777" w:rsidR="001765BA" w:rsidRDefault="001765BA" w:rsidP="001765BA">
      <w:pPr>
        <w:pStyle w:val="Textcomentariu"/>
      </w:pPr>
      <w:r>
        <w:rPr>
          <w:rStyle w:val="Referincomentariu"/>
        </w:rPr>
        <w:annotationRef/>
      </w:r>
      <w:r>
        <w:t>Minimizing</w:t>
      </w:r>
    </w:p>
  </w:comment>
  <w:comment w:id="6" w:author="Pop Adina-Nicoleta" w:date="2026-03-23T15:38:00Z" w:initials="AP">
    <w:p w14:paraId="6C1B74A7" w14:textId="77777777" w:rsidR="001765BA" w:rsidRDefault="001765BA" w:rsidP="001765BA">
      <w:pPr>
        <w:pStyle w:val="Textcomentariu"/>
      </w:pPr>
      <w:r>
        <w:rPr>
          <w:rStyle w:val="Referincomentariu"/>
        </w:rPr>
        <w:annotationRef/>
      </w:r>
      <w:r>
        <w:t>emphasize</w:t>
      </w:r>
    </w:p>
  </w:comment>
  <w:comment w:id="7" w:author="Pop Adina-Nicoleta" w:date="2026-03-23T15:39:00Z" w:initials="AP">
    <w:p w14:paraId="5CB4B67E" w14:textId="77777777" w:rsidR="001765BA" w:rsidRDefault="001765BA" w:rsidP="001765BA">
      <w:pPr>
        <w:pStyle w:val="Textcomentariu"/>
      </w:pPr>
      <w:r>
        <w:rPr>
          <w:rStyle w:val="Referincomentariu"/>
        </w:rPr>
        <w:annotationRef/>
      </w:r>
      <w:r>
        <w:t>Analyze</w:t>
      </w:r>
    </w:p>
  </w:comment>
  <w:comment w:id="8" w:author="Pop Adina-Nicoleta" w:date="2026-03-23T15:45:00Z" w:initials="AP">
    <w:p w14:paraId="5B2D4DDF" w14:textId="77777777" w:rsidR="00D15EA7" w:rsidRDefault="00D15EA7" w:rsidP="00D15EA7">
      <w:pPr>
        <w:pStyle w:val="Textcomentariu"/>
      </w:pPr>
      <w:r>
        <w:rPr>
          <w:rStyle w:val="Referincomentariu"/>
        </w:rPr>
        <w:annotationRef/>
      </w:r>
      <w:r>
        <w:t>The study area is predominantly characterized by irrigated paddy cultivation during the Kharif season, with fields flooded for most of the crop cycle, creating conditions similar to temporary freshwater ecosystems that support diverse aquatic organisms, particularly insects (Lawler, 2001).</w:t>
      </w:r>
    </w:p>
  </w:comment>
  <w:comment w:id="9" w:author="Pop Adina-Nicoleta" w:date="2026-03-23T15:49:00Z" w:initials="AP">
    <w:p w14:paraId="1532C839" w14:textId="77777777" w:rsidR="00D15EA7" w:rsidRDefault="00D15EA7" w:rsidP="00D15EA7">
      <w:pPr>
        <w:pStyle w:val="Textcomentariu"/>
      </w:pPr>
      <w:r>
        <w:rPr>
          <w:rStyle w:val="Referincomentariu"/>
        </w:rPr>
        <w:annotationRef/>
      </w:r>
      <w:r>
        <w:t>detrivore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08EFF6" w15:done="0"/>
  <w15:commentEx w15:paraId="7E97FA44" w15:done="0"/>
  <w15:commentEx w15:paraId="2AB85A1D" w15:done="0"/>
  <w15:commentEx w15:paraId="48974D6D" w15:done="0"/>
  <w15:commentEx w15:paraId="6A082DB6" w15:done="0"/>
  <w15:commentEx w15:paraId="26E0DA07" w15:done="0"/>
  <w15:commentEx w15:paraId="6C1B74A7" w15:done="0"/>
  <w15:commentEx w15:paraId="5CB4B67E" w15:done="0"/>
  <w15:commentEx w15:paraId="5B2D4DDF" w15:done="0"/>
  <w15:commentEx w15:paraId="1532C8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8A0712C" w16cex:dateUtc="2026-03-23T13:35:00Z"/>
  <w16cex:commentExtensible w16cex:durableId="0DA66D5B" w16cex:dateUtc="2026-03-23T13:35:00Z"/>
  <w16cex:commentExtensible w16cex:durableId="455FF0C4" w16cex:dateUtc="2026-03-23T13:35:00Z"/>
  <w16cex:commentExtensible w16cex:durableId="0C6EA04C" w16cex:dateUtc="2026-03-23T13:34:00Z"/>
  <w16cex:commentExtensible w16cex:durableId="66ECEB8B" w16cex:dateUtc="2026-03-23T13:34:00Z"/>
  <w16cex:commentExtensible w16cex:durableId="05334E9F" w16cex:dateUtc="2026-03-23T13:36:00Z"/>
  <w16cex:commentExtensible w16cex:durableId="77D03B8D" w16cex:dateUtc="2026-03-23T13:38:00Z"/>
  <w16cex:commentExtensible w16cex:durableId="03E1F8BD" w16cex:dateUtc="2026-03-23T13:39:00Z"/>
  <w16cex:commentExtensible w16cex:durableId="511502D2" w16cex:dateUtc="2026-03-23T13:45:00Z"/>
  <w16cex:commentExtensible w16cex:durableId="04DFBF98" w16cex:dateUtc="2026-03-23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08EFF6" w16cid:durableId="18A0712C"/>
  <w16cid:commentId w16cid:paraId="7E97FA44" w16cid:durableId="0DA66D5B"/>
  <w16cid:commentId w16cid:paraId="2AB85A1D" w16cid:durableId="455FF0C4"/>
  <w16cid:commentId w16cid:paraId="48974D6D" w16cid:durableId="0C6EA04C"/>
  <w16cid:commentId w16cid:paraId="6A082DB6" w16cid:durableId="66ECEB8B"/>
  <w16cid:commentId w16cid:paraId="26E0DA07" w16cid:durableId="05334E9F"/>
  <w16cid:commentId w16cid:paraId="6C1B74A7" w16cid:durableId="77D03B8D"/>
  <w16cid:commentId w16cid:paraId="5CB4B67E" w16cid:durableId="03E1F8BD"/>
  <w16cid:commentId w16cid:paraId="5B2D4DDF" w16cid:durableId="511502D2"/>
  <w16cid:commentId w16cid:paraId="1532C839" w16cid:durableId="04DFBF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7A724" w14:textId="77777777" w:rsidR="00DF3207" w:rsidRDefault="00DF3207" w:rsidP="00AB6ED1">
      <w:pPr>
        <w:spacing w:after="0" w:line="240" w:lineRule="auto"/>
      </w:pPr>
      <w:r>
        <w:separator/>
      </w:r>
    </w:p>
  </w:endnote>
  <w:endnote w:type="continuationSeparator" w:id="0">
    <w:p w14:paraId="73BD2945" w14:textId="77777777" w:rsidR="00DF3207" w:rsidRDefault="00DF3207" w:rsidP="00AB6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131B4" w14:textId="77777777" w:rsidR="00AB6ED1" w:rsidRDefault="00AB6ED1">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1FF14" w14:textId="77777777" w:rsidR="00AB6ED1" w:rsidRDefault="00AB6ED1">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49038" w14:textId="77777777" w:rsidR="00AB6ED1" w:rsidRDefault="00AB6ED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5C50D" w14:textId="77777777" w:rsidR="00DF3207" w:rsidRDefault="00DF3207" w:rsidP="00AB6ED1">
      <w:pPr>
        <w:spacing w:after="0" w:line="240" w:lineRule="auto"/>
      </w:pPr>
      <w:r>
        <w:separator/>
      </w:r>
    </w:p>
  </w:footnote>
  <w:footnote w:type="continuationSeparator" w:id="0">
    <w:p w14:paraId="6001AB32" w14:textId="77777777" w:rsidR="00DF3207" w:rsidRDefault="00DF3207" w:rsidP="00AB6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1211" w14:textId="7626D4D3" w:rsidR="00AB6ED1" w:rsidRDefault="00000000">
    <w:pPr>
      <w:pStyle w:val="Antet"/>
    </w:pPr>
    <w:r>
      <w:rPr>
        <w:noProof/>
      </w:rPr>
      <w:pict w14:anchorId="15C30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2016"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95E6" w14:textId="4ED49F9E" w:rsidR="00AB6ED1" w:rsidRDefault="00000000">
    <w:pPr>
      <w:pStyle w:val="Antet"/>
    </w:pPr>
    <w:r>
      <w:rPr>
        <w:noProof/>
      </w:rPr>
      <w:pict w14:anchorId="62576B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2017"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D46A8" w14:textId="5F81691D" w:rsidR="00AB6ED1" w:rsidRDefault="00000000">
    <w:pPr>
      <w:pStyle w:val="Antet"/>
    </w:pPr>
    <w:r>
      <w:rPr>
        <w:noProof/>
      </w:rPr>
      <w:pict w14:anchorId="6FAD1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2015"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op Adina-Nicoleta">
    <w15:presenceInfo w15:providerId="AD" w15:userId="S::pop.adinanicoleta@student.uoradea.ro::28a08def-694d-4e3d-911b-eb833c50e9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D4"/>
    <w:rsid w:val="000119F2"/>
    <w:rsid w:val="00025A39"/>
    <w:rsid w:val="00025B76"/>
    <w:rsid w:val="000376E1"/>
    <w:rsid w:val="000737D1"/>
    <w:rsid w:val="000862A3"/>
    <w:rsid w:val="000924FD"/>
    <w:rsid w:val="00095B2F"/>
    <w:rsid w:val="000A23C0"/>
    <w:rsid w:val="000C4DFB"/>
    <w:rsid w:val="000C6F94"/>
    <w:rsid w:val="000E0AA1"/>
    <w:rsid w:val="000E2709"/>
    <w:rsid w:val="0011307A"/>
    <w:rsid w:val="0011640C"/>
    <w:rsid w:val="00137858"/>
    <w:rsid w:val="00142541"/>
    <w:rsid w:val="001524E2"/>
    <w:rsid w:val="00153DF3"/>
    <w:rsid w:val="00176115"/>
    <w:rsid w:val="001765BA"/>
    <w:rsid w:val="00181013"/>
    <w:rsid w:val="00190954"/>
    <w:rsid w:val="00193C10"/>
    <w:rsid w:val="001E5C4B"/>
    <w:rsid w:val="001F34DD"/>
    <w:rsid w:val="001F48AC"/>
    <w:rsid w:val="00204F59"/>
    <w:rsid w:val="00222934"/>
    <w:rsid w:val="00223580"/>
    <w:rsid w:val="002302CA"/>
    <w:rsid w:val="00234A49"/>
    <w:rsid w:val="0024578A"/>
    <w:rsid w:val="002500D8"/>
    <w:rsid w:val="00262D5B"/>
    <w:rsid w:val="002777B7"/>
    <w:rsid w:val="002A0D9F"/>
    <w:rsid w:val="002F6730"/>
    <w:rsid w:val="00312A17"/>
    <w:rsid w:val="00326B3B"/>
    <w:rsid w:val="00333CD4"/>
    <w:rsid w:val="003374CA"/>
    <w:rsid w:val="003521AC"/>
    <w:rsid w:val="00372B97"/>
    <w:rsid w:val="00373EBD"/>
    <w:rsid w:val="003741E0"/>
    <w:rsid w:val="00392DB1"/>
    <w:rsid w:val="00396238"/>
    <w:rsid w:val="003A0E08"/>
    <w:rsid w:val="003B5071"/>
    <w:rsid w:val="003C7360"/>
    <w:rsid w:val="003E204B"/>
    <w:rsid w:val="003F141B"/>
    <w:rsid w:val="00403716"/>
    <w:rsid w:val="00424150"/>
    <w:rsid w:val="00437DC2"/>
    <w:rsid w:val="0046045B"/>
    <w:rsid w:val="004A26AC"/>
    <w:rsid w:val="004B7E63"/>
    <w:rsid w:val="004D0582"/>
    <w:rsid w:val="004F26B5"/>
    <w:rsid w:val="005042DA"/>
    <w:rsid w:val="005066CC"/>
    <w:rsid w:val="00517D48"/>
    <w:rsid w:val="00531AE2"/>
    <w:rsid w:val="005410C4"/>
    <w:rsid w:val="005818DD"/>
    <w:rsid w:val="005A147F"/>
    <w:rsid w:val="005B1127"/>
    <w:rsid w:val="005C0B01"/>
    <w:rsid w:val="005E1E27"/>
    <w:rsid w:val="005E2AE5"/>
    <w:rsid w:val="006016AA"/>
    <w:rsid w:val="00612E9B"/>
    <w:rsid w:val="0062223D"/>
    <w:rsid w:val="00622562"/>
    <w:rsid w:val="0064595F"/>
    <w:rsid w:val="00645EB1"/>
    <w:rsid w:val="006460F3"/>
    <w:rsid w:val="00661727"/>
    <w:rsid w:val="00692DF4"/>
    <w:rsid w:val="006A181D"/>
    <w:rsid w:val="006B402F"/>
    <w:rsid w:val="006D7588"/>
    <w:rsid w:val="006E21F8"/>
    <w:rsid w:val="006E6B56"/>
    <w:rsid w:val="006F558E"/>
    <w:rsid w:val="006F762C"/>
    <w:rsid w:val="0070252D"/>
    <w:rsid w:val="007156A8"/>
    <w:rsid w:val="007505E7"/>
    <w:rsid w:val="007700B4"/>
    <w:rsid w:val="00770BBF"/>
    <w:rsid w:val="00772015"/>
    <w:rsid w:val="00773850"/>
    <w:rsid w:val="0077413A"/>
    <w:rsid w:val="007872DD"/>
    <w:rsid w:val="007C3264"/>
    <w:rsid w:val="007C632C"/>
    <w:rsid w:val="008064F6"/>
    <w:rsid w:val="00851F7C"/>
    <w:rsid w:val="00854F55"/>
    <w:rsid w:val="00891B0F"/>
    <w:rsid w:val="008952CD"/>
    <w:rsid w:val="008A12CE"/>
    <w:rsid w:val="008A5024"/>
    <w:rsid w:val="008A6685"/>
    <w:rsid w:val="008B643B"/>
    <w:rsid w:val="008C411B"/>
    <w:rsid w:val="008C5075"/>
    <w:rsid w:val="009223A6"/>
    <w:rsid w:val="00937F1B"/>
    <w:rsid w:val="009661E9"/>
    <w:rsid w:val="009732D0"/>
    <w:rsid w:val="009A01AF"/>
    <w:rsid w:val="009A6C83"/>
    <w:rsid w:val="00A06D62"/>
    <w:rsid w:val="00A50935"/>
    <w:rsid w:val="00A86076"/>
    <w:rsid w:val="00A94033"/>
    <w:rsid w:val="00A94586"/>
    <w:rsid w:val="00A9572B"/>
    <w:rsid w:val="00AA2925"/>
    <w:rsid w:val="00AB3152"/>
    <w:rsid w:val="00AB6ED1"/>
    <w:rsid w:val="00AC1E86"/>
    <w:rsid w:val="00AD7BFD"/>
    <w:rsid w:val="00AE20F9"/>
    <w:rsid w:val="00AE4255"/>
    <w:rsid w:val="00B032E3"/>
    <w:rsid w:val="00B21C56"/>
    <w:rsid w:val="00B249E2"/>
    <w:rsid w:val="00B24B02"/>
    <w:rsid w:val="00B410B7"/>
    <w:rsid w:val="00B95E98"/>
    <w:rsid w:val="00BC35C8"/>
    <w:rsid w:val="00C6060F"/>
    <w:rsid w:val="00C66072"/>
    <w:rsid w:val="00C7204B"/>
    <w:rsid w:val="00C80D2D"/>
    <w:rsid w:val="00CF122A"/>
    <w:rsid w:val="00D15EA7"/>
    <w:rsid w:val="00D45A7A"/>
    <w:rsid w:val="00D47D8C"/>
    <w:rsid w:val="00D77C56"/>
    <w:rsid w:val="00DA275C"/>
    <w:rsid w:val="00DF3207"/>
    <w:rsid w:val="00E05FE2"/>
    <w:rsid w:val="00E32216"/>
    <w:rsid w:val="00E80D05"/>
    <w:rsid w:val="00E8377D"/>
    <w:rsid w:val="00EB64C9"/>
    <w:rsid w:val="00EC764A"/>
    <w:rsid w:val="00ED1DD9"/>
    <w:rsid w:val="00ED6274"/>
    <w:rsid w:val="00EE2F9E"/>
    <w:rsid w:val="00EE68B4"/>
    <w:rsid w:val="00F441E7"/>
    <w:rsid w:val="00F64DC2"/>
    <w:rsid w:val="00F81FA1"/>
    <w:rsid w:val="00F901AC"/>
    <w:rsid w:val="00F95FC2"/>
    <w:rsid w:val="00F97C22"/>
    <w:rsid w:val="00FB2424"/>
    <w:rsid w:val="00FB510A"/>
    <w:rsid w:val="00FD34E6"/>
    <w:rsid w:val="00FD640B"/>
    <w:rsid w:val="00FF669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93CCEF"/>
  <w15:chartTrackingRefBased/>
  <w15:docId w15:val="{29C8EE01-72E0-47DD-846F-A8EA4D621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Gautami"/>
        <w:kern w:val="2"/>
        <w:sz w:val="22"/>
        <w:szCs w:val="22"/>
        <w:lang w:val="en-US" w:eastAsia="en-US" w:bidi="te-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333C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333C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333CD4"/>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333CD4"/>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333CD4"/>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333CD4"/>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333CD4"/>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333CD4"/>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333CD4"/>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333CD4"/>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link w:val="Titlu2"/>
    <w:uiPriority w:val="9"/>
    <w:semiHidden/>
    <w:rsid w:val="00333CD4"/>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semiHidden/>
    <w:rsid w:val="00333CD4"/>
    <w:rPr>
      <w:rFonts w:eastAsiaTheme="majorEastAsia" w:cstheme="majorBidi"/>
      <w:color w:val="2F5496" w:themeColor="accent1" w:themeShade="BF"/>
      <w:sz w:val="28"/>
      <w:szCs w:val="28"/>
    </w:rPr>
  </w:style>
  <w:style w:type="character" w:customStyle="1" w:styleId="Titlu4Caracter">
    <w:name w:val="Titlu 4 Caracter"/>
    <w:basedOn w:val="Fontdeparagrafimplicit"/>
    <w:link w:val="Titlu4"/>
    <w:uiPriority w:val="9"/>
    <w:semiHidden/>
    <w:rsid w:val="00333CD4"/>
    <w:rPr>
      <w:rFonts w:eastAsiaTheme="majorEastAsia" w:cstheme="majorBidi"/>
      <w:i/>
      <w:iCs/>
      <w:color w:val="2F5496" w:themeColor="accent1" w:themeShade="BF"/>
    </w:rPr>
  </w:style>
  <w:style w:type="character" w:customStyle="1" w:styleId="Titlu5Caracter">
    <w:name w:val="Titlu 5 Caracter"/>
    <w:basedOn w:val="Fontdeparagrafimplicit"/>
    <w:link w:val="Titlu5"/>
    <w:uiPriority w:val="9"/>
    <w:semiHidden/>
    <w:rsid w:val="00333CD4"/>
    <w:rPr>
      <w:rFonts w:eastAsiaTheme="majorEastAsia" w:cstheme="majorBidi"/>
      <w:color w:val="2F5496" w:themeColor="accent1" w:themeShade="BF"/>
    </w:rPr>
  </w:style>
  <w:style w:type="character" w:customStyle="1" w:styleId="Titlu6Caracter">
    <w:name w:val="Titlu 6 Caracter"/>
    <w:basedOn w:val="Fontdeparagrafimplicit"/>
    <w:link w:val="Titlu6"/>
    <w:uiPriority w:val="9"/>
    <w:semiHidden/>
    <w:rsid w:val="00333CD4"/>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333CD4"/>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333CD4"/>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333CD4"/>
    <w:rPr>
      <w:rFonts w:eastAsiaTheme="majorEastAsia" w:cstheme="majorBidi"/>
      <w:color w:val="272727" w:themeColor="text1" w:themeTint="D8"/>
    </w:rPr>
  </w:style>
  <w:style w:type="paragraph" w:styleId="Titlu">
    <w:name w:val="Title"/>
    <w:basedOn w:val="Normal"/>
    <w:next w:val="Normal"/>
    <w:link w:val="TitluCaracter"/>
    <w:uiPriority w:val="10"/>
    <w:qFormat/>
    <w:rsid w:val="00333C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333CD4"/>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333CD4"/>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333CD4"/>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333CD4"/>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333CD4"/>
    <w:rPr>
      <w:i/>
      <w:iCs/>
      <w:color w:val="404040" w:themeColor="text1" w:themeTint="BF"/>
    </w:rPr>
  </w:style>
  <w:style w:type="paragraph" w:styleId="Listparagraf">
    <w:name w:val="List Paragraph"/>
    <w:basedOn w:val="Normal"/>
    <w:uiPriority w:val="34"/>
    <w:qFormat/>
    <w:rsid w:val="00333CD4"/>
    <w:pPr>
      <w:ind w:left="720"/>
      <w:contextualSpacing/>
    </w:pPr>
  </w:style>
  <w:style w:type="character" w:styleId="Accentuareintens">
    <w:name w:val="Intense Emphasis"/>
    <w:basedOn w:val="Fontdeparagrafimplicit"/>
    <w:uiPriority w:val="21"/>
    <w:qFormat/>
    <w:rsid w:val="00333CD4"/>
    <w:rPr>
      <w:i/>
      <w:iCs/>
      <w:color w:val="2F5496" w:themeColor="accent1" w:themeShade="BF"/>
    </w:rPr>
  </w:style>
  <w:style w:type="paragraph" w:styleId="Citatintens">
    <w:name w:val="Intense Quote"/>
    <w:basedOn w:val="Normal"/>
    <w:next w:val="Normal"/>
    <w:link w:val="CitatintensCaracter"/>
    <w:uiPriority w:val="30"/>
    <w:qFormat/>
    <w:rsid w:val="00333C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333CD4"/>
    <w:rPr>
      <w:i/>
      <w:iCs/>
      <w:color w:val="2F5496" w:themeColor="accent1" w:themeShade="BF"/>
    </w:rPr>
  </w:style>
  <w:style w:type="character" w:styleId="Referireintens">
    <w:name w:val="Intense Reference"/>
    <w:basedOn w:val="Fontdeparagrafimplicit"/>
    <w:uiPriority w:val="32"/>
    <w:qFormat/>
    <w:rsid w:val="00333CD4"/>
    <w:rPr>
      <w:b/>
      <w:bCs/>
      <w:smallCaps/>
      <w:color w:val="2F5496" w:themeColor="accent1" w:themeShade="BF"/>
      <w:spacing w:val="5"/>
    </w:rPr>
  </w:style>
  <w:style w:type="table" w:styleId="Tabelgril">
    <w:name w:val="Table Grid"/>
    <w:basedOn w:val="TabelNormal"/>
    <w:uiPriority w:val="39"/>
    <w:rsid w:val="00337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3C7360"/>
    <w:rPr>
      <w:color w:val="0563C1" w:themeColor="hyperlink"/>
      <w:u w:val="single"/>
    </w:rPr>
  </w:style>
  <w:style w:type="character" w:styleId="MeniuneNerezolvat">
    <w:name w:val="Unresolved Mention"/>
    <w:basedOn w:val="Fontdeparagrafimplicit"/>
    <w:uiPriority w:val="99"/>
    <w:semiHidden/>
    <w:unhideWhenUsed/>
    <w:rsid w:val="00851F7C"/>
    <w:rPr>
      <w:color w:val="605E5C"/>
      <w:shd w:val="clear" w:color="auto" w:fill="E1DFDD"/>
    </w:rPr>
  </w:style>
  <w:style w:type="paragraph" w:styleId="NormalWeb">
    <w:name w:val="Normal (Web)"/>
    <w:basedOn w:val="Normal"/>
    <w:uiPriority w:val="99"/>
    <w:semiHidden/>
    <w:unhideWhenUsed/>
    <w:rsid w:val="00C80D2D"/>
    <w:rPr>
      <w:rFonts w:ascii="Times New Roman" w:hAnsi="Times New Roman" w:cs="Times New Roman"/>
      <w:sz w:val="24"/>
      <w:szCs w:val="24"/>
    </w:rPr>
  </w:style>
  <w:style w:type="paragraph" w:styleId="Antet">
    <w:name w:val="header"/>
    <w:basedOn w:val="Normal"/>
    <w:link w:val="AntetCaracter"/>
    <w:uiPriority w:val="99"/>
    <w:unhideWhenUsed/>
    <w:rsid w:val="00AB6ED1"/>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AB6ED1"/>
  </w:style>
  <w:style w:type="paragraph" w:styleId="Subsol">
    <w:name w:val="footer"/>
    <w:basedOn w:val="Normal"/>
    <w:link w:val="SubsolCaracter"/>
    <w:uiPriority w:val="99"/>
    <w:unhideWhenUsed/>
    <w:rsid w:val="00AB6ED1"/>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B6ED1"/>
  </w:style>
  <w:style w:type="character" w:styleId="Referincomentariu">
    <w:name w:val="annotation reference"/>
    <w:basedOn w:val="Fontdeparagrafimplicit"/>
    <w:uiPriority w:val="99"/>
    <w:semiHidden/>
    <w:unhideWhenUsed/>
    <w:rsid w:val="001765BA"/>
    <w:rPr>
      <w:sz w:val="16"/>
      <w:szCs w:val="16"/>
    </w:rPr>
  </w:style>
  <w:style w:type="paragraph" w:styleId="Textcomentariu">
    <w:name w:val="annotation text"/>
    <w:basedOn w:val="Normal"/>
    <w:link w:val="TextcomentariuCaracter"/>
    <w:uiPriority w:val="99"/>
    <w:unhideWhenUsed/>
    <w:rsid w:val="001765BA"/>
    <w:pPr>
      <w:spacing w:line="240" w:lineRule="auto"/>
    </w:pPr>
    <w:rPr>
      <w:sz w:val="20"/>
      <w:szCs w:val="20"/>
    </w:rPr>
  </w:style>
  <w:style w:type="character" w:customStyle="1" w:styleId="TextcomentariuCaracter">
    <w:name w:val="Text comentariu Caracter"/>
    <w:basedOn w:val="Fontdeparagrafimplicit"/>
    <w:link w:val="Textcomentariu"/>
    <w:uiPriority w:val="99"/>
    <w:rsid w:val="001765BA"/>
    <w:rPr>
      <w:sz w:val="20"/>
      <w:szCs w:val="20"/>
    </w:rPr>
  </w:style>
  <w:style w:type="paragraph" w:styleId="SubiectComentariu">
    <w:name w:val="annotation subject"/>
    <w:basedOn w:val="Textcomentariu"/>
    <w:next w:val="Textcomentariu"/>
    <w:link w:val="SubiectComentariuCaracter"/>
    <w:uiPriority w:val="99"/>
    <w:semiHidden/>
    <w:unhideWhenUsed/>
    <w:rsid w:val="001765BA"/>
    <w:rPr>
      <w:b/>
      <w:bCs/>
    </w:rPr>
  </w:style>
  <w:style w:type="character" w:customStyle="1" w:styleId="SubiectComentariuCaracter">
    <w:name w:val="Subiect Comentariu Caracter"/>
    <w:basedOn w:val="TextcomentariuCaracter"/>
    <w:link w:val="SubiectComentariu"/>
    <w:uiPriority w:val="99"/>
    <w:semiHidden/>
    <w:rsid w:val="001765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8/s41598-019-39341-9" TargetMode="External"/><Relationship Id="rId18" Type="http://schemas.openxmlformats.org/officeDocument/2006/relationships/hyperlink" Target="https://doi.org/10.1146/annurev-ento-031616-035050" TargetMode="External"/><Relationship Id="rId26" Type="http://schemas.openxmlformats.org/officeDocument/2006/relationships/hyperlink" Target="https://doi.org/10.2307/2265694" TargetMode="External"/><Relationship Id="rId21" Type="http://schemas.openxmlformats.org/officeDocument/2006/relationships/hyperlink" Target="https://doi.org/10.1023/A:1008499506052" TargetMode="External"/><Relationship Id="rId34" Type="http://schemas.openxmlformats.org/officeDocument/2006/relationships/footer" Target="footer3.xml"/><Relationship Id="rId7" Type="http://schemas.microsoft.com/office/2011/relationships/commentsExtended" Target="commentsExtended.xml"/><Relationship Id="rId12" Type="http://schemas.openxmlformats.org/officeDocument/2006/relationships/chart" Target="charts/chart2.xml"/><Relationship Id="rId17" Type="http://schemas.openxmlformats.org/officeDocument/2006/relationships/hyperlink" Target="https://doi.org/10.1126/science.1184475" TargetMode="External"/><Relationship Id="rId25" Type="http://schemas.openxmlformats.org/officeDocument/2006/relationships/hyperlink" Target="https://doi.org/10.1038/163688a0" TargetMode="External"/><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doi.org/10.1017/S1464793105006950" TargetMode="External"/><Relationship Id="rId20" Type="http://schemas.openxmlformats.org/officeDocument/2006/relationships/hyperlink" Target="https://doi.org/10.1016/j.aspen.2022.101905"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chart" Target="charts/chart1.xml"/><Relationship Id="rId24" Type="http://schemas.openxmlformats.org/officeDocument/2006/relationships/hyperlink" Target="https://doi.org/10.1016/j.biocon.2019.01.020"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146/annurev.en.41.010196.000451" TargetMode="External"/><Relationship Id="rId23" Type="http://schemas.openxmlformats.org/officeDocument/2006/relationships/hyperlink" Target="https://doi.org/10.1093/aob/mcab065" TargetMode="External"/><Relationship Id="rId28" Type="http://schemas.openxmlformats.org/officeDocument/2006/relationships/hyperlink" Target="https://doi.org/10.1016/j.agee.2021.107708" TargetMode="External"/><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doi.org/10.1007/978-94-009-9626-5" TargetMode="External"/><Relationship Id="rId31" Type="http://schemas.openxmlformats.org/officeDocument/2006/relationships/footer" Target="footer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yperlink" Target="https://doi.org/10.1023/A:1022391977079" TargetMode="External"/><Relationship Id="rId22" Type="http://schemas.openxmlformats.org/officeDocument/2006/relationships/hyperlink" Target="https://doi.org/10.1016/j.ecolind.2023.109876" TargetMode="External"/><Relationship Id="rId27" Type="http://schemas.openxmlformats.org/officeDocument/2006/relationships/hyperlink" Target="https://doi.org/10.1017/S000748530003282X" TargetMode="External"/><Relationship Id="rId30" Type="http://schemas.openxmlformats.org/officeDocument/2006/relationships/header" Target="header2.xml"/><Relationship Id="rId35" Type="http://schemas.openxmlformats.org/officeDocument/2006/relationships/fontTable" Target="fontTable.xml"/><Relationship Id="rId8" Type="http://schemas.microsoft.com/office/2016/09/relationships/commentsIds" Target="commentsIds.xml"/><Relationship Id="rId3"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llesh\Downloads\Synopsis\Maheswari\Paper-1\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llesh\Downloads\Synopsis\Maheswari\Paper-1\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Species Composition of Aquatic Insect Orders</a:t>
            </a:r>
            <a:endParaRPr lang="pt-BR" b="1"/>
          </a:p>
        </c:rich>
      </c:tx>
      <c:layout>
        <c:manualLayout>
          <c:xMode val="edge"/>
          <c:yMode val="edge"/>
          <c:x val="0.15431233595800525"/>
          <c:y val="3.240740740740740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tx>
            <c:strRef>
              <c:f>Sheet1!$C$4</c:f>
              <c:strCache>
                <c:ptCount val="1"/>
                <c:pt idx="0">
                  <c:v>No. of Species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Sheet1!$B$5:$B$9</c:f>
              <c:strCache>
                <c:ptCount val="5"/>
                <c:pt idx="0">
                  <c:v>Diptera</c:v>
                </c:pt>
                <c:pt idx="1">
                  <c:v>Hemiptera</c:v>
                </c:pt>
                <c:pt idx="2">
                  <c:v>Coleoptera</c:v>
                </c:pt>
                <c:pt idx="3">
                  <c:v>Odonata</c:v>
                </c:pt>
                <c:pt idx="4">
                  <c:v>Ephemeroptera</c:v>
                </c:pt>
              </c:strCache>
            </c:strRef>
          </c:cat>
          <c:val>
            <c:numRef>
              <c:f>Sheet1!$C$5:$C$9</c:f>
              <c:numCache>
                <c:formatCode>General</c:formatCode>
                <c:ptCount val="5"/>
                <c:pt idx="0">
                  <c:v>14</c:v>
                </c:pt>
                <c:pt idx="1">
                  <c:v>9</c:v>
                </c:pt>
                <c:pt idx="2">
                  <c:v>7</c:v>
                </c:pt>
                <c:pt idx="3">
                  <c:v>6</c:v>
                </c:pt>
                <c:pt idx="4">
                  <c:v>4</c:v>
                </c:pt>
              </c:numCache>
            </c:numRef>
          </c:val>
          <c:extLst>
            <c:ext xmlns:c16="http://schemas.microsoft.com/office/drawing/2014/chart" uri="{C3380CC4-5D6E-409C-BE32-E72D297353CC}">
              <c16:uniqueId val="{00000000-EA36-43EE-A7A4-20F164DFC415}"/>
            </c:ext>
          </c:extLst>
        </c:ser>
        <c:ser>
          <c:idx val="1"/>
          <c:order val="1"/>
          <c:tx>
            <c:strRef>
              <c:f>Sheet1!$D$4</c:f>
              <c:strCache>
                <c:ptCount val="1"/>
                <c:pt idx="0">
                  <c:v>Percentage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Sheet1!$B$5:$B$9</c:f>
              <c:strCache>
                <c:ptCount val="5"/>
                <c:pt idx="0">
                  <c:v>Diptera</c:v>
                </c:pt>
                <c:pt idx="1">
                  <c:v>Hemiptera</c:v>
                </c:pt>
                <c:pt idx="2">
                  <c:v>Coleoptera</c:v>
                </c:pt>
                <c:pt idx="3">
                  <c:v>Odonata</c:v>
                </c:pt>
                <c:pt idx="4">
                  <c:v>Ephemeroptera</c:v>
                </c:pt>
              </c:strCache>
            </c:strRef>
          </c:cat>
          <c:val>
            <c:numRef>
              <c:f>Sheet1!$D$5:$D$9</c:f>
              <c:numCache>
                <c:formatCode>0.00%</c:formatCode>
                <c:ptCount val="5"/>
                <c:pt idx="0" formatCode="0%">
                  <c:v>0.35</c:v>
                </c:pt>
                <c:pt idx="1">
                  <c:v>0.22500000000000001</c:v>
                </c:pt>
                <c:pt idx="2">
                  <c:v>0.17499999999999999</c:v>
                </c:pt>
                <c:pt idx="3" formatCode="0%">
                  <c:v>0.15</c:v>
                </c:pt>
                <c:pt idx="4" formatCode="0%">
                  <c:v>0.1</c:v>
                </c:pt>
              </c:numCache>
            </c:numRef>
          </c:val>
          <c:extLst>
            <c:ext xmlns:c16="http://schemas.microsoft.com/office/drawing/2014/chart" uri="{C3380CC4-5D6E-409C-BE32-E72D297353CC}">
              <c16:uniqueId val="{00000001-EA36-43EE-A7A4-20F164DFC415}"/>
            </c:ext>
          </c:extLst>
        </c:ser>
        <c:dLbls>
          <c:dLblPos val="outEnd"/>
          <c:showLegendKey val="0"/>
          <c:showVal val="1"/>
          <c:showCatName val="0"/>
          <c:showSerName val="0"/>
          <c:showPercent val="0"/>
          <c:showBubbleSize val="0"/>
        </c:dLbls>
        <c:gapWidth val="219"/>
        <c:overlap val="-27"/>
        <c:axId val="1941145120"/>
        <c:axId val="1941143200"/>
      </c:barChart>
      <c:catAx>
        <c:axId val="19411451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200" b="1"/>
                  <a:t>Order</a:t>
                </a:r>
              </a:p>
            </c:rich>
          </c:tx>
          <c:layout>
            <c:manualLayout>
              <c:xMode val="edge"/>
              <c:yMode val="edge"/>
              <c:x val="0.50463298337707785"/>
              <c:y val="0.8223826188393116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1143200"/>
        <c:crosses val="autoZero"/>
        <c:auto val="1"/>
        <c:lblAlgn val="ctr"/>
        <c:lblOffset val="100"/>
        <c:noMultiLvlLbl val="0"/>
      </c:catAx>
      <c:valAx>
        <c:axId val="194114320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200" b="1"/>
                  <a:t>No. of species &amp; percentage (%)</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114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Functional Feeding Groups of Aquatic Insects</a:t>
            </a:r>
            <a:endParaRPr lang="pt-BR" b="1"/>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tx>
            <c:strRef>
              <c:f>Sheet1!$C$14</c:f>
              <c:strCache>
                <c:ptCount val="1"/>
                <c:pt idx="0">
                  <c:v>No. of Species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Sheet1!$B$15:$B$17</c:f>
              <c:strCache>
                <c:ptCount val="3"/>
                <c:pt idx="0">
                  <c:v>Collectors</c:v>
                </c:pt>
                <c:pt idx="1">
                  <c:v>Predators</c:v>
                </c:pt>
                <c:pt idx="2">
                  <c:v>Grazers</c:v>
                </c:pt>
              </c:strCache>
            </c:strRef>
          </c:cat>
          <c:val>
            <c:numRef>
              <c:f>Sheet1!$C$15:$C$17</c:f>
              <c:numCache>
                <c:formatCode>General</c:formatCode>
                <c:ptCount val="3"/>
                <c:pt idx="0">
                  <c:v>16</c:v>
                </c:pt>
                <c:pt idx="1">
                  <c:v>19</c:v>
                </c:pt>
                <c:pt idx="2">
                  <c:v>5</c:v>
                </c:pt>
              </c:numCache>
            </c:numRef>
          </c:val>
          <c:extLst>
            <c:ext xmlns:c16="http://schemas.microsoft.com/office/drawing/2014/chart" uri="{C3380CC4-5D6E-409C-BE32-E72D297353CC}">
              <c16:uniqueId val="{00000000-EB11-47A6-8C68-E504C921C59F}"/>
            </c:ext>
          </c:extLst>
        </c:ser>
        <c:ser>
          <c:idx val="1"/>
          <c:order val="1"/>
          <c:tx>
            <c:strRef>
              <c:f>Sheet1!$D$14</c:f>
              <c:strCache>
                <c:ptCount val="1"/>
                <c:pt idx="0">
                  <c:v>Percentage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Sheet1!$B$15:$B$17</c:f>
              <c:strCache>
                <c:ptCount val="3"/>
                <c:pt idx="0">
                  <c:v>Collectors</c:v>
                </c:pt>
                <c:pt idx="1">
                  <c:v>Predators</c:v>
                </c:pt>
                <c:pt idx="2">
                  <c:v>Grazers</c:v>
                </c:pt>
              </c:strCache>
            </c:strRef>
          </c:cat>
          <c:val>
            <c:numRef>
              <c:f>Sheet1!$D$15:$D$17</c:f>
              <c:numCache>
                <c:formatCode>0.00%</c:formatCode>
                <c:ptCount val="3"/>
                <c:pt idx="0" formatCode="0%">
                  <c:v>0.4</c:v>
                </c:pt>
                <c:pt idx="1">
                  <c:v>0.47499999999999998</c:v>
                </c:pt>
                <c:pt idx="2">
                  <c:v>0.125</c:v>
                </c:pt>
              </c:numCache>
            </c:numRef>
          </c:val>
          <c:extLst>
            <c:ext xmlns:c16="http://schemas.microsoft.com/office/drawing/2014/chart" uri="{C3380CC4-5D6E-409C-BE32-E72D297353CC}">
              <c16:uniqueId val="{00000001-EB11-47A6-8C68-E504C921C59F}"/>
            </c:ext>
          </c:extLst>
        </c:ser>
        <c:dLbls>
          <c:dLblPos val="outEnd"/>
          <c:showLegendKey val="0"/>
          <c:showVal val="1"/>
          <c:showCatName val="0"/>
          <c:showSerName val="0"/>
          <c:showPercent val="0"/>
          <c:showBubbleSize val="0"/>
        </c:dLbls>
        <c:gapWidth val="219"/>
        <c:overlap val="-27"/>
        <c:axId val="1941148960"/>
        <c:axId val="1941134080"/>
      </c:barChart>
      <c:catAx>
        <c:axId val="194114896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Functional Feeding Groups </a:t>
                </a:r>
                <a:endParaRPr lang="pt-BR" b="1"/>
              </a:p>
            </c:rich>
          </c:tx>
          <c:layout>
            <c:manualLayout>
              <c:xMode val="edge"/>
              <c:yMode val="edge"/>
              <c:x val="0.35282633420822396"/>
              <c:y val="0.7964949693788276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1134080"/>
        <c:crosses val="autoZero"/>
        <c:auto val="1"/>
        <c:lblAlgn val="ctr"/>
        <c:lblOffset val="100"/>
        <c:noMultiLvlLbl val="0"/>
      </c:catAx>
      <c:valAx>
        <c:axId val="194113408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b="1"/>
                  <a:t>No. of species &amp; percentage (%)</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114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1</Pages>
  <Words>6453</Words>
  <Characters>32653</Characters>
  <Application>Microsoft Office Word</Application>
  <DocSecurity>0</DocSecurity>
  <Lines>2176</Lines>
  <Paragraphs>931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Modala Mallesh</dc:creator>
  <cp:keywords/>
  <dc:description/>
  <cp:lastModifiedBy>Pop Adina-Nicoleta</cp:lastModifiedBy>
  <cp:revision>207</cp:revision>
  <cp:lastPrinted>2026-03-20T10:01:00Z</cp:lastPrinted>
  <dcterms:created xsi:type="dcterms:W3CDTF">2026-03-19T09:21:00Z</dcterms:created>
  <dcterms:modified xsi:type="dcterms:W3CDTF">2026-03-23T14:23:00Z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ffd19f20-bdb2-49b1-ad7b-147974dfa212</vt:lpwstr>
  </property>
</Properties>
</file>