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94769" w14:textId="7DB78B4D" w:rsidR="00696B2A" w:rsidRPr="00696B2A" w:rsidRDefault="00696B2A" w:rsidP="00696B2A">
      <w:pPr>
        <w:ind w:left="-284"/>
        <w:rPr>
          <w:rFonts w:ascii="Arial" w:hAnsi="Arial" w:cs="Arial"/>
          <w:b/>
          <w:bCs/>
          <w:sz w:val="36"/>
          <w:szCs w:val="36"/>
          <w:u w:val="single"/>
        </w:rPr>
      </w:pPr>
      <w:r w:rsidRPr="00696B2A">
        <w:rPr>
          <w:rFonts w:ascii="Arial" w:hAnsi="Arial" w:cs="Arial"/>
          <w:b/>
          <w:bCs/>
          <w:sz w:val="36"/>
          <w:szCs w:val="36"/>
          <w:u w:val="single"/>
        </w:rPr>
        <w:t>Original Research Article</w:t>
      </w:r>
    </w:p>
    <w:p w14:paraId="3147EFDB" w14:textId="063E2620" w:rsidR="00314B2B" w:rsidRPr="00E81723" w:rsidRDefault="00314B2B" w:rsidP="00BD3609">
      <w:pPr>
        <w:ind w:left="-284"/>
        <w:jc w:val="right"/>
        <w:rPr>
          <w:rFonts w:ascii="Arial" w:hAnsi="Arial" w:cs="Arial"/>
          <w:b/>
          <w:bCs/>
          <w:sz w:val="36"/>
          <w:szCs w:val="36"/>
        </w:rPr>
      </w:pPr>
      <w:r w:rsidRPr="00E81723">
        <w:rPr>
          <w:rFonts w:ascii="Arial" w:hAnsi="Arial" w:cs="Arial"/>
          <w:b/>
          <w:bCs/>
          <w:sz w:val="36"/>
          <w:szCs w:val="36"/>
        </w:rPr>
        <w:t xml:space="preserve">Protein Alterations in the Alimentary Canal of </w:t>
      </w:r>
      <w:r w:rsidRPr="00E81723">
        <w:rPr>
          <w:rFonts w:ascii="Arial" w:hAnsi="Arial" w:cs="Arial"/>
          <w:b/>
          <w:bCs/>
          <w:i/>
          <w:iCs/>
          <w:sz w:val="36"/>
          <w:szCs w:val="36"/>
        </w:rPr>
        <w:t>Musca domestica</w:t>
      </w:r>
      <w:r w:rsidRPr="00E81723">
        <w:rPr>
          <w:rFonts w:ascii="Arial" w:hAnsi="Arial" w:cs="Arial"/>
          <w:b/>
          <w:bCs/>
          <w:sz w:val="36"/>
          <w:szCs w:val="36"/>
        </w:rPr>
        <w:t xml:space="preserve"> Treated with </w:t>
      </w:r>
      <w:r w:rsidRPr="00E81723">
        <w:rPr>
          <w:rFonts w:ascii="Arial" w:hAnsi="Arial" w:cs="Arial"/>
          <w:b/>
          <w:bCs/>
          <w:i/>
          <w:iCs/>
          <w:sz w:val="36"/>
          <w:szCs w:val="36"/>
        </w:rPr>
        <w:t>Datura innoxia</w:t>
      </w:r>
      <w:r w:rsidRPr="00E81723">
        <w:rPr>
          <w:rFonts w:ascii="Arial" w:hAnsi="Arial" w:cs="Arial"/>
          <w:b/>
          <w:bCs/>
          <w:sz w:val="36"/>
          <w:szCs w:val="36"/>
        </w:rPr>
        <w:t xml:space="preserve"> Seed Extract</w:t>
      </w:r>
    </w:p>
    <w:p w14:paraId="328307CD" w14:textId="77777777" w:rsidR="00696B2A" w:rsidRPr="00696B2A" w:rsidRDefault="00696B2A" w:rsidP="00696B2A">
      <w:pPr>
        <w:pStyle w:val="ListParagraph"/>
        <w:spacing w:after="200" w:line="276" w:lineRule="auto"/>
        <w:ind w:left="-284"/>
        <w:jc w:val="right"/>
        <w:rPr>
          <w:rFonts w:ascii="Arial" w:eastAsia="Times New Roman" w:hAnsi="Arial" w:cs="Arial"/>
          <w:i/>
          <w:iCs/>
          <w:color w:val="000000" w:themeColor="text1"/>
          <w:sz w:val="24"/>
          <w:szCs w:val="24"/>
        </w:rPr>
      </w:pPr>
    </w:p>
    <w:p w14:paraId="67CF234E" w14:textId="77777777" w:rsidR="00696B2A" w:rsidRPr="00696B2A" w:rsidRDefault="00696B2A" w:rsidP="00696B2A">
      <w:pPr>
        <w:pStyle w:val="ListParagraph"/>
        <w:spacing w:after="200" w:line="276" w:lineRule="auto"/>
        <w:ind w:left="-284"/>
        <w:jc w:val="right"/>
        <w:rPr>
          <w:rFonts w:ascii="Arial" w:eastAsia="Times New Roman" w:hAnsi="Arial" w:cs="Arial"/>
          <w:i/>
          <w:iCs/>
          <w:color w:val="000000" w:themeColor="text1"/>
          <w:sz w:val="24"/>
          <w:szCs w:val="24"/>
        </w:rPr>
      </w:pPr>
    </w:p>
    <w:p w14:paraId="22F9E14D" w14:textId="77777777" w:rsidR="00E81723" w:rsidRPr="00E81723" w:rsidRDefault="00E81723" w:rsidP="00BD3609">
      <w:pPr>
        <w:ind w:left="-284"/>
        <w:rPr>
          <w:rFonts w:ascii="Arial" w:hAnsi="Arial" w:cs="Arial"/>
          <w:b/>
          <w:bCs/>
          <w:sz w:val="24"/>
          <w:szCs w:val="24"/>
        </w:rPr>
      </w:pPr>
    </w:p>
    <w:p w14:paraId="2FC9808F" w14:textId="3671118B" w:rsidR="00314B2B" w:rsidRPr="00E81723" w:rsidRDefault="00E81723" w:rsidP="00BD3609">
      <w:pPr>
        <w:ind w:left="-284"/>
        <w:jc w:val="both"/>
        <w:rPr>
          <w:rFonts w:ascii="Arial" w:hAnsi="Arial" w:cs="Arial"/>
          <w:b/>
          <w:bCs/>
        </w:rPr>
      </w:pPr>
      <w:r w:rsidRPr="00E81723">
        <w:rPr>
          <w:rFonts w:ascii="Arial" w:hAnsi="Arial" w:cs="Arial"/>
          <w:b/>
          <w:bCs/>
        </w:rPr>
        <w:t>ABSTRACT</w:t>
      </w:r>
    </w:p>
    <w:p w14:paraId="56332E3D" w14:textId="1EF58DEE" w:rsidR="00314B2B" w:rsidRPr="00E81723" w:rsidRDefault="00314B2B" w:rsidP="00BD3609">
      <w:pPr>
        <w:ind w:left="-284"/>
        <w:jc w:val="both"/>
        <w:rPr>
          <w:rFonts w:ascii="Arial" w:hAnsi="Arial" w:cs="Arial"/>
          <w:sz w:val="20"/>
          <w:szCs w:val="20"/>
        </w:rPr>
      </w:pPr>
      <w:r w:rsidRPr="00E81723">
        <w:rPr>
          <w:rFonts w:ascii="Arial" w:hAnsi="Arial" w:cs="Arial"/>
          <w:sz w:val="20"/>
          <w:szCs w:val="20"/>
        </w:rPr>
        <w:t xml:space="preserve">Botanical insecticides are gaining attention as eco-friendly alternatives to synthetic pesticides. The present study investigates the effect of </w:t>
      </w:r>
      <w:r w:rsidRPr="00E81723">
        <w:rPr>
          <w:rFonts w:ascii="Arial" w:hAnsi="Arial" w:cs="Arial"/>
          <w:i/>
          <w:iCs/>
          <w:sz w:val="20"/>
          <w:szCs w:val="20"/>
        </w:rPr>
        <w:t>Datura innoxia</w:t>
      </w:r>
      <w:r w:rsidRPr="00E81723">
        <w:rPr>
          <w:rFonts w:ascii="Arial" w:hAnsi="Arial" w:cs="Arial"/>
          <w:sz w:val="20"/>
          <w:szCs w:val="20"/>
        </w:rPr>
        <w:t xml:space="preserve"> seed extract on total protein content in different regions of the alimentary canal of </w:t>
      </w:r>
      <w:r w:rsidRPr="00E81723">
        <w:rPr>
          <w:rFonts w:ascii="Arial" w:hAnsi="Arial" w:cs="Arial"/>
          <w:i/>
          <w:iCs/>
          <w:sz w:val="20"/>
          <w:szCs w:val="20"/>
        </w:rPr>
        <w:t>Musca domestica</w:t>
      </w:r>
      <w:r w:rsidRPr="00E81723">
        <w:rPr>
          <w:rFonts w:ascii="Arial" w:hAnsi="Arial" w:cs="Arial"/>
          <w:sz w:val="20"/>
          <w:szCs w:val="20"/>
        </w:rPr>
        <w:t xml:space="preserve"> (housefly), specifically the foregut, midgut, and hindgut. Quantitative protein estimation revealed a progressive reduction in protein levels in treated groups compared with the control. The hindgut showed the highest protein content in the control (66.02%), followed by the foregut (53.58%) and midgut (44.02%). However, after treatment with </w:t>
      </w:r>
      <w:r w:rsidRPr="00E81723">
        <w:rPr>
          <w:rFonts w:ascii="Arial" w:hAnsi="Arial" w:cs="Arial"/>
          <w:i/>
          <w:iCs/>
          <w:sz w:val="20"/>
          <w:szCs w:val="20"/>
        </w:rPr>
        <w:t>D. innoxia</w:t>
      </w:r>
      <w:r w:rsidRPr="00E81723">
        <w:rPr>
          <w:rFonts w:ascii="Arial" w:hAnsi="Arial" w:cs="Arial"/>
          <w:sz w:val="20"/>
          <w:szCs w:val="20"/>
        </w:rPr>
        <w:t xml:space="preserve"> seed extract, protein levels decreased significantly across all gut regions, reaching 42.41%, 34.22%, and 25.11%</w:t>
      </w:r>
      <w:r w:rsidR="00D068D3">
        <w:rPr>
          <w:rFonts w:ascii="Arial" w:hAnsi="Arial" w:cs="Arial"/>
          <w:sz w:val="20"/>
          <w:szCs w:val="20"/>
        </w:rPr>
        <w:t xml:space="preserve">, </w:t>
      </w:r>
      <w:r w:rsidRPr="00E81723">
        <w:rPr>
          <w:rFonts w:ascii="Arial" w:hAnsi="Arial" w:cs="Arial"/>
          <w:sz w:val="20"/>
          <w:szCs w:val="20"/>
        </w:rPr>
        <w:t>respectively</w:t>
      </w:r>
      <w:r w:rsidR="00BC533B" w:rsidRPr="00E81723">
        <w:rPr>
          <w:rFonts w:ascii="Arial" w:hAnsi="Arial" w:cs="Arial"/>
          <w:sz w:val="20"/>
          <w:szCs w:val="20"/>
        </w:rPr>
        <w:t>,</w:t>
      </w:r>
      <w:r w:rsidRPr="00E81723">
        <w:rPr>
          <w:rFonts w:ascii="Arial" w:hAnsi="Arial" w:cs="Arial"/>
          <w:sz w:val="20"/>
          <w:szCs w:val="20"/>
        </w:rPr>
        <w:t xml:space="preserve"> in later experimental groups. These biochemical alterations indicate severe metabolic disruption caused by the phytochemicals present in </w:t>
      </w:r>
      <w:r w:rsidRPr="00E81723">
        <w:rPr>
          <w:rFonts w:ascii="Arial" w:hAnsi="Arial" w:cs="Arial"/>
          <w:i/>
          <w:iCs/>
          <w:sz w:val="20"/>
          <w:szCs w:val="20"/>
        </w:rPr>
        <w:t>D. innoxia</w:t>
      </w:r>
      <w:r w:rsidRPr="00E81723">
        <w:rPr>
          <w:rFonts w:ascii="Arial" w:hAnsi="Arial" w:cs="Arial"/>
          <w:sz w:val="20"/>
          <w:szCs w:val="20"/>
        </w:rPr>
        <w:t xml:space="preserve">. The findings suggest that the seed extract interferes with protein metabolism, digestive enzyme activity, and tissue integrity in the alimentary canal of </w:t>
      </w:r>
      <w:r w:rsidRPr="00E81723">
        <w:rPr>
          <w:rFonts w:ascii="Arial" w:hAnsi="Arial" w:cs="Arial"/>
          <w:i/>
          <w:iCs/>
          <w:sz w:val="20"/>
          <w:szCs w:val="20"/>
        </w:rPr>
        <w:t>M. domestica</w:t>
      </w:r>
      <w:r w:rsidRPr="00E81723">
        <w:rPr>
          <w:rFonts w:ascii="Arial" w:hAnsi="Arial" w:cs="Arial"/>
          <w:sz w:val="20"/>
          <w:szCs w:val="20"/>
        </w:rPr>
        <w:t>, demonstrating its potential as a botanical insecticide.</w:t>
      </w:r>
    </w:p>
    <w:p w14:paraId="3E126FED" w14:textId="55FC8846" w:rsidR="00E81723" w:rsidRPr="00E81723" w:rsidRDefault="00E81723" w:rsidP="00BD3609">
      <w:pPr>
        <w:ind w:left="-284"/>
        <w:jc w:val="both"/>
        <w:rPr>
          <w:rFonts w:ascii="Arial" w:hAnsi="Arial" w:cs="Arial"/>
          <w:sz w:val="20"/>
          <w:szCs w:val="20"/>
        </w:rPr>
      </w:pPr>
      <w:r w:rsidRPr="00E81723">
        <w:rPr>
          <w:rFonts w:ascii="Arial" w:hAnsi="Arial" w:cs="Arial"/>
          <w:sz w:val="20"/>
          <w:szCs w:val="20"/>
        </w:rPr>
        <w:t xml:space="preserve">Keywords: </w:t>
      </w:r>
      <w:r w:rsidRPr="00E81723">
        <w:rPr>
          <w:rFonts w:ascii="Arial" w:hAnsi="Arial" w:cs="Arial"/>
          <w:i/>
          <w:iCs/>
          <w:sz w:val="20"/>
          <w:szCs w:val="20"/>
        </w:rPr>
        <w:t>Musca domestica, Datura innoxia, Extract, Insecticide</w:t>
      </w:r>
    </w:p>
    <w:p w14:paraId="0481C037" w14:textId="77777777" w:rsidR="00314B2B" w:rsidRPr="00E81723" w:rsidRDefault="00314B2B" w:rsidP="00BD3609">
      <w:pPr>
        <w:ind w:left="-284"/>
        <w:jc w:val="both"/>
        <w:rPr>
          <w:rFonts w:ascii="Arial" w:hAnsi="Arial" w:cs="Arial"/>
          <w:b/>
          <w:bCs/>
        </w:rPr>
      </w:pPr>
      <w:r w:rsidRPr="00E81723">
        <w:rPr>
          <w:rFonts w:ascii="Arial" w:hAnsi="Arial" w:cs="Arial"/>
          <w:b/>
          <w:bCs/>
        </w:rPr>
        <w:t>1. Introduction</w:t>
      </w:r>
    </w:p>
    <w:p w14:paraId="24644D0E" w14:textId="2C1D7575" w:rsidR="00314B2B" w:rsidRPr="00E81723" w:rsidRDefault="00314B2B" w:rsidP="00BD3609">
      <w:pPr>
        <w:ind w:left="-284"/>
        <w:jc w:val="both"/>
        <w:rPr>
          <w:rFonts w:ascii="Arial" w:hAnsi="Arial" w:cs="Arial"/>
          <w:sz w:val="20"/>
          <w:szCs w:val="20"/>
        </w:rPr>
      </w:pPr>
      <w:r w:rsidRPr="00E81723">
        <w:rPr>
          <w:rFonts w:ascii="Arial" w:hAnsi="Arial" w:cs="Arial"/>
          <w:sz w:val="20"/>
          <w:szCs w:val="20"/>
        </w:rPr>
        <w:t>Houseflies (</w:t>
      </w:r>
      <w:r w:rsidRPr="00E81723">
        <w:rPr>
          <w:rFonts w:ascii="Arial" w:hAnsi="Arial" w:cs="Arial"/>
          <w:i/>
          <w:iCs/>
          <w:sz w:val="20"/>
          <w:szCs w:val="20"/>
        </w:rPr>
        <w:t>Musca domestica</w:t>
      </w:r>
      <w:r w:rsidRPr="00E81723">
        <w:rPr>
          <w:rFonts w:ascii="Arial" w:hAnsi="Arial" w:cs="Arial"/>
          <w:sz w:val="20"/>
          <w:szCs w:val="20"/>
        </w:rPr>
        <w:t xml:space="preserve">) are among the most common synanthropic insects and act as mechanical vectors of numerous pathogenic microorganisms. Their ability to transmit diseases such as typhoid, cholera, dysentery, and salmonellosis </w:t>
      </w:r>
      <w:commentRangeStart w:id="0"/>
      <w:r w:rsidR="007C0DE3">
        <w:rPr>
          <w:rFonts w:ascii="Arial" w:hAnsi="Arial" w:cs="Arial"/>
          <w:sz w:val="20"/>
          <w:szCs w:val="20"/>
        </w:rPr>
        <w:t>make</w:t>
      </w:r>
      <w:commentRangeEnd w:id="0"/>
      <w:r w:rsidR="007A532F" w:rsidRPr="00E81723">
        <w:rPr>
          <w:rStyle w:val="CommentReference"/>
          <w:rFonts w:ascii="Arial" w:hAnsi="Arial" w:cs="Arial"/>
          <w:sz w:val="20"/>
          <w:szCs w:val="20"/>
        </w:rPr>
        <w:commentReference w:id="0"/>
      </w:r>
      <w:r w:rsidRPr="00E81723">
        <w:rPr>
          <w:rFonts w:ascii="Arial" w:hAnsi="Arial" w:cs="Arial"/>
          <w:sz w:val="20"/>
          <w:szCs w:val="20"/>
        </w:rPr>
        <w:t xml:space="preserve"> them a major public health concern. Conventional chemical insecticides have been widely used to control housefly populations; however, their excessive use has led to environmental pollution, resistance development, and toxicity to non-target organisms.</w:t>
      </w:r>
      <w:r w:rsidR="00BD3609">
        <w:rPr>
          <w:rFonts w:ascii="Arial" w:hAnsi="Arial" w:cs="Arial"/>
          <w:sz w:val="20"/>
          <w:szCs w:val="20"/>
        </w:rPr>
        <w:t xml:space="preserve"> </w:t>
      </w:r>
      <w:r w:rsidRPr="00E81723">
        <w:rPr>
          <w:rFonts w:ascii="Arial" w:hAnsi="Arial" w:cs="Arial"/>
          <w:sz w:val="20"/>
          <w:szCs w:val="20"/>
        </w:rPr>
        <w:t xml:space="preserve">Botanical insecticides derived from plant secondary metabolites are emerging as effective and environmentally safe alternatives. Among these, </w:t>
      </w:r>
      <w:r w:rsidRPr="00E81723">
        <w:rPr>
          <w:rFonts w:ascii="Arial" w:hAnsi="Arial" w:cs="Arial"/>
          <w:i/>
          <w:iCs/>
          <w:sz w:val="20"/>
          <w:szCs w:val="20"/>
        </w:rPr>
        <w:t>Datura innoxia</w:t>
      </w:r>
      <w:r w:rsidRPr="00E81723">
        <w:rPr>
          <w:rFonts w:ascii="Arial" w:hAnsi="Arial" w:cs="Arial"/>
          <w:sz w:val="20"/>
          <w:szCs w:val="20"/>
        </w:rPr>
        <w:t>, a member of the Solanaceae family, is known for its rich content of biologically active compounds such as tropane alkaloids, including atropine and scopolamine. These compounds possess neurotoxic and insecticidal properties that can disrupt physiological and metabolic processes in insects</w:t>
      </w:r>
      <w:r w:rsidR="00BD3609">
        <w:rPr>
          <w:rFonts w:ascii="Arial" w:hAnsi="Arial" w:cs="Arial"/>
          <w:sz w:val="20"/>
          <w:szCs w:val="20"/>
        </w:rPr>
        <w:t xml:space="preserve"> (</w:t>
      </w:r>
      <w:r w:rsidR="00BD3609" w:rsidRPr="00BD3609">
        <w:rPr>
          <w:rFonts w:ascii="Arial" w:hAnsi="Arial" w:cs="Arial"/>
          <w:sz w:val="20"/>
          <w:szCs w:val="20"/>
        </w:rPr>
        <w:t>Abd El-Aziz</w:t>
      </w:r>
      <w:r w:rsidR="00BD3609" w:rsidRPr="00BD3609">
        <w:rPr>
          <w:rFonts w:ascii="Arial" w:hAnsi="Arial" w:cs="Arial"/>
          <w:i/>
          <w:iCs/>
          <w:sz w:val="20"/>
          <w:szCs w:val="20"/>
        </w:rPr>
        <w:t>,</w:t>
      </w:r>
      <w:r w:rsidR="00BD3609">
        <w:rPr>
          <w:rFonts w:ascii="Arial" w:hAnsi="Arial" w:cs="Arial"/>
          <w:i/>
          <w:iCs/>
          <w:sz w:val="20"/>
          <w:szCs w:val="20"/>
        </w:rPr>
        <w:t xml:space="preserve"> </w:t>
      </w:r>
      <w:r w:rsidR="00BD3609" w:rsidRPr="00BD3609">
        <w:rPr>
          <w:rFonts w:ascii="Arial" w:hAnsi="Arial" w:cs="Arial"/>
          <w:sz w:val="20"/>
          <w:szCs w:val="20"/>
        </w:rPr>
        <w:t>2000</w:t>
      </w:r>
      <w:r w:rsidR="00BD3609">
        <w:rPr>
          <w:rFonts w:ascii="Arial" w:hAnsi="Arial" w:cs="Arial"/>
          <w:sz w:val="20"/>
          <w:szCs w:val="20"/>
        </w:rPr>
        <w:t>)</w:t>
      </w:r>
      <w:r w:rsidRPr="00E81723">
        <w:rPr>
          <w:rFonts w:ascii="Arial" w:hAnsi="Arial" w:cs="Arial"/>
          <w:sz w:val="20"/>
          <w:szCs w:val="20"/>
        </w:rPr>
        <w:t>.</w:t>
      </w:r>
    </w:p>
    <w:p w14:paraId="3C756EDE" w14:textId="699DDE10" w:rsidR="00314B2B" w:rsidRPr="00E81723" w:rsidRDefault="00314B2B" w:rsidP="00BD3609">
      <w:pPr>
        <w:ind w:left="-284"/>
        <w:jc w:val="both"/>
        <w:rPr>
          <w:rFonts w:ascii="Arial" w:hAnsi="Arial" w:cs="Arial"/>
          <w:sz w:val="20"/>
          <w:szCs w:val="20"/>
        </w:rPr>
      </w:pPr>
      <w:r w:rsidRPr="00E81723">
        <w:rPr>
          <w:rFonts w:ascii="Arial" w:hAnsi="Arial" w:cs="Arial"/>
          <w:sz w:val="20"/>
          <w:szCs w:val="20"/>
        </w:rPr>
        <w:t xml:space="preserve">In insects, proteins play essential roles in metabolism, enzyme synthesis, tissue structure, and energy regulation. Alterations in protein content often indicate physiological stress or toxicity. The digestive system of insects, consisting of the foregut, midgut, and hindgut, plays a crucial role in nutrient digestion and absorption. Any disruption in these tissues can lead to </w:t>
      </w:r>
      <w:commentRangeStart w:id="1"/>
      <w:r w:rsidRPr="00E81723">
        <w:rPr>
          <w:rFonts w:ascii="Arial" w:hAnsi="Arial" w:cs="Arial"/>
          <w:sz w:val="20"/>
          <w:szCs w:val="20"/>
        </w:rPr>
        <w:t>significant</w:t>
      </w:r>
      <w:commentRangeEnd w:id="1"/>
      <w:r w:rsidR="007A532F" w:rsidRPr="00E81723">
        <w:rPr>
          <w:rStyle w:val="CommentReference"/>
          <w:rFonts w:ascii="Arial" w:hAnsi="Arial" w:cs="Arial"/>
          <w:sz w:val="20"/>
          <w:szCs w:val="20"/>
        </w:rPr>
        <w:commentReference w:id="1"/>
      </w:r>
      <w:r w:rsidRPr="00E81723">
        <w:rPr>
          <w:rFonts w:ascii="Arial" w:hAnsi="Arial" w:cs="Arial"/>
          <w:sz w:val="20"/>
          <w:szCs w:val="20"/>
        </w:rPr>
        <w:t xml:space="preserve"> metabolic imbalance.</w:t>
      </w:r>
      <w:r w:rsidR="00BD3609">
        <w:rPr>
          <w:rFonts w:ascii="Arial" w:hAnsi="Arial" w:cs="Arial"/>
          <w:sz w:val="20"/>
          <w:szCs w:val="20"/>
        </w:rPr>
        <w:t xml:space="preserve"> </w:t>
      </w:r>
      <w:r w:rsidRPr="00E81723">
        <w:rPr>
          <w:rFonts w:ascii="Arial" w:hAnsi="Arial" w:cs="Arial"/>
          <w:sz w:val="20"/>
          <w:szCs w:val="20"/>
        </w:rPr>
        <w:t xml:space="preserve">The present study aims to investigate the biochemical impact of </w:t>
      </w:r>
      <w:r w:rsidRPr="00E81723">
        <w:rPr>
          <w:rFonts w:ascii="Arial" w:hAnsi="Arial" w:cs="Arial"/>
          <w:i/>
          <w:iCs/>
          <w:sz w:val="20"/>
          <w:szCs w:val="20"/>
        </w:rPr>
        <w:t>Datura innoxia</w:t>
      </w:r>
      <w:r w:rsidRPr="00E81723">
        <w:rPr>
          <w:rFonts w:ascii="Arial" w:hAnsi="Arial" w:cs="Arial"/>
          <w:sz w:val="20"/>
          <w:szCs w:val="20"/>
        </w:rPr>
        <w:t xml:space="preserve"> seed extract on total protein content in different gut regions of </w:t>
      </w:r>
      <w:r w:rsidRPr="00E81723">
        <w:rPr>
          <w:rFonts w:ascii="Arial" w:hAnsi="Arial" w:cs="Arial"/>
          <w:i/>
          <w:iCs/>
          <w:sz w:val="20"/>
          <w:szCs w:val="20"/>
        </w:rPr>
        <w:t>Musca domestica</w:t>
      </w:r>
      <w:r w:rsidRPr="00E81723">
        <w:rPr>
          <w:rFonts w:ascii="Arial" w:hAnsi="Arial" w:cs="Arial"/>
          <w:sz w:val="20"/>
          <w:szCs w:val="20"/>
        </w:rPr>
        <w:t>. Understanding these alterations can help evaluate the insecticidal potential of plant-derived compounds and their mechanism of action</w:t>
      </w:r>
      <w:r w:rsidR="00BD3609">
        <w:rPr>
          <w:rFonts w:ascii="Arial" w:hAnsi="Arial" w:cs="Arial"/>
          <w:sz w:val="20"/>
          <w:szCs w:val="20"/>
        </w:rPr>
        <w:t xml:space="preserve"> (</w:t>
      </w:r>
      <w:r w:rsidR="00BD3609" w:rsidRPr="00B521EC">
        <w:rPr>
          <w:rFonts w:ascii="Arial" w:hAnsi="Arial" w:cs="Arial"/>
          <w:sz w:val="20"/>
          <w:szCs w:val="20"/>
        </w:rPr>
        <w:t>Bakr R F</w:t>
      </w:r>
      <w:r w:rsidR="00BD3609">
        <w:rPr>
          <w:rFonts w:ascii="Arial" w:hAnsi="Arial" w:cs="Arial"/>
          <w:sz w:val="20"/>
          <w:szCs w:val="20"/>
        </w:rPr>
        <w:t>, 2007)</w:t>
      </w:r>
      <w:r w:rsidRPr="00E81723">
        <w:rPr>
          <w:rFonts w:ascii="Arial" w:hAnsi="Arial" w:cs="Arial"/>
          <w:sz w:val="20"/>
          <w:szCs w:val="20"/>
        </w:rPr>
        <w:t>.</w:t>
      </w:r>
    </w:p>
    <w:p w14:paraId="002B03B5" w14:textId="77777777" w:rsidR="00314B2B" w:rsidRPr="00DF0FA7" w:rsidRDefault="00314B2B" w:rsidP="00BD3609">
      <w:pPr>
        <w:ind w:left="-284"/>
        <w:jc w:val="both"/>
        <w:rPr>
          <w:rFonts w:ascii="Arial" w:hAnsi="Arial" w:cs="Arial"/>
          <w:b/>
          <w:bCs/>
        </w:rPr>
      </w:pPr>
      <w:r w:rsidRPr="00DF0FA7">
        <w:rPr>
          <w:rFonts w:ascii="Arial" w:hAnsi="Arial" w:cs="Arial"/>
          <w:b/>
          <w:bCs/>
        </w:rPr>
        <w:t>2. Materials and Methods</w:t>
      </w:r>
    </w:p>
    <w:p w14:paraId="0D39EE0E" w14:textId="77777777" w:rsidR="00314B2B" w:rsidRPr="00E81723" w:rsidRDefault="00314B2B" w:rsidP="00BD3609">
      <w:pPr>
        <w:ind w:left="-284"/>
        <w:jc w:val="both"/>
        <w:rPr>
          <w:rFonts w:ascii="Arial" w:hAnsi="Arial" w:cs="Arial"/>
          <w:b/>
          <w:bCs/>
          <w:sz w:val="20"/>
          <w:szCs w:val="20"/>
        </w:rPr>
      </w:pPr>
      <w:r w:rsidRPr="00E81723">
        <w:rPr>
          <w:rFonts w:ascii="Arial" w:hAnsi="Arial" w:cs="Arial"/>
          <w:b/>
          <w:bCs/>
          <w:sz w:val="20"/>
          <w:szCs w:val="20"/>
        </w:rPr>
        <w:t>2.1 Collection of Experimental Insects</w:t>
      </w:r>
    </w:p>
    <w:p w14:paraId="026E4484" w14:textId="51F4F1C4" w:rsidR="00314B2B" w:rsidRPr="00E81723" w:rsidRDefault="00314B2B" w:rsidP="00BD3609">
      <w:pPr>
        <w:ind w:left="-284"/>
        <w:jc w:val="both"/>
        <w:rPr>
          <w:rFonts w:ascii="Arial" w:hAnsi="Arial" w:cs="Arial"/>
          <w:sz w:val="20"/>
          <w:szCs w:val="20"/>
        </w:rPr>
      </w:pPr>
      <w:r w:rsidRPr="00E81723">
        <w:rPr>
          <w:rFonts w:ascii="Arial" w:hAnsi="Arial" w:cs="Arial"/>
          <w:sz w:val="20"/>
          <w:szCs w:val="20"/>
        </w:rPr>
        <w:lastRenderedPageBreak/>
        <w:t>Adult houseflies (</w:t>
      </w:r>
      <w:r w:rsidRPr="00E81723">
        <w:rPr>
          <w:rFonts w:ascii="Arial" w:hAnsi="Arial" w:cs="Arial"/>
          <w:i/>
          <w:iCs/>
          <w:sz w:val="20"/>
          <w:szCs w:val="20"/>
        </w:rPr>
        <w:t>Musca domestica</w:t>
      </w:r>
      <w:r w:rsidRPr="00E81723">
        <w:rPr>
          <w:rFonts w:ascii="Arial" w:hAnsi="Arial" w:cs="Arial"/>
          <w:sz w:val="20"/>
          <w:szCs w:val="20"/>
        </w:rPr>
        <w:t>) were collected from local environments and maintained under laboratory conditions. The insects were reared in controlled temperature and humidity with access to standard food</w:t>
      </w:r>
      <w:r w:rsidR="00BD3609">
        <w:rPr>
          <w:rFonts w:ascii="Arial" w:hAnsi="Arial" w:cs="Arial"/>
          <w:sz w:val="20"/>
          <w:szCs w:val="20"/>
        </w:rPr>
        <w:t xml:space="preserve"> </w:t>
      </w:r>
      <w:r w:rsidR="00BD3609" w:rsidRPr="00BD3609">
        <w:rPr>
          <w:rFonts w:ascii="Arial" w:hAnsi="Arial" w:cs="Arial"/>
          <w:sz w:val="20"/>
          <w:szCs w:val="20"/>
        </w:rPr>
        <w:t>(Jyoti M. C.</w:t>
      </w:r>
      <w:r w:rsidR="00BD3609">
        <w:rPr>
          <w:rFonts w:ascii="Arial" w:hAnsi="Arial" w:cs="Arial"/>
          <w:sz w:val="20"/>
          <w:szCs w:val="20"/>
        </w:rPr>
        <w:t xml:space="preserve">, </w:t>
      </w:r>
      <w:r w:rsidR="00BD3609" w:rsidRPr="00BD3609">
        <w:rPr>
          <w:rFonts w:ascii="Arial" w:hAnsi="Arial" w:cs="Arial"/>
          <w:sz w:val="20"/>
          <w:szCs w:val="20"/>
        </w:rPr>
        <w:t>2018</w:t>
      </w:r>
      <w:r w:rsidR="007A532F">
        <w:rPr>
          <w:rFonts w:ascii="Arial" w:hAnsi="Arial" w:cs="Arial"/>
          <w:sz w:val="20"/>
          <w:szCs w:val="20"/>
        </w:rPr>
        <w:t>;</w:t>
      </w:r>
      <w:r w:rsidR="007C0DE3">
        <w:rPr>
          <w:rFonts w:ascii="Arial" w:hAnsi="Arial" w:cs="Arial"/>
          <w:sz w:val="20"/>
          <w:szCs w:val="20"/>
        </w:rPr>
        <w:t xml:space="preserve"> Jangam D. V., 2025</w:t>
      </w:r>
      <w:r w:rsidR="00BD3609" w:rsidRPr="00BD3609">
        <w:rPr>
          <w:rFonts w:ascii="Arial" w:hAnsi="Arial" w:cs="Arial"/>
          <w:sz w:val="20"/>
          <w:szCs w:val="20"/>
        </w:rPr>
        <w:t>)</w:t>
      </w:r>
      <w:r w:rsidRPr="00E81723">
        <w:rPr>
          <w:rFonts w:ascii="Arial" w:hAnsi="Arial" w:cs="Arial"/>
          <w:sz w:val="20"/>
          <w:szCs w:val="20"/>
        </w:rPr>
        <w:t>.</w:t>
      </w:r>
    </w:p>
    <w:p w14:paraId="5B472AFF" w14:textId="77777777" w:rsidR="00314B2B" w:rsidRPr="00E81723" w:rsidRDefault="00314B2B" w:rsidP="00BD3609">
      <w:pPr>
        <w:ind w:left="-284"/>
        <w:jc w:val="both"/>
        <w:rPr>
          <w:rFonts w:ascii="Arial" w:hAnsi="Arial" w:cs="Arial"/>
          <w:b/>
          <w:bCs/>
          <w:sz w:val="20"/>
          <w:szCs w:val="20"/>
        </w:rPr>
      </w:pPr>
      <w:r w:rsidRPr="00E81723">
        <w:rPr>
          <w:rFonts w:ascii="Arial" w:hAnsi="Arial" w:cs="Arial"/>
          <w:b/>
          <w:bCs/>
          <w:sz w:val="20"/>
          <w:szCs w:val="20"/>
        </w:rPr>
        <w:t>2.2 Preparation of Plant Extract</w:t>
      </w:r>
    </w:p>
    <w:p w14:paraId="54496C48" w14:textId="5AEE30C8" w:rsidR="00314B2B" w:rsidRPr="00E81723" w:rsidRDefault="00314B2B" w:rsidP="00BD3609">
      <w:pPr>
        <w:ind w:left="-284"/>
        <w:jc w:val="both"/>
        <w:rPr>
          <w:rFonts w:ascii="Arial" w:hAnsi="Arial" w:cs="Arial"/>
          <w:sz w:val="20"/>
          <w:szCs w:val="20"/>
        </w:rPr>
      </w:pPr>
      <w:r w:rsidRPr="00E81723">
        <w:rPr>
          <w:rFonts w:ascii="Arial" w:hAnsi="Arial" w:cs="Arial"/>
          <w:sz w:val="20"/>
          <w:szCs w:val="20"/>
        </w:rPr>
        <w:t xml:space="preserve">Seeds of </w:t>
      </w:r>
      <w:r w:rsidRPr="00E81723">
        <w:rPr>
          <w:rFonts w:ascii="Arial" w:hAnsi="Arial" w:cs="Arial"/>
          <w:i/>
          <w:iCs/>
          <w:sz w:val="20"/>
          <w:szCs w:val="20"/>
        </w:rPr>
        <w:t>Datura innoxia</w:t>
      </w:r>
      <w:r w:rsidRPr="00E81723">
        <w:rPr>
          <w:rFonts w:ascii="Arial" w:hAnsi="Arial" w:cs="Arial"/>
          <w:sz w:val="20"/>
          <w:szCs w:val="20"/>
        </w:rPr>
        <w:t xml:space="preserve"> were collected, washed, and dried. The dried seeds were powdered and subjected to solvent extraction to obtain the crude seed extract. The extract was concentrated and stored for experimental use</w:t>
      </w:r>
      <w:r w:rsidR="00BD3609">
        <w:rPr>
          <w:rFonts w:ascii="Arial" w:hAnsi="Arial" w:cs="Arial"/>
          <w:sz w:val="20"/>
          <w:szCs w:val="20"/>
        </w:rPr>
        <w:t xml:space="preserve"> (</w:t>
      </w:r>
      <w:r w:rsidR="00BD3609" w:rsidRPr="00B521EC">
        <w:rPr>
          <w:rFonts w:ascii="Arial" w:hAnsi="Arial" w:cs="Arial"/>
          <w:sz w:val="20"/>
          <w:szCs w:val="20"/>
        </w:rPr>
        <w:t>Upadhyay RK</w:t>
      </w:r>
      <w:r w:rsidR="002348A0">
        <w:rPr>
          <w:rFonts w:ascii="Arial" w:hAnsi="Arial" w:cs="Arial"/>
          <w:sz w:val="20"/>
          <w:szCs w:val="20"/>
        </w:rPr>
        <w:t>, 2011</w:t>
      </w:r>
      <w:r w:rsidR="007C0DE3">
        <w:rPr>
          <w:rFonts w:ascii="Arial" w:hAnsi="Arial" w:cs="Arial"/>
          <w:sz w:val="20"/>
          <w:szCs w:val="20"/>
        </w:rPr>
        <w:t>; Jangam D. V., 2025</w:t>
      </w:r>
      <w:r w:rsidR="00BD3609">
        <w:rPr>
          <w:rFonts w:ascii="Arial" w:hAnsi="Arial" w:cs="Arial"/>
          <w:sz w:val="20"/>
          <w:szCs w:val="20"/>
        </w:rPr>
        <w:t>)</w:t>
      </w:r>
      <w:r w:rsidRPr="00E81723">
        <w:rPr>
          <w:rFonts w:ascii="Arial" w:hAnsi="Arial" w:cs="Arial"/>
          <w:sz w:val="20"/>
          <w:szCs w:val="20"/>
        </w:rPr>
        <w:t>.</w:t>
      </w:r>
    </w:p>
    <w:p w14:paraId="1FCBE278" w14:textId="77777777" w:rsidR="00314B2B" w:rsidRPr="00E81723" w:rsidRDefault="00314B2B" w:rsidP="00BD3609">
      <w:pPr>
        <w:ind w:left="-284"/>
        <w:jc w:val="both"/>
        <w:rPr>
          <w:rFonts w:ascii="Arial" w:hAnsi="Arial" w:cs="Arial"/>
          <w:b/>
          <w:bCs/>
          <w:sz w:val="20"/>
          <w:szCs w:val="20"/>
        </w:rPr>
      </w:pPr>
      <w:r w:rsidRPr="00E81723">
        <w:rPr>
          <w:rFonts w:ascii="Arial" w:hAnsi="Arial" w:cs="Arial"/>
          <w:b/>
          <w:bCs/>
          <w:sz w:val="20"/>
          <w:szCs w:val="20"/>
        </w:rPr>
        <w:t>2.3 Experimental Design</w:t>
      </w:r>
    </w:p>
    <w:p w14:paraId="5F0749CC" w14:textId="10FFB013" w:rsidR="00314B2B" w:rsidRPr="00E81723" w:rsidRDefault="00314B2B" w:rsidP="002348A0">
      <w:pPr>
        <w:ind w:left="-284"/>
        <w:jc w:val="both"/>
        <w:rPr>
          <w:rFonts w:ascii="Arial" w:hAnsi="Arial" w:cs="Arial"/>
          <w:sz w:val="20"/>
          <w:szCs w:val="20"/>
        </w:rPr>
      </w:pPr>
      <w:r w:rsidRPr="00E81723">
        <w:rPr>
          <w:rFonts w:ascii="Arial" w:hAnsi="Arial" w:cs="Arial"/>
          <w:sz w:val="20"/>
          <w:szCs w:val="20"/>
        </w:rPr>
        <w:t xml:space="preserve">Houseflies were divided into control and treatment groups. The treatment groups were exposed to different concentrations or exposure durations of </w:t>
      </w:r>
      <w:r w:rsidRPr="00E81723">
        <w:rPr>
          <w:rFonts w:ascii="Arial" w:hAnsi="Arial" w:cs="Arial"/>
          <w:i/>
          <w:iCs/>
          <w:sz w:val="20"/>
          <w:szCs w:val="20"/>
        </w:rPr>
        <w:t>Datura innoxia</w:t>
      </w:r>
      <w:r w:rsidRPr="00E81723">
        <w:rPr>
          <w:rFonts w:ascii="Arial" w:hAnsi="Arial" w:cs="Arial"/>
          <w:sz w:val="20"/>
          <w:szCs w:val="20"/>
        </w:rPr>
        <w:t xml:space="preserve"> seed extract. After exposure, insects were dissected</w:t>
      </w:r>
      <w:r w:rsidR="002F7FF2" w:rsidRPr="00E81723">
        <w:rPr>
          <w:rFonts w:ascii="Arial" w:hAnsi="Arial" w:cs="Arial"/>
          <w:sz w:val="20"/>
          <w:szCs w:val="20"/>
        </w:rPr>
        <w:t>,</w:t>
      </w:r>
      <w:r w:rsidRPr="00E81723">
        <w:rPr>
          <w:rFonts w:ascii="Arial" w:hAnsi="Arial" w:cs="Arial"/>
          <w:sz w:val="20"/>
          <w:szCs w:val="20"/>
        </w:rPr>
        <w:t xml:space="preserve"> and the alimentary canal was separated into</w:t>
      </w:r>
      <w:r w:rsidR="002348A0">
        <w:rPr>
          <w:rFonts w:ascii="Arial" w:hAnsi="Arial" w:cs="Arial"/>
          <w:sz w:val="20"/>
          <w:szCs w:val="20"/>
        </w:rPr>
        <w:t xml:space="preserve"> </w:t>
      </w:r>
      <w:r w:rsidRPr="00E81723">
        <w:rPr>
          <w:rFonts w:ascii="Arial" w:hAnsi="Arial" w:cs="Arial"/>
          <w:sz w:val="20"/>
          <w:szCs w:val="20"/>
        </w:rPr>
        <w:t>Foregut (FG)</w:t>
      </w:r>
      <w:r w:rsidR="002F7FF2" w:rsidRPr="00E81723">
        <w:rPr>
          <w:rFonts w:ascii="Arial" w:hAnsi="Arial" w:cs="Arial"/>
          <w:sz w:val="20"/>
          <w:szCs w:val="20"/>
        </w:rPr>
        <w:t xml:space="preserve">, </w:t>
      </w:r>
      <w:r w:rsidRPr="00E81723">
        <w:rPr>
          <w:rFonts w:ascii="Arial" w:hAnsi="Arial" w:cs="Arial"/>
          <w:sz w:val="20"/>
          <w:szCs w:val="20"/>
        </w:rPr>
        <w:t>Midgut (MG)</w:t>
      </w:r>
      <w:r w:rsidR="002F7FF2" w:rsidRPr="00E81723">
        <w:rPr>
          <w:rFonts w:ascii="Arial" w:hAnsi="Arial" w:cs="Arial"/>
          <w:sz w:val="20"/>
          <w:szCs w:val="20"/>
        </w:rPr>
        <w:t xml:space="preserve">, </w:t>
      </w:r>
      <w:commentRangeStart w:id="2"/>
      <w:r w:rsidRPr="00E81723">
        <w:rPr>
          <w:rFonts w:ascii="Arial" w:hAnsi="Arial" w:cs="Arial"/>
          <w:sz w:val="20"/>
          <w:szCs w:val="20"/>
        </w:rPr>
        <w:t>Hindgut</w:t>
      </w:r>
      <w:commentRangeEnd w:id="2"/>
      <w:r w:rsidR="007A532F" w:rsidRPr="00E81723">
        <w:rPr>
          <w:rStyle w:val="CommentReference"/>
          <w:rFonts w:ascii="Arial" w:hAnsi="Arial" w:cs="Arial"/>
          <w:sz w:val="20"/>
          <w:szCs w:val="20"/>
        </w:rPr>
        <w:commentReference w:id="2"/>
      </w:r>
      <w:r w:rsidRPr="00E81723">
        <w:rPr>
          <w:rFonts w:ascii="Arial" w:hAnsi="Arial" w:cs="Arial"/>
          <w:sz w:val="20"/>
          <w:szCs w:val="20"/>
        </w:rPr>
        <w:t xml:space="preserve"> (HG)</w:t>
      </w:r>
      <w:r w:rsidR="007C0DE3">
        <w:rPr>
          <w:rFonts w:ascii="Arial" w:hAnsi="Arial" w:cs="Arial"/>
          <w:sz w:val="20"/>
          <w:szCs w:val="20"/>
        </w:rPr>
        <w:t xml:space="preserve"> (Jangam D. V., 2025)</w:t>
      </w:r>
    </w:p>
    <w:p w14:paraId="35A70BC6" w14:textId="77777777" w:rsidR="00314B2B" w:rsidRPr="00E81723" w:rsidRDefault="00314B2B" w:rsidP="00BD3609">
      <w:pPr>
        <w:ind w:left="-284"/>
        <w:jc w:val="both"/>
        <w:rPr>
          <w:rFonts w:ascii="Arial" w:hAnsi="Arial" w:cs="Arial"/>
          <w:b/>
          <w:bCs/>
          <w:sz w:val="20"/>
          <w:szCs w:val="20"/>
        </w:rPr>
      </w:pPr>
      <w:r w:rsidRPr="00E81723">
        <w:rPr>
          <w:rFonts w:ascii="Arial" w:hAnsi="Arial" w:cs="Arial"/>
          <w:b/>
          <w:bCs/>
          <w:sz w:val="20"/>
          <w:szCs w:val="20"/>
        </w:rPr>
        <w:t>2.4 Protein Estimation</w:t>
      </w:r>
    </w:p>
    <w:p w14:paraId="67AEF0EF" w14:textId="7BE46EF8" w:rsidR="00314B2B" w:rsidRDefault="00314B2B" w:rsidP="002348A0">
      <w:pPr>
        <w:ind w:left="-284"/>
        <w:jc w:val="both"/>
        <w:rPr>
          <w:rFonts w:ascii="Arial" w:hAnsi="Arial" w:cs="Arial"/>
          <w:sz w:val="20"/>
          <w:szCs w:val="20"/>
        </w:rPr>
      </w:pPr>
      <w:r w:rsidRPr="00E81723">
        <w:rPr>
          <w:rFonts w:ascii="Arial" w:hAnsi="Arial" w:cs="Arial"/>
          <w:sz w:val="20"/>
          <w:szCs w:val="20"/>
        </w:rPr>
        <w:t>Total protein content was estimated using a standard biochemical method</w:t>
      </w:r>
      <w:r w:rsidR="002F7FF2" w:rsidRPr="00E81723">
        <w:rPr>
          <w:rFonts w:ascii="Arial" w:hAnsi="Arial" w:cs="Arial"/>
          <w:sz w:val="20"/>
          <w:szCs w:val="20"/>
        </w:rPr>
        <w:t>,</w:t>
      </w:r>
      <w:r w:rsidRPr="00E81723">
        <w:rPr>
          <w:rFonts w:ascii="Arial" w:hAnsi="Arial" w:cs="Arial"/>
          <w:sz w:val="20"/>
          <w:szCs w:val="20"/>
        </w:rPr>
        <w:t xml:space="preserve"> such as the Lowry or Bradford assay. Tissue homogenates from each gut region were prepared and </w:t>
      </w:r>
      <w:r w:rsidR="002F7FF2" w:rsidRPr="00E81723">
        <w:rPr>
          <w:rFonts w:ascii="Arial" w:hAnsi="Arial" w:cs="Arial"/>
          <w:sz w:val="20"/>
          <w:szCs w:val="20"/>
        </w:rPr>
        <w:t>analysed</w:t>
      </w:r>
      <w:r w:rsidRPr="00E81723">
        <w:rPr>
          <w:rFonts w:ascii="Arial" w:hAnsi="Arial" w:cs="Arial"/>
          <w:sz w:val="20"/>
          <w:szCs w:val="20"/>
        </w:rPr>
        <w:t xml:space="preserve"> spectrophotometrically.</w:t>
      </w:r>
      <w:r w:rsidR="002348A0">
        <w:rPr>
          <w:rFonts w:ascii="Arial" w:hAnsi="Arial" w:cs="Arial"/>
          <w:sz w:val="20"/>
          <w:szCs w:val="20"/>
        </w:rPr>
        <w:t xml:space="preserve"> </w:t>
      </w:r>
      <w:r w:rsidRPr="00E81723">
        <w:rPr>
          <w:rFonts w:ascii="Arial" w:hAnsi="Arial" w:cs="Arial"/>
          <w:sz w:val="20"/>
          <w:szCs w:val="20"/>
        </w:rPr>
        <w:t>Protein values were calculated and expressed as percentage protein content</w:t>
      </w:r>
      <w:r w:rsidR="002348A0">
        <w:rPr>
          <w:rFonts w:ascii="Arial" w:hAnsi="Arial" w:cs="Arial"/>
          <w:sz w:val="20"/>
          <w:szCs w:val="20"/>
        </w:rPr>
        <w:t xml:space="preserve"> (Lowery O.H., 1951)</w:t>
      </w:r>
      <w:r w:rsidRPr="00E81723">
        <w:rPr>
          <w:rFonts w:ascii="Arial" w:hAnsi="Arial" w:cs="Arial"/>
          <w:sz w:val="20"/>
          <w:szCs w:val="20"/>
        </w:rPr>
        <w:t>.</w:t>
      </w:r>
    </w:p>
    <w:p w14:paraId="691072E6" w14:textId="31A9C566" w:rsidR="00A81618" w:rsidRPr="00A81618" w:rsidRDefault="00A81618" w:rsidP="002348A0">
      <w:pPr>
        <w:ind w:left="-284"/>
        <w:jc w:val="both"/>
        <w:rPr>
          <w:rFonts w:ascii="Arial" w:hAnsi="Arial" w:cs="Arial"/>
          <w:b/>
          <w:bCs/>
          <w:sz w:val="20"/>
          <w:szCs w:val="20"/>
        </w:rPr>
      </w:pPr>
      <w:r>
        <w:rPr>
          <w:rFonts w:ascii="Arial" w:hAnsi="Arial" w:cs="Arial"/>
          <w:b/>
          <w:bCs/>
          <w:sz w:val="20"/>
          <w:szCs w:val="20"/>
        </w:rPr>
        <w:t xml:space="preserve">2.5 </w:t>
      </w:r>
      <w:r w:rsidRPr="00A81618">
        <w:rPr>
          <w:rFonts w:ascii="Arial" w:hAnsi="Arial" w:cs="Arial"/>
          <w:b/>
          <w:bCs/>
          <w:sz w:val="20"/>
          <w:szCs w:val="20"/>
        </w:rPr>
        <w:t>Statistical Analysis</w:t>
      </w:r>
    </w:p>
    <w:p w14:paraId="5EE7C13B" w14:textId="4E9FF1EA" w:rsidR="00A81618" w:rsidRPr="00E81723" w:rsidRDefault="00A81618" w:rsidP="002348A0">
      <w:pPr>
        <w:ind w:left="-284"/>
        <w:jc w:val="both"/>
        <w:rPr>
          <w:rFonts w:ascii="Arial" w:hAnsi="Arial" w:cs="Arial"/>
          <w:sz w:val="20"/>
          <w:szCs w:val="20"/>
        </w:rPr>
      </w:pPr>
      <w:r w:rsidRPr="00A81618">
        <w:rPr>
          <w:rFonts w:ascii="Arial" w:hAnsi="Arial" w:cs="Arial"/>
          <w:sz w:val="20"/>
          <w:szCs w:val="20"/>
        </w:rPr>
        <w:t xml:space="preserve">Results were tested by One-Way Analysis of Variance (ANOVA), then confirmed by Tukey’s test (means comparison) using Graph Pad software (3.6). </w:t>
      </w:r>
    </w:p>
    <w:p w14:paraId="3D5DF856" w14:textId="3692F5B6" w:rsidR="00314B2B" w:rsidRPr="00DF0FA7" w:rsidRDefault="00314B2B" w:rsidP="00BD3609">
      <w:pPr>
        <w:ind w:left="-284"/>
        <w:jc w:val="both"/>
        <w:rPr>
          <w:rFonts w:ascii="Arial" w:hAnsi="Arial" w:cs="Arial"/>
          <w:b/>
          <w:bCs/>
        </w:rPr>
      </w:pPr>
      <w:r w:rsidRPr="00DF0FA7">
        <w:rPr>
          <w:rFonts w:ascii="Arial" w:hAnsi="Arial" w:cs="Arial"/>
          <w:b/>
          <w:bCs/>
        </w:rPr>
        <w:t>3. Results</w:t>
      </w:r>
      <w:r w:rsidR="00DF0FA7" w:rsidRPr="00DF0FA7">
        <w:rPr>
          <w:rFonts w:ascii="Arial" w:hAnsi="Arial" w:cs="Arial"/>
          <w:b/>
          <w:bCs/>
        </w:rPr>
        <w:t xml:space="preserve"> AND Discussion</w:t>
      </w:r>
    </w:p>
    <w:p w14:paraId="382E1300" w14:textId="77777777" w:rsidR="002F7FF2" w:rsidRPr="00E81723" w:rsidRDefault="002F7FF2" w:rsidP="00BD3609">
      <w:pPr>
        <w:ind w:left="-284"/>
        <w:rPr>
          <w:rFonts w:ascii="Arial" w:hAnsi="Arial" w:cs="Arial"/>
        </w:rPr>
      </w:pPr>
    </w:p>
    <w:p w14:paraId="5A9BAA0F" w14:textId="77777777" w:rsidR="002F7FF2" w:rsidRDefault="002F7FF2" w:rsidP="00BD3609">
      <w:pPr>
        <w:ind w:left="-284"/>
        <w:jc w:val="center"/>
        <w:rPr>
          <w:rFonts w:ascii="Arial" w:hAnsi="Arial" w:cs="Arial"/>
        </w:rPr>
      </w:pPr>
      <w:r w:rsidRPr="00E81723">
        <w:rPr>
          <w:rFonts w:ascii="Arial" w:hAnsi="Arial" w:cs="Arial"/>
          <w:noProof/>
        </w:rPr>
        <w:drawing>
          <wp:inline distT="0" distB="0" distL="0" distR="0" wp14:anchorId="111BFF6C" wp14:editId="079C3A8C">
            <wp:extent cx="3794472" cy="2607516"/>
            <wp:effectExtent l="19050" t="19050" r="15875" b="21590"/>
            <wp:docPr id="1697933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0143" cy="2625157"/>
                    </a:xfrm>
                    <a:prstGeom prst="rect">
                      <a:avLst/>
                    </a:prstGeom>
                    <a:noFill/>
                    <a:ln w="9525">
                      <a:solidFill>
                        <a:schemeClr val="tx1"/>
                      </a:solidFill>
                    </a:ln>
                  </pic:spPr>
                </pic:pic>
              </a:graphicData>
            </a:graphic>
          </wp:inline>
        </w:drawing>
      </w:r>
    </w:p>
    <w:p w14:paraId="67B271B9" w14:textId="1712C89B" w:rsidR="00DF0FA7" w:rsidRPr="004949E5" w:rsidRDefault="00DF0FA7" w:rsidP="00BD3609">
      <w:pPr>
        <w:ind w:left="-284"/>
        <w:jc w:val="center"/>
        <w:rPr>
          <w:rFonts w:ascii="Arial" w:hAnsi="Arial" w:cs="Arial"/>
          <w:b/>
          <w:bCs/>
          <w:sz w:val="20"/>
          <w:szCs w:val="20"/>
        </w:rPr>
      </w:pPr>
      <w:r w:rsidRPr="004949E5">
        <w:rPr>
          <w:rFonts w:ascii="Arial" w:hAnsi="Arial" w:cs="Arial"/>
          <w:b/>
          <w:bCs/>
          <w:sz w:val="20"/>
          <w:szCs w:val="20"/>
        </w:rPr>
        <w:t xml:space="preserve">Fig. 1. Effect of </w:t>
      </w:r>
      <w:r w:rsidRPr="004949E5">
        <w:rPr>
          <w:rFonts w:ascii="Arial" w:hAnsi="Arial" w:cs="Arial"/>
          <w:b/>
          <w:bCs/>
          <w:i/>
          <w:iCs/>
          <w:sz w:val="20"/>
          <w:szCs w:val="20"/>
        </w:rPr>
        <w:t>Datura innoxia</w:t>
      </w:r>
      <w:r w:rsidRPr="004949E5">
        <w:rPr>
          <w:rFonts w:ascii="Arial" w:hAnsi="Arial" w:cs="Arial"/>
          <w:b/>
          <w:bCs/>
          <w:sz w:val="20"/>
          <w:szCs w:val="20"/>
        </w:rPr>
        <w:t xml:space="preserve"> seed extract on the </w:t>
      </w:r>
      <w:r w:rsidR="00D65FE8">
        <w:rPr>
          <w:rFonts w:ascii="Arial" w:hAnsi="Arial" w:cs="Arial"/>
          <w:b/>
          <w:bCs/>
          <w:sz w:val="20"/>
          <w:szCs w:val="20"/>
        </w:rPr>
        <w:t>a</w:t>
      </w:r>
      <w:r w:rsidRPr="004949E5">
        <w:rPr>
          <w:rFonts w:ascii="Arial" w:hAnsi="Arial" w:cs="Arial"/>
          <w:b/>
          <w:bCs/>
          <w:sz w:val="20"/>
          <w:szCs w:val="20"/>
        </w:rPr>
        <w:t xml:space="preserve">limentary Canal (Foregut) of </w:t>
      </w:r>
      <w:r w:rsidRPr="004949E5">
        <w:rPr>
          <w:rFonts w:ascii="Arial" w:hAnsi="Arial" w:cs="Arial"/>
          <w:b/>
          <w:bCs/>
          <w:i/>
          <w:iCs/>
          <w:sz w:val="20"/>
          <w:szCs w:val="20"/>
        </w:rPr>
        <w:t xml:space="preserve">Musca </w:t>
      </w:r>
      <w:r w:rsidR="007A3FEA" w:rsidRPr="004949E5">
        <w:rPr>
          <w:rFonts w:ascii="Arial" w:hAnsi="Arial" w:cs="Arial"/>
          <w:b/>
          <w:bCs/>
          <w:i/>
          <w:iCs/>
          <w:sz w:val="20"/>
          <w:szCs w:val="20"/>
        </w:rPr>
        <w:t xml:space="preserve">domestica </w:t>
      </w:r>
      <w:r w:rsidR="007A3FEA" w:rsidRPr="004949E5">
        <w:rPr>
          <w:rFonts w:ascii="Arial" w:hAnsi="Arial" w:cs="Arial"/>
          <w:sz w:val="20"/>
          <w:szCs w:val="20"/>
        </w:rPr>
        <w:t>(</w:t>
      </w:r>
      <w:r w:rsidRPr="004949E5">
        <w:rPr>
          <w:rFonts w:ascii="Arial" w:hAnsi="Arial" w:cs="Arial"/>
          <w:sz w:val="20"/>
          <w:szCs w:val="20"/>
        </w:rPr>
        <w:t xml:space="preserve">Mean ± SE, </w:t>
      </w:r>
      <w:r w:rsidR="007A3FEA" w:rsidRPr="004949E5">
        <w:rPr>
          <w:rFonts w:ascii="Arial" w:hAnsi="Arial" w:cs="Arial"/>
          <w:sz w:val="20"/>
          <w:szCs w:val="20"/>
        </w:rPr>
        <w:t>Significant at</w:t>
      </w:r>
      <w:r w:rsidRPr="004949E5">
        <w:rPr>
          <w:rFonts w:ascii="Arial" w:hAnsi="Arial" w:cs="Arial"/>
          <w:sz w:val="20"/>
          <w:szCs w:val="20"/>
        </w:rPr>
        <w:t xml:space="preserve"> *P</w:t>
      </w:r>
      <w:r w:rsidR="007A3FEA" w:rsidRPr="004949E5">
        <w:rPr>
          <w:rFonts w:ascii="Arial" w:hAnsi="Arial" w:cs="Arial"/>
          <w:sz w:val="20"/>
          <w:szCs w:val="20"/>
        </w:rPr>
        <w:t xml:space="preserve"> </w:t>
      </w:r>
      <w:r w:rsidRPr="004949E5">
        <w:rPr>
          <w:rFonts w:ascii="Arial" w:hAnsi="Arial" w:cs="Arial"/>
          <w:sz w:val="20"/>
          <w:szCs w:val="20"/>
        </w:rPr>
        <w:t>&lt;</w:t>
      </w:r>
      <w:r w:rsidR="007A3FEA" w:rsidRPr="004949E5">
        <w:rPr>
          <w:rFonts w:ascii="Arial" w:hAnsi="Arial" w:cs="Arial"/>
          <w:sz w:val="20"/>
          <w:szCs w:val="20"/>
        </w:rPr>
        <w:t xml:space="preserve"> </w:t>
      </w:r>
      <w:r w:rsidRPr="004949E5">
        <w:rPr>
          <w:rFonts w:ascii="Arial" w:hAnsi="Arial" w:cs="Arial"/>
          <w:sz w:val="20"/>
          <w:szCs w:val="20"/>
        </w:rPr>
        <w:t>0.001 compared with control)</w:t>
      </w:r>
      <w:r w:rsidRPr="004949E5">
        <w:rPr>
          <w:rFonts w:ascii="Arial" w:hAnsi="Arial" w:cs="Arial"/>
          <w:b/>
          <w:bCs/>
          <w:i/>
          <w:iCs/>
          <w:sz w:val="20"/>
          <w:szCs w:val="20"/>
        </w:rPr>
        <w:t xml:space="preserve"> </w:t>
      </w:r>
    </w:p>
    <w:p w14:paraId="20D7F118" w14:textId="77777777" w:rsidR="002F7FF2" w:rsidRDefault="002F7FF2" w:rsidP="00BD3609">
      <w:pPr>
        <w:ind w:left="-284"/>
        <w:jc w:val="center"/>
        <w:rPr>
          <w:rFonts w:ascii="Arial" w:hAnsi="Arial" w:cs="Arial"/>
        </w:rPr>
      </w:pPr>
      <w:r w:rsidRPr="00E81723">
        <w:rPr>
          <w:rFonts w:ascii="Arial" w:hAnsi="Arial" w:cs="Arial"/>
          <w:noProof/>
        </w:rPr>
        <w:lastRenderedPageBreak/>
        <w:drawing>
          <wp:inline distT="0" distB="0" distL="0" distR="0" wp14:anchorId="1B255522" wp14:editId="2382564F">
            <wp:extent cx="3911758" cy="2603500"/>
            <wp:effectExtent l="19050" t="19050" r="12700" b="25400"/>
            <wp:docPr id="9399590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7611" cy="2607396"/>
                    </a:xfrm>
                    <a:prstGeom prst="rect">
                      <a:avLst/>
                    </a:prstGeom>
                    <a:noFill/>
                    <a:ln w="9525">
                      <a:solidFill>
                        <a:schemeClr val="tx1"/>
                      </a:solidFill>
                    </a:ln>
                  </pic:spPr>
                </pic:pic>
              </a:graphicData>
            </a:graphic>
          </wp:inline>
        </w:drawing>
      </w:r>
    </w:p>
    <w:p w14:paraId="1748F1EC" w14:textId="7E296988" w:rsidR="002F7FF2" w:rsidRPr="004949E5" w:rsidRDefault="00332745" w:rsidP="00BD3609">
      <w:pPr>
        <w:ind w:left="-284"/>
        <w:jc w:val="center"/>
        <w:rPr>
          <w:rFonts w:ascii="Arial" w:hAnsi="Arial" w:cs="Arial"/>
          <w:b/>
          <w:bCs/>
          <w:sz w:val="20"/>
          <w:szCs w:val="20"/>
        </w:rPr>
      </w:pPr>
      <w:r w:rsidRPr="004949E5">
        <w:rPr>
          <w:rFonts w:ascii="Arial" w:hAnsi="Arial" w:cs="Arial"/>
          <w:b/>
          <w:bCs/>
          <w:sz w:val="20"/>
          <w:szCs w:val="20"/>
        </w:rPr>
        <w:t xml:space="preserve">Fig. </w:t>
      </w:r>
      <w:r w:rsidR="004802A5">
        <w:rPr>
          <w:rFonts w:ascii="Arial" w:hAnsi="Arial" w:cs="Arial"/>
          <w:b/>
          <w:bCs/>
          <w:sz w:val="20"/>
          <w:szCs w:val="20"/>
        </w:rPr>
        <w:t>2</w:t>
      </w:r>
      <w:r w:rsidRPr="004949E5">
        <w:rPr>
          <w:rFonts w:ascii="Arial" w:hAnsi="Arial" w:cs="Arial"/>
          <w:b/>
          <w:bCs/>
          <w:sz w:val="20"/>
          <w:szCs w:val="20"/>
        </w:rPr>
        <w:t xml:space="preserve">. Effect of </w:t>
      </w:r>
      <w:r w:rsidRPr="004949E5">
        <w:rPr>
          <w:rFonts w:ascii="Arial" w:hAnsi="Arial" w:cs="Arial"/>
          <w:b/>
          <w:bCs/>
          <w:i/>
          <w:iCs/>
          <w:sz w:val="20"/>
          <w:szCs w:val="20"/>
        </w:rPr>
        <w:t>Datura innoxia</w:t>
      </w:r>
      <w:r w:rsidRPr="004949E5">
        <w:rPr>
          <w:rFonts w:ascii="Arial" w:hAnsi="Arial" w:cs="Arial"/>
          <w:b/>
          <w:bCs/>
          <w:sz w:val="20"/>
          <w:szCs w:val="20"/>
        </w:rPr>
        <w:t xml:space="preserve"> seed extract on the </w:t>
      </w:r>
      <w:r w:rsidR="00D65FE8">
        <w:rPr>
          <w:rFonts w:ascii="Arial" w:hAnsi="Arial" w:cs="Arial"/>
          <w:b/>
          <w:bCs/>
          <w:sz w:val="20"/>
          <w:szCs w:val="20"/>
        </w:rPr>
        <w:t>a</w:t>
      </w:r>
      <w:r w:rsidRPr="004949E5">
        <w:rPr>
          <w:rFonts w:ascii="Arial" w:hAnsi="Arial" w:cs="Arial"/>
          <w:b/>
          <w:bCs/>
          <w:sz w:val="20"/>
          <w:szCs w:val="20"/>
        </w:rPr>
        <w:t xml:space="preserve">limentary Canal (Midgut) of </w:t>
      </w:r>
      <w:r w:rsidRPr="004949E5">
        <w:rPr>
          <w:rFonts w:ascii="Arial" w:hAnsi="Arial" w:cs="Arial"/>
          <w:b/>
          <w:bCs/>
          <w:i/>
          <w:iCs/>
          <w:sz w:val="20"/>
          <w:szCs w:val="20"/>
        </w:rPr>
        <w:t xml:space="preserve">Musca </w:t>
      </w:r>
      <w:r w:rsidR="007A3FEA" w:rsidRPr="004949E5">
        <w:rPr>
          <w:rFonts w:ascii="Arial" w:hAnsi="Arial" w:cs="Arial"/>
          <w:b/>
          <w:bCs/>
          <w:i/>
          <w:iCs/>
          <w:sz w:val="20"/>
          <w:szCs w:val="20"/>
        </w:rPr>
        <w:t xml:space="preserve">domestica </w:t>
      </w:r>
      <w:r w:rsidR="007A3FEA" w:rsidRPr="004949E5">
        <w:rPr>
          <w:rFonts w:ascii="Arial" w:hAnsi="Arial" w:cs="Arial"/>
          <w:sz w:val="20"/>
          <w:szCs w:val="20"/>
        </w:rPr>
        <w:t>(</w:t>
      </w:r>
      <w:r w:rsidRPr="004949E5">
        <w:rPr>
          <w:rFonts w:ascii="Arial" w:hAnsi="Arial" w:cs="Arial"/>
          <w:sz w:val="20"/>
          <w:szCs w:val="20"/>
        </w:rPr>
        <w:t xml:space="preserve">Mean ± SE, </w:t>
      </w:r>
      <w:r w:rsidR="007A3FEA" w:rsidRPr="004949E5">
        <w:rPr>
          <w:rFonts w:ascii="Arial" w:hAnsi="Arial" w:cs="Arial"/>
          <w:sz w:val="20"/>
          <w:szCs w:val="20"/>
        </w:rPr>
        <w:t>Significant at</w:t>
      </w:r>
      <w:r w:rsidRPr="004949E5">
        <w:rPr>
          <w:rFonts w:ascii="Arial" w:hAnsi="Arial" w:cs="Arial"/>
          <w:sz w:val="20"/>
          <w:szCs w:val="20"/>
        </w:rPr>
        <w:t xml:space="preserve"> *P</w:t>
      </w:r>
      <w:r w:rsidR="007A3FEA" w:rsidRPr="004949E5">
        <w:rPr>
          <w:rFonts w:ascii="Arial" w:hAnsi="Arial" w:cs="Arial"/>
          <w:sz w:val="20"/>
          <w:szCs w:val="20"/>
        </w:rPr>
        <w:t xml:space="preserve"> </w:t>
      </w:r>
      <w:r w:rsidRPr="004949E5">
        <w:rPr>
          <w:rFonts w:ascii="Arial" w:hAnsi="Arial" w:cs="Arial"/>
          <w:sz w:val="20"/>
          <w:szCs w:val="20"/>
        </w:rPr>
        <w:t>&lt;</w:t>
      </w:r>
      <w:r w:rsidR="007A3FEA" w:rsidRPr="004949E5">
        <w:rPr>
          <w:rFonts w:ascii="Arial" w:hAnsi="Arial" w:cs="Arial"/>
          <w:sz w:val="20"/>
          <w:szCs w:val="20"/>
        </w:rPr>
        <w:t xml:space="preserve"> </w:t>
      </w:r>
      <w:r w:rsidRPr="004949E5">
        <w:rPr>
          <w:rFonts w:ascii="Arial" w:hAnsi="Arial" w:cs="Arial"/>
          <w:sz w:val="20"/>
          <w:szCs w:val="20"/>
        </w:rPr>
        <w:t>0.001 compared with control)</w:t>
      </w:r>
    </w:p>
    <w:p w14:paraId="578698CC" w14:textId="77777777" w:rsidR="00332745" w:rsidRDefault="002F7FF2" w:rsidP="00BD3609">
      <w:pPr>
        <w:ind w:left="-284"/>
        <w:jc w:val="center"/>
        <w:rPr>
          <w:rFonts w:ascii="Arial" w:hAnsi="Arial" w:cs="Arial"/>
          <w:b/>
          <w:bCs/>
        </w:rPr>
      </w:pPr>
      <w:r w:rsidRPr="00E81723">
        <w:rPr>
          <w:rFonts w:ascii="Arial" w:hAnsi="Arial" w:cs="Arial"/>
          <w:noProof/>
        </w:rPr>
        <mc:AlternateContent>
          <mc:Choice Requires="wps">
            <w:drawing>
              <wp:inline distT="0" distB="0" distL="0" distR="0" wp14:anchorId="6487D7AF" wp14:editId="4A6A3588">
                <wp:extent cx="304800" cy="304800"/>
                <wp:effectExtent l="0" t="0" r="0" b="0"/>
                <wp:docPr id="77487672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431323"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81723">
        <w:rPr>
          <w:rFonts w:ascii="Arial" w:hAnsi="Arial" w:cs="Arial"/>
          <w:noProof/>
        </w:rPr>
        <w:drawing>
          <wp:inline distT="0" distB="0" distL="0" distR="0" wp14:anchorId="67947DE4" wp14:editId="4839A9D2">
            <wp:extent cx="3956652" cy="2679463"/>
            <wp:effectExtent l="19050" t="19050" r="25400" b="26035"/>
            <wp:docPr id="150179653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70924" cy="2689128"/>
                    </a:xfrm>
                    <a:prstGeom prst="rect">
                      <a:avLst/>
                    </a:prstGeom>
                    <a:noFill/>
                    <a:ln w="9525">
                      <a:solidFill>
                        <a:schemeClr val="tx1"/>
                      </a:solidFill>
                    </a:ln>
                  </pic:spPr>
                </pic:pic>
              </a:graphicData>
            </a:graphic>
          </wp:inline>
        </w:drawing>
      </w:r>
    </w:p>
    <w:p w14:paraId="50FDCBD5" w14:textId="6495CAB1" w:rsidR="002F7FF2" w:rsidRDefault="00332745" w:rsidP="00BD3609">
      <w:pPr>
        <w:ind w:left="-284"/>
        <w:jc w:val="center"/>
        <w:rPr>
          <w:rFonts w:ascii="Arial" w:hAnsi="Arial" w:cs="Arial"/>
        </w:rPr>
      </w:pPr>
      <w:r w:rsidRPr="004949E5">
        <w:rPr>
          <w:rFonts w:ascii="Arial" w:hAnsi="Arial" w:cs="Arial"/>
          <w:b/>
          <w:bCs/>
          <w:sz w:val="20"/>
          <w:szCs w:val="20"/>
        </w:rPr>
        <w:t xml:space="preserve">Fig. </w:t>
      </w:r>
      <w:r w:rsidR="004802A5">
        <w:rPr>
          <w:rFonts w:ascii="Arial" w:hAnsi="Arial" w:cs="Arial"/>
          <w:b/>
          <w:bCs/>
          <w:sz w:val="20"/>
          <w:szCs w:val="20"/>
        </w:rPr>
        <w:t>3</w:t>
      </w:r>
      <w:r w:rsidRPr="004949E5">
        <w:rPr>
          <w:rFonts w:ascii="Arial" w:hAnsi="Arial" w:cs="Arial"/>
          <w:b/>
          <w:bCs/>
          <w:sz w:val="20"/>
          <w:szCs w:val="20"/>
        </w:rPr>
        <w:t xml:space="preserve">. Effect of </w:t>
      </w:r>
      <w:r w:rsidRPr="004949E5">
        <w:rPr>
          <w:rFonts w:ascii="Arial" w:hAnsi="Arial" w:cs="Arial"/>
          <w:b/>
          <w:bCs/>
          <w:i/>
          <w:iCs/>
          <w:sz w:val="20"/>
          <w:szCs w:val="20"/>
        </w:rPr>
        <w:t>Datura innoxia</w:t>
      </w:r>
      <w:r w:rsidRPr="004949E5">
        <w:rPr>
          <w:rFonts w:ascii="Arial" w:hAnsi="Arial" w:cs="Arial"/>
          <w:b/>
          <w:bCs/>
          <w:sz w:val="20"/>
          <w:szCs w:val="20"/>
        </w:rPr>
        <w:t xml:space="preserve"> seed extract on the </w:t>
      </w:r>
      <w:r w:rsidR="00D65FE8">
        <w:rPr>
          <w:rFonts w:ascii="Arial" w:hAnsi="Arial" w:cs="Arial"/>
          <w:b/>
          <w:bCs/>
          <w:sz w:val="20"/>
          <w:szCs w:val="20"/>
        </w:rPr>
        <w:t>a</w:t>
      </w:r>
      <w:r w:rsidRPr="004949E5">
        <w:rPr>
          <w:rFonts w:ascii="Arial" w:hAnsi="Arial" w:cs="Arial"/>
          <w:b/>
          <w:bCs/>
          <w:sz w:val="20"/>
          <w:szCs w:val="20"/>
        </w:rPr>
        <w:t xml:space="preserve">limentary Canal (Hindgut) of </w:t>
      </w:r>
      <w:r w:rsidRPr="004949E5">
        <w:rPr>
          <w:rFonts w:ascii="Arial" w:hAnsi="Arial" w:cs="Arial"/>
          <w:b/>
          <w:bCs/>
          <w:i/>
          <w:iCs/>
          <w:sz w:val="20"/>
          <w:szCs w:val="20"/>
        </w:rPr>
        <w:t xml:space="preserve">Musca </w:t>
      </w:r>
      <w:r w:rsidR="007A3FEA" w:rsidRPr="004949E5">
        <w:rPr>
          <w:rFonts w:ascii="Arial" w:hAnsi="Arial" w:cs="Arial"/>
          <w:b/>
          <w:bCs/>
          <w:i/>
          <w:iCs/>
          <w:sz w:val="20"/>
          <w:szCs w:val="20"/>
        </w:rPr>
        <w:t xml:space="preserve">domestica </w:t>
      </w:r>
      <w:r w:rsidR="007A3FEA" w:rsidRPr="007A3FEA">
        <w:rPr>
          <w:rFonts w:ascii="Arial" w:hAnsi="Arial" w:cs="Arial"/>
        </w:rPr>
        <w:t>(</w:t>
      </w:r>
      <w:r w:rsidRPr="007A3FEA">
        <w:rPr>
          <w:rFonts w:ascii="Arial" w:hAnsi="Arial" w:cs="Arial"/>
        </w:rPr>
        <w:t xml:space="preserve">Mean ± SE, </w:t>
      </w:r>
      <w:r w:rsidR="007A3FEA" w:rsidRPr="007A3FEA">
        <w:rPr>
          <w:rFonts w:ascii="Arial" w:hAnsi="Arial" w:cs="Arial"/>
        </w:rPr>
        <w:t>Significant at</w:t>
      </w:r>
      <w:r w:rsidRPr="007A3FEA">
        <w:rPr>
          <w:rFonts w:ascii="Arial" w:hAnsi="Arial" w:cs="Arial"/>
        </w:rPr>
        <w:t xml:space="preserve"> *P</w:t>
      </w:r>
      <w:r w:rsidR="007A3FEA" w:rsidRPr="007A3FEA">
        <w:rPr>
          <w:rFonts w:ascii="Arial" w:hAnsi="Arial" w:cs="Arial"/>
        </w:rPr>
        <w:t xml:space="preserve"> </w:t>
      </w:r>
      <w:r w:rsidRPr="007A3FEA">
        <w:rPr>
          <w:rFonts w:ascii="Arial" w:hAnsi="Arial" w:cs="Arial"/>
        </w:rPr>
        <w:t>&lt;</w:t>
      </w:r>
      <w:r w:rsidR="007A3FEA" w:rsidRPr="007A3FEA">
        <w:rPr>
          <w:rFonts w:ascii="Arial" w:hAnsi="Arial" w:cs="Arial"/>
        </w:rPr>
        <w:t xml:space="preserve"> </w:t>
      </w:r>
      <w:r w:rsidRPr="007A3FEA">
        <w:rPr>
          <w:rFonts w:ascii="Arial" w:hAnsi="Arial" w:cs="Arial"/>
        </w:rPr>
        <w:t>0.001 compared with control)</w:t>
      </w:r>
      <w:r w:rsidRPr="007A3FEA">
        <w:rPr>
          <w:rFonts w:ascii="Arial" w:hAnsi="Arial" w:cs="Arial"/>
          <w:i/>
          <w:iCs/>
        </w:rPr>
        <w:t xml:space="preserve"> </w:t>
      </w:r>
    </w:p>
    <w:p w14:paraId="7DB2E693" w14:textId="0582179C" w:rsidR="00F27D9E" w:rsidRDefault="00F27D9E" w:rsidP="002348A0">
      <w:pPr>
        <w:ind w:left="-284"/>
        <w:jc w:val="both"/>
        <w:rPr>
          <w:rFonts w:ascii="Arial" w:hAnsi="Arial" w:cs="Arial"/>
          <w:sz w:val="20"/>
          <w:szCs w:val="20"/>
        </w:rPr>
      </w:pPr>
      <w:r w:rsidRPr="00F27D9E">
        <w:rPr>
          <w:rFonts w:ascii="Arial" w:hAnsi="Arial" w:cs="Arial"/>
          <w:sz w:val="20"/>
          <w:szCs w:val="20"/>
        </w:rPr>
        <w:t xml:space="preserve">Based on the biological effects of plant extracts containing high levels of alkaloids like those found in </w:t>
      </w:r>
      <w:r w:rsidRPr="00F27D9E">
        <w:rPr>
          <w:rFonts w:ascii="Arial" w:hAnsi="Arial" w:cs="Arial"/>
          <w:i/>
          <w:iCs/>
          <w:sz w:val="20"/>
          <w:szCs w:val="20"/>
        </w:rPr>
        <w:t>Datura innoxia</w:t>
      </w:r>
      <w:r w:rsidRPr="00F27D9E">
        <w:rPr>
          <w:rFonts w:ascii="Arial" w:hAnsi="Arial" w:cs="Arial"/>
          <w:sz w:val="20"/>
          <w:szCs w:val="20"/>
        </w:rPr>
        <w:t xml:space="preserve"> (primarily tropane alkaloids such as scopolamine and atropine), it is highly likely that the total protein content in the foregut of treated </w:t>
      </w:r>
      <w:r w:rsidRPr="00F27D9E">
        <w:rPr>
          <w:rFonts w:ascii="Arial" w:hAnsi="Arial" w:cs="Arial"/>
          <w:i/>
          <w:iCs/>
          <w:sz w:val="20"/>
          <w:szCs w:val="20"/>
        </w:rPr>
        <w:t>Musca domestica</w:t>
      </w:r>
      <w:r w:rsidRPr="00F27D9E">
        <w:rPr>
          <w:rFonts w:ascii="Arial" w:hAnsi="Arial" w:cs="Arial"/>
          <w:sz w:val="20"/>
          <w:szCs w:val="20"/>
        </w:rPr>
        <w:t xml:space="preserve"> would be significantly decreased compared to the untreated control.</w:t>
      </w:r>
    </w:p>
    <w:p w14:paraId="02270684" w14:textId="77777777" w:rsidR="002348A0" w:rsidRPr="007A3FEA" w:rsidRDefault="002348A0" w:rsidP="002348A0">
      <w:pPr>
        <w:ind w:left="-284"/>
        <w:jc w:val="center"/>
        <w:rPr>
          <w:rFonts w:ascii="Arial" w:hAnsi="Arial" w:cs="Arial"/>
          <w:b/>
          <w:bCs/>
        </w:rPr>
      </w:pPr>
      <w:r w:rsidRPr="007A3FEA">
        <w:rPr>
          <w:rFonts w:ascii="Arial" w:hAnsi="Arial" w:cs="Arial"/>
          <w:b/>
          <w:bCs/>
        </w:rPr>
        <w:t xml:space="preserve">Table 1. Total Protein Content in Different Gut </w:t>
      </w:r>
      <w:commentRangeStart w:id="3"/>
      <w:r w:rsidRPr="007A3FEA">
        <w:rPr>
          <w:rFonts w:ascii="Arial" w:hAnsi="Arial" w:cs="Arial"/>
          <w:b/>
          <w:bCs/>
        </w:rPr>
        <w:t>Region</w:t>
      </w:r>
      <w:commentRangeEnd w:id="3"/>
      <w:r w:rsidR="00D068D3" w:rsidRPr="007A3FEA">
        <w:rPr>
          <w:rStyle w:val="CommentReference"/>
          <w:rFonts w:ascii="Arial" w:hAnsi="Arial" w:cs="Arial"/>
          <w:b/>
          <w:bCs/>
          <w:sz w:val="22"/>
          <w:szCs w:val="22"/>
        </w:rPr>
        <w:commentReference w:id="3"/>
      </w:r>
    </w:p>
    <w:tbl>
      <w:tblPr>
        <w:tblStyle w:val="GridTable1Ligh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166"/>
        <w:gridCol w:w="1066"/>
        <w:gridCol w:w="1155"/>
      </w:tblGrid>
      <w:tr w:rsidR="002348A0" w:rsidRPr="007A3FEA" w14:paraId="5A4CD34D" w14:textId="77777777" w:rsidTr="0081468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2E319F8A" w14:textId="77777777" w:rsidR="002348A0" w:rsidRPr="007A3FEA" w:rsidRDefault="002348A0" w:rsidP="00814685">
            <w:pPr>
              <w:spacing w:after="160" w:line="259" w:lineRule="auto"/>
              <w:ind w:left="-284"/>
              <w:jc w:val="center"/>
              <w:rPr>
                <w:rFonts w:ascii="Arial" w:hAnsi="Arial" w:cs="Arial"/>
                <w:sz w:val="20"/>
                <w:szCs w:val="20"/>
              </w:rPr>
            </w:pPr>
            <w:r w:rsidRPr="007A3FEA">
              <w:rPr>
                <w:rFonts w:ascii="Arial" w:hAnsi="Arial" w:cs="Arial"/>
                <w:sz w:val="20"/>
                <w:szCs w:val="20"/>
              </w:rPr>
              <w:t>Group</w:t>
            </w:r>
          </w:p>
        </w:tc>
        <w:tc>
          <w:tcPr>
            <w:tcW w:w="0" w:type="auto"/>
            <w:tcBorders>
              <w:bottom w:val="none" w:sz="0" w:space="0" w:color="auto"/>
            </w:tcBorders>
            <w:hideMark/>
          </w:tcPr>
          <w:p w14:paraId="40C243B5" w14:textId="77777777" w:rsidR="002348A0" w:rsidRPr="007A3FEA" w:rsidRDefault="002348A0" w:rsidP="00814685">
            <w:pPr>
              <w:spacing w:after="160" w:line="259" w:lineRule="auto"/>
              <w:ind w:left="-284"/>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Hindgut (%)</w:t>
            </w:r>
          </w:p>
        </w:tc>
        <w:tc>
          <w:tcPr>
            <w:tcW w:w="0" w:type="auto"/>
            <w:tcBorders>
              <w:bottom w:val="none" w:sz="0" w:space="0" w:color="auto"/>
            </w:tcBorders>
            <w:hideMark/>
          </w:tcPr>
          <w:p w14:paraId="77AC47AC" w14:textId="77777777" w:rsidR="002348A0" w:rsidRPr="007A3FEA" w:rsidRDefault="002348A0" w:rsidP="00814685">
            <w:pPr>
              <w:spacing w:after="160" w:line="259" w:lineRule="auto"/>
              <w:ind w:left="-284"/>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Midgut (%)</w:t>
            </w:r>
          </w:p>
        </w:tc>
        <w:tc>
          <w:tcPr>
            <w:tcW w:w="0" w:type="auto"/>
            <w:tcBorders>
              <w:bottom w:val="none" w:sz="0" w:space="0" w:color="auto"/>
            </w:tcBorders>
            <w:hideMark/>
          </w:tcPr>
          <w:p w14:paraId="27469848" w14:textId="77777777" w:rsidR="002348A0" w:rsidRPr="007A3FEA" w:rsidRDefault="002348A0" w:rsidP="00814685">
            <w:pPr>
              <w:spacing w:after="160" w:line="259" w:lineRule="auto"/>
              <w:ind w:left="-284"/>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Foregut (%)</w:t>
            </w:r>
          </w:p>
        </w:tc>
      </w:tr>
      <w:tr w:rsidR="002348A0" w:rsidRPr="007A3FEA" w14:paraId="600E9301" w14:textId="77777777" w:rsidTr="0081468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53264F" w14:textId="77777777" w:rsidR="002348A0" w:rsidRPr="007A3FEA" w:rsidRDefault="002348A0" w:rsidP="00814685">
            <w:pPr>
              <w:spacing w:after="160" w:line="259" w:lineRule="auto"/>
              <w:ind w:left="-284"/>
              <w:jc w:val="center"/>
              <w:rPr>
                <w:rFonts w:ascii="Arial" w:hAnsi="Arial" w:cs="Arial"/>
                <w:sz w:val="20"/>
                <w:szCs w:val="20"/>
              </w:rPr>
            </w:pPr>
            <w:r w:rsidRPr="007A3FEA">
              <w:rPr>
                <w:rFonts w:ascii="Arial" w:hAnsi="Arial" w:cs="Arial"/>
                <w:sz w:val="20"/>
                <w:szCs w:val="20"/>
              </w:rPr>
              <w:t>Group 1 (Control)</w:t>
            </w:r>
          </w:p>
        </w:tc>
        <w:tc>
          <w:tcPr>
            <w:tcW w:w="0" w:type="auto"/>
            <w:hideMark/>
          </w:tcPr>
          <w:p w14:paraId="20F18FC6"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44.023</w:t>
            </w:r>
          </w:p>
        </w:tc>
        <w:tc>
          <w:tcPr>
            <w:tcW w:w="0" w:type="auto"/>
            <w:hideMark/>
          </w:tcPr>
          <w:p w14:paraId="6E25680F"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44.017</w:t>
            </w:r>
          </w:p>
        </w:tc>
        <w:tc>
          <w:tcPr>
            <w:tcW w:w="0" w:type="auto"/>
            <w:hideMark/>
          </w:tcPr>
          <w:p w14:paraId="2C15EC14"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53.576</w:t>
            </w:r>
          </w:p>
        </w:tc>
      </w:tr>
      <w:tr w:rsidR="002348A0" w:rsidRPr="007A3FEA" w14:paraId="4886819F" w14:textId="77777777" w:rsidTr="0081468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2A821A" w14:textId="77777777" w:rsidR="002348A0" w:rsidRPr="007A3FEA" w:rsidRDefault="002348A0" w:rsidP="00814685">
            <w:pPr>
              <w:spacing w:after="160" w:line="259" w:lineRule="auto"/>
              <w:ind w:left="-284"/>
              <w:jc w:val="center"/>
              <w:rPr>
                <w:rFonts w:ascii="Arial" w:hAnsi="Arial" w:cs="Arial"/>
                <w:sz w:val="20"/>
                <w:szCs w:val="20"/>
              </w:rPr>
            </w:pPr>
            <w:r w:rsidRPr="007A3FEA">
              <w:rPr>
                <w:rFonts w:ascii="Arial" w:hAnsi="Arial" w:cs="Arial"/>
                <w:sz w:val="20"/>
                <w:szCs w:val="20"/>
              </w:rPr>
              <w:t>Group 2</w:t>
            </w:r>
          </w:p>
        </w:tc>
        <w:tc>
          <w:tcPr>
            <w:tcW w:w="0" w:type="auto"/>
            <w:hideMark/>
          </w:tcPr>
          <w:p w14:paraId="3BCDF923"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59.530</w:t>
            </w:r>
          </w:p>
        </w:tc>
        <w:tc>
          <w:tcPr>
            <w:tcW w:w="0" w:type="auto"/>
            <w:hideMark/>
          </w:tcPr>
          <w:p w14:paraId="67DB7773"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38.716</w:t>
            </w:r>
          </w:p>
        </w:tc>
        <w:tc>
          <w:tcPr>
            <w:tcW w:w="0" w:type="auto"/>
            <w:hideMark/>
          </w:tcPr>
          <w:p w14:paraId="69825868"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41.043</w:t>
            </w:r>
          </w:p>
        </w:tc>
      </w:tr>
      <w:tr w:rsidR="002348A0" w:rsidRPr="007A3FEA" w14:paraId="259157BE" w14:textId="77777777" w:rsidTr="0081468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27838E" w14:textId="77777777" w:rsidR="002348A0" w:rsidRPr="007A3FEA" w:rsidRDefault="002348A0" w:rsidP="00814685">
            <w:pPr>
              <w:spacing w:after="160" w:line="259" w:lineRule="auto"/>
              <w:ind w:left="-284"/>
              <w:jc w:val="center"/>
              <w:rPr>
                <w:rFonts w:ascii="Arial" w:hAnsi="Arial" w:cs="Arial"/>
                <w:sz w:val="20"/>
                <w:szCs w:val="20"/>
              </w:rPr>
            </w:pPr>
            <w:r w:rsidRPr="007A3FEA">
              <w:rPr>
                <w:rFonts w:ascii="Arial" w:hAnsi="Arial" w:cs="Arial"/>
                <w:sz w:val="20"/>
                <w:szCs w:val="20"/>
              </w:rPr>
              <w:t>Group 3</w:t>
            </w:r>
          </w:p>
        </w:tc>
        <w:tc>
          <w:tcPr>
            <w:tcW w:w="0" w:type="auto"/>
            <w:hideMark/>
          </w:tcPr>
          <w:p w14:paraId="65EED3C6"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51.198</w:t>
            </w:r>
          </w:p>
        </w:tc>
        <w:tc>
          <w:tcPr>
            <w:tcW w:w="0" w:type="auto"/>
            <w:hideMark/>
          </w:tcPr>
          <w:p w14:paraId="163F3012"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31.355</w:t>
            </w:r>
          </w:p>
        </w:tc>
        <w:tc>
          <w:tcPr>
            <w:tcW w:w="0" w:type="auto"/>
            <w:hideMark/>
          </w:tcPr>
          <w:p w14:paraId="1123CD8D"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37.813</w:t>
            </w:r>
          </w:p>
        </w:tc>
      </w:tr>
      <w:tr w:rsidR="002348A0" w:rsidRPr="007A3FEA" w14:paraId="02215D30" w14:textId="77777777" w:rsidTr="0081468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DFCC5E" w14:textId="77777777" w:rsidR="002348A0" w:rsidRPr="007A3FEA" w:rsidRDefault="002348A0" w:rsidP="00814685">
            <w:pPr>
              <w:spacing w:after="160" w:line="259" w:lineRule="auto"/>
              <w:ind w:left="-284"/>
              <w:jc w:val="center"/>
              <w:rPr>
                <w:rFonts w:ascii="Arial" w:hAnsi="Arial" w:cs="Arial"/>
                <w:sz w:val="20"/>
                <w:szCs w:val="20"/>
              </w:rPr>
            </w:pPr>
            <w:r w:rsidRPr="007A3FEA">
              <w:rPr>
                <w:rFonts w:ascii="Arial" w:hAnsi="Arial" w:cs="Arial"/>
                <w:sz w:val="20"/>
                <w:szCs w:val="20"/>
              </w:rPr>
              <w:t>Group 4</w:t>
            </w:r>
          </w:p>
        </w:tc>
        <w:tc>
          <w:tcPr>
            <w:tcW w:w="0" w:type="auto"/>
            <w:hideMark/>
          </w:tcPr>
          <w:p w14:paraId="4BB022C4"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42.417</w:t>
            </w:r>
          </w:p>
        </w:tc>
        <w:tc>
          <w:tcPr>
            <w:tcW w:w="0" w:type="auto"/>
            <w:hideMark/>
          </w:tcPr>
          <w:p w14:paraId="3F329344"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25.119</w:t>
            </w:r>
          </w:p>
        </w:tc>
        <w:tc>
          <w:tcPr>
            <w:tcW w:w="0" w:type="auto"/>
            <w:hideMark/>
          </w:tcPr>
          <w:p w14:paraId="12487E48"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34.218</w:t>
            </w:r>
          </w:p>
        </w:tc>
      </w:tr>
    </w:tbl>
    <w:p w14:paraId="23049724" w14:textId="77777777" w:rsidR="002348A0" w:rsidRPr="00F27D9E" w:rsidRDefault="002348A0" w:rsidP="00A81618">
      <w:pPr>
        <w:jc w:val="both"/>
        <w:rPr>
          <w:rFonts w:ascii="Arial" w:hAnsi="Arial" w:cs="Arial"/>
          <w:sz w:val="20"/>
          <w:szCs w:val="20"/>
        </w:rPr>
      </w:pPr>
    </w:p>
    <w:p w14:paraId="27DAC3EC" w14:textId="77777777" w:rsidR="004949E5" w:rsidRPr="00F27D9E" w:rsidRDefault="004949E5" w:rsidP="00BD3609">
      <w:pPr>
        <w:ind w:left="-284"/>
        <w:jc w:val="both"/>
        <w:rPr>
          <w:rFonts w:ascii="Arial" w:hAnsi="Arial" w:cs="Arial"/>
          <w:sz w:val="20"/>
          <w:szCs w:val="20"/>
        </w:rPr>
      </w:pPr>
      <w:r w:rsidRPr="00F27D9E">
        <w:rPr>
          <w:rFonts w:ascii="Arial" w:hAnsi="Arial" w:cs="Arial"/>
          <w:sz w:val="20"/>
          <w:szCs w:val="20"/>
        </w:rPr>
        <w:t xml:space="preserve">The results clearly demonstrate a progressive decrease in protein content in all regions of the alimentary canal following treatment with </w:t>
      </w:r>
      <w:r w:rsidRPr="00F27D9E">
        <w:rPr>
          <w:rFonts w:ascii="Arial" w:hAnsi="Arial" w:cs="Arial"/>
          <w:i/>
          <w:iCs/>
          <w:sz w:val="20"/>
          <w:szCs w:val="20"/>
        </w:rPr>
        <w:t>Datura innoxia</w:t>
      </w:r>
      <w:r w:rsidRPr="00F27D9E">
        <w:rPr>
          <w:rFonts w:ascii="Arial" w:hAnsi="Arial" w:cs="Arial"/>
          <w:sz w:val="20"/>
          <w:szCs w:val="20"/>
        </w:rPr>
        <w:t xml:space="preserve"> seed extract.</w:t>
      </w:r>
    </w:p>
    <w:p w14:paraId="081EC53E" w14:textId="74F0A2DE" w:rsidR="004949E5" w:rsidRPr="00F27D9E" w:rsidRDefault="004949E5" w:rsidP="00BD3609">
      <w:pPr>
        <w:ind w:left="-284"/>
        <w:jc w:val="both"/>
        <w:rPr>
          <w:rFonts w:ascii="Arial" w:hAnsi="Arial" w:cs="Arial"/>
          <w:sz w:val="20"/>
          <w:szCs w:val="20"/>
        </w:rPr>
      </w:pPr>
      <w:r w:rsidRPr="00F27D9E">
        <w:rPr>
          <w:rFonts w:ascii="Arial" w:hAnsi="Arial" w:cs="Arial"/>
          <w:sz w:val="20"/>
          <w:szCs w:val="20"/>
        </w:rPr>
        <w:t xml:space="preserve">The hindgut showed the highest protein content in the control group (66.023%). The midgut exhibited the lowest protein level (44.017%) even in the control condition. Treatment resulted in a gradual decline in protein levels across all groups. In the final treatment group, protein levels dropped to 42.417% in </w:t>
      </w:r>
      <w:commentRangeStart w:id="4"/>
      <w:r w:rsidRPr="00F27D9E">
        <w:rPr>
          <w:rFonts w:ascii="Arial" w:hAnsi="Arial" w:cs="Arial"/>
          <w:sz w:val="20"/>
          <w:szCs w:val="20"/>
        </w:rPr>
        <w:t>hindgut,</w:t>
      </w:r>
      <w:commentRangeEnd w:id="4"/>
      <w:r w:rsidR="007A532F" w:rsidRPr="00F27D9E">
        <w:rPr>
          <w:rStyle w:val="CommentReference"/>
          <w:rFonts w:ascii="Arial" w:hAnsi="Arial" w:cs="Arial"/>
          <w:sz w:val="20"/>
          <w:szCs w:val="20"/>
        </w:rPr>
        <w:commentReference w:id="4"/>
      </w:r>
      <w:r w:rsidRPr="00F27D9E">
        <w:rPr>
          <w:rFonts w:ascii="Arial" w:hAnsi="Arial" w:cs="Arial"/>
          <w:sz w:val="20"/>
          <w:szCs w:val="20"/>
        </w:rPr>
        <w:t xml:space="preserve"> 25.119% in midgut, 34.218% in </w:t>
      </w:r>
      <w:commentRangeStart w:id="5"/>
      <w:r w:rsidRPr="00F27D9E">
        <w:rPr>
          <w:rFonts w:ascii="Arial" w:hAnsi="Arial" w:cs="Arial"/>
          <w:sz w:val="20"/>
          <w:szCs w:val="20"/>
        </w:rPr>
        <w:t>foregut</w:t>
      </w:r>
      <w:commentRangeEnd w:id="5"/>
      <w:r w:rsidR="007A532F" w:rsidRPr="00F27D9E">
        <w:rPr>
          <w:rStyle w:val="CommentReference"/>
          <w:rFonts w:ascii="Arial" w:hAnsi="Arial" w:cs="Arial"/>
          <w:sz w:val="20"/>
          <w:szCs w:val="20"/>
        </w:rPr>
        <w:commentReference w:id="5"/>
      </w:r>
      <w:r w:rsidRPr="00F27D9E">
        <w:rPr>
          <w:rFonts w:ascii="Arial" w:hAnsi="Arial" w:cs="Arial"/>
          <w:sz w:val="20"/>
          <w:szCs w:val="20"/>
        </w:rPr>
        <w:t xml:space="preserve"> </w:t>
      </w:r>
      <w:commentRangeStart w:id="6"/>
      <w:r w:rsidRPr="00F27D9E">
        <w:rPr>
          <w:rFonts w:ascii="Arial" w:hAnsi="Arial" w:cs="Arial"/>
          <w:sz w:val="20"/>
          <w:szCs w:val="20"/>
        </w:rPr>
        <w:t xml:space="preserve">these results </w:t>
      </w:r>
      <w:commentRangeEnd w:id="6"/>
      <w:r w:rsidR="007A532F" w:rsidRPr="00F27D9E">
        <w:rPr>
          <w:rStyle w:val="CommentReference"/>
          <w:rFonts w:ascii="Arial" w:hAnsi="Arial" w:cs="Arial"/>
          <w:sz w:val="20"/>
          <w:szCs w:val="20"/>
        </w:rPr>
        <w:commentReference w:id="6"/>
      </w:r>
      <w:r w:rsidRPr="00F27D9E">
        <w:rPr>
          <w:rFonts w:ascii="Arial" w:hAnsi="Arial" w:cs="Arial"/>
          <w:sz w:val="20"/>
          <w:szCs w:val="20"/>
        </w:rPr>
        <w:t>indicate a strong inhibitory effect of the plant extract on protein metabolism</w:t>
      </w:r>
      <w:r w:rsidR="004802A5">
        <w:rPr>
          <w:rFonts w:ascii="Arial" w:hAnsi="Arial" w:cs="Arial"/>
          <w:sz w:val="20"/>
          <w:szCs w:val="20"/>
        </w:rPr>
        <w:t xml:space="preserve"> (Table No.1)</w:t>
      </w:r>
      <w:r w:rsidRPr="00F27D9E">
        <w:rPr>
          <w:rFonts w:ascii="Arial" w:hAnsi="Arial" w:cs="Arial"/>
          <w:sz w:val="20"/>
          <w:szCs w:val="20"/>
        </w:rPr>
        <w:t>.</w:t>
      </w:r>
    </w:p>
    <w:p w14:paraId="03C7671E" w14:textId="77777777" w:rsidR="00314B2B" w:rsidRPr="004949E5" w:rsidRDefault="00314B2B" w:rsidP="00BD3609">
      <w:pPr>
        <w:ind w:left="-284"/>
        <w:jc w:val="both"/>
        <w:rPr>
          <w:rFonts w:ascii="Arial" w:hAnsi="Arial" w:cs="Arial"/>
          <w:b/>
          <w:bCs/>
        </w:rPr>
      </w:pPr>
      <w:r w:rsidRPr="004949E5">
        <w:rPr>
          <w:rFonts w:ascii="Arial" w:hAnsi="Arial" w:cs="Arial"/>
          <w:b/>
          <w:bCs/>
        </w:rPr>
        <w:t>4. Discussion</w:t>
      </w:r>
    </w:p>
    <w:p w14:paraId="729D73E3" w14:textId="72D349ED" w:rsidR="00021835" w:rsidRPr="004949E5" w:rsidRDefault="00021835" w:rsidP="00BD3609">
      <w:pPr>
        <w:ind w:left="-284"/>
        <w:jc w:val="both"/>
        <w:rPr>
          <w:rFonts w:ascii="Arial" w:hAnsi="Arial" w:cs="Arial"/>
          <w:b/>
          <w:bCs/>
          <w:sz w:val="20"/>
          <w:szCs w:val="20"/>
        </w:rPr>
      </w:pPr>
      <w:r w:rsidRPr="004949E5">
        <w:rPr>
          <w:rFonts w:ascii="Arial" w:hAnsi="Arial" w:cs="Arial"/>
          <w:sz w:val="20"/>
          <w:szCs w:val="20"/>
        </w:rPr>
        <w:t xml:space="preserve">The foregut is the initial region of the digestive tract and plays an important role in food storage and transport. Exposure to </w:t>
      </w:r>
      <w:r w:rsidRPr="004949E5">
        <w:rPr>
          <w:rFonts w:ascii="Arial" w:hAnsi="Arial" w:cs="Arial"/>
          <w:i/>
          <w:iCs/>
          <w:sz w:val="20"/>
          <w:szCs w:val="20"/>
        </w:rPr>
        <w:t>Datura innoxia</w:t>
      </w:r>
      <w:r w:rsidRPr="004949E5">
        <w:rPr>
          <w:rFonts w:ascii="Arial" w:hAnsi="Arial" w:cs="Arial"/>
          <w:sz w:val="20"/>
          <w:szCs w:val="20"/>
        </w:rPr>
        <w:t xml:space="preserve"> phytochemicals can directly affect epithelial cells of the foregut, leading to cellular damage and degradation of structural proteins. As a result, the total protein concentration decreases significantly</w:t>
      </w:r>
      <w:r w:rsidR="005C754B">
        <w:rPr>
          <w:rFonts w:ascii="Arial" w:hAnsi="Arial" w:cs="Arial"/>
          <w:sz w:val="20"/>
          <w:szCs w:val="20"/>
        </w:rPr>
        <w:t xml:space="preserve"> (Fig. 1)</w:t>
      </w:r>
      <w:r w:rsidRPr="004949E5">
        <w:rPr>
          <w:rFonts w:ascii="Arial" w:hAnsi="Arial" w:cs="Arial"/>
          <w:sz w:val="20"/>
          <w:szCs w:val="20"/>
        </w:rPr>
        <w:t xml:space="preserve">. </w:t>
      </w:r>
      <w:r w:rsidRPr="004949E5">
        <w:rPr>
          <w:rFonts w:ascii="Arial" w:hAnsi="Arial" w:cs="Arial"/>
          <w:b/>
          <w:bCs/>
          <w:sz w:val="20"/>
          <w:szCs w:val="20"/>
        </w:rPr>
        <w:t xml:space="preserve"> </w:t>
      </w:r>
      <w:r w:rsidRPr="004949E5">
        <w:rPr>
          <w:rFonts w:ascii="Arial" w:hAnsi="Arial" w:cs="Arial"/>
          <w:sz w:val="20"/>
          <w:szCs w:val="20"/>
        </w:rPr>
        <w:t xml:space="preserve">The midgut is the primary site of digestion and nutrient absorption in insects. The decrease in midgut protein levels may be due to inhibition of digestive enzymes and disruption of protein synthesis pathways. The toxic components of </w:t>
      </w:r>
      <w:r w:rsidRPr="004949E5">
        <w:rPr>
          <w:rFonts w:ascii="Arial" w:hAnsi="Arial" w:cs="Arial"/>
          <w:i/>
          <w:iCs/>
          <w:sz w:val="20"/>
          <w:szCs w:val="20"/>
        </w:rPr>
        <w:t>Datura</w:t>
      </w:r>
      <w:r w:rsidRPr="004949E5">
        <w:rPr>
          <w:rFonts w:ascii="Arial" w:hAnsi="Arial" w:cs="Arial"/>
          <w:sz w:val="20"/>
          <w:szCs w:val="20"/>
        </w:rPr>
        <w:t xml:space="preserve"> seeds interfere with metabolic processes, resulting in reduced enzyme production and tissue degeneration. </w:t>
      </w:r>
      <w:r w:rsidRPr="004949E5">
        <w:rPr>
          <w:rFonts w:ascii="Arial" w:hAnsi="Arial" w:cs="Arial"/>
          <w:b/>
          <w:bCs/>
          <w:sz w:val="20"/>
          <w:szCs w:val="20"/>
        </w:rPr>
        <w:t xml:space="preserve"> </w:t>
      </w:r>
      <w:r w:rsidRPr="004949E5">
        <w:rPr>
          <w:rFonts w:ascii="Arial" w:hAnsi="Arial" w:cs="Arial"/>
          <w:sz w:val="20"/>
          <w:szCs w:val="20"/>
        </w:rPr>
        <w:t>The hindgut is responsible for water reabsorption and waste elimination. Protein depletion in this region suggests systemic metabolic stress caused by toxic compounds. The breakdown of epithelial cells and increased protein catabolism contribute to the observed decline in protein levels</w:t>
      </w:r>
      <w:r w:rsidR="002348A0">
        <w:rPr>
          <w:rFonts w:ascii="Arial" w:hAnsi="Arial" w:cs="Arial"/>
          <w:sz w:val="20"/>
          <w:szCs w:val="20"/>
        </w:rPr>
        <w:t xml:space="preserve"> (</w:t>
      </w:r>
      <w:r w:rsidR="002348A0" w:rsidRPr="002348A0">
        <w:rPr>
          <w:rFonts w:ascii="Arial" w:hAnsi="Arial" w:cs="Arial"/>
          <w:sz w:val="20"/>
          <w:szCs w:val="20"/>
        </w:rPr>
        <w:t>Liang, J.,</w:t>
      </w:r>
      <w:r w:rsidR="002348A0">
        <w:rPr>
          <w:rFonts w:ascii="Arial" w:hAnsi="Arial" w:cs="Arial"/>
          <w:sz w:val="20"/>
          <w:szCs w:val="20"/>
        </w:rPr>
        <w:t xml:space="preserve"> 2025)</w:t>
      </w:r>
      <w:r w:rsidRPr="004949E5">
        <w:rPr>
          <w:rFonts w:ascii="Arial" w:hAnsi="Arial" w:cs="Arial"/>
          <w:sz w:val="20"/>
          <w:szCs w:val="20"/>
        </w:rPr>
        <w:t xml:space="preserve">. </w:t>
      </w:r>
    </w:p>
    <w:p w14:paraId="11E53FAF" w14:textId="7E01F933" w:rsidR="00F27D9E" w:rsidRPr="00F27D9E" w:rsidRDefault="00F27D9E" w:rsidP="00BD3609">
      <w:pPr>
        <w:ind w:left="-284"/>
        <w:jc w:val="both"/>
        <w:rPr>
          <w:rFonts w:ascii="Arial" w:hAnsi="Arial" w:cs="Arial"/>
          <w:sz w:val="20"/>
          <w:szCs w:val="20"/>
        </w:rPr>
      </w:pPr>
      <w:r w:rsidRPr="00F27D9E">
        <w:rPr>
          <w:rFonts w:ascii="Arial" w:hAnsi="Arial" w:cs="Arial"/>
          <w:i/>
          <w:iCs/>
          <w:sz w:val="20"/>
          <w:szCs w:val="20"/>
        </w:rPr>
        <w:t>D. innoxia</w:t>
      </w:r>
      <w:r w:rsidRPr="00F27D9E">
        <w:rPr>
          <w:rFonts w:ascii="Arial" w:hAnsi="Arial" w:cs="Arial"/>
          <w:sz w:val="20"/>
          <w:szCs w:val="20"/>
        </w:rPr>
        <w:t xml:space="preserve"> seeds are known to be rich in tropane alkaloids (e.g., scopolamine, atropine).</w:t>
      </w:r>
      <w:r w:rsidR="00B521EC">
        <w:rPr>
          <w:rFonts w:ascii="Arial" w:hAnsi="Arial" w:cs="Arial"/>
          <w:sz w:val="20"/>
          <w:szCs w:val="20"/>
          <w:vertAlign w:val="superscript"/>
        </w:rPr>
        <w:t xml:space="preserve"> </w:t>
      </w:r>
      <w:r w:rsidRPr="00F27D9E">
        <w:rPr>
          <w:rFonts w:ascii="Arial" w:hAnsi="Arial" w:cs="Arial"/>
          <w:sz w:val="20"/>
          <w:szCs w:val="20"/>
        </w:rPr>
        <w:t>These compounds are potent toxins that act primarily on the nervous system by interfering with acetylcholine receptors, which can lead to paralysis and death.</w:t>
      </w:r>
      <w:r>
        <w:rPr>
          <w:rFonts w:ascii="Arial" w:hAnsi="Arial" w:cs="Arial"/>
          <w:sz w:val="20"/>
          <w:szCs w:val="20"/>
        </w:rPr>
        <w:t xml:space="preserve"> </w:t>
      </w:r>
      <w:r w:rsidRPr="00F27D9E">
        <w:rPr>
          <w:rFonts w:ascii="Arial" w:hAnsi="Arial" w:cs="Arial"/>
          <w:sz w:val="20"/>
          <w:szCs w:val="20"/>
        </w:rPr>
        <w:t xml:space="preserve">The search results confirm the insecticidal potential of </w:t>
      </w:r>
      <w:r w:rsidRPr="00F27D9E">
        <w:rPr>
          <w:rFonts w:ascii="Arial" w:hAnsi="Arial" w:cs="Arial"/>
          <w:i/>
          <w:iCs/>
          <w:sz w:val="20"/>
          <w:szCs w:val="20"/>
        </w:rPr>
        <w:t>Datura</w:t>
      </w:r>
      <w:r w:rsidRPr="00F27D9E">
        <w:rPr>
          <w:rFonts w:ascii="Arial" w:hAnsi="Arial" w:cs="Arial"/>
          <w:sz w:val="20"/>
          <w:szCs w:val="20"/>
        </w:rPr>
        <w:t xml:space="preserve"> species (including </w:t>
      </w:r>
      <w:r w:rsidRPr="00F27D9E">
        <w:rPr>
          <w:rFonts w:ascii="Arial" w:hAnsi="Arial" w:cs="Arial"/>
          <w:i/>
          <w:iCs/>
          <w:sz w:val="20"/>
          <w:szCs w:val="20"/>
        </w:rPr>
        <w:t>D. innoxia</w:t>
      </w:r>
      <w:r w:rsidRPr="00F27D9E">
        <w:rPr>
          <w:rFonts w:ascii="Arial" w:hAnsi="Arial" w:cs="Arial"/>
          <w:sz w:val="20"/>
          <w:szCs w:val="20"/>
        </w:rPr>
        <w:t xml:space="preserve"> and related species like </w:t>
      </w:r>
      <w:r w:rsidRPr="00F27D9E">
        <w:rPr>
          <w:rFonts w:ascii="Arial" w:hAnsi="Arial" w:cs="Arial"/>
          <w:i/>
          <w:iCs/>
          <w:sz w:val="20"/>
          <w:szCs w:val="20"/>
        </w:rPr>
        <w:t>D. stramonium</w:t>
      </w:r>
      <w:r w:rsidRPr="00F27D9E">
        <w:rPr>
          <w:rFonts w:ascii="Arial" w:hAnsi="Arial" w:cs="Arial"/>
          <w:sz w:val="20"/>
          <w:szCs w:val="20"/>
        </w:rPr>
        <w:t xml:space="preserve"> and </w:t>
      </w:r>
      <w:r w:rsidRPr="00F27D9E">
        <w:rPr>
          <w:rFonts w:ascii="Arial" w:hAnsi="Arial" w:cs="Arial"/>
          <w:i/>
          <w:iCs/>
          <w:sz w:val="20"/>
          <w:szCs w:val="20"/>
        </w:rPr>
        <w:t>D. metel</w:t>
      </w:r>
      <w:r w:rsidRPr="00F27D9E">
        <w:rPr>
          <w:rFonts w:ascii="Arial" w:hAnsi="Arial" w:cs="Arial"/>
          <w:sz w:val="20"/>
          <w:szCs w:val="20"/>
        </w:rPr>
        <w:t xml:space="preserve">) against various pests, including </w:t>
      </w:r>
      <w:r w:rsidRPr="00F27D9E">
        <w:rPr>
          <w:rFonts w:ascii="Arial" w:hAnsi="Arial" w:cs="Arial"/>
          <w:i/>
          <w:iCs/>
          <w:sz w:val="20"/>
          <w:szCs w:val="20"/>
        </w:rPr>
        <w:t>Musca domestica</w:t>
      </w:r>
      <w:r w:rsidRPr="00F27D9E">
        <w:rPr>
          <w:rFonts w:ascii="Arial" w:hAnsi="Arial" w:cs="Arial"/>
          <w:sz w:val="20"/>
          <w:szCs w:val="20"/>
        </w:rPr>
        <w:t>, often leading to high mortality, developmental abnormalities, and other toxic effects.</w:t>
      </w:r>
      <w:r>
        <w:rPr>
          <w:rFonts w:ascii="Arial" w:hAnsi="Arial" w:cs="Arial"/>
          <w:sz w:val="20"/>
          <w:szCs w:val="20"/>
        </w:rPr>
        <w:t xml:space="preserve"> </w:t>
      </w:r>
      <w:r w:rsidRPr="00F27D9E">
        <w:rPr>
          <w:rFonts w:ascii="Arial" w:hAnsi="Arial" w:cs="Arial"/>
          <w:sz w:val="20"/>
          <w:szCs w:val="20"/>
        </w:rPr>
        <w:t>The insect foregut is one of the first tissues to encounter the ingested toxic extract. The alkaloids and other phytochemicals can be rapidly absorbed or interact directly with the gut lining cells (epithelium).</w:t>
      </w:r>
      <w:r>
        <w:rPr>
          <w:rFonts w:ascii="Arial" w:hAnsi="Arial" w:cs="Arial"/>
          <w:sz w:val="20"/>
          <w:szCs w:val="20"/>
        </w:rPr>
        <w:t xml:space="preserve"> </w:t>
      </w:r>
      <w:r w:rsidRPr="00F27D9E">
        <w:rPr>
          <w:rFonts w:ascii="Arial" w:hAnsi="Arial" w:cs="Arial"/>
          <w:sz w:val="20"/>
          <w:szCs w:val="20"/>
        </w:rPr>
        <w:t>A significant decrease in total protein content in a tissue like the foregut can be attributed to several factors induced by the plant extract's toxicity</w:t>
      </w:r>
      <w:r w:rsidR="004802A5">
        <w:rPr>
          <w:rFonts w:ascii="Arial" w:hAnsi="Arial" w:cs="Arial"/>
          <w:sz w:val="20"/>
          <w:szCs w:val="20"/>
        </w:rPr>
        <w:t>. The</w:t>
      </w:r>
      <w:r w:rsidRPr="00F27D9E">
        <w:rPr>
          <w:rFonts w:ascii="Arial" w:hAnsi="Arial" w:cs="Arial"/>
          <w:sz w:val="20"/>
          <w:szCs w:val="20"/>
        </w:rPr>
        <w:t xml:space="preserve"> stress induced by the toxins may trigger an elevated rate of protein breakdown (catabolism) to meet the energy demands for detoxification or repair mechanisms</w:t>
      </w:r>
      <w:r w:rsidR="002348A0">
        <w:rPr>
          <w:rFonts w:ascii="Arial" w:hAnsi="Arial" w:cs="Arial"/>
          <w:sz w:val="20"/>
          <w:szCs w:val="20"/>
        </w:rPr>
        <w:t xml:space="preserve"> (</w:t>
      </w:r>
      <w:r w:rsidR="002348A0" w:rsidRPr="002348A0">
        <w:rPr>
          <w:rFonts w:ascii="Arial" w:hAnsi="Arial" w:cs="Arial"/>
          <w:sz w:val="20"/>
          <w:szCs w:val="20"/>
        </w:rPr>
        <w:t>Fatima, H</w:t>
      </w:r>
      <w:r w:rsidR="002348A0">
        <w:rPr>
          <w:rFonts w:ascii="Arial" w:hAnsi="Arial" w:cs="Arial"/>
          <w:sz w:val="20"/>
          <w:szCs w:val="20"/>
        </w:rPr>
        <w:t>, 2015)</w:t>
      </w:r>
      <w:r w:rsidRPr="00F27D9E">
        <w:rPr>
          <w:rFonts w:ascii="Arial" w:hAnsi="Arial" w:cs="Arial"/>
          <w:sz w:val="20"/>
          <w:szCs w:val="20"/>
        </w:rPr>
        <w:t>.</w:t>
      </w:r>
    </w:p>
    <w:p w14:paraId="5DBBC252" w14:textId="17404145" w:rsidR="00021835" w:rsidRDefault="00021835" w:rsidP="00BD3609">
      <w:pPr>
        <w:ind w:left="-284"/>
        <w:jc w:val="both"/>
        <w:rPr>
          <w:rFonts w:ascii="Arial" w:hAnsi="Arial" w:cs="Arial"/>
          <w:sz w:val="20"/>
          <w:szCs w:val="20"/>
        </w:rPr>
      </w:pPr>
      <w:r w:rsidRPr="00021835">
        <w:rPr>
          <w:rFonts w:ascii="Arial" w:hAnsi="Arial" w:cs="Arial"/>
          <w:sz w:val="20"/>
          <w:szCs w:val="20"/>
        </w:rPr>
        <w:t xml:space="preserve">The decrease in total protein content in the </w:t>
      </w:r>
      <w:r w:rsidRPr="00021835">
        <w:rPr>
          <w:rFonts w:ascii="Arial" w:hAnsi="Arial" w:cs="Arial"/>
          <w:i/>
          <w:iCs/>
          <w:sz w:val="20"/>
          <w:szCs w:val="20"/>
        </w:rPr>
        <w:t>Musca domestica</w:t>
      </w:r>
      <w:r w:rsidRPr="00021835">
        <w:rPr>
          <w:rFonts w:ascii="Arial" w:hAnsi="Arial" w:cs="Arial"/>
          <w:sz w:val="20"/>
          <w:szCs w:val="20"/>
        </w:rPr>
        <w:t xml:space="preserve"> midgut treatment with </w:t>
      </w:r>
      <w:r w:rsidRPr="00021835">
        <w:rPr>
          <w:rFonts w:ascii="Arial" w:hAnsi="Arial" w:cs="Arial"/>
          <w:i/>
          <w:iCs/>
          <w:sz w:val="20"/>
          <w:szCs w:val="20"/>
        </w:rPr>
        <w:t>Datura innoxia</w:t>
      </w:r>
      <w:r w:rsidRPr="00021835">
        <w:rPr>
          <w:rFonts w:ascii="Arial" w:hAnsi="Arial" w:cs="Arial"/>
          <w:sz w:val="20"/>
          <w:szCs w:val="20"/>
        </w:rPr>
        <w:t xml:space="preserve"> seed extract can be attributed to several factors related to the extract's toxic or anti-nutritional properties.</w:t>
      </w:r>
      <w:r>
        <w:rPr>
          <w:rFonts w:ascii="Arial" w:hAnsi="Arial" w:cs="Arial"/>
          <w:sz w:val="20"/>
          <w:szCs w:val="20"/>
        </w:rPr>
        <w:t xml:space="preserve"> </w:t>
      </w:r>
      <w:r w:rsidR="00B521EC">
        <w:rPr>
          <w:rFonts w:ascii="Arial" w:hAnsi="Arial" w:cs="Arial"/>
          <w:sz w:val="20"/>
          <w:szCs w:val="20"/>
        </w:rPr>
        <w:t xml:space="preserve"> </w:t>
      </w:r>
      <w:r w:rsidRPr="00021835">
        <w:rPr>
          <w:rFonts w:ascii="Arial" w:hAnsi="Arial" w:cs="Arial"/>
          <w:sz w:val="20"/>
          <w:szCs w:val="20"/>
        </w:rPr>
        <w:t xml:space="preserve">The seeds of </w:t>
      </w:r>
      <w:r w:rsidRPr="00021835">
        <w:rPr>
          <w:rFonts w:ascii="Arial" w:hAnsi="Arial" w:cs="Arial"/>
          <w:i/>
          <w:iCs/>
          <w:sz w:val="20"/>
          <w:szCs w:val="20"/>
        </w:rPr>
        <w:t>D. innoxia</w:t>
      </w:r>
      <w:r w:rsidRPr="00021835">
        <w:rPr>
          <w:rFonts w:ascii="Arial" w:hAnsi="Arial" w:cs="Arial"/>
          <w:sz w:val="20"/>
          <w:szCs w:val="20"/>
        </w:rPr>
        <w:t xml:space="preserve"> are rich in tropane alkaloids (e.g., scopolamine, atropine) and other phytochemicals like phenols and flavonoids, which possess insecticidal properties.</w:t>
      </w:r>
      <w:r w:rsidRPr="00021835">
        <w:rPr>
          <w:rFonts w:ascii="Arial" w:hAnsi="Arial" w:cs="Arial"/>
          <w:sz w:val="20"/>
          <w:szCs w:val="20"/>
          <w:vertAlign w:val="superscript"/>
        </w:rPr>
        <w:t xml:space="preserve"> </w:t>
      </w:r>
      <w:r w:rsidRPr="00021835">
        <w:rPr>
          <w:rFonts w:ascii="Arial" w:hAnsi="Arial" w:cs="Arial"/>
          <w:sz w:val="20"/>
          <w:szCs w:val="20"/>
        </w:rPr>
        <w:t xml:space="preserve">These compounds can directly inhibit or denature key midgut digestive enzymes (like proteases, amylases, and lipases) in </w:t>
      </w:r>
      <w:r w:rsidRPr="00021835">
        <w:rPr>
          <w:rFonts w:ascii="Arial" w:hAnsi="Arial" w:cs="Arial"/>
          <w:i/>
          <w:iCs/>
          <w:sz w:val="20"/>
          <w:szCs w:val="20"/>
        </w:rPr>
        <w:t>M. domestica</w:t>
      </w:r>
      <w:r w:rsidRPr="00021835">
        <w:rPr>
          <w:rFonts w:ascii="Arial" w:hAnsi="Arial" w:cs="Arial"/>
          <w:sz w:val="20"/>
          <w:szCs w:val="20"/>
        </w:rPr>
        <w:t xml:space="preserve">. This interference severely limits the hydrolysis and absorption of dietary proteins and other nutrients, leading to a net decrease in tissue protein synthesis and accumulation. The toxic stress induced by the extract may lead to an increased rate of protein catabolism (breakdown) to meet the energy demands of the stressed organism or to eliminate damaged proteins. This shift in metabolism contributes to the overall reduction in measured total protein. Some components in the </w:t>
      </w:r>
      <w:r w:rsidRPr="00021835">
        <w:rPr>
          <w:rFonts w:ascii="Arial" w:hAnsi="Arial" w:cs="Arial"/>
          <w:i/>
          <w:iCs/>
          <w:sz w:val="20"/>
          <w:szCs w:val="20"/>
        </w:rPr>
        <w:t>Datura</w:t>
      </w:r>
      <w:r w:rsidRPr="00021835">
        <w:rPr>
          <w:rFonts w:ascii="Arial" w:hAnsi="Arial" w:cs="Arial"/>
          <w:sz w:val="20"/>
          <w:szCs w:val="20"/>
        </w:rPr>
        <w:t xml:space="preserve"> extract may act as anti-</w:t>
      </w:r>
      <w:commentRangeStart w:id="7"/>
      <w:r w:rsidRPr="00021835">
        <w:rPr>
          <w:rFonts w:ascii="Arial" w:hAnsi="Arial" w:cs="Arial"/>
          <w:sz w:val="20"/>
          <w:szCs w:val="20"/>
        </w:rPr>
        <w:t>feedants</w:t>
      </w:r>
      <w:commentRangeEnd w:id="7"/>
      <w:r w:rsidR="007A532F" w:rsidRPr="00021835">
        <w:rPr>
          <w:rStyle w:val="CommentReference"/>
          <w:rFonts w:ascii="Arial" w:hAnsi="Arial" w:cs="Arial"/>
          <w:sz w:val="20"/>
          <w:szCs w:val="20"/>
        </w:rPr>
        <w:commentReference w:id="7"/>
      </w:r>
      <w:r w:rsidRPr="00021835">
        <w:rPr>
          <w:rFonts w:ascii="Arial" w:hAnsi="Arial" w:cs="Arial"/>
          <w:sz w:val="20"/>
          <w:szCs w:val="20"/>
        </w:rPr>
        <w:t xml:space="preserve">, significantly reducing the amount of food consumed by the </w:t>
      </w:r>
      <w:r w:rsidRPr="00021835">
        <w:rPr>
          <w:rFonts w:ascii="Arial" w:hAnsi="Arial" w:cs="Arial"/>
          <w:i/>
          <w:iCs/>
          <w:sz w:val="20"/>
          <w:szCs w:val="20"/>
        </w:rPr>
        <w:t>Musca domestica</w:t>
      </w:r>
      <w:r w:rsidRPr="00021835">
        <w:rPr>
          <w:rFonts w:ascii="Arial" w:hAnsi="Arial" w:cs="Arial"/>
          <w:sz w:val="20"/>
          <w:szCs w:val="20"/>
        </w:rPr>
        <w:t xml:space="preserve"> larvae or adults. Reduced nutrient intake directly limits the raw materials needed for protein synthesis, leading to lower protein levels in the midgut tissue</w:t>
      </w:r>
      <w:r w:rsidR="005C754B">
        <w:rPr>
          <w:rFonts w:ascii="Arial" w:hAnsi="Arial" w:cs="Arial"/>
          <w:sz w:val="20"/>
          <w:szCs w:val="20"/>
        </w:rPr>
        <w:t xml:space="preserve"> (Fig. 2)</w:t>
      </w:r>
      <w:r w:rsidRPr="00021835">
        <w:rPr>
          <w:rFonts w:ascii="Arial" w:hAnsi="Arial" w:cs="Arial"/>
          <w:sz w:val="20"/>
          <w:szCs w:val="20"/>
        </w:rPr>
        <w:t xml:space="preserve">. The observed decrease in total protein percentage highlights the anti-metabolic and toxic effects of the </w:t>
      </w:r>
      <w:r w:rsidRPr="00021835">
        <w:rPr>
          <w:rFonts w:ascii="Arial" w:hAnsi="Arial" w:cs="Arial"/>
          <w:i/>
          <w:iCs/>
          <w:sz w:val="20"/>
          <w:szCs w:val="20"/>
        </w:rPr>
        <w:t>Datura innoxia</w:t>
      </w:r>
      <w:r w:rsidRPr="00021835">
        <w:rPr>
          <w:rFonts w:ascii="Arial" w:hAnsi="Arial" w:cs="Arial"/>
          <w:sz w:val="20"/>
          <w:szCs w:val="20"/>
        </w:rPr>
        <w:t xml:space="preserve"> seed extract, indicating its potential as a natural bio-insecticide by severely compromising the essential digestive and synthetic functions of the housefly's midgut</w:t>
      </w:r>
      <w:r w:rsidR="00E865BB">
        <w:rPr>
          <w:rFonts w:ascii="Arial" w:hAnsi="Arial" w:cs="Arial"/>
          <w:sz w:val="20"/>
          <w:szCs w:val="20"/>
        </w:rPr>
        <w:t xml:space="preserve"> (</w:t>
      </w:r>
      <w:r w:rsidR="00E865BB" w:rsidRPr="00E865BB">
        <w:rPr>
          <w:rFonts w:ascii="Arial" w:hAnsi="Arial" w:cs="Arial"/>
          <w:sz w:val="20"/>
          <w:szCs w:val="20"/>
        </w:rPr>
        <w:t>Janeh, M</w:t>
      </w:r>
      <w:r w:rsidR="00E865BB">
        <w:rPr>
          <w:rFonts w:ascii="Arial" w:hAnsi="Arial" w:cs="Arial"/>
          <w:sz w:val="20"/>
          <w:szCs w:val="20"/>
        </w:rPr>
        <w:t>, 2017)</w:t>
      </w:r>
      <w:r w:rsidRPr="00021835">
        <w:rPr>
          <w:rFonts w:ascii="Arial" w:hAnsi="Arial" w:cs="Arial"/>
          <w:sz w:val="20"/>
          <w:szCs w:val="20"/>
        </w:rPr>
        <w:t>.</w:t>
      </w:r>
    </w:p>
    <w:p w14:paraId="3F901FED" w14:textId="77777777" w:rsidR="00021835" w:rsidRDefault="00021835" w:rsidP="00BD3609">
      <w:pPr>
        <w:ind w:left="-284"/>
        <w:jc w:val="both"/>
        <w:rPr>
          <w:rFonts w:ascii="Arial" w:hAnsi="Arial" w:cs="Arial"/>
          <w:sz w:val="20"/>
          <w:szCs w:val="20"/>
        </w:rPr>
      </w:pPr>
      <w:r w:rsidRPr="00F27D9E">
        <w:rPr>
          <w:rFonts w:ascii="Arial" w:hAnsi="Arial" w:cs="Arial"/>
          <w:sz w:val="20"/>
          <w:szCs w:val="20"/>
        </w:rPr>
        <w:t xml:space="preserve">The toxic effect on cellular metabolism can disrupt key processes, including ribosomal activity and gene expression, leading to a substantial decrease in the </w:t>
      </w:r>
      <w:r w:rsidRPr="00F27D9E">
        <w:rPr>
          <w:rFonts w:ascii="Arial" w:hAnsi="Arial" w:cs="Arial"/>
          <w:i/>
          <w:iCs/>
          <w:sz w:val="20"/>
          <w:szCs w:val="20"/>
        </w:rPr>
        <w:t>de novo</w:t>
      </w:r>
      <w:r w:rsidRPr="00F27D9E">
        <w:rPr>
          <w:rFonts w:ascii="Arial" w:hAnsi="Arial" w:cs="Arial"/>
          <w:sz w:val="20"/>
          <w:szCs w:val="20"/>
        </w:rPr>
        <w:t xml:space="preserve"> synthesis of new </w:t>
      </w:r>
      <w:r w:rsidRPr="00F27D9E">
        <w:rPr>
          <w:rFonts w:ascii="Arial" w:hAnsi="Arial" w:cs="Arial"/>
          <w:sz w:val="20"/>
          <w:szCs w:val="20"/>
        </w:rPr>
        <w:lastRenderedPageBreak/>
        <w:t>proteins.</w:t>
      </w:r>
      <w:r>
        <w:rPr>
          <w:rFonts w:ascii="Arial" w:hAnsi="Arial" w:cs="Arial"/>
          <w:sz w:val="20"/>
          <w:szCs w:val="20"/>
        </w:rPr>
        <w:t xml:space="preserve"> </w:t>
      </w:r>
      <w:r w:rsidRPr="00F27D9E">
        <w:rPr>
          <w:rFonts w:ascii="Arial" w:hAnsi="Arial" w:cs="Arial"/>
          <w:sz w:val="20"/>
          <w:szCs w:val="20"/>
        </w:rPr>
        <w:t>High concentrations of toxins can cause direct damage to the foregut epithelial cells. The resulting cellular damage, including necrosis or apoptosis, leads to the breakdown of cell structure and the subsequent loss or denaturation of intracellular proteins.</w:t>
      </w:r>
      <w:r>
        <w:rPr>
          <w:rFonts w:ascii="Arial" w:hAnsi="Arial" w:cs="Arial"/>
          <w:sz w:val="20"/>
          <w:szCs w:val="20"/>
        </w:rPr>
        <w:t xml:space="preserve"> </w:t>
      </w:r>
      <w:r w:rsidRPr="00F27D9E">
        <w:rPr>
          <w:rFonts w:ascii="Arial" w:hAnsi="Arial" w:cs="Arial"/>
          <w:sz w:val="20"/>
          <w:szCs w:val="20"/>
        </w:rPr>
        <w:t>The extract may inhibit digestive enzyme activity within the foregut or midgut, or damage the absorptive surface, thereby disrupting normal protein metabolism.</w:t>
      </w:r>
      <w:r>
        <w:rPr>
          <w:rFonts w:ascii="Arial" w:hAnsi="Arial" w:cs="Arial"/>
          <w:sz w:val="20"/>
          <w:szCs w:val="20"/>
        </w:rPr>
        <w:t xml:space="preserve"> </w:t>
      </w:r>
    </w:p>
    <w:p w14:paraId="70971CE2" w14:textId="4E705980" w:rsidR="00021835" w:rsidRPr="00B521EC" w:rsidRDefault="00021835" w:rsidP="00BD3609">
      <w:pPr>
        <w:ind w:left="-284"/>
        <w:jc w:val="both"/>
        <w:rPr>
          <w:rFonts w:ascii="Arial" w:hAnsi="Arial" w:cs="Arial"/>
          <w:sz w:val="20"/>
          <w:szCs w:val="20"/>
        </w:rPr>
      </w:pPr>
      <w:r w:rsidRPr="00B521EC">
        <w:rPr>
          <w:rFonts w:ascii="Arial" w:hAnsi="Arial" w:cs="Arial"/>
          <w:sz w:val="20"/>
          <w:szCs w:val="20"/>
        </w:rPr>
        <w:t>The hindgut primarily functions in water, salt, and nutrient reabsorption, as well as waste elimination. The decrease in protein content can be discussed through the following mechanisms</w:t>
      </w:r>
      <w:r w:rsidR="00B521EC" w:rsidRPr="00B521EC">
        <w:rPr>
          <w:rFonts w:ascii="Arial" w:hAnsi="Arial" w:cs="Arial"/>
          <w:sz w:val="20"/>
          <w:szCs w:val="20"/>
        </w:rPr>
        <w:t xml:space="preserve">. </w:t>
      </w:r>
      <w:r w:rsidRPr="00B521EC">
        <w:rPr>
          <w:rFonts w:ascii="Arial" w:hAnsi="Arial" w:cs="Arial"/>
          <w:sz w:val="20"/>
          <w:szCs w:val="20"/>
        </w:rPr>
        <w:t xml:space="preserve">The seed extract of </w:t>
      </w:r>
      <w:r w:rsidRPr="00B521EC">
        <w:rPr>
          <w:rFonts w:ascii="Arial" w:hAnsi="Arial" w:cs="Arial"/>
          <w:i/>
          <w:iCs/>
          <w:sz w:val="20"/>
          <w:szCs w:val="20"/>
        </w:rPr>
        <w:t>D. innoxia</w:t>
      </w:r>
      <w:r w:rsidRPr="00B521EC">
        <w:rPr>
          <w:rFonts w:ascii="Arial" w:hAnsi="Arial" w:cs="Arial"/>
          <w:sz w:val="20"/>
          <w:szCs w:val="20"/>
        </w:rPr>
        <w:t xml:space="preserve"> is rich in tropane alkaloids (e.g., scopolamine, atropine), which are potent neurotoxins and cellular poisons. </w:t>
      </w:r>
      <w:r w:rsidR="001D0B2C">
        <w:rPr>
          <w:rFonts w:ascii="Arial" w:hAnsi="Arial" w:cs="Arial"/>
          <w:sz w:val="20"/>
          <w:szCs w:val="20"/>
        </w:rPr>
        <w:t xml:space="preserve"> </w:t>
      </w:r>
      <w:r w:rsidRPr="00B521EC">
        <w:rPr>
          <w:rFonts w:ascii="Arial" w:hAnsi="Arial" w:cs="Arial"/>
          <w:sz w:val="20"/>
          <w:szCs w:val="20"/>
        </w:rPr>
        <w:t>As the toxins pass through the digestive tract, they induce histopathological damage to the hindgut epithelial cells.</w:t>
      </w:r>
      <w:r w:rsidR="00B521EC" w:rsidRPr="00B521EC">
        <w:rPr>
          <w:rFonts w:ascii="Arial" w:hAnsi="Arial" w:cs="Arial"/>
          <w:sz w:val="20"/>
          <w:szCs w:val="20"/>
        </w:rPr>
        <w:t xml:space="preserve"> </w:t>
      </w:r>
      <w:r w:rsidRPr="00B521EC">
        <w:rPr>
          <w:rFonts w:ascii="Arial" w:hAnsi="Arial" w:cs="Arial"/>
          <w:sz w:val="20"/>
          <w:szCs w:val="20"/>
        </w:rPr>
        <w:t xml:space="preserve">Damage to the cell membranes and organelles of the hindgut epithelium (vacuolization, necrosis) leads to the breakdown of structural proteins and enzymes, which are then either degraded or expelled with the </w:t>
      </w:r>
      <w:r w:rsidR="00B521EC" w:rsidRPr="00B521EC">
        <w:rPr>
          <w:rFonts w:ascii="Arial" w:hAnsi="Arial" w:cs="Arial"/>
          <w:sz w:val="20"/>
          <w:szCs w:val="20"/>
        </w:rPr>
        <w:t>faeces</w:t>
      </w:r>
      <w:r w:rsidRPr="00B521EC">
        <w:rPr>
          <w:rFonts w:ascii="Arial" w:hAnsi="Arial" w:cs="Arial"/>
          <w:sz w:val="20"/>
          <w:szCs w:val="20"/>
        </w:rPr>
        <w:t>, resulting in a net loss of measurable protein in the tissue homogenate</w:t>
      </w:r>
      <w:r w:rsidR="005C754B">
        <w:rPr>
          <w:rFonts w:ascii="Arial" w:hAnsi="Arial" w:cs="Arial"/>
          <w:sz w:val="20"/>
          <w:szCs w:val="20"/>
        </w:rPr>
        <w:t xml:space="preserve"> (Fig. 3)</w:t>
      </w:r>
      <w:r w:rsidR="00AF16B1">
        <w:rPr>
          <w:rFonts w:ascii="Arial" w:hAnsi="Arial" w:cs="Arial"/>
          <w:sz w:val="20"/>
          <w:szCs w:val="20"/>
        </w:rPr>
        <w:t xml:space="preserve"> (</w:t>
      </w:r>
      <w:r w:rsidR="00AF16B1" w:rsidRPr="00AF16B1">
        <w:rPr>
          <w:rFonts w:ascii="Arial" w:hAnsi="Arial" w:cs="Arial"/>
          <w:sz w:val="20"/>
          <w:szCs w:val="20"/>
        </w:rPr>
        <w:t xml:space="preserve">Terra, W. R., </w:t>
      </w:r>
      <w:r w:rsidR="00AF16B1">
        <w:rPr>
          <w:rFonts w:ascii="Arial" w:hAnsi="Arial" w:cs="Arial"/>
          <w:sz w:val="20"/>
          <w:szCs w:val="20"/>
        </w:rPr>
        <w:t>2023)</w:t>
      </w:r>
      <w:r w:rsidRPr="00B521EC">
        <w:rPr>
          <w:rFonts w:ascii="Arial" w:hAnsi="Arial" w:cs="Arial"/>
          <w:sz w:val="20"/>
          <w:szCs w:val="20"/>
        </w:rPr>
        <w:t>.</w:t>
      </w:r>
    </w:p>
    <w:p w14:paraId="0C0A08F3" w14:textId="051DD2FF" w:rsidR="00021835" w:rsidRPr="00E865BB" w:rsidRDefault="00021835" w:rsidP="00BD3609">
      <w:pPr>
        <w:ind w:left="-284"/>
        <w:jc w:val="both"/>
        <w:rPr>
          <w:rFonts w:ascii="Arial" w:hAnsi="Arial" w:cs="Arial"/>
          <w:sz w:val="20"/>
          <w:szCs w:val="20"/>
        </w:rPr>
      </w:pPr>
      <w:r w:rsidRPr="00021835">
        <w:rPr>
          <w:rFonts w:ascii="Arial" w:hAnsi="Arial" w:cs="Arial"/>
          <w:sz w:val="20"/>
          <w:szCs w:val="20"/>
        </w:rPr>
        <w:t xml:space="preserve">The toxic stress from the extract requires the insect to </w:t>
      </w:r>
      <w:r w:rsidR="00AF16B1">
        <w:rPr>
          <w:rFonts w:ascii="Arial" w:hAnsi="Arial" w:cs="Arial"/>
          <w:sz w:val="20"/>
          <w:szCs w:val="20"/>
        </w:rPr>
        <w:t>mobilise</w:t>
      </w:r>
      <w:r w:rsidRPr="00021835">
        <w:rPr>
          <w:rFonts w:ascii="Arial" w:hAnsi="Arial" w:cs="Arial"/>
          <w:sz w:val="20"/>
          <w:szCs w:val="20"/>
        </w:rPr>
        <w:t xml:space="preserve"> resources for detoxification and repair. This can lead to the </w:t>
      </w:r>
      <w:r w:rsidRPr="00B521EC">
        <w:rPr>
          <w:rFonts w:ascii="Arial" w:hAnsi="Arial" w:cs="Arial"/>
          <w:sz w:val="20"/>
          <w:szCs w:val="20"/>
        </w:rPr>
        <w:t>catabolism (breakdown)</w:t>
      </w:r>
      <w:r w:rsidRPr="00021835">
        <w:rPr>
          <w:rFonts w:ascii="Arial" w:hAnsi="Arial" w:cs="Arial"/>
          <w:sz w:val="20"/>
          <w:szCs w:val="20"/>
        </w:rPr>
        <w:t xml:space="preserve"> of tissue proteins (including those in the hindgut) to provide amino acids for </w:t>
      </w:r>
      <w:r w:rsidR="00AF16B1">
        <w:rPr>
          <w:rFonts w:ascii="Arial" w:hAnsi="Arial" w:cs="Arial"/>
          <w:sz w:val="20"/>
          <w:szCs w:val="20"/>
        </w:rPr>
        <w:t>synthesising</w:t>
      </w:r>
      <w:r w:rsidRPr="00021835">
        <w:rPr>
          <w:rFonts w:ascii="Arial" w:hAnsi="Arial" w:cs="Arial"/>
          <w:sz w:val="20"/>
          <w:szCs w:val="20"/>
        </w:rPr>
        <w:t xml:space="preserve"> stress-response proteins or for energy. This metabolic shift reduces the total protein pool.</w:t>
      </w:r>
      <w:r w:rsidR="00AF16B1">
        <w:rPr>
          <w:rFonts w:ascii="Arial" w:hAnsi="Arial" w:cs="Arial"/>
          <w:sz w:val="20"/>
          <w:szCs w:val="20"/>
        </w:rPr>
        <w:t xml:space="preserve"> </w:t>
      </w:r>
      <w:r w:rsidRPr="00021835">
        <w:rPr>
          <w:rFonts w:ascii="Arial" w:hAnsi="Arial" w:cs="Arial"/>
          <w:sz w:val="20"/>
          <w:szCs w:val="20"/>
        </w:rPr>
        <w:t xml:space="preserve">If the midgut's digestive and absorption functions are severely compromised (as typically seen with </w:t>
      </w:r>
      <w:r w:rsidRPr="00021835">
        <w:rPr>
          <w:rFonts w:ascii="Arial" w:hAnsi="Arial" w:cs="Arial"/>
          <w:i/>
          <w:iCs/>
          <w:sz w:val="20"/>
          <w:szCs w:val="20"/>
        </w:rPr>
        <w:t>Datura</w:t>
      </w:r>
      <w:r w:rsidRPr="00021835">
        <w:rPr>
          <w:rFonts w:ascii="Arial" w:hAnsi="Arial" w:cs="Arial"/>
          <w:sz w:val="20"/>
          <w:szCs w:val="20"/>
        </w:rPr>
        <w:t xml:space="preserve"> treatment), the availability of raw amino acids for </w:t>
      </w:r>
      <w:r w:rsidRPr="00021835">
        <w:rPr>
          <w:rFonts w:ascii="Arial" w:hAnsi="Arial" w:cs="Arial"/>
          <w:i/>
          <w:iCs/>
          <w:sz w:val="20"/>
          <w:szCs w:val="20"/>
        </w:rPr>
        <w:t>de novo</w:t>
      </w:r>
      <w:r w:rsidRPr="00021835">
        <w:rPr>
          <w:rFonts w:ascii="Arial" w:hAnsi="Arial" w:cs="Arial"/>
          <w:sz w:val="20"/>
          <w:szCs w:val="20"/>
        </w:rPr>
        <w:t xml:space="preserve"> protein synthesis throughout the body, including the hindgut, is dramatically lowered.</w:t>
      </w:r>
      <w:r w:rsidR="00B521EC">
        <w:rPr>
          <w:rFonts w:ascii="Arial" w:hAnsi="Arial" w:cs="Arial"/>
          <w:sz w:val="20"/>
          <w:szCs w:val="20"/>
        </w:rPr>
        <w:t xml:space="preserve"> </w:t>
      </w:r>
      <w:r w:rsidRPr="00021835">
        <w:rPr>
          <w:rFonts w:ascii="Arial" w:hAnsi="Arial" w:cs="Arial"/>
          <w:sz w:val="20"/>
          <w:szCs w:val="20"/>
        </w:rPr>
        <w:t xml:space="preserve">Although the hindgut is not the primary site of digestion, its integrity is essential for overall homeostasis. Severe disruption of the midgut (where most digestion/absorption occurs) by the extract leads to systemic starvation and malnutrition. The hindgut, like other tissues, reflects this </w:t>
      </w:r>
      <w:r w:rsidRPr="00E865BB">
        <w:rPr>
          <w:rFonts w:ascii="Arial" w:hAnsi="Arial" w:cs="Arial"/>
          <w:sz w:val="20"/>
          <w:szCs w:val="20"/>
        </w:rPr>
        <w:t>systemic protein depletion, showing a reduced protein content as a secondary consequence of the primary poisoning in the midgut.</w:t>
      </w:r>
      <w:r w:rsidR="00B521EC" w:rsidRPr="00E865BB">
        <w:rPr>
          <w:rFonts w:ascii="Arial" w:hAnsi="Arial" w:cs="Arial"/>
          <w:sz w:val="20"/>
          <w:szCs w:val="20"/>
        </w:rPr>
        <w:t xml:space="preserve"> </w:t>
      </w:r>
      <w:r w:rsidRPr="00E865BB">
        <w:rPr>
          <w:rFonts w:ascii="Arial" w:hAnsi="Arial" w:cs="Arial"/>
          <w:sz w:val="20"/>
          <w:szCs w:val="20"/>
        </w:rPr>
        <w:t xml:space="preserve">The reduction in hindgut protein content confirms the </w:t>
      </w:r>
      <w:r w:rsidR="00AF16B1">
        <w:rPr>
          <w:rFonts w:ascii="Arial" w:hAnsi="Arial" w:cs="Arial"/>
          <w:sz w:val="20"/>
          <w:szCs w:val="20"/>
        </w:rPr>
        <w:t>generalised</w:t>
      </w:r>
      <w:r w:rsidRPr="00E865BB">
        <w:rPr>
          <w:rFonts w:ascii="Arial" w:hAnsi="Arial" w:cs="Arial"/>
          <w:sz w:val="20"/>
          <w:szCs w:val="20"/>
        </w:rPr>
        <w:t xml:space="preserve"> toxic effect of the </w:t>
      </w:r>
      <w:r w:rsidRPr="00E865BB">
        <w:rPr>
          <w:rFonts w:ascii="Arial" w:hAnsi="Arial" w:cs="Arial"/>
          <w:i/>
          <w:iCs/>
          <w:sz w:val="20"/>
          <w:szCs w:val="20"/>
        </w:rPr>
        <w:t>D. innoxia</w:t>
      </w:r>
      <w:r w:rsidRPr="00E865BB">
        <w:rPr>
          <w:rFonts w:ascii="Arial" w:hAnsi="Arial" w:cs="Arial"/>
          <w:sz w:val="20"/>
          <w:szCs w:val="20"/>
        </w:rPr>
        <w:t xml:space="preserve"> extract on the entire alimentary canal of </w:t>
      </w:r>
      <w:r w:rsidRPr="00E865BB">
        <w:rPr>
          <w:rFonts w:ascii="Arial" w:hAnsi="Arial" w:cs="Arial"/>
          <w:i/>
          <w:iCs/>
          <w:sz w:val="20"/>
          <w:szCs w:val="20"/>
        </w:rPr>
        <w:t>Musca domestica</w:t>
      </w:r>
      <w:r w:rsidRPr="00E865BB">
        <w:rPr>
          <w:rFonts w:ascii="Arial" w:hAnsi="Arial" w:cs="Arial"/>
          <w:sz w:val="20"/>
          <w:szCs w:val="20"/>
        </w:rPr>
        <w:t>, further supporting its efficacy as a botanical insecticide.</w:t>
      </w:r>
    </w:p>
    <w:p w14:paraId="53EB4673" w14:textId="40D56EB7" w:rsidR="00314B2B" w:rsidRPr="004949E5" w:rsidRDefault="00B521EC" w:rsidP="00BD3609">
      <w:pPr>
        <w:ind w:left="-284"/>
        <w:jc w:val="both"/>
        <w:rPr>
          <w:rFonts w:ascii="Arial" w:hAnsi="Arial" w:cs="Arial"/>
          <w:sz w:val="20"/>
          <w:szCs w:val="20"/>
        </w:rPr>
      </w:pPr>
      <w:r>
        <w:rPr>
          <w:rFonts w:ascii="Arial" w:hAnsi="Arial" w:cs="Arial"/>
          <w:sz w:val="20"/>
          <w:szCs w:val="20"/>
        </w:rPr>
        <w:t xml:space="preserve">D. </w:t>
      </w:r>
      <w:r w:rsidR="00314B2B" w:rsidRPr="004949E5">
        <w:rPr>
          <w:rFonts w:ascii="Arial" w:hAnsi="Arial" w:cs="Arial"/>
          <w:i/>
          <w:iCs/>
          <w:sz w:val="20"/>
          <w:szCs w:val="20"/>
        </w:rPr>
        <w:t>innoxia</w:t>
      </w:r>
      <w:r w:rsidR="00314B2B" w:rsidRPr="004949E5">
        <w:rPr>
          <w:rFonts w:ascii="Arial" w:hAnsi="Arial" w:cs="Arial"/>
          <w:sz w:val="20"/>
          <w:szCs w:val="20"/>
        </w:rPr>
        <w:t xml:space="preserve"> seed extract causes a significant reduction in total protein content in the foregut, midgut, and hindgut of </w:t>
      </w:r>
      <w:r w:rsidR="00314B2B" w:rsidRPr="004949E5">
        <w:rPr>
          <w:rFonts w:ascii="Arial" w:hAnsi="Arial" w:cs="Arial"/>
          <w:i/>
          <w:iCs/>
          <w:sz w:val="20"/>
          <w:szCs w:val="20"/>
        </w:rPr>
        <w:t>Musca domestica</w:t>
      </w:r>
      <w:r w:rsidR="00314B2B" w:rsidRPr="004949E5">
        <w:rPr>
          <w:rFonts w:ascii="Arial" w:hAnsi="Arial" w:cs="Arial"/>
          <w:sz w:val="20"/>
          <w:szCs w:val="20"/>
        </w:rPr>
        <w:t>. Such biochemical alterations suggest severe physiological stress induced by the plant extract.</w:t>
      </w:r>
      <w:r>
        <w:rPr>
          <w:rFonts w:ascii="Arial" w:hAnsi="Arial" w:cs="Arial"/>
          <w:sz w:val="20"/>
          <w:szCs w:val="20"/>
        </w:rPr>
        <w:t xml:space="preserve"> </w:t>
      </w:r>
      <w:r w:rsidR="00314B2B" w:rsidRPr="004949E5">
        <w:rPr>
          <w:rFonts w:ascii="Arial" w:hAnsi="Arial" w:cs="Arial"/>
          <w:sz w:val="20"/>
          <w:szCs w:val="20"/>
        </w:rPr>
        <w:t xml:space="preserve">The insecticidal activity of </w:t>
      </w:r>
      <w:r w:rsidR="00314B2B" w:rsidRPr="004949E5">
        <w:rPr>
          <w:rFonts w:ascii="Arial" w:hAnsi="Arial" w:cs="Arial"/>
          <w:i/>
          <w:iCs/>
          <w:sz w:val="20"/>
          <w:szCs w:val="20"/>
        </w:rPr>
        <w:t>Datura innoxia</w:t>
      </w:r>
      <w:r w:rsidR="00314B2B" w:rsidRPr="004949E5">
        <w:rPr>
          <w:rFonts w:ascii="Arial" w:hAnsi="Arial" w:cs="Arial"/>
          <w:sz w:val="20"/>
          <w:szCs w:val="20"/>
        </w:rPr>
        <w:t xml:space="preserve"> is largely attributed to its tropane alkaloids, particularly atropine and scopolamine. These compounds disrupt normal nerve </w:t>
      </w:r>
      <w:r w:rsidR="002F7FF2" w:rsidRPr="004949E5">
        <w:rPr>
          <w:rFonts w:ascii="Arial" w:hAnsi="Arial" w:cs="Arial"/>
          <w:sz w:val="20"/>
          <w:szCs w:val="20"/>
        </w:rPr>
        <w:t>signalling</w:t>
      </w:r>
      <w:r w:rsidR="00314B2B" w:rsidRPr="004949E5">
        <w:rPr>
          <w:rFonts w:ascii="Arial" w:hAnsi="Arial" w:cs="Arial"/>
          <w:sz w:val="20"/>
          <w:szCs w:val="20"/>
        </w:rPr>
        <w:t xml:space="preserve"> and cellular metabolism. Additionally, plant secondary metabolites may act as anti-feedants, reducing food intake and causing nutrient deficiency in insects.</w:t>
      </w:r>
      <w:r w:rsidR="002F7FF2" w:rsidRPr="004949E5">
        <w:rPr>
          <w:rFonts w:ascii="Arial" w:hAnsi="Arial" w:cs="Arial"/>
          <w:sz w:val="20"/>
          <w:szCs w:val="20"/>
        </w:rPr>
        <w:t xml:space="preserve"> </w:t>
      </w:r>
      <w:r w:rsidR="00314B2B" w:rsidRPr="004949E5">
        <w:rPr>
          <w:rFonts w:ascii="Arial" w:hAnsi="Arial" w:cs="Arial"/>
          <w:sz w:val="20"/>
          <w:szCs w:val="20"/>
        </w:rPr>
        <w:t>Reduced protein synthesis, increased protein degradation, and tissue damage collectively contribute to the observed biochemical changes.</w:t>
      </w:r>
    </w:p>
    <w:p w14:paraId="03FA92AE" w14:textId="77777777" w:rsidR="00314B2B" w:rsidRPr="004949E5" w:rsidRDefault="00314B2B" w:rsidP="00BD3609">
      <w:pPr>
        <w:ind w:left="-284"/>
        <w:jc w:val="both"/>
        <w:rPr>
          <w:rFonts w:ascii="Arial" w:hAnsi="Arial" w:cs="Arial"/>
          <w:b/>
          <w:bCs/>
        </w:rPr>
      </w:pPr>
      <w:r w:rsidRPr="004949E5">
        <w:rPr>
          <w:rFonts w:ascii="Arial" w:hAnsi="Arial" w:cs="Arial"/>
          <w:b/>
          <w:bCs/>
        </w:rPr>
        <w:t>5. Conclusion</w:t>
      </w:r>
    </w:p>
    <w:p w14:paraId="6E824CDF" w14:textId="6A817866" w:rsidR="00FF7056" w:rsidRDefault="00314B2B" w:rsidP="00BD3609">
      <w:pPr>
        <w:ind w:left="-284"/>
        <w:jc w:val="both"/>
        <w:rPr>
          <w:rFonts w:ascii="Arial" w:hAnsi="Arial" w:cs="Arial"/>
          <w:sz w:val="20"/>
          <w:szCs w:val="20"/>
        </w:rPr>
      </w:pPr>
      <w:r w:rsidRPr="004949E5">
        <w:rPr>
          <w:rFonts w:ascii="Arial" w:hAnsi="Arial" w:cs="Arial"/>
          <w:sz w:val="20"/>
          <w:szCs w:val="20"/>
        </w:rPr>
        <w:t xml:space="preserve">The present study clearly demonstrates that </w:t>
      </w:r>
      <w:r w:rsidRPr="004949E5">
        <w:rPr>
          <w:rFonts w:ascii="Arial" w:hAnsi="Arial" w:cs="Arial"/>
          <w:i/>
          <w:iCs/>
          <w:sz w:val="20"/>
          <w:szCs w:val="20"/>
        </w:rPr>
        <w:t>Datura innoxia</w:t>
      </w:r>
      <w:r w:rsidRPr="004949E5">
        <w:rPr>
          <w:rFonts w:ascii="Arial" w:hAnsi="Arial" w:cs="Arial"/>
          <w:sz w:val="20"/>
          <w:szCs w:val="20"/>
        </w:rPr>
        <w:t xml:space="preserve"> seed extract significantly alters protein metabolism in the alimentary canal of </w:t>
      </w:r>
      <w:r w:rsidRPr="004949E5">
        <w:rPr>
          <w:rFonts w:ascii="Arial" w:hAnsi="Arial" w:cs="Arial"/>
          <w:i/>
          <w:iCs/>
          <w:sz w:val="20"/>
          <w:szCs w:val="20"/>
        </w:rPr>
        <w:t>Musca domestica</w:t>
      </w:r>
      <w:r w:rsidRPr="004949E5">
        <w:rPr>
          <w:rFonts w:ascii="Arial" w:hAnsi="Arial" w:cs="Arial"/>
          <w:sz w:val="20"/>
          <w:szCs w:val="20"/>
        </w:rPr>
        <w:t>. A progressive decrease in protein content was observed in the foregut, midgut, and hindgut following treatment.</w:t>
      </w:r>
      <w:r w:rsidR="002F7FF2" w:rsidRPr="004949E5">
        <w:rPr>
          <w:rFonts w:ascii="Arial" w:hAnsi="Arial" w:cs="Arial"/>
          <w:sz w:val="20"/>
          <w:szCs w:val="20"/>
        </w:rPr>
        <w:t xml:space="preserve"> </w:t>
      </w:r>
      <w:r w:rsidRPr="004949E5">
        <w:rPr>
          <w:rFonts w:ascii="Arial" w:hAnsi="Arial" w:cs="Arial"/>
          <w:sz w:val="20"/>
          <w:szCs w:val="20"/>
        </w:rPr>
        <w:t xml:space="preserve">These findings indicate that the plant extract disrupts digestive physiology and cellular metabolism in houseflies. Therefore, </w:t>
      </w:r>
      <w:r w:rsidRPr="004949E5">
        <w:rPr>
          <w:rFonts w:ascii="Arial" w:hAnsi="Arial" w:cs="Arial"/>
          <w:i/>
          <w:iCs/>
          <w:sz w:val="20"/>
          <w:szCs w:val="20"/>
        </w:rPr>
        <w:t>Datura innoxia</w:t>
      </w:r>
      <w:r w:rsidRPr="004949E5">
        <w:rPr>
          <w:rFonts w:ascii="Arial" w:hAnsi="Arial" w:cs="Arial"/>
          <w:sz w:val="20"/>
          <w:szCs w:val="20"/>
        </w:rPr>
        <w:t xml:space="preserve"> seed extract shows promising potential as a botanical insecticide for housefly control.</w:t>
      </w:r>
      <w:r w:rsidR="002F7FF2" w:rsidRPr="004949E5">
        <w:rPr>
          <w:rFonts w:ascii="Arial" w:hAnsi="Arial" w:cs="Arial"/>
          <w:sz w:val="20"/>
          <w:szCs w:val="20"/>
        </w:rPr>
        <w:t xml:space="preserve"> </w:t>
      </w:r>
      <w:r w:rsidRPr="004949E5">
        <w:rPr>
          <w:rFonts w:ascii="Arial" w:hAnsi="Arial" w:cs="Arial"/>
          <w:sz w:val="20"/>
          <w:szCs w:val="20"/>
        </w:rPr>
        <w:t>Further investigations involving enzymatic assays, histopathological analysis, and molecular studies are recommended to better understand the mechanism of toxicity.</w:t>
      </w:r>
    </w:p>
    <w:p w14:paraId="4A66FB2C" w14:textId="77777777" w:rsidR="00DC1610" w:rsidRDefault="00DC1610" w:rsidP="00A81618">
      <w:pPr>
        <w:ind w:left="-284"/>
        <w:jc w:val="both"/>
        <w:rPr>
          <w:rFonts w:ascii="Arial" w:hAnsi="Arial" w:cs="Arial"/>
          <w:bCs/>
        </w:rPr>
      </w:pPr>
    </w:p>
    <w:p w14:paraId="593D2A5C" w14:textId="77777777" w:rsidR="00DC1610" w:rsidRPr="00DC1610" w:rsidRDefault="00DC1610" w:rsidP="00DC1610">
      <w:pPr>
        <w:spacing w:after="200" w:line="276" w:lineRule="auto"/>
        <w:rPr>
          <w:rFonts w:ascii="Arial" w:eastAsia="Times New Roman" w:hAnsi="Arial" w:cs="Arial"/>
          <w:b/>
          <w:bCs/>
          <w:kern w:val="0"/>
          <w:lang w:val="en-GB" w:eastAsia="en-GB"/>
          <w14:ligatures w14:val="none"/>
        </w:rPr>
      </w:pPr>
      <w:r w:rsidRPr="00DC1610">
        <w:rPr>
          <w:rFonts w:ascii="Arial" w:eastAsia="Times New Roman" w:hAnsi="Arial" w:cs="Arial"/>
          <w:b/>
          <w:bCs/>
          <w:kern w:val="0"/>
          <w:lang w:val="en-GB" w:eastAsia="en-GB"/>
          <w14:ligatures w14:val="none"/>
        </w:rPr>
        <w:t>COMPETING INTERESTS DISCLAIMER:</w:t>
      </w:r>
    </w:p>
    <w:p w14:paraId="1A8EFD3E" w14:textId="5E057E4C" w:rsidR="00DC1610" w:rsidRPr="00DC1610" w:rsidRDefault="00DC1610" w:rsidP="00DC1610">
      <w:pPr>
        <w:spacing w:after="200" w:line="276" w:lineRule="auto"/>
        <w:rPr>
          <w:rFonts w:ascii="Calibri" w:eastAsia="Times New Roman" w:hAnsi="Calibri" w:cs="Times New Roman"/>
          <w:kern w:val="0"/>
          <w:lang w:val="en-GB" w:eastAsia="en-GB"/>
          <w14:ligatures w14:val="none"/>
        </w:rPr>
      </w:pPr>
      <w:r w:rsidRPr="00DC1610">
        <w:rPr>
          <w:rFonts w:ascii="Arial" w:eastAsia="Times New Roman" w:hAnsi="Arial" w:cs="Arial"/>
          <w:kern w:val="0"/>
          <w:lang w:val="en-GB" w:eastAsia="en-GB"/>
          <w14:ligatures w14:val="none"/>
        </w:rPr>
        <w:t>Authors have declared that they have no known competing financial interests OR non-financial interests</w:t>
      </w:r>
      <w:r w:rsidR="00D068D3">
        <w:rPr>
          <w:rFonts w:ascii="Arial" w:eastAsia="Times New Roman" w:hAnsi="Arial" w:cs="Arial"/>
          <w:kern w:val="0"/>
          <w:lang w:val="en-GB" w:eastAsia="en-GB"/>
          <w14:ligatures w14:val="none"/>
        </w:rPr>
        <w:t>, or</w:t>
      </w:r>
      <w:r w:rsidRPr="00DC1610">
        <w:rPr>
          <w:rFonts w:ascii="Arial" w:eastAsia="Times New Roman" w:hAnsi="Arial" w:cs="Arial"/>
          <w:kern w:val="0"/>
          <w:lang w:val="en-GB" w:eastAsia="en-GB"/>
          <w14:ligatures w14:val="none"/>
        </w:rPr>
        <w:t xml:space="preserve"> personal relationships that could have appeared to influence the work reported in this paper.</w:t>
      </w:r>
    </w:p>
    <w:p w14:paraId="3FF80126" w14:textId="77777777" w:rsidR="00DC1610" w:rsidRPr="00A81618" w:rsidRDefault="00DC1610" w:rsidP="00A81618">
      <w:pPr>
        <w:ind w:left="-284"/>
        <w:jc w:val="both"/>
        <w:rPr>
          <w:rFonts w:ascii="Arial" w:hAnsi="Arial" w:cs="Arial"/>
          <w:bCs/>
        </w:rPr>
      </w:pPr>
    </w:p>
    <w:p w14:paraId="020C8060" w14:textId="490554E9" w:rsidR="00B521EC" w:rsidRDefault="00B521EC" w:rsidP="00BD3609">
      <w:pPr>
        <w:ind w:left="-284"/>
        <w:jc w:val="both"/>
        <w:rPr>
          <w:rFonts w:ascii="Arial" w:hAnsi="Arial" w:cs="Arial"/>
          <w:b/>
          <w:bCs/>
        </w:rPr>
      </w:pPr>
      <w:r w:rsidRPr="00B521EC">
        <w:rPr>
          <w:rFonts w:ascii="Arial" w:hAnsi="Arial" w:cs="Arial"/>
          <w:b/>
          <w:bCs/>
        </w:rPr>
        <w:t>References</w:t>
      </w:r>
    </w:p>
    <w:p w14:paraId="4BBF8C2F" w14:textId="6C46545B" w:rsidR="00B521EC" w:rsidRPr="00B521EC" w:rsidRDefault="00B521EC" w:rsidP="00BD3609">
      <w:pPr>
        <w:ind w:hanging="284"/>
        <w:jc w:val="both"/>
        <w:rPr>
          <w:rFonts w:ascii="Arial" w:hAnsi="Arial" w:cs="Arial"/>
          <w:sz w:val="20"/>
          <w:szCs w:val="20"/>
        </w:rPr>
      </w:pPr>
      <w:r w:rsidRPr="005C754B">
        <w:rPr>
          <w:rFonts w:ascii="Arial" w:hAnsi="Arial" w:cs="Arial"/>
          <w:sz w:val="20"/>
          <w:szCs w:val="20"/>
        </w:rPr>
        <w:t xml:space="preserve">Abd El-Aziz HS (2000) Psychopathological studies on bacterial infection of cotton leaf worm, </w:t>
      </w:r>
      <w:r w:rsidRPr="005C754B">
        <w:rPr>
          <w:rFonts w:ascii="Arial" w:hAnsi="Arial" w:cs="Arial"/>
          <w:i/>
          <w:iCs/>
          <w:sz w:val="20"/>
          <w:szCs w:val="20"/>
        </w:rPr>
        <w:t>Spodoptera littoralis</w:t>
      </w:r>
      <w:r w:rsidRPr="005C754B">
        <w:rPr>
          <w:rFonts w:ascii="Arial" w:hAnsi="Arial" w:cs="Arial"/>
          <w:sz w:val="20"/>
          <w:szCs w:val="20"/>
        </w:rPr>
        <w:t>. M.Sc. Thesis. Fac.Sci.Ain Shams Univ</w:t>
      </w:r>
      <w:r w:rsidR="00BD3609" w:rsidRPr="005C754B">
        <w:rPr>
          <w:rFonts w:ascii="Arial" w:hAnsi="Arial" w:cs="Arial"/>
          <w:sz w:val="20"/>
          <w:szCs w:val="20"/>
        </w:rPr>
        <w:t xml:space="preserve">., </w:t>
      </w:r>
      <w:r w:rsidRPr="005C754B">
        <w:rPr>
          <w:rFonts w:ascii="Arial" w:hAnsi="Arial" w:cs="Arial"/>
          <w:sz w:val="20"/>
          <w:szCs w:val="20"/>
        </w:rPr>
        <w:t>Egypt :144</w:t>
      </w:r>
      <w:r w:rsidR="00BD3609" w:rsidRPr="005C754B">
        <w:rPr>
          <w:rFonts w:ascii="Arial" w:hAnsi="Arial" w:cs="Arial"/>
          <w:sz w:val="20"/>
          <w:szCs w:val="20"/>
        </w:rPr>
        <w:t>.</w:t>
      </w:r>
    </w:p>
    <w:p w14:paraId="1A90C5D8" w14:textId="77777777" w:rsidR="00B521EC" w:rsidRDefault="00B521EC" w:rsidP="00BD3609">
      <w:pPr>
        <w:ind w:hanging="284"/>
        <w:jc w:val="both"/>
        <w:rPr>
          <w:rFonts w:ascii="Arial" w:hAnsi="Arial" w:cs="Arial"/>
          <w:sz w:val="20"/>
          <w:szCs w:val="20"/>
        </w:rPr>
      </w:pPr>
      <w:r w:rsidRPr="005C754B">
        <w:rPr>
          <w:rFonts w:ascii="Arial" w:hAnsi="Arial" w:cs="Arial"/>
          <w:sz w:val="20"/>
          <w:szCs w:val="20"/>
        </w:rPr>
        <w:t xml:space="preserve">Bakr R F, Abdel Fattah HM and Mohamed EK (2007) Effect of chitin synthesis inhibitor, lufenuron on the development, haemolymph and antennal sensilla of </w:t>
      </w:r>
      <w:r w:rsidRPr="005C754B">
        <w:rPr>
          <w:rFonts w:ascii="Arial" w:hAnsi="Arial" w:cs="Arial"/>
          <w:i/>
          <w:iCs/>
          <w:sz w:val="20"/>
          <w:szCs w:val="20"/>
        </w:rPr>
        <w:t xml:space="preserve">Schistocerca gregaria </w:t>
      </w:r>
      <w:r w:rsidRPr="005C754B">
        <w:rPr>
          <w:rFonts w:ascii="Arial" w:hAnsi="Arial" w:cs="Arial"/>
          <w:sz w:val="20"/>
          <w:szCs w:val="20"/>
        </w:rPr>
        <w:t>(Forskal) (Orthoptera: Acrididae). African J. Biol. Sci., 3 (2): 35-43.</w:t>
      </w:r>
    </w:p>
    <w:p w14:paraId="631ADD72" w14:textId="7392E140" w:rsidR="00B521EC" w:rsidRPr="00B521EC" w:rsidRDefault="00B521EC" w:rsidP="00BD3609">
      <w:pPr>
        <w:ind w:hanging="284"/>
        <w:jc w:val="both"/>
        <w:rPr>
          <w:rFonts w:ascii="Arial" w:hAnsi="Arial" w:cs="Arial"/>
          <w:sz w:val="20"/>
          <w:szCs w:val="20"/>
        </w:rPr>
      </w:pPr>
      <w:r w:rsidRPr="00B521EC">
        <w:rPr>
          <w:rFonts w:ascii="Arial" w:hAnsi="Arial" w:cs="Arial"/>
          <w:sz w:val="20"/>
          <w:szCs w:val="20"/>
        </w:rPr>
        <w:t xml:space="preserve">Baskar K, Ignacimuthu S, Jayakumar M (2015b) Toxic effects of </w:t>
      </w:r>
      <w:r w:rsidRPr="00B521EC">
        <w:rPr>
          <w:rFonts w:ascii="Arial" w:hAnsi="Arial" w:cs="Arial"/>
          <w:i/>
          <w:iCs/>
          <w:sz w:val="20"/>
          <w:szCs w:val="20"/>
        </w:rPr>
        <w:t>Couroupi</w:t>
      </w:r>
      <w:r>
        <w:rPr>
          <w:rFonts w:ascii="Arial" w:hAnsi="Arial" w:cs="Arial"/>
          <w:sz w:val="20"/>
          <w:szCs w:val="20"/>
        </w:rPr>
        <w:t xml:space="preserve"> </w:t>
      </w:r>
      <w:r w:rsidRPr="00B521EC">
        <w:rPr>
          <w:rFonts w:ascii="Arial" w:hAnsi="Arial" w:cs="Arial"/>
          <w:i/>
          <w:iCs/>
          <w:sz w:val="20"/>
          <w:szCs w:val="20"/>
        </w:rPr>
        <w:t xml:space="preserve">taguianensis </w:t>
      </w:r>
      <w:r w:rsidRPr="00B521EC">
        <w:rPr>
          <w:rFonts w:ascii="Arial" w:hAnsi="Arial" w:cs="Arial"/>
          <w:sz w:val="20"/>
          <w:szCs w:val="20"/>
        </w:rPr>
        <w:t xml:space="preserve">against </w:t>
      </w:r>
      <w:r w:rsidRPr="00B521EC">
        <w:rPr>
          <w:rFonts w:ascii="Arial" w:hAnsi="Arial" w:cs="Arial"/>
          <w:i/>
          <w:iCs/>
          <w:sz w:val="20"/>
          <w:szCs w:val="20"/>
        </w:rPr>
        <w:t xml:space="preserve">Spodoptera litura </w:t>
      </w:r>
      <w:r w:rsidRPr="00B521EC">
        <w:rPr>
          <w:rFonts w:ascii="Arial" w:hAnsi="Arial" w:cs="Arial"/>
          <w:sz w:val="20"/>
          <w:szCs w:val="20"/>
        </w:rPr>
        <w:t>(Fabricius) (Lepidoptera: Noctuidae). Neotrop</w:t>
      </w:r>
      <w:r>
        <w:rPr>
          <w:rFonts w:ascii="Arial" w:hAnsi="Arial" w:cs="Arial"/>
          <w:sz w:val="20"/>
          <w:szCs w:val="20"/>
        </w:rPr>
        <w:t xml:space="preserve"> </w:t>
      </w:r>
      <w:r w:rsidRPr="00B521EC">
        <w:rPr>
          <w:rFonts w:ascii="Arial" w:hAnsi="Arial" w:cs="Arial"/>
          <w:sz w:val="20"/>
          <w:szCs w:val="20"/>
        </w:rPr>
        <w:t>Entomol 44:84–91</w:t>
      </w:r>
      <w:r w:rsidR="00BD3609">
        <w:rPr>
          <w:rFonts w:ascii="Arial" w:hAnsi="Arial" w:cs="Arial"/>
          <w:sz w:val="20"/>
          <w:szCs w:val="20"/>
        </w:rPr>
        <w:t>.</w:t>
      </w:r>
    </w:p>
    <w:p w14:paraId="5866EF11" w14:textId="260DAD58" w:rsidR="00B521EC" w:rsidRPr="00B521EC" w:rsidRDefault="00B521EC" w:rsidP="00BD3609">
      <w:pPr>
        <w:ind w:hanging="284"/>
        <w:jc w:val="both"/>
        <w:rPr>
          <w:rFonts w:ascii="Arial" w:hAnsi="Arial" w:cs="Arial"/>
          <w:sz w:val="20"/>
          <w:szCs w:val="20"/>
        </w:rPr>
      </w:pPr>
      <w:r w:rsidRPr="00B521EC">
        <w:rPr>
          <w:rFonts w:ascii="Arial" w:hAnsi="Arial" w:cs="Arial"/>
          <w:sz w:val="20"/>
          <w:szCs w:val="20"/>
        </w:rPr>
        <w:t xml:space="preserve">Baskar K, Muthu C, Ignacimuthu S (2015a) Bioefficacy of </w:t>
      </w:r>
      <w:r w:rsidRPr="00B521EC">
        <w:rPr>
          <w:rFonts w:ascii="Arial" w:hAnsi="Arial" w:cs="Arial"/>
          <w:i/>
          <w:iCs/>
          <w:sz w:val="20"/>
          <w:szCs w:val="20"/>
        </w:rPr>
        <w:t xml:space="preserve">Atalantiamonophylla </w:t>
      </w:r>
      <w:r w:rsidRPr="00B521EC">
        <w:rPr>
          <w:rFonts w:ascii="Arial" w:hAnsi="Arial" w:cs="Arial"/>
          <w:sz w:val="20"/>
          <w:szCs w:val="20"/>
        </w:rPr>
        <w:t>(L)</w:t>
      </w:r>
      <w:r>
        <w:rPr>
          <w:rFonts w:ascii="Arial" w:hAnsi="Arial" w:cs="Arial"/>
          <w:sz w:val="20"/>
          <w:szCs w:val="20"/>
        </w:rPr>
        <w:t xml:space="preserve"> </w:t>
      </w:r>
      <w:r w:rsidRPr="00B521EC">
        <w:rPr>
          <w:rFonts w:ascii="Arial" w:hAnsi="Arial" w:cs="Arial"/>
          <w:sz w:val="20"/>
          <w:szCs w:val="20"/>
        </w:rPr>
        <w:t xml:space="preserve">Correa (Rutaceae) against </w:t>
      </w:r>
      <w:r w:rsidRPr="00B521EC">
        <w:rPr>
          <w:rFonts w:ascii="Arial" w:hAnsi="Arial" w:cs="Arial"/>
          <w:i/>
          <w:iCs/>
          <w:sz w:val="20"/>
          <w:szCs w:val="20"/>
        </w:rPr>
        <w:t xml:space="preserve">Spodoptera litura </w:t>
      </w:r>
      <w:r w:rsidRPr="00B521EC">
        <w:rPr>
          <w:rFonts w:ascii="Arial" w:hAnsi="Arial" w:cs="Arial"/>
          <w:sz w:val="20"/>
          <w:szCs w:val="20"/>
        </w:rPr>
        <w:t>Fabricius (Lepidoptera: Noctuidae).</w:t>
      </w:r>
      <w:r>
        <w:rPr>
          <w:rFonts w:ascii="Arial" w:hAnsi="Arial" w:cs="Arial"/>
          <w:sz w:val="20"/>
          <w:szCs w:val="20"/>
        </w:rPr>
        <w:t xml:space="preserve"> </w:t>
      </w:r>
      <w:r w:rsidRPr="00B521EC">
        <w:rPr>
          <w:rFonts w:ascii="Arial" w:hAnsi="Arial" w:cs="Arial"/>
          <w:sz w:val="20"/>
          <w:szCs w:val="20"/>
        </w:rPr>
        <w:t>Entomol Ornithol Herpetol 4: 2</w:t>
      </w:r>
      <w:r w:rsidR="00BD3609">
        <w:rPr>
          <w:rFonts w:ascii="Arial" w:hAnsi="Arial" w:cs="Arial"/>
          <w:sz w:val="20"/>
          <w:szCs w:val="20"/>
        </w:rPr>
        <w:t>.</w:t>
      </w:r>
    </w:p>
    <w:p w14:paraId="475DB4CD" w14:textId="59D39BD2" w:rsidR="00B521EC" w:rsidRPr="00B521EC" w:rsidRDefault="00B521EC" w:rsidP="00BD3609">
      <w:pPr>
        <w:ind w:hanging="284"/>
        <w:jc w:val="both"/>
        <w:rPr>
          <w:rFonts w:ascii="Arial" w:hAnsi="Arial" w:cs="Arial"/>
          <w:sz w:val="20"/>
          <w:szCs w:val="20"/>
        </w:rPr>
      </w:pPr>
      <w:r w:rsidRPr="00B521EC">
        <w:rPr>
          <w:rFonts w:ascii="Arial" w:hAnsi="Arial" w:cs="Arial"/>
          <w:sz w:val="20"/>
          <w:szCs w:val="20"/>
        </w:rPr>
        <w:t>Begum N, Sharma B and Pandey RS (2010) Evaluation of Insecticidal Efficacy of</w:t>
      </w:r>
      <w:r>
        <w:rPr>
          <w:rFonts w:ascii="Arial" w:hAnsi="Arial" w:cs="Arial"/>
          <w:sz w:val="20"/>
          <w:szCs w:val="20"/>
        </w:rPr>
        <w:t xml:space="preserve"> </w:t>
      </w:r>
      <w:r w:rsidRPr="00B521EC">
        <w:rPr>
          <w:rFonts w:ascii="Arial" w:hAnsi="Arial" w:cs="Arial"/>
          <w:i/>
          <w:iCs/>
          <w:sz w:val="20"/>
          <w:szCs w:val="20"/>
        </w:rPr>
        <w:t xml:space="preserve">Calotropis Procera </w:t>
      </w:r>
      <w:r w:rsidRPr="00B521EC">
        <w:rPr>
          <w:rFonts w:ascii="Arial" w:hAnsi="Arial" w:cs="Arial"/>
          <w:sz w:val="20"/>
          <w:szCs w:val="20"/>
        </w:rPr>
        <w:t xml:space="preserve">and </w:t>
      </w:r>
      <w:r w:rsidRPr="00B521EC">
        <w:rPr>
          <w:rFonts w:ascii="Arial" w:hAnsi="Arial" w:cs="Arial"/>
          <w:i/>
          <w:iCs/>
          <w:sz w:val="20"/>
          <w:szCs w:val="20"/>
        </w:rPr>
        <w:t xml:space="preserve">Annona Squamosa </w:t>
      </w:r>
      <w:r w:rsidRPr="00B521EC">
        <w:rPr>
          <w:rFonts w:ascii="Arial" w:hAnsi="Arial" w:cs="Arial"/>
          <w:sz w:val="20"/>
          <w:szCs w:val="20"/>
        </w:rPr>
        <w:t xml:space="preserve">Ethanol Extracts Against </w:t>
      </w:r>
      <w:r w:rsidRPr="00B521EC">
        <w:rPr>
          <w:rFonts w:ascii="Arial" w:hAnsi="Arial" w:cs="Arial"/>
          <w:i/>
          <w:iCs/>
          <w:sz w:val="20"/>
          <w:szCs w:val="20"/>
        </w:rPr>
        <w:t>Musca</w:t>
      </w:r>
      <w:r>
        <w:rPr>
          <w:rFonts w:ascii="Arial" w:hAnsi="Arial" w:cs="Arial"/>
          <w:sz w:val="20"/>
          <w:szCs w:val="20"/>
        </w:rPr>
        <w:t xml:space="preserve"> </w:t>
      </w:r>
      <w:r w:rsidRPr="00B521EC">
        <w:rPr>
          <w:rFonts w:ascii="Arial" w:hAnsi="Arial" w:cs="Arial"/>
          <w:i/>
          <w:iCs/>
          <w:sz w:val="20"/>
          <w:szCs w:val="20"/>
        </w:rPr>
        <w:t xml:space="preserve">Domestica. </w:t>
      </w:r>
      <w:r w:rsidRPr="00B521EC">
        <w:rPr>
          <w:rFonts w:ascii="Arial" w:hAnsi="Arial" w:cs="Arial"/>
          <w:sz w:val="20"/>
          <w:szCs w:val="20"/>
        </w:rPr>
        <w:t>J Biofertil Biopestici 1:1</w:t>
      </w:r>
      <w:r w:rsidR="00BD3609">
        <w:rPr>
          <w:rFonts w:ascii="Arial" w:hAnsi="Arial" w:cs="Arial"/>
          <w:sz w:val="20"/>
          <w:szCs w:val="20"/>
        </w:rPr>
        <w:t>.</w:t>
      </w:r>
    </w:p>
    <w:p w14:paraId="1D389919" w14:textId="2D823233" w:rsidR="002348A0" w:rsidRPr="00B521EC" w:rsidRDefault="002348A0" w:rsidP="00BD3609">
      <w:pPr>
        <w:ind w:hanging="284"/>
        <w:jc w:val="both"/>
        <w:rPr>
          <w:rFonts w:ascii="Arial" w:hAnsi="Arial" w:cs="Arial"/>
          <w:sz w:val="20"/>
          <w:szCs w:val="20"/>
        </w:rPr>
      </w:pPr>
      <w:r w:rsidRPr="002348A0">
        <w:rPr>
          <w:rFonts w:ascii="Arial" w:hAnsi="Arial" w:cs="Arial"/>
          <w:sz w:val="20"/>
          <w:szCs w:val="20"/>
        </w:rPr>
        <w:t>Fatima, H., Khan, K., Zia, M., Ur-Rehman, T., Mirza, B., &amp; Haq, I. U. (2015). Extraction optimization of medicinally important metabolites from Datura innoxia Mill.: an in vitro biological and phytochemical investigation. </w:t>
      </w:r>
      <w:r w:rsidRPr="002348A0">
        <w:rPr>
          <w:rFonts w:ascii="Arial" w:hAnsi="Arial" w:cs="Arial"/>
          <w:i/>
          <w:iCs/>
          <w:sz w:val="20"/>
          <w:szCs w:val="20"/>
        </w:rPr>
        <w:t>BMC complementary and alternative medicine</w:t>
      </w:r>
      <w:r w:rsidRPr="002348A0">
        <w:rPr>
          <w:rFonts w:ascii="Arial" w:hAnsi="Arial" w:cs="Arial"/>
          <w:sz w:val="20"/>
          <w:szCs w:val="20"/>
        </w:rPr>
        <w:t>, </w:t>
      </w:r>
      <w:r w:rsidRPr="002348A0">
        <w:rPr>
          <w:rFonts w:ascii="Arial" w:hAnsi="Arial" w:cs="Arial"/>
          <w:i/>
          <w:iCs/>
          <w:sz w:val="20"/>
          <w:szCs w:val="20"/>
        </w:rPr>
        <w:t>15</w:t>
      </w:r>
      <w:r w:rsidRPr="002348A0">
        <w:rPr>
          <w:rFonts w:ascii="Arial" w:hAnsi="Arial" w:cs="Arial"/>
          <w:sz w:val="20"/>
          <w:szCs w:val="20"/>
        </w:rPr>
        <w:t>(1), 376.</w:t>
      </w:r>
    </w:p>
    <w:p w14:paraId="6636AFE3" w14:textId="5B1F3BE7" w:rsidR="00E865BB" w:rsidRDefault="00E865BB" w:rsidP="00E865BB">
      <w:pPr>
        <w:ind w:hanging="284"/>
        <w:jc w:val="both"/>
        <w:rPr>
          <w:rFonts w:ascii="Arial" w:hAnsi="Arial" w:cs="Arial"/>
          <w:sz w:val="20"/>
          <w:szCs w:val="20"/>
        </w:rPr>
      </w:pPr>
      <w:bookmarkStart w:id="8" w:name="_Hlk220185675"/>
      <w:r w:rsidRPr="00E865BB">
        <w:rPr>
          <w:rFonts w:ascii="Arial" w:hAnsi="Arial" w:cs="Arial"/>
          <w:sz w:val="20"/>
          <w:szCs w:val="20"/>
        </w:rPr>
        <w:t>Janeh, M.</w:t>
      </w:r>
      <w:bookmarkEnd w:id="8"/>
      <w:r w:rsidRPr="00E865BB">
        <w:rPr>
          <w:rFonts w:ascii="Arial" w:hAnsi="Arial" w:cs="Arial"/>
          <w:sz w:val="20"/>
          <w:szCs w:val="20"/>
        </w:rPr>
        <w:t>, Osman, D. and Kambris, Z., 2017. Damage-induced cell regeneration in the midgut of Aedes albopictus mosquitoes. </w:t>
      </w:r>
      <w:r w:rsidRPr="00E865BB">
        <w:rPr>
          <w:rFonts w:ascii="Arial" w:hAnsi="Arial" w:cs="Arial"/>
          <w:i/>
          <w:iCs/>
          <w:sz w:val="20"/>
          <w:szCs w:val="20"/>
        </w:rPr>
        <w:t>Scientific reports</w:t>
      </w:r>
      <w:r w:rsidRPr="00E865BB">
        <w:rPr>
          <w:rFonts w:ascii="Arial" w:hAnsi="Arial" w:cs="Arial"/>
          <w:sz w:val="20"/>
          <w:szCs w:val="20"/>
        </w:rPr>
        <w:t>, </w:t>
      </w:r>
      <w:r w:rsidRPr="00E865BB">
        <w:rPr>
          <w:rFonts w:ascii="Arial" w:hAnsi="Arial" w:cs="Arial"/>
          <w:i/>
          <w:iCs/>
          <w:sz w:val="20"/>
          <w:szCs w:val="20"/>
        </w:rPr>
        <w:t>7</w:t>
      </w:r>
      <w:r w:rsidRPr="00E865BB">
        <w:rPr>
          <w:rFonts w:ascii="Arial" w:hAnsi="Arial" w:cs="Arial"/>
          <w:sz w:val="20"/>
          <w:szCs w:val="20"/>
        </w:rPr>
        <w:t>(1), p.44594.</w:t>
      </w:r>
    </w:p>
    <w:p w14:paraId="08FA3575" w14:textId="760C73CC" w:rsidR="007C0DE3" w:rsidRPr="00E865BB" w:rsidRDefault="007C0DE3" w:rsidP="00E865BB">
      <w:pPr>
        <w:ind w:hanging="284"/>
        <w:jc w:val="both"/>
        <w:rPr>
          <w:rFonts w:ascii="Arial" w:hAnsi="Arial" w:cs="Arial"/>
          <w:sz w:val="20"/>
          <w:szCs w:val="20"/>
        </w:rPr>
      </w:pPr>
      <w:r>
        <w:rPr>
          <w:rFonts w:ascii="Arial" w:hAnsi="Arial" w:cs="Arial"/>
          <w:sz w:val="20"/>
          <w:szCs w:val="20"/>
        </w:rPr>
        <w:t>Jangam D. V., Patil S. D. (2025). Evaluation of insecticidal Properties of Datura innoxia Seed Extract Against Musca domestica larva (Diptera), Int. J Entomology Research, Vol 10, Issue 12, 2025, Pg no.189-192.</w:t>
      </w:r>
    </w:p>
    <w:p w14:paraId="5101128E" w14:textId="59F1D8F6" w:rsidR="00B521EC" w:rsidRDefault="00B521EC" w:rsidP="00BD3609">
      <w:pPr>
        <w:ind w:hanging="284"/>
        <w:jc w:val="both"/>
        <w:rPr>
          <w:rFonts w:ascii="Arial" w:hAnsi="Arial" w:cs="Arial"/>
          <w:sz w:val="20"/>
          <w:szCs w:val="20"/>
        </w:rPr>
      </w:pPr>
      <w:r w:rsidRPr="00B521EC">
        <w:rPr>
          <w:rFonts w:ascii="Arial" w:hAnsi="Arial" w:cs="Arial"/>
          <w:sz w:val="20"/>
          <w:szCs w:val="20"/>
        </w:rPr>
        <w:t>Jyoti M Chintalchere, Mudasir A Dar and Radhakrishna S Pandit (2018) Evaluation</w:t>
      </w:r>
      <w:r>
        <w:rPr>
          <w:rFonts w:ascii="Arial" w:hAnsi="Arial" w:cs="Arial"/>
          <w:sz w:val="20"/>
          <w:szCs w:val="20"/>
        </w:rPr>
        <w:t xml:space="preserve"> </w:t>
      </w:r>
      <w:r w:rsidRPr="00B521EC">
        <w:rPr>
          <w:rFonts w:ascii="Arial" w:hAnsi="Arial" w:cs="Arial"/>
          <w:sz w:val="20"/>
          <w:szCs w:val="20"/>
        </w:rPr>
        <w:t>of Some Essential Oils against the larvae of House Fly, Musca domestica by Using</w:t>
      </w:r>
      <w:r>
        <w:rPr>
          <w:rFonts w:ascii="Arial" w:hAnsi="Arial" w:cs="Arial"/>
          <w:sz w:val="20"/>
          <w:szCs w:val="20"/>
        </w:rPr>
        <w:t xml:space="preserve"> </w:t>
      </w:r>
      <w:r w:rsidRPr="00B521EC">
        <w:rPr>
          <w:rFonts w:ascii="Arial" w:hAnsi="Arial" w:cs="Arial"/>
          <w:sz w:val="20"/>
          <w:szCs w:val="20"/>
        </w:rPr>
        <w:t>Residual Film Method Adv Biotech &amp; Micro 9(1): AIBM.MS.ID.555752.DOI:</w:t>
      </w:r>
      <w:r>
        <w:rPr>
          <w:rFonts w:ascii="Arial" w:hAnsi="Arial" w:cs="Arial"/>
          <w:sz w:val="20"/>
          <w:szCs w:val="20"/>
        </w:rPr>
        <w:t xml:space="preserve"> </w:t>
      </w:r>
      <w:r w:rsidRPr="00B521EC">
        <w:rPr>
          <w:rFonts w:ascii="Arial" w:hAnsi="Arial" w:cs="Arial"/>
          <w:sz w:val="20"/>
          <w:szCs w:val="20"/>
        </w:rPr>
        <w:t>10.19080/AIBM.2018.09.555752</w:t>
      </w:r>
      <w:r w:rsidR="00BD3609">
        <w:rPr>
          <w:rFonts w:ascii="Arial" w:hAnsi="Arial" w:cs="Arial"/>
          <w:sz w:val="20"/>
          <w:szCs w:val="20"/>
        </w:rPr>
        <w:t>.</w:t>
      </w:r>
    </w:p>
    <w:p w14:paraId="4470C3AE" w14:textId="0D3FC1A3" w:rsidR="002348A0" w:rsidRPr="005C754B" w:rsidRDefault="002348A0" w:rsidP="00BD3609">
      <w:pPr>
        <w:ind w:hanging="284"/>
        <w:jc w:val="both"/>
        <w:rPr>
          <w:rFonts w:ascii="Arial" w:hAnsi="Arial" w:cs="Arial"/>
          <w:sz w:val="20"/>
          <w:szCs w:val="20"/>
        </w:rPr>
      </w:pPr>
      <w:r w:rsidRPr="005C754B">
        <w:rPr>
          <w:rFonts w:ascii="Arial" w:hAnsi="Arial" w:cs="Arial"/>
          <w:sz w:val="20"/>
          <w:szCs w:val="20"/>
        </w:rPr>
        <w:t>Liang, J., Xiao, F., Ojo, J., Chao, W. H., Ahmad, B., Alam, A., Chen, R. (2025). Insect resistance to insecticides: causes, mechanisms, and exploring potential solutions. </w:t>
      </w:r>
      <w:r w:rsidRPr="005C754B">
        <w:rPr>
          <w:rFonts w:ascii="Arial" w:hAnsi="Arial" w:cs="Arial"/>
          <w:i/>
          <w:iCs/>
          <w:sz w:val="20"/>
          <w:szCs w:val="20"/>
        </w:rPr>
        <w:t>Archives of Insect Biochemistry and Physiology</w:t>
      </w:r>
      <w:r w:rsidRPr="005C754B">
        <w:rPr>
          <w:rFonts w:ascii="Arial" w:hAnsi="Arial" w:cs="Arial"/>
          <w:sz w:val="20"/>
          <w:szCs w:val="20"/>
        </w:rPr>
        <w:t>, </w:t>
      </w:r>
      <w:r w:rsidRPr="005C754B">
        <w:rPr>
          <w:rFonts w:ascii="Arial" w:hAnsi="Arial" w:cs="Arial"/>
          <w:i/>
          <w:iCs/>
          <w:sz w:val="20"/>
          <w:szCs w:val="20"/>
        </w:rPr>
        <w:t>118</w:t>
      </w:r>
      <w:r w:rsidRPr="005C754B">
        <w:rPr>
          <w:rFonts w:ascii="Arial" w:hAnsi="Arial" w:cs="Arial"/>
          <w:sz w:val="20"/>
          <w:szCs w:val="20"/>
        </w:rPr>
        <w:t>(2), e70045.</w:t>
      </w:r>
    </w:p>
    <w:p w14:paraId="767F3E42" w14:textId="7F5F6850" w:rsidR="002348A0" w:rsidRPr="00B521EC" w:rsidRDefault="002348A0" w:rsidP="00BD3609">
      <w:pPr>
        <w:ind w:hanging="284"/>
        <w:jc w:val="both"/>
        <w:rPr>
          <w:rFonts w:ascii="Arial" w:hAnsi="Arial" w:cs="Arial"/>
          <w:sz w:val="20"/>
          <w:szCs w:val="20"/>
        </w:rPr>
      </w:pPr>
      <w:r w:rsidRPr="005C754B">
        <w:rPr>
          <w:rFonts w:ascii="Arial" w:hAnsi="Arial" w:cs="Arial"/>
          <w:sz w:val="20"/>
          <w:szCs w:val="20"/>
        </w:rPr>
        <w:t>Lowry, O. H., Rosebrough, N. J., Farr, A. L., &amp; Randall, R. J. (1951). Protein measurement with the Folin phenol reagent. Journal of Biological Chemistry, 193(1), 265–275.</w:t>
      </w:r>
      <w:r w:rsidRPr="002348A0">
        <w:rPr>
          <w:rFonts w:ascii="Arial" w:hAnsi="Arial" w:cs="Arial"/>
          <w:sz w:val="20"/>
          <w:szCs w:val="20"/>
        </w:rPr>
        <w:t> </w:t>
      </w:r>
    </w:p>
    <w:p w14:paraId="0AFC114E" w14:textId="5DBCCF47" w:rsidR="00B521EC" w:rsidRPr="00B521EC" w:rsidRDefault="00B521EC" w:rsidP="00BD3609">
      <w:pPr>
        <w:ind w:hanging="284"/>
        <w:jc w:val="both"/>
        <w:rPr>
          <w:rFonts w:ascii="Arial" w:hAnsi="Arial" w:cs="Arial"/>
          <w:sz w:val="20"/>
          <w:szCs w:val="20"/>
        </w:rPr>
      </w:pPr>
      <w:r w:rsidRPr="00B521EC">
        <w:rPr>
          <w:rFonts w:ascii="Arial" w:hAnsi="Arial" w:cs="Arial"/>
          <w:sz w:val="20"/>
          <w:szCs w:val="20"/>
        </w:rPr>
        <w:t xml:space="preserve">Mahboubkar MM, Sendi JJ, Aliakbar A (2015) Effect of </w:t>
      </w:r>
      <w:r w:rsidRPr="00B521EC">
        <w:rPr>
          <w:rFonts w:ascii="Arial" w:hAnsi="Arial" w:cs="Arial"/>
          <w:i/>
          <w:iCs/>
          <w:sz w:val="20"/>
          <w:szCs w:val="20"/>
        </w:rPr>
        <w:t xml:space="preserve">Artemisia annua </w:t>
      </w:r>
      <w:r w:rsidRPr="00B521EC">
        <w:rPr>
          <w:rFonts w:ascii="Arial" w:hAnsi="Arial" w:cs="Arial"/>
          <w:sz w:val="20"/>
          <w:szCs w:val="20"/>
        </w:rPr>
        <w:t>L. essential</w:t>
      </w:r>
      <w:r>
        <w:rPr>
          <w:rFonts w:ascii="Arial" w:hAnsi="Arial" w:cs="Arial"/>
          <w:sz w:val="20"/>
          <w:szCs w:val="20"/>
        </w:rPr>
        <w:t xml:space="preserve"> </w:t>
      </w:r>
      <w:r w:rsidRPr="00B521EC">
        <w:rPr>
          <w:rFonts w:ascii="Arial" w:hAnsi="Arial" w:cs="Arial"/>
          <w:sz w:val="20"/>
          <w:szCs w:val="20"/>
        </w:rPr>
        <w:t>oil on toxicity, enzyme activities, and energy reserves of cotton bollworm</w:t>
      </w:r>
      <w:r>
        <w:rPr>
          <w:rFonts w:ascii="Arial" w:hAnsi="Arial" w:cs="Arial"/>
          <w:sz w:val="20"/>
          <w:szCs w:val="20"/>
        </w:rPr>
        <w:t xml:space="preserve"> </w:t>
      </w:r>
      <w:r w:rsidR="00E865BB">
        <w:rPr>
          <w:rFonts w:ascii="Arial" w:hAnsi="Arial" w:cs="Arial"/>
          <w:i/>
          <w:iCs/>
          <w:sz w:val="20"/>
          <w:szCs w:val="20"/>
        </w:rPr>
        <w:t>Helicoverpa armigera</w:t>
      </w:r>
      <w:r w:rsidRPr="00B521EC">
        <w:rPr>
          <w:rFonts w:ascii="Arial" w:hAnsi="Arial" w:cs="Arial"/>
          <w:i/>
          <w:iCs/>
          <w:sz w:val="20"/>
          <w:szCs w:val="20"/>
        </w:rPr>
        <w:t xml:space="preserve"> </w:t>
      </w:r>
      <w:r w:rsidRPr="00B521EC">
        <w:rPr>
          <w:rFonts w:ascii="Arial" w:hAnsi="Arial" w:cs="Arial"/>
          <w:sz w:val="20"/>
          <w:szCs w:val="20"/>
        </w:rPr>
        <w:t>(Hübner) (Lepidoptera: Noctuidae). J Plant Prot Res 55:371–</w:t>
      </w:r>
      <w:r>
        <w:rPr>
          <w:rFonts w:ascii="Arial" w:hAnsi="Arial" w:cs="Arial"/>
          <w:sz w:val="20"/>
          <w:szCs w:val="20"/>
        </w:rPr>
        <w:t xml:space="preserve"> </w:t>
      </w:r>
      <w:r w:rsidRPr="00B521EC">
        <w:rPr>
          <w:rFonts w:ascii="Arial" w:hAnsi="Arial" w:cs="Arial"/>
          <w:sz w:val="20"/>
          <w:szCs w:val="20"/>
        </w:rPr>
        <w:t>377</w:t>
      </w:r>
      <w:r w:rsidR="00BD3609">
        <w:rPr>
          <w:rFonts w:ascii="Arial" w:hAnsi="Arial" w:cs="Arial"/>
          <w:sz w:val="20"/>
          <w:szCs w:val="20"/>
        </w:rPr>
        <w:t>.</w:t>
      </w:r>
    </w:p>
    <w:p w14:paraId="257ED628" w14:textId="63304339" w:rsidR="00B521EC" w:rsidRDefault="00B521EC" w:rsidP="00BD3609">
      <w:pPr>
        <w:ind w:hanging="284"/>
        <w:jc w:val="both"/>
        <w:rPr>
          <w:rFonts w:ascii="Arial" w:hAnsi="Arial" w:cs="Arial"/>
          <w:sz w:val="20"/>
          <w:szCs w:val="20"/>
        </w:rPr>
      </w:pPr>
      <w:r w:rsidRPr="00B521EC">
        <w:rPr>
          <w:rFonts w:ascii="Arial" w:hAnsi="Arial" w:cs="Arial"/>
          <w:sz w:val="20"/>
          <w:szCs w:val="20"/>
        </w:rPr>
        <w:t>Senthilkumar N, Varma P, Gurusubramanian G (2009) Larvicidal and adulticidal</w:t>
      </w:r>
      <w:r>
        <w:rPr>
          <w:rFonts w:ascii="Arial" w:hAnsi="Arial" w:cs="Arial"/>
          <w:sz w:val="20"/>
          <w:szCs w:val="20"/>
        </w:rPr>
        <w:t xml:space="preserve"> </w:t>
      </w:r>
      <w:r w:rsidRPr="00B521EC">
        <w:rPr>
          <w:rFonts w:ascii="Arial" w:hAnsi="Arial" w:cs="Arial"/>
          <w:sz w:val="20"/>
          <w:szCs w:val="20"/>
        </w:rPr>
        <w:t xml:space="preserve">activities of some medicinal plants against the malarial vector, </w:t>
      </w:r>
      <w:r w:rsidRPr="00B521EC">
        <w:rPr>
          <w:rFonts w:ascii="Arial" w:hAnsi="Arial" w:cs="Arial"/>
          <w:i/>
          <w:iCs/>
          <w:sz w:val="20"/>
          <w:szCs w:val="20"/>
        </w:rPr>
        <w:t>Anopheles</w:t>
      </w:r>
      <w:r>
        <w:rPr>
          <w:rFonts w:ascii="Arial" w:hAnsi="Arial" w:cs="Arial"/>
          <w:sz w:val="20"/>
          <w:szCs w:val="20"/>
        </w:rPr>
        <w:t xml:space="preserve"> </w:t>
      </w:r>
      <w:r w:rsidRPr="00B521EC">
        <w:rPr>
          <w:rFonts w:ascii="Arial" w:hAnsi="Arial" w:cs="Arial"/>
          <w:i/>
          <w:iCs/>
          <w:sz w:val="20"/>
          <w:szCs w:val="20"/>
        </w:rPr>
        <w:t>stephensi</w:t>
      </w:r>
      <w:r w:rsidRPr="00B521EC">
        <w:rPr>
          <w:rFonts w:ascii="Arial" w:hAnsi="Arial" w:cs="Arial"/>
          <w:sz w:val="20"/>
          <w:szCs w:val="20"/>
        </w:rPr>
        <w:t>(Liston). Parasitol Res 104 (2): 237-244</w:t>
      </w:r>
      <w:r w:rsidR="00BD3609">
        <w:rPr>
          <w:rFonts w:ascii="Arial" w:hAnsi="Arial" w:cs="Arial"/>
          <w:sz w:val="20"/>
          <w:szCs w:val="20"/>
        </w:rPr>
        <w:t>.</w:t>
      </w:r>
    </w:p>
    <w:p w14:paraId="77D574F6" w14:textId="3992F9B0" w:rsidR="00B521EC" w:rsidRPr="00B521EC" w:rsidRDefault="00B521EC" w:rsidP="00BD3609">
      <w:pPr>
        <w:ind w:hanging="284"/>
        <w:jc w:val="both"/>
        <w:rPr>
          <w:rFonts w:ascii="Arial" w:hAnsi="Arial" w:cs="Arial"/>
          <w:sz w:val="20"/>
          <w:szCs w:val="20"/>
        </w:rPr>
      </w:pPr>
      <w:r w:rsidRPr="00B521EC">
        <w:rPr>
          <w:rFonts w:ascii="Arial" w:hAnsi="Arial" w:cs="Arial"/>
          <w:sz w:val="20"/>
          <w:szCs w:val="20"/>
        </w:rPr>
        <w:t xml:space="preserve">Seyoum E, Bateman RP, Charnley AK (2002) The effect of </w:t>
      </w:r>
      <w:r w:rsidRPr="00B521EC">
        <w:rPr>
          <w:rFonts w:ascii="Arial" w:hAnsi="Arial" w:cs="Arial"/>
          <w:i/>
          <w:iCs/>
          <w:sz w:val="20"/>
          <w:szCs w:val="20"/>
        </w:rPr>
        <w:t>Metarhizium anisopliae</w:t>
      </w:r>
      <w:r>
        <w:rPr>
          <w:rFonts w:ascii="Arial" w:hAnsi="Arial" w:cs="Arial"/>
          <w:sz w:val="20"/>
          <w:szCs w:val="20"/>
        </w:rPr>
        <w:t xml:space="preserve"> </w:t>
      </w:r>
      <w:r w:rsidRPr="00B521EC">
        <w:rPr>
          <w:rFonts w:ascii="Arial" w:hAnsi="Arial" w:cs="Arial"/>
          <w:sz w:val="20"/>
          <w:szCs w:val="20"/>
        </w:rPr>
        <w:t xml:space="preserve">var. </w:t>
      </w:r>
      <w:r w:rsidRPr="00B521EC">
        <w:rPr>
          <w:rFonts w:ascii="Arial" w:hAnsi="Arial" w:cs="Arial"/>
          <w:i/>
          <w:iCs/>
          <w:sz w:val="20"/>
          <w:szCs w:val="20"/>
        </w:rPr>
        <w:t xml:space="preserve">acridum </w:t>
      </w:r>
      <w:r w:rsidRPr="00B521EC">
        <w:rPr>
          <w:rFonts w:ascii="Arial" w:hAnsi="Arial" w:cs="Arial"/>
          <w:sz w:val="20"/>
          <w:szCs w:val="20"/>
        </w:rPr>
        <w:t>on haemolymph energy reserves and flight capability in the desert</w:t>
      </w:r>
      <w:r>
        <w:rPr>
          <w:rFonts w:ascii="Arial" w:hAnsi="Arial" w:cs="Arial"/>
          <w:sz w:val="20"/>
          <w:szCs w:val="20"/>
        </w:rPr>
        <w:t xml:space="preserve"> </w:t>
      </w:r>
      <w:r w:rsidRPr="00B521EC">
        <w:rPr>
          <w:rFonts w:ascii="Arial" w:hAnsi="Arial" w:cs="Arial"/>
          <w:sz w:val="20"/>
          <w:szCs w:val="20"/>
        </w:rPr>
        <w:t>locust,</w:t>
      </w:r>
      <w:r w:rsidR="00E865BB">
        <w:rPr>
          <w:rFonts w:ascii="Arial" w:hAnsi="Arial" w:cs="Arial"/>
          <w:sz w:val="20"/>
          <w:szCs w:val="20"/>
        </w:rPr>
        <w:t xml:space="preserve"> </w:t>
      </w:r>
      <w:r w:rsidRPr="00B521EC">
        <w:rPr>
          <w:rFonts w:ascii="Arial" w:hAnsi="Arial" w:cs="Arial"/>
          <w:i/>
          <w:iCs/>
          <w:sz w:val="20"/>
          <w:szCs w:val="20"/>
        </w:rPr>
        <w:t>Schistocerca gregaria</w:t>
      </w:r>
      <w:r w:rsidRPr="00B521EC">
        <w:rPr>
          <w:rFonts w:ascii="Arial" w:hAnsi="Arial" w:cs="Arial"/>
          <w:sz w:val="20"/>
          <w:szCs w:val="20"/>
        </w:rPr>
        <w:t>. J. Appl. Entomol. 126 (2–3): 119–124</w:t>
      </w:r>
      <w:r w:rsidR="00BD3609">
        <w:rPr>
          <w:rFonts w:ascii="Arial" w:hAnsi="Arial" w:cs="Arial"/>
          <w:sz w:val="20"/>
          <w:szCs w:val="20"/>
        </w:rPr>
        <w:t>.</w:t>
      </w:r>
    </w:p>
    <w:p w14:paraId="71768C69" w14:textId="46B697B1" w:rsidR="00AF16B1" w:rsidRPr="00B521EC" w:rsidRDefault="00AF16B1" w:rsidP="00BD3609">
      <w:pPr>
        <w:ind w:hanging="284"/>
        <w:jc w:val="both"/>
        <w:rPr>
          <w:rFonts w:ascii="Arial" w:hAnsi="Arial" w:cs="Arial"/>
          <w:sz w:val="20"/>
          <w:szCs w:val="20"/>
        </w:rPr>
      </w:pPr>
      <w:r w:rsidRPr="00AF16B1">
        <w:rPr>
          <w:rFonts w:ascii="Arial" w:hAnsi="Arial" w:cs="Arial"/>
          <w:sz w:val="20"/>
          <w:szCs w:val="20"/>
        </w:rPr>
        <w:t>Terra, W. R., Ferreira, C., &amp; Silva, C. P. (2023). Overview of insect midgut function. In </w:t>
      </w:r>
      <w:r w:rsidRPr="00AF16B1">
        <w:rPr>
          <w:rFonts w:ascii="Arial" w:hAnsi="Arial" w:cs="Arial"/>
          <w:i/>
          <w:iCs/>
          <w:sz w:val="20"/>
          <w:szCs w:val="20"/>
        </w:rPr>
        <w:t>Molecular physiology and evolution of insect digestive systems</w:t>
      </w:r>
      <w:r w:rsidRPr="00AF16B1">
        <w:rPr>
          <w:rFonts w:ascii="Arial" w:hAnsi="Arial" w:cs="Arial"/>
          <w:sz w:val="20"/>
          <w:szCs w:val="20"/>
        </w:rPr>
        <w:t> (pp. 13-26). Cham: Springer International Publishing.</w:t>
      </w:r>
    </w:p>
    <w:p w14:paraId="35CBC5B1" w14:textId="4E1CC94B" w:rsidR="00B521EC" w:rsidRDefault="00B521EC" w:rsidP="00BD3609">
      <w:pPr>
        <w:ind w:hanging="284"/>
        <w:jc w:val="both"/>
        <w:rPr>
          <w:rFonts w:ascii="Arial" w:hAnsi="Arial" w:cs="Arial"/>
          <w:sz w:val="20"/>
          <w:szCs w:val="20"/>
        </w:rPr>
      </w:pPr>
      <w:r w:rsidRPr="00BF3658">
        <w:rPr>
          <w:rFonts w:ascii="Arial" w:hAnsi="Arial" w:cs="Arial"/>
          <w:sz w:val="20"/>
          <w:szCs w:val="20"/>
        </w:rPr>
        <w:lastRenderedPageBreak/>
        <w:t xml:space="preserve">Upadhyay RK, Yadav N, Ahmad S (2011a) Toxic effects of solvent and aqueous extracts of Cassia alata against bio-molecules and enzymatic parameters of </w:t>
      </w:r>
      <w:r w:rsidR="00E865BB" w:rsidRPr="00BF3658">
        <w:rPr>
          <w:rFonts w:ascii="Arial" w:hAnsi="Arial" w:cs="Arial"/>
          <w:sz w:val="20"/>
          <w:szCs w:val="20"/>
        </w:rPr>
        <w:t>Callosobruchus chinensis</w:t>
      </w:r>
      <w:r w:rsidRPr="00BF3658">
        <w:rPr>
          <w:rFonts w:ascii="Arial" w:hAnsi="Arial" w:cs="Arial"/>
          <w:sz w:val="20"/>
          <w:szCs w:val="20"/>
        </w:rPr>
        <w:t xml:space="preserve"> L. (Coleoptera: Bruchidae). Adv Appl Sci Res 2:367–381</w:t>
      </w:r>
      <w:r w:rsidR="00BD3609" w:rsidRPr="00BF3658">
        <w:rPr>
          <w:rFonts w:ascii="Arial" w:hAnsi="Arial" w:cs="Arial"/>
          <w:sz w:val="20"/>
          <w:szCs w:val="20"/>
        </w:rPr>
        <w:t>.</w:t>
      </w:r>
    </w:p>
    <w:p w14:paraId="7B63BEA4" w14:textId="40F1FEC8" w:rsidR="00B521EC" w:rsidRPr="00B521EC" w:rsidRDefault="00B521EC" w:rsidP="0088268A">
      <w:pPr>
        <w:ind w:hanging="284"/>
        <w:jc w:val="both"/>
        <w:rPr>
          <w:rFonts w:ascii="Arial" w:hAnsi="Arial" w:cs="Arial"/>
          <w:sz w:val="20"/>
          <w:szCs w:val="20"/>
        </w:rPr>
      </w:pPr>
      <w:r w:rsidRPr="00B521EC">
        <w:rPr>
          <w:rFonts w:ascii="Arial" w:hAnsi="Arial" w:cs="Arial"/>
          <w:sz w:val="20"/>
          <w:szCs w:val="20"/>
        </w:rPr>
        <w:t xml:space="preserve">Upadhyay RK, Yadav N, Ahmad S (2011b) Insecticidal potential of </w:t>
      </w:r>
      <w:r w:rsidRPr="00B521EC">
        <w:rPr>
          <w:rFonts w:ascii="Arial" w:hAnsi="Arial" w:cs="Arial"/>
          <w:i/>
          <w:iCs/>
          <w:sz w:val="20"/>
          <w:szCs w:val="20"/>
        </w:rPr>
        <w:t>Capparis decidua</w:t>
      </w:r>
      <w:r>
        <w:rPr>
          <w:rFonts w:ascii="Arial" w:hAnsi="Arial" w:cs="Arial"/>
          <w:sz w:val="20"/>
          <w:szCs w:val="20"/>
        </w:rPr>
        <w:t xml:space="preserve"> </w:t>
      </w:r>
      <w:r w:rsidRPr="00B521EC">
        <w:rPr>
          <w:rFonts w:ascii="Arial" w:hAnsi="Arial" w:cs="Arial"/>
          <w:sz w:val="20"/>
          <w:szCs w:val="20"/>
        </w:rPr>
        <w:t>on biochemical and enzymatic parameters of Tribolium castaneum (Herbst). Agric</w:t>
      </w:r>
      <w:r>
        <w:rPr>
          <w:rFonts w:ascii="Arial" w:hAnsi="Arial" w:cs="Arial"/>
          <w:sz w:val="20"/>
          <w:szCs w:val="20"/>
        </w:rPr>
        <w:t xml:space="preserve"> </w:t>
      </w:r>
      <w:r w:rsidRPr="00B521EC">
        <w:rPr>
          <w:rFonts w:ascii="Arial" w:hAnsi="Arial" w:cs="Arial"/>
          <w:sz w:val="20"/>
          <w:szCs w:val="20"/>
        </w:rPr>
        <w:t>Environ 3:45–67</w:t>
      </w:r>
      <w:r w:rsidR="00BD3609">
        <w:rPr>
          <w:rFonts w:ascii="Arial" w:hAnsi="Arial" w:cs="Arial"/>
          <w:sz w:val="20"/>
          <w:szCs w:val="20"/>
        </w:rPr>
        <w:t>.</w:t>
      </w:r>
    </w:p>
    <w:sectPr w:rsidR="00B521EC" w:rsidRPr="00B521EC" w:rsidSect="006D59D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241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n AlSalihi" w:date="2026-03-14T16:54:00Z" w:initials="MA">
    <w:p w14:paraId="746E7B16" w14:textId="46607441" w:rsidR="007A532F" w:rsidRPr="007A532F" w:rsidRDefault="007A532F">
      <w:pPr>
        <w:pStyle w:val="CommentText"/>
        <w:rPr>
          <w:rFonts w:ascii="Times New Roman" w:hAnsi="Times New Roman" w:cs="Times New Roman"/>
          <w:lang w:val="en-US"/>
        </w:rPr>
      </w:pPr>
      <w:r>
        <w:rPr>
          <w:rStyle w:val="CommentReference"/>
        </w:rPr>
        <w:annotationRef/>
      </w:r>
      <w:r w:rsidRPr="007A532F">
        <w:rPr>
          <w:rFonts w:ascii="Times New Roman" w:hAnsi="Times New Roman" w:cs="Times New Roman"/>
          <w:sz w:val="36"/>
          <w:szCs w:val="36"/>
        </w:rPr>
        <w:t>Delete and replace with</w:t>
      </w:r>
      <w:r>
        <w:rPr>
          <w:rFonts w:ascii="Times New Roman" w:hAnsi="Times New Roman" w:cs="Times New Roman"/>
          <w:sz w:val="36"/>
          <w:szCs w:val="36"/>
          <w:lang w:val="en-US"/>
        </w:rPr>
        <w:t xml:space="preserve"> (makes)</w:t>
      </w:r>
    </w:p>
  </w:comment>
  <w:comment w:id="1" w:author="Maan AlSalihi" w:date="2026-03-14T16:55:00Z" w:initials="MA">
    <w:p w14:paraId="7D58AA11" w14:textId="04B78504" w:rsidR="007A532F" w:rsidRDefault="007A532F">
      <w:pPr>
        <w:pStyle w:val="CommentText"/>
      </w:pPr>
      <w:r>
        <w:rPr>
          <w:rStyle w:val="CommentReference"/>
        </w:rPr>
        <w:annotationRef/>
      </w:r>
      <w:r w:rsidRPr="007A532F">
        <w:t>Delete and replace with</w:t>
      </w:r>
      <w:r>
        <w:t xml:space="preserve"> (a significant)</w:t>
      </w:r>
    </w:p>
  </w:comment>
  <w:comment w:id="2" w:author="Maan AlSalihi" w:date="2026-03-14T16:56:00Z" w:initials="MA">
    <w:p w14:paraId="3CEBD584" w14:textId="6CDE10CB" w:rsidR="007A532F" w:rsidRDefault="007A532F">
      <w:pPr>
        <w:pStyle w:val="CommentText"/>
      </w:pPr>
      <w:r>
        <w:rPr>
          <w:rStyle w:val="CommentReference"/>
        </w:rPr>
        <w:annotationRef/>
      </w:r>
      <w:r w:rsidRPr="007A532F">
        <w:t>Delete and replace with</w:t>
      </w:r>
      <w:r>
        <w:t xml:space="preserve"> (and Hindgut)</w:t>
      </w:r>
    </w:p>
  </w:comment>
  <w:comment w:id="3" w:author="Maan AlSalihi" w:date="2026-03-14T17:00:00Z" w:initials="MA">
    <w:p w14:paraId="4D5293B7" w14:textId="37E0F687" w:rsidR="00D068D3" w:rsidRDefault="00D068D3">
      <w:pPr>
        <w:pStyle w:val="CommentText"/>
      </w:pPr>
      <w:r>
        <w:rPr>
          <w:rStyle w:val="CommentReference"/>
        </w:rPr>
        <w:annotationRef/>
      </w:r>
      <w:r w:rsidRPr="00D068D3">
        <w:t>Delete and replace with</w:t>
      </w:r>
      <w:r>
        <w:t xml:space="preserve"> (Regions)</w:t>
      </w:r>
    </w:p>
  </w:comment>
  <w:comment w:id="4" w:author="Maan AlSalihi" w:date="2026-03-14T16:57:00Z" w:initials="MA">
    <w:p w14:paraId="1E372CE4" w14:textId="6DC11A04" w:rsidR="007A532F" w:rsidRDefault="007A532F">
      <w:pPr>
        <w:pStyle w:val="CommentText"/>
      </w:pPr>
      <w:r>
        <w:rPr>
          <w:rStyle w:val="CommentReference"/>
        </w:rPr>
        <w:annotationRef/>
      </w:r>
      <w:r w:rsidRPr="007A532F">
        <w:t>Delete and replace with</w:t>
      </w:r>
      <w:r>
        <w:t xml:space="preserve"> (the hindgut)</w:t>
      </w:r>
    </w:p>
  </w:comment>
  <w:comment w:id="5" w:author="Maan AlSalihi" w:date="2026-03-14T16:57:00Z" w:initials="MA">
    <w:p w14:paraId="240FFEFF" w14:textId="6DDF9CF5" w:rsidR="007A532F" w:rsidRDefault="007A532F">
      <w:pPr>
        <w:pStyle w:val="CommentText"/>
      </w:pPr>
      <w:r>
        <w:rPr>
          <w:rStyle w:val="CommentReference"/>
        </w:rPr>
        <w:annotationRef/>
      </w:r>
      <w:r w:rsidRPr="007A532F">
        <w:t>Delete and replace with</w:t>
      </w:r>
      <w:r>
        <w:t xml:space="preserve"> (the foregut)</w:t>
      </w:r>
    </w:p>
  </w:comment>
  <w:comment w:id="6" w:author="Maan AlSalihi" w:date="2026-03-14T16:58:00Z" w:initials="MA">
    <w:p w14:paraId="3695478F" w14:textId="31AD3BCD" w:rsidR="007A532F" w:rsidRDefault="007A532F">
      <w:pPr>
        <w:pStyle w:val="CommentText"/>
      </w:pPr>
      <w:r>
        <w:rPr>
          <w:rStyle w:val="CommentReference"/>
        </w:rPr>
        <w:annotationRef/>
      </w:r>
      <w:r w:rsidRPr="007A532F">
        <w:t>Delete and replace with</w:t>
      </w:r>
      <w:r>
        <w:t xml:space="preserve"> (. These result)</w:t>
      </w:r>
    </w:p>
  </w:comment>
  <w:comment w:id="7" w:author="Maan AlSalihi" w:date="2026-03-14T16:58:00Z" w:initials="MA">
    <w:p w14:paraId="5DDC05E1" w14:textId="4CEBC281" w:rsidR="007A532F" w:rsidRDefault="007A532F">
      <w:pPr>
        <w:pStyle w:val="CommentText"/>
      </w:pPr>
      <w:r>
        <w:rPr>
          <w:rStyle w:val="CommentReference"/>
        </w:rPr>
        <w:annotationRef/>
      </w:r>
      <w:r w:rsidRPr="007A532F">
        <w:t>Delete and replace with</w:t>
      </w:r>
      <w:r>
        <w:t xml:space="preserve"> (feed 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6E7B16" w15:done="0"/>
  <w15:commentEx w15:paraId="7D58AA11" w15:done="0"/>
  <w15:commentEx w15:paraId="3CEBD584" w15:done="0"/>
  <w15:commentEx w15:paraId="4D5293B7" w15:done="0"/>
  <w15:commentEx w15:paraId="1E372CE4" w15:done="0"/>
  <w15:commentEx w15:paraId="240FFEFF" w15:done="0"/>
  <w15:commentEx w15:paraId="3695478F" w15:done="0"/>
  <w15:commentEx w15:paraId="5DDC05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85C9FF" w16cex:dateUtc="2026-03-14T13:54:00Z"/>
  <w16cex:commentExtensible w16cex:durableId="1F77A8CD" w16cex:dateUtc="2026-03-14T13:55:00Z"/>
  <w16cex:commentExtensible w16cex:durableId="0F8AC4BC" w16cex:dateUtc="2026-03-14T13:56:00Z"/>
  <w16cex:commentExtensible w16cex:durableId="30E348DD" w16cex:dateUtc="2026-03-14T14:00:00Z"/>
  <w16cex:commentExtensible w16cex:durableId="111312A7" w16cex:dateUtc="2026-03-14T13:57:00Z"/>
  <w16cex:commentExtensible w16cex:durableId="6C55695C" w16cex:dateUtc="2026-03-14T13:57:00Z"/>
  <w16cex:commentExtensible w16cex:durableId="70EA515B" w16cex:dateUtc="2026-03-14T13:58:00Z"/>
  <w16cex:commentExtensible w16cex:durableId="2188651F" w16cex:dateUtc="2026-03-14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6E7B16" w16cid:durableId="3B85C9FF"/>
  <w16cid:commentId w16cid:paraId="7D58AA11" w16cid:durableId="1F77A8CD"/>
  <w16cid:commentId w16cid:paraId="3CEBD584" w16cid:durableId="0F8AC4BC"/>
  <w16cid:commentId w16cid:paraId="4D5293B7" w16cid:durableId="30E348DD"/>
  <w16cid:commentId w16cid:paraId="1E372CE4" w16cid:durableId="111312A7"/>
  <w16cid:commentId w16cid:paraId="240FFEFF" w16cid:durableId="6C55695C"/>
  <w16cid:commentId w16cid:paraId="3695478F" w16cid:durableId="70EA515B"/>
  <w16cid:commentId w16cid:paraId="5DDC05E1" w16cid:durableId="218865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A2742" w14:textId="77777777" w:rsidR="00BD6076" w:rsidRDefault="00BD6076" w:rsidP="006D59DC">
      <w:pPr>
        <w:spacing w:after="0" w:line="240" w:lineRule="auto"/>
      </w:pPr>
      <w:r>
        <w:separator/>
      </w:r>
    </w:p>
  </w:endnote>
  <w:endnote w:type="continuationSeparator" w:id="0">
    <w:p w14:paraId="42513EFF" w14:textId="77777777" w:rsidR="00BD6076" w:rsidRDefault="00BD6076" w:rsidP="006D5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3C99" w14:textId="77777777" w:rsidR="006D59DC" w:rsidRDefault="006D5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B38C" w14:textId="77777777" w:rsidR="006D59DC" w:rsidRDefault="006D59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3A69" w14:textId="77777777" w:rsidR="006D59DC" w:rsidRDefault="006D5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26C6B" w14:textId="77777777" w:rsidR="00BD6076" w:rsidRDefault="00BD6076" w:rsidP="006D59DC">
      <w:pPr>
        <w:spacing w:after="0" w:line="240" w:lineRule="auto"/>
      </w:pPr>
      <w:r>
        <w:separator/>
      </w:r>
    </w:p>
  </w:footnote>
  <w:footnote w:type="continuationSeparator" w:id="0">
    <w:p w14:paraId="194E13A2" w14:textId="77777777" w:rsidR="00BD6076" w:rsidRDefault="00BD6076" w:rsidP="006D5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6C96" w14:textId="173AE672" w:rsidR="006D59DC" w:rsidRDefault="00000000">
    <w:pPr>
      <w:pStyle w:val="Header"/>
    </w:pPr>
    <w:r>
      <w:rPr>
        <w:noProof/>
      </w:rPr>
      <w:pict w14:anchorId="2EFF6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9380361" o:spid="_x0000_s1026" type="#_x0000_t136" style="position:absolute;margin-left:0;margin-top:0;width:477.75pt;height:9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8577" w14:textId="1C5BE7BC" w:rsidR="006D59DC" w:rsidRDefault="00000000">
    <w:pPr>
      <w:pStyle w:val="Header"/>
    </w:pPr>
    <w:r>
      <w:rPr>
        <w:noProof/>
      </w:rPr>
      <w:pict w14:anchorId="0BE2F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9380362" o:spid="_x0000_s1027" type="#_x0000_t136" style="position:absolute;margin-left:0;margin-top:0;width:477.75pt;height:9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4A76" w14:textId="0E3FC563" w:rsidR="006D59DC" w:rsidRDefault="00000000">
    <w:pPr>
      <w:pStyle w:val="Header"/>
    </w:pPr>
    <w:r>
      <w:rPr>
        <w:noProof/>
      </w:rPr>
      <w:pict w14:anchorId="52331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9380360" o:spid="_x0000_s1025" type="#_x0000_t136" style="position:absolute;margin-left:0;margin-top:0;width:477.75pt;height:90.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3BCB"/>
    <w:multiLevelType w:val="multilevel"/>
    <w:tmpl w:val="110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C2621"/>
    <w:multiLevelType w:val="multilevel"/>
    <w:tmpl w:val="F732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31A49"/>
    <w:multiLevelType w:val="multilevel"/>
    <w:tmpl w:val="26C2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13E9D"/>
    <w:multiLevelType w:val="multilevel"/>
    <w:tmpl w:val="B184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F227E"/>
    <w:multiLevelType w:val="multilevel"/>
    <w:tmpl w:val="C35A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9762D"/>
    <w:multiLevelType w:val="hybridMultilevel"/>
    <w:tmpl w:val="CC06AB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324736E"/>
    <w:multiLevelType w:val="multilevel"/>
    <w:tmpl w:val="3CF2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26B0C"/>
    <w:multiLevelType w:val="multilevel"/>
    <w:tmpl w:val="CEF2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ED4265"/>
    <w:multiLevelType w:val="multilevel"/>
    <w:tmpl w:val="C4CEA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A416C2"/>
    <w:multiLevelType w:val="multilevel"/>
    <w:tmpl w:val="84CC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97453D"/>
    <w:multiLevelType w:val="hybridMultilevel"/>
    <w:tmpl w:val="DD7679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C5D0167"/>
    <w:multiLevelType w:val="multilevel"/>
    <w:tmpl w:val="03CA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7E47DE"/>
    <w:multiLevelType w:val="multilevel"/>
    <w:tmpl w:val="B68E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371945">
    <w:abstractNumId w:val="9"/>
  </w:num>
  <w:num w:numId="2" w16cid:durableId="1833523780">
    <w:abstractNumId w:val="8"/>
  </w:num>
  <w:num w:numId="3" w16cid:durableId="1319847951">
    <w:abstractNumId w:val="7"/>
  </w:num>
  <w:num w:numId="4" w16cid:durableId="50274913">
    <w:abstractNumId w:val="10"/>
  </w:num>
  <w:num w:numId="5" w16cid:durableId="1806192397">
    <w:abstractNumId w:val="11"/>
  </w:num>
  <w:num w:numId="6" w16cid:durableId="1918980511">
    <w:abstractNumId w:val="1"/>
  </w:num>
  <w:num w:numId="7" w16cid:durableId="1889611250">
    <w:abstractNumId w:val="12"/>
  </w:num>
  <w:num w:numId="8" w16cid:durableId="780760621">
    <w:abstractNumId w:val="6"/>
  </w:num>
  <w:num w:numId="9" w16cid:durableId="1892184034">
    <w:abstractNumId w:val="4"/>
  </w:num>
  <w:num w:numId="10" w16cid:durableId="39794002">
    <w:abstractNumId w:val="2"/>
  </w:num>
  <w:num w:numId="11" w16cid:durableId="1534687013">
    <w:abstractNumId w:val="0"/>
  </w:num>
  <w:num w:numId="12" w16cid:durableId="994335785">
    <w:abstractNumId w:val="3"/>
  </w:num>
  <w:num w:numId="13" w16cid:durableId="184748104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n AlSalihi">
    <w15:presenceInfo w15:providerId="Windows Live" w15:userId="bd09efe5d0c35f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5B"/>
    <w:rsid w:val="00021835"/>
    <w:rsid w:val="00155646"/>
    <w:rsid w:val="001D0B2C"/>
    <w:rsid w:val="002348A0"/>
    <w:rsid w:val="00265DCB"/>
    <w:rsid w:val="00271A9E"/>
    <w:rsid w:val="00291C35"/>
    <w:rsid w:val="002F7FF2"/>
    <w:rsid w:val="00314B2B"/>
    <w:rsid w:val="00332745"/>
    <w:rsid w:val="00347635"/>
    <w:rsid w:val="0039250F"/>
    <w:rsid w:val="003A189F"/>
    <w:rsid w:val="00447B9F"/>
    <w:rsid w:val="00477194"/>
    <w:rsid w:val="004802A5"/>
    <w:rsid w:val="004949E5"/>
    <w:rsid w:val="0055506C"/>
    <w:rsid w:val="00573E19"/>
    <w:rsid w:val="005C754B"/>
    <w:rsid w:val="00674B99"/>
    <w:rsid w:val="00696B2A"/>
    <w:rsid w:val="006D59DC"/>
    <w:rsid w:val="006F10B4"/>
    <w:rsid w:val="007A3FEA"/>
    <w:rsid w:val="007A532F"/>
    <w:rsid w:val="007C0DE3"/>
    <w:rsid w:val="00824B84"/>
    <w:rsid w:val="0082759F"/>
    <w:rsid w:val="00876EBE"/>
    <w:rsid w:val="0088268A"/>
    <w:rsid w:val="008932AA"/>
    <w:rsid w:val="009019D2"/>
    <w:rsid w:val="0096677B"/>
    <w:rsid w:val="00A026B3"/>
    <w:rsid w:val="00A526A2"/>
    <w:rsid w:val="00A54CF5"/>
    <w:rsid w:val="00A81618"/>
    <w:rsid w:val="00AF16B1"/>
    <w:rsid w:val="00B521EC"/>
    <w:rsid w:val="00B8297F"/>
    <w:rsid w:val="00BC533B"/>
    <w:rsid w:val="00BD3609"/>
    <w:rsid w:val="00BD6076"/>
    <w:rsid w:val="00BF3658"/>
    <w:rsid w:val="00CB045B"/>
    <w:rsid w:val="00D068D3"/>
    <w:rsid w:val="00D65FE8"/>
    <w:rsid w:val="00DC1610"/>
    <w:rsid w:val="00DF0FA7"/>
    <w:rsid w:val="00E04CF7"/>
    <w:rsid w:val="00E81723"/>
    <w:rsid w:val="00E865BB"/>
    <w:rsid w:val="00F27D9E"/>
    <w:rsid w:val="00FE0787"/>
    <w:rsid w:val="00FF705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78298"/>
  <w15:chartTrackingRefBased/>
  <w15:docId w15:val="{C6229666-CEDF-4350-AEAA-D71B3190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0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4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4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04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0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4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4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4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4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4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45B"/>
    <w:rPr>
      <w:rFonts w:eastAsiaTheme="majorEastAsia" w:cstheme="majorBidi"/>
      <w:color w:val="272727" w:themeColor="text1" w:themeTint="D8"/>
    </w:rPr>
  </w:style>
  <w:style w:type="paragraph" w:styleId="Title">
    <w:name w:val="Title"/>
    <w:basedOn w:val="Normal"/>
    <w:next w:val="Normal"/>
    <w:link w:val="TitleChar"/>
    <w:uiPriority w:val="10"/>
    <w:qFormat/>
    <w:rsid w:val="00CB0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45B"/>
    <w:pPr>
      <w:spacing w:before="160"/>
      <w:jc w:val="center"/>
    </w:pPr>
    <w:rPr>
      <w:i/>
      <w:iCs/>
      <w:color w:val="404040" w:themeColor="text1" w:themeTint="BF"/>
    </w:rPr>
  </w:style>
  <w:style w:type="character" w:customStyle="1" w:styleId="QuoteChar">
    <w:name w:val="Quote Char"/>
    <w:basedOn w:val="DefaultParagraphFont"/>
    <w:link w:val="Quote"/>
    <w:uiPriority w:val="29"/>
    <w:rsid w:val="00CB045B"/>
    <w:rPr>
      <w:i/>
      <w:iCs/>
      <w:color w:val="404040" w:themeColor="text1" w:themeTint="BF"/>
    </w:rPr>
  </w:style>
  <w:style w:type="paragraph" w:styleId="ListParagraph">
    <w:name w:val="List Paragraph"/>
    <w:basedOn w:val="Normal"/>
    <w:uiPriority w:val="34"/>
    <w:qFormat/>
    <w:rsid w:val="00CB045B"/>
    <w:pPr>
      <w:ind w:left="720"/>
      <w:contextualSpacing/>
    </w:pPr>
  </w:style>
  <w:style w:type="character" w:styleId="IntenseEmphasis">
    <w:name w:val="Intense Emphasis"/>
    <w:basedOn w:val="DefaultParagraphFont"/>
    <w:uiPriority w:val="21"/>
    <w:qFormat/>
    <w:rsid w:val="00CB045B"/>
    <w:rPr>
      <w:i/>
      <w:iCs/>
      <w:color w:val="2F5496" w:themeColor="accent1" w:themeShade="BF"/>
    </w:rPr>
  </w:style>
  <w:style w:type="paragraph" w:styleId="IntenseQuote">
    <w:name w:val="Intense Quote"/>
    <w:basedOn w:val="Normal"/>
    <w:next w:val="Normal"/>
    <w:link w:val="IntenseQuoteChar"/>
    <w:uiPriority w:val="30"/>
    <w:qFormat/>
    <w:rsid w:val="00CB0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45B"/>
    <w:rPr>
      <w:i/>
      <w:iCs/>
      <w:color w:val="2F5496" w:themeColor="accent1" w:themeShade="BF"/>
    </w:rPr>
  </w:style>
  <w:style w:type="character" w:styleId="IntenseReference">
    <w:name w:val="Intense Reference"/>
    <w:basedOn w:val="DefaultParagraphFont"/>
    <w:uiPriority w:val="32"/>
    <w:qFormat/>
    <w:rsid w:val="00CB045B"/>
    <w:rPr>
      <w:b/>
      <w:bCs/>
      <w:smallCaps/>
      <w:color w:val="2F5496" w:themeColor="accent1" w:themeShade="BF"/>
      <w:spacing w:val="5"/>
    </w:rPr>
  </w:style>
  <w:style w:type="table" w:styleId="GridTable1Light-Accent5">
    <w:name w:val="Grid Table 1 Light Accent 5"/>
    <w:basedOn w:val="TableNormal"/>
    <w:uiPriority w:val="46"/>
    <w:rsid w:val="00314B2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314B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314B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1Light-Accent3">
    <w:name w:val="Grid Table 1 Light Accent 3"/>
    <w:basedOn w:val="TableNormal"/>
    <w:uiPriority w:val="46"/>
    <w:rsid w:val="00314B2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2F7FF2"/>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character" w:styleId="Hyperlink">
    <w:name w:val="Hyperlink"/>
    <w:basedOn w:val="DefaultParagraphFont"/>
    <w:uiPriority w:val="99"/>
    <w:qFormat/>
    <w:rsid w:val="00E81723"/>
    <w:rPr>
      <w:color w:val="0000FF"/>
      <w:u w:val="single"/>
    </w:rPr>
  </w:style>
  <w:style w:type="character" w:styleId="LineNumber">
    <w:name w:val="line number"/>
    <w:basedOn w:val="DefaultParagraphFont"/>
    <w:uiPriority w:val="99"/>
    <w:semiHidden/>
    <w:unhideWhenUsed/>
    <w:rsid w:val="00D65FE8"/>
  </w:style>
  <w:style w:type="paragraph" w:customStyle="1" w:styleId="ReferHead">
    <w:name w:val="Refer Head"/>
    <w:basedOn w:val="Normal"/>
    <w:rsid w:val="00A81618"/>
    <w:pPr>
      <w:keepNext/>
      <w:spacing w:after="240" w:line="240" w:lineRule="auto"/>
    </w:pPr>
    <w:rPr>
      <w:rFonts w:ascii="Helvetica" w:eastAsia="Times New Roman" w:hAnsi="Helvetica" w:cs="Times New Roman"/>
      <w:b/>
      <w:caps/>
      <w:kern w:val="0"/>
      <w:szCs w:val="20"/>
      <w:lang w:val="en-US"/>
      <w14:ligatures w14:val="none"/>
    </w:rPr>
  </w:style>
  <w:style w:type="character" w:styleId="UnresolvedMention">
    <w:name w:val="Unresolved Mention"/>
    <w:basedOn w:val="DefaultParagraphFont"/>
    <w:uiPriority w:val="99"/>
    <w:semiHidden/>
    <w:unhideWhenUsed/>
    <w:rsid w:val="00696B2A"/>
    <w:rPr>
      <w:color w:val="605E5C"/>
      <w:shd w:val="clear" w:color="auto" w:fill="E1DFDD"/>
    </w:rPr>
  </w:style>
  <w:style w:type="paragraph" w:styleId="Header">
    <w:name w:val="header"/>
    <w:basedOn w:val="Normal"/>
    <w:link w:val="HeaderChar"/>
    <w:uiPriority w:val="99"/>
    <w:unhideWhenUsed/>
    <w:rsid w:val="006D5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9DC"/>
  </w:style>
  <w:style w:type="paragraph" w:styleId="Footer">
    <w:name w:val="footer"/>
    <w:basedOn w:val="Normal"/>
    <w:link w:val="FooterChar"/>
    <w:uiPriority w:val="99"/>
    <w:unhideWhenUsed/>
    <w:rsid w:val="006D5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9DC"/>
  </w:style>
  <w:style w:type="character" w:styleId="CommentReference">
    <w:name w:val="annotation reference"/>
    <w:basedOn w:val="DefaultParagraphFont"/>
    <w:uiPriority w:val="99"/>
    <w:semiHidden/>
    <w:unhideWhenUsed/>
    <w:rsid w:val="007A532F"/>
    <w:rPr>
      <w:sz w:val="16"/>
      <w:szCs w:val="16"/>
    </w:rPr>
  </w:style>
  <w:style w:type="paragraph" w:styleId="CommentText">
    <w:name w:val="annotation text"/>
    <w:basedOn w:val="Normal"/>
    <w:link w:val="CommentTextChar"/>
    <w:uiPriority w:val="99"/>
    <w:semiHidden/>
    <w:unhideWhenUsed/>
    <w:rsid w:val="007A532F"/>
    <w:pPr>
      <w:spacing w:line="240" w:lineRule="auto"/>
    </w:pPr>
    <w:rPr>
      <w:sz w:val="20"/>
      <w:szCs w:val="20"/>
    </w:rPr>
  </w:style>
  <w:style w:type="character" w:customStyle="1" w:styleId="CommentTextChar">
    <w:name w:val="Comment Text Char"/>
    <w:basedOn w:val="DefaultParagraphFont"/>
    <w:link w:val="CommentText"/>
    <w:uiPriority w:val="99"/>
    <w:semiHidden/>
    <w:rsid w:val="007A532F"/>
    <w:rPr>
      <w:sz w:val="20"/>
      <w:szCs w:val="20"/>
    </w:rPr>
  </w:style>
  <w:style w:type="paragraph" w:styleId="CommentSubject">
    <w:name w:val="annotation subject"/>
    <w:basedOn w:val="CommentText"/>
    <w:next w:val="CommentText"/>
    <w:link w:val="CommentSubjectChar"/>
    <w:uiPriority w:val="99"/>
    <w:semiHidden/>
    <w:unhideWhenUsed/>
    <w:rsid w:val="007A532F"/>
    <w:rPr>
      <w:b/>
      <w:bCs/>
    </w:rPr>
  </w:style>
  <w:style w:type="character" w:customStyle="1" w:styleId="CommentSubjectChar">
    <w:name w:val="Comment Subject Char"/>
    <w:basedOn w:val="CommentTextChar"/>
    <w:link w:val="CommentSubject"/>
    <w:uiPriority w:val="99"/>
    <w:semiHidden/>
    <w:rsid w:val="007A53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2642</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Deepika Jangam</dc:creator>
  <cp:keywords/>
  <dc:description/>
  <cp:lastModifiedBy>Maan AlSalihi</cp:lastModifiedBy>
  <cp:revision>4</cp:revision>
  <dcterms:created xsi:type="dcterms:W3CDTF">2026-03-14T13:53:00Z</dcterms:created>
  <dcterms:modified xsi:type="dcterms:W3CDTF">2026-03-14T14:01:00Z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57454ac2-bea4-445d-913f-676b15e2828b</vt:lpwstr>
  </property>
</Properties>
</file>