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EE41DDD">
      <w:pPr>
        <w:pBdr>
          <w:top w:val="none" w:color="auto" w:sz="0" w:space="0"/>
          <w:left w:val="none" w:color="auto" w:sz="0" w:space="0"/>
          <w:bottom w:val="none" w:color="auto" w:sz="0" w:space="0"/>
          <w:right w:val="none" w:color="auto" w:sz="0" w:space="0"/>
          <w:between w:val="none" w:color="auto" w:sz="0" w:space="0"/>
        </w:pBdr>
        <w:spacing w:after="0" w:line="360" w:lineRule="auto"/>
        <w:rPr>
          <w:rFonts w:ascii="Times New Roman" w:hAnsi="Times New Roman" w:eastAsia="Times New Roman" w:cs="Times New Roman"/>
          <w:b/>
          <w:bCs/>
          <w:sz w:val="24"/>
          <w:szCs w:val="24"/>
          <w:u w:val="single"/>
        </w:rPr>
      </w:pPr>
      <w:r>
        <w:rPr>
          <w:rFonts w:ascii="Times New Roman" w:hAnsi="Times New Roman" w:eastAsia="Times New Roman" w:cs="Times New Roman"/>
          <w:b/>
          <w:bCs/>
          <w:sz w:val="24"/>
          <w:szCs w:val="24"/>
          <w:u w:val="single"/>
        </w:rPr>
        <w:t>Original Research Article</w:t>
      </w:r>
    </w:p>
    <w:p w14:paraId="00000001">
      <w:pPr>
        <w:pBdr>
          <w:top w:val="none" w:color="auto" w:sz="0" w:space="0"/>
          <w:left w:val="none" w:color="auto" w:sz="0" w:space="0"/>
          <w:bottom w:val="none" w:color="auto" w:sz="0" w:space="0"/>
          <w:right w:val="none" w:color="auto" w:sz="0" w:space="0"/>
          <w:between w:val="none" w:color="auto" w:sz="0" w:space="0"/>
        </w:pBdr>
        <w:spacing w:after="0" w:line="360" w:lineRule="auto"/>
        <w:jc w:val="center"/>
        <w:rPr>
          <w:rFonts w:ascii="Times New Roman" w:hAnsi="Times New Roman" w:eastAsia="Times New Roman" w:cs="Times New Roman"/>
          <w:b/>
          <w:bCs/>
          <w:sz w:val="24"/>
          <w:szCs w:val="24"/>
        </w:rPr>
      </w:pPr>
      <w:r>
        <w:rPr>
          <w:rFonts w:ascii="Times New Roman" w:hAnsi="Times New Roman" w:eastAsia="Times New Roman" w:cs="Times New Roman"/>
          <w:b/>
          <w:bCs/>
          <w:sz w:val="24"/>
          <w:szCs w:val="24"/>
        </w:rPr>
        <w:t xml:space="preserve">Seasonal Variation in Diversity of Butterflies in </w:t>
      </w:r>
      <w:r>
        <w:rPr>
          <w:rFonts w:ascii="Times New Roman" w:hAnsi="Times New Roman" w:eastAsia="Arimo" w:cs="Times New Roman"/>
          <w:b/>
          <w:bCs/>
          <w:sz w:val="24"/>
          <w:szCs w:val="24"/>
        </w:rPr>
        <w:t xml:space="preserve">Kelo Dam Park </w:t>
      </w:r>
      <w:r>
        <w:rPr>
          <w:rFonts w:ascii="Times New Roman" w:hAnsi="Times New Roman" w:eastAsia="Times New Roman" w:cs="Times New Roman"/>
          <w:b/>
          <w:bCs/>
          <w:sz w:val="24"/>
          <w:szCs w:val="24"/>
        </w:rPr>
        <w:t>of Raigarh District, Chhattisgarh, India</w:t>
      </w:r>
    </w:p>
    <w:p w14:paraId="277F8E8B">
      <w:pPr>
        <w:pBdr>
          <w:top w:val="none" w:color="auto" w:sz="0" w:space="0"/>
          <w:left w:val="none" w:color="auto" w:sz="0" w:space="0"/>
          <w:bottom w:val="none" w:color="auto" w:sz="0" w:space="0"/>
          <w:right w:val="none" w:color="auto" w:sz="0" w:space="0"/>
          <w:between w:val="none" w:color="auto" w:sz="0" w:space="0"/>
        </w:pBdr>
        <w:spacing w:after="0" w:line="360" w:lineRule="auto"/>
        <w:jc w:val="center"/>
        <w:rPr>
          <w:rFonts w:ascii="Times New Roman" w:hAnsi="Times New Roman" w:eastAsia="Times New Roman" w:cs="Times New Roman"/>
          <w:sz w:val="24"/>
          <w:szCs w:val="24"/>
        </w:rPr>
      </w:pPr>
    </w:p>
    <w:p w14:paraId="00000008">
      <w:pPr>
        <w:pBdr>
          <w:top w:val="none" w:color="auto" w:sz="0" w:space="0"/>
          <w:left w:val="none" w:color="auto" w:sz="0" w:space="0"/>
          <w:bottom w:val="none" w:color="auto" w:sz="0" w:space="0"/>
          <w:right w:val="none" w:color="auto" w:sz="0" w:space="0"/>
          <w:between w:val="none" w:color="auto" w:sz="0" w:space="0"/>
        </w:pBdr>
        <w:spacing w:after="0" w:line="360" w:lineRule="auto"/>
        <w:rPr>
          <w:rFonts w:ascii="Arimo" w:hAnsi="Arimo" w:eastAsia="Arimo" w:cs="Arimo"/>
          <w:color w:val="000000"/>
          <w:sz w:val="24"/>
          <w:szCs w:val="24"/>
        </w:rPr>
      </w:pPr>
    </w:p>
    <w:p w14:paraId="00000009">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color w:val="000000"/>
          <w:sz w:val="24"/>
          <w:szCs w:val="24"/>
        </w:rPr>
      </w:pPr>
      <w:commentRangeStart w:id="0"/>
      <w:r>
        <w:rPr>
          <w:rFonts w:ascii="Times New Roman" w:hAnsi="Times New Roman" w:eastAsia="Times New Roman" w:cs="Times New Roman"/>
          <w:b/>
          <w:bCs/>
          <w:color w:val="000000"/>
          <w:sz w:val="24"/>
          <w:szCs w:val="24"/>
        </w:rPr>
        <w:t xml:space="preserve">ABSTRACT </w:t>
      </w:r>
      <w:commentRangeEnd w:id="0"/>
      <w:r>
        <w:commentReference w:id="0"/>
      </w:r>
    </w:p>
    <w:p w14:paraId="0000000A">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Butterflies have served as vital bioindicators of ecosystem health. </w:t>
      </w:r>
      <w:r>
        <w:rPr>
          <w:rFonts w:ascii="Times New Roman" w:hAnsi="Times New Roman" w:eastAsia="Times New Roman" w:cs="Times New Roman"/>
          <w:sz w:val="24"/>
          <w:szCs w:val="24"/>
        </w:rPr>
        <w:t>Previously, Rabo Dam in Raigarh district was scientifically evaluated for butterfly diversity, and the Kelo Dam was explored for Ichthyofaunal</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sz w:val="24"/>
          <w:szCs w:val="24"/>
        </w:rPr>
        <w:t>b</w:t>
      </w:r>
      <w:r>
        <w:rPr>
          <w:rFonts w:ascii="Times New Roman" w:hAnsi="Times New Roman" w:eastAsia="Times New Roman" w:cs="Times New Roman"/>
          <w:color w:val="000000"/>
          <w:sz w:val="24"/>
          <w:szCs w:val="24"/>
        </w:rPr>
        <w:t xml:space="preserve">iodiversity in the study site. The present study assessed the seasonal variation in butterfly diversity at Kelo Dam in Raigarh district, Chhattisgarh. This research fills a critical gap in regional butterfly diversity in Raigarh district. The systematic field surveys were conducted throughout the year during the present study. The phenological periods were divided into </w:t>
      </w:r>
      <w:commentRangeStart w:id="1"/>
      <w:r>
        <w:rPr>
          <w:rFonts w:ascii="Times New Roman" w:hAnsi="Times New Roman" w:eastAsia="Times New Roman" w:cs="Times New Roman"/>
          <w:sz w:val="24"/>
          <w:szCs w:val="24"/>
        </w:rPr>
        <w:t>s</w:t>
      </w:r>
      <w:r>
        <w:rPr>
          <w:rFonts w:ascii="Times New Roman" w:hAnsi="Times New Roman" w:eastAsia="Times New Roman" w:cs="Times New Roman"/>
          <w:color w:val="000000"/>
          <w:sz w:val="24"/>
          <w:szCs w:val="24"/>
        </w:rPr>
        <w:t xml:space="preserve">ummer, </w:t>
      </w:r>
      <w:r>
        <w:rPr>
          <w:rFonts w:ascii="Times New Roman" w:hAnsi="Times New Roman" w:eastAsia="Times New Roman" w:cs="Times New Roman"/>
          <w:sz w:val="24"/>
          <w:szCs w:val="24"/>
        </w:rPr>
        <w:t>m</w:t>
      </w:r>
      <w:r>
        <w:rPr>
          <w:rFonts w:ascii="Times New Roman" w:hAnsi="Times New Roman" w:eastAsia="Times New Roman" w:cs="Times New Roman"/>
          <w:color w:val="000000"/>
          <w:sz w:val="24"/>
          <w:szCs w:val="24"/>
        </w:rPr>
        <w:t xml:space="preserve">onsoon, </w:t>
      </w:r>
      <w:r>
        <w:rPr>
          <w:rFonts w:ascii="Times New Roman" w:hAnsi="Times New Roman" w:eastAsia="Times New Roman" w:cs="Times New Roman"/>
          <w:sz w:val="24"/>
          <w:szCs w:val="24"/>
        </w:rPr>
        <w:t>p</w:t>
      </w:r>
      <w:r>
        <w:rPr>
          <w:rFonts w:ascii="Times New Roman" w:hAnsi="Times New Roman" w:eastAsia="Times New Roman" w:cs="Times New Roman"/>
          <w:color w:val="000000"/>
          <w:sz w:val="24"/>
          <w:szCs w:val="24"/>
        </w:rPr>
        <w:t xml:space="preserve">ost-monsoon, and </w:t>
      </w:r>
      <w:r>
        <w:rPr>
          <w:rFonts w:ascii="Times New Roman" w:hAnsi="Times New Roman" w:eastAsia="Times New Roman" w:cs="Times New Roman"/>
          <w:sz w:val="24"/>
          <w:szCs w:val="24"/>
        </w:rPr>
        <w:t>w</w:t>
      </w:r>
      <w:r>
        <w:rPr>
          <w:rFonts w:ascii="Times New Roman" w:hAnsi="Times New Roman" w:eastAsia="Times New Roman" w:cs="Times New Roman"/>
          <w:color w:val="000000"/>
          <w:sz w:val="24"/>
          <w:szCs w:val="24"/>
        </w:rPr>
        <w:t>inter.</w:t>
      </w:r>
      <w:commentRangeEnd w:id="1"/>
      <w:r>
        <w:commentReference w:id="1"/>
      </w:r>
      <w:r>
        <w:rPr>
          <w:rFonts w:ascii="Times New Roman" w:hAnsi="Times New Roman" w:eastAsia="Times New Roman" w:cs="Times New Roman"/>
          <w:color w:val="000000"/>
          <w:sz w:val="24"/>
          <w:szCs w:val="24"/>
        </w:rPr>
        <w:t xml:space="preserve"> The study documented 53 species, with Nymphalidae as the dominant family (20 species), followed by Lycaenidae (11 species) and Pieridae (10 species). Hesperiidae was observed as least represented family (3 species). The Summer season exhibited the lowest species richness (18 species), while the monsoon season triggered significant ecological recovery. The Post-monsoon period indicated that the study site supported the highest abundance and species retention. The present findings answered ecological significance of Kelo Dam as a biodiversity refuge and provide a baseline for understanding how butterfly assemblages respond to seasonal dynamics in industrialised zones. </w:t>
      </w:r>
    </w:p>
    <w:p w14:paraId="0000000B">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Keywords: Butterfly Diversity, Seasonal Variation, Bio-indicators, Kelo Dam Park</w:t>
      </w:r>
    </w:p>
    <w:p w14:paraId="0000000F">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color w:val="000000"/>
          <w:sz w:val="24"/>
          <w:szCs w:val="24"/>
        </w:rPr>
      </w:pPr>
      <w:commentRangeStart w:id="2"/>
      <w:r>
        <w:rPr>
          <w:rFonts w:ascii="Times New Roman" w:hAnsi="Times New Roman" w:eastAsia="Times New Roman" w:cs="Times New Roman"/>
          <w:b/>
          <w:bCs/>
          <w:color w:val="000000"/>
          <w:sz w:val="24"/>
          <w:szCs w:val="24"/>
        </w:rPr>
        <w:t xml:space="preserve">INTRODUCTION </w:t>
      </w:r>
      <w:commentRangeEnd w:id="2"/>
      <w:r>
        <w:commentReference w:id="2"/>
      </w:r>
    </w:p>
    <w:p w14:paraId="00000010">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The environment includes biological, chemical, and physical factors that affect the life and development of organisms (Kumar, 2018). It is a complex system in which interactions among the atmosphere, lithosphere, hydrosphere, and biosphere occur naturally (Meena, 2017). However, today, habitat fragmentation, climate change, and pollution have become common features of terrestrial ecosystems due to </w:t>
      </w:r>
      <w:r>
        <w:rPr>
          <w:rFonts w:ascii="Times New Roman" w:hAnsi="Times New Roman" w:eastAsia="Times New Roman" w:cs="Times New Roman"/>
          <w:sz w:val="24"/>
          <w:szCs w:val="24"/>
        </w:rPr>
        <w:t>anthropogenic activities</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(He and Silliman, 2019). Chhattisgarh is a key biodiversity hotspot, characterised by dry and moist deciduous forests that host diverse fauna and flora (Sharma, 2019). The state of Chhattisgarh has significant and diverse natural habitats and important wildlife corridor (Sarwa and Vishwakarma, 2019). Therefore, bio-monitoring is essential to assess the health of these delicate deciduous forests, which are increasingly fragmented yet remain vital for regional biodiversity. </w:t>
      </w:r>
    </w:p>
    <w:p w14:paraId="00000012">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sz w:val="24"/>
          <w:szCs w:val="24"/>
        </w:rPr>
        <w:t>The natural resources viz. clean air and water, nutrient cycling and climate regulation plays a significant role in sustainability, diversity of life and monitoring the health of planet Earth.</w:t>
      </w:r>
      <w:r>
        <w:rPr>
          <w:rFonts w:ascii="Times New Roman" w:hAnsi="Times New Roman" w:eastAsia="Times New Roman" w:cs="Times New Roman"/>
          <w:color w:val="000000"/>
          <w:sz w:val="24"/>
          <w:szCs w:val="24"/>
        </w:rPr>
        <w:t xml:space="preserve"> Species are vital to ecosystems, and the services they provide should be regularly included in ecosystem evaluations (Gascon et al., 2015). </w:t>
      </w:r>
    </w:p>
    <w:p w14:paraId="709909AE">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Butterflies are ecologically important as key pollinators for many plants, indicators of ecosystem health, and essential food sources for birds and wildlife as mentioned by Patel and Mashi (2025). Butterflies are insects belonging to the order </w:t>
      </w:r>
      <w:r>
        <w:rPr>
          <w:rFonts w:ascii="Times New Roman" w:hAnsi="Times New Roman" w:eastAsia="Times New Roman" w:cs="Times New Roman"/>
          <w:i/>
          <w:iCs/>
          <w:color w:val="000000"/>
          <w:sz w:val="24"/>
          <w:szCs w:val="24"/>
        </w:rPr>
        <w:t xml:space="preserve">Lepidoptera </w:t>
      </w:r>
      <w:r>
        <w:rPr>
          <w:rFonts w:ascii="Times New Roman" w:hAnsi="Times New Roman" w:eastAsia="Times New Roman" w:cs="Times New Roman"/>
          <w:color w:val="000000"/>
          <w:sz w:val="24"/>
          <w:szCs w:val="24"/>
        </w:rPr>
        <w:t xml:space="preserve">(Greek </w:t>
      </w:r>
      <w:r>
        <w:rPr>
          <w:rFonts w:ascii="Times New Roman" w:hAnsi="Times New Roman" w:eastAsia="Times New Roman" w:cs="Times New Roman"/>
          <w:i/>
          <w:iCs/>
          <w:color w:val="000000"/>
          <w:sz w:val="24"/>
          <w:szCs w:val="24"/>
        </w:rPr>
        <w:t>lepis</w:t>
      </w:r>
      <w:r>
        <w:rPr>
          <w:rFonts w:ascii="Times New Roman" w:hAnsi="Times New Roman" w:eastAsia="Times New Roman" w:cs="Times New Roman"/>
          <w:color w:val="000000"/>
          <w:sz w:val="24"/>
          <w:szCs w:val="24"/>
        </w:rPr>
        <w:t xml:space="preserve"> means scale and </w:t>
      </w:r>
      <w:r>
        <w:rPr>
          <w:rFonts w:ascii="Times New Roman" w:hAnsi="Times New Roman" w:eastAsia="Times New Roman" w:cs="Times New Roman"/>
          <w:i/>
          <w:iCs/>
          <w:color w:val="000000"/>
          <w:sz w:val="24"/>
          <w:szCs w:val="24"/>
        </w:rPr>
        <w:t>pteron</w:t>
      </w:r>
      <w:r>
        <w:rPr>
          <w:rFonts w:ascii="Times New Roman" w:hAnsi="Times New Roman" w:eastAsia="Times New Roman" w:cs="Times New Roman"/>
          <w:color w:val="000000"/>
          <w:sz w:val="24"/>
          <w:szCs w:val="24"/>
        </w:rPr>
        <w:t xml:space="preserve"> means wing) and suborder </w:t>
      </w:r>
      <w:r>
        <w:rPr>
          <w:rFonts w:ascii="Times New Roman" w:hAnsi="Times New Roman" w:eastAsia="Times New Roman" w:cs="Times New Roman"/>
          <w:i/>
          <w:iCs/>
          <w:color w:val="000000"/>
          <w:sz w:val="24"/>
          <w:szCs w:val="24"/>
        </w:rPr>
        <w:t>Rhopalocera</w:t>
      </w:r>
      <w:r>
        <w:rPr>
          <w:rFonts w:ascii="Times New Roman" w:hAnsi="Times New Roman" w:eastAsia="Times New Roman" w:cs="Times New Roman"/>
          <w:color w:val="000000"/>
          <w:sz w:val="24"/>
          <w:szCs w:val="24"/>
        </w:rPr>
        <w:t xml:space="preserve"> (Vairagade, 2024). They are often regarded as bioindicators of ecological health because of their sensitivity to environmental changes and capability to signal environmental conditions (Comay et al., 2021). Their presence has been reported as an indicator for a healthy environment and their response to climate change and habitat loss which helps scientists to monitor environmental degradation (Pfenning-Butterworth et al., 2024). </w:t>
      </w:r>
    </w:p>
    <w:p w14:paraId="00000015">
      <w:pPr>
        <w:pBdr>
          <w:top w:val="none" w:color="auto" w:sz="0" w:space="0"/>
          <w:left w:val="none" w:color="auto" w:sz="0" w:space="0"/>
          <w:bottom w:val="none" w:color="auto" w:sz="0" w:space="0"/>
          <w:right w:val="none" w:color="auto" w:sz="0" w:space="0"/>
          <w:between w:val="none" w:color="auto" w:sz="0" w:space="0"/>
        </w:pBdr>
        <w:spacing w:before="240"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Seasonal variation involves regular fluctuations in temperature, precipitation, humidity and photoperiod caused by Earth's tilt and orbit which lead to seasons like monsoon, winter and summer season (Chen et al., 2017). Biological events of faunas (especially, Insects) are vital in influencing life cycles, breeding, abundance and migration in context of ecology (Weiskopf et al., 2020; Paramanandham et al., 2021). For example, monsoons trigger larval host plant growth that causes population spikes whereas dry summers may lead species into diapause or into migration to wetter areas. </w:t>
      </w:r>
    </w:p>
    <w:p w14:paraId="00000016">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FF0000"/>
          <w:sz w:val="24"/>
          <w:szCs w:val="24"/>
        </w:rPr>
      </w:pPr>
      <w:r>
        <w:rPr>
          <w:rFonts w:ascii="Times New Roman" w:hAnsi="Times New Roman" w:eastAsia="Times New Roman" w:cs="Times New Roman"/>
          <w:color w:val="000000"/>
          <w:sz w:val="24"/>
          <w:szCs w:val="24"/>
        </w:rPr>
        <w:t xml:space="preserve">India is recognized as a </w:t>
      </w:r>
      <w:r>
        <w:rPr>
          <w:rFonts w:ascii="Times New Roman" w:hAnsi="Times New Roman" w:eastAsia="Times New Roman" w:cs="Times New Roman"/>
          <w:sz w:val="24"/>
          <w:szCs w:val="24"/>
        </w:rPr>
        <w:t>mega</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sz w:val="24"/>
          <w:szCs w:val="24"/>
        </w:rPr>
        <w:t>diverse</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nation that host approximately </w:t>
      </w:r>
      <w:commentRangeStart w:id="3"/>
      <w:r>
        <w:rPr>
          <w:rFonts w:ascii="Times New Roman" w:hAnsi="Times New Roman" w:eastAsia="Times New Roman" w:cs="Times New Roman"/>
          <w:color w:val="000000"/>
          <w:sz w:val="24"/>
          <w:szCs w:val="24"/>
        </w:rPr>
        <w:t>1403 species</w:t>
      </w:r>
      <w:commentRangeEnd w:id="3"/>
      <w:r>
        <w:commentReference w:id="3"/>
      </w:r>
      <w:r>
        <w:rPr>
          <w:rFonts w:ascii="Times New Roman" w:hAnsi="Times New Roman" w:eastAsia="Times New Roman" w:cs="Times New Roman"/>
          <w:color w:val="000000"/>
          <w:sz w:val="24"/>
          <w:szCs w:val="24"/>
        </w:rPr>
        <w:t xml:space="preserve"> of butterflies to date (Smetacek, 2025). Chhattisgarh is situated in the </w:t>
      </w:r>
      <w:r>
        <w:rPr>
          <w:rFonts w:ascii="Times New Roman" w:hAnsi="Times New Roman" w:eastAsia="Times New Roman" w:cs="Times New Roman"/>
          <w:sz w:val="24"/>
          <w:szCs w:val="24"/>
        </w:rPr>
        <w:t>deccan</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sz w:val="24"/>
          <w:szCs w:val="24"/>
        </w:rPr>
        <w:t>peninsular</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bio-geographic zone, is rich in deciduous forests (Kala, 2009). Research shows that Chhattisgarh is home to a diverse array of butterflies with estimates of about 201 species. (Naidu et al., 2025). Raigarh district in Chhattisgarh has a mixed ecological region with industry, forests, and urban gardens. The Kelo River in Raigarh district originates from Gharghoda hills, which runs for 112.60 km and joins the </w:t>
      </w:r>
      <w:r>
        <w:rPr>
          <w:rFonts w:ascii="Arimo" w:hAnsi="Arimo" w:eastAsia="Arimo" w:cs="Arimo"/>
          <w:sz w:val="24"/>
          <w:szCs w:val="24"/>
        </w:rPr>
        <w:t>river</w:t>
      </w:r>
      <w:r>
        <w:rPr>
          <w:rFonts w:ascii="Arimo" w:hAnsi="Arimo" w:eastAsia="Arimo" w:cs="Arimo"/>
          <w:color w:val="FF0000"/>
          <w:sz w:val="24"/>
          <w:szCs w:val="24"/>
        </w:rPr>
        <w:t xml:space="preserve"> </w:t>
      </w:r>
      <w:r>
        <w:rPr>
          <w:rFonts w:ascii="Times New Roman" w:hAnsi="Times New Roman" w:eastAsia="Times New Roman" w:cs="Times New Roman"/>
          <w:color w:val="000000"/>
          <w:sz w:val="24"/>
          <w:szCs w:val="24"/>
        </w:rPr>
        <w:t xml:space="preserve">Mahanadi near Mahadevpali. </w:t>
      </w:r>
      <w:r>
        <w:rPr>
          <w:rFonts w:ascii="Times New Roman" w:hAnsi="Times New Roman" w:eastAsia="Times New Roman" w:cs="Times New Roman"/>
          <w:sz w:val="24"/>
          <w:szCs w:val="24"/>
        </w:rPr>
        <w:t>The Ichthyofaunal diversity has been conducted at Kelo Dam (Pandey and Tamboli (2020), Jaiswal et al. (2023), and Pandey (2024).</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 Recently, Sinha et al. (2025) reported on the diversity of butterfly species at Rabo Dam. </w:t>
      </w:r>
      <w:r>
        <w:rPr>
          <w:rFonts w:ascii="Times New Roman" w:hAnsi="Times New Roman" w:eastAsia="Times New Roman" w:cs="Times New Roman"/>
          <w:sz w:val="24"/>
          <w:szCs w:val="24"/>
        </w:rPr>
        <w:t>The   studies on butterfly diversity in Kelo Dam area is scanty.)</w:t>
      </w:r>
      <w:r>
        <w:rPr>
          <w:rFonts w:ascii="Times New Roman" w:hAnsi="Times New Roman" w:eastAsia="Times New Roman" w:cs="Times New Roman"/>
          <w:color w:val="FF0000"/>
          <w:sz w:val="24"/>
          <w:szCs w:val="24"/>
        </w:rPr>
        <w:t xml:space="preserve"> </w:t>
      </w:r>
      <w:r>
        <w:rPr>
          <w:rFonts w:ascii="Times New Roman" w:hAnsi="Times New Roman" w:eastAsia="Times New Roman" w:cs="Times New Roman"/>
          <w:color w:val="000000"/>
          <w:sz w:val="24"/>
          <w:szCs w:val="24"/>
        </w:rPr>
        <w:t xml:space="preserve"> Henceforth, we have conducted comprehensive research on </w:t>
      </w:r>
      <w:r>
        <w:rPr>
          <w:rFonts w:ascii="Times New Roman" w:hAnsi="Times New Roman" w:eastAsia="Times New Roman" w:cs="Times New Roman"/>
          <w:sz w:val="24"/>
          <w:szCs w:val="24"/>
        </w:rPr>
        <w:t>seasonal</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sz w:val="24"/>
          <w:szCs w:val="24"/>
        </w:rPr>
        <w:t>variation</w:t>
      </w:r>
      <w:r>
        <w:rPr>
          <w:rFonts w:ascii="Times New Roman" w:hAnsi="Times New Roman" w:eastAsia="Times New Roman" w:cs="Times New Roman"/>
          <w:color w:val="000000"/>
          <w:sz w:val="24"/>
          <w:szCs w:val="24"/>
        </w:rPr>
        <w:t xml:space="preserve"> in the diversity of Butterflies in Kelo Dam of Raigarh District, Chhattisgarh, India</w:t>
      </w:r>
      <w:r>
        <w:rPr>
          <w:rFonts w:ascii="Times New Roman" w:hAnsi="Times New Roman" w:eastAsia="Times New Roman" w:cs="Times New Roman"/>
          <w:b/>
          <w:bCs/>
          <w:color w:val="000000"/>
          <w:sz w:val="24"/>
          <w:szCs w:val="24"/>
        </w:rPr>
        <w:t>.</w:t>
      </w:r>
      <w:r>
        <w:rPr>
          <w:rFonts w:ascii="Times New Roman" w:hAnsi="Times New Roman" w:eastAsia="Times New Roman" w:cs="Times New Roman"/>
          <w:sz w:val="24"/>
          <w:szCs w:val="24"/>
        </w:rPr>
        <w:t xml:space="preserve"> So an attempt was made to conduct comprehensive study on seasonal variation in the diversity of Butterflies in Kelo Dam of Raigarh District, Chhattisgarh, India.</w:t>
      </w:r>
      <w:r>
        <w:rPr>
          <w:rFonts w:ascii="Times New Roman" w:hAnsi="Times New Roman" w:eastAsia="Times New Roman" w:cs="Times New Roman"/>
          <w:color w:val="FF0000"/>
          <w:sz w:val="24"/>
          <w:szCs w:val="24"/>
        </w:rPr>
        <w:t xml:space="preserve"> </w:t>
      </w:r>
    </w:p>
    <w:p w14:paraId="3888E7B5">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lang w:val="en-US"/>
        </w:rPr>
      </w:pPr>
      <w:r>
        <w:rPr>
          <w:rFonts w:ascii="Times New Roman" w:hAnsi="Times New Roman" w:eastAsia="Times New Roman" w:cs="Times New Roman"/>
          <w:b/>
          <w:bCs/>
          <w:color w:val="000000"/>
          <w:sz w:val="24"/>
          <w:szCs w:val="24"/>
          <w:lang w:val="en-US"/>
        </w:rPr>
        <w:t>RESEARCH METHODOLOGY</w:t>
      </w:r>
    </w:p>
    <w:p w14:paraId="39CC64FB">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lang w:val="en-US"/>
        </w:rPr>
        <w:t xml:space="preserve">The effect of seasonal variation on the diversity of Butterflies in Kelo Dam Park of Raigarh District was comprehensively assessed in </w:t>
      </w:r>
      <w:r>
        <w:rPr>
          <w:rFonts w:ascii="Times New Roman" w:hAnsi="Times New Roman" w:eastAsia="Times New Roman" w:cs="Times New Roman"/>
          <w:color w:val="000000"/>
          <w:sz w:val="24"/>
          <w:szCs w:val="24"/>
        </w:rPr>
        <w:t xml:space="preserve">present course of investigation. </w:t>
      </w:r>
    </w:p>
    <w:p w14:paraId="7DC613BF">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lang w:val="en-US"/>
        </w:rPr>
      </w:pPr>
      <w:commentRangeStart w:id="4"/>
      <w:r>
        <w:rPr>
          <w:rFonts w:ascii="Times New Roman" w:hAnsi="Times New Roman" w:eastAsia="Times New Roman" w:cs="Times New Roman"/>
          <w:b/>
          <w:bCs/>
          <w:color w:val="000000"/>
          <w:sz w:val="24"/>
          <w:szCs w:val="24"/>
          <w:lang w:val="en-US"/>
        </w:rPr>
        <w:t>Study Site</w:t>
      </w:r>
      <w:commentRangeEnd w:id="4"/>
      <w:r>
        <w:commentReference w:id="4"/>
      </w:r>
    </w:p>
    <w:p w14:paraId="2CD8BA52">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color w:val="000000"/>
          <w:sz w:val="24"/>
          <w:szCs w:val="24"/>
          <w:lang w:val="en-US"/>
        </w:rPr>
      </w:pPr>
      <w:r>
        <w:rPr>
          <w:rFonts w:ascii="Times New Roman" w:hAnsi="Times New Roman" w:eastAsia="Times New Roman" w:cs="Times New Roman"/>
          <w:color w:val="000000"/>
          <w:sz w:val="24"/>
          <w:szCs w:val="24"/>
        </w:rPr>
        <w:t>The studies were carried out to observe and document butterfly diversity across different habitats at Kelo Dam Park in Raigarh District, Chhattisgarh, India.</w:t>
      </w:r>
      <w:r>
        <w:rPr>
          <w:rFonts w:ascii="Times New Roman" w:hAnsi="Times New Roman" w:eastAsia="Times New Roman" w:cs="Times New Roman"/>
          <w:color w:val="000000"/>
          <w:sz w:val="24"/>
          <w:szCs w:val="24"/>
          <w:lang w:val="en-US"/>
        </w:rPr>
        <w:t xml:space="preserve"> </w:t>
      </w:r>
      <w:r>
        <w:rPr>
          <w:rFonts w:ascii="Times New Roman" w:hAnsi="Times New Roman" w:eastAsia="Times New Roman" w:cs="Times New Roman"/>
          <w:color w:val="000000"/>
          <w:sz w:val="24"/>
          <w:szCs w:val="24"/>
        </w:rPr>
        <w:t xml:space="preserve">It provides essential resources, e.g., moisture, varied vegetation and protected areas for feeding, breeding and larval development of butterflies. </w:t>
      </w:r>
      <w:commentRangeStart w:id="5"/>
      <w:r>
        <w:rPr>
          <w:rFonts w:ascii="Times New Roman" w:hAnsi="Times New Roman" w:eastAsia="Times New Roman" w:cs="Times New Roman"/>
          <w:color w:val="000000"/>
          <w:sz w:val="24"/>
          <w:szCs w:val="24"/>
        </w:rPr>
        <w:t xml:space="preserve">It is located at </w:t>
      </w:r>
      <w:r>
        <w:rPr>
          <w:rFonts w:ascii="Times New Roman" w:hAnsi="Times New Roman" w:eastAsia="Times New Roman" w:cs="Times New Roman"/>
          <w:color w:val="000000"/>
          <w:sz w:val="24"/>
          <w:szCs w:val="24"/>
          <w:lang w:val="en-US"/>
        </w:rPr>
        <w:t>21.95° N, 83.39 ° E</w:t>
      </w:r>
      <w:commentRangeEnd w:id="5"/>
      <w:r>
        <w:commentReference w:id="5"/>
      </w:r>
      <w:r>
        <w:rPr>
          <w:rFonts w:ascii="Times New Roman" w:hAnsi="Times New Roman" w:eastAsia="Times New Roman" w:cs="Times New Roman"/>
          <w:color w:val="000000"/>
          <w:sz w:val="24"/>
          <w:szCs w:val="24"/>
          <w:lang w:val="en-US"/>
        </w:rPr>
        <w:t xml:space="preserve"> and offers favorable conditions</w:t>
      </w:r>
      <w:r>
        <w:rPr>
          <w:rFonts w:ascii="Times New Roman" w:hAnsi="Times New Roman" w:eastAsia="Times New Roman" w:cs="Times New Roman"/>
          <w:color w:val="000000"/>
          <w:sz w:val="24"/>
          <w:szCs w:val="24"/>
        </w:rPr>
        <w:t xml:space="preserve"> for butterflies. </w:t>
      </w:r>
    </w:p>
    <w:p w14:paraId="4B6F2488">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lang w:val="en-US"/>
        </w:rPr>
      </w:pPr>
      <w:r>
        <w:rPr>
          <w:rFonts w:ascii="Times New Roman" w:hAnsi="Times New Roman" w:eastAsia="Times New Roman" w:cs="Times New Roman"/>
          <w:b/>
          <w:bCs/>
          <w:color w:val="000000"/>
          <w:sz w:val="24"/>
          <w:szCs w:val="24"/>
          <w:lang w:val="en-US"/>
        </w:rPr>
        <w:t>Data Collection</w:t>
      </w:r>
    </w:p>
    <w:p w14:paraId="71787EFD">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Data on butterfly diversity were collected annually to analyze how species diversity varies over time. The data were collected in Summer (S), Monsoon (M), Post-Monsoon (PM), and Winter (W). </w:t>
      </w:r>
      <w:commentRangeStart w:id="6"/>
      <w:r>
        <w:rPr>
          <w:rFonts w:ascii="Times New Roman" w:hAnsi="Times New Roman" w:eastAsia="Times New Roman" w:cs="Times New Roman"/>
          <w:sz w:val="24"/>
          <w:szCs w:val="24"/>
        </w:rPr>
        <w:t>Summer was included March to May. Monsoon was included from June to August. Post-Monsoon was included from September to November. Winter was included from December to February</w:t>
      </w:r>
      <w:commentRangeEnd w:id="6"/>
      <w:r>
        <w:commentReference w:id="6"/>
      </w:r>
      <w:r>
        <w:rPr>
          <w:rFonts w:ascii="Times New Roman" w:hAnsi="Times New Roman" w:eastAsia="Times New Roman" w:cs="Times New Roman"/>
          <w:sz w:val="24"/>
          <w:szCs w:val="24"/>
        </w:rPr>
        <w:t xml:space="preserve">. Data related to butterfly diversity was collected at study site (Kelo Dam, Raigarh) as reported by Naidu et al. (2025). The butterfly diversity was recorded through a </w:t>
      </w:r>
      <w:commentRangeStart w:id="7"/>
      <w:r>
        <w:rPr>
          <w:rFonts w:ascii="Times New Roman" w:hAnsi="Times New Roman" w:eastAsia="Times New Roman" w:cs="Times New Roman"/>
          <w:sz w:val="24"/>
          <w:szCs w:val="24"/>
        </w:rPr>
        <w:t>random walk</w:t>
      </w:r>
      <w:commentRangeEnd w:id="7"/>
      <w:r>
        <w:commentReference w:id="7"/>
      </w:r>
      <w:r>
        <w:rPr>
          <w:rFonts w:ascii="Times New Roman" w:hAnsi="Times New Roman" w:eastAsia="Times New Roman" w:cs="Times New Roman"/>
          <w:sz w:val="24"/>
          <w:szCs w:val="24"/>
        </w:rPr>
        <w:t xml:space="preserve"> on study site to identify different species. Observations took place from </w:t>
      </w:r>
      <w:commentRangeStart w:id="8"/>
      <w:r>
        <w:rPr>
          <w:rFonts w:ascii="Times New Roman" w:hAnsi="Times New Roman" w:eastAsia="Times New Roman" w:cs="Times New Roman"/>
          <w:sz w:val="24"/>
          <w:szCs w:val="24"/>
        </w:rPr>
        <w:t>7:00 am to 9:00 pm</w:t>
      </w:r>
      <w:commentRangeEnd w:id="8"/>
      <w:r>
        <w:commentReference w:id="8"/>
      </w:r>
      <w:r>
        <w:rPr>
          <w:rFonts w:ascii="Times New Roman" w:hAnsi="Times New Roman" w:eastAsia="Times New Roman" w:cs="Times New Roman"/>
          <w:sz w:val="24"/>
          <w:szCs w:val="24"/>
        </w:rPr>
        <w:t xml:space="preserve"> and again from 3:00 pm. to 5:00 pm. </w:t>
      </w:r>
    </w:p>
    <w:p w14:paraId="169760C5">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sz w:val="24"/>
          <w:szCs w:val="24"/>
        </w:rPr>
      </w:pPr>
      <w:commentRangeStart w:id="9"/>
      <w:r>
        <w:rPr>
          <w:rFonts w:ascii="Times New Roman" w:hAnsi="Times New Roman" w:eastAsia="Times New Roman" w:cs="Times New Roman"/>
          <w:b/>
          <w:bCs/>
          <w:sz w:val="24"/>
          <w:szCs w:val="24"/>
        </w:rPr>
        <w:t>Identification</w:t>
      </w:r>
      <w:commentRangeEnd w:id="9"/>
      <w:r>
        <w:commentReference w:id="9"/>
      </w:r>
      <w:r>
        <w:rPr>
          <w:rFonts w:ascii="Times New Roman" w:hAnsi="Times New Roman" w:eastAsia="Times New Roman" w:cs="Times New Roman"/>
          <w:b/>
          <w:bCs/>
          <w:sz w:val="24"/>
          <w:szCs w:val="24"/>
        </w:rPr>
        <w:t xml:space="preserve"> </w:t>
      </w:r>
    </w:p>
    <w:p w14:paraId="6A17E31E">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sz w:val="24"/>
          <w:szCs w:val="24"/>
        </w:rPr>
        <w:t xml:space="preserve">The Initial species identification was relied primarily on field guides by Kehimkar (2016) and Haribal (1992). Further verification was supported by taxonomic references viz., Evans (1932) and Wynter-Blyth (1957). Final confirmation was done through consultation with the </w:t>
      </w:r>
      <w:r>
        <w:rPr>
          <w:rFonts w:ascii="Times New Roman" w:hAnsi="Times New Roman" w:eastAsia="Times New Roman" w:cs="Times New Roman"/>
          <w:i/>
          <w:iCs/>
          <w:sz w:val="24"/>
          <w:szCs w:val="24"/>
        </w:rPr>
        <w:t xml:space="preserve">Butterflies of India </w:t>
      </w:r>
      <w:r>
        <w:rPr>
          <w:rFonts w:ascii="Times New Roman" w:hAnsi="Times New Roman" w:eastAsia="Times New Roman" w:cs="Times New Roman"/>
          <w:sz w:val="24"/>
          <w:szCs w:val="24"/>
        </w:rPr>
        <w:t xml:space="preserve">portal (https://www.ifoundbutterflies.org). </w:t>
      </w:r>
      <w:bookmarkStart w:id="0" w:name="_byenq1bonn6g" w:colFirst="0" w:colLast="0"/>
      <w:bookmarkEnd w:id="0"/>
    </w:p>
    <w:p w14:paraId="07AE25F7">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rPr>
      </w:pPr>
      <w:commentRangeStart w:id="10"/>
      <w:r>
        <w:rPr>
          <w:rFonts w:ascii="Times New Roman" w:hAnsi="Times New Roman" w:eastAsia="Times New Roman" w:cs="Times New Roman"/>
          <w:b/>
          <w:bCs/>
          <w:color w:val="000000"/>
          <w:sz w:val="24"/>
          <w:szCs w:val="24"/>
        </w:rPr>
        <w:t xml:space="preserve">RESULTS AND DISCUSSION </w:t>
      </w:r>
      <w:commentRangeEnd w:id="10"/>
      <w:r>
        <w:commentReference w:id="10"/>
      </w:r>
    </w:p>
    <w:p w14:paraId="3EF31E64">
      <w:pPr>
        <w:pStyle w:val="15"/>
        <w:spacing w:before="0" w:beforeAutospacing="0" w:line="276" w:lineRule="auto"/>
        <w:jc w:val="both"/>
      </w:pPr>
      <w:r>
        <w:t xml:space="preserve">The present study documented 53 butterfly species season-wise at study site (Table 1). Nymphalidae was recorded as most abundant family with 20 identified species. It accounted for nearly 40% of the total species. The families Lycaenidae and Pieridae also contributed significantly with 11 and 10 species, respectively. Conversely, Hesperiidae was least represented, with only 3 species recorded. </w:t>
      </w:r>
    </w:p>
    <w:p w14:paraId="0000002C">
      <w:pPr>
        <w:pBdr>
          <w:top w:val="none" w:color="auto" w:sz="0" w:space="0"/>
          <w:left w:val="none" w:color="auto" w:sz="0" w:space="0"/>
          <w:bottom w:val="none" w:color="auto" w:sz="0" w:space="0"/>
          <w:right w:val="none" w:color="auto" w:sz="0" w:space="0"/>
          <w:between w:val="none" w:color="auto" w:sz="0" w:space="0"/>
        </w:pBdr>
        <w:spacing w:line="360" w:lineRule="auto"/>
        <w:jc w:val="both"/>
        <w:rPr>
          <w:rFonts w:ascii="Times New Roman" w:hAnsi="Times New Roman" w:eastAsia="Times New Roman" w:cs="Times New Roman"/>
          <w:b/>
          <w:bCs/>
          <w:color w:val="000000"/>
          <w:sz w:val="24"/>
          <w:szCs w:val="24"/>
        </w:rPr>
      </w:pPr>
      <w:r>
        <w:rPr>
          <w:rFonts w:ascii="Times New Roman" w:hAnsi="Times New Roman" w:eastAsia="Times New Roman" w:cs="Times New Roman"/>
          <w:b/>
          <w:bCs/>
          <w:color w:val="000000"/>
          <w:sz w:val="24"/>
          <w:szCs w:val="24"/>
        </w:rPr>
        <w:t xml:space="preserve">Table 1: Season-wise availability of butterflies in Kelo Dam Park Raigarh (Chhattisgarh) </w:t>
      </w:r>
    </w:p>
    <w:p w14:paraId="289A2A80">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rPr>
      </w:pPr>
    </w:p>
    <w:tbl>
      <w:tblPr>
        <w:tblStyle w:val="17"/>
        <w:tblW w:w="8797" w:type="dxa"/>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1701"/>
        <w:gridCol w:w="2977"/>
        <w:gridCol w:w="1417"/>
        <w:gridCol w:w="467"/>
        <w:gridCol w:w="567"/>
        <w:gridCol w:w="567"/>
        <w:gridCol w:w="525"/>
        <w:gridCol w:w="9"/>
      </w:tblGrid>
      <w:tr w14:paraId="3B370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DD218AC">
            <w:pPr>
              <w:spacing w:after="0" w:line="240" w:lineRule="auto"/>
              <w:ind w:right="-110"/>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S.N.</w:t>
            </w:r>
          </w:p>
        </w:tc>
        <w:tc>
          <w:tcPr>
            <w:tcW w:w="1701" w:type="dxa"/>
          </w:tcPr>
          <w:p w14:paraId="10094D0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Common Name</w:t>
            </w:r>
          </w:p>
        </w:tc>
        <w:tc>
          <w:tcPr>
            <w:tcW w:w="2977" w:type="dxa"/>
          </w:tcPr>
          <w:p w14:paraId="4FDC2D5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Scientific Name</w:t>
            </w:r>
          </w:p>
        </w:tc>
        <w:tc>
          <w:tcPr>
            <w:tcW w:w="1417" w:type="dxa"/>
          </w:tcPr>
          <w:p w14:paraId="4CC4B78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Family</w:t>
            </w:r>
          </w:p>
        </w:tc>
        <w:tc>
          <w:tcPr>
            <w:tcW w:w="467" w:type="dxa"/>
            <w:vAlign w:val="center"/>
          </w:tcPr>
          <w:p w14:paraId="31C27E9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S</w:t>
            </w:r>
          </w:p>
        </w:tc>
        <w:tc>
          <w:tcPr>
            <w:tcW w:w="567" w:type="dxa"/>
            <w:vAlign w:val="center"/>
          </w:tcPr>
          <w:p w14:paraId="0D7FC6B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M</w:t>
            </w:r>
          </w:p>
        </w:tc>
        <w:tc>
          <w:tcPr>
            <w:tcW w:w="567" w:type="dxa"/>
            <w:vAlign w:val="center"/>
          </w:tcPr>
          <w:p w14:paraId="79F836F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PM</w:t>
            </w:r>
          </w:p>
        </w:tc>
        <w:tc>
          <w:tcPr>
            <w:tcW w:w="525" w:type="dxa"/>
            <w:vAlign w:val="center"/>
          </w:tcPr>
          <w:p w14:paraId="4261C10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W</w:t>
            </w:r>
          </w:p>
        </w:tc>
      </w:tr>
      <w:tr w14:paraId="1CE24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9868CE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w:t>
            </w:r>
          </w:p>
        </w:tc>
        <w:tc>
          <w:tcPr>
            <w:tcW w:w="1701" w:type="dxa"/>
          </w:tcPr>
          <w:p w14:paraId="49D7F53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Brown Awl</w:t>
            </w:r>
          </w:p>
        </w:tc>
        <w:tc>
          <w:tcPr>
            <w:tcW w:w="2977" w:type="dxa"/>
          </w:tcPr>
          <w:p w14:paraId="7CE66E5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Badamia exclamationis</w:t>
            </w:r>
            <w:r>
              <w:rPr>
                <w:rFonts w:ascii="Times New Roman" w:hAnsi="Times New Roman" w:eastAsia="Times New Roman" w:cs="Times New Roman"/>
                <w:color w:val="1F1F1F"/>
                <w:sz w:val="20"/>
                <w:szCs w:val="20"/>
                <w:lang w:val="en-US"/>
              </w:rPr>
              <w:t xml:space="preserve"> (Fabricius, 1775)</w:t>
            </w:r>
          </w:p>
        </w:tc>
        <w:tc>
          <w:tcPr>
            <w:tcW w:w="1417" w:type="dxa"/>
          </w:tcPr>
          <w:p w14:paraId="2F24882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Hesperiidae</w:t>
            </w:r>
          </w:p>
        </w:tc>
        <w:tc>
          <w:tcPr>
            <w:tcW w:w="467" w:type="dxa"/>
            <w:vAlign w:val="center"/>
          </w:tcPr>
          <w:p w14:paraId="27890E9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000EA4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E288D9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04CBE37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BD906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0A68F7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w:t>
            </w:r>
          </w:p>
        </w:tc>
        <w:tc>
          <w:tcPr>
            <w:tcW w:w="1701" w:type="dxa"/>
          </w:tcPr>
          <w:p w14:paraId="00DB2A9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Banded Awl</w:t>
            </w:r>
          </w:p>
        </w:tc>
        <w:tc>
          <w:tcPr>
            <w:tcW w:w="2977" w:type="dxa"/>
          </w:tcPr>
          <w:p w14:paraId="72FDB29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Hasora chromus</w:t>
            </w:r>
            <w:r>
              <w:rPr>
                <w:rFonts w:ascii="Times New Roman" w:hAnsi="Times New Roman" w:eastAsia="Times New Roman" w:cs="Times New Roman"/>
                <w:color w:val="1F1F1F"/>
                <w:sz w:val="20"/>
                <w:szCs w:val="20"/>
                <w:lang w:val="en-US"/>
              </w:rPr>
              <w:t xml:space="preserve"> (Cramer, 1780)</w:t>
            </w:r>
          </w:p>
        </w:tc>
        <w:tc>
          <w:tcPr>
            <w:tcW w:w="1417" w:type="dxa"/>
          </w:tcPr>
          <w:p w14:paraId="09B8BBC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Hesperiidae</w:t>
            </w:r>
          </w:p>
        </w:tc>
        <w:tc>
          <w:tcPr>
            <w:tcW w:w="467" w:type="dxa"/>
            <w:vAlign w:val="center"/>
          </w:tcPr>
          <w:p w14:paraId="0F09530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3C23BA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D77844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D19A4E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0CA61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FEB31B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w:t>
            </w:r>
          </w:p>
        </w:tc>
        <w:tc>
          <w:tcPr>
            <w:tcW w:w="1701" w:type="dxa"/>
          </w:tcPr>
          <w:p w14:paraId="1CDF639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Grass Demon</w:t>
            </w:r>
          </w:p>
        </w:tc>
        <w:tc>
          <w:tcPr>
            <w:tcW w:w="2977" w:type="dxa"/>
          </w:tcPr>
          <w:p w14:paraId="40FB97F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Udaspes folus</w:t>
            </w:r>
            <w:r>
              <w:rPr>
                <w:rFonts w:ascii="Times New Roman" w:hAnsi="Times New Roman" w:eastAsia="Times New Roman" w:cs="Times New Roman"/>
                <w:color w:val="1F1F1F"/>
                <w:sz w:val="20"/>
                <w:szCs w:val="20"/>
                <w:lang w:val="en-US"/>
              </w:rPr>
              <w:t xml:space="preserve"> (Cramer, 1775)</w:t>
            </w:r>
          </w:p>
        </w:tc>
        <w:tc>
          <w:tcPr>
            <w:tcW w:w="1417" w:type="dxa"/>
          </w:tcPr>
          <w:p w14:paraId="0F01432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Hesperiidae</w:t>
            </w:r>
          </w:p>
        </w:tc>
        <w:tc>
          <w:tcPr>
            <w:tcW w:w="467" w:type="dxa"/>
            <w:vAlign w:val="center"/>
          </w:tcPr>
          <w:p w14:paraId="3E7A355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15E16D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19EF8B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0AB870C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DD15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F10E65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w:t>
            </w:r>
          </w:p>
        </w:tc>
        <w:tc>
          <w:tcPr>
            <w:tcW w:w="1701" w:type="dxa"/>
          </w:tcPr>
          <w:p w14:paraId="5662351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Jay</w:t>
            </w:r>
          </w:p>
        </w:tc>
        <w:tc>
          <w:tcPr>
            <w:tcW w:w="2977" w:type="dxa"/>
          </w:tcPr>
          <w:p w14:paraId="109B426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Graphium doson</w:t>
            </w:r>
            <w:r>
              <w:rPr>
                <w:rFonts w:ascii="Times New Roman" w:hAnsi="Times New Roman" w:eastAsia="Times New Roman" w:cs="Times New Roman"/>
                <w:color w:val="1F1F1F"/>
                <w:sz w:val="20"/>
                <w:szCs w:val="20"/>
                <w:lang w:val="en-US"/>
              </w:rPr>
              <w:t xml:space="preserve"> (C. &amp; R. Felder)</w:t>
            </w:r>
          </w:p>
        </w:tc>
        <w:tc>
          <w:tcPr>
            <w:tcW w:w="1417" w:type="dxa"/>
          </w:tcPr>
          <w:p w14:paraId="2F4FC9E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2301844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C3B633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D5A184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4618FA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15DC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3290F4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5</w:t>
            </w:r>
          </w:p>
        </w:tc>
        <w:tc>
          <w:tcPr>
            <w:tcW w:w="1701" w:type="dxa"/>
          </w:tcPr>
          <w:p w14:paraId="493AE6A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Tailed Jay</w:t>
            </w:r>
          </w:p>
        </w:tc>
        <w:tc>
          <w:tcPr>
            <w:tcW w:w="2977" w:type="dxa"/>
          </w:tcPr>
          <w:p w14:paraId="73AED3A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Graphium agamemnon</w:t>
            </w:r>
            <w:r>
              <w:rPr>
                <w:rFonts w:ascii="Times New Roman" w:hAnsi="Times New Roman" w:eastAsia="Times New Roman" w:cs="Times New Roman"/>
                <w:color w:val="1F1F1F"/>
                <w:sz w:val="20"/>
                <w:szCs w:val="20"/>
                <w:lang w:val="en-US"/>
              </w:rPr>
              <w:t xml:space="preserve"> (Linnaeus, 1758)</w:t>
            </w:r>
          </w:p>
        </w:tc>
        <w:tc>
          <w:tcPr>
            <w:tcW w:w="1417" w:type="dxa"/>
          </w:tcPr>
          <w:p w14:paraId="14F9AE3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499D4F0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2ED40E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2DF4F0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BE6D3F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E7CB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64366E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6</w:t>
            </w:r>
          </w:p>
        </w:tc>
        <w:tc>
          <w:tcPr>
            <w:tcW w:w="1701" w:type="dxa"/>
          </w:tcPr>
          <w:p w14:paraId="22D0443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Spot Swordtail</w:t>
            </w:r>
          </w:p>
        </w:tc>
        <w:tc>
          <w:tcPr>
            <w:tcW w:w="2977" w:type="dxa"/>
          </w:tcPr>
          <w:p w14:paraId="2AD62C6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Graphium nomius</w:t>
            </w:r>
            <w:r>
              <w:rPr>
                <w:rFonts w:ascii="Times New Roman" w:hAnsi="Times New Roman" w:eastAsia="Times New Roman" w:cs="Times New Roman"/>
                <w:color w:val="1F1F1F"/>
                <w:sz w:val="20"/>
                <w:szCs w:val="20"/>
                <w:lang w:val="en-US"/>
              </w:rPr>
              <w:t xml:space="preserve"> (Esper, 1799)</w:t>
            </w:r>
          </w:p>
        </w:tc>
        <w:tc>
          <w:tcPr>
            <w:tcW w:w="1417" w:type="dxa"/>
          </w:tcPr>
          <w:p w14:paraId="7572424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3B64CBD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4EC1C3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1035D8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927949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2ED1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618F144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7</w:t>
            </w:r>
          </w:p>
        </w:tc>
        <w:tc>
          <w:tcPr>
            <w:tcW w:w="1701" w:type="dxa"/>
          </w:tcPr>
          <w:p w14:paraId="4908BAB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Mormon</w:t>
            </w:r>
          </w:p>
        </w:tc>
        <w:tc>
          <w:tcPr>
            <w:tcW w:w="2977" w:type="dxa"/>
          </w:tcPr>
          <w:p w14:paraId="6EEF9B5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Papilio polytes</w:t>
            </w:r>
            <w:r>
              <w:rPr>
                <w:rFonts w:ascii="Times New Roman" w:hAnsi="Times New Roman" w:eastAsia="Times New Roman" w:cs="Times New Roman"/>
                <w:color w:val="1F1F1F"/>
                <w:sz w:val="20"/>
                <w:szCs w:val="20"/>
                <w:lang w:val="en-US"/>
              </w:rPr>
              <w:t xml:space="preserve"> (Linnaeus, 1758)</w:t>
            </w:r>
          </w:p>
        </w:tc>
        <w:tc>
          <w:tcPr>
            <w:tcW w:w="1417" w:type="dxa"/>
          </w:tcPr>
          <w:p w14:paraId="7926BCB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5E233C4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8CB803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202F92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71D1CF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D562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D27511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8</w:t>
            </w:r>
          </w:p>
        </w:tc>
        <w:tc>
          <w:tcPr>
            <w:tcW w:w="1701" w:type="dxa"/>
          </w:tcPr>
          <w:p w14:paraId="085F0BC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Blue Mormon</w:t>
            </w:r>
          </w:p>
        </w:tc>
        <w:tc>
          <w:tcPr>
            <w:tcW w:w="2977" w:type="dxa"/>
          </w:tcPr>
          <w:p w14:paraId="4153365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Papilio polymnestor</w:t>
            </w:r>
            <w:r>
              <w:rPr>
                <w:rFonts w:ascii="Times New Roman" w:hAnsi="Times New Roman" w:eastAsia="Times New Roman" w:cs="Times New Roman"/>
                <w:color w:val="1F1F1F"/>
                <w:sz w:val="20"/>
                <w:szCs w:val="20"/>
                <w:lang w:val="en-US"/>
              </w:rPr>
              <w:t xml:space="preserve"> (Cramer, 1775)</w:t>
            </w:r>
          </w:p>
        </w:tc>
        <w:tc>
          <w:tcPr>
            <w:tcW w:w="1417" w:type="dxa"/>
          </w:tcPr>
          <w:p w14:paraId="3057B2A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2F6D290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9CBB72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73E233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5D8E85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E256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6E26A21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9</w:t>
            </w:r>
          </w:p>
        </w:tc>
        <w:tc>
          <w:tcPr>
            <w:tcW w:w="1701" w:type="dxa"/>
          </w:tcPr>
          <w:p w14:paraId="5B24A61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Banded Peacock</w:t>
            </w:r>
          </w:p>
        </w:tc>
        <w:tc>
          <w:tcPr>
            <w:tcW w:w="2977" w:type="dxa"/>
          </w:tcPr>
          <w:p w14:paraId="2803BB0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Papilio crino</w:t>
            </w:r>
            <w:r>
              <w:rPr>
                <w:rFonts w:ascii="Times New Roman" w:hAnsi="Times New Roman" w:eastAsia="Times New Roman" w:cs="Times New Roman"/>
                <w:color w:val="1F1F1F"/>
                <w:sz w:val="20"/>
                <w:szCs w:val="20"/>
                <w:lang w:val="en-US"/>
              </w:rPr>
              <w:t xml:space="preserve"> (Fabricius, 1793)</w:t>
            </w:r>
          </w:p>
        </w:tc>
        <w:tc>
          <w:tcPr>
            <w:tcW w:w="1417" w:type="dxa"/>
          </w:tcPr>
          <w:p w14:paraId="322C02F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5D7AB9B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83452B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A56F6A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5411DE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2DF3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7C8CAC8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10</w:t>
            </w:r>
          </w:p>
        </w:tc>
        <w:tc>
          <w:tcPr>
            <w:tcW w:w="1701" w:type="dxa"/>
          </w:tcPr>
          <w:p w14:paraId="3BC2BC1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Lime Butterfly</w:t>
            </w:r>
          </w:p>
        </w:tc>
        <w:tc>
          <w:tcPr>
            <w:tcW w:w="2977" w:type="dxa"/>
          </w:tcPr>
          <w:p w14:paraId="38B66F2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Papilio demoleus</w:t>
            </w:r>
            <w:r>
              <w:rPr>
                <w:rFonts w:ascii="Times New Roman" w:hAnsi="Times New Roman" w:eastAsia="Times New Roman" w:cs="Times New Roman"/>
                <w:color w:val="1F1F1F"/>
                <w:sz w:val="20"/>
                <w:szCs w:val="20"/>
                <w:lang w:val="en-US"/>
              </w:rPr>
              <w:t xml:space="preserve"> (Linnaeus, 1758)</w:t>
            </w:r>
          </w:p>
        </w:tc>
        <w:tc>
          <w:tcPr>
            <w:tcW w:w="1417" w:type="dxa"/>
          </w:tcPr>
          <w:p w14:paraId="49D24EB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24224A0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27F957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395A75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F405A9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98A0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753EDA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11</w:t>
            </w:r>
          </w:p>
        </w:tc>
        <w:tc>
          <w:tcPr>
            <w:tcW w:w="1701" w:type="dxa"/>
          </w:tcPr>
          <w:p w14:paraId="79D0C2A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Rose</w:t>
            </w:r>
          </w:p>
        </w:tc>
        <w:tc>
          <w:tcPr>
            <w:tcW w:w="2977" w:type="dxa"/>
          </w:tcPr>
          <w:p w14:paraId="58C8B79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Pachliopta aristolochiae</w:t>
            </w:r>
            <w:r>
              <w:rPr>
                <w:rFonts w:ascii="Times New Roman" w:hAnsi="Times New Roman" w:eastAsia="Times New Roman" w:cs="Times New Roman"/>
                <w:color w:val="1F1F1F"/>
                <w:sz w:val="20"/>
                <w:szCs w:val="20"/>
                <w:lang w:val="en-US"/>
              </w:rPr>
              <w:t xml:space="preserve"> (Fabricius, 1775)</w:t>
            </w:r>
          </w:p>
        </w:tc>
        <w:tc>
          <w:tcPr>
            <w:tcW w:w="1417" w:type="dxa"/>
          </w:tcPr>
          <w:p w14:paraId="27371E5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0894330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87615D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531B15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E6CA88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B8BF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2E6F6AB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12</w:t>
            </w:r>
          </w:p>
        </w:tc>
        <w:tc>
          <w:tcPr>
            <w:tcW w:w="1701" w:type="dxa"/>
          </w:tcPr>
          <w:p w14:paraId="035DEE0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Mime</w:t>
            </w:r>
          </w:p>
        </w:tc>
        <w:tc>
          <w:tcPr>
            <w:tcW w:w="2977" w:type="dxa"/>
          </w:tcPr>
          <w:p w14:paraId="4580A26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Papilio clytia</w:t>
            </w:r>
            <w:r>
              <w:rPr>
                <w:rFonts w:ascii="Times New Roman" w:hAnsi="Times New Roman" w:eastAsia="Times New Roman" w:cs="Times New Roman"/>
                <w:color w:val="1F1F1F"/>
                <w:sz w:val="20"/>
                <w:szCs w:val="20"/>
                <w:lang w:val="en-US"/>
              </w:rPr>
              <w:t xml:space="preserve"> (Linnaeus, 1758)</w:t>
            </w:r>
          </w:p>
        </w:tc>
        <w:tc>
          <w:tcPr>
            <w:tcW w:w="1417" w:type="dxa"/>
          </w:tcPr>
          <w:p w14:paraId="72E36E4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Papilionidae</w:t>
            </w:r>
          </w:p>
        </w:tc>
        <w:tc>
          <w:tcPr>
            <w:tcW w:w="467" w:type="dxa"/>
            <w:vAlign w:val="center"/>
          </w:tcPr>
          <w:p w14:paraId="1A09CB3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4C5025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4F6F6B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1642FD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31A4E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24B54BA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13</w:t>
            </w:r>
          </w:p>
        </w:tc>
        <w:tc>
          <w:tcPr>
            <w:tcW w:w="1701" w:type="dxa"/>
          </w:tcPr>
          <w:p w14:paraId="5A24DAC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Gull</w:t>
            </w:r>
          </w:p>
        </w:tc>
        <w:tc>
          <w:tcPr>
            <w:tcW w:w="2977" w:type="dxa"/>
          </w:tcPr>
          <w:p w14:paraId="52E8ECB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Cepora nerissa</w:t>
            </w:r>
            <w:r>
              <w:rPr>
                <w:rFonts w:ascii="Times New Roman" w:hAnsi="Times New Roman" w:eastAsia="Times New Roman" w:cs="Times New Roman"/>
                <w:color w:val="1F1F1F"/>
                <w:sz w:val="20"/>
                <w:szCs w:val="20"/>
                <w:lang w:val="en-US"/>
              </w:rPr>
              <w:t xml:space="preserve"> (Fabricius, 1775)</w:t>
            </w:r>
          </w:p>
        </w:tc>
        <w:tc>
          <w:tcPr>
            <w:tcW w:w="1417" w:type="dxa"/>
          </w:tcPr>
          <w:p w14:paraId="4CCDF0B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139853D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5D5B4F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28BB78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50D7DE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B30FC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E6194F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14</w:t>
            </w:r>
          </w:p>
        </w:tc>
        <w:tc>
          <w:tcPr>
            <w:tcW w:w="1701" w:type="dxa"/>
          </w:tcPr>
          <w:p w14:paraId="209C678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Jezebel</w:t>
            </w:r>
          </w:p>
        </w:tc>
        <w:tc>
          <w:tcPr>
            <w:tcW w:w="2977" w:type="dxa"/>
          </w:tcPr>
          <w:p w14:paraId="2B3B73F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Delias eucharis</w:t>
            </w:r>
            <w:r>
              <w:rPr>
                <w:rFonts w:ascii="Times New Roman" w:hAnsi="Times New Roman" w:eastAsia="Times New Roman" w:cs="Times New Roman"/>
                <w:color w:val="1F1F1F"/>
                <w:sz w:val="20"/>
                <w:szCs w:val="20"/>
                <w:lang w:val="en-US"/>
              </w:rPr>
              <w:t xml:space="preserve"> (Drury, 1773)</w:t>
            </w:r>
          </w:p>
        </w:tc>
        <w:tc>
          <w:tcPr>
            <w:tcW w:w="1417" w:type="dxa"/>
          </w:tcPr>
          <w:p w14:paraId="22DBA13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5EC5A64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F89F5E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AAC34A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B6DB7C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A3D3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165E3E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15</w:t>
            </w:r>
          </w:p>
        </w:tc>
        <w:tc>
          <w:tcPr>
            <w:tcW w:w="1701" w:type="dxa"/>
          </w:tcPr>
          <w:p w14:paraId="2CE5E48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Wanderer</w:t>
            </w:r>
          </w:p>
        </w:tc>
        <w:tc>
          <w:tcPr>
            <w:tcW w:w="2977" w:type="dxa"/>
          </w:tcPr>
          <w:p w14:paraId="0A7CB1F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Pareronia hippia</w:t>
            </w:r>
            <w:r>
              <w:rPr>
                <w:rFonts w:ascii="Times New Roman" w:hAnsi="Times New Roman" w:eastAsia="Times New Roman" w:cs="Times New Roman"/>
                <w:color w:val="1F1F1F"/>
                <w:sz w:val="20"/>
                <w:szCs w:val="20"/>
                <w:lang w:val="en-US"/>
              </w:rPr>
              <w:t xml:space="preserve"> (Fabricius, 1787)</w:t>
            </w:r>
          </w:p>
        </w:tc>
        <w:tc>
          <w:tcPr>
            <w:tcW w:w="1417" w:type="dxa"/>
          </w:tcPr>
          <w:p w14:paraId="6CC3F69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34D70E7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952B36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4B8B3B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CD3F3D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6A12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792AE54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16</w:t>
            </w:r>
          </w:p>
        </w:tc>
        <w:tc>
          <w:tcPr>
            <w:tcW w:w="1701" w:type="dxa"/>
          </w:tcPr>
          <w:p w14:paraId="7DABF0B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Emigrant</w:t>
            </w:r>
          </w:p>
        </w:tc>
        <w:tc>
          <w:tcPr>
            <w:tcW w:w="2977" w:type="dxa"/>
          </w:tcPr>
          <w:p w14:paraId="483FC2B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Catopsilia pomona</w:t>
            </w:r>
            <w:r>
              <w:rPr>
                <w:rFonts w:ascii="Times New Roman" w:hAnsi="Times New Roman" w:eastAsia="Times New Roman" w:cs="Times New Roman"/>
                <w:color w:val="1F1F1F"/>
                <w:sz w:val="20"/>
                <w:szCs w:val="20"/>
                <w:lang w:val="en-US"/>
              </w:rPr>
              <w:t xml:space="preserve"> (Fabricius, 1775)</w:t>
            </w:r>
          </w:p>
        </w:tc>
        <w:tc>
          <w:tcPr>
            <w:tcW w:w="1417" w:type="dxa"/>
          </w:tcPr>
          <w:p w14:paraId="511D3BD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698DC01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E0FC89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E8E26B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E6FEB4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4CFE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7F485F5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17</w:t>
            </w:r>
          </w:p>
        </w:tc>
        <w:tc>
          <w:tcPr>
            <w:tcW w:w="1701" w:type="dxa"/>
          </w:tcPr>
          <w:p w14:paraId="167DC1D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Mottled Emigrant</w:t>
            </w:r>
          </w:p>
        </w:tc>
        <w:tc>
          <w:tcPr>
            <w:tcW w:w="2977" w:type="dxa"/>
          </w:tcPr>
          <w:p w14:paraId="7181B15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Catopsilia pyranthe</w:t>
            </w:r>
            <w:r>
              <w:rPr>
                <w:rFonts w:ascii="Times New Roman" w:hAnsi="Times New Roman" w:eastAsia="Times New Roman" w:cs="Times New Roman"/>
                <w:color w:val="1F1F1F"/>
                <w:sz w:val="20"/>
                <w:szCs w:val="20"/>
                <w:lang w:val="en-US"/>
              </w:rPr>
              <w:t xml:space="preserve"> (Linnaeus, 1758)</w:t>
            </w:r>
          </w:p>
        </w:tc>
        <w:tc>
          <w:tcPr>
            <w:tcW w:w="1417" w:type="dxa"/>
          </w:tcPr>
          <w:p w14:paraId="177E245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5D44D24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443E23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B4AD59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0F1BC4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7719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747200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18</w:t>
            </w:r>
          </w:p>
        </w:tc>
        <w:tc>
          <w:tcPr>
            <w:tcW w:w="1701" w:type="dxa"/>
          </w:tcPr>
          <w:p w14:paraId="3EA465A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Small Grass Yellow</w:t>
            </w:r>
          </w:p>
        </w:tc>
        <w:tc>
          <w:tcPr>
            <w:tcW w:w="2977" w:type="dxa"/>
          </w:tcPr>
          <w:p w14:paraId="43DC07C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Eurema brigitta</w:t>
            </w:r>
            <w:r>
              <w:rPr>
                <w:rFonts w:ascii="Times New Roman" w:hAnsi="Times New Roman" w:eastAsia="Times New Roman" w:cs="Times New Roman"/>
                <w:color w:val="1F1F1F"/>
                <w:sz w:val="20"/>
                <w:szCs w:val="20"/>
                <w:lang w:val="en-US"/>
              </w:rPr>
              <w:t xml:space="preserve"> (Stoll, 1780)</w:t>
            </w:r>
          </w:p>
        </w:tc>
        <w:tc>
          <w:tcPr>
            <w:tcW w:w="1417" w:type="dxa"/>
          </w:tcPr>
          <w:p w14:paraId="6B23A79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51E182E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367CE8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06AFF7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3D82E3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ED686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2B0489C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19</w:t>
            </w:r>
          </w:p>
        </w:tc>
        <w:tc>
          <w:tcPr>
            <w:tcW w:w="1701" w:type="dxa"/>
          </w:tcPr>
          <w:p w14:paraId="682659A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Grass Yellow</w:t>
            </w:r>
          </w:p>
        </w:tc>
        <w:tc>
          <w:tcPr>
            <w:tcW w:w="2977" w:type="dxa"/>
          </w:tcPr>
          <w:p w14:paraId="224B3F8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Eurema hecabe</w:t>
            </w:r>
            <w:r>
              <w:rPr>
                <w:rFonts w:ascii="Times New Roman" w:hAnsi="Times New Roman" w:eastAsia="Times New Roman" w:cs="Times New Roman"/>
                <w:color w:val="1F1F1F"/>
                <w:sz w:val="20"/>
                <w:szCs w:val="20"/>
                <w:lang w:val="en-US"/>
              </w:rPr>
              <w:t xml:space="preserve"> (Linnaeus, 1758)</w:t>
            </w:r>
          </w:p>
        </w:tc>
        <w:tc>
          <w:tcPr>
            <w:tcW w:w="1417" w:type="dxa"/>
          </w:tcPr>
          <w:p w14:paraId="3BD002C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3607F1C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9D406F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61BDBC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5CAC43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06B9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6E9A42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20</w:t>
            </w:r>
          </w:p>
        </w:tc>
        <w:tc>
          <w:tcPr>
            <w:tcW w:w="1701" w:type="dxa"/>
          </w:tcPr>
          <w:p w14:paraId="4C4BA16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Three Spot Grass Yellow</w:t>
            </w:r>
          </w:p>
        </w:tc>
        <w:tc>
          <w:tcPr>
            <w:tcW w:w="2977" w:type="dxa"/>
          </w:tcPr>
          <w:p w14:paraId="0C7C6EA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Eurema blanda</w:t>
            </w:r>
            <w:r>
              <w:rPr>
                <w:rFonts w:ascii="Times New Roman" w:hAnsi="Times New Roman" w:eastAsia="Times New Roman" w:cs="Times New Roman"/>
                <w:color w:val="1F1F1F"/>
                <w:sz w:val="20"/>
                <w:szCs w:val="20"/>
                <w:lang w:val="en-US"/>
              </w:rPr>
              <w:t xml:space="preserve"> (Boisduval, 1836)</w:t>
            </w:r>
          </w:p>
        </w:tc>
        <w:tc>
          <w:tcPr>
            <w:tcW w:w="1417" w:type="dxa"/>
          </w:tcPr>
          <w:p w14:paraId="1CACA10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25AB610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AB5A28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52816B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DFC3AE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3B2C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BDC9D0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21</w:t>
            </w:r>
          </w:p>
        </w:tc>
        <w:tc>
          <w:tcPr>
            <w:tcW w:w="1701" w:type="dxa"/>
          </w:tcPr>
          <w:p w14:paraId="798127A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Psyche</w:t>
            </w:r>
          </w:p>
        </w:tc>
        <w:tc>
          <w:tcPr>
            <w:tcW w:w="2977" w:type="dxa"/>
          </w:tcPr>
          <w:p w14:paraId="6ADB132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Leptosia nina</w:t>
            </w:r>
            <w:r>
              <w:rPr>
                <w:rFonts w:ascii="Times New Roman" w:hAnsi="Times New Roman" w:eastAsia="Times New Roman" w:cs="Times New Roman"/>
                <w:color w:val="1F1F1F"/>
                <w:sz w:val="20"/>
                <w:szCs w:val="20"/>
                <w:lang w:val="en-US"/>
              </w:rPr>
              <w:t xml:space="preserve"> (Fabricius, 1793)</w:t>
            </w:r>
          </w:p>
        </w:tc>
        <w:tc>
          <w:tcPr>
            <w:tcW w:w="1417" w:type="dxa"/>
          </w:tcPr>
          <w:p w14:paraId="717A7EC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035EA0B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04943A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5B56B6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BE74E4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9714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7BD2DD8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22</w:t>
            </w:r>
          </w:p>
        </w:tc>
        <w:tc>
          <w:tcPr>
            <w:tcW w:w="1701" w:type="dxa"/>
          </w:tcPr>
          <w:p w14:paraId="63895A6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Spotless Grass Yellow</w:t>
            </w:r>
          </w:p>
        </w:tc>
        <w:tc>
          <w:tcPr>
            <w:tcW w:w="2977" w:type="dxa"/>
          </w:tcPr>
          <w:p w14:paraId="275F3EC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Eurema laeta</w:t>
            </w:r>
            <w:r>
              <w:rPr>
                <w:rFonts w:ascii="Times New Roman" w:hAnsi="Times New Roman" w:eastAsia="Times New Roman" w:cs="Times New Roman"/>
                <w:color w:val="1F1F1F"/>
                <w:sz w:val="20"/>
                <w:szCs w:val="20"/>
                <w:lang w:val="en-US"/>
              </w:rPr>
              <w:t xml:space="preserve"> (Boisduval, 1836)</w:t>
            </w:r>
          </w:p>
        </w:tc>
        <w:tc>
          <w:tcPr>
            <w:tcW w:w="1417" w:type="dxa"/>
          </w:tcPr>
          <w:p w14:paraId="0BF8F63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Pieridae</w:t>
            </w:r>
          </w:p>
        </w:tc>
        <w:tc>
          <w:tcPr>
            <w:tcW w:w="467" w:type="dxa"/>
            <w:vAlign w:val="center"/>
          </w:tcPr>
          <w:p w14:paraId="690AA19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7E57F6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A56A8E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099A8F1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835F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A95E1C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23</w:t>
            </w:r>
          </w:p>
        </w:tc>
        <w:tc>
          <w:tcPr>
            <w:tcW w:w="1701" w:type="dxa"/>
          </w:tcPr>
          <w:p w14:paraId="430383F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Pale Grass Blue</w:t>
            </w:r>
          </w:p>
        </w:tc>
        <w:tc>
          <w:tcPr>
            <w:tcW w:w="2977" w:type="dxa"/>
          </w:tcPr>
          <w:p w14:paraId="78EA20B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Pseudozizeeria maha</w:t>
            </w:r>
            <w:r>
              <w:rPr>
                <w:rFonts w:ascii="Times New Roman" w:hAnsi="Times New Roman" w:eastAsia="Times New Roman" w:cs="Times New Roman"/>
                <w:color w:val="1F1F1F"/>
                <w:sz w:val="20"/>
                <w:szCs w:val="20"/>
                <w:lang w:val="en-US"/>
              </w:rPr>
              <w:t xml:space="preserve"> (Kollar, 1844)</w:t>
            </w:r>
          </w:p>
        </w:tc>
        <w:tc>
          <w:tcPr>
            <w:tcW w:w="1417" w:type="dxa"/>
          </w:tcPr>
          <w:p w14:paraId="48F6476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2B1F01E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F99DF6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D1D3BE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58EF41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D56A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7906315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24</w:t>
            </w:r>
          </w:p>
        </w:tc>
        <w:tc>
          <w:tcPr>
            <w:tcW w:w="1701" w:type="dxa"/>
          </w:tcPr>
          <w:p w14:paraId="7D9F8CA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Tailless Lineblue</w:t>
            </w:r>
          </w:p>
        </w:tc>
        <w:tc>
          <w:tcPr>
            <w:tcW w:w="2977" w:type="dxa"/>
          </w:tcPr>
          <w:p w14:paraId="6CE2D4F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Prosotas dubiosa</w:t>
            </w:r>
            <w:r>
              <w:rPr>
                <w:rFonts w:ascii="Times New Roman" w:hAnsi="Times New Roman" w:eastAsia="Times New Roman" w:cs="Times New Roman"/>
                <w:color w:val="1F1F1F"/>
                <w:sz w:val="20"/>
                <w:szCs w:val="20"/>
                <w:lang w:val="en-US"/>
              </w:rPr>
              <w:t xml:space="preserve"> (Semper, 1879)</w:t>
            </w:r>
          </w:p>
        </w:tc>
        <w:tc>
          <w:tcPr>
            <w:tcW w:w="1417" w:type="dxa"/>
          </w:tcPr>
          <w:p w14:paraId="5511689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17E646B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834B15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884AAB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496841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E1CE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156F2A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25</w:t>
            </w:r>
          </w:p>
        </w:tc>
        <w:tc>
          <w:tcPr>
            <w:tcW w:w="1701" w:type="dxa"/>
          </w:tcPr>
          <w:p w14:paraId="0FA7042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Pierrot</w:t>
            </w:r>
          </w:p>
        </w:tc>
        <w:tc>
          <w:tcPr>
            <w:tcW w:w="2977" w:type="dxa"/>
          </w:tcPr>
          <w:p w14:paraId="1557E53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Castalius rosimon</w:t>
            </w:r>
            <w:r>
              <w:rPr>
                <w:rFonts w:ascii="Times New Roman" w:hAnsi="Times New Roman" w:eastAsia="Times New Roman" w:cs="Times New Roman"/>
                <w:color w:val="1F1F1F"/>
                <w:sz w:val="20"/>
                <w:szCs w:val="20"/>
                <w:lang w:val="en-US"/>
              </w:rPr>
              <w:t xml:space="preserve"> (Fabricius, 1775)</w:t>
            </w:r>
          </w:p>
        </w:tc>
        <w:tc>
          <w:tcPr>
            <w:tcW w:w="1417" w:type="dxa"/>
          </w:tcPr>
          <w:p w14:paraId="6801A25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21BE776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2F80F1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21681A0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1BA961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10770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614BD5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26</w:t>
            </w:r>
          </w:p>
        </w:tc>
        <w:tc>
          <w:tcPr>
            <w:tcW w:w="1701" w:type="dxa"/>
          </w:tcPr>
          <w:p w14:paraId="34B027B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Bright Babul Blue</w:t>
            </w:r>
          </w:p>
        </w:tc>
        <w:tc>
          <w:tcPr>
            <w:tcW w:w="2977" w:type="dxa"/>
          </w:tcPr>
          <w:p w14:paraId="64F170E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Azanus ubaldus</w:t>
            </w:r>
            <w:r>
              <w:rPr>
                <w:rFonts w:ascii="Times New Roman" w:hAnsi="Times New Roman" w:eastAsia="Times New Roman" w:cs="Times New Roman"/>
                <w:color w:val="1F1F1F"/>
                <w:sz w:val="20"/>
                <w:szCs w:val="20"/>
                <w:lang w:val="en-US"/>
              </w:rPr>
              <w:t xml:space="preserve"> (Stoll, 1782)</w:t>
            </w:r>
          </w:p>
        </w:tc>
        <w:tc>
          <w:tcPr>
            <w:tcW w:w="1417" w:type="dxa"/>
          </w:tcPr>
          <w:p w14:paraId="1D850F5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14A9F95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7CE25D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A8E704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5768FC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65E5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17ED7D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27</w:t>
            </w:r>
          </w:p>
        </w:tc>
        <w:tc>
          <w:tcPr>
            <w:tcW w:w="1701" w:type="dxa"/>
          </w:tcPr>
          <w:p w14:paraId="3A2B196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Dark Grass Blue</w:t>
            </w:r>
          </w:p>
        </w:tc>
        <w:tc>
          <w:tcPr>
            <w:tcW w:w="2977" w:type="dxa"/>
          </w:tcPr>
          <w:p w14:paraId="2279D35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Zizeeria karsandra</w:t>
            </w:r>
            <w:r>
              <w:rPr>
                <w:rFonts w:ascii="Times New Roman" w:hAnsi="Times New Roman" w:eastAsia="Times New Roman" w:cs="Times New Roman"/>
                <w:color w:val="1F1F1F"/>
                <w:sz w:val="20"/>
                <w:szCs w:val="20"/>
                <w:lang w:val="en-US"/>
              </w:rPr>
              <w:t xml:space="preserve"> (Moore, 1865)</w:t>
            </w:r>
          </w:p>
        </w:tc>
        <w:tc>
          <w:tcPr>
            <w:tcW w:w="1417" w:type="dxa"/>
          </w:tcPr>
          <w:p w14:paraId="36AD8B6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3ACA676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1EDCAF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A90127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421239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E8B7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BFC67B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28</w:t>
            </w:r>
          </w:p>
        </w:tc>
        <w:tc>
          <w:tcPr>
            <w:tcW w:w="1701" w:type="dxa"/>
          </w:tcPr>
          <w:p w14:paraId="6D227B3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Tiny Grass Blue</w:t>
            </w:r>
          </w:p>
        </w:tc>
        <w:tc>
          <w:tcPr>
            <w:tcW w:w="2977" w:type="dxa"/>
          </w:tcPr>
          <w:p w14:paraId="5EDCDFB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Zizula hylax</w:t>
            </w:r>
            <w:r>
              <w:rPr>
                <w:rFonts w:ascii="Times New Roman" w:hAnsi="Times New Roman" w:eastAsia="Times New Roman" w:cs="Times New Roman"/>
                <w:color w:val="1F1F1F"/>
                <w:sz w:val="20"/>
                <w:szCs w:val="20"/>
                <w:lang w:val="en-US"/>
              </w:rPr>
              <w:t xml:space="preserve"> (Fabricius, 1775)</w:t>
            </w:r>
          </w:p>
        </w:tc>
        <w:tc>
          <w:tcPr>
            <w:tcW w:w="1417" w:type="dxa"/>
          </w:tcPr>
          <w:p w14:paraId="5A8046E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062BEAD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DDC664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B4BE85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A1E115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A083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7BCBBC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29</w:t>
            </w:r>
          </w:p>
        </w:tc>
        <w:tc>
          <w:tcPr>
            <w:tcW w:w="1701" w:type="dxa"/>
          </w:tcPr>
          <w:p w14:paraId="7E7DBCC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Plain Cupid</w:t>
            </w:r>
          </w:p>
        </w:tc>
        <w:tc>
          <w:tcPr>
            <w:tcW w:w="2977" w:type="dxa"/>
          </w:tcPr>
          <w:p w14:paraId="38C1050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Chilades pandava</w:t>
            </w:r>
            <w:r>
              <w:rPr>
                <w:rFonts w:ascii="Times New Roman" w:hAnsi="Times New Roman" w:eastAsia="Times New Roman" w:cs="Times New Roman"/>
                <w:color w:val="1F1F1F"/>
                <w:sz w:val="20"/>
                <w:szCs w:val="20"/>
                <w:lang w:val="en-US"/>
              </w:rPr>
              <w:t xml:space="preserve"> (Horsfield, 1829)</w:t>
            </w:r>
          </w:p>
        </w:tc>
        <w:tc>
          <w:tcPr>
            <w:tcW w:w="1417" w:type="dxa"/>
          </w:tcPr>
          <w:p w14:paraId="5FEB91D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6B48032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4AE0BF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40EEFD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C14839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C6CF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851A36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30</w:t>
            </w:r>
          </w:p>
        </w:tc>
        <w:tc>
          <w:tcPr>
            <w:tcW w:w="1701" w:type="dxa"/>
          </w:tcPr>
          <w:p w14:paraId="0EF7019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Guava Blue</w:t>
            </w:r>
          </w:p>
        </w:tc>
        <w:tc>
          <w:tcPr>
            <w:tcW w:w="2977" w:type="dxa"/>
          </w:tcPr>
          <w:p w14:paraId="3504966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Deudorix isocrates</w:t>
            </w:r>
            <w:r>
              <w:rPr>
                <w:rFonts w:ascii="Times New Roman" w:hAnsi="Times New Roman" w:eastAsia="Times New Roman" w:cs="Times New Roman"/>
                <w:color w:val="1F1F1F"/>
                <w:sz w:val="20"/>
                <w:szCs w:val="20"/>
                <w:lang w:val="en-US"/>
              </w:rPr>
              <w:t xml:space="preserve"> (Fabricius, 1793)</w:t>
            </w:r>
          </w:p>
        </w:tc>
        <w:tc>
          <w:tcPr>
            <w:tcW w:w="1417" w:type="dxa"/>
          </w:tcPr>
          <w:p w14:paraId="0C0BE9F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401C0AD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ED9A17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E14429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A4CB94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49D0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2A90752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31</w:t>
            </w:r>
          </w:p>
        </w:tc>
        <w:tc>
          <w:tcPr>
            <w:tcW w:w="1701" w:type="dxa"/>
          </w:tcPr>
          <w:p w14:paraId="02EA814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Silverline</w:t>
            </w:r>
          </w:p>
        </w:tc>
        <w:tc>
          <w:tcPr>
            <w:tcW w:w="2977" w:type="dxa"/>
          </w:tcPr>
          <w:p w14:paraId="796E582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Spindasis vulcanus</w:t>
            </w:r>
            <w:r>
              <w:rPr>
                <w:rFonts w:ascii="Times New Roman" w:hAnsi="Times New Roman" w:eastAsia="Times New Roman" w:cs="Times New Roman"/>
                <w:color w:val="1F1F1F"/>
                <w:sz w:val="20"/>
                <w:szCs w:val="20"/>
                <w:lang w:val="en-US"/>
              </w:rPr>
              <w:t xml:space="preserve"> (Fabricius, 1775)</w:t>
            </w:r>
          </w:p>
        </w:tc>
        <w:tc>
          <w:tcPr>
            <w:tcW w:w="1417" w:type="dxa"/>
          </w:tcPr>
          <w:p w14:paraId="1938EEC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382DC0A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E45B25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2D8B43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E86635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3EA00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6928C8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32</w:t>
            </w:r>
          </w:p>
        </w:tc>
        <w:tc>
          <w:tcPr>
            <w:tcW w:w="1701" w:type="dxa"/>
          </w:tcPr>
          <w:p w14:paraId="7F25448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Indian Red Flash</w:t>
            </w:r>
          </w:p>
        </w:tc>
        <w:tc>
          <w:tcPr>
            <w:tcW w:w="2977" w:type="dxa"/>
          </w:tcPr>
          <w:p w14:paraId="53C3893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Rapala iarbus</w:t>
            </w:r>
            <w:r>
              <w:rPr>
                <w:rFonts w:ascii="Times New Roman" w:hAnsi="Times New Roman" w:eastAsia="Times New Roman" w:cs="Times New Roman"/>
                <w:color w:val="1F1F1F"/>
                <w:sz w:val="20"/>
                <w:szCs w:val="20"/>
                <w:lang w:val="en-US"/>
              </w:rPr>
              <w:t xml:space="preserve"> (Fabricius, 1787)</w:t>
            </w:r>
          </w:p>
        </w:tc>
        <w:tc>
          <w:tcPr>
            <w:tcW w:w="1417" w:type="dxa"/>
          </w:tcPr>
          <w:p w14:paraId="0F742BF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76C6AD6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EF6C44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BD571E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67F59A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6CFF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B8D2C1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33</w:t>
            </w:r>
          </w:p>
        </w:tc>
        <w:tc>
          <w:tcPr>
            <w:tcW w:w="1701" w:type="dxa"/>
          </w:tcPr>
          <w:p w14:paraId="11E03EC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Striped Pierrot</w:t>
            </w:r>
          </w:p>
        </w:tc>
        <w:tc>
          <w:tcPr>
            <w:tcW w:w="2977" w:type="dxa"/>
          </w:tcPr>
          <w:p w14:paraId="62D601E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Tarucus nara</w:t>
            </w:r>
            <w:r>
              <w:rPr>
                <w:rFonts w:ascii="Times New Roman" w:hAnsi="Times New Roman" w:eastAsia="Times New Roman" w:cs="Times New Roman"/>
                <w:color w:val="1F1F1F"/>
                <w:sz w:val="20"/>
                <w:szCs w:val="20"/>
                <w:lang w:val="en-US"/>
              </w:rPr>
              <w:t xml:space="preserve"> (Kollar, 1848)</w:t>
            </w:r>
          </w:p>
        </w:tc>
        <w:tc>
          <w:tcPr>
            <w:tcW w:w="1417" w:type="dxa"/>
          </w:tcPr>
          <w:p w14:paraId="47140D6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Lycaenidae</w:t>
            </w:r>
          </w:p>
        </w:tc>
        <w:tc>
          <w:tcPr>
            <w:tcW w:w="467" w:type="dxa"/>
            <w:vAlign w:val="center"/>
          </w:tcPr>
          <w:p w14:paraId="6753066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728888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90ACCA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E5B120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7A76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3B1E3F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34</w:t>
            </w:r>
          </w:p>
        </w:tc>
        <w:tc>
          <w:tcPr>
            <w:tcW w:w="1701" w:type="dxa"/>
          </w:tcPr>
          <w:p w14:paraId="6A83292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Blue Tiger</w:t>
            </w:r>
          </w:p>
        </w:tc>
        <w:tc>
          <w:tcPr>
            <w:tcW w:w="2977" w:type="dxa"/>
          </w:tcPr>
          <w:p w14:paraId="44CFE19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Tirumala limniace</w:t>
            </w:r>
            <w:r>
              <w:rPr>
                <w:rFonts w:ascii="Times New Roman" w:hAnsi="Times New Roman" w:eastAsia="Times New Roman" w:cs="Times New Roman"/>
                <w:color w:val="1F1F1F"/>
                <w:sz w:val="20"/>
                <w:szCs w:val="20"/>
                <w:lang w:val="en-US"/>
              </w:rPr>
              <w:t xml:space="preserve"> (Cramer, 1775)</w:t>
            </w:r>
          </w:p>
        </w:tc>
        <w:tc>
          <w:tcPr>
            <w:tcW w:w="1417" w:type="dxa"/>
          </w:tcPr>
          <w:p w14:paraId="760E3EC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1B8C8D0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A0BFD5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902053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D8EBAF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7323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B453EA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35</w:t>
            </w:r>
          </w:p>
        </w:tc>
        <w:tc>
          <w:tcPr>
            <w:tcW w:w="1701" w:type="dxa"/>
          </w:tcPr>
          <w:p w14:paraId="6A821B9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Plain Tiger</w:t>
            </w:r>
          </w:p>
        </w:tc>
        <w:tc>
          <w:tcPr>
            <w:tcW w:w="2977" w:type="dxa"/>
          </w:tcPr>
          <w:p w14:paraId="1C6A025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Danaus chrysippus</w:t>
            </w:r>
            <w:r>
              <w:rPr>
                <w:rFonts w:ascii="Times New Roman" w:hAnsi="Times New Roman" w:eastAsia="Times New Roman" w:cs="Times New Roman"/>
                <w:color w:val="1F1F1F"/>
                <w:sz w:val="20"/>
                <w:szCs w:val="20"/>
                <w:lang w:val="en-US"/>
              </w:rPr>
              <w:t xml:space="preserve"> (Linnaeus, 1758)</w:t>
            </w:r>
          </w:p>
        </w:tc>
        <w:tc>
          <w:tcPr>
            <w:tcW w:w="1417" w:type="dxa"/>
          </w:tcPr>
          <w:p w14:paraId="29E7C4A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3B71063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A08AFB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A49043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E33E05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A702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6C77F36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36</w:t>
            </w:r>
          </w:p>
        </w:tc>
        <w:tc>
          <w:tcPr>
            <w:tcW w:w="1701" w:type="dxa"/>
          </w:tcPr>
          <w:p w14:paraId="50C26B6C">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Tiger</w:t>
            </w:r>
          </w:p>
        </w:tc>
        <w:tc>
          <w:tcPr>
            <w:tcW w:w="2977" w:type="dxa"/>
          </w:tcPr>
          <w:p w14:paraId="4D9FEB5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Danaus genutia</w:t>
            </w:r>
            <w:r>
              <w:rPr>
                <w:rFonts w:ascii="Times New Roman" w:hAnsi="Times New Roman" w:eastAsia="Times New Roman" w:cs="Times New Roman"/>
                <w:color w:val="1F1F1F"/>
                <w:sz w:val="20"/>
                <w:szCs w:val="20"/>
                <w:lang w:val="en-US"/>
              </w:rPr>
              <w:t xml:space="preserve"> (Cramer, 1779)</w:t>
            </w:r>
          </w:p>
        </w:tc>
        <w:tc>
          <w:tcPr>
            <w:tcW w:w="1417" w:type="dxa"/>
          </w:tcPr>
          <w:p w14:paraId="0B156CE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4FFEFDF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46264E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DC56F7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A51427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3AE0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BDDCC9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37</w:t>
            </w:r>
          </w:p>
        </w:tc>
        <w:tc>
          <w:tcPr>
            <w:tcW w:w="1701" w:type="dxa"/>
          </w:tcPr>
          <w:p w14:paraId="56FE3F7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Crow</w:t>
            </w:r>
          </w:p>
        </w:tc>
        <w:tc>
          <w:tcPr>
            <w:tcW w:w="2977" w:type="dxa"/>
          </w:tcPr>
          <w:p w14:paraId="72D612D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Euploea core</w:t>
            </w:r>
            <w:r>
              <w:rPr>
                <w:rFonts w:ascii="Times New Roman" w:hAnsi="Times New Roman" w:eastAsia="Times New Roman" w:cs="Times New Roman"/>
                <w:color w:val="1F1F1F"/>
                <w:sz w:val="20"/>
                <w:szCs w:val="20"/>
                <w:lang w:val="en-US"/>
              </w:rPr>
              <w:t xml:space="preserve"> (Cramer, 1780)</w:t>
            </w:r>
          </w:p>
        </w:tc>
        <w:tc>
          <w:tcPr>
            <w:tcW w:w="1417" w:type="dxa"/>
          </w:tcPr>
          <w:p w14:paraId="199ECFE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7C9A912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50BE926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A02629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088CFC0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67C12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6731209A">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38</w:t>
            </w:r>
          </w:p>
        </w:tc>
        <w:tc>
          <w:tcPr>
            <w:tcW w:w="1701" w:type="dxa"/>
          </w:tcPr>
          <w:p w14:paraId="62BCA05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Evening Brown</w:t>
            </w:r>
          </w:p>
        </w:tc>
        <w:tc>
          <w:tcPr>
            <w:tcW w:w="2977" w:type="dxa"/>
          </w:tcPr>
          <w:p w14:paraId="7961099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Melanitis leda</w:t>
            </w:r>
            <w:r>
              <w:rPr>
                <w:rFonts w:ascii="Times New Roman" w:hAnsi="Times New Roman" w:eastAsia="Times New Roman" w:cs="Times New Roman"/>
                <w:color w:val="1F1F1F"/>
                <w:sz w:val="20"/>
                <w:szCs w:val="20"/>
                <w:lang w:val="en-US"/>
              </w:rPr>
              <w:t xml:space="preserve"> (Linnaeus, 1758)</w:t>
            </w:r>
          </w:p>
        </w:tc>
        <w:tc>
          <w:tcPr>
            <w:tcW w:w="1417" w:type="dxa"/>
          </w:tcPr>
          <w:p w14:paraId="1ABAD99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0D39BAE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AC3722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7000EC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843A77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74C83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0CDD27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39</w:t>
            </w:r>
          </w:p>
        </w:tc>
        <w:tc>
          <w:tcPr>
            <w:tcW w:w="1701" w:type="dxa"/>
          </w:tcPr>
          <w:p w14:paraId="43110E2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Castor</w:t>
            </w:r>
          </w:p>
        </w:tc>
        <w:tc>
          <w:tcPr>
            <w:tcW w:w="2977" w:type="dxa"/>
          </w:tcPr>
          <w:p w14:paraId="0058DAF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Ariadne merione</w:t>
            </w:r>
            <w:r>
              <w:rPr>
                <w:rFonts w:ascii="Times New Roman" w:hAnsi="Times New Roman" w:eastAsia="Times New Roman" w:cs="Times New Roman"/>
                <w:color w:val="1F1F1F"/>
                <w:sz w:val="20"/>
                <w:szCs w:val="20"/>
                <w:lang w:val="en-US"/>
              </w:rPr>
              <w:t xml:space="preserve"> (Cramer, 1777)</w:t>
            </w:r>
          </w:p>
        </w:tc>
        <w:tc>
          <w:tcPr>
            <w:tcW w:w="1417" w:type="dxa"/>
          </w:tcPr>
          <w:p w14:paraId="6BD505A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6647B6C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83C055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1A525D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17AA213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F6C5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1109FF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40</w:t>
            </w:r>
          </w:p>
        </w:tc>
        <w:tc>
          <w:tcPr>
            <w:tcW w:w="1701" w:type="dxa"/>
          </w:tcPr>
          <w:p w14:paraId="35D586A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Tawny Coster</w:t>
            </w:r>
          </w:p>
        </w:tc>
        <w:tc>
          <w:tcPr>
            <w:tcW w:w="2977" w:type="dxa"/>
          </w:tcPr>
          <w:p w14:paraId="5B9B3F7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Acraea violae</w:t>
            </w:r>
            <w:r>
              <w:rPr>
                <w:rFonts w:ascii="Times New Roman" w:hAnsi="Times New Roman" w:eastAsia="Times New Roman" w:cs="Times New Roman"/>
                <w:color w:val="1F1F1F"/>
                <w:sz w:val="20"/>
                <w:szCs w:val="20"/>
                <w:lang w:val="en-US"/>
              </w:rPr>
              <w:t xml:space="preserve"> (Fabricius, 1793)</w:t>
            </w:r>
          </w:p>
        </w:tc>
        <w:tc>
          <w:tcPr>
            <w:tcW w:w="1417" w:type="dxa"/>
          </w:tcPr>
          <w:p w14:paraId="6DDE4B5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03FD084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D340E5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118264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68174D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A85D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2374CA99">
            <w:pPr>
              <w:spacing w:after="0" w:line="240" w:lineRule="auto"/>
              <w:rPr>
                <w:rFonts w:ascii="Times New Roman" w:hAnsi="Times New Roman" w:eastAsia="Times New Roman" w:cs="Times New Roman"/>
                <w:b/>
                <w:bCs/>
                <w:color w:val="1F1F1F"/>
                <w:sz w:val="20"/>
                <w:szCs w:val="20"/>
                <w:lang w:val="en-US"/>
              </w:rPr>
            </w:pPr>
            <w:r>
              <w:rPr>
                <w:rFonts w:ascii="Times New Roman" w:hAnsi="Times New Roman" w:eastAsia="Times New Roman" w:cs="Times New Roman"/>
                <w:b/>
                <w:bCs/>
                <w:color w:val="1F1F1F"/>
                <w:sz w:val="20"/>
                <w:szCs w:val="20"/>
                <w:lang w:val="en-US"/>
              </w:rPr>
              <w:t>41</w:t>
            </w:r>
          </w:p>
        </w:tc>
        <w:tc>
          <w:tcPr>
            <w:tcW w:w="1701" w:type="dxa"/>
          </w:tcPr>
          <w:p w14:paraId="528D14E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Commander</w:t>
            </w:r>
          </w:p>
        </w:tc>
        <w:tc>
          <w:tcPr>
            <w:tcW w:w="2977" w:type="dxa"/>
          </w:tcPr>
          <w:p w14:paraId="09674958">
            <w:pPr>
              <w:spacing w:after="0" w:line="240" w:lineRule="auto"/>
              <w:rPr>
                <w:rFonts w:ascii="Times New Roman" w:hAnsi="Times New Roman" w:eastAsia="Times New Roman" w:cs="Times New Roman"/>
                <w:i/>
                <w:iCs/>
                <w:color w:val="1F1F1F"/>
                <w:sz w:val="20"/>
                <w:szCs w:val="20"/>
                <w:lang w:val="en-US"/>
              </w:rPr>
            </w:pPr>
            <w:r>
              <w:rPr>
                <w:rFonts w:ascii="Times New Roman" w:hAnsi="Times New Roman" w:eastAsia="Times New Roman" w:cs="Times New Roman"/>
                <w:i/>
                <w:iCs/>
                <w:color w:val="1F1F1F"/>
                <w:sz w:val="20"/>
                <w:szCs w:val="20"/>
                <w:lang w:val="en-US"/>
              </w:rPr>
              <w:t>Moduza procris</w:t>
            </w:r>
            <w:r>
              <w:rPr>
                <w:rFonts w:ascii="Times New Roman" w:hAnsi="Times New Roman" w:eastAsia="Times New Roman" w:cs="Times New Roman"/>
                <w:color w:val="1F1F1F"/>
                <w:sz w:val="20"/>
                <w:szCs w:val="20"/>
                <w:lang w:val="en-US"/>
              </w:rPr>
              <w:t xml:space="preserve"> (Cramer, 1777)</w:t>
            </w:r>
          </w:p>
        </w:tc>
        <w:tc>
          <w:tcPr>
            <w:tcW w:w="1417" w:type="dxa"/>
          </w:tcPr>
          <w:p w14:paraId="5A7578A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67A1932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C9710C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A6B01A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462A297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6BC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769D0E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42</w:t>
            </w:r>
          </w:p>
        </w:tc>
        <w:tc>
          <w:tcPr>
            <w:tcW w:w="1701" w:type="dxa"/>
          </w:tcPr>
          <w:p w14:paraId="1180F64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Sailer</w:t>
            </w:r>
          </w:p>
        </w:tc>
        <w:tc>
          <w:tcPr>
            <w:tcW w:w="2977" w:type="dxa"/>
          </w:tcPr>
          <w:p w14:paraId="1B73F38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Neptis hylas</w:t>
            </w:r>
            <w:r>
              <w:rPr>
                <w:rFonts w:ascii="Times New Roman" w:hAnsi="Times New Roman" w:eastAsia="Times New Roman" w:cs="Times New Roman"/>
                <w:color w:val="1F1F1F"/>
                <w:sz w:val="20"/>
                <w:szCs w:val="20"/>
                <w:lang w:val="en-US"/>
              </w:rPr>
              <w:t xml:space="preserve"> (Linnaeus, 1758)</w:t>
            </w:r>
          </w:p>
        </w:tc>
        <w:tc>
          <w:tcPr>
            <w:tcW w:w="1417" w:type="dxa"/>
          </w:tcPr>
          <w:p w14:paraId="4A51782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327C27C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00F819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DEB7EC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E6C95D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613E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119A8BE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43</w:t>
            </w:r>
          </w:p>
        </w:tc>
        <w:tc>
          <w:tcPr>
            <w:tcW w:w="1701" w:type="dxa"/>
          </w:tcPr>
          <w:p w14:paraId="70F6ABA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Common Baron</w:t>
            </w:r>
          </w:p>
        </w:tc>
        <w:tc>
          <w:tcPr>
            <w:tcW w:w="2977" w:type="dxa"/>
          </w:tcPr>
          <w:p w14:paraId="422349F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Euthalia aconthea</w:t>
            </w:r>
            <w:r>
              <w:rPr>
                <w:rFonts w:ascii="Times New Roman" w:hAnsi="Times New Roman" w:eastAsia="Times New Roman" w:cs="Times New Roman"/>
                <w:color w:val="1F1F1F"/>
                <w:sz w:val="20"/>
                <w:szCs w:val="20"/>
                <w:lang w:val="en-US"/>
              </w:rPr>
              <w:t xml:space="preserve"> (Cramer, 1777)</w:t>
            </w:r>
          </w:p>
        </w:tc>
        <w:tc>
          <w:tcPr>
            <w:tcW w:w="1417" w:type="dxa"/>
          </w:tcPr>
          <w:p w14:paraId="5ED9094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4744E6D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959ADD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06EC6C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4CBB60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F383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45F908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44</w:t>
            </w:r>
          </w:p>
        </w:tc>
        <w:tc>
          <w:tcPr>
            <w:tcW w:w="1701" w:type="dxa"/>
          </w:tcPr>
          <w:p w14:paraId="6138E4C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Baronet</w:t>
            </w:r>
          </w:p>
        </w:tc>
        <w:tc>
          <w:tcPr>
            <w:tcW w:w="2977" w:type="dxa"/>
          </w:tcPr>
          <w:p w14:paraId="5EADC70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Euthalia nais</w:t>
            </w:r>
            <w:r>
              <w:rPr>
                <w:rFonts w:ascii="Times New Roman" w:hAnsi="Times New Roman" w:eastAsia="Times New Roman" w:cs="Times New Roman"/>
                <w:color w:val="1F1F1F"/>
                <w:sz w:val="20"/>
                <w:szCs w:val="20"/>
                <w:lang w:val="en-US"/>
              </w:rPr>
              <w:t xml:space="preserve"> (Forster, 1771)</w:t>
            </w:r>
          </w:p>
        </w:tc>
        <w:tc>
          <w:tcPr>
            <w:tcW w:w="1417" w:type="dxa"/>
          </w:tcPr>
          <w:p w14:paraId="4BB8AFA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07388E2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FB1AC1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E23738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113C9F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ABFE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BA32F7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45</w:t>
            </w:r>
          </w:p>
        </w:tc>
        <w:tc>
          <w:tcPr>
            <w:tcW w:w="1701" w:type="dxa"/>
          </w:tcPr>
          <w:p w14:paraId="0E60368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Painted Lady</w:t>
            </w:r>
          </w:p>
        </w:tc>
        <w:tc>
          <w:tcPr>
            <w:tcW w:w="2977" w:type="dxa"/>
          </w:tcPr>
          <w:p w14:paraId="1C19AF0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Vanessa cardui</w:t>
            </w:r>
            <w:r>
              <w:rPr>
                <w:rFonts w:ascii="Times New Roman" w:hAnsi="Times New Roman" w:eastAsia="Times New Roman" w:cs="Times New Roman"/>
                <w:color w:val="1F1F1F"/>
                <w:sz w:val="20"/>
                <w:szCs w:val="20"/>
                <w:lang w:val="en-US"/>
              </w:rPr>
              <w:t xml:space="preserve"> (Linnaeus, 1758)</w:t>
            </w:r>
          </w:p>
        </w:tc>
        <w:tc>
          <w:tcPr>
            <w:tcW w:w="1417" w:type="dxa"/>
          </w:tcPr>
          <w:p w14:paraId="205C069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0575BC6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0C9845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DE633E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2360FC6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5A430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0F36963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46</w:t>
            </w:r>
          </w:p>
        </w:tc>
        <w:tc>
          <w:tcPr>
            <w:tcW w:w="1701" w:type="dxa"/>
          </w:tcPr>
          <w:p w14:paraId="3C2C8A4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Grey Pansy</w:t>
            </w:r>
          </w:p>
        </w:tc>
        <w:tc>
          <w:tcPr>
            <w:tcW w:w="2977" w:type="dxa"/>
          </w:tcPr>
          <w:p w14:paraId="13C098C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atlites</w:t>
            </w:r>
            <w:r>
              <w:rPr>
                <w:rFonts w:ascii="Times New Roman" w:hAnsi="Times New Roman" w:eastAsia="Times New Roman" w:cs="Times New Roman"/>
                <w:color w:val="1F1F1F"/>
                <w:sz w:val="20"/>
                <w:szCs w:val="20"/>
                <w:lang w:val="en-US"/>
              </w:rPr>
              <w:t xml:space="preserve"> (Linnaeus, 1763)</w:t>
            </w:r>
          </w:p>
        </w:tc>
        <w:tc>
          <w:tcPr>
            <w:tcW w:w="1417" w:type="dxa"/>
          </w:tcPr>
          <w:p w14:paraId="5EB2213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72B0749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676E27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9DA958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61A6E24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91983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78E1757">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47</w:t>
            </w:r>
          </w:p>
        </w:tc>
        <w:tc>
          <w:tcPr>
            <w:tcW w:w="1701" w:type="dxa"/>
          </w:tcPr>
          <w:p w14:paraId="012236B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Peacock Pansy</w:t>
            </w:r>
          </w:p>
        </w:tc>
        <w:tc>
          <w:tcPr>
            <w:tcW w:w="2977" w:type="dxa"/>
          </w:tcPr>
          <w:p w14:paraId="189A5A6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almana</w:t>
            </w:r>
            <w:r>
              <w:rPr>
                <w:rFonts w:ascii="Times New Roman" w:hAnsi="Times New Roman" w:eastAsia="Times New Roman" w:cs="Times New Roman"/>
                <w:color w:val="1F1F1F"/>
                <w:sz w:val="20"/>
                <w:szCs w:val="20"/>
                <w:lang w:val="en-US"/>
              </w:rPr>
              <w:t xml:space="preserve"> (Linnaeus, 1758)</w:t>
            </w:r>
          </w:p>
        </w:tc>
        <w:tc>
          <w:tcPr>
            <w:tcW w:w="1417" w:type="dxa"/>
          </w:tcPr>
          <w:p w14:paraId="748B23A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18E34A7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2ABBD05">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17F5F3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E74276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7147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2CB0602">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48</w:t>
            </w:r>
          </w:p>
        </w:tc>
        <w:tc>
          <w:tcPr>
            <w:tcW w:w="1701" w:type="dxa"/>
          </w:tcPr>
          <w:p w14:paraId="31B24355">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Yellow Pansy</w:t>
            </w:r>
          </w:p>
        </w:tc>
        <w:tc>
          <w:tcPr>
            <w:tcW w:w="2977" w:type="dxa"/>
          </w:tcPr>
          <w:p w14:paraId="1ECDEE1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hierta</w:t>
            </w:r>
            <w:r>
              <w:rPr>
                <w:rFonts w:ascii="Times New Roman" w:hAnsi="Times New Roman" w:eastAsia="Times New Roman" w:cs="Times New Roman"/>
                <w:color w:val="1F1F1F"/>
                <w:sz w:val="20"/>
                <w:szCs w:val="20"/>
                <w:lang w:val="en-US"/>
              </w:rPr>
              <w:t xml:space="preserve"> (Fabricius, 1798)</w:t>
            </w:r>
          </w:p>
        </w:tc>
        <w:tc>
          <w:tcPr>
            <w:tcW w:w="1417" w:type="dxa"/>
          </w:tcPr>
          <w:p w14:paraId="5D33DCD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29AD1BC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110313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53C9EC4">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1A376E1">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922D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87ED61E">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49</w:t>
            </w:r>
          </w:p>
        </w:tc>
        <w:tc>
          <w:tcPr>
            <w:tcW w:w="1701" w:type="dxa"/>
          </w:tcPr>
          <w:p w14:paraId="74E90221">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Chocolate Pansy</w:t>
            </w:r>
          </w:p>
        </w:tc>
        <w:tc>
          <w:tcPr>
            <w:tcW w:w="2977" w:type="dxa"/>
          </w:tcPr>
          <w:p w14:paraId="2A03A5E6">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iphita</w:t>
            </w:r>
            <w:r>
              <w:rPr>
                <w:rFonts w:ascii="Times New Roman" w:hAnsi="Times New Roman" w:eastAsia="Times New Roman" w:cs="Times New Roman"/>
                <w:color w:val="1F1F1F"/>
                <w:sz w:val="20"/>
                <w:szCs w:val="20"/>
                <w:lang w:val="en-US"/>
              </w:rPr>
              <w:t xml:space="preserve"> (Cramer, 1779)</w:t>
            </w:r>
          </w:p>
        </w:tc>
        <w:tc>
          <w:tcPr>
            <w:tcW w:w="1417" w:type="dxa"/>
          </w:tcPr>
          <w:p w14:paraId="6900306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474E0D67">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864F96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4C13EE8">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34973D9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35609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39D34EE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50</w:t>
            </w:r>
          </w:p>
        </w:tc>
        <w:tc>
          <w:tcPr>
            <w:tcW w:w="1701" w:type="dxa"/>
          </w:tcPr>
          <w:p w14:paraId="7A87170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Blue Pansy</w:t>
            </w:r>
          </w:p>
        </w:tc>
        <w:tc>
          <w:tcPr>
            <w:tcW w:w="2977" w:type="dxa"/>
          </w:tcPr>
          <w:p w14:paraId="2B8B9EAB">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orithya</w:t>
            </w:r>
            <w:r>
              <w:rPr>
                <w:rFonts w:ascii="Times New Roman" w:hAnsi="Times New Roman" w:eastAsia="Times New Roman" w:cs="Times New Roman"/>
                <w:color w:val="1F1F1F"/>
                <w:sz w:val="20"/>
                <w:szCs w:val="20"/>
                <w:lang w:val="en-US"/>
              </w:rPr>
              <w:t xml:space="preserve"> (Linnaeus, 1758)</w:t>
            </w:r>
          </w:p>
        </w:tc>
        <w:tc>
          <w:tcPr>
            <w:tcW w:w="1417" w:type="dxa"/>
          </w:tcPr>
          <w:p w14:paraId="2652DD4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53FF36B2">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0E21EF6">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7DCA841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D3AD740">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2A98C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55834DA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51</w:t>
            </w:r>
          </w:p>
        </w:tc>
        <w:tc>
          <w:tcPr>
            <w:tcW w:w="1701" w:type="dxa"/>
          </w:tcPr>
          <w:p w14:paraId="2947426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Lemon Pansy</w:t>
            </w:r>
          </w:p>
        </w:tc>
        <w:tc>
          <w:tcPr>
            <w:tcW w:w="2977" w:type="dxa"/>
          </w:tcPr>
          <w:p w14:paraId="2DCB6CD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Junonia lemonias</w:t>
            </w:r>
            <w:r>
              <w:rPr>
                <w:rFonts w:ascii="Times New Roman" w:hAnsi="Times New Roman" w:eastAsia="Times New Roman" w:cs="Times New Roman"/>
                <w:color w:val="1F1F1F"/>
                <w:sz w:val="20"/>
                <w:szCs w:val="20"/>
                <w:lang w:val="en-US"/>
              </w:rPr>
              <w:t xml:space="preserve"> (Linnaeus, 1758)</w:t>
            </w:r>
          </w:p>
        </w:tc>
        <w:tc>
          <w:tcPr>
            <w:tcW w:w="1417" w:type="dxa"/>
          </w:tcPr>
          <w:p w14:paraId="701B64D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65F9A703">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3588FC6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6348AF5F">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67CBE2E">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0EBEF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359F42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52</w:t>
            </w:r>
          </w:p>
        </w:tc>
        <w:tc>
          <w:tcPr>
            <w:tcW w:w="1701" w:type="dxa"/>
          </w:tcPr>
          <w:p w14:paraId="6CF7F2B9">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Great Eggfly</w:t>
            </w:r>
          </w:p>
        </w:tc>
        <w:tc>
          <w:tcPr>
            <w:tcW w:w="2977" w:type="dxa"/>
          </w:tcPr>
          <w:p w14:paraId="7F27A7C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Hypolimnas bolina</w:t>
            </w:r>
            <w:r>
              <w:rPr>
                <w:rFonts w:ascii="Times New Roman" w:hAnsi="Times New Roman" w:eastAsia="Times New Roman" w:cs="Times New Roman"/>
                <w:color w:val="1F1F1F"/>
                <w:sz w:val="20"/>
                <w:szCs w:val="20"/>
                <w:lang w:val="en-US"/>
              </w:rPr>
              <w:t xml:space="preserve"> (Linnaeus, 1758)</w:t>
            </w:r>
          </w:p>
        </w:tc>
        <w:tc>
          <w:tcPr>
            <w:tcW w:w="1417" w:type="dxa"/>
          </w:tcPr>
          <w:p w14:paraId="2F5B7D64">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63E63CE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12BBEA2D">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E137BE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5C85A95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4AD55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9" w:type="dxa"/>
        </w:trPr>
        <w:tc>
          <w:tcPr>
            <w:tcW w:w="567" w:type="dxa"/>
            <w:vAlign w:val="center"/>
          </w:tcPr>
          <w:p w14:paraId="4E262C9F">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color w:val="1F1F1F"/>
                <w:sz w:val="20"/>
                <w:szCs w:val="20"/>
                <w:lang w:val="en-US"/>
              </w:rPr>
              <w:t>53</w:t>
            </w:r>
          </w:p>
        </w:tc>
        <w:tc>
          <w:tcPr>
            <w:tcW w:w="1701" w:type="dxa"/>
          </w:tcPr>
          <w:p w14:paraId="298A9ED0">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Danaid Eggfly</w:t>
            </w:r>
          </w:p>
        </w:tc>
        <w:tc>
          <w:tcPr>
            <w:tcW w:w="2977" w:type="dxa"/>
          </w:tcPr>
          <w:p w14:paraId="45FB5D3D">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i/>
                <w:iCs/>
                <w:color w:val="1F1F1F"/>
                <w:sz w:val="20"/>
                <w:szCs w:val="20"/>
                <w:lang w:val="en-US"/>
              </w:rPr>
              <w:t>Hypolimnas misippus</w:t>
            </w:r>
            <w:r>
              <w:rPr>
                <w:rFonts w:ascii="Times New Roman" w:hAnsi="Times New Roman" w:eastAsia="Times New Roman" w:cs="Times New Roman"/>
                <w:color w:val="1F1F1F"/>
                <w:sz w:val="20"/>
                <w:szCs w:val="20"/>
                <w:lang w:val="en-US"/>
              </w:rPr>
              <w:t xml:space="preserve"> (Linnaeus, 1764)</w:t>
            </w:r>
          </w:p>
        </w:tc>
        <w:tc>
          <w:tcPr>
            <w:tcW w:w="1417" w:type="dxa"/>
          </w:tcPr>
          <w:p w14:paraId="5734D888">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Nymphalidae</w:t>
            </w:r>
          </w:p>
        </w:tc>
        <w:tc>
          <w:tcPr>
            <w:tcW w:w="467" w:type="dxa"/>
            <w:vAlign w:val="center"/>
          </w:tcPr>
          <w:p w14:paraId="2163BE69">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0A8C964B">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67" w:type="dxa"/>
            <w:vAlign w:val="center"/>
          </w:tcPr>
          <w:p w14:paraId="4E6E6E0C">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c>
          <w:tcPr>
            <w:tcW w:w="525" w:type="dxa"/>
            <w:vAlign w:val="center"/>
          </w:tcPr>
          <w:p w14:paraId="7D80A20A">
            <w:pPr>
              <w:spacing w:after="0" w:line="240" w:lineRule="auto"/>
              <w:jc w:val="center"/>
              <w:rPr>
                <w:rFonts w:ascii="Times New Roman" w:hAnsi="Times New Roman" w:eastAsia="Times New Roman" w:cs="Times New Roman"/>
                <w:color w:val="1F1F1F"/>
                <w:sz w:val="20"/>
                <w:szCs w:val="20"/>
                <w:lang w:val="en-US"/>
              </w:rPr>
            </w:pPr>
            <w:r>
              <w:rPr>
                <w:rFonts w:ascii="Times New Roman" w:hAnsi="Times New Roman" w:eastAsia="Times New Roman" w:cs="Times New Roman"/>
                <w:color w:val="1F1F1F"/>
                <w:sz w:val="20"/>
                <w:szCs w:val="20"/>
                <w:lang w:val="en-US"/>
              </w:rPr>
              <w:t>+</w:t>
            </w:r>
          </w:p>
        </w:tc>
      </w:tr>
      <w:tr w14:paraId="67019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97" w:type="dxa"/>
            <w:gridSpan w:val="9"/>
            <w:vAlign w:val="center"/>
          </w:tcPr>
          <w:p w14:paraId="75A21B63">
            <w:pPr>
              <w:spacing w:after="0" w:line="240" w:lineRule="auto"/>
              <w:rPr>
                <w:rFonts w:ascii="Times New Roman" w:hAnsi="Times New Roman" w:eastAsia="Times New Roman" w:cs="Times New Roman"/>
                <w:color w:val="1F1F1F"/>
                <w:sz w:val="20"/>
                <w:szCs w:val="20"/>
                <w:lang w:val="en-US"/>
              </w:rPr>
            </w:pPr>
            <w:r>
              <w:rPr>
                <w:rFonts w:ascii="Times New Roman" w:hAnsi="Times New Roman" w:eastAsia="Times New Roman" w:cs="Times New Roman"/>
                <w:b/>
                <w:bCs/>
                <w:sz w:val="20"/>
                <w:szCs w:val="20"/>
                <w:lang w:val="en-US"/>
              </w:rPr>
              <w:t xml:space="preserve">S stands for Summer season; M stands for Monsoon season; P stands for Post-monsoon season; W stands for Winter season; + sign represents presence; – sign represents absence of butterfly species. </w:t>
            </w:r>
          </w:p>
        </w:tc>
      </w:tr>
    </w:tbl>
    <w:p w14:paraId="61567BA3">
      <w:pPr>
        <w:pBdr>
          <w:top w:val="none" w:color="auto" w:sz="0" w:space="0"/>
          <w:left w:val="none" w:color="auto" w:sz="0" w:space="0"/>
          <w:bottom w:val="none" w:color="auto" w:sz="0" w:space="0"/>
          <w:right w:val="none" w:color="auto" w:sz="0" w:space="0"/>
          <w:between w:val="none" w:color="auto" w:sz="0" w:space="0"/>
        </w:pBdr>
        <w:spacing w:after="0" w:line="360" w:lineRule="auto"/>
        <w:jc w:val="both"/>
        <w:rPr>
          <w:rFonts w:ascii="Times New Roman" w:hAnsi="Times New Roman" w:eastAsia="Times New Roman" w:cs="Times New Roman"/>
          <w:b/>
          <w:bCs/>
          <w:color w:val="000000"/>
          <w:sz w:val="24"/>
          <w:szCs w:val="24"/>
        </w:rPr>
      </w:pPr>
    </w:p>
    <w:p w14:paraId="67754D10">
      <w:pPr>
        <w:pStyle w:val="15"/>
        <w:spacing w:line="276" w:lineRule="auto"/>
        <w:ind w:left="142"/>
        <w:jc w:val="both"/>
      </w:pPr>
      <w:r>
        <w:t xml:space="preserve">Present analysis was revealed seasonal variation in species richness. The Summer season showed lowest overall diversity i.e., those in the Lycaenidae family. However, ecosystem showed a strong recovery during the monsoon. This was likely due to increased rainfall which helped restore plant vegetation. This, in turn, led to return of species such as Spot Swordtail and Common Wanderer. The post-monsoon season was observed as biological high point with a high species density (53 Species). This indicates that it is most suitable time for butterfly activity. Present data revealed different levels of ecological elasticity among observed species. The Lime Butterfly </w:t>
      </w:r>
      <w:r>
        <w:rPr>
          <w:i/>
          <w:iCs/>
        </w:rPr>
        <w:t>(Papilio demoleus</w:t>
      </w:r>
      <w:r>
        <w:t>) and Common Emigrant (</w:t>
      </w:r>
      <w:r>
        <w:rPr>
          <w:i/>
          <w:iCs/>
        </w:rPr>
        <w:t>Catopsilia pomona</w:t>
      </w:r>
      <w:r>
        <w:t xml:space="preserve">) showed high adaptability and remained present across all four seasons despite climatic changes. In contrast, some species were displayed distinct phenological patterns, e.g., Blue Mormon and Common Banded Peacock were absent during Summer and Monsoon and only appeared during the cooler Post-monsoon and Winter months. Notably, Winter season was also supported significant diversity (51 Species). Further, we also noted the disappearance of certain Hesperiids (such as Brown Awl) which had been active in previous wet seasons. Diversity peaks after the monsoon (September–November) due to renewed vegetation and nectar sources was noted by them. As the winter causes a decline due to lower temperatures that slow metabolism and induce diapause. During summer, desiccation stress was high, but resilient species from the Pieridae and Nymphalidae families often gather in riparian zones with available moisture. </w:t>
      </w:r>
    </w:p>
    <w:p w14:paraId="477AC6E1">
      <w:pPr>
        <w:pStyle w:val="15"/>
        <w:spacing w:line="276" w:lineRule="auto"/>
        <w:ind w:left="142"/>
        <w:jc w:val="both"/>
      </w:pPr>
      <w:r>
        <w:rPr>
          <w:lang w:val="en-IN"/>
        </w:rPr>
        <w:t xml:space="preserve">Naidu et al. (2025) stated that Chhattisgarh currently hosts 201 butterfly species. </w:t>
      </w:r>
      <w:r>
        <w:t xml:space="preserve">Earlier, Sisodia (2019) provided updated checklist of 159 butterfly species from Chhattisgarh, derived from field data collected from 2013 to 2019 and a review of earlier studies. Their list was included 19 new species of which 8 are range extensions and 11 are confirmed sightings in the state.  Sinha et al. (2025) reported 41 butterfly species (5 families and 12 subfamilies) at Rabo Dam, Raigarh. Their findings were compared with previous studies and afterwards they created first dedicated butterfly checklist for Raigarh which includes 58 species of which 17 were newly recorded. </w:t>
      </w:r>
    </w:p>
    <w:p w14:paraId="4CA740FB">
      <w:pPr>
        <w:pStyle w:val="15"/>
        <w:spacing w:line="276" w:lineRule="auto"/>
        <w:ind w:left="142"/>
        <w:jc w:val="both"/>
      </w:pPr>
      <w:r>
        <w:t xml:space="preserve">A phenological investigation was conducted at Kelo Dam Park and we have documented 53 species, with Nymphalidae being the most prevalent (20 species), succeeded by Lycaenidae (11), Pieridae (10), Papilionidae (9) and Hesperiidae (3) during present study. The highest species richness was occurred during post-monsoon period possibly due to resource availability. Summer showed a sharp declined in diversity with 18 species only. Especially absence of Lycaenidae and Hesperiidae. Some species in Pieridae and Nymphalidae remained active year-round, whereas others, such as Papilio polymnestor and Junonia orithya, were seasonal, appearing only after the monsoon and during winter. Therefore, present research confirms that butterflies are valuable bio-indicators for assessing forest health nearby study site during rapid industrialization in Raigrah District. </w:t>
      </w:r>
    </w:p>
    <w:p w14:paraId="00000037">
      <w:pPr>
        <w:spacing w:after="0" w:line="276" w:lineRule="auto"/>
        <w:ind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b/>
          <w:bCs/>
          <w:color w:val="000000"/>
          <w:sz w:val="24"/>
          <w:szCs w:val="24"/>
        </w:rPr>
        <w:t xml:space="preserve">CONCLUSION </w:t>
      </w:r>
    </w:p>
    <w:p w14:paraId="60004241">
      <w:pPr>
        <w:spacing w:line="276" w:lineRule="auto"/>
        <w:ind w:left="142"/>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The study of butterfly diversity in the Kelo Dam Park exhibited its role as critical ecological region for butterflies within </w:t>
      </w:r>
      <w:r>
        <w:rPr>
          <w:rFonts w:ascii="Times New Roman" w:hAnsi="Times New Roman" w:eastAsia="Arimo" w:cs="Times New Roman"/>
          <w:sz w:val="24"/>
          <w:szCs w:val="24"/>
        </w:rPr>
        <w:t xml:space="preserve">District </w:t>
      </w:r>
      <w:r>
        <w:rPr>
          <w:rFonts w:ascii="Times New Roman" w:hAnsi="Times New Roman" w:eastAsia="Times New Roman" w:cs="Times New Roman"/>
          <w:sz w:val="24"/>
          <w:szCs w:val="24"/>
        </w:rPr>
        <w:t xml:space="preserve">Raigarh under Chhattisgarh State. A total of 53 butterfly species were documented from study area. The Nymphalidae family is noted as abundant availability in the ecosystems. The phenological patterns reveal a distinct biological cycle as stress period in Summer, followed by recovery during Monsoon with highest diversity in post-monsoon season. Species such as </w:t>
      </w:r>
      <w:commentRangeStart w:id="11"/>
      <w:r>
        <w:rPr>
          <w:rFonts w:ascii="Times New Roman" w:hAnsi="Times New Roman" w:eastAsia="Times New Roman" w:cs="Times New Roman"/>
          <w:sz w:val="24"/>
          <w:szCs w:val="24"/>
        </w:rPr>
        <w:t xml:space="preserve">Lime Butterfly and Common Emigrant </w:t>
      </w:r>
      <w:commentRangeEnd w:id="11"/>
      <w:r>
        <w:commentReference w:id="11"/>
      </w:r>
      <w:r>
        <w:rPr>
          <w:rFonts w:ascii="Times New Roman" w:hAnsi="Times New Roman" w:eastAsia="Times New Roman" w:cs="Times New Roman"/>
          <w:sz w:val="24"/>
          <w:szCs w:val="24"/>
        </w:rPr>
        <w:t xml:space="preserve">showed strong resilience to climatic change. In contrast, limited distribution of species such as </w:t>
      </w:r>
      <w:commentRangeStart w:id="12"/>
      <w:r>
        <w:rPr>
          <w:rFonts w:ascii="Times New Roman" w:hAnsi="Times New Roman" w:eastAsia="Times New Roman" w:cs="Times New Roman"/>
          <w:sz w:val="24"/>
          <w:szCs w:val="24"/>
        </w:rPr>
        <w:t>Blue Mormon</w:t>
      </w:r>
      <w:commentRangeEnd w:id="12"/>
      <w:r>
        <w:commentReference w:id="12"/>
      </w:r>
      <w:r>
        <w:rPr>
          <w:rFonts w:ascii="Times New Roman" w:hAnsi="Times New Roman" w:eastAsia="Times New Roman" w:cs="Times New Roman"/>
          <w:sz w:val="24"/>
          <w:szCs w:val="24"/>
        </w:rPr>
        <w:t>, is emphasized vulnerability of certain taxa to environmental factors. Present study suggests that butterflies are effective bio-indicators for assessing forest health amid rapid industrial development. Therefore, protecting microhabitats of Kelo Dam Park is crucial to maintaining butterfly populations and to support ecological stability of study area.</w:t>
      </w:r>
    </w:p>
    <w:p w14:paraId="09195FF5">
      <w:pPr>
        <w:spacing w:line="276" w:lineRule="auto"/>
        <w:ind w:left="142"/>
        <w:jc w:val="both"/>
        <w:rPr>
          <w:rFonts w:ascii="Times New Roman" w:hAnsi="Times New Roman" w:eastAsia="Times New Roman" w:cs="Times New Roman"/>
          <w:sz w:val="24"/>
          <w:szCs w:val="24"/>
        </w:rPr>
      </w:pPr>
    </w:p>
    <w:p w14:paraId="7036DB04">
      <w:pPr>
        <w:spacing w:line="276" w:lineRule="auto"/>
        <w:ind w:left="142"/>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COMPETING INTERESTS DISCLAIMER:</w:t>
      </w:r>
    </w:p>
    <w:p w14:paraId="111CED89">
      <w:pPr>
        <w:spacing w:line="276" w:lineRule="auto"/>
        <w:ind w:left="142"/>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Authors have declared that they have no known competing financial interests OR non-financial interests OR personal relationships that could have appeared to influence the work reported in this paper.</w:t>
      </w:r>
    </w:p>
    <w:p w14:paraId="549E0A8E">
      <w:pPr>
        <w:spacing w:line="276" w:lineRule="auto"/>
        <w:ind w:left="142"/>
        <w:jc w:val="both"/>
        <w:rPr>
          <w:rFonts w:ascii="Times New Roman" w:hAnsi="Times New Roman" w:eastAsia="Times New Roman" w:cs="Times New Roman"/>
          <w:sz w:val="24"/>
          <w:szCs w:val="24"/>
        </w:rPr>
      </w:pPr>
    </w:p>
    <w:p w14:paraId="121598FF">
      <w:pPr>
        <w:spacing w:line="276" w:lineRule="auto"/>
        <w:ind w:left="142"/>
        <w:jc w:val="both"/>
        <w:rPr>
          <w:rFonts w:ascii="Times New Roman" w:hAnsi="Times New Roman" w:cs="Times New Roman"/>
          <w:b/>
          <w:bCs/>
          <w:sz w:val="24"/>
        </w:rPr>
      </w:pPr>
      <w:r>
        <w:rPr>
          <w:rFonts w:ascii="Times New Roman" w:hAnsi="Times New Roman" w:cs="Times New Roman"/>
          <w:b/>
          <w:bCs/>
          <w:sz w:val="24"/>
        </w:rPr>
        <w:t xml:space="preserve">REFERENCES   </w:t>
      </w:r>
    </w:p>
    <w:p w14:paraId="18B97F69">
      <w:pPr>
        <w:spacing w:before="120" w:after="240"/>
        <w:ind w:left="142"/>
        <w:jc w:val="both"/>
        <w:rPr>
          <w:rFonts w:ascii="Times New Roman" w:hAnsi="Times New Roman" w:cs="Times New Roman"/>
          <w:lang w:val="en-US"/>
        </w:rPr>
      </w:pPr>
      <w:r>
        <w:rPr>
          <w:rFonts w:ascii="Times New Roman" w:hAnsi="Times New Roman" w:cs="Times New Roman"/>
          <w:lang w:val="en-US"/>
        </w:rPr>
        <w:t>Chen, X., Yang, H., &amp; Wang, Y. (2017). Parametric study of passive design strategies for high-rise residential buildings in hot and humid climates: miscellaneous impact factors. </w:t>
      </w:r>
      <w:r>
        <w:rPr>
          <w:rFonts w:ascii="Times New Roman" w:hAnsi="Times New Roman" w:cs="Times New Roman"/>
          <w:i/>
          <w:iCs/>
          <w:lang w:val="en-US"/>
        </w:rPr>
        <w:t>Renewable and Sustainable Energy Reviews</w:t>
      </w:r>
      <w:r>
        <w:rPr>
          <w:rFonts w:ascii="Times New Roman" w:hAnsi="Times New Roman" w:cs="Times New Roman"/>
          <w:lang w:val="en-US"/>
        </w:rPr>
        <w:t>, </w:t>
      </w:r>
      <w:r>
        <w:rPr>
          <w:rFonts w:ascii="Times New Roman" w:hAnsi="Times New Roman" w:cs="Times New Roman"/>
          <w:i/>
          <w:iCs/>
          <w:lang w:val="en-US"/>
        </w:rPr>
        <w:t>69</w:t>
      </w:r>
      <w:r>
        <w:rPr>
          <w:rFonts w:ascii="Times New Roman" w:hAnsi="Times New Roman" w:cs="Times New Roman"/>
          <w:lang w:val="en-US"/>
        </w:rPr>
        <w:t xml:space="preserve">, 442–460. </w:t>
      </w:r>
      <w:r>
        <w:fldChar w:fldCharType="begin"/>
      </w:r>
      <w:r>
        <w:instrText xml:space="preserve"> HYPERLINK "https://doi.org/10.1016/j.rser.2016.11.055" </w:instrText>
      </w:r>
      <w:r>
        <w:fldChar w:fldCharType="separate"/>
      </w:r>
      <w:r>
        <w:rPr>
          <w:rStyle w:val="14"/>
          <w:rFonts w:ascii="Times New Roman" w:hAnsi="Times New Roman" w:cs="Times New Roman"/>
          <w:lang w:val="en-US"/>
        </w:rPr>
        <w:t>https://doi.org/10.1016/j.rser.2016.11.055</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1F59A5CE">
      <w:pPr>
        <w:tabs>
          <w:tab w:val="left" w:pos="720"/>
        </w:tabs>
        <w:spacing w:before="120" w:after="240"/>
        <w:ind w:left="142"/>
        <w:jc w:val="both"/>
        <w:rPr>
          <w:rFonts w:ascii="Times New Roman" w:hAnsi="Times New Roman" w:cs="Times New Roman"/>
          <w:lang w:val="en-US"/>
        </w:rPr>
      </w:pPr>
      <w:r>
        <w:rPr>
          <w:rFonts w:ascii="Times New Roman" w:hAnsi="Times New Roman" w:cs="Times New Roman"/>
        </w:rPr>
        <w:t>Comay, O., Ben Yehuda, O., Schwartz-Tzachor, R., Benyamini, D., Pe'er, I., Ktalav, I., &amp; Pe'er, G. (2021). Environmental controls on butterfly occurrence and species richness in Israel: The importance of temperature over rainfall. </w:t>
      </w:r>
      <w:r>
        <w:rPr>
          <w:rFonts w:ascii="Times New Roman" w:hAnsi="Times New Roman" w:cs="Times New Roman"/>
          <w:i/>
          <w:iCs/>
        </w:rPr>
        <w:t>Ecology and evolution</w:t>
      </w:r>
      <w:r>
        <w:rPr>
          <w:rFonts w:ascii="Times New Roman" w:hAnsi="Times New Roman" w:cs="Times New Roman"/>
        </w:rPr>
        <w:t>, </w:t>
      </w:r>
      <w:r>
        <w:rPr>
          <w:rFonts w:ascii="Times New Roman" w:hAnsi="Times New Roman" w:cs="Times New Roman"/>
          <w:i/>
          <w:iCs/>
        </w:rPr>
        <w:t>11</w:t>
      </w:r>
      <w:r>
        <w:rPr>
          <w:rFonts w:ascii="Times New Roman" w:hAnsi="Times New Roman" w:cs="Times New Roman"/>
        </w:rPr>
        <w:t xml:space="preserve">(17), 12035–12050. </w:t>
      </w:r>
      <w:r>
        <w:fldChar w:fldCharType="begin"/>
      </w:r>
      <w:r>
        <w:instrText xml:space="preserve"> HYPERLINK "https://doi.org/10.1002/ece3.7969" </w:instrText>
      </w:r>
      <w:r>
        <w:fldChar w:fldCharType="separate"/>
      </w:r>
      <w:r>
        <w:rPr>
          <w:rStyle w:val="14"/>
          <w:rFonts w:ascii="Times New Roman" w:hAnsi="Times New Roman" w:cs="Times New Roman"/>
        </w:rPr>
        <w:t>https://doi.org/10.1002/ece3.7969</w:t>
      </w:r>
      <w:r>
        <w:rPr>
          <w:rStyle w:val="14"/>
          <w:rFonts w:ascii="Times New Roman" w:hAnsi="Times New Roman" w:cs="Times New Roman"/>
        </w:rPr>
        <w:fldChar w:fldCharType="end"/>
      </w:r>
    </w:p>
    <w:p w14:paraId="4D3A8E53">
      <w:pPr>
        <w:shd w:val="clear" w:color="auto" w:fill="FFFFFF"/>
        <w:spacing w:before="120" w:after="240" w:line="360" w:lineRule="auto"/>
        <w:ind w:left="142"/>
        <w:jc w:val="both"/>
        <w:rPr>
          <w:rFonts w:ascii="Times New Roman" w:hAnsi="Times New Roman" w:eastAsia="Times New Roman" w:cs="Times New Roman"/>
          <w:sz w:val="24"/>
          <w:szCs w:val="24"/>
          <w:lang w:val="en-US"/>
        </w:rPr>
      </w:pPr>
      <w:r>
        <w:rPr>
          <w:rFonts w:ascii="Times New Roman" w:hAnsi="Times New Roman" w:cs="Times New Roman"/>
          <w:sz w:val="24"/>
          <w:szCs w:val="24"/>
        </w:rPr>
        <w:t>Evans, W. H. (1932). The Identification of Indian Butterflies. 2</w:t>
      </w:r>
      <w:r>
        <w:rPr>
          <w:rFonts w:ascii="Times New Roman" w:hAnsi="Times New Roman" w:cs="Times New Roman"/>
          <w:sz w:val="24"/>
          <w:szCs w:val="24"/>
          <w:vertAlign w:val="superscript"/>
        </w:rPr>
        <w:t>nd</w:t>
      </w:r>
      <w:r>
        <w:rPr>
          <w:rFonts w:ascii="Times New Roman" w:hAnsi="Times New Roman" w:cs="Times New Roman"/>
          <w:sz w:val="24"/>
          <w:szCs w:val="24"/>
        </w:rPr>
        <w:t xml:space="preserve"> ed. </w:t>
      </w:r>
      <w:r>
        <w:rPr>
          <w:rFonts w:ascii="Times New Roman" w:hAnsi="Times New Roman" w:cs="Times New Roman"/>
          <w:i/>
          <w:iCs/>
          <w:sz w:val="24"/>
          <w:szCs w:val="24"/>
        </w:rPr>
        <w:t>Bombay Natural History Society, Bombay</w:t>
      </w:r>
      <w:r>
        <w:rPr>
          <w:rFonts w:ascii="Times New Roman" w:hAnsi="Times New Roman" w:cs="Times New Roman"/>
          <w:sz w:val="24"/>
          <w:szCs w:val="24"/>
        </w:rPr>
        <w:t>., 455, 32 pl.</w:t>
      </w:r>
    </w:p>
    <w:p w14:paraId="5A72F2B9">
      <w:pPr>
        <w:spacing w:before="120" w:after="240"/>
        <w:ind w:left="142"/>
        <w:jc w:val="both"/>
        <w:rPr>
          <w:rFonts w:ascii="Times New Roman" w:hAnsi="Times New Roman" w:cs="Times New Roman"/>
          <w:lang w:val="en-US"/>
        </w:rPr>
      </w:pPr>
      <w:r>
        <w:rPr>
          <w:rFonts w:ascii="Times New Roman" w:hAnsi="Times New Roman" w:cs="Times New Roman"/>
          <w:lang w:val="en-US"/>
        </w:rPr>
        <w:t>Gascon, C., Brooks, T. M., Contreras-MacBeath, T., Heard, N., Konstant, W., Lamoreux, J., Launay, F., Maunder, M., Mittermeier, R. A., Molur, S., Al Mubarak, R. K., Parr, M. J., Rhodin, A. G. J., Rylands, A. B., Soorae, P., Sanderson, J. G., &amp; Vié, J.-C. (2015). The importance and benefits of species. </w:t>
      </w:r>
      <w:r>
        <w:rPr>
          <w:rFonts w:ascii="Times New Roman" w:hAnsi="Times New Roman" w:cs="Times New Roman"/>
          <w:i/>
          <w:iCs/>
          <w:lang w:val="en-US"/>
        </w:rPr>
        <w:t>Current Biology</w:t>
      </w:r>
      <w:r>
        <w:rPr>
          <w:rFonts w:ascii="Times New Roman" w:hAnsi="Times New Roman" w:cs="Times New Roman"/>
          <w:lang w:val="en-US"/>
        </w:rPr>
        <w:t>, </w:t>
      </w:r>
      <w:r>
        <w:rPr>
          <w:rFonts w:ascii="Times New Roman" w:hAnsi="Times New Roman" w:cs="Times New Roman"/>
          <w:i/>
          <w:iCs/>
          <w:lang w:val="en-US"/>
        </w:rPr>
        <w:t>25</w:t>
      </w:r>
      <w:r>
        <w:rPr>
          <w:rFonts w:ascii="Times New Roman" w:hAnsi="Times New Roman" w:cs="Times New Roman"/>
          <w:lang w:val="en-US"/>
        </w:rPr>
        <w:t xml:space="preserve">(10), R431-8. </w:t>
      </w:r>
      <w:r>
        <w:fldChar w:fldCharType="begin"/>
      </w:r>
      <w:r>
        <w:instrText xml:space="preserve"> HYPERLINK "https://doi.org/10.1016/j.cub.2015.03.041" </w:instrText>
      </w:r>
      <w:r>
        <w:fldChar w:fldCharType="separate"/>
      </w:r>
      <w:r>
        <w:rPr>
          <w:rStyle w:val="14"/>
          <w:rFonts w:ascii="Times New Roman" w:hAnsi="Times New Roman" w:cs="Times New Roman"/>
          <w:lang w:val="en-US"/>
        </w:rPr>
        <w:t>https://doi.org/10.1016/j.cub.2015.03.041</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06D6849E">
      <w:pPr>
        <w:spacing w:before="120" w:after="240"/>
        <w:ind w:left="142"/>
        <w:jc w:val="both"/>
        <w:rPr>
          <w:rFonts w:ascii="Times New Roman" w:hAnsi="Times New Roman" w:cs="Times New Roman"/>
          <w:lang w:val="en-US"/>
        </w:rPr>
      </w:pPr>
      <w:r>
        <w:rPr>
          <w:rFonts w:ascii="Times New Roman" w:hAnsi="Times New Roman" w:cs="Times New Roman"/>
          <w:lang w:val="en"/>
        </w:rPr>
        <w:t xml:space="preserve">Haribal, M. (1992). The Butterflies of the Sikkim Himalaya and Their Natural History. </w:t>
      </w:r>
      <w:r>
        <w:rPr>
          <w:rFonts w:ascii="Times New Roman" w:hAnsi="Times New Roman" w:cs="Times New Roman"/>
          <w:i/>
          <w:iCs/>
          <w:lang w:val="en"/>
        </w:rPr>
        <w:t>Sikkim Nature Conservation Foundation, Gangtok</w:t>
      </w:r>
      <w:r>
        <w:rPr>
          <w:rFonts w:ascii="Times New Roman" w:hAnsi="Times New Roman" w:cs="Times New Roman"/>
          <w:lang w:val="en"/>
        </w:rPr>
        <w:t xml:space="preserve">., 217. </w:t>
      </w:r>
    </w:p>
    <w:p w14:paraId="6EAA59F7">
      <w:pPr>
        <w:spacing w:before="120" w:after="240"/>
        <w:ind w:left="142"/>
        <w:jc w:val="both"/>
        <w:rPr>
          <w:rFonts w:ascii="Times New Roman" w:hAnsi="Times New Roman" w:cs="Times New Roman"/>
          <w:lang w:val="en-US"/>
        </w:rPr>
      </w:pPr>
      <w:r>
        <w:rPr>
          <w:rFonts w:ascii="Times New Roman" w:hAnsi="Times New Roman" w:cs="Times New Roman"/>
          <w:lang w:val="en-US"/>
        </w:rPr>
        <w:t>He, Q., &amp; Silliman, B. R. (2019). Climate change, human impacts, and coastal ecosystems in the Anthropocene. </w:t>
      </w:r>
      <w:r>
        <w:rPr>
          <w:rFonts w:ascii="Times New Roman" w:hAnsi="Times New Roman" w:cs="Times New Roman"/>
          <w:i/>
          <w:iCs/>
          <w:lang w:val="en-US"/>
        </w:rPr>
        <w:t>Current Biology</w:t>
      </w:r>
      <w:r>
        <w:rPr>
          <w:rFonts w:ascii="Times New Roman" w:hAnsi="Times New Roman" w:cs="Times New Roman"/>
          <w:lang w:val="en-US"/>
        </w:rPr>
        <w:t>, </w:t>
      </w:r>
      <w:r>
        <w:rPr>
          <w:rFonts w:ascii="Times New Roman" w:hAnsi="Times New Roman" w:cs="Times New Roman"/>
          <w:i/>
          <w:iCs/>
          <w:lang w:val="en-US"/>
        </w:rPr>
        <w:t>29</w:t>
      </w:r>
      <w:r>
        <w:rPr>
          <w:rFonts w:ascii="Times New Roman" w:hAnsi="Times New Roman" w:cs="Times New Roman"/>
          <w:lang w:val="en-US"/>
        </w:rPr>
        <w:t>(19), R1021–R1035. https://doi.org/10.1016/j.cub.2019.08.042</w:t>
      </w:r>
    </w:p>
    <w:p w14:paraId="184A5E41">
      <w:pPr>
        <w:ind w:left="142"/>
        <w:jc w:val="both"/>
        <w:rPr>
          <w:rFonts w:ascii="Times New Roman" w:hAnsi="Times New Roman" w:cs="Times New Roman"/>
          <w:lang w:val="en-US"/>
        </w:rPr>
      </w:pPr>
      <w:r>
        <w:rPr>
          <w:rFonts w:ascii="Times New Roman" w:hAnsi="Times New Roman" w:cs="Times New Roman"/>
          <w:lang w:val="en-US"/>
        </w:rPr>
        <w:t>Jaiswal, P. T., Jaiswal, P. K., Sahu, K. R., &amp; Pandey, P. (2023). Study of Icthyofaunal Biodiversity and Limnological Parameter in Kelo Dam of Raigarh, District – Raigarh C.G. </w:t>
      </w:r>
      <w:r>
        <w:rPr>
          <w:rFonts w:ascii="Times New Roman" w:hAnsi="Times New Roman" w:cs="Times New Roman"/>
          <w:i/>
          <w:iCs/>
          <w:lang w:val="en-US"/>
        </w:rPr>
        <w:t>Uttar Pradesh Journal of Zoology</w:t>
      </w:r>
      <w:r>
        <w:rPr>
          <w:rFonts w:ascii="Times New Roman" w:hAnsi="Times New Roman" w:cs="Times New Roman"/>
          <w:lang w:val="en-US"/>
        </w:rPr>
        <w:t>, </w:t>
      </w:r>
      <w:r>
        <w:rPr>
          <w:rFonts w:ascii="Times New Roman" w:hAnsi="Times New Roman" w:cs="Times New Roman"/>
          <w:i/>
          <w:iCs/>
          <w:lang w:val="en-US"/>
        </w:rPr>
        <w:t>44</w:t>
      </w:r>
      <w:r>
        <w:rPr>
          <w:rFonts w:ascii="Times New Roman" w:hAnsi="Times New Roman" w:cs="Times New Roman"/>
          <w:lang w:val="en-US"/>
        </w:rPr>
        <w:t>(24), 38–44. https://doi.org/10.56557/upjoz/2023/v44i243807</w:t>
      </w:r>
    </w:p>
    <w:p w14:paraId="780EB176">
      <w:pPr>
        <w:tabs>
          <w:tab w:val="left" w:pos="720"/>
        </w:tabs>
        <w:spacing w:before="120" w:after="240"/>
        <w:ind w:left="142"/>
        <w:jc w:val="both"/>
        <w:rPr>
          <w:rFonts w:ascii="Times New Roman" w:hAnsi="Times New Roman" w:cs="Times New Roman"/>
          <w:lang w:val="en-US"/>
        </w:rPr>
      </w:pPr>
      <w:r>
        <w:rPr>
          <w:rFonts w:ascii="Times New Roman" w:hAnsi="Times New Roman" w:cs="Times New Roman"/>
        </w:rPr>
        <w:t>Kala C. P. (2009). Aboriginal uses and management of ethnobotanical species in deciduous forests of Chhattisgarh state in India. </w:t>
      </w:r>
      <w:r>
        <w:rPr>
          <w:rFonts w:ascii="Times New Roman" w:hAnsi="Times New Roman" w:cs="Times New Roman"/>
          <w:i/>
          <w:iCs/>
        </w:rPr>
        <w:t>Journal of ethnobiology and ethnomedicine</w:t>
      </w:r>
      <w:r>
        <w:rPr>
          <w:rFonts w:ascii="Times New Roman" w:hAnsi="Times New Roman" w:cs="Times New Roman"/>
        </w:rPr>
        <w:t>, </w:t>
      </w:r>
      <w:r>
        <w:rPr>
          <w:rFonts w:ascii="Times New Roman" w:hAnsi="Times New Roman" w:cs="Times New Roman"/>
          <w:i/>
          <w:iCs/>
        </w:rPr>
        <w:t>5</w:t>
      </w:r>
      <w:r>
        <w:rPr>
          <w:rFonts w:ascii="Times New Roman" w:hAnsi="Times New Roman" w:cs="Times New Roman"/>
        </w:rPr>
        <w:t xml:space="preserve">, 20. </w:t>
      </w:r>
      <w:r>
        <w:fldChar w:fldCharType="begin"/>
      </w:r>
      <w:r>
        <w:instrText xml:space="preserve"> HYPERLINK "https://doi.org/10.1186/1746-4269-5-20" </w:instrText>
      </w:r>
      <w:r>
        <w:fldChar w:fldCharType="separate"/>
      </w:r>
      <w:r>
        <w:rPr>
          <w:rStyle w:val="14"/>
          <w:rFonts w:ascii="Times New Roman" w:hAnsi="Times New Roman" w:cs="Times New Roman"/>
        </w:rPr>
        <w:t>https://doi.org/10.1186/1746-4269-5-20</w:t>
      </w:r>
      <w:r>
        <w:rPr>
          <w:rStyle w:val="14"/>
          <w:rFonts w:ascii="Times New Roman" w:hAnsi="Times New Roman" w:cs="Times New Roman"/>
        </w:rPr>
        <w:fldChar w:fldCharType="end"/>
      </w:r>
    </w:p>
    <w:p w14:paraId="66BAF181">
      <w:pPr>
        <w:spacing w:before="120" w:after="240"/>
        <w:ind w:left="142"/>
        <w:jc w:val="both"/>
        <w:rPr>
          <w:rFonts w:ascii="Times New Roman" w:hAnsi="Times New Roman" w:cs="Times New Roman"/>
          <w:lang w:val="en-US"/>
        </w:rPr>
      </w:pPr>
      <w:r>
        <w:rPr>
          <w:rFonts w:ascii="Times New Roman" w:hAnsi="Times New Roman" w:cs="Times New Roman"/>
          <w:lang w:val="en-US"/>
        </w:rPr>
        <w:t>Kehimkar, I. (2016). </w:t>
      </w:r>
      <w:r>
        <w:rPr>
          <w:rFonts w:ascii="Times New Roman" w:hAnsi="Times New Roman" w:cs="Times New Roman"/>
          <w:i/>
          <w:iCs/>
          <w:lang w:val="en-US"/>
        </w:rPr>
        <w:t>Butterflies of India</w:t>
      </w:r>
      <w:r>
        <w:rPr>
          <w:rFonts w:ascii="Times New Roman" w:hAnsi="Times New Roman" w:cs="Times New Roman"/>
          <w:lang w:val="en-US"/>
        </w:rPr>
        <w:t>. Bombay Natural History Society.</w:t>
      </w:r>
    </w:p>
    <w:p w14:paraId="2CCFC299">
      <w:pPr>
        <w:spacing w:before="120" w:after="240"/>
        <w:ind w:left="142"/>
        <w:jc w:val="both"/>
        <w:rPr>
          <w:rFonts w:ascii="Times New Roman" w:hAnsi="Times New Roman" w:cs="Times New Roman"/>
        </w:rPr>
      </w:pPr>
      <w:r>
        <w:rPr>
          <w:rFonts w:ascii="Times New Roman" w:hAnsi="Times New Roman" w:cs="Times New Roman"/>
        </w:rPr>
        <w:t xml:space="preserve">Kumar, A. (2018). Brief introduction of environment, ecology and environmental pollution. </w:t>
      </w:r>
      <w:r>
        <w:rPr>
          <w:rFonts w:ascii="Times New Roman" w:hAnsi="Times New Roman" w:cs="Times New Roman"/>
          <w:i/>
          <w:iCs/>
        </w:rPr>
        <w:t>Inspira- Journal of Modern Management &amp; Entrepreneurship (JMME)</w:t>
      </w:r>
      <w:r>
        <w:rPr>
          <w:rFonts w:ascii="Times New Roman" w:hAnsi="Times New Roman" w:cs="Times New Roman"/>
        </w:rPr>
        <w:t xml:space="preserve">, </w:t>
      </w:r>
      <w:r>
        <w:rPr>
          <w:rFonts w:ascii="Times New Roman" w:hAnsi="Times New Roman" w:cs="Times New Roman"/>
          <w:i/>
          <w:iCs/>
        </w:rPr>
        <w:t>8</w:t>
      </w:r>
      <w:r>
        <w:rPr>
          <w:rFonts w:ascii="Times New Roman" w:hAnsi="Times New Roman" w:cs="Times New Roman"/>
        </w:rPr>
        <w:t xml:space="preserve">(1), 314–322. </w:t>
      </w:r>
      <w:r>
        <w:fldChar w:fldCharType="begin"/>
      </w:r>
      <w:r>
        <w:instrText xml:space="preserve"> HYPERLINK "https://inspirajournals.com/uploads/Issues/159348613.pdf" </w:instrText>
      </w:r>
      <w:r>
        <w:fldChar w:fldCharType="separate"/>
      </w:r>
      <w:r>
        <w:rPr>
          <w:rStyle w:val="14"/>
          <w:rFonts w:ascii="Times New Roman" w:hAnsi="Times New Roman" w:cs="Times New Roman"/>
        </w:rPr>
        <w:t>https://inspirajournals.com/uploads/Issues/159348613.pdf</w:t>
      </w:r>
      <w:r>
        <w:rPr>
          <w:rStyle w:val="14"/>
          <w:rFonts w:ascii="Times New Roman" w:hAnsi="Times New Roman" w:cs="Times New Roman"/>
        </w:rPr>
        <w:fldChar w:fldCharType="end"/>
      </w:r>
      <w:r>
        <w:rPr>
          <w:rFonts w:ascii="Times New Roman" w:hAnsi="Times New Roman" w:cs="Times New Roman"/>
        </w:rPr>
        <w:t xml:space="preserve"> </w:t>
      </w:r>
    </w:p>
    <w:p w14:paraId="39692E2A">
      <w:pPr>
        <w:spacing w:before="120" w:after="240"/>
        <w:ind w:left="142"/>
        <w:jc w:val="both"/>
        <w:rPr>
          <w:rFonts w:ascii="Times New Roman" w:hAnsi="Times New Roman" w:cs="Times New Roman"/>
        </w:rPr>
      </w:pPr>
      <w:r>
        <w:rPr>
          <w:rFonts w:ascii="Times New Roman" w:hAnsi="Times New Roman" w:cs="Times New Roman"/>
        </w:rPr>
        <w:t xml:space="preserve">Meena, G. L. (2017). Environmental components. </w:t>
      </w:r>
      <w:r>
        <w:rPr>
          <w:rFonts w:ascii="Times New Roman" w:hAnsi="Times New Roman" w:cs="Times New Roman"/>
          <w:i/>
          <w:iCs/>
        </w:rPr>
        <w:t>International Journal for Research Trends and Innovation (IJRTI)</w:t>
      </w:r>
      <w:r>
        <w:rPr>
          <w:rFonts w:ascii="Times New Roman" w:hAnsi="Times New Roman" w:cs="Times New Roman"/>
        </w:rPr>
        <w:t xml:space="preserve">, </w:t>
      </w:r>
      <w:r>
        <w:rPr>
          <w:rFonts w:ascii="Times New Roman" w:hAnsi="Times New Roman" w:cs="Times New Roman"/>
          <w:i/>
          <w:iCs/>
        </w:rPr>
        <w:t>2</w:t>
      </w:r>
      <w:r>
        <w:rPr>
          <w:rFonts w:ascii="Times New Roman" w:hAnsi="Times New Roman" w:cs="Times New Roman"/>
        </w:rPr>
        <w:t xml:space="preserve">(8). </w:t>
      </w:r>
      <w:r>
        <w:fldChar w:fldCharType="begin"/>
      </w:r>
      <w:r>
        <w:instrText xml:space="preserve"> HYPERLINK "https://www.ijrti.org/papers/IJRTI1708036.pdf" </w:instrText>
      </w:r>
      <w:r>
        <w:fldChar w:fldCharType="separate"/>
      </w:r>
      <w:r>
        <w:rPr>
          <w:rStyle w:val="14"/>
          <w:rFonts w:ascii="Times New Roman" w:hAnsi="Times New Roman" w:cs="Times New Roman"/>
        </w:rPr>
        <w:t>https://www.ijrti.org/papers/IJRTI1708036.pdf</w:t>
      </w:r>
      <w:r>
        <w:rPr>
          <w:rStyle w:val="14"/>
          <w:rFonts w:ascii="Times New Roman" w:hAnsi="Times New Roman" w:cs="Times New Roman"/>
        </w:rPr>
        <w:fldChar w:fldCharType="end"/>
      </w:r>
      <w:r>
        <w:rPr>
          <w:rFonts w:ascii="Times New Roman" w:hAnsi="Times New Roman" w:cs="Times New Roman"/>
        </w:rPr>
        <w:t xml:space="preserve"> </w:t>
      </w:r>
    </w:p>
    <w:p w14:paraId="131CDF25">
      <w:pPr>
        <w:tabs>
          <w:tab w:val="left" w:pos="720"/>
        </w:tabs>
        <w:spacing w:before="120" w:after="240"/>
        <w:ind w:left="142"/>
        <w:jc w:val="both"/>
        <w:rPr>
          <w:rFonts w:ascii="Times New Roman" w:hAnsi="Times New Roman" w:cs="Times New Roman"/>
          <w:lang w:val="en-US"/>
        </w:rPr>
      </w:pPr>
      <w:r>
        <w:rPr>
          <w:rFonts w:ascii="Times New Roman" w:hAnsi="Times New Roman" w:cs="Times New Roman"/>
          <w:lang w:val="en-US"/>
        </w:rPr>
        <w:t>Naidu, R., Tandan, H. N., Kasambey, R., Chand, G., Mandaviya, A., Singh, S., Gupta, S., Das, K., Sahu, G. K., Agrawal, R., Nihlani, G., Bhoi, A., Dubey, S., Jangde, K. K., Kalaichelwan, T., &amp; Tandan, S. (2025). Butterflies of Chhattisgarh, India: Updated checklist with 19 additions to the state fauna. </w:t>
      </w:r>
      <w:r>
        <w:rPr>
          <w:rFonts w:ascii="Times New Roman" w:hAnsi="Times New Roman" w:cs="Times New Roman"/>
          <w:i/>
          <w:iCs/>
          <w:lang w:val="en-US"/>
        </w:rPr>
        <w:t>Uttar Pradesh Journal of Zoology</w:t>
      </w:r>
      <w:r>
        <w:rPr>
          <w:rFonts w:ascii="Times New Roman" w:hAnsi="Times New Roman" w:cs="Times New Roman"/>
          <w:lang w:val="en-US"/>
        </w:rPr>
        <w:t>, </w:t>
      </w:r>
      <w:r>
        <w:rPr>
          <w:rFonts w:ascii="Times New Roman" w:hAnsi="Times New Roman" w:cs="Times New Roman"/>
          <w:i/>
          <w:iCs/>
          <w:lang w:val="en-US"/>
        </w:rPr>
        <w:t>46</w:t>
      </w:r>
      <w:r>
        <w:rPr>
          <w:rFonts w:ascii="Times New Roman" w:hAnsi="Times New Roman" w:cs="Times New Roman"/>
          <w:lang w:val="en-US"/>
        </w:rPr>
        <w:t xml:space="preserve">(16), 97–118. </w:t>
      </w:r>
      <w:r>
        <w:fldChar w:fldCharType="begin"/>
      </w:r>
      <w:r>
        <w:instrText xml:space="preserve"> HYPERLINK "https://doi.org/10.56557/upjoz/2025/v46i165183" </w:instrText>
      </w:r>
      <w:r>
        <w:fldChar w:fldCharType="separate"/>
      </w:r>
      <w:r>
        <w:rPr>
          <w:rStyle w:val="14"/>
          <w:rFonts w:ascii="Times New Roman" w:hAnsi="Times New Roman" w:cs="Times New Roman"/>
          <w:lang w:val="en-US"/>
        </w:rPr>
        <w:t>https://doi.org/10.56557/upjoz/2025/v46i165183</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55A958C5">
      <w:pPr>
        <w:ind w:left="142"/>
        <w:jc w:val="both"/>
        <w:rPr>
          <w:rFonts w:ascii="Times New Roman" w:hAnsi="Times New Roman" w:cs="Times New Roman"/>
          <w:lang w:val="en-US"/>
        </w:rPr>
      </w:pPr>
      <w:r>
        <w:rPr>
          <w:rFonts w:ascii="Times New Roman" w:hAnsi="Times New Roman" w:cs="Times New Roman"/>
        </w:rPr>
        <w:t xml:space="preserve">Pandey, V. (2024). Study of fish diversity in Kelo River, Raigarh (C.G.), India. </w:t>
      </w:r>
      <w:r>
        <w:rPr>
          <w:rFonts w:ascii="Times New Roman" w:hAnsi="Times New Roman" w:cs="Times New Roman"/>
          <w:i/>
          <w:iCs/>
        </w:rPr>
        <w:t>Journal of Emerging Technologies and Innovative Research (JETIR), 11</w:t>
      </w:r>
      <w:r>
        <w:rPr>
          <w:rFonts w:ascii="Times New Roman" w:hAnsi="Times New Roman" w:cs="Times New Roman"/>
        </w:rPr>
        <w:t>(3).</w:t>
      </w:r>
      <w:r>
        <w:rPr>
          <w:rFonts w:ascii="Times New Roman" w:hAnsi="Times New Roman" w:cs="Times New Roman"/>
          <w:lang w:val="en-US"/>
        </w:rPr>
        <w:t xml:space="preserve"> </w:t>
      </w:r>
      <w:r>
        <w:fldChar w:fldCharType="begin"/>
      </w:r>
      <w:r>
        <w:instrText xml:space="preserve"> HYPERLINK "https://www.jetir.org/papers/JETIR2403528.pdf" </w:instrText>
      </w:r>
      <w:r>
        <w:fldChar w:fldCharType="separate"/>
      </w:r>
      <w:r>
        <w:rPr>
          <w:rStyle w:val="14"/>
          <w:rFonts w:ascii="Times New Roman" w:hAnsi="Times New Roman" w:cs="Times New Roman"/>
          <w:lang w:val="en-US"/>
        </w:rPr>
        <w:t>https://www.jetir.org/papers/JETIR2403528.pdf</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5CBF5E99">
      <w:pPr>
        <w:ind w:left="142"/>
        <w:jc w:val="both"/>
        <w:rPr>
          <w:rFonts w:ascii="Times New Roman" w:hAnsi="Times New Roman" w:cs="Times New Roman"/>
          <w:lang w:val="en-US"/>
        </w:rPr>
      </w:pPr>
      <w:r>
        <w:rPr>
          <w:rFonts w:ascii="Times New Roman" w:hAnsi="Times New Roman" w:cs="Times New Roman"/>
        </w:rPr>
        <w:t xml:space="preserve">Pandey, V., &amp; Tamboli, R. K. (2020). Pre and post monsoon piscine diversity in Kelo River, Raigarh, (C.G.), India. </w:t>
      </w:r>
      <w:r>
        <w:rPr>
          <w:rFonts w:ascii="Times New Roman" w:hAnsi="Times New Roman" w:cs="Times New Roman"/>
          <w:i/>
          <w:iCs/>
        </w:rPr>
        <w:t>International Journal of Advance Research, Ideas and Innovations in Technology, 6</w:t>
      </w:r>
      <w:r>
        <w:rPr>
          <w:rFonts w:ascii="Times New Roman" w:hAnsi="Times New Roman" w:cs="Times New Roman"/>
        </w:rPr>
        <w:t xml:space="preserve">(6), 294-297. </w:t>
      </w:r>
      <w:r>
        <w:fldChar w:fldCharType="begin"/>
      </w:r>
      <w:r>
        <w:instrText xml:space="preserve"> HYPERLINK "https://www.ijariit.com/manuscripts/v6i6/V6I6-1278.pdf" </w:instrText>
      </w:r>
      <w:r>
        <w:fldChar w:fldCharType="separate"/>
      </w:r>
      <w:r>
        <w:rPr>
          <w:rStyle w:val="14"/>
          <w:rFonts w:ascii="Times New Roman" w:hAnsi="Times New Roman" w:cs="Times New Roman"/>
          <w:lang w:val="en-US"/>
        </w:rPr>
        <w:t>https://www.ijariit.com/manuscripts/v6i6/V6I6-1278.pdf</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349CF60A">
      <w:pPr>
        <w:tabs>
          <w:tab w:val="left" w:pos="720"/>
        </w:tabs>
        <w:spacing w:before="120" w:after="240"/>
        <w:ind w:left="142"/>
        <w:jc w:val="both"/>
        <w:rPr>
          <w:rFonts w:ascii="Times New Roman" w:hAnsi="Times New Roman" w:cs="Times New Roman"/>
          <w:lang w:val="en-US"/>
        </w:rPr>
      </w:pPr>
      <w:r>
        <w:rPr>
          <w:rFonts w:ascii="Times New Roman" w:hAnsi="Times New Roman" w:cs="Times New Roman"/>
        </w:rPr>
        <w:t xml:space="preserve">Paramanandham, J. P., Krishnappa, K., Kabilan, K., &amp; Sathishkumar, S. (2021). Diversity and abundance of butterfly (Lepidoptera) fauna in Kalaimahal College Campus, Sembanarkoil, Tranqubar Taluk, Tamil Nadu. </w:t>
      </w:r>
      <w:r>
        <w:rPr>
          <w:rFonts w:ascii="Times New Roman" w:hAnsi="Times New Roman" w:cs="Times New Roman"/>
          <w:i/>
          <w:iCs/>
        </w:rPr>
        <w:t>International Letters of Natural Sciences, 81</w:t>
      </w:r>
      <w:r>
        <w:rPr>
          <w:rFonts w:ascii="Times New Roman" w:hAnsi="Times New Roman" w:cs="Times New Roman"/>
        </w:rPr>
        <w:t xml:space="preserve">, 1–11. </w:t>
      </w:r>
      <w:r>
        <w:fldChar w:fldCharType="begin"/>
      </w:r>
      <w:r>
        <w:instrText xml:space="preserve"> HYPERLINK "https://www.academicoa.com/ILNS.81.1.pdf" </w:instrText>
      </w:r>
      <w:r>
        <w:fldChar w:fldCharType="separate"/>
      </w:r>
      <w:r>
        <w:rPr>
          <w:rStyle w:val="14"/>
          <w:rFonts w:ascii="Times New Roman" w:hAnsi="Times New Roman" w:cs="Times New Roman"/>
          <w:lang w:val="en-US"/>
        </w:rPr>
        <w:t>https://www.academicoa.com/ILNS.81.1.pdf</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0497AB0A">
      <w:pPr>
        <w:spacing w:before="120" w:after="240"/>
        <w:ind w:left="142"/>
        <w:jc w:val="both"/>
        <w:rPr>
          <w:rFonts w:ascii="Times New Roman" w:hAnsi="Times New Roman" w:cs="Times New Roman"/>
          <w:lang w:val="en-US"/>
        </w:rPr>
      </w:pPr>
      <w:r>
        <w:rPr>
          <w:rFonts w:ascii="Times New Roman" w:hAnsi="Times New Roman" w:cs="Times New Roman"/>
          <w:lang w:val="en-US"/>
        </w:rPr>
        <w:t>Patel, S., &amp; Mashi, S. (2025). Conservation challenges and opportunities for butterfly habitats in Madhya Pradesh’s Sone Basin. </w:t>
      </w:r>
      <w:r>
        <w:rPr>
          <w:rFonts w:ascii="Times New Roman" w:hAnsi="Times New Roman" w:cs="Times New Roman"/>
          <w:i/>
          <w:iCs/>
          <w:lang w:val="en-US"/>
        </w:rPr>
        <w:t>Journal of Advances and Scholarly Researches in Allied Education</w:t>
      </w:r>
      <w:r>
        <w:rPr>
          <w:rFonts w:ascii="Times New Roman" w:hAnsi="Times New Roman" w:cs="Times New Roman"/>
          <w:lang w:val="en-US"/>
        </w:rPr>
        <w:t>, </w:t>
      </w:r>
      <w:r>
        <w:rPr>
          <w:rFonts w:ascii="Times New Roman" w:hAnsi="Times New Roman" w:cs="Times New Roman"/>
          <w:i/>
          <w:iCs/>
          <w:lang w:val="en-US"/>
        </w:rPr>
        <w:t>22</w:t>
      </w:r>
      <w:r>
        <w:rPr>
          <w:rFonts w:ascii="Times New Roman" w:hAnsi="Times New Roman" w:cs="Times New Roman"/>
          <w:lang w:val="en-US"/>
        </w:rPr>
        <w:t xml:space="preserve">(01), 289–301. </w:t>
      </w:r>
      <w:r>
        <w:fldChar w:fldCharType="begin"/>
      </w:r>
      <w:r>
        <w:instrText xml:space="preserve"> HYPERLINK "https://doi.org/10.29070/qt1nnc91" </w:instrText>
      </w:r>
      <w:r>
        <w:fldChar w:fldCharType="separate"/>
      </w:r>
      <w:r>
        <w:rPr>
          <w:rStyle w:val="14"/>
          <w:rFonts w:ascii="Times New Roman" w:hAnsi="Times New Roman" w:cs="Times New Roman"/>
          <w:lang w:val="en-US"/>
        </w:rPr>
        <w:t>https://doi.org/10.29070/qt1nnc91</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49894419">
      <w:pPr>
        <w:spacing w:before="120" w:after="240"/>
        <w:ind w:left="142"/>
        <w:jc w:val="both"/>
        <w:rPr>
          <w:rFonts w:ascii="Times New Roman" w:hAnsi="Times New Roman" w:cs="Times New Roman"/>
          <w:lang w:val="en-US"/>
        </w:rPr>
      </w:pPr>
      <w:r>
        <w:rPr>
          <w:rFonts w:ascii="Times New Roman" w:hAnsi="Times New Roman" w:cs="Times New Roman"/>
          <w:lang w:val="en-US"/>
        </w:rPr>
        <w:t>Pfenning-Butterworth, A., Buckley, L. B., Drake, J. M., Farner, J. E., Farrell, M. J., Gehman, A.-L. M., Mordecai, E. A., Stephens, P. R., Gittleman, J. L., &amp; Davies, T. J. (2024). Interconnecting global threats: climate change, biodiversity loss, and infectious diseases. </w:t>
      </w:r>
      <w:r>
        <w:rPr>
          <w:rFonts w:ascii="Times New Roman" w:hAnsi="Times New Roman" w:cs="Times New Roman"/>
          <w:i/>
          <w:iCs/>
          <w:lang w:val="en-US"/>
        </w:rPr>
        <w:t>The Lancet. Planetary Health</w:t>
      </w:r>
      <w:r>
        <w:rPr>
          <w:rFonts w:ascii="Times New Roman" w:hAnsi="Times New Roman" w:cs="Times New Roman"/>
          <w:lang w:val="en-US"/>
        </w:rPr>
        <w:t>, </w:t>
      </w:r>
      <w:r>
        <w:rPr>
          <w:rFonts w:ascii="Times New Roman" w:hAnsi="Times New Roman" w:cs="Times New Roman"/>
          <w:i/>
          <w:iCs/>
          <w:lang w:val="en-US"/>
        </w:rPr>
        <w:t>8</w:t>
      </w:r>
      <w:r>
        <w:rPr>
          <w:rFonts w:ascii="Times New Roman" w:hAnsi="Times New Roman" w:cs="Times New Roman"/>
          <w:lang w:val="en-US"/>
        </w:rPr>
        <w:t xml:space="preserve">(4), e270–e283. </w:t>
      </w:r>
      <w:r>
        <w:fldChar w:fldCharType="begin"/>
      </w:r>
      <w:r>
        <w:instrText xml:space="preserve"> HYPERLINK "https://doi.org/10.1016/S2542-5196(24)00021-4" </w:instrText>
      </w:r>
      <w:r>
        <w:fldChar w:fldCharType="separate"/>
      </w:r>
      <w:r>
        <w:rPr>
          <w:rStyle w:val="14"/>
          <w:rFonts w:ascii="Times New Roman" w:hAnsi="Times New Roman" w:cs="Times New Roman"/>
          <w:lang w:val="en-US"/>
        </w:rPr>
        <w:t>https://doi.org/10.1016/S2542-5196(24)00021-4</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32064607">
      <w:pPr>
        <w:spacing w:before="120" w:after="240"/>
        <w:ind w:left="142"/>
        <w:jc w:val="both"/>
        <w:rPr>
          <w:rFonts w:ascii="Times New Roman" w:hAnsi="Times New Roman" w:cs="Times New Roman"/>
        </w:rPr>
      </w:pPr>
      <w:r>
        <w:rPr>
          <w:rFonts w:ascii="Times New Roman" w:hAnsi="Times New Roman" w:cs="Times New Roman"/>
          <w:lang w:val="it-IT"/>
        </w:rPr>
        <w:t xml:space="preserve">Sarwa, K. K., &amp; Vishwakarma, P. (2019). </w:t>
      </w:r>
      <w:r>
        <w:rPr>
          <w:rFonts w:ascii="Times New Roman" w:hAnsi="Times New Roman" w:cs="Times New Roman"/>
          <w:i/>
          <w:iCs/>
        </w:rPr>
        <w:t>Chhattisgarh: A natural diversified state of India</w:t>
      </w:r>
      <w:r>
        <w:rPr>
          <w:rFonts w:ascii="Times New Roman" w:hAnsi="Times New Roman" w:cs="Times New Roman"/>
        </w:rPr>
        <w:t>. LAP LAMBERT Academic Publishing.</w:t>
      </w:r>
    </w:p>
    <w:p w14:paraId="35B9574E">
      <w:pPr>
        <w:spacing w:before="120" w:after="240"/>
        <w:ind w:left="142"/>
        <w:jc w:val="both"/>
        <w:rPr>
          <w:rFonts w:ascii="Times New Roman" w:hAnsi="Times New Roman" w:cs="Times New Roman"/>
        </w:rPr>
      </w:pPr>
      <w:r>
        <w:rPr>
          <w:rFonts w:ascii="Times New Roman" w:hAnsi="Times New Roman" w:cs="Times New Roman"/>
        </w:rPr>
        <w:t xml:space="preserve">Sharma, R. P. (2019). Biodiversity in Chhattisgarh forest region CG. </w:t>
      </w:r>
      <w:r>
        <w:rPr>
          <w:rFonts w:ascii="Times New Roman" w:hAnsi="Times New Roman" w:cs="Times New Roman"/>
          <w:i/>
          <w:iCs/>
        </w:rPr>
        <w:t>International Journal of Education and Science Research Review</w:t>
      </w:r>
      <w:r>
        <w:rPr>
          <w:rFonts w:ascii="Times New Roman" w:hAnsi="Times New Roman" w:cs="Times New Roman"/>
        </w:rPr>
        <w:t xml:space="preserve">, </w:t>
      </w:r>
      <w:r>
        <w:rPr>
          <w:rFonts w:ascii="Times New Roman" w:hAnsi="Times New Roman" w:cs="Times New Roman"/>
          <w:i/>
          <w:iCs/>
        </w:rPr>
        <w:t>6</w:t>
      </w:r>
      <w:r>
        <w:rPr>
          <w:rFonts w:ascii="Times New Roman" w:hAnsi="Times New Roman" w:cs="Times New Roman"/>
        </w:rPr>
        <w:t xml:space="preserve">(3). </w:t>
      </w:r>
      <w:r>
        <w:fldChar w:fldCharType="begin"/>
      </w:r>
      <w:r>
        <w:instrText xml:space="preserve"> HYPERLINK "https://ijesrr.org/publication/61/299.%20may%202019%20ijesrr.pdf" </w:instrText>
      </w:r>
      <w:r>
        <w:fldChar w:fldCharType="separate"/>
      </w:r>
      <w:r>
        <w:rPr>
          <w:rStyle w:val="14"/>
          <w:rFonts w:ascii="Times New Roman" w:hAnsi="Times New Roman" w:cs="Times New Roman"/>
        </w:rPr>
        <w:t>https://ijesrr.org/publication/61/299.%20may%202019%20ijesrr.pdf</w:t>
      </w:r>
      <w:r>
        <w:rPr>
          <w:rStyle w:val="14"/>
          <w:rFonts w:ascii="Times New Roman" w:hAnsi="Times New Roman" w:cs="Times New Roman"/>
        </w:rPr>
        <w:fldChar w:fldCharType="end"/>
      </w:r>
      <w:r>
        <w:rPr>
          <w:rFonts w:ascii="Times New Roman" w:hAnsi="Times New Roman" w:cs="Times New Roman"/>
        </w:rPr>
        <w:t xml:space="preserve"> </w:t>
      </w:r>
    </w:p>
    <w:p w14:paraId="2257203B">
      <w:pPr>
        <w:ind w:left="142"/>
        <w:jc w:val="both"/>
        <w:rPr>
          <w:rFonts w:ascii="Times New Roman" w:hAnsi="Times New Roman" w:cs="Times New Roman"/>
          <w:lang w:val="en-US"/>
        </w:rPr>
      </w:pPr>
      <w:r>
        <w:rPr>
          <w:rFonts w:ascii="Times New Roman" w:hAnsi="Times New Roman" w:cs="Times New Roman"/>
          <w:lang w:val="it-IT"/>
        </w:rPr>
        <w:t xml:space="preserve">Sinha, S., Tandan, H. N., &amp; Patel, S. K. (2025). </w:t>
      </w:r>
      <w:r>
        <w:rPr>
          <w:rFonts w:ascii="Times New Roman" w:hAnsi="Times New Roman" w:cs="Times New Roman"/>
        </w:rPr>
        <w:t xml:space="preserve">Assessment of butterflies species diversity in Rabo dam with first checklist for Raigarh district, Chhattisgarh, India. </w:t>
      </w:r>
      <w:r>
        <w:rPr>
          <w:rFonts w:ascii="Times New Roman" w:hAnsi="Times New Roman" w:cs="Times New Roman"/>
          <w:i/>
          <w:iCs/>
        </w:rPr>
        <w:t>Uttar Pradesh Journal of Zoology, 46</w:t>
      </w:r>
      <w:r>
        <w:rPr>
          <w:rFonts w:ascii="Times New Roman" w:hAnsi="Times New Roman" w:cs="Times New Roman"/>
        </w:rPr>
        <w:t xml:space="preserve">(17), 118–128. </w:t>
      </w:r>
      <w:r>
        <w:fldChar w:fldCharType="begin"/>
      </w:r>
      <w:r>
        <w:instrText xml:space="preserve"> HYPERLINK "https://www.google.com/search?q=https://doi.org/10.56557/upjoz/2025/v46i175215" \t "_blank" </w:instrText>
      </w:r>
      <w:r>
        <w:fldChar w:fldCharType="separate"/>
      </w:r>
      <w:r>
        <w:rPr>
          <w:rStyle w:val="14"/>
          <w:rFonts w:ascii="Times New Roman" w:hAnsi="Times New Roman" w:cs="Times New Roman"/>
        </w:rPr>
        <w:t>https://doi.org/10.56557/upjoz/2025/v46i175215</w:t>
      </w:r>
      <w:r>
        <w:rPr>
          <w:rStyle w:val="14"/>
          <w:rFonts w:ascii="Times New Roman" w:hAnsi="Times New Roman" w:cs="Times New Roman"/>
        </w:rPr>
        <w:fldChar w:fldCharType="end"/>
      </w:r>
    </w:p>
    <w:p w14:paraId="037C498F">
      <w:pPr>
        <w:ind w:left="142"/>
        <w:jc w:val="both"/>
        <w:rPr>
          <w:rFonts w:ascii="Times New Roman" w:hAnsi="Times New Roman" w:cs="Times New Roman"/>
          <w:lang w:val="en-US"/>
        </w:rPr>
      </w:pPr>
      <w:r>
        <w:rPr>
          <w:rFonts w:ascii="Times New Roman" w:hAnsi="Times New Roman" w:cs="Times New Roman"/>
        </w:rPr>
        <w:t xml:space="preserve">Sisodia, A. (2019). Butterflies (Lepidoptera: Papilionoidea) of Chhattisgarh, India. </w:t>
      </w:r>
      <w:r>
        <w:rPr>
          <w:rFonts w:ascii="Times New Roman" w:hAnsi="Times New Roman" w:cs="Times New Roman"/>
          <w:i/>
          <w:iCs/>
        </w:rPr>
        <w:t>Bionotes</w:t>
      </w:r>
      <w:r>
        <w:rPr>
          <w:rFonts w:ascii="Times New Roman" w:hAnsi="Times New Roman" w:cs="Times New Roman"/>
        </w:rPr>
        <w:t xml:space="preserve">, </w:t>
      </w:r>
      <w:r>
        <w:rPr>
          <w:rFonts w:ascii="Times New Roman" w:hAnsi="Times New Roman" w:cs="Times New Roman"/>
          <w:i/>
          <w:iCs/>
        </w:rPr>
        <w:t>21</w:t>
      </w:r>
      <w:r>
        <w:rPr>
          <w:rFonts w:ascii="Times New Roman" w:hAnsi="Times New Roman" w:cs="Times New Roman"/>
        </w:rPr>
        <w:t>(4).</w:t>
      </w:r>
      <w:r>
        <w:rPr>
          <w:rFonts w:ascii="Times New Roman" w:hAnsi="Times New Roman" w:cs="Times New Roman"/>
          <w:lang w:val="en-US"/>
        </w:rPr>
        <w:t xml:space="preserve"> </w:t>
      </w:r>
      <w:r>
        <w:fldChar w:fldCharType="begin"/>
      </w:r>
      <w:r>
        <w:instrText xml:space="preserve"> HYPERLINK "https://figshare.com/ndownloader/files/20554809" </w:instrText>
      </w:r>
      <w:r>
        <w:fldChar w:fldCharType="separate"/>
      </w:r>
      <w:r>
        <w:rPr>
          <w:rStyle w:val="14"/>
          <w:rFonts w:ascii="Times New Roman" w:hAnsi="Times New Roman" w:cs="Times New Roman"/>
          <w:lang w:val="en-US"/>
        </w:rPr>
        <w:t>https://figshare.com/ndownloader/files/20554809</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521EA96C">
      <w:pPr>
        <w:spacing w:before="120" w:after="240"/>
        <w:ind w:left="142"/>
        <w:jc w:val="both"/>
        <w:rPr>
          <w:rFonts w:ascii="Times New Roman" w:hAnsi="Times New Roman" w:cs="Times New Roman"/>
        </w:rPr>
      </w:pPr>
      <w:r>
        <w:rPr>
          <w:rFonts w:ascii="Times New Roman" w:hAnsi="Times New Roman" w:cs="Times New Roman"/>
        </w:rPr>
        <w:t xml:space="preserve">Smetacek, P. (2025). </w:t>
      </w:r>
      <w:r>
        <w:rPr>
          <w:rFonts w:ascii="Times New Roman" w:hAnsi="Times New Roman" w:cs="Times New Roman"/>
          <w:i/>
          <w:iCs/>
        </w:rPr>
        <w:t>Synoptic catalogue of the butterflies of India</w:t>
      </w:r>
      <w:r>
        <w:rPr>
          <w:rFonts w:ascii="Times New Roman" w:hAnsi="Times New Roman" w:cs="Times New Roman"/>
        </w:rPr>
        <w:t xml:space="preserve"> (2nd ed.). Butterfly Research Trust. </w:t>
      </w:r>
    </w:p>
    <w:p w14:paraId="7D567018">
      <w:pPr>
        <w:spacing w:before="120" w:after="240"/>
        <w:ind w:left="142"/>
        <w:jc w:val="both"/>
        <w:rPr>
          <w:rFonts w:ascii="Times New Roman" w:hAnsi="Times New Roman" w:cs="Times New Roman"/>
        </w:rPr>
      </w:pPr>
      <w:r>
        <w:rPr>
          <w:rFonts w:ascii="Times New Roman" w:hAnsi="Times New Roman" w:cs="Times New Roman"/>
        </w:rPr>
        <w:t xml:space="preserve">Vairagade, S. P. (2024). Butterfly diversity in different forest area of India: Review. </w:t>
      </w:r>
      <w:r>
        <w:rPr>
          <w:rFonts w:ascii="Times New Roman" w:hAnsi="Times New Roman" w:cs="Times New Roman"/>
          <w:i/>
          <w:iCs/>
        </w:rPr>
        <w:t>International Journal of Creative Research Thoughts, 12</w:t>
      </w:r>
      <w:r>
        <w:rPr>
          <w:rFonts w:ascii="Times New Roman" w:hAnsi="Times New Roman" w:cs="Times New Roman"/>
        </w:rPr>
        <w:t xml:space="preserve">(2). </w:t>
      </w:r>
      <w:r>
        <w:fldChar w:fldCharType="begin"/>
      </w:r>
      <w:r>
        <w:instrText xml:space="preserve"> HYPERLINK "https://ijcrt.org/papers/IJCRT2402094.pdf" </w:instrText>
      </w:r>
      <w:r>
        <w:fldChar w:fldCharType="separate"/>
      </w:r>
      <w:r>
        <w:rPr>
          <w:rStyle w:val="14"/>
          <w:rFonts w:ascii="Times New Roman" w:hAnsi="Times New Roman" w:cs="Times New Roman"/>
        </w:rPr>
        <w:t>https://ijcrt.org/papers/IJCRT2402094.pdf</w:t>
      </w:r>
      <w:r>
        <w:rPr>
          <w:rStyle w:val="14"/>
          <w:rFonts w:ascii="Times New Roman" w:hAnsi="Times New Roman" w:cs="Times New Roman"/>
        </w:rPr>
        <w:fldChar w:fldCharType="end"/>
      </w:r>
      <w:r>
        <w:rPr>
          <w:rFonts w:ascii="Times New Roman" w:hAnsi="Times New Roman" w:cs="Times New Roman"/>
        </w:rPr>
        <w:t xml:space="preserve"> </w:t>
      </w:r>
    </w:p>
    <w:p w14:paraId="78173D14">
      <w:pPr>
        <w:spacing w:before="120" w:after="240"/>
        <w:ind w:left="142"/>
        <w:jc w:val="both"/>
        <w:rPr>
          <w:rFonts w:ascii="Times New Roman" w:hAnsi="Times New Roman" w:cs="Times New Roman"/>
          <w:lang w:val="en-US"/>
        </w:rPr>
      </w:pPr>
      <w:r>
        <w:rPr>
          <w:rFonts w:ascii="Times New Roman" w:hAnsi="Times New Roman" w:cs="Times New Roman"/>
          <w:lang w:val="en-US"/>
        </w:rPr>
        <w:t>Weiskopf, S. R., Rubenstein, M. A., Crozier, L. G., Gaichas, S., Griffis, R., Halofsky, J. E., Hyde, K. J. W., Morelli, T. L., Morisette, J. T., Muñoz, R. C., Pershing, A. J., Peterson, D. L., Poudel, R., Staudinger, M. D., Sutton-Grier, A. E., Thompson, L., Vose, J., Weltzin, J. F., &amp; Whyte, K. P. (2020). Climate change effects on biodiversity, ecosystems, ecosystem services, and natural resource management in the United States. </w:t>
      </w:r>
      <w:r>
        <w:rPr>
          <w:rFonts w:ascii="Times New Roman" w:hAnsi="Times New Roman" w:cs="Times New Roman"/>
          <w:i/>
          <w:iCs/>
          <w:lang w:val="en-US"/>
        </w:rPr>
        <w:t>The Science of the Total Environment</w:t>
      </w:r>
      <w:r>
        <w:rPr>
          <w:rFonts w:ascii="Times New Roman" w:hAnsi="Times New Roman" w:cs="Times New Roman"/>
          <w:lang w:val="en-US"/>
        </w:rPr>
        <w:t>, </w:t>
      </w:r>
      <w:r>
        <w:rPr>
          <w:rFonts w:ascii="Times New Roman" w:hAnsi="Times New Roman" w:cs="Times New Roman"/>
          <w:i/>
          <w:iCs/>
          <w:lang w:val="en-US"/>
        </w:rPr>
        <w:t>733</w:t>
      </w:r>
      <w:r>
        <w:rPr>
          <w:rFonts w:ascii="Times New Roman" w:hAnsi="Times New Roman" w:cs="Times New Roman"/>
          <w:lang w:val="en-US"/>
        </w:rPr>
        <w:t xml:space="preserve">(137782), 137782. </w:t>
      </w:r>
      <w:r>
        <w:fldChar w:fldCharType="begin"/>
      </w:r>
      <w:r>
        <w:instrText xml:space="preserve"> HYPERLINK "https://doi.org/10.1016/j.scitotenv.2020.137782" </w:instrText>
      </w:r>
      <w:r>
        <w:fldChar w:fldCharType="separate"/>
      </w:r>
      <w:r>
        <w:rPr>
          <w:rStyle w:val="14"/>
          <w:rFonts w:ascii="Times New Roman" w:hAnsi="Times New Roman" w:cs="Times New Roman"/>
          <w:lang w:val="en-US"/>
        </w:rPr>
        <w:t>https://doi.org/10.1016/j.scitotenv.2020.137782</w:t>
      </w:r>
      <w:r>
        <w:rPr>
          <w:rStyle w:val="14"/>
          <w:rFonts w:ascii="Times New Roman" w:hAnsi="Times New Roman" w:cs="Times New Roman"/>
          <w:lang w:val="en-US"/>
        </w:rPr>
        <w:fldChar w:fldCharType="end"/>
      </w:r>
      <w:r>
        <w:rPr>
          <w:rFonts w:ascii="Times New Roman" w:hAnsi="Times New Roman" w:cs="Times New Roman"/>
          <w:lang w:val="en-US"/>
        </w:rPr>
        <w:t xml:space="preserve"> </w:t>
      </w:r>
    </w:p>
    <w:p w14:paraId="2E8F2BEB">
      <w:pPr>
        <w:spacing w:before="120" w:after="240"/>
        <w:ind w:left="142"/>
        <w:jc w:val="both"/>
        <w:rPr>
          <w:rFonts w:ascii="Times New Roman" w:hAnsi="Times New Roman" w:cs="Times New Roman"/>
          <w:lang w:val="en-US"/>
        </w:rPr>
      </w:pPr>
      <w:r>
        <w:rPr>
          <w:rFonts w:ascii="Times New Roman" w:hAnsi="Times New Roman" w:cs="Times New Roman"/>
          <w:lang w:val="en"/>
        </w:rPr>
        <w:t xml:space="preserve">Wynter-Blyth, M.A. (1957). </w:t>
      </w:r>
      <w:r>
        <w:rPr>
          <w:rFonts w:ascii="Times New Roman" w:hAnsi="Times New Roman" w:cs="Times New Roman"/>
          <w:i/>
          <w:iCs/>
          <w:lang w:val="en"/>
        </w:rPr>
        <w:t>Butterflies of the Indian Region</w:t>
      </w:r>
      <w:r>
        <w:rPr>
          <w:rFonts w:ascii="Times New Roman" w:hAnsi="Times New Roman" w:cs="Times New Roman"/>
          <w:lang w:val="en"/>
        </w:rPr>
        <w:t>. Bombay Natural History Societ</w:t>
      </w:r>
      <w:r>
        <w:rPr>
          <w:rFonts w:ascii="Times New Roman" w:hAnsi="Times New Roman" w:cs="Times New Roman"/>
          <w:i/>
          <w:iCs/>
          <w:lang w:val="en"/>
        </w:rPr>
        <w:t>y</w:t>
      </w:r>
      <w:r>
        <w:rPr>
          <w:rFonts w:ascii="Times New Roman" w:hAnsi="Times New Roman" w:cs="Times New Roman"/>
          <w:lang w:val="en"/>
        </w:rPr>
        <w:t>, Bombay, 523</w:t>
      </w:r>
    </w:p>
    <w:p w14:paraId="5EEF0166">
      <w:pPr>
        <w:spacing w:line="360" w:lineRule="auto"/>
        <w:ind w:left="142"/>
        <w:jc w:val="both"/>
        <w:rPr>
          <w:sz w:val="24"/>
          <w:szCs w:val="24"/>
          <w:lang w:val="en"/>
        </w:rPr>
      </w:pPr>
    </w:p>
    <w:sectPr>
      <w:headerReference r:id="rId9" w:type="first"/>
      <w:footerReference r:id="rId12" w:type="first"/>
      <w:headerReference r:id="rId7" w:type="default"/>
      <w:footerReference r:id="rId10" w:type="default"/>
      <w:headerReference r:id="rId8" w:type="even"/>
      <w:footerReference r:id="rId11" w:type="even"/>
      <w:pgSz w:w="11906" w:h="16838"/>
      <w:pgMar w:top="1440" w:right="1440" w:bottom="568" w:left="1440" w:header="708" w:footer="708" w:gutter="0"/>
      <w:pgNumType w:start="1"/>
      <w:cols w:space="720" w:num="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shahriza shahrudin" w:date="2026-02-27T12:03:04Z" w:initials="">
    <w:p w14:paraId="1C198A98">
      <w:pPr>
        <w:pStyle w:val="10"/>
        <w:rPr>
          <w:rFonts w:hint="default"/>
          <w:lang w:val="en-MY"/>
        </w:rPr>
      </w:pPr>
      <w:r>
        <w:rPr>
          <w:rFonts w:hint="default"/>
          <w:lang w:val="en-MY"/>
        </w:rPr>
        <w:t>1.State when the study was conducted</w:t>
      </w:r>
    </w:p>
    <w:p w14:paraId="5647DEA5">
      <w:pPr>
        <w:pStyle w:val="10"/>
        <w:rPr>
          <w:rFonts w:hint="default"/>
          <w:lang w:val="en-MY"/>
        </w:rPr>
      </w:pPr>
      <w:r>
        <w:rPr>
          <w:rFonts w:hint="default"/>
          <w:lang w:val="en-MY"/>
        </w:rPr>
        <w:t>2.Add coordinate and elevation of the study sites</w:t>
      </w:r>
    </w:p>
  </w:comment>
  <w:comment w:id="1" w:author="shahriza shahrudin" w:date="2026-02-27T12:06:21Z" w:initials="">
    <w:p w14:paraId="4EC94C5E">
      <w:pPr>
        <w:pStyle w:val="10"/>
        <w:rPr>
          <w:rFonts w:hint="default"/>
          <w:lang w:val="en-MY"/>
        </w:rPr>
      </w:pPr>
      <w:r>
        <w:rPr>
          <w:rFonts w:hint="default"/>
          <w:lang w:val="en-MY"/>
        </w:rPr>
        <w:t>State in which month and year</w:t>
      </w:r>
    </w:p>
  </w:comment>
  <w:comment w:id="2" w:author="shahriza shahrudin" w:date="2026-02-27T10:54:55Z" w:initials="">
    <w:p w14:paraId="7D5B1728">
      <w:pPr>
        <w:pStyle w:val="10"/>
        <w:rPr>
          <w:rFonts w:hint="default"/>
          <w:lang w:val="en-MY"/>
        </w:rPr>
      </w:pPr>
      <w:r>
        <w:rPr>
          <w:rFonts w:hint="default"/>
          <w:lang w:val="en-MY"/>
        </w:rPr>
        <w:t>Add information on:</w:t>
      </w:r>
    </w:p>
    <w:p w14:paraId="1AEE4E33">
      <w:pPr>
        <w:pStyle w:val="10"/>
        <w:numPr>
          <w:ilvl w:val="0"/>
          <w:numId w:val="1"/>
        </w:numPr>
        <w:rPr>
          <w:rFonts w:hint="default"/>
          <w:lang w:val="en-MY"/>
        </w:rPr>
      </w:pPr>
      <w:r>
        <w:rPr>
          <w:rFonts w:hint="default"/>
          <w:lang w:val="en-MY"/>
        </w:rPr>
        <w:t xml:space="preserve"> Previous study on butterfly diversity in India</w:t>
      </w:r>
    </w:p>
    <w:p w14:paraId="6F755842">
      <w:pPr>
        <w:pStyle w:val="10"/>
        <w:numPr>
          <w:ilvl w:val="0"/>
          <w:numId w:val="1"/>
        </w:numPr>
        <w:ind w:left="0" w:leftChars="0" w:firstLine="0" w:firstLineChars="0"/>
        <w:rPr>
          <w:rFonts w:hint="default"/>
          <w:lang w:val="en-MY"/>
        </w:rPr>
      </w:pPr>
      <w:r>
        <w:rPr>
          <w:rFonts w:hint="default"/>
          <w:lang w:val="en-MY"/>
        </w:rPr>
        <w:t>Morphology of butterfly</w:t>
      </w:r>
    </w:p>
    <w:p w14:paraId="3C822A52">
      <w:pPr>
        <w:pStyle w:val="10"/>
        <w:numPr>
          <w:ilvl w:val="0"/>
          <w:numId w:val="1"/>
        </w:numPr>
        <w:ind w:left="0" w:leftChars="0" w:firstLine="0" w:firstLineChars="0"/>
        <w:rPr>
          <w:rFonts w:hint="default"/>
          <w:lang w:val="en-MY"/>
        </w:rPr>
      </w:pPr>
      <w:r>
        <w:rPr>
          <w:rFonts w:hint="default"/>
          <w:lang w:val="en-MY"/>
        </w:rPr>
        <w:t>Life cycle of butterfly</w:t>
      </w:r>
    </w:p>
    <w:p w14:paraId="67E36E45">
      <w:pPr>
        <w:pStyle w:val="10"/>
        <w:numPr>
          <w:ilvl w:val="0"/>
          <w:numId w:val="1"/>
        </w:numPr>
        <w:ind w:left="0" w:leftChars="0" w:firstLine="0" w:firstLineChars="0"/>
        <w:rPr>
          <w:rFonts w:hint="default"/>
          <w:lang w:val="en-MY"/>
        </w:rPr>
      </w:pPr>
      <w:r>
        <w:rPr>
          <w:rFonts w:hint="default"/>
          <w:lang w:val="en-MY"/>
        </w:rPr>
        <w:t>Why this study is important?</w:t>
      </w:r>
    </w:p>
  </w:comment>
  <w:comment w:id="3" w:author="shahriza shahrudin" w:date="2026-02-27T10:53:39Z" w:initials="">
    <w:p w14:paraId="417839F6">
      <w:pPr>
        <w:pStyle w:val="10"/>
        <w:rPr>
          <w:rFonts w:hint="default"/>
          <w:lang w:val="en-MY"/>
        </w:rPr>
      </w:pPr>
      <w:r>
        <w:rPr>
          <w:rFonts w:hint="default"/>
          <w:lang w:val="en-MY"/>
        </w:rPr>
        <w:t>From which family?</w:t>
      </w:r>
    </w:p>
    <w:p w14:paraId="1213C2A4">
      <w:pPr>
        <w:pStyle w:val="10"/>
        <w:rPr>
          <w:rFonts w:hint="default"/>
          <w:lang w:val="en-MY"/>
        </w:rPr>
      </w:pPr>
      <w:r>
        <w:rPr>
          <w:rFonts w:hint="default"/>
          <w:lang w:val="en-MY"/>
        </w:rPr>
        <w:t>Number of butterfly family in India = ?</w:t>
      </w:r>
    </w:p>
    <w:p w14:paraId="00DA17E1">
      <w:pPr>
        <w:pStyle w:val="10"/>
        <w:rPr>
          <w:rFonts w:hint="default"/>
          <w:lang w:val="en-MY"/>
        </w:rPr>
      </w:pPr>
      <w:r>
        <w:rPr>
          <w:rFonts w:hint="default"/>
          <w:lang w:val="en-MY"/>
        </w:rPr>
        <w:t xml:space="preserve"> </w:t>
      </w:r>
    </w:p>
  </w:comment>
  <w:comment w:id="4" w:author="shahriza shahrudin" w:date="2026-02-27T11:00:41Z" w:initials="">
    <w:p w14:paraId="1D648E08">
      <w:pPr>
        <w:pStyle w:val="10"/>
        <w:rPr>
          <w:rFonts w:hint="default"/>
          <w:lang w:val="en-MY"/>
        </w:rPr>
      </w:pPr>
      <w:r>
        <w:rPr>
          <w:rFonts w:hint="default"/>
          <w:lang w:val="en-MY"/>
        </w:rPr>
        <w:t>1.Add map of India showing the study sites</w:t>
      </w:r>
    </w:p>
    <w:p w14:paraId="241E8AC3">
      <w:pPr>
        <w:pStyle w:val="10"/>
        <w:rPr>
          <w:rFonts w:hint="default"/>
          <w:lang w:val="en-MY"/>
        </w:rPr>
      </w:pPr>
      <w:r>
        <w:rPr>
          <w:rFonts w:hint="default"/>
          <w:lang w:val="en-MY"/>
        </w:rPr>
        <w:t>2.Add some photos of the study sites</w:t>
      </w:r>
    </w:p>
    <w:p w14:paraId="448AFCF3">
      <w:pPr>
        <w:pStyle w:val="10"/>
        <w:rPr>
          <w:rFonts w:hint="default"/>
          <w:lang w:val="en-MY"/>
        </w:rPr>
      </w:pPr>
      <w:r>
        <w:rPr>
          <w:rFonts w:hint="default"/>
          <w:lang w:val="en-MY"/>
        </w:rPr>
        <w:t>3.Describe the vegetation of the study sites</w:t>
      </w:r>
    </w:p>
  </w:comment>
  <w:comment w:id="5" w:author="shahriza shahrudin" w:date="2026-02-27T11:05:08Z" w:initials="">
    <w:p w14:paraId="0EC1486E">
      <w:pPr>
        <w:pStyle w:val="10"/>
        <w:rPr>
          <w:rFonts w:hint="default"/>
          <w:lang w:val="en-MY"/>
        </w:rPr>
      </w:pPr>
      <w:r>
        <w:rPr>
          <w:rFonts w:hint="default"/>
          <w:lang w:val="en-MY"/>
        </w:rPr>
        <w:t>State the elevation</w:t>
      </w:r>
    </w:p>
  </w:comment>
  <w:comment w:id="6" w:author="shahriza shahrudin" w:date="2026-02-27T11:06:55Z" w:initials="">
    <w:p w14:paraId="39C5EF33">
      <w:pPr>
        <w:pStyle w:val="10"/>
        <w:rPr>
          <w:rFonts w:hint="default"/>
          <w:lang w:val="en-MY"/>
        </w:rPr>
      </w:pPr>
      <w:r>
        <w:rPr>
          <w:rFonts w:hint="default"/>
          <w:lang w:val="en-MY"/>
        </w:rPr>
        <w:t>State the year (2024 or 2025)</w:t>
      </w:r>
    </w:p>
    <w:p w14:paraId="02025217">
      <w:pPr>
        <w:pStyle w:val="10"/>
        <w:rPr>
          <w:rFonts w:hint="default"/>
          <w:lang w:val="en-MY"/>
        </w:rPr>
      </w:pPr>
      <w:r>
        <w:rPr>
          <w:rFonts w:hint="default"/>
          <w:lang w:val="en-MY"/>
        </w:rPr>
        <w:t xml:space="preserve">How many observation in each month? </w:t>
      </w:r>
    </w:p>
  </w:comment>
  <w:comment w:id="7" w:author="shahriza shahrudin" w:date="2026-02-27T11:10:21Z" w:initials="">
    <w:p w14:paraId="5FCDC946">
      <w:pPr>
        <w:pStyle w:val="10"/>
        <w:rPr>
          <w:rFonts w:hint="default"/>
          <w:lang w:val="en-MY"/>
        </w:rPr>
      </w:pPr>
      <w:r>
        <w:rPr>
          <w:rFonts w:hint="default"/>
          <w:lang w:val="en-MY"/>
        </w:rPr>
        <w:t>Not specific</w:t>
      </w:r>
    </w:p>
    <w:p w14:paraId="5C373563">
      <w:pPr>
        <w:pStyle w:val="10"/>
        <w:rPr>
          <w:rFonts w:hint="default"/>
          <w:lang w:val="en-MY"/>
        </w:rPr>
      </w:pPr>
      <w:r>
        <w:rPr>
          <w:rFonts w:hint="default"/>
          <w:lang w:val="en-MY"/>
        </w:rPr>
        <w:t>Explain how you collect the specimens</w:t>
      </w:r>
    </w:p>
  </w:comment>
  <w:comment w:id="8" w:author="shahriza shahrudin" w:date="2026-02-27T11:11:28Z" w:initials="">
    <w:p w14:paraId="6F3BDBAD">
      <w:pPr>
        <w:pStyle w:val="10"/>
        <w:rPr>
          <w:rFonts w:hint="default"/>
          <w:lang w:val="en-MY"/>
        </w:rPr>
      </w:pPr>
      <w:r>
        <w:rPr>
          <w:rFonts w:hint="default"/>
          <w:lang w:val="en-MY"/>
        </w:rPr>
        <w:t>Are you observed until 9 pm</w:t>
      </w:r>
    </w:p>
    <w:p w14:paraId="2A793D28">
      <w:pPr>
        <w:pStyle w:val="10"/>
        <w:rPr>
          <w:rFonts w:hint="default"/>
          <w:lang w:val="en-MY"/>
        </w:rPr>
      </w:pPr>
      <w:r>
        <w:rPr>
          <w:rFonts w:hint="default"/>
          <w:lang w:val="en-MY"/>
        </w:rPr>
        <w:t>There are no butterfly at night</w:t>
      </w:r>
    </w:p>
  </w:comment>
  <w:comment w:id="9" w:author="shahriza shahrudin" w:date="2026-02-27T11:14:28Z" w:initials="">
    <w:p w14:paraId="0B72299B">
      <w:pPr>
        <w:pStyle w:val="10"/>
        <w:rPr>
          <w:rFonts w:hint="default"/>
          <w:lang w:val="en-MY"/>
        </w:rPr>
      </w:pPr>
      <w:r>
        <w:rPr>
          <w:rFonts w:hint="default"/>
          <w:lang w:val="en-MY"/>
        </w:rPr>
        <w:t xml:space="preserve">1.How you kept the specimens prior to identification? </w:t>
      </w:r>
    </w:p>
    <w:p w14:paraId="30BB9083">
      <w:pPr>
        <w:pStyle w:val="10"/>
        <w:rPr>
          <w:rFonts w:hint="default"/>
          <w:lang w:val="en-MY"/>
        </w:rPr>
      </w:pPr>
      <w:r>
        <w:rPr>
          <w:rFonts w:hint="default"/>
          <w:lang w:val="en-MY"/>
        </w:rPr>
        <w:t>2.Do you have some voucher specimens and tagging numbers of the butterfly?</w:t>
      </w:r>
    </w:p>
    <w:p w14:paraId="14E079B4">
      <w:pPr>
        <w:pStyle w:val="10"/>
        <w:rPr>
          <w:rFonts w:hint="default"/>
          <w:lang w:val="en-MY"/>
        </w:rPr>
      </w:pPr>
      <w:r>
        <w:rPr>
          <w:rFonts w:hint="default"/>
          <w:lang w:val="en-MY"/>
        </w:rPr>
        <w:t xml:space="preserve">  </w:t>
      </w:r>
    </w:p>
  </w:comment>
  <w:comment w:id="10" w:author="shahriza shahrudin" w:date="2026-02-27T11:18:56Z" w:initials="">
    <w:p w14:paraId="3E97B2E8">
      <w:pPr>
        <w:pStyle w:val="10"/>
        <w:rPr>
          <w:rFonts w:hint="default"/>
          <w:lang w:val="en-MY"/>
        </w:rPr>
      </w:pPr>
      <w:r>
        <w:rPr>
          <w:rFonts w:hint="default"/>
          <w:lang w:val="en-MY"/>
        </w:rPr>
        <w:t xml:space="preserve">Results and discussion must be separated </w:t>
      </w:r>
    </w:p>
    <w:p w14:paraId="203E6776">
      <w:pPr>
        <w:pStyle w:val="10"/>
        <w:rPr>
          <w:rFonts w:hint="default"/>
          <w:lang w:val="en-MY"/>
        </w:rPr>
      </w:pPr>
      <w:r>
        <w:rPr>
          <w:rFonts w:hint="default"/>
          <w:lang w:val="en-MY"/>
        </w:rPr>
        <w:t>Add some photos of the butterfly species, at least 10 photos.</w:t>
      </w:r>
    </w:p>
    <w:p w14:paraId="22944166">
      <w:pPr>
        <w:pStyle w:val="10"/>
        <w:rPr>
          <w:rFonts w:hint="default"/>
          <w:lang w:val="en-MY"/>
        </w:rPr>
      </w:pPr>
      <w:r>
        <w:rPr>
          <w:rFonts w:hint="default"/>
          <w:lang w:val="en-MY"/>
        </w:rPr>
        <w:t>Add pie chart to present your results</w:t>
      </w:r>
    </w:p>
  </w:comment>
  <w:comment w:id="11" w:author="shahriza shahrudin" w:date="2026-02-27T11:33:12Z" w:initials="">
    <w:p w14:paraId="396C059E">
      <w:pPr>
        <w:pStyle w:val="10"/>
        <w:rPr>
          <w:rFonts w:hint="default"/>
          <w:lang w:val="en-MY"/>
        </w:rPr>
      </w:pPr>
      <w:r>
        <w:rPr>
          <w:rFonts w:hint="default"/>
          <w:lang w:val="en-MY"/>
        </w:rPr>
        <w:t>Use scientific name, put the common name in the bracket.</w:t>
      </w:r>
    </w:p>
  </w:comment>
  <w:comment w:id="12" w:author="shahriza shahrudin" w:date="2026-02-27T11:34:07Z" w:initials="">
    <w:p w14:paraId="73EC3150">
      <w:pPr>
        <w:pStyle w:val="10"/>
      </w:pPr>
      <w:r>
        <w:rPr>
          <w:rFonts w:hint="default"/>
          <w:lang w:val="en-MY"/>
        </w:rPr>
        <w:t xml:space="preserve">Use scientific name, put the common name in the </w:t>
      </w:r>
      <w:bookmarkStart w:id="1" w:name="_GoBack"/>
      <w:bookmarkEnd w:id="1"/>
      <w:r>
        <w:rPr>
          <w:rFonts w:hint="default"/>
          <w:lang w:val="en-MY"/>
        </w:rPr>
        <w:t>bracket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5647DEA5" w15:done="0"/>
  <w15:commentEx w15:paraId="4EC94C5E" w15:done="0"/>
  <w15:commentEx w15:paraId="67E36E45" w15:done="0"/>
  <w15:commentEx w15:paraId="00DA17E1" w15:done="0"/>
  <w15:commentEx w15:paraId="448AFCF3" w15:done="0"/>
  <w15:commentEx w15:paraId="0EC1486E" w15:done="0"/>
  <w15:commentEx w15:paraId="02025217" w15:done="0"/>
  <w15:commentEx w15:paraId="5C373563" w15:done="0"/>
  <w15:commentEx w15:paraId="2A793D28" w15:done="0"/>
  <w15:commentEx w15:paraId="14E079B4" w15:done="0"/>
  <w15:commentEx w15:paraId="22944166" w15:done="0"/>
  <w15:commentEx w15:paraId="396C059E" w15:done="0"/>
  <w15:commentEx w15:paraId="73EC315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51BE092D-53AE-4A24-ABA6-079763837ACB}"/>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1ADA3E81-1B05-4C42-83AB-759C17D576F3}"/>
  </w:font>
  <w:font w:name="Wingdings">
    <w:panose1 w:val="05000000000000000000"/>
    <w:charset w:val="02"/>
    <w:family w:val="auto"/>
    <w:pitch w:val="default"/>
    <w:sig w:usb0="00000000" w:usb1="00000000" w:usb2="00000000" w:usb3="00000000" w:csb0="80000000" w:csb1="00000000"/>
    <w:embedRegular r:id="rId3" w:fontKey="{2BE854C1-A87E-4693-9C0B-609E9DFD66C3}"/>
  </w:font>
  <w:font w:name="Calibri">
    <w:panose1 w:val="020F0502020204030204"/>
    <w:charset w:val="86"/>
    <w:family w:val="swiss"/>
    <w:pitch w:val="default"/>
    <w:sig w:usb0="E4002EFF" w:usb1="C000247B" w:usb2="00000009" w:usb3="00000000" w:csb0="200001FF" w:csb1="00000000"/>
    <w:embedRegular r:id="rId4" w:fontKey="{E351BAE5-9DD6-4201-92E8-C9423080D6B5}"/>
  </w:font>
  <w:font w:name="等线">
    <w:altName w:val="Microsoft YaHei"/>
    <w:panose1 w:val="00000000000000000000"/>
    <w:charset w:val="86"/>
    <w:family w:val="auto"/>
    <w:pitch w:val="default"/>
    <w:sig w:usb0="00000000" w:usb1="00000000" w:usb2="00000000" w:usb3="00000000" w:csb0="00000000" w:csb1="00000000"/>
  </w:font>
  <w:font w:name="Mangal">
    <w:altName w:val="Segoe Print"/>
    <w:panose1 w:val="00000400000000000000"/>
    <w:charset w:val="00"/>
    <w:family w:val="roman"/>
    <w:pitch w:val="default"/>
    <w:sig w:usb0="00000000" w:usb1="00000000" w:usb2="00000000" w:usb3="00000000" w:csb0="00000001" w:csb1="00000000"/>
  </w:font>
  <w:font w:name="Georgia">
    <w:panose1 w:val="02040502050405020303"/>
    <w:charset w:val="00"/>
    <w:family w:val="roman"/>
    <w:pitch w:val="default"/>
    <w:sig w:usb0="00000287" w:usb1="00000000" w:usb2="00000000" w:usb3="00000000" w:csb0="2000009F" w:csb1="00000000"/>
    <w:embedRegular r:id="rId5" w:fontKey="{5EE50587-FC7A-4597-92CB-02D13B65AA6D}"/>
  </w:font>
  <w:font w:name="Arimo">
    <w:altName w:val="Calibr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Calibri">
    <w:panose1 w:val="020F0502020204030204"/>
    <w:charset w:val="00"/>
    <w:family w:val="auto"/>
    <w:pitch w:val="default"/>
    <w:sig w:usb0="E4002EFF" w:usb1="C000247B" w:usb2="00000009" w:usb3="00000000" w:csb0="200001FF" w:csb1="00000000"/>
    <w:embedRegular r:id="rId6" w:fontKey="{54DEBA35-B193-4BDE-8D1A-234606EDF08C}"/>
  </w:font>
  <w:font w:name="Segoe Print">
    <w:panose1 w:val="02000600000000000000"/>
    <w:charset w:val="00"/>
    <w:family w:val="auto"/>
    <w:pitch w:val="default"/>
    <w:sig w:usb0="0000028F" w:usb1="00000000" w:usb2="00000000" w:usb3="00000000" w:csb0="2000009F" w:csb1="47010000"/>
    <w:embedRegular r:id="rId7" w:fontKey="{531E96B0-CD1E-48C0-9252-98317334373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137A0">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6223F">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F091CC">
    <w:pPr>
      <w:pStyle w:val="1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38D549">
    <w:pPr>
      <w:pStyle w:val="13"/>
    </w:pPr>
    <w:r>
      <w:pict>
        <v:shape id="PowerPlusWaterMarkObject43444440" o:spid="_x0000_s4098" o:spt="136" type="#_x0000_t136" style="position:absolute;left:0pt;height:100.95pt;width:535.3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53755">
    <w:pPr>
      <w:pStyle w:val="13"/>
    </w:pPr>
    <w:r>
      <w:pict>
        <v:shape id="PowerPlusWaterMarkObject43444439" o:spid="_x0000_s4099" o:spt="136" type="#_x0000_t136" style="position:absolute;left:0pt;height:100.95pt;width:535.3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F83212">
    <w:pPr>
      <w:pStyle w:val="13"/>
    </w:pPr>
    <w:r>
      <w:pict>
        <v:shape id="PowerPlusWaterMarkObject43444438" o:spid="_x0000_s4097" o:spt="136" type="#_x0000_t136" style="position:absolute;left:0pt;height:100.95pt;width:535.3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shape="t" fitpath="t" trim="f" xscale="f" string="UNDER PEER REVIEW" style="font-family:Calibri;font-size:1pt;v-text-align:center;"/>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CA477E0"/>
    <w:multiLevelType w:val="singleLevel"/>
    <w:tmpl w:val="8CA477E0"/>
    <w:lvl w:ilvl="0" w:tentative="0">
      <w:start w:val="1"/>
      <w:numFmt w:val="decimal"/>
      <w:suff w:val="space"/>
      <w:lvlText w:val="%1."/>
      <w:lvlJc w:val="left"/>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shahriza shahrudin">
    <w15:presenceInfo w15:providerId="WPS Office" w15:userId="8131466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characterSpacingControl w:val="doNotCompress"/>
  <w:hdrShapeDefaults>
    <o:shapelayout v:ext="edit">
      <o:idmap v:ext="edit" data="3,4"/>
    </o:shapelayout>
  </w:hdrShapeDefault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6350"/>
    <w:rsid w:val="000546E8"/>
    <w:rsid w:val="000766A9"/>
    <w:rsid w:val="000949DE"/>
    <w:rsid w:val="000B7DAE"/>
    <w:rsid w:val="0014659F"/>
    <w:rsid w:val="00157E9D"/>
    <w:rsid w:val="001A1F6B"/>
    <w:rsid w:val="001B7817"/>
    <w:rsid w:val="001E5DAC"/>
    <w:rsid w:val="001F19F8"/>
    <w:rsid w:val="0023135E"/>
    <w:rsid w:val="0023590B"/>
    <w:rsid w:val="0025093E"/>
    <w:rsid w:val="00267F22"/>
    <w:rsid w:val="002C3322"/>
    <w:rsid w:val="002D4389"/>
    <w:rsid w:val="0035239E"/>
    <w:rsid w:val="004266D0"/>
    <w:rsid w:val="004E0552"/>
    <w:rsid w:val="004E0C0C"/>
    <w:rsid w:val="004E5EC2"/>
    <w:rsid w:val="0050764D"/>
    <w:rsid w:val="00525168"/>
    <w:rsid w:val="005303A9"/>
    <w:rsid w:val="0059096F"/>
    <w:rsid w:val="0066730A"/>
    <w:rsid w:val="00693A7F"/>
    <w:rsid w:val="006C5196"/>
    <w:rsid w:val="006D0C27"/>
    <w:rsid w:val="00750367"/>
    <w:rsid w:val="00765F32"/>
    <w:rsid w:val="007A5366"/>
    <w:rsid w:val="007A5B29"/>
    <w:rsid w:val="00845521"/>
    <w:rsid w:val="008E3AAD"/>
    <w:rsid w:val="008F0D3A"/>
    <w:rsid w:val="009075E7"/>
    <w:rsid w:val="009A54FC"/>
    <w:rsid w:val="00A66350"/>
    <w:rsid w:val="00B70961"/>
    <w:rsid w:val="00B85892"/>
    <w:rsid w:val="00C4738D"/>
    <w:rsid w:val="00D0344D"/>
    <w:rsid w:val="00D400AF"/>
    <w:rsid w:val="00D4535F"/>
    <w:rsid w:val="00E25AAE"/>
    <w:rsid w:val="00E339B5"/>
    <w:rsid w:val="00E34401"/>
    <w:rsid w:val="00E358A5"/>
    <w:rsid w:val="00E83B14"/>
    <w:rsid w:val="00F00B9D"/>
    <w:rsid w:val="00F75B34"/>
    <w:rsid w:val="00FC6659"/>
    <w:rsid w:val="35111F12"/>
    <w:rsid w:val="36AB0A7E"/>
    <w:rsid w:val="3AD16D59"/>
    <w:rsid w:val="65637E66"/>
    <w:rsid w:val="665C20E1"/>
    <w:rsid w:val="7476298E"/>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en-IN" w:eastAsia="en-US" w:bidi="hi-IN"/>
    </w:rPr>
  </w:style>
  <w:style w:type="paragraph" w:styleId="2">
    <w:name w:val="heading 1"/>
    <w:basedOn w:val="1"/>
    <w:next w:val="1"/>
    <w:qFormat/>
    <w:uiPriority w:val="9"/>
    <w:pPr>
      <w:keepNext/>
      <w:keepLines/>
      <w:spacing w:before="480" w:after="120"/>
      <w:outlineLvl w:val="0"/>
    </w:pPr>
    <w:rPr>
      <w:b/>
      <w:bCs/>
      <w:sz w:val="48"/>
      <w:szCs w:val="48"/>
    </w:rPr>
  </w:style>
  <w:style w:type="paragraph" w:styleId="3">
    <w:name w:val="heading 2"/>
    <w:basedOn w:val="1"/>
    <w:next w:val="1"/>
    <w:semiHidden/>
    <w:unhideWhenUsed/>
    <w:qFormat/>
    <w:uiPriority w:val="9"/>
    <w:pPr>
      <w:keepNext/>
      <w:keepLines/>
      <w:spacing w:before="360" w:after="80"/>
      <w:outlineLvl w:val="1"/>
    </w:pPr>
    <w:rPr>
      <w:b/>
      <w:bCs/>
      <w:sz w:val="36"/>
      <w:szCs w:val="36"/>
    </w:rPr>
  </w:style>
  <w:style w:type="paragraph" w:styleId="4">
    <w:name w:val="heading 3"/>
    <w:basedOn w:val="1"/>
    <w:next w:val="1"/>
    <w:semiHidden/>
    <w:unhideWhenUsed/>
    <w:qFormat/>
    <w:uiPriority w:val="9"/>
    <w:pPr>
      <w:keepNext/>
      <w:keepLines/>
      <w:spacing w:before="280" w:after="80"/>
      <w:outlineLvl w:val="2"/>
    </w:pPr>
    <w:rPr>
      <w:b/>
      <w:bCs/>
      <w:sz w:val="28"/>
      <w:szCs w:val="28"/>
    </w:rPr>
  </w:style>
  <w:style w:type="paragraph" w:styleId="5">
    <w:name w:val="heading 4"/>
    <w:basedOn w:val="1"/>
    <w:next w:val="1"/>
    <w:semiHidden/>
    <w:unhideWhenUsed/>
    <w:qFormat/>
    <w:uiPriority w:val="9"/>
    <w:pPr>
      <w:keepNext/>
      <w:keepLines/>
      <w:spacing w:before="240" w:after="40"/>
      <w:outlineLvl w:val="3"/>
    </w:pPr>
    <w:rPr>
      <w:b/>
      <w:bCs/>
      <w:sz w:val="24"/>
      <w:szCs w:val="24"/>
    </w:rPr>
  </w:style>
  <w:style w:type="paragraph" w:styleId="6">
    <w:name w:val="heading 5"/>
    <w:basedOn w:val="1"/>
    <w:next w:val="1"/>
    <w:semiHidden/>
    <w:unhideWhenUsed/>
    <w:qFormat/>
    <w:uiPriority w:val="9"/>
    <w:pPr>
      <w:keepNext/>
      <w:keepLines/>
      <w:spacing w:before="220" w:after="40"/>
      <w:outlineLvl w:val="4"/>
    </w:pPr>
    <w:rPr>
      <w:b/>
      <w:bCs/>
    </w:rPr>
  </w:style>
  <w:style w:type="paragraph" w:styleId="7">
    <w:name w:val="heading 6"/>
    <w:basedOn w:val="1"/>
    <w:next w:val="1"/>
    <w:semiHidden/>
    <w:unhideWhenUsed/>
    <w:qFormat/>
    <w:uiPriority w:val="9"/>
    <w:pPr>
      <w:keepNext/>
      <w:keepLines/>
      <w:spacing w:before="200" w:after="40"/>
      <w:outlineLvl w:val="5"/>
    </w:pPr>
    <w:rPr>
      <w:b/>
      <w:bCs/>
      <w:sz w:val="20"/>
      <w:szCs w:val="20"/>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annotation text"/>
    <w:basedOn w:val="1"/>
    <w:semiHidden/>
    <w:unhideWhenUsed/>
    <w:uiPriority w:val="99"/>
    <w:pPr>
      <w:jc w:val="left"/>
    </w:pPr>
  </w:style>
  <w:style w:type="character" w:styleId="11">
    <w:name w:val="FollowedHyperlink"/>
    <w:basedOn w:val="8"/>
    <w:semiHidden/>
    <w:unhideWhenUsed/>
    <w:qFormat/>
    <w:uiPriority w:val="99"/>
    <w:rPr>
      <w:color w:val="800080" w:themeColor="followedHyperlink"/>
      <w:u w:val="single"/>
      <w14:textFill>
        <w14:solidFill>
          <w14:schemeClr w14:val="folHlink"/>
        </w14:solidFill>
      </w14:textFill>
    </w:rPr>
  </w:style>
  <w:style w:type="paragraph" w:styleId="12">
    <w:name w:val="footer"/>
    <w:basedOn w:val="1"/>
    <w:link w:val="22"/>
    <w:unhideWhenUsed/>
    <w:qFormat/>
    <w:uiPriority w:val="99"/>
    <w:pPr>
      <w:tabs>
        <w:tab w:val="center" w:pos="4680"/>
        <w:tab w:val="right" w:pos="9360"/>
      </w:tabs>
      <w:spacing w:after="0" w:line="240" w:lineRule="auto"/>
    </w:pPr>
    <w:rPr>
      <w:rFonts w:cs="Mangal"/>
      <w:szCs w:val="20"/>
    </w:rPr>
  </w:style>
  <w:style w:type="paragraph" w:styleId="13">
    <w:name w:val="header"/>
    <w:basedOn w:val="1"/>
    <w:link w:val="21"/>
    <w:unhideWhenUsed/>
    <w:qFormat/>
    <w:uiPriority w:val="99"/>
    <w:pPr>
      <w:tabs>
        <w:tab w:val="center" w:pos="4680"/>
        <w:tab w:val="right" w:pos="9360"/>
      </w:tabs>
      <w:spacing w:after="0" w:line="240" w:lineRule="auto"/>
    </w:pPr>
    <w:rPr>
      <w:rFonts w:cs="Mangal"/>
      <w:szCs w:val="20"/>
    </w:rPr>
  </w:style>
  <w:style w:type="character" w:styleId="14">
    <w:name w:val="Hyperlink"/>
    <w:basedOn w:val="8"/>
    <w:unhideWhenUsed/>
    <w:qFormat/>
    <w:uiPriority w:val="99"/>
    <w:rPr>
      <w:color w:val="0000FF" w:themeColor="hyperlink"/>
      <w:u w:val="single"/>
      <w14:textFill>
        <w14:solidFill>
          <w14:schemeClr w14:val="hlink"/>
        </w14:solidFill>
      </w14:textFill>
    </w:rPr>
  </w:style>
  <w:style w:type="paragraph" w:styleId="15">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lang w:val="en-US"/>
    </w:rPr>
  </w:style>
  <w:style w:type="paragraph" w:styleId="16">
    <w:name w:val="Subtitle"/>
    <w:basedOn w:val="1"/>
    <w:next w:val="1"/>
    <w:qFormat/>
    <w:uiPriority w:val="11"/>
    <w:pPr>
      <w:keepNext/>
      <w:keepLines/>
      <w:spacing w:before="360" w:after="80"/>
    </w:pPr>
    <w:rPr>
      <w:rFonts w:ascii="Georgia" w:hAnsi="Georgia" w:eastAsia="Georgia" w:cs="Georgia"/>
      <w:i/>
      <w:iCs/>
      <w:color w:val="666666"/>
      <w:sz w:val="48"/>
      <w:szCs w:val="48"/>
    </w:rPr>
  </w:style>
  <w:style w:type="table" w:styleId="17">
    <w:name w:val="Table Grid"/>
    <w:basedOn w:val="9"/>
    <w:qFormat/>
    <w:uiPriority w:val="59"/>
    <w:pPr>
      <w:spacing w:after="0" w:line="240" w:lineRule="auto"/>
    </w:pPr>
    <w:rPr>
      <w:rFonts w:hAnsi="Times New Roman" w:eastAsia="Times New Roman" w:cs="Times New Roman"/>
      <w:szCs w:val="20"/>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8">
    <w:name w:val="Title"/>
    <w:basedOn w:val="1"/>
    <w:next w:val="1"/>
    <w:qFormat/>
    <w:uiPriority w:val="10"/>
    <w:pPr>
      <w:keepNext/>
      <w:keepLines/>
      <w:spacing w:before="480" w:after="120"/>
    </w:pPr>
    <w:rPr>
      <w:b/>
      <w:bCs/>
      <w:sz w:val="72"/>
      <w:szCs w:val="72"/>
    </w:rPr>
  </w:style>
  <w:style w:type="table" w:customStyle="1" w:styleId="19">
    <w:name w:val="TableNormal"/>
    <w:qFormat/>
    <w:uiPriority w:val="0"/>
    <w:tblPr>
      <w:tblCellMar>
        <w:top w:w="100" w:type="dxa"/>
        <w:left w:w="100" w:type="dxa"/>
        <w:bottom w:w="100" w:type="dxa"/>
        <w:right w:w="100" w:type="dxa"/>
      </w:tblCellMar>
    </w:tblPr>
  </w:style>
  <w:style w:type="character" w:customStyle="1" w:styleId="20">
    <w:name w:val="Unresolved Mention"/>
    <w:basedOn w:val="8"/>
    <w:semiHidden/>
    <w:unhideWhenUsed/>
    <w:qFormat/>
    <w:uiPriority w:val="99"/>
    <w:rPr>
      <w:color w:val="605E5C"/>
      <w:shd w:val="clear" w:color="auto" w:fill="E1DFDD"/>
    </w:rPr>
  </w:style>
  <w:style w:type="character" w:customStyle="1" w:styleId="21">
    <w:name w:val="Header Char"/>
    <w:basedOn w:val="8"/>
    <w:link w:val="13"/>
    <w:qFormat/>
    <w:uiPriority w:val="99"/>
    <w:rPr>
      <w:rFonts w:cs="Mangal"/>
      <w:szCs w:val="20"/>
    </w:rPr>
  </w:style>
  <w:style w:type="character" w:customStyle="1" w:styleId="22">
    <w:name w:val="Footer Char"/>
    <w:basedOn w:val="8"/>
    <w:link w:val="12"/>
    <w:qFormat/>
    <w:uiPriority w:val="99"/>
    <w:rPr>
      <w:rFonts w:cs="Mangal"/>
      <w:szCs w:val="20"/>
    </w:rPr>
  </w:style>
</w:styles>
</file>

<file path=word/_rels/document.xml.rels><?xml version="1.0" encoding="UTF-8" standalone="yes"?>
<Relationships xmlns="http://schemas.openxmlformats.org/package/2006/relationships"><Relationship Id="rId9" Type="http://schemas.openxmlformats.org/officeDocument/2006/relationships/header" Target="header3.xml"/><Relationship Id="rId8" Type="http://schemas.openxmlformats.org/officeDocument/2006/relationships/header" Target="header2.xml"/><Relationship Id="rId7" Type="http://schemas.openxmlformats.org/officeDocument/2006/relationships/header" Target="header1.xml"/><Relationship Id="rId6" Type="http://schemas.openxmlformats.org/officeDocument/2006/relationships/endnotes" Target="endnotes.xml"/><Relationship Id="rId5" Type="http://schemas.openxmlformats.org/officeDocument/2006/relationships/footnotes" Target="footnotes.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7" Type="http://schemas.microsoft.com/office/2011/relationships/people" Target="people.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3.xml"/><Relationship Id="rId11" Type="http://schemas.openxmlformats.org/officeDocument/2006/relationships/footer" Target="footer2.xml"/><Relationship Id="rId10" Type="http://schemas.openxmlformats.org/officeDocument/2006/relationships/footer" Target="footer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4098"/>
    <customShpInfo spid="_x0000_s4099"/>
    <customShpInfo spid="_x0000_s409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Pages>
  <Words>3415</Words>
  <Characters>19466</Characters>
  <Lines>162</Lines>
  <Paragraphs>45</Paragraphs>
  <TotalTime>47</TotalTime>
  <ScaleCrop>false</ScaleCrop>
  <LinksUpToDate>false</LinksUpToDate>
  <CharactersWithSpaces>22836</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2026-02-23T04:33:00Z</dcterms:created>
  <dc:creator>Sumit Kumar Dubey</dc:creator>
  <cp:lastModifiedBy>shahriza shahrudin</cp:lastModifiedBy>
  <cp:lastPrinted>2026-02-23T11:08:00Z</cp:lastPrinted>
  <dcterms:modified xsi:type="dcterms:W3CDTF">2026-02-27T04:12:57Z</dcterms:modified>
  <cp:revision>42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95439a08-34a6-476b-9497-ea7e97e6eb99</vt:lpwstr>
  </property>
  <property fmtid="{D5CDD505-2E9C-101B-9397-08002B2CF9AE}" pid="3" name="KSOProductBuildVer">
    <vt:lpwstr>1033-12.2.0.23196</vt:lpwstr>
  </property>
  <property fmtid="{D5CDD505-2E9C-101B-9397-08002B2CF9AE}" pid="4" name="ICV">
    <vt:lpwstr>52B8610E7983492BB9D74EE0B75CC860_13</vt:lpwstr>
  </property>
</Properties>
</file>