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D2E1" w14:textId="1CDFEB29" w:rsidR="00867E80" w:rsidRPr="00867E80" w:rsidRDefault="00867E80" w:rsidP="00417DFC">
      <w:pPr>
        <w:pStyle w:val="Heading1"/>
        <w:rPr>
          <w:u w:val="single"/>
        </w:rPr>
      </w:pPr>
      <w:r w:rsidRPr="00867E80">
        <w:rPr>
          <w:u w:val="single"/>
        </w:rPr>
        <w:t>Review Article</w:t>
      </w:r>
    </w:p>
    <w:p w14:paraId="483FB0ED" w14:textId="7D1C5293" w:rsidR="00A34E95" w:rsidRDefault="00417DFC" w:rsidP="00417DFC">
      <w:pPr>
        <w:pStyle w:val="Heading1"/>
      </w:pPr>
      <w:commentRangeStart w:id="0"/>
      <w:r>
        <w:t>Impact of Climate Change on M</w:t>
      </w:r>
      <w:r w:rsidR="00A3760B">
        <w:t>uga Silk Production in Assam: A</w:t>
      </w:r>
      <w:r w:rsidR="00D82C22">
        <w:t xml:space="preserve"> </w:t>
      </w:r>
      <w:r>
        <w:t>Review</w:t>
      </w:r>
      <w:commentRangeEnd w:id="0"/>
      <w:r w:rsidR="001937FD">
        <w:rPr>
          <w:rStyle w:val="CommentReference"/>
          <w:sz w:val="48"/>
          <w:szCs w:val="48"/>
        </w:rPr>
        <w:commentReference w:id="0"/>
      </w:r>
    </w:p>
    <w:p w14:paraId="4E735308" w14:textId="77777777" w:rsidR="00417DFC" w:rsidRDefault="00417DFC" w:rsidP="00417DFC">
      <w:pPr>
        <w:pStyle w:val="Heading2"/>
      </w:pPr>
      <w:commentRangeStart w:id="1"/>
      <w:r>
        <w:t>Abstract</w:t>
      </w:r>
      <w:commentRangeEnd w:id="1"/>
      <w:r w:rsidR="001937FD">
        <w:rPr>
          <w:rStyle w:val="CommentReference"/>
          <w:sz w:val="36"/>
          <w:szCs w:val="36"/>
        </w:rPr>
        <w:commentReference w:id="1"/>
      </w:r>
    </w:p>
    <w:p w14:paraId="39453911" w14:textId="77777777" w:rsidR="00417DFC" w:rsidRDefault="00417DFC" w:rsidP="00417DFC">
      <w:pPr>
        <w:pStyle w:val="NormalWeb"/>
      </w:pPr>
      <w:r>
        <w:t xml:space="preserve">Muga silk production in Assam is a distinctive, place-based agro-ecological livelihood system reliant on the semi-domesticated moth </w:t>
      </w:r>
      <w:r>
        <w:rPr>
          <w:rStyle w:val="Emphasis"/>
        </w:rPr>
        <w:t>Antheraea assamensis</w:t>
      </w:r>
      <w:r>
        <w:t xml:space="preserve"> and a narrow set of primary host plants, notably </w:t>
      </w:r>
      <w:r>
        <w:rPr>
          <w:rStyle w:val="Emphasis"/>
        </w:rPr>
        <w:t>Persea bombycina</w:t>
      </w:r>
      <w:r>
        <w:t xml:space="preserve"> (som) and </w:t>
      </w:r>
      <w:r>
        <w:rPr>
          <w:rStyle w:val="Emphasis"/>
        </w:rPr>
        <w:t>Litsea monopetala</w:t>
      </w:r>
      <w:r>
        <w:t xml:space="preserve"> (soalu). Because rearing is largely outdoor and aligned to seasonal brood cycles, muga sericulture is unusually exposed to climate variability and to longer-term climatic shifts that operate through temperature regimes, rainfall timing, humidity, and the frequency of extremes. This review synthesises evidence on how observed and projected climate change across India and the broader monsoon domain can influence muga silk production pathways in Assam, including host-plant physiology and leaf quality, larval survival and development, disease dynamics, cocoon traits, and spatial suitability for silkworm–host co-occurrence. We integrate findings from studies on North-East Indian climate trends, monsoon variability, extreme precipitation and hotspot emergence, and regional climate model projections with muga-specific work on host-plant diversity and stress tolerance, cocoon quality variation, pathogen identification, and climate-space distribution modelling. The synthesis indicates that climate change risks for muga sericulture are unlikely to manifest as a single linear decline; rather, risks will be episodic and season-specific, driven by shifts in brood-wise thermal and moisture stress, increased probability of high-impact rainfall extremes, and altered suitability overlaps between silkworm and host plants. Adaptation therefore requires coupled interventions across plantation management, brood scheduling and risk-buffering, disease surveillance, and climate-informed spatial planning.</w:t>
      </w:r>
    </w:p>
    <w:p w14:paraId="2FAB0EE1" w14:textId="77777777" w:rsidR="00417DFC" w:rsidRDefault="00417DFC" w:rsidP="00417DFC">
      <w:pPr>
        <w:pStyle w:val="Heading2"/>
      </w:pPr>
      <w:commentRangeStart w:id="2"/>
      <w:r>
        <w:t>Keywords</w:t>
      </w:r>
      <w:commentRangeEnd w:id="2"/>
      <w:r w:rsidR="001937FD">
        <w:rPr>
          <w:rStyle w:val="CommentReference"/>
          <w:sz w:val="36"/>
          <w:szCs w:val="36"/>
        </w:rPr>
        <w:commentReference w:id="2"/>
      </w:r>
    </w:p>
    <w:p w14:paraId="50668F13" w14:textId="77777777" w:rsidR="00417DFC" w:rsidRDefault="00417DFC" w:rsidP="00417DFC">
      <w:pPr>
        <w:pStyle w:val="NormalWeb"/>
      </w:pPr>
      <w:r>
        <w:t xml:space="preserve">Muga silk; </w:t>
      </w:r>
      <w:r>
        <w:rPr>
          <w:rStyle w:val="Emphasis"/>
        </w:rPr>
        <w:t>Antheraea assamensis</w:t>
      </w:r>
      <w:r>
        <w:t xml:space="preserve">; Assam; climate variability; extreme precipitation; host plants; </w:t>
      </w:r>
      <w:r>
        <w:rPr>
          <w:rStyle w:val="Emphasis"/>
        </w:rPr>
        <w:t>Persea bombycina</w:t>
      </w:r>
      <w:r>
        <w:t xml:space="preserve">; </w:t>
      </w:r>
      <w:r>
        <w:rPr>
          <w:rStyle w:val="Emphasis"/>
        </w:rPr>
        <w:t>Litsea monopetala</w:t>
      </w:r>
      <w:r>
        <w:t>; disease ecology; species distribution modelling</w:t>
      </w:r>
    </w:p>
    <w:p w14:paraId="098BB4BB" w14:textId="77777777" w:rsidR="003A6513" w:rsidRPr="003A6513" w:rsidRDefault="003A6513" w:rsidP="003A6513">
      <w:pPr>
        <w:spacing w:before="100" w:beforeAutospacing="1" w:after="100" w:afterAutospacing="1" w:line="240" w:lineRule="auto"/>
        <w:ind w:left="0" w:right="0" w:firstLine="0"/>
        <w:jc w:val="left"/>
        <w:outlineLvl w:val="1"/>
        <w:rPr>
          <w:b/>
          <w:bCs/>
          <w:color w:val="auto"/>
          <w:kern w:val="0"/>
          <w:sz w:val="36"/>
          <w:szCs w:val="36"/>
          <w:lang w:val="en-US" w:eastAsia="en-US"/>
        </w:rPr>
      </w:pPr>
      <w:commentRangeStart w:id="3"/>
      <w:r w:rsidRPr="003A6513">
        <w:rPr>
          <w:b/>
          <w:bCs/>
          <w:color w:val="auto"/>
          <w:kern w:val="0"/>
          <w:sz w:val="36"/>
          <w:szCs w:val="36"/>
          <w:lang w:val="en-US" w:eastAsia="en-US"/>
        </w:rPr>
        <w:t>1. Introduction</w:t>
      </w:r>
      <w:commentRangeEnd w:id="3"/>
      <w:r w:rsidR="001937FD" w:rsidRPr="003A6513">
        <w:rPr>
          <w:rStyle w:val="CommentReference"/>
          <w:b/>
          <w:bCs/>
          <w:color w:val="auto"/>
          <w:kern w:val="0"/>
          <w:sz w:val="36"/>
          <w:szCs w:val="36"/>
          <w:lang w:val="en-US" w:eastAsia="en-US"/>
        </w:rPr>
        <w:commentReference w:id="3"/>
      </w:r>
    </w:p>
    <w:p w14:paraId="4FA121D4"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Muga silk, produced by the endemic golden silkmoth </w:t>
      </w:r>
      <w:r w:rsidRPr="003A6513">
        <w:rPr>
          <w:i/>
          <w:iCs/>
          <w:color w:val="auto"/>
          <w:kern w:val="0"/>
          <w:lang w:val="en-US" w:eastAsia="en-US"/>
        </w:rPr>
        <w:t>Antheraea assamensis</w:t>
      </w:r>
      <w:r w:rsidRPr="003A6513">
        <w:rPr>
          <w:color w:val="auto"/>
          <w:kern w:val="0"/>
          <w:lang w:val="en-US" w:eastAsia="en-US"/>
        </w:rPr>
        <w:t xml:space="preserve">, represents a rare intersection of biodiversity, heritage, and livelihood in Assam and adjoining parts of North-East India. Its value lies not only in the fibre’s natural lustre and durability, but also in the place-specific production ecology that has evolved around outdoor rearing, host-plant management, and brood scheduling in a monsoon-dominated climate. Unlike tightly controlled indoor sericulture, muga production remains strongly coupled to ambient weather because rearing is commonly conducted in open conditions, with the insect’s development, feeding behaviour, and cocooning stages exposed to seasonally varying temperature, humidity, and rainfall. Foundational accounts of muga distribution, biology, and breeding </w:t>
      </w:r>
      <w:r w:rsidRPr="003A6513">
        <w:rPr>
          <w:color w:val="auto"/>
          <w:kern w:val="0"/>
          <w:lang w:val="en-US" w:eastAsia="en-US"/>
        </w:rPr>
        <w:lastRenderedPageBreak/>
        <w:t>emphasise that rearing success is shaped by ecological context and field-level stressors, including pests and disease, making the system inherently sensitive to environmental variability (Tikader et al., 2013). This sensitivity becomes more consequential under climate change, which is expected to alter not only mean conditions but also the frequency, timing, and intensity of weather extremes that directly affect outdoor rearing operations.</w:t>
      </w:r>
    </w:p>
    <w:p w14:paraId="739BAF2F"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Climate change risk for muga silk production is best understood through the notion of synchrony. Productive outcomes depend on synchrony between (i) the seasonal availability and nutritional quality of host-plant leaves, (ii) the developmental timing of the silkworm across broods, and (iii) weather windows that allow sustained feeding and successful cocoon formation. Disruptions to any of these components can cascade through the system. Reviews of muga food plants highlight that, while the silkworm may utilise multiple hosts, commercial performance often relies heavily on a limited set of key food plants; consequently, the stability of host-plant growth and leaf quality is central to production reliability (Devi et al., 2021). Environmental stress that alters leaf biochemistry, water status, and tolerance traits can therefore translate into reduced larval performance and poorer cocoon traits. In this context, evidence that the primary host plant </w:t>
      </w:r>
      <w:r w:rsidRPr="003A6513">
        <w:rPr>
          <w:i/>
          <w:iCs/>
          <w:color w:val="auto"/>
          <w:kern w:val="0"/>
          <w:lang w:val="en-US" w:eastAsia="en-US"/>
        </w:rPr>
        <w:t>Persea bombycina</w:t>
      </w:r>
      <w:r w:rsidRPr="003A6513">
        <w:rPr>
          <w:color w:val="auto"/>
          <w:kern w:val="0"/>
          <w:lang w:val="en-US" w:eastAsia="en-US"/>
        </w:rPr>
        <w:t xml:space="preserve"> shows measurable physiological variation under environmental stress underscores why plantation resilience and microclimate buffering are increasingly important for sustaining the resource base on which repeated brood cycles depend (Jigyasu et al., 2023).</w:t>
      </w:r>
    </w:p>
    <w:p w14:paraId="369C90DE"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Assam’s muga sector is embedded within a regional climate system characterised by strong seasonality and high interannual variability. Observational analyses indicate that North-East India has experienced notable temperature changes alongside spatially heterogeneous rainfall behaviour, implying that warming trends may already be modifying the background conditions for agriculture and climate-sensitive livelihoods (Jain et al., 2013). Long-term analyses of rainfall trends across India further demonstrate that precipitation change is often expressed as regional and seasonal redistribution rather than uniform shifts in annual totals, a point that matters for muga because brood calendars hinge on specific seasonal windows rather than on yearly averages (Kumar et al., 2010). Beyond means, the increasing prominence of extremes is particularly relevant for an outdoor system. Evidence linking anthropogenic warming to increases in extreme precipitation events over India suggests that high-impact rainfall episodes—capable of interrupting feeding, prolonging leaf wetness, and damaging host-plant stands—may become a more frequent cause of acute production loss (Mukherjee et al., 2018). Complementary multi-model assessments identify precipitation-based climate change hotspots across India and indicate that parts of the North-East can emerge as regions of heightened change in precipitation characteristics, reinforcing the need to plan for greater volatility rather than only gradual change (Sarkar et al., 2023).</w:t>
      </w:r>
    </w:p>
    <w:p w14:paraId="2F6E529E"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Projections specific to North-East India strengthen the rationale for climate-informed risk management. Regional climate modelling indicates warming and associated changes in precipitation characteristics, suggesting that historically reliable rearing conditions may be altered in magnitude, timing, or persistence (Dash et al., 2012). Although uncertainty remains regarding local detail, these projections imply that even modest shifts in temperature and humidity regimes could affect brood-wise survival and cocooning success by altering developmental rates and stress thresholds. At the same time, large-scale drivers of monsoon variability provide a mechanism through which year-to-year fluctuations may intensify or shift, affecting the predictability of conditions that rearers depend upon. A prominent pattern of year-to-year variability in Indian summer monsoon rainfall has been documented, emphasising that variability has structured features rather than being purely random noise </w:t>
      </w:r>
      <w:r w:rsidRPr="003A6513">
        <w:rPr>
          <w:color w:val="auto"/>
          <w:kern w:val="0"/>
          <w:lang w:val="en-US" w:eastAsia="en-US"/>
        </w:rPr>
        <w:lastRenderedPageBreak/>
        <w:t>(Mishra et al., 2012). Variability is also shaped by teleconnections; evidence of changes in the relationship between ENSO and northeast monsoon rainfall illustrates that climate linkages can strengthen over time, potentially altering seasonal risk profiles in ways that complicate reliance on historical experience (Kumar et al., 2007). Multi-model work on precipitation projection under higher warming scenarios further illustrates that seasonal precipitation can be modulated by circulation changes, reinforcing the importance of anticipating shifts in the seasonal sequencing of wet and dry spells that can affect outdoor production systems (Tiwari et al., 2023).</w:t>
      </w:r>
    </w:p>
    <w:p w14:paraId="36643331" w14:textId="4B962D62"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Muga-specific biological constraints can amplify climate vulnerability. Disease is a major production limiter in outdoor rearing, and climate conditions can influence pathogen persistence and host susceptibility. Molecular identification of microsporidian infection causing nosemosis in muga, together with demonstrated impacts on cocoon and silk traits, highlights disease as a central pathway through which climate variability can translate into yield and quality loss, particularly during prolonged wetness and high humidity phases (Subrahmanyam et al., 2019). At the same time, cocoon traits show meaningful variability across populations, and environmental conditions interact with stock characteristics to determine economic outcomes. Characterisation of cocoons from different populations underscores that shell ratio, cocoon weight, and fibre properties can differ across stocks, indicating both vulnerability and opportunity: vulnerability because climate stress may disproportionately affect certain stocks, and opportunity because adaptive selection and management may exploit more resilient traits (Kalita &amp; Dutta, 2020). Evidence of genetic diversity and population structure in </w:t>
      </w:r>
      <w:r w:rsidRPr="003A6513">
        <w:rPr>
          <w:i/>
          <w:iCs/>
          <w:color w:val="auto"/>
          <w:kern w:val="0"/>
          <w:lang w:val="en-US" w:eastAsia="en-US"/>
        </w:rPr>
        <w:t>A. assamensis</w:t>
      </w:r>
      <w:r w:rsidRPr="003A6513">
        <w:rPr>
          <w:color w:val="auto"/>
          <w:kern w:val="0"/>
          <w:lang w:val="en-US" w:eastAsia="en-US"/>
        </w:rPr>
        <w:t xml:space="preserve"> further </w:t>
      </w:r>
      <w:r w:rsidR="00CF6BBB" w:rsidRPr="00CF6BBB">
        <w:rPr>
          <w:color w:val="auto"/>
          <w:kern w:val="0"/>
          <w:lang w:val="en-US" w:eastAsia="en-US"/>
        </w:rPr>
        <w:t>HOMEO</w:t>
      </w:r>
      <w:r w:rsidR="00CF6BBB" w:rsidRPr="00CF6BBB">
        <w:t xml:space="preserve"> </w:t>
      </w:r>
      <w:r w:rsidR="00CF6BBB" w:rsidRPr="00CF6BBB">
        <w:rPr>
          <w:color w:val="auto"/>
          <w:kern w:val="0"/>
          <w:lang w:val="en-US" w:eastAsia="en-US"/>
        </w:rPr>
        <w:t xml:space="preserve">YOJNA </w:t>
      </w:r>
      <w:r w:rsidRPr="003A6513">
        <w:rPr>
          <w:color w:val="auto"/>
          <w:kern w:val="0"/>
          <w:lang w:val="en-US" w:eastAsia="en-US"/>
        </w:rPr>
        <w:t>orts the view that conserving and mobilising genetic resources may be critical for long-term resilience, including potential tolerance to climatic stressors and disease (Arunkumar et al., 2012).</w:t>
      </w:r>
    </w:p>
    <w:p w14:paraId="3D0CB6B1"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In recent years, modelling approaches have begun to connect these biological sensitivities to climate space, enabling more explicit discussion of where muga production may remain viable under changing conditions. Ensemble distribution modelling of </w:t>
      </w:r>
      <w:r w:rsidRPr="003A6513">
        <w:rPr>
          <w:i/>
          <w:iCs/>
          <w:color w:val="auto"/>
          <w:kern w:val="0"/>
          <w:lang w:val="en-US" w:eastAsia="en-US"/>
        </w:rPr>
        <w:t>A. assamensis</w:t>
      </w:r>
      <w:r w:rsidRPr="003A6513">
        <w:rPr>
          <w:color w:val="auto"/>
          <w:kern w:val="0"/>
          <w:lang w:val="en-US" w:eastAsia="en-US"/>
        </w:rPr>
        <w:t xml:space="preserve"> and its primary host plant </w:t>
      </w:r>
      <w:r w:rsidRPr="003A6513">
        <w:rPr>
          <w:i/>
          <w:iCs/>
          <w:color w:val="auto"/>
          <w:kern w:val="0"/>
          <w:lang w:val="en-US" w:eastAsia="en-US"/>
        </w:rPr>
        <w:t>Litsea monopetala</w:t>
      </w:r>
      <w:r w:rsidRPr="003A6513">
        <w:rPr>
          <w:color w:val="auto"/>
          <w:kern w:val="0"/>
          <w:lang w:val="en-US" w:eastAsia="en-US"/>
        </w:rPr>
        <w:t xml:space="preserve"> indicates that climate-driven changes can alter the overlap of suitable conditions for both silkworm and host, implying that climate change may influence not only productivity within current zones but also the geography of viable production landscapes (Sarma et al., 2025). Such work does not replace field-level management, yet it provides a valuable planning lens: it emphasises that the muga system’s vulnerability is jointly determined by insect ecology, host-plant distribution, and regional climate dynamics. Taken together, the evidence base suggests that climate change impacts are likely to be episodic and brood-specific, shaped by shifts in seasonal thresholds, the emergence of more disruptive extremes, and changing disease and host-plant stress landscapes. This review therefore treats muga sericulture as a coupled eco-climatic system and synthesises the literature needed to understand its risks and adaptation options.</w:t>
      </w:r>
    </w:p>
    <w:p w14:paraId="2BC9809D" w14:textId="77777777" w:rsidR="003A6513" w:rsidRPr="003A6513" w:rsidRDefault="003A6513" w:rsidP="003A6513">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6513">
        <w:rPr>
          <w:b/>
          <w:bCs/>
          <w:color w:val="auto"/>
          <w:kern w:val="0"/>
          <w:sz w:val="27"/>
          <w:szCs w:val="27"/>
          <w:lang w:val="en-US" w:eastAsia="en-US"/>
        </w:rPr>
        <w:t>1.1 Scope and objective</w:t>
      </w:r>
    </w:p>
    <w:p w14:paraId="6C57D87B"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This review examines how climate change and climate variability can influence muga silk production in Assam by synthesising evidence on regional climate trends and projections, monsoon variability and extremes, and muga-specific studies on host plants, disease constraints, cocoon traits, genetic resources, and climate-space suitability. The objectives are to map the main climate-sensitive components of the muga production system, evaluate plausible mechanisms linking climatic shifts to yield and quality outcomes, assess emerging </w:t>
      </w:r>
      <w:r w:rsidRPr="003A6513">
        <w:rPr>
          <w:color w:val="auto"/>
          <w:kern w:val="0"/>
          <w:lang w:val="en-US" w:eastAsia="en-US"/>
        </w:rPr>
        <w:lastRenderedPageBreak/>
        <w:t>evidence on geographic suitability change for silkworm–host overlap, and identify adaptation priorities and research gaps relevant to sustaining muga sericulture under a changing climate.</w:t>
      </w:r>
    </w:p>
    <w:p w14:paraId="0118D189" w14:textId="77777777" w:rsidR="00417DFC" w:rsidRDefault="00417DFC" w:rsidP="00417DFC">
      <w:pPr>
        <w:pStyle w:val="Heading2"/>
      </w:pPr>
      <w:commentRangeStart w:id="4"/>
      <w:r>
        <w:t>2. Methods for literature selection</w:t>
      </w:r>
      <w:commentRangeEnd w:id="4"/>
      <w:r w:rsidR="001937FD">
        <w:rPr>
          <w:rStyle w:val="CommentReference"/>
          <w:sz w:val="36"/>
          <w:szCs w:val="36"/>
        </w:rPr>
        <w:commentReference w:id="4"/>
      </w:r>
    </w:p>
    <w:p w14:paraId="302B2925" w14:textId="77777777" w:rsidR="00417DFC" w:rsidRDefault="00417DFC" w:rsidP="00417DFC">
      <w:pPr>
        <w:pStyle w:val="NormalWeb"/>
      </w:pPr>
      <w:r>
        <w:t>A structured literature search</w:t>
      </w:r>
      <w:r w:rsidR="00D82C22">
        <w:t xml:space="preserve"> (PRISMA-2020)</w:t>
      </w:r>
      <w:r>
        <w:t xml:space="preserve"> was conducted across Web of Science, Scopus, Google Scholar, and PubMed for publications dated January 2000 through January 2026. Search strings combined muga sericulture terms and climate terms, including variants of: “muga” OR “</w:t>
      </w:r>
      <w:r>
        <w:rPr>
          <w:rStyle w:val="Emphasis"/>
        </w:rPr>
        <w:t>Antheraea assamensis</w:t>
      </w:r>
      <w:r>
        <w:t>” OR “</w:t>
      </w:r>
      <w:r>
        <w:rPr>
          <w:rStyle w:val="Emphasis"/>
        </w:rPr>
        <w:t>Persea bombycina</w:t>
      </w:r>
      <w:r>
        <w:t>” OR “</w:t>
      </w:r>
      <w:r>
        <w:rPr>
          <w:rStyle w:val="Emphasis"/>
        </w:rPr>
        <w:t>Litsea monopetala</w:t>
      </w:r>
      <w:r>
        <w:t>” AND “climate change” OR “temperature” OR “rainfall” OR “monsoon” OR “extreme precipitation” OR “disease” OR “microsporidia” OR “distribution model”. Inclusion criteria were peer-reviewed journal articles (and, where necessary for system context, highly cited scholarly sources) that provided empirical evidence, modelling results, or rigorous syntheses relevant to climate–sericulture linkages or the muga production ecology. Exclusion criteria included non-scholarly reports lacking stable bibliographic metadata, sources without verifiable DOI metadata, and items whose content did not materially address the climate sensitivity of muga production pathways. From the eligible pool, priority was given to studies directly addressing North-East Indian climate trends and projections and to muga-specific studies on host plants, disease, cocoon traits, and spatial suitability. Figure 1 explains stratified methods of literature selection.</w:t>
      </w:r>
    </w:p>
    <w:p w14:paraId="02D64903" w14:textId="77777777" w:rsidR="00417DFC" w:rsidRDefault="00000000" w:rsidP="00417DFC">
      <w:pPr>
        <w:spacing w:after="0" w:line="240" w:lineRule="auto"/>
      </w:pPr>
      <w:r>
        <w:rPr>
          <w:noProof/>
          <w:lang w:val="en-AU"/>
        </w:rPr>
        <w:pict w14:anchorId="594F705D">
          <v:rect id="Rectangle 2" o:spid="_x0000_s2051" style="position:absolute;left:0;text-align:left;margin-left:239.35pt;margin-top:6.05pt;width:148.6pt;height:97.8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14:paraId="49CF3960"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2DD8FC0E"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removed  (n = </w:t>
                  </w:r>
                  <w:r w:rsidR="00D82C22">
                    <w:rPr>
                      <w:rFonts w:ascii="Arial" w:hAnsi="Arial" w:cs="Arial"/>
                      <w:color w:val="000000" w:themeColor="text1"/>
                      <w:sz w:val="18"/>
                      <w:szCs w:val="20"/>
                    </w:rPr>
                    <w:t>98</w:t>
                  </w:r>
                  <w:r>
                    <w:rPr>
                      <w:rFonts w:ascii="Arial" w:hAnsi="Arial" w:cs="Arial"/>
                      <w:color w:val="000000" w:themeColor="text1"/>
                      <w:sz w:val="18"/>
                      <w:szCs w:val="20"/>
                    </w:rPr>
                    <w:t>)</w:t>
                  </w:r>
                </w:p>
                <w:p w14:paraId="784A794D"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(n = 6</w:t>
                  </w:r>
                  <w:r w:rsidR="00D82C22">
                    <w:rPr>
                      <w:rFonts w:ascii="Arial" w:hAnsi="Arial" w:cs="Arial"/>
                      <w:color w:val="000000" w:themeColor="text1"/>
                      <w:sz w:val="18"/>
                      <w:szCs w:val="20"/>
                    </w:rPr>
                    <w:t>2</w:t>
                  </w:r>
                  <w:r>
                    <w:rPr>
                      <w:rFonts w:ascii="Arial" w:hAnsi="Arial" w:cs="Arial"/>
                      <w:color w:val="000000" w:themeColor="text1"/>
                      <w:sz w:val="18"/>
                      <w:szCs w:val="20"/>
                    </w:rPr>
                    <w:t>)</w:t>
                  </w:r>
                </w:p>
              </w:txbxContent>
            </v:textbox>
          </v:rect>
        </w:pict>
      </w:r>
      <w:r>
        <w:rPr>
          <w:noProof/>
          <w:lang w:val="en-AU"/>
        </w:rPr>
        <w:pict w14:anchorId="57968BD5">
          <v:rect id="Rectangle 1" o:spid="_x0000_s2050" style="position:absolute;left:0;text-align:left;margin-left:44.05pt;margin-top:6.05pt;width:148.6pt;height:97.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4D39283B"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4C93EE5"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4</w:t>
                  </w:r>
                  <w:r w:rsidR="00D82C22">
                    <w:rPr>
                      <w:rFonts w:ascii="Arial" w:hAnsi="Arial" w:cs="Arial"/>
                      <w:color w:val="000000" w:themeColor="text1"/>
                      <w:sz w:val="18"/>
                      <w:szCs w:val="20"/>
                    </w:rPr>
                    <w:t>07</w:t>
                  </w:r>
                  <w:r>
                    <w:rPr>
                      <w:rFonts w:ascii="Arial" w:hAnsi="Arial" w:cs="Arial"/>
                      <w:color w:val="000000" w:themeColor="text1"/>
                      <w:sz w:val="18"/>
                      <w:szCs w:val="20"/>
                    </w:rPr>
                    <w:t>)</w:t>
                  </w:r>
                </w:p>
              </w:txbxContent>
            </v:textbox>
          </v:rect>
        </w:pict>
      </w:r>
    </w:p>
    <w:p w14:paraId="71BBAB87" w14:textId="77777777" w:rsidR="00417DFC" w:rsidRDefault="00417DFC" w:rsidP="00417DFC">
      <w:pPr>
        <w:spacing w:after="0" w:line="240" w:lineRule="auto"/>
      </w:pPr>
    </w:p>
    <w:p w14:paraId="47B03B6A" w14:textId="77777777" w:rsidR="00417DFC" w:rsidRDefault="00417DFC" w:rsidP="00417DFC">
      <w:pPr>
        <w:spacing w:after="0" w:line="240" w:lineRule="auto"/>
      </w:pPr>
    </w:p>
    <w:p w14:paraId="4EE430E4" w14:textId="77777777" w:rsidR="00417DFC" w:rsidRDefault="00417DFC" w:rsidP="00417DFC">
      <w:pPr>
        <w:spacing w:after="0" w:line="240" w:lineRule="auto"/>
      </w:pPr>
    </w:p>
    <w:p w14:paraId="23347D70" w14:textId="77777777" w:rsidR="00417DFC" w:rsidRDefault="00000000" w:rsidP="00417DFC">
      <w:pPr>
        <w:spacing w:after="0" w:line="240" w:lineRule="auto"/>
      </w:pPr>
      <w:r>
        <w:rPr>
          <w:noProof/>
          <w:lang w:val="en-AU"/>
        </w:rPr>
        <w:pict w14:anchorId="457F415F">
          <v:shapetype id="_x0000_t32" coordsize="21600,21600" o:spt="32" o:oned="t" path="m,l21600,21600e" filled="f">
            <v:path arrowok="t" fillok="f" o:connecttype="none"/>
            <o:lock v:ext="edit" shapetype="t"/>
          </v:shapetype>
          <v:shape id="Straight Arrow Connector 14" o:spid="_x0000_s2059" type="#_x0000_t32" style="position:absolute;left:0;text-align:left;margin-left:193.25pt;margin-top:.75pt;width:44.3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w:r>
    </w:p>
    <w:p w14:paraId="2FBCE6AA" w14:textId="77777777" w:rsidR="00417DFC" w:rsidRDefault="00417DFC" w:rsidP="00417DFC">
      <w:pPr>
        <w:spacing w:after="0" w:line="240" w:lineRule="auto"/>
      </w:pPr>
    </w:p>
    <w:p w14:paraId="7CE9CB57" w14:textId="77777777" w:rsidR="00417DFC" w:rsidRDefault="00417DFC" w:rsidP="00417DFC">
      <w:pPr>
        <w:spacing w:after="0" w:line="240" w:lineRule="auto"/>
      </w:pPr>
    </w:p>
    <w:p w14:paraId="302AC2AA" w14:textId="77777777" w:rsidR="00417DFC" w:rsidRDefault="00000000" w:rsidP="00417DFC">
      <w:pPr>
        <w:spacing w:after="0" w:line="240" w:lineRule="auto"/>
      </w:pPr>
      <w:r>
        <w:rPr>
          <w:noProof/>
          <w:lang w:val="en-AU"/>
        </w:rPr>
        <w:pict w14:anchorId="3DFBAEEE">
          <v:shape id="Straight Arrow Connector 27" o:spid="_x0000_s2063" type="#_x0000_t32" style="position:absolute;left:0;text-align:left;margin-left:110.25pt;margin-top:10.15pt;width:0;height:22.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w:r>
    </w:p>
    <w:p w14:paraId="737AC98C" w14:textId="77777777" w:rsidR="00417DFC" w:rsidRDefault="00417DFC" w:rsidP="00417DFC">
      <w:pPr>
        <w:spacing w:after="0" w:line="240" w:lineRule="auto"/>
      </w:pPr>
    </w:p>
    <w:p w14:paraId="4892FF3D" w14:textId="77777777" w:rsidR="00417DFC" w:rsidRDefault="00000000" w:rsidP="00417DFC">
      <w:pPr>
        <w:spacing w:after="0" w:line="240" w:lineRule="auto"/>
      </w:pPr>
      <w:r>
        <w:rPr>
          <w:noProof/>
          <w:lang w:val="en-AU"/>
        </w:rPr>
        <w:pict w14:anchorId="7B72BCFE">
          <v:shape id="Straight Arrow Connector 15" o:spid="_x0000_s2060" type="#_x0000_t32" style="position:absolute;left:0;text-align:left;margin-left:193.2pt;margin-top:25.85pt;width:44.3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color="black [3213]" strokeweight=".5pt">
            <v:stroke endarrow="block" joinstyle="miter"/>
          </v:shape>
        </w:pict>
      </w:r>
      <w:r>
        <w:rPr>
          <w:noProof/>
          <w:lang w:val="en-AU"/>
        </w:rPr>
        <w:pict w14:anchorId="7BC968FC">
          <v:rect id="Rectangle 3" o:spid="_x0000_s2052" style="position:absolute;left:0;text-align:left;margin-left:44.05pt;margin-top:5.9pt;width:148.6pt;height:41.4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2EF638A3"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36E7892D"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w:t>
                  </w:r>
                  <w:r w:rsidR="00D82C22">
                    <w:rPr>
                      <w:rFonts w:ascii="Arial" w:hAnsi="Arial" w:cs="Arial"/>
                      <w:color w:val="000000" w:themeColor="text1"/>
                      <w:sz w:val="18"/>
                      <w:szCs w:val="20"/>
                    </w:rPr>
                    <w:t>47</w:t>
                  </w:r>
                  <w:r>
                    <w:rPr>
                      <w:rFonts w:ascii="Arial" w:hAnsi="Arial" w:cs="Arial"/>
                      <w:color w:val="000000" w:themeColor="text1"/>
                      <w:sz w:val="18"/>
                      <w:szCs w:val="20"/>
                    </w:rPr>
                    <w:t>)</w:t>
                  </w:r>
                </w:p>
              </w:txbxContent>
            </v:textbox>
          </v:rect>
        </w:pict>
      </w:r>
      <w:r>
        <w:rPr>
          <w:noProof/>
          <w:lang w:val="en-AU"/>
        </w:rPr>
        <w:pict w14:anchorId="78CD908B">
          <v:rect id="Rectangle 4" o:spid="_x0000_s2053" style="position:absolute;left:0;text-align:left;margin-left:240pt;margin-top:5.9pt;width:148.6pt;height:41.4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14:paraId="1B3EFCCC"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5A74CBBD"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w:t>
                  </w:r>
                  <w:r w:rsidR="00D82C22">
                    <w:rPr>
                      <w:rFonts w:ascii="Arial" w:hAnsi="Arial" w:cs="Arial"/>
                      <w:color w:val="000000" w:themeColor="text1"/>
                      <w:sz w:val="18"/>
                      <w:szCs w:val="20"/>
                    </w:rPr>
                    <w:t>78</w:t>
                  </w:r>
                  <w:r>
                    <w:rPr>
                      <w:rFonts w:ascii="Arial" w:hAnsi="Arial" w:cs="Arial"/>
                      <w:color w:val="000000" w:themeColor="text1"/>
                      <w:sz w:val="18"/>
                      <w:szCs w:val="20"/>
                    </w:rPr>
                    <w:t>)</w:t>
                  </w:r>
                </w:p>
              </w:txbxContent>
            </v:textbox>
          </v:rect>
        </w:pict>
      </w:r>
    </w:p>
    <w:p w14:paraId="4A5698E8" w14:textId="77777777" w:rsidR="00417DFC" w:rsidRDefault="00417DFC" w:rsidP="00417DFC">
      <w:pPr>
        <w:spacing w:after="0" w:line="240" w:lineRule="auto"/>
      </w:pPr>
    </w:p>
    <w:p w14:paraId="7734DCA3" w14:textId="77777777" w:rsidR="00417DFC" w:rsidRDefault="00417DFC" w:rsidP="00417DFC">
      <w:pPr>
        <w:spacing w:after="0" w:line="240" w:lineRule="auto"/>
      </w:pPr>
    </w:p>
    <w:p w14:paraId="420149AF" w14:textId="77777777" w:rsidR="00417DFC" w:rsidRDefault="00000000" w:rsidP="00417DFC">
      <w:pPr>
        <w:spacing w:after="0" w:line="240" w:lineRule="auto"/>
      </w:pPr>
      <w:r>
        <w:rPr>
          <w:noProof/>
          <w:lang w:val="en-AU"/>
        </w:rPr>
        <w:pict w14:anchorId="012F0E39">
          <v:shape id="Straight Arrow Connector 35" o:spid="_x0000_s2064" type="#_x0000_t32" style="position:absolute;left:0;text-align:left;margin-left:110.25pt;margin-top:7.85pt;width:0;height:22.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w:r>
    </w:p>
    <w:p w14:paraId="46748AC7" w14:textId="77777777" w:rsidR="00417DFC" w:rsidRDefault="00417DFC" w:rsidP="00417DFC">
      <w:pPr>
        <w:spacing w:after="0" w:line="240" w:lineRule="auto"/>
      </w:pPr>
    </w:p>
    <w:p w14:paraId="7FFCC3B7" w14:textId="77777777" w:rsidR="00417DFC" w:rsidRDefault="00000000" w:rsidP="00417DFC">
      <w:pPr>
        <w:spacing w:after="0" w:line="240" w:lineRule="auto"/>
      </w:pPr>
      <w:r>
        <w:rPr>
          <w:noProof/>
          <w:lang w:val="en-AU"/>
        </w:rPr>
        <w:pict w14:anchorId="05415F93">
          <v:rect id="Rectangle 5" o:spid="_x0000_s2054" style="position:absolute;left:0;text-align:left;margin-left:44.15pt;margin-top:3.75pt;width:148.6pt;height:41.4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4DBE962D"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39413B7"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69</w:t>
                  </w:r>
                  <w:r>
                    <w:rPr>
                      <w:rFonts w:ascii="Arial" w:hAnsi="Arial" w:cs="Arial"/>
                      <w:color w:val="000000" w:themeColor="text1"/>
                      <w:sz w:val="18"/>
                      <w:szCs w:val="20"/>
                    </w:rPr>
                    <w:t>)</w:t>
                  </w:r>
                </w:p>
              </w:txbxContent>
            </v:textbox>
          </v:rect>
        </w:pict>
      </w:r>
      <w:r>
        <w:rPr>
          <w:noProof/>
          <w:lang w:val="en-AU"/>
        </w:rPr>
        <w:pict w14:anchorId="37FC4D17">
          <v:shape id="Straight Arrow Connector 16" o:spid="_x0000_s2061" type="#_x0000_t32" style="position:absolute;left:0;text-align:left;margin-left:193.95pt;margin-top:25.25pt;width:44.3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w:r>
      <w:r>
        <w:rPr>
          <w:noProof/>
          <w:lang w:val="en-AU"/>
        </w:rPr>
        <w:pict w14:anchorId="652643A7">
          <v:rect id="Rectangle 6" o:spid="_x0000_s2055" style="position:absolute;left:0;text-align:left;margin-left:240.1pt;margin-top:5.25pt;width:148.6pt;height:41.4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6037C22B"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5620D3D9"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12</w:t>
                  </w:r>
                  <w:r>
                    <w:rPr>
                      <w:rFonts w:ascii="Arial" w:hAnsi="Arial" w:cs="Arial"/>
                      <w:color w:val="000000" w:themeColor="text1"/>
                      <w:sz w:val="18"/>
                      <w:szCs w:val="20"/>
                    </w:rPr>
                    <w:t>)</w:t>
                  </w:r>
                </w:p>
              </w:txbxContent>
            </v:textbox>
          </v:rect>
        </w:pict>
      </w:r>
    </w:p>
    <w:p w14:paraId="1EED3201" w14:textId="77777777" w:rsidR="00417DFC" w:rsidRDefault="00417DFC" w:rsidP="00417DFC">
      <w:pPr>
        <w:spacing w:after="0" w:line="240" w:lineRule="auto"/>
      </w:pPr>
    </w:p>
    <w:p w14:paraId="0CA400D8" w14:textId="77777777" w:rsidR="00417DFC" w:rsidRDefault="00417DFC" w:rsidP="00417DFC">
      <w:pPr>
        <w:spacing w:after="0" w:line="240" w:lineRule="auto"/>
      </w:pPr>
    </w:p>
    <w:p w14:paraId="0AC125F4" w14:textId="77777777" w:rsidR="00417DFC" w:rsidRDefault="00000000" w:rsidP="00417DFC">
      <w:pPr>
        <w:spacing w:after="0" w:line="240" w:lineRule="auto"/>
      </w:pPr>
      <w:r>
        <w:rPr>
          <w:noProof/>
          <w:lang w:val="en-AU"/>
        </w:rPr>
        <w:pict w14:anchorId="07FE4586">
          <v:shape id="Straight Arrow Connector 36" o:spid="_x0000_s2065" type="#_x0000_t32" style="position:absolute;left:0;text-align:left;margin-left:111pt;margin-top:4.45pt;width:0;height:22.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w:r>
    </w:p>
    <w:p w14:paraId="2ED9C00F" w14:textId="77777777" w:rsidR="00417DFC" w:rsidRDefault="00417DFC" w:rsidP="00417DFC">
      <w:pPr>
        <w:spacing w:after="0" w:line="240" w:lineRule="auto"/>
      </w:pPr>
    </w:p>
    <w:p w14:paraId="72A9BEB0" w14:textId="77777777" w:rsidR="00417DFC" w:rsidRDefault="00000000" w:rsidP="00417DFC">
      <w:pPr>
        <w:spacing w:after="0" w:line="240" w:lineRule="auto"/>
      </w:pPr>
      <w:r>
        <w:rPr>
          <w:noProof/>
          <w:lang w:val="en-AU"/>
        </w:rPr>
        <w:pict w14:anchorId="40BDCFB7">
          <v:rect id="Rectangle 9" o:spid="_x0000_s2057" style="position:absolute;left:0;text-align:left;margin-left:240.75pt;margin-top:.85pt;width:213.8pt;height:98.2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color="black [3213]" strokeweight="1pt">
            <v:textbox>
              <w:txbxContent>
                <w:p w14:paraId="00A397D5"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1F046A46" w14:textId="77777777" w:rsidR="00417DFC"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1: Not directly relevant to muga/Assam/Northeast India (n = </w:t>
                  </w:r>
                  <w:r w:rsidR="00D82C22">
                    <w:rPr>
                      <w:rFonts w:ascii="Arial" w:hAnsi="Arial" w:cs="Arial"/>
                      <w:color w:val="000000" w:themeColor="text1"/>
                      <w:sz w:val="18"/>
                      <w:szCs w:val="20"/>
                    </w:rPr>
                    <w:t>18</w:t>
                  </w:r>
                  <w:r w:rsidRPr="00814804">
                    <w:rPr>
                      <w:rFonts w:ascii="Arial" w:hAnsi="Arial" w:cs="Arial"/>
                      <w:color w:val="000000" w:themeColor="text1"/>
                      <w:sz w:val="18"/>
                      <w:szCs w:val="20"/>
                    </w:rPr>
                    <w:t>)</w:t>
                  </w:r>
                </w:p>
                <w:p w14:paraId="076DB323" w14:textId="77777777" w:rsidR="00417DFC"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2: No explicit climate exposure–impact linkage (n = </w:t>
                  </w:r>
                  <w:r w:rsidR="00D82C22">
                    <w:rPr>
                      <w:rFonts w:ascii="Arial" w:hAnsi="Arial" w:cs="Arial"/>
                      <w:color w:val="000000" w:themeColor="text1"/>
                      <w:sz w:val="18"/>
                      <w:szCs w:val="20"/>
                    </w:rPr>
                    <w:t>11</w:t>
                  </w:r>
                  <w:r w:rsidRPr="00814804">
                    <w:rPr>
                      <w:rFonts w:ascii="Arial" w:hAnsi="Arial" w:cs="Arial"/>
                      <w:color w:val="000000" w:themeColor="text1"/>
                      <w:sz w:val="18"/>
                      <w:szCs w:val="20"/>
                    </w:rPr>
                    <w:t>)</w:t>
                  </w:r>
                </w:p>
                <w:p w14:paraId="167DEB12" w14:textId="77777777" w:rsidR="00417DFC" w:rsidRPr="00560609"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Reason 3: Not peer-reviewed / insufficient methods or unverifiable metadata/DOI (n = 7)</w:t>
                  </w:r>
                  <w:r w:rsidR="00417DFC">
                    <w:rPr>
                      <w:rFonts w:ascii="Arial" w:hAnsi="Arial" w:cs="Arial"/>
                      <w:color w:val="000000" w:themeColor="text1"/>
                      <w:sz w:val="18"/>
                      <w:szCs w:val="20"/>
                    </w:rPr>
                    <w:t>.</w:t>
                  </w:r>
                </w:p>
              </w:txbxContent>
            </v:textbox>
          </v:rect>
        </w:pict>
      </w:r>
      <w:r>
        <w:rPr>
          <w:noProof/>
          <w:lang w:val="en-AU"/>
        </w:rPr>
        <w:pict w14:anchorId="4CD6757F">
          <v:shape id="Straight Arrow Connector 17" o:spid="_x0000_s2062" type="#_x0000_t32" style="position:absolute;left:0;text-align:left;margin-left:195pt;margin-top:23.2pt;width:44.3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w:r>
      <w:r>
        <w:rPr>
          <w:noProof/>
          <w:lang w:val="en-AU"/>
        </w:rPr>
        <w:pict w14:anchorId="5A66770E">
          <v:rect id="Rectangle 8" o:spid="_x0000_s2056" style="position:absolute;left:0;text-align:left;margin-left:44.25pt;margin-top:1.05pt;width:148.6pt;height:41.4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2D6C68F5"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3035373"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57</w:t>
                  </w:r>
                  <w:r>
                    <w:rPr>
                      <w:rFonts w:ascii="Arial" w:hAnsi="Arial" w:cs="Arial"/>
                      <w:color w:val="000000" w:themeColor="text1"/>
                      <w:sz w:val="18"/>
                      <w:szCs w:val="20"/>
                    </w:rPr>
                    <w:t>)</w:t>
                  </w:r>
                </w:p>
              </w:txbxContent>
            </v:textbox>
          </v:rect>
        </w:pict>
      </w:r>
    </w:p>
    <w:p w14:paraId="75054B76" w14:textId="77777777" w:rsidR="00417DFC" w:rsidRDefault="00417DFC" w:rsidP="00417DFC">
      <w:pPr>
        <w:spacing w:after="0" w:line="240" w:lineRule="auto"/>
      </w:pPr>
    </w:p>
    <w:p w14:paraId="672CF2DD" w14:textId="77777777" w:rsidR="00417DFC" w:rsidRDefault="00417DFC" w:rsidP="00417DFC">
      <w:pPr>
        <w:spacing w:after="0" w:line="240" w:lineRule="auto"/>
      </w:pPr>
    </w:p>
    <w:p w14:paraId="426DF202" w14:textId="77777777" w:rsidR="00417DFC" w:rsidRDefault="00000000" w:rsidP="00417DFC">
      <w:pPr>
        <w:spacing w:after="0" w:line="240" w:lineRule="auto"/>
      </w:pPr>
      <w:r>
        <w:rPr>
          <w:noProof/>
          <w:lang w:val="en-AU"/>
        </w:rPr>
        <w:pict w14:anchorId="27F23FD6">
          <v:shape id="Straight Arrow Connector 19" o:spid="_x0000_s2066" type="#_x0000_t32" style="position:absolute;left:0;text-align:left;margin-left:110.3pt;margin-top:2.35pt;width:0;height:58.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color="black [3213]" strokeweight=".5pt">
            <v:stroke endarrow="block" joinstyle="miter"/>
          </v:shape>
        </w:pict>
      </w:r>
    </w:p>
    <w:p w14:paraId="0EEA1BE2" w14:textId="77777777" w:rsidR="00417DFC" w:rsidRDefault="00417DFC" w:rsidP="00417DFC">
      <w:pPr>
        <w:spacing w:after="0" w:line="240" w:lineRule="auto"/>
      </w:pPr>
    </w:p>
    <w:p w14:paraId="463C68D2" w14:textId="77777777" w:rsidR="00417DFC" w:rsidRDefault="00417DFC" w:rsidP="00417DFC">
      <w:pPr>
        <w:spacing w:after="0" w:line="240" w:lineRule="auto"/>
      </w:pPr>
    </w:p>
    <w:p w14:paraId="168E1137" w14:textId="77777777" w:rsidR="00417DFC" w:rsidRDefault="00417DFC" w:rsidP="00417DFC">
      <w:pPr>
        <w:spacing w:after="0" w:line="240" w:lineRule="auto"/>
      </w:pPr>
    </w:p>
    <w:p w14:paraId="6337250C" w14:textId="77777777" w:rsidR="00417DFC" w:rsidRDefault="00000000" w:rsidP="00417DFC">
      <w:pPr>
        <w:spacing w:after="0" w:line="240" w:lineRule="auto"/>
      </w:pPr>
      <w:r>
        <w:rPr>
          <w:noProof/>
          <w:lang w:val="en-AU"/>
        </w:rPr>
        <w:pict w14:anchorId="1387AFDD">
          <v:rect id="Rectangle 13" o:spid="_x0000_s2058" style="position:absolute;left:0;text-align:left;margin-left:42.55pt;margin-top:8.7pt;width:148.6pt;height:36.1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5966FE57" w14:textId="77777777" w:rsidR="00417DFC"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Report/Studies included in review</w:t>
                  </w:r>
                  <w:r w:rsidR="00D82C22">
                    <w:rPr>
                      <w:rFonts w:ascii="Arial" w:hAnsi="Arial" w:cs="Arial"/>
                      <w:color w:val="000000" w:themeColor="text1"/>
                      <w:sz w:val="18"/>
                      <w:szCs w:val="20"/>
                    </w:rPr>
                    <w:t xml:space="preserve"> </w:t>
                  </w:r>
                  <w:r>
                    <w:rPr>
                      <w:rFonts w:ascii="Arial" w:hAnsi="Arial" w:cs="Arial"/>
                      <w:color w:val="000000" w:themeColor="text1"/>
                      <w:sz w:val="18"/>
                      <w:szCs w:val="20"/>
                    </w:rPr>
                    <w:t xml:space="preserve">(n = </w:t>
                  </w:r>
                  <w:r w:rsidR="00D82C22">
                    <w:rPr>
                      <w:rFonts w:ascii="Arial" w:hAnsi="Arial" w:cs="Arial"/>
                      <w:color w:val="000000" w:themeColor="text1"/>
                      <w:sz w:val="18"/>
                      <w:szCs w:val="20"/>
                    </w:rPr>
                    <w:t>21</w:t>
                  </w:r>
                  <w:r>
                    <w:rPr>
                      <w:rFonts w:ascii="Arial" w:hAnsi="Arial" w:cs="Arial"/>
                      <w:color w:val="000000" w:themeColor="text1"/>
                      <w:sz w:val="18"/>
                      <w:szCs w:val="20"/>
                    </w:rPr>
                    <w:t>)</w:t>
                  </w:r>
                </w:p>
              </w:txbxContent>
            </v:textbox>
          </v:rect>
        </w:pict>
      </w:r>
    </w:p>
    <w:p w14:paraId="559534CB" w14:textId="77777777" w:rsidR="00417DFC" w:rsidRDefault="00417DFC" w:rsidP="00417DFC">
      <w:pPr>
        <w:spacing w:after="0" w:line="240" w:lineRule="auto"/>
      </w:pPr>
    </w:p>
    <w:p w14:paraId="58173E1D" w14:textId="77777777" w:rsidR="00417DFC" w:rsidRDefault="00417DFC" w:rsidP="00417DFC">
      <w:pPr>
        <w:spacing w:after="0" w:line="240" w:lineRule="auto"/>
      </w:pPr>
    </w:p>
    <w:p w14:paraId="0EB6CDBB" w14:textId="77777777" w:rsidR="00417DFC" w:rsidRDefault="00417DFC" w:rsidP="00417DFC">
      <w:pPr>
        <w:spacing w:after="0" w:line="240" w:lineRule="auto"/>
      </w:pPr>
    </w:p>
    <w:p w14:paraId="15FF47B1" w14:textId="77777777" w:rsidR="00417DFC" w:rsidRDefault="00417DFC" w:rsidP="00417DFC">
      <w:pPr>
        <w:pStyle w:val="NormalWeb"/>
        <w:jc w:val="center"/>
      </w:pPr>
      <w:r>
        <w:t>Figure 1</w:t>
      </w:r>
      <w:r w:rsidR="00814804">
        <w:t>: S</w:t>
      </w:r>
      <w:r>
        <w:t>tratified methods of literature selection</w:t>
      </w:r>
    </w:p>
    <w:p w14:paraId="7D6E1316" w14:textId="77777777" w:rsidR="00417DFC" w:rsidRDefault="00417DFC" w:rsidP="00417DFC"/>
    <w:p w14:paraId="02DF1F45" w14:textId="77777777" w:rsidR="00586265" w:rsidRPr="00586265" w:rsidRDefault="00586265" w:rsidP="00586265">
      <w:pPr>
        <w:spacing w:before="100" w:beforeAutospacing="1" w:after="100" w:afterAutospacing="1" w:line="240" w:lineRule="auto"/>
        <w:ind w:left="0" w:right="0" w:firstLine="0"/>
        <w:jc w:val="left"/>
        <w:outlineLvl w:val="1"/>
        <w:rPr>
          <w:b/>
          <w:bCs/>
          <w:color w:val="auto"/>
          <w:kern w:val="0"/>
          <w:sz w:val="36"/>
          <w:szCs w:val="36"/>
          <w:lang w:val="en-US" w:eastAsia="en-US"/>
        </w:rPr>
      </w:pPr>
      <w:r w:rsidRPr="00586265">
        <w:rPr>
          <w:b/>
          <w:bCs/>
          <w:color w:val="auto"/>
          <w:kern w:val="0"/>
          <w:sz w:val="36"/>
          <w:szCs w:val="36"/>
          <w:lang w:val="en-US" w:eastAsia="en-US"/>
        </w:rPr>
        <w:t xml:space="preserve">3. </w:t>
      </w:r>
      <w:commentRangeStart w:id="5"/>
      <w:r w:rsidRPr="00586265">
        <w:rPr>
          <w:b/>
          <w:bCs/>
          <w:color w:val="auto"/>
          <w:kern w:val="0"/>
          <w:sz w:val="36"/>
          <w:szCs w:val="36"/>
          <w:lang w:val="en-US" w:eastAsia="en-US"/>
        </w:rPr>
        <w:t>The muga silk production system in Assam</w:t>
      </w:r>
      <w:commentRangeEnd w:id="5"/>
      <w:r w:rsidR="001937FD" w:rsidRPr="00586265">
        <w:rPr>
          <w:rStyle w:val="CommentReference"/>
          <w:b/>
          <w:bCs/>
          <w:color w:val="auto"/>
          <w:kern w:val="0"/>
          <w:sz w:val="36"/>
          <w:szCs w:val="36"/>
          <w:lang w:val="en-US" w:eastAsia="en-US"/>
        </w:rPr>
        <w:commentReference w:id="5"/>
      </w:r>
    </w:p>
    <w:p w14:paraId="44BF3950"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Muga silk production in Assam is best understood as a coupled socio-ecological system in which insect biology, host-plant ecophysiology, and human management are co-ordinated around seasonal weather windows. The principal producer, the muga silkmoth </w:t>
      </w:r>
      <w:r w:rsidRPr="00586265">
        <w:rPr>
          <w:i/>
          <w:iCs/>
          <w:color w:val="auto"/>
          <w:kern w:val="0"/>
          <w:lang w:val="en-US" w:eastAsia="en-US"/>
        </w:rPr>
        <w:t>Antheraea assamensis</w:t>
      </w:r>
      <w:r w:rsidRPr="00586265">
        <w:rPr>
          <w:color w:val="auto"/>
          <w:kern w:val="0"/>
          <w:lang w:val="en-US" w:eastAsia="en-US"/>
        </w:rPr>
        <w:t>, is semi-domesticated and typically reared under outdoor conditions, which distinguishes the system from many mulberry-based, indoor sericulture models. This outdoor reliance means that farm-level decisions—such as brood timing, selection of rearing sites within plantations, and leaf harvest practices—are inseparable from ambient temperature, humidity, rainfall, and microclimatic variation. Foundational accounts of the muga silkworm’s distribution, biology, and breeding emphasise that field exposure to fluctuating environmental conditions, together with pests and diseases, strongly shapes survivorship and cocooning success, making the production system inherently sensitive to climatic variability (Tikader et al., 2013). In Assam, this sensitivity is amplified by the monsoon-dominated climate, where short periods of persistent rainfall, high humidity, or sudden storms can interrupt feeding and cocoon formation, while intermittent dry-hot spells can stress host plants and reduce leaf palatability.</w:t>
      </w:r>
    </w:p>
    <w:p w14:paraId="77068216"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A defining feature of the muga system is that productivity depends on synchrony across multiple components. The silkworm must encounter abundant, nutritionally suitable leaves at the right developmental stages, and the environment must remain sufficiently favourable for feeding, moulting, and spinning. When this synchrony fails—because host leaves are too mature or water-stressed, because prolonged wetness limits feeding time, or because disease pressure escalates—cocoon yield and quality can decline sharply. Thus, the “production system” is not merely the insect, but the interaction among host plants, seasonal brood calendars, plantation management, and local ecological stressors, including pathogens and natural enemies. While many of these interactions are embedded in traditional knowledge and practice, the scientific literature makes clear that each step has identifiable biological and physiological sensitivities that can be leveraged for improved management and resilience (Tikader et al., 2013).</w:t>
      </w:r>
    </w:p>
    <w:p w14:paraId="4FB97689"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3.1 Host plants, nutrition, and landscape management</w:t>
      </w:r>
    </w:p>
    <w:p w14:paraId="19053904"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Host-plant resources anchor the muga production system. Although </w:t>
      </w:r>
      <w:r w:rsidRPr="00586265">
        <w:rPr>
          <w:i/>
          <w:iCs/>
          <w:color w:val="auto"/>
          <w:kern w:val="0"/>
          <w:lang w:val="en-US" w:eastAsia="en-US"/>
        </w:rPr>
        <w:t>A. assamensis</w:t>
      </w:r>
      <w:r w:rsidRPr="00586265">
        <w:rPr>
          <w:color w:val="auto"/>
          <w:kern w:val="0"/>
          <w:lang w:val="en-US" w:eastAsia="en-US"/>
        </w:rPr>
        <w:t xml:space="preserve"> can utilise a range of plants, commercial production depends heavily on a limited set of principal hosts, and this reliance makes host-plant health and leaf quality central determinants of rearing success. A synthesis of food-plant diversity and nutritional aspects highlights that distribution and availability of suitable host plants, along with their nutritive profiles, shape larval growth and cocoon traits, implying that constraints on the host-plant base translate directly into production instability (Devi et al., 2021). In practice, this means that the plantation landscape—tree density, age structure, canopy condition, soil moisture retention, and local shade regimes—functions as a productivity driver. The production system therefore includes </w:t>
      </w:r>
      <w:r w:rsidRPr="00586265">
        <w:rPr>
          <w:color w:val="auto"/>
          <w:kern w:val="0"/>
          <w:lang w:val="en-US" w:eastAsia="en-US"/>
        </w:rPr>
        <w:lastRenderedPageBreak/>
        <w:t>not only the act of rearing but also long-term host-plant establishment and maintenance, because stable leaf supply across multiple broods depends on sustained plant vigour.</w:t>
      </w:r>
    </w:p>
    <w:p w14:paraId="786920B9"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Environmental stress can alter host-plant physiology in ways that matter for larval feeding. Evidence from physiological assessment of </w:t>
      </w:r>
      <w:r w:rsidRPr="00586265">
        <w:rPr>
          <w:i/>
          <w:iCs/>
          <w:color w:val="auto"/>
          <w:kern w:val="0"/>
          <w:lang w:val="en-US" w:eastAsia="en-US"/>
        </w:rPr>
        <w:t>Persea bombycina</w:t>
      </w:r>
      <w:r w:rsidRPr="00586265">
        <w:rPr>
          <w:color w:val="auto"/>
          <w:kern w:val="0"/>
          <w:lang w:val="en-US" w:eastAsia="en-US"/>
        </w:rPr>
        <w:t xml:space="preserve"> under environmental stress shows that biochemical and water-related traits can vary with site conditions and season, underscoring that leaf quality is not static and that stress can shift the plant’s functional state (Jigyasu et al., 2023). For muga rearers, the practical implication is that plantation management must aim to minimise host stress—through appropriate site selection, protection of root zones, and reduction of cumulative stressors—so that leaf resources remain tender and nutritionally adequate during key larval stages. Because muga production is recurrent and brood-based, small declines in leaf quality can accumulate into substantial annual losses when repeated across multiple rearing cycles.</w:t>
      </w:r>
    </w:p>
    <w:p w14:paraId="741943FA"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3.2 Cocoon traits, stock variation, and production outcomes</w:t>
      </w:r>
    </w:p>
    <w:p w14:paraId="0851C7E2"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Cocoon and fibre traits represent the final economic expression of the production system and reflect both biological potential and environmental conditions. Empirical characterisation across different populations of </w:t>
      </w:r>
      <w:r w:rsidRPr="00586265">
        <w:rPr>
          <w:i/>
          <w:iCs/>
          <w:color w:val="auto"/>
          <w:kern w:val="0"/>
          <w:lang w:val="en-US" w:eastAsia="en-US"/>
        </w:rPr>
        <w:t>A. assamensis</w:t>
      </w:r>
      <w:r w:rsidRPr="00586265">
        <w:rPr>
          <w:color w:val="auto"/>
          <w:kern w:val="0"/>
          <w:lang w:val="en-US" w:eastAsia="en-US"/>
        </w:rPr>
        <w:t xml:space="preserve"> demonstrates that cocoon parameters such as cocoon weight, shell weight, shell ratio, and fibre-related attributes can differ among stocks, indicating that local populations and management contexts leave an imprint on economically important traits (Kalita &amp; Dutta, 2020). This variability matters because it suggests that the production system is not uniform even within Assam; rather, outcomes depend on how particular stocks respond to local host-plant conditions and seasonal weather regimes. It also implies a pathway for resilience: where certain stocks maintain acceptable cocoon traits across a wider range of conditions, they may be better suited for climates characterised by higher variability.</w:t>
      </w:r>
    </w:p>
    <w:p w14:paraId="446DD888"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The same evidence base also highlights trade-offs that are relevant for system design. For instance, some populations may exhibit favourable filament properties yet present practical constraints for reeling or processing, which can limit their adoption despite biological advantages (Kalita &amp; Dutta, 2020). Therefore, the production system must be evaluated not only in terms of cocoon yield but also in terms of downstream usability, which is shaped by cocoon structure and fibre behaviour. In a climate-sensitive context, such trade-offs become more prominent because management interventions may prioritise stability and robustness over peak performance in ideal conditions.</w:t>
      </w:r>
    </w:p>
    <w:p w14:paraId="4518B26C"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3.3 Disease constraints and their systemic role</w:t>
      </w:r>
    </w:p>
    <w:p w14:paraId="5F81AAFB"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Disease is not an ancillary concern in muga sericulture; it is a system-level determinant that interacts with outdoor rearing conditions, host-plant microclimates, and husbandry practices. Molecular identification and isolation of microsporidian pathogens associated with nosemosis in muga, alongside documented negative impacts on cocoon and silk traits, demonstrate that infection can significantly reduce key production parameters, directly lowering yield and quality (Subrahmanyam et al., 2019). Because outdoor rearing exposes larvae and rearing surfaces to fluctuating humidity and rainfall, the conditions that favour disease persistence and transmission may occur frequently during monsoon phases. This makes hygiene practices, early detection, and the timing of rearing operations critical components of the production system rather than optional add-ons.</w:t>
      </w:r>
    </w:p>
    <w:p w14:paraId="0C893F8B"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lastRenderedPageBreak/>
        <w:t>Importantly, disease impacts cannot be treated independently of host-plant management. Stressed host plants can yield poorer leaves, reducing larval fitness and potentially increasing susceptibility to infection, while wet leaves and prolonged surface moisture can create favourable microenvironments for pathogen spread. In this way, plantation microclimate, leaf handling, and brood timing collectively shape disease risk. The production system therefore benefits from an integrated perspective in which host-plant health, rearing conditions, and disease surveillance are managed as a single risk portfolio. This system framing aligns with the broader biological understanding that muga sericulture is shaped by field exposure to environmental fluctuations and biotic pressures (Tikader et al., 2013), and that stable production requires co-ordinated management across the plantation–rearing interface.</w:t>
      </w:r>
    </w:p>
    <w:p w14:paraId="0857819B" w14:textId="77777777" w:rsidR="00586265" w:rsidRDefault="00586265" w:rsidP="00417DFC">
      <w:pPr>
        <w:pStyle w:val="Heading2"/>
      </w:pPr>
    </w:p>
    <w:p w14:paraId="2013BD13" w14:textId="77777777" w:rsidR="00586265" w:rsidRPr="00586265" w:rsidRDefault="00586265" w:rsidP="00586265">
      <w:pPr>
        <w:spacing w:before="100" w:beforeAutospacing="1" w:after="100" w:afterAutospacing="1" w:line="240" w:lineRule="auto"/>
        <w:ind w:left="0" w:right="0" w:firstLine="0"/>
        <w:jc w:val="left"/>
        <w:outlineLvl w:val="1"/>
        <w:rPr>
          <w:b/>
          <w:bCs/>
          <w:color w:val="auto"/>
          <w:kern w:val="0"/>
          <w:sz w:val="36"/>
          <w:szCs w:val="36"/>
          <w:lang w:val="en-US" w:eastAsia="en-US"/>
        </w:rPr>
      </w:pPr>
      <w:r w:rsidRPr="00586265">
        <w:rPr>
          <w:b/>
          <w:bCs/>
          <w:color w:val="auto"/>
          <w:kern w:val="0"/>
          <w:sz w:val="36"/>
          <w:szCs w:val="36"/>
          <w:lang w:val="en-US" w:eastAsia="en-US"/>
        </w:rPr>
        <w:t>4. Climate change signals relevant to muga sericulture in Assam</w:t>
      </w:r>
    </w:p>
    <w:p w14:paraId="30494A5C"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Climate change risk for muga sericulture arises from a combination of gradual shifts in mean conditions and changes in variability and extremes. For an outdoor, brood-based production system, the most consequential signals are often seasonal and event-based rather than annual averages. The muga landscape in Assam sits within a monsoon-dominated climate regime characterised by strong seasonality, high humidity, and marked year-to-year fluctuations in rainfall and temperature. In this setting, even small shifts in seasonal timing, the persistence of wet spells, or the frequency of heavy rainfall events can disrupt feeding windows, prolong leaf wetness, and affect both host-plant physiology and silkworm health. Accordingly, interpreting climate change for muga requires attention to (i) observed trends in temperature and precipitation, (ii) the structure of monsoon variability and its teleconnections, (iii) changes in extremes, and (iv) projected future changes that may alter the reliability of rearing windows.</w:t>
      </w:r>
    </w:p>
    <w:p w14:paraId="06B677B4"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4.1 Observed temperature and rainfall behaviour in North-East India</w:t>
      </w:r>
    </w:p>
    <w:p w14:paraId="211AE46C"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Observational assessments of climate records in North-East India provide an essential baseline for understanding how the environmental envelope for muga sericulture may already be shifting. Evidence indicates that temperature changes are clearly detectable across the region, while rainfall trends are more heterogeneous and spatially variable (Jain et al., 2013). For muga production, this asymmetry matters because warming can influence multiple points in the production system even when rainfall trends are not uniform. Higher temperatures can modify larval development rates, affect the duration of instars, and alter the balance between growth and stress responses in outdoor rearing. Warming may also affect host-plant phenology, shifting the timing and quality of leaf flush in ways that can desynchronise optimal feeding stages from traditional brood calendars.</w:t>
      </w:r>
    </w:p>
    <w:p w14:paraId="1FB9C746"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Long-term rainfall analyses across India emphasise that precipitation change is frequently expressed through redistribution across seasons and regions rather than through simple monotonic trends in annual totals (Kumar et al., 2010). This is particularly relevant for Assam, where rearing outcomes depend on brood-specific windows. A modest shift in the timing of wet spells or the persistence of rainy days can be more damaging than a comparable change in annual rainfall totals, because wet leaves reduce effective feeding time, increase </w:t>
      </w:r>
      <w:r w:rsidRPr="00586265">
        <w:rPr>
          <w:color w:val="auto"/>
          <w:kern w:val="0"/>
          <w:lang w:val="en-US" w:eastAsia="en-US"/>
        </w:rPr>
        <w:lastRenderedPageBreak/>
        <w:t>the likelihood of microbial growth on foliage, and complicate cocooning and post-harvest handling. Therefore, from a sericulture perspective, rainfall “character” (frequency, intensity, persistence, and seasonality) can be more important than total accumulation.</w:t>
      </w:r>
    </w:p>
    <w:p w14:paraId="351E7936"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4.2 Monsoon variability, structured year-to-year fluctuations, and predictability</w:t>
      </w:r>
    </w:p>
    <w:p w14:paraId="6D1CC99B"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Year-to-year variability in the Indian monsoon is not simply random noise; it exhibits structured patterns and modes that shape the distribution of rainfall across regions and seasons. A documented prominent pattern of interannual variability in Indian summer monsoon rainfall highlights that large-scale circulation features organise rainfall anomalies and can influence the intensity and timing of monsoon behaviour (Mishra et al., 2012). For Assam and the broader North-East, such variability can translate into shifts in the onset and retreat of wet conditions, changes in the likelihood of prolonged wet spells, and altered sequencing of wet and dry periods within a season. In an outdoor system, this creates operational risk: rearing activities that are normally safe within a typical seasonal pattern may become riskier when intra-seasonal variability increases.</w:t>
      </w:r>
    </w:p>
    <w:p w14:paraId="046F39F8"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Teleconnections further complicate the risk landscape because they can change over time, altering the predictability of seasonal rainfall. Evidence that the relationship between ENSO and northeast monsoon rainfall has strengthened in recent decades illustrates that climate linkages can evolve and that seasonal rainfall behaviour may become more tightly coupled to large-scale ocean–atmosphere conditions (Kumar et al., 2007). While northeast monsoon dynamics are most directly relevant to southern peninsular India, the broader implication for muga sericulture is that evolving teleconnections and circulation regimes can shift the timing and reliability of rainfall seasons in ways that producers may not easily anticipate using historical experience alone. This strengthens the case for integrating climate information into brood planning, particularly when multiple broods are spread across the year and each brood intersects different segments of the regional seasonal cycle.</w:t>
      </w:r>
    </w:p>
    <w:p w14:paraId="3A0F9FE8"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4.3 Extreme precipitation as a dominant disruption pathway</w:t>
      </w:r>
    </w:p>
    <w:p w14:paraId="047665B2"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For outdoor sericulture, extremes often represent the most immediate cause of large losses. Heavy rainfall events can physically damage host plantations, knock larvae from foliage, interrupt feeding, and create persistently wet microclimates that favour disease emergence and spread. Evidence indicates that extreme precipitation events have increased over India in association with anthropogenic warming, suggesting that high-impact rainfall episodes may become more frequent or more intense (Mukherjee et al., 2018). In Assam, where high humidity and heavy rainfall are already common, a marginal increase in extreme event likelihood can disproportionately affect muga production by increasing the frequency of “failed windows” during which rearing becomes impractical or biologically risky.</w:t>
      </w:r>
    </w:p>
    <w:p w14:paraId="4D280C0B"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Hotspot-oriented analyses help interpret how precipitation characteristics may change across the country under future climate scenarios. A precipitation-based climate change hotspot assessment using a multi-model framework identifies regions where precipitation shifts and extremes are projected to be particularly pronounced, and it indicates that parts of the North-East can emerge as areas of notable change (Sarkar et al., 2023). For muga sericulture, the key implication is that risk may not rise uniformly; rather, certain micro-regions may experience a sharper increase in disruptive rainfall behaviour than others, influencing where plantation investments remain viable and where additional protective measures become </w:t>
      </w:r>
      <w:r w:rsidRPr="00586265">
        <w:rPr>
          <w:color w:val="auto"/>
          <w:kern w:val="0"/>
          <w:lang w:val="en-US" w:eastAsia="en-US"/>
        </w:rPr>
        <w:lastRenderedPageBreak/>
        <w:t>necessary. Such evidence also supports a focus on buffering and preparedness—reducing exposure during high-risk periods, strengthening plantation resilience to waterlogging and wind, and improving post-harvest handling strategies to prevent loss during extended wet conditions.</w:t>
      </w:r>
    </w:p>
    <w:p w14:paraId="1462EC8C"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4.4 Projections for North-East India and seasonal shifts in the rearing envelope</w:t>
      </w:r>
    </w:p>
    <w:p w14:paraId="32197593"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Projections from regional climate modelling provide a forward-looking view of how the climatic envelope for muga sericulture may evolve. Regional assessments for North-East India suggest warming and associated changes in precipitation characteristics under future scenarios, implying that historically familiar rearing conditions may shift in intensity and timing (Dash et al., 2012). For muga production, rising temperatures can create new stress risks during already warm, humid months, but may also alter the balance of suitability across broods. In practical terms, the “best” brood seasons under historical conditions may no longer remain best, while previously marginal periods may become more viable or may become riskier depending on how temperature and rainfall co-evolve.</w:t>
      </w:r>
    </w:p>
    <w:p w14:paraId="15C06385"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Seasonal precipitation projections under higher warming scenarios further illustrate that rainfall regimes can be modulated by circulation changes and that the seasonal structure of precipitation can shift, not only its mean magnitude (Tiwari et al., 2023). The broader lesson for Assam’s muga system is that adaptation planning should remain seasonal and brood-specific. Producers and planners should anticipate that risk may increase via compound conditions such as warm, humid spells coinciding with persistent wetness, which can simultaneously reduce feeding time and elevate disease pressure. Conversely, more frequent warm nights could alter larval metabolic costs and host-plant water relations, changing growth and cocooning outcomes in ways that may vary by stock and locality.</w:t>
      </w:r>
    </w:p>
    <w:p w14:paraId="10B69400"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Overall, the climate signals most relevant to muga sericulture in Assam are those that influence the reliability of weather windows for outdoor rearing and the stability of host-plant leaf resources across multiple broods. Observed warming and variable rainfall behaviour (Jain et al., 2013; Kumar et al., 2010), structured monsoon variability and evolving teleconnections (Mishra et al., 2012; Kumar et al., 2007), evidence of increasing extremes (Mukherjee et al., 2018), hotspot emergence (Sarkar et al., 2023), and regional projections (Dash et al., 2012; Tiwari et al., 2023) together support the conclusion that climate change is likely to increase the volatility of muga production more than it changes any single average condition. This reinforces the need to interpret climate change through brood calendars, operational risk windows, and plantation microclimates rather than through annual means alone.</w:t>
      </w:r>
    </w:p>
    <w:p w14:paraId="47587DB2" w14:textId="77777777" w:rsidR="00417DFC" w:rsidRDefault="00417DFC" w:rsidP="00417DFC"/>
    <w:p w14:paraId="28DAEA43" w14:textId="77777777" w:rsidR="00586265" w:rsidRPr="00586265" w:rsidRDefault="00586265" w:rsidP="00586265">
      <w:pPr>
        <w:spacing w:before="100" w:beforeAutospacing="1" w:after="100" w:afterAutospacing="1" w:line="240" w:lineRule="auto"/>
        <w:ind w:left="0" w:right="0" w:firstLine="0"/>
        <w:jc w:val="left"/>
        <w:outlineLvl w:val="1"/>
        <w:rPr>
          <w:b/>
          <w:bCs/>
          <w:color w:val="auto"/>
          <w:kern w:val="0"/>
          <w:sz w:val="36"/>
          <w:szCs w:val="36"/>
          <w:lang w:val="en-US" w:eastAsia="en-US"/>
        </w:rPr>
      </w:pPr>
      <w:r w:rsidRPr="00586265">
        <w:rPr>
          <w:b/>
          <w:bCs/>
          <w:color w:val="auto"/>
          <w:kern w:val="0"/>
          <w:sz w:val="36"/>
          <w:szCs w:val="36"/>
          <w:lang w:val="en-US" w:eastAsia="en-US"/>
        </w:rPr>
        <w:t>5. Pathways through which climate change can affect muga silk production</w:t>
      </w:r>
    </w:p>
    <w:p w14:paraId="7159C296"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Climate change can influence muga silk production through a set of interacting pathways rather than a single, linear mechanism. Because muga sericulture in Assam is largely an outdoor enterprise, climatic signals are transmitted simultaneously through the silkworm’s </w:t>
      </w:r>
      <w:r w:rsidRPr="00586265">
        <w:rPr>
          <w:color w:val="auto"/>
          <w:kern w:val="0"/>
          <w:lang w:val="en-US" w:eastAsia="en-US"/>
        </w:rPr>
        <w:lastRenderedPageBreak/>
        <w:t xml:space="preserve">physiology, the host plants’ phenology and leaf quality, and the wider plantation microenvironment that governs disease pressure and operational feasibility. The system is therefore best conceptualised as an eco-climatic production complex in which weather and climate shape not only mean performance but also the frequency of brood failures and the consistency of cocoon traits. Foundational accounts of </w:t>
      </w:r>
      <w:r w:rsidRPr="00586265">
        <w:rPr>
          <w:i/>
          <w:iCs/>
          <w:color w:val="auto"/>
          <w:kern w:val="0"/>
          <w:lang w:val="en-US" w:eastAsia="en-US"/>
        </w:rPr>
        <w:t>Antheraea assamensis</w:t>
      </w:r>
      <w:r w:rsidRPr="00586265">
        <w:rPr>
          <w:color w:val="auto"/>
          <w:kern w:val="0"/>
          <w:lang w:val="en-US" w:eastAsia="en-US"/>
        </w:rPr>
        <w:t xml:space="preserve"> emphasise that the species is reared under field conditions where environmental fluctuations, pests, and diseases become integral determinants of survivorship and cocooning success, making climate sensitivity intrinsic to the production model (Tikader et al., 2013).</w:t>
      </w:r>
    </w:p>
    <w:p w14:paraId="1B8AE1D1"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5.1 Host-plant mediated nutrition and phenology mismatch</w:t>
      </w:r>
    </w:p>
    <w:p w14:paraId="3A05C300"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primary pathway is indirect, operating via the host plants that supply larval nutrition. Although </w:t>
      </w:r>
      <w:r w:rsidRPr="00586265">
        <w:rPr>
          <w:i/>
          <w:iCs/>
          <w:color w:val="auto"/>
          <w:kern w:val="0"/>
          <w:lang w:val="en-US" w:eastAsia="en-US"/>
        </w:rPr>
        <w:t>A. assamensis</w:t>
      </w:r>
      <w:r w:rsidRPr="00586265">
        <w:rPr>
          <w:color w:val="auto"/>
          <w:kern w:val="0"/>
          <w:lang w:val="en-US" w:eastAsia="en-US"/>
        </w:rPr>
        <w:t xml:space="preserve"> can utilise multiple food plants, commercial production in practice relies heavily on a narrow set of key hosts, and the system’s stability depends on the availability of abundant, tender leaves at the appropriate times (Devi et al., 2021). Climate change can disrupt this by shifting host-plant phenology, altering the timing and duration of leaf flush, and changing the proportion of leaves that remain in a nutritionally favourable state during the critical larval feeding period. If warming or altered rainfall timing advances leaf maturation or reduces the persistence of tender foliage, larvae may be forced onto tougher or nutritionally poorer leaves, lowering feeding efficiency and reducing the energy reserves available for silk production. This creates a “phenology mismatch” risk: even if the silkworm develops normally, the quality of its food may not align with its needs during specific instars, reducing cocoon weight and shell ratio.</w:t>
      </w:r>
    </w:p>
    <w:p w14:paraId="0A16BA0F"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Host-plant physiology also mediates climate impacts through stress responses that affect leaf chemistry and water status. Evidence that </w:t>
      </w:r>
      <w:r w:rsidRPr="00586265">
        <w:rPr>
          <w:i/>
          <w:iCs/>
          <w:color w:val="auto"/>
          <w:kern w:val="0"/>
          <w:lang w:val="en-US" w:eastAsia="en-US"/>
        </w:rPr>
        <w:t>Persea bombycina</w:t>
      </w:r>
      <w:r w:rsidRPr="00586265">
        <w:rPr>
          <w:color w:val="auto"/>
          <w:kern w:val="0"/>
          <w:lang w:val="en-US" w:eastAsia="en-US"/>
        </w:rPr>
        <w:t xml:space="preserve"> exhibits measurable variation in stress-related biochemical parameters and tolerance traits under environmental pressures indicates that leaf quality is dynamic and sensitive to changing conditions (Jigyasu et al., 2023). Under warmer or more variable regimes, leaf water relations and stress metabolites may shift in ways that influence palatability, digestibility, and nutrient assimilation, with downstream effects on larval growth and cocoon formation. Because muga rearing spans multiple broods, even modest declines in host performance can accumulate across the production year, amplifying the effect of incremental climate stress into substantial reductions in annual output.</w:t>
      </w:r>
    </w:p>
    <w:p w14:paraId="24EC89DF"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5.2 Direct effects on silkworm development, survival, and cocooning</w:t>
      </w:r>
    </w:p>
    <w:p w14:paraId="2172013C"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A second pathway is direct, operating through the silkworm’s exposure to ambient temperature and humidity. In outdoor systems, larval development, moulting success, and spinning behaviour occur under fluctuating microclimates that can be pushed beyond favourable ranges during heat spikes, prolonged wetness, or abrupt weather transitions. Higher temperatures can accelerate development and potentially compress larval stages, which may reduce the time available for feeding and biomass accumulation if host leaves are not correspondingly abundant and tender. Conversely, periods of unfavourable humidity or persistent rainfall can limit active feeding time and increase physiological stress, thereby increasing mortality or weakening larvae such that cocoon formation is compromised. The biological framing offered in muga overviews underscores that field exposure to environmental variability is a defining feature of the species’ production ecology, implying that climate change can manifest as increased volatility in survivorship and cocooning success rather than as a uniform shift in average yields (Tikader et al., 2013).</w:t>
      </w:r>
    </w:p>
    <w:p w14:paraId="2DA630BE"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lastRenderedPageBreak/>
        <w:t>5.3 Disease ecology and climate-amplified infection risk</w:t>
      </w:r>
    </w:p>
    <w:p w14:paraId="5BA8A99C"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A third pathway is disease amplification. Outdoor rearing increases the likelihood that climatic conditions will periodically favour pathogen persistence and transmission, particularly when high humidity and leaf wetness are prolonged. Microsporidian infection causing nosemosis in muga has been molecularly identified and is associated with significant reductions in cocoon and silk traits, including cocoon and pupal weight and silk ratio, directly undermining production quantity and quality (Subrahmanyam et al., 2019). Climate change can plausibly intensify this pathway by increasing the frequency of wet spells and humid microclimates that support pathogen survival on foliage and rearing surfaces, while simultaneously stressing larvae and reducing immune competence. The key practical implication is that disease should be treated as a climate-sensitive constraint: adverse weather does not only cause direct loss, but can also raise the baseline probability of infection-driven declines in cocoon traits.</w:t>
      </w:r>
    </w:p>
    <w:p w14:paraId="707FB58A"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5.4 Environmental imprinting on cocoon traits and stock-specific sensitivity</w:t>
      </w:r>
    </w:p>
    <w:p w14:paraId="6E64503D"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fourth pathway concerns how climate interacts with stock variation to shape cocoon quality. Cocoon characterisation across different populations of </w:t>
      </w:r>
      <w:r w:rsidRPr="00586265">
        <w:rPr>
          <w:i/>
          <w:iCs/>
          <w:color w:val="auto"/>
          <w:kern w:val="0"/>
          <w:lang w:val="en-US" w:eastAsia="en-US"/>
        </w:rPr>
        <w:t>A. assamensis</w:t>
      </w:r>
      <w:r w:rsidRPr="00586265">
        <w:rPr>
          <w:color w:val="auto"/>
          <w:kern w:val="0"/>
          <w:lang w:val="en-US" w:eastAsia="en-US"/>
        </w:rPr>
        <w:t xml:space="preserve"> shows that economically important parameters vary among populations, indicating that genetic background and local conditions jointly influence outcomes such as cocoon weight, shell ratio, and fibre performance (Kalita &amp; Dutta, 2020). Under climate change, this implies that some stocks may be more vulnerable to particular stress combinations (for example, warm–humid conditions during late larval stages), while others may retain acceptable cocoon traits across a wider range of conditions. The production consequence is that climate change may not simply reduce output; it may re-rank the relative performance of stocks and locations, making robustness and consistency increasingly valuable selection targets. At the same time, cocoon traits also have processing implications, and the feasibility of adopting certain stocks can be constrained by reeling and handling properties, meaning that climate-resilient choices must remain compatible with downstream value-chain requirements (Kalita &amp; Dutta, 2020).</w:t>
      </w:r>
    </w:p>
    <w:p w14:paraId="19671D96"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5.5 Spatial suitability shifts and silkworm–host overlap</w:t>
      </w:r>
    </w:p>
    <w:p w14:paraId="23E6CCD9"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fifth pathway is geographic, operating through climate-driven changes in the overlap between suitable conditions for the silkworm and its primary host plants. Ensemble distribution modelling that jointly considers </w:t>
      </w:r>
      <w:r w:rsidRPr="00586265">
        <w:rPr>
          <w:i/>
          <w:iCs/>
          <w:color w:val="auto"/>
          <w:kern w:val="0"/>
          <w:lang w:val="en-US" w:eastAsia="en-US"/>
        </w:rPr>
        <w:t>A. assamensis</w:t>
      </w:r>
      <w:r w:rsidRPr="00586265">
        <w:rPr>
          <w:color w:val="auto"/>
          <w:kern w:val="0"/>
          <w:lang w:val="en-US" w:eastAsia="en-US"/>
        </w:rPr>
        <w:t xml:space="preserve"> and the principal host </w:t>
      </w:r>
      <w:r w:rsidRPr="00586265">
        <w:rPr>
          <w:i/>
          <w:iCs/>
          <w:color w:val="auto"/>
          <w:kern w:val="0"/>
          <w:lang w:val="en-US" w:eastAsia="en-US"/>
        </w:rPr>
        <w:t>Litsea monopetala</w:t>
      </w:r>
      <w:r w:rsidRPr="00586265">
        <w:rPr>
          <w:color w:val="auto"/>
          <w:kern w:val="0"/>
          <w:lang w:val="en-US" w:eastAsia="en-US"/>
        </w:rPr>
        <w:t xml:space="preserve"> in defined climate space suggests that future climate change can modify where suitable overlap occurs, implying potential shifts in viable production landscapes (Sarma et al., 2025). This matters because muga sericulture depends on co-location: even if the insect can survive, production viability declines if host plants become stressed or less suitable, or if suitable conditions for silkworm development drift away from the current host-plant distribution. In operational terms, spatial suitability change can influence where plantation investments are likely to remain productive and where assisted regeneration or diversification of host resources might be warranted.</w:t>
      </w:r>
    </w:p>
    <w:p w14:paraId="684D7400"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Overall, these pathways are tightly coupled. Host-plant stress can weaken larval nutrition and increase susceptibility to disease; wet spells can simultaneously reduce feeding time and promote pathogen transmission; and spatial shifts can change which micro-regions experience these compound risks most frequently. A pathways framing therefore points towards adaptation strategies that address the system as an integrated whole—supporting </w:t>
      </w:r>
      <w:r w:rsidRPr="00586265">
        <w:rPr>
          <w:color w:val="auto"/>
          <w:kern w:val="0"/>
          <w:lang w:val="en-US" w:eastAsia="en-US"/>
        </w:rPr>
        <w:lastRenderedPageBreak/>
        <w:t>host-plant resilience, managing brood-wise weather risk, strengthening disease surveillance, and using climate-space evidence to guide longer-term spatial planning—rather than attempting single-point fixes.</w:t>
      </w:r>
    </w:p>
    <w:p w14:paraId="7E6815AA" w14:textId="77777777" w:rsidR="00417DFC" w:rsidRDefault="00417DFC" w:rsidP="00417DFC"/>
    <w:p w14:paraId="7A1409A6" w14:textId="77777777" w:rsidR="003C3BB0" w:rsidRPr="00D82C22" w:rsidRDefault="003C3BB0" w:rsidP="00D82C22">
      <w:pPr>
        <w:pStyle w:val="Heading2"/>
      </w:pPr>
      <w:r w:rsidRPr="003C3BB0">
        <w:t xml:space="preserve">6. Adaptation options and governance priorities for Assam’s muga sector </w:t>
      </w:r>
    </w:p>
    <w:p w14:paraId="6DC31EE9" w14:textId="77777777" w:rsidR="003C3BB0" w:rsidRPr="003C3BB0" w:rsidRDefault="003C3BB0" w:rsidP="00D82C2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C3BB0">
        <w:rPr>
          <w:b/>
          <w:bCs/>
          <w:color w:val="auto"/>
          <w:kern w:val="0"/>
          <w:sz w:val="27"/>
          <w:szCs w:val="27"/>
          <w:lang w:val="en-US" w:eastAsia="en-US"/>
        </w:rPr>
        <w:t>6.1 Climate-smart host-plant management</w:t>
      </w:r>
    </w:p>
    <w:p w14:paraId="7185C95A" w14:textId="77777777" w:rsidR="003C3BB0" w:rsidRPr="003C3BB0" w:rsidRDefault="003C3BB0" w:rsidP="003C3BB0">
      <w:pPr>
        <w:spacing w:before="100" w:beforeAutospacing="1" w:after="100" w:afterAutospacing="1" w:line="240" w:lineRule="auto"/>
        <w:ind w:left="0" w:right="0" w:firstLine="0"/>
        <w:jc w:val="left"/>
        <w:rPr>
          <w:color w:val="auto"/>
          <w:kern w:val="0"/>
          <w:lang w:val="en-US" w:eastAsia="en-US"/>
        </w:rPr>
      </w:pPr>
      <w:r w:rsidRPr="003C3BB0">
        <w:rPr>
          <w:color w:val="auto"/>
          <w:kern w:val="0"/>
          <w:lang w:val="en-US" w:eastAsia="en-US"/>
        </w:rPr>
        <w:t xml:space="preserve">Effective adaptation for muga sericulture must be multi-layered because climate impacts operate simultaneously across host-plant condition, silkworm developmental performance, disease pressure, and value-chain logistics. A first priority is to strengthen host-plant resilience through plantation and landscape management that buffers thermal and moisture extremes, because host-plant diversity, distribution, and leaf nutritional quality fundamentally constrain rearing success (Devi et al., 2021). Where multiple environmental stressors co-occur, routine monitoring of host-plant physiological indicators can support site-appropriate protective actions and more climate-tolerant plantation choices, given evidence that stress conditions can measurably alter key biochemical traits in </w:t>
      </w:r>
      <w:r w:rsidRPr="003C3BB0">
        <w:rPr>
          <w:i/>
          <w:iCs/>
          <w:color w:val="auto"/>
          <w:kern w:val="0"/>
          <w:lang w:val="en-US" w:eastAsia="en-US"/>
        </w:rPr>
        <w:t>Persea bombycina</w:t>
      </w:r>
      <w:r w:rsidRPr="003C3BB0">
        <w:rPr>
          <w:color w:val="auto"/>
          <w:kern w:val="0"/>
          <w:lang w:val="en-US" w:eastAsia="en-US"/>
        </w:rPr>
        <w:t xml:space="preserve"> with implications for the muga production resource base (Jigyasu et al., 2023). Because som and soalu are perennial trees, increasing frequency and severity of drought and heat stress can elevate host-plant decline and mortality risk, thereby weakening the leaf resource base needed for repeated brood cycles (Allen et al., 2010).</w:t>
      </w:r>
    </w:p>
    <w:p w14:paraId="348A7383" w14:textId="77777777" w:rsidR="003C3BB0" w:rsidRPr="003C3BB0" w:rsidRDefault="003C3BB0" w:rsidP="00D82C2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C3BB0">
        <w:rPr>
          <w:b/>
          <w:bCs/>
          <w:color w:val="auto"/>
          <w:kern w:val="0"/>
          <w:sz w:val="27"/>
          <w:szCs w:val="27"/>
          <w:lang w:val="en-US" w:eastAsia="en-US"/>
        </w:rPr>
        <w:t>6.2 Brood-wise climate risk calendars and operational flexibility</w:t>
      </w:r>
    </w:p>
    <w:p w14:paraId="3E7E3F22" w14:textId="77777777" w:rsidR="003C3BB0" w:rsidRPr="003C3BB0" w:rsidRDefault="003C3BB0" w:rsidP="003C3BB0">
      <w:pPr>
        <w:spacing w:before="100" w:beforeAutospacing="1" w:after="100" w:afterAutospacing="1" w:line="240" w:lineRule="auto"/>
        <w:ind w:left="0" w:right="0" w:firstLine="0"/>
        <w:jc w:val="left"/>
        <w:rPr>
          <w:color w:val="auto"/>
          <w:kern w:val="0"/>
          <w:lang w:val="en-US" w:eastAsia="en-US"/>
        </w:rPr>
      </w:pPr>
      <w:r w:rsidRPr="003C3BB0">
        <w:rPr>
          <w:color w:val="auto"/>
          <w:kern w:val="0"/>
          <w:lang w:val="en-US" w:eastAsia="en-US"/>
        </w:rPr>
        <w:t>A second priority is to operationalise brood-scale climate-risk calendars using actionable weather and seasonal information. Observational analyses indicate warming signals across North-East India and non-uniform rainfall variability (Jain et al., 2013), while regional projections suggest that future temperature and precipitation characteristics may continue to shift in ways that could reconfigure historically reliable rearing windows (Dash et al., 2012). Recent evidence from a North-East India grainage study also reports that adverse seasonal conditions (including high temperature and heavy rainfall with disease/pest pressure, or prolonged cool conditions with fungal infestation) can depress overall muga productivity to roughly 10–20% in vulnerable seasons, underscoring the need for climate-responsive brood planning and risk buffering in outdoor systems (Kumar et al., 2025). Evidence from India-focused sub-seasonal to seasonal prediction research indicates that skilful multi-week forecasts of dry and wet extremes can support “ready–set–go” early warning frameworks, which are directly transferable to brood scheduling and temporary suspension decisions in outdoor sericulture (Malik &amp; Mishra, 2024). These findings do not imply abandoning established brood knowledge; rather, they support contingency decision rules for delayed rainfall onset, unseasonal warm–humid spells, and persistent wetness that increases operational and biological risk, thereby reducing avoidable losses in outdoor rearing systems.</w:t>
      </w:r>
    </w:p>
    <w:p w14:paraId="0C48CD54" w14:textId="77777777" w:rsidR="003C3BB0" w:rsidRPr="003C3BB0" w:rsidRDefault="003C3BB0" w:rsidP="00D82C2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C3BB0">
        <w:rPr>
          <w:b/>
          <w:bCs/>
          <w:color w:val="auto"/>
          <w:kern w:val="0"/>
          <w:sz w:val="27"/>
          <w:szCs w:val="27"/>
          <w:lang w:val="en-US" w:eastAsia="en-US"/>
        </w:rPr>
        <w:t>6.3 Disease surveillance, diagnostics, and climate-sensitive seed governance</w:t>
      </w:r>
    </w:p>
    <w:p w14:paraId="5FF9B80D" w14:textId="77777777" w:rsidR="003C3BB0" w:rsidRPr="003C3BB0" w:rsidRDefault="003C3BB0" w:rsidP="003C3BB0">
      <w:pPr>
        <w:spacing w:before="100" w:beforeAutospacing="1" w:after="100" w:afterAutospacing="1" w:line="240" w:lineRule="auto"/>
        <w:ind w:left="0" w:right="0" w:firstLine="0"/>
        <w:jc w:val="left"/>
        <w:rPr>
          <w:color w:val="auto"/>
          <w:kern w:val="0"/>
          <w:lang w:val="en-US" w:eastAsia="en-US"/>
        </w:rPr>
      </w:pPr>
      <w:r w:rsidRPr="003C3BB0">
        <w:rPr>
          <w:color w:val="auto"/>
          <w:kern w:val="0"/>
          <w:lang w:val="en-US" w:eastAsia="en-US"/>
        </w:rPr>
        <w:lastRenderedPageBreak/>
        <w:t xml:space="preserve">A third priority is disease surveillance and rapid response capacity. Microsporidian infection has demonstrated quantifiable impacts on cocoon and silk traits in </w:t>
      </w:r>
      <w:r w:rsidRPr="003C3BB0">
        <w:rPr>
          <w:i/>
          <w:iCs/>
          <w:color w:val="auto"/>
          <w:kern w:val="0"/>
          <w:lang w:val="en-US" w:eastAsia="en-US"/>
        </w:rPr>
        <w:t>Antheraea assamensis</w:t>
      </w:r>
      <w:r w:rsidRPr="003C3BB0">
        <w:rPr>
          <w:color w:val="auto"/>
          <w:kern w:val="0"/>
          <w:lang w:val="en-US" w:eastAsia="en-US"/>
        </w:rPr>
        <w:t xml:space="preserve">, implying that strengthened diagnostics, hygiene, and preventive management are direct adaptation actions under climate variability (Subrahmanyam et al., 2019). Integrating disease monitoring with weather triggers (for example, extended leaf wetness periods) is particularly relevant for outdoor systems where microclimatic humidity can shift quickly during monsoon phases. A recent muga-specific synthesis of reproductive biology and seed technology notes that reproductive efficiency in </w:t>
      </w:r>
      <w:r w:rsidRPr="003C3BB0">
        <w:rPr>
          <w:i/>
          <w:iCs/>
          <w:color w:val="auto"/>
          <w:kern w:val="0"/>
          <w:lang w:val="en-US" w:eastAsia="en-US"/>
        </w:rPr>
        <w:t>A. assamensis</w:t>
      </w:r>
      <w:r w:rsidRPr="003C3BB0">
        <w:rPr>
          <w:color w:val="auto"/>
          <w:kern w:val="0"/>
          <w:lang w:val="en-US" w:eastAsia="en-US"/>
        </w:rPr>
        <w:t xml:space="preserve"> is climatically sensitive and that stabilising grainage practices is central to sustaining production under increasingly variable seasonal conditions (Nath et al., 2025). More broadly, warming can amplify insect pest impacts via temperature-linked increases in insect metabolism and (in many regions) population growth, implying that strengthened pest surveillance around host plantations should be treated as a preventive adaptation in muga landscapes (Deutsch et al., 2018).</w:t>
      </w:r>
    </w:p>
    <w:p w14:paraId="0A16AED5" w14:textId="77777777" w:rsidR="003C3BB0" w:rsidRPr="003C3BB0" w:rsidRDefault="003C3BB0" w:rsidP="00D82C2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C3BB0">
        <w:rPr>
          <w:b/>
          <w:bCs/>
          <w:color w:val="auto"/>
          <w:kern w:val="0"/>
          <w:sz w:val="27"/>
          <w:szCs w:val="27"/>
          <w:lang w:val="en-US" w:eastAsia="en-US"/>
        </w:rPr>
        <w:t>6.4 Spatial planning guided by suitability overlap and extremes risk</w:t>
      </w:r>
    </w:p>
    <w:p w14:paraId="233DC845" w14:textId="77777777" w:rsidR="003C3BB0" w:rsidRPr="003C3BB0" w:rsidRDefault="003C3BB0" w:rsidP="003A6513">
      <w:pPr>
        <w:pStyle w:val="NormalWeb"/>
      </w:pPr>
      <w:r w:rsidRPr="003C3BB0">
        <w:t xml:space="preserve">A fourth priority is spatial planning guided by evidence on where silkworm–host suitability overlaps may persist or change. Climate-space modelling of </w:t>
      </w:r>
      <w:r w:rsidRPr="003C3BB0">
        <w:rPr>
          <w:i/>
          <w:iCs/>
        </w:rPr>
        <w:t>A. assamensis</w:t>
      </w:r>
      <w:r w:rsidRPr="003C3BB0">
        <w:t xml:space="preserve"> and its primary host </w:t>
      </w:r>
      <w:r w:rsidRPr="003C3BB0">
        <w:rPr>
          <w:i/>
          <w:iCs/>
        </w:rPr>
        <w:t>Litsea monopetala</w:t>
      </w:r>
      <w:r w:rsidRPr="003C3BB0">
        <w:t xml:space="preserve"> indicates that overlap suitability can change materially under future climatic conditions, supporting climate-informed plantation investment, conservation prioritisation, and assisted regeneration strategies (Sarma et al., 2025</w:t>
      </w:r>
      <w:r w:rsidR="003A6513">
        <w:t xml:space="preserve">; </w:t>
      </w:r>
      <w:r w:rsidR="003A6513" w:rsidRPr="003C3BB0">
        <w:t>Singh</w:t>
      </w:r>
      <w:r w:rsidR="003A6513">
        <w:t xml:space="preserve"> et al., </w:t>
      </w:r>
      <w:r w:rsidR="003A6513" w:rsidRPr="003C3BB0">
        <w:t>2024</w:t>
      </w:r>
      <w:r w:rsidRPr="003C3BB0">
        <w:t>). Because precipitation-based hotspot analyses also indicate that parts of India, including the North-East, may experience pronounced changes in precipitation characteristics and extremes (Sarkar et al., 2023), and because extreme precipitation has been shown to be increasing at the national scale (Mukherjee et al., 2018), adaptation strategies should explicitly address disruption risks from heavy rainfall events, waterlogging, and flood-associated plantation damage alongside gradual warming. Long-term observational evidence has documented an increasing trend in the frequency and magnitude of extreme rain events over India, reinforcing that disruption risk from short-duration heavy rainfall is a persistent hazard likely to compound with more recent extremes in a warming climate (Goswami et al., 2006).</w:t>
      </w:r>
    </w:p>
    <w:p w14:paraId="1438BCF6" w14:textId="77777777" w:rsidR="00417DFC" w:rsidRDefault="00417DFC" w:rsidP="00417DFC"/>
    <w:p w14:paraId="5FB5DE31" w14:textId="77777777" w:rsidR="00417DFC" w:rsidRDefault="00417DFC" w:rsidP="00417DFC">
      <w:pPr>
        <w:pStyle w:val="Heading2"/>
      </w:pPr>
      <w:r>
        <w:t>7. Research gaps and future directions</w:t>
      </w:r>
    </w:p>
    <w:p w14:paraId="5F19D9D0" w14:textId="77777777" w:rsidR="00417DFC" w:rsidRDefault="00417DFC" w:rsidP="00417DFC">
      <w:pPr>
        <w:pStyle w:val="NormalWeb"/>
      </w:pPr>
      <w:r>
        <w:t>Despite a growing base of climate and muga-specific studies, important gaps remain. First, there is limited brood-resolved quantitative evidence linking specific weather anomalies to cocoon yield and quality outcomes in Assam at scales that would support robust early warning and decision support. Existing climate studies provide regional signals and projections (Jain et al., 2013; Dash et al., 2012), but their translation into brood-wise thresholds and operational guidance requires integrated field datasets that pair rearing outcomes with microclimate observations.</w:t>
      </w:r>
    </w:p>
    <w:p w14:paraId="7DC5DC7F" w14:textId="77777777" w:rsidR="00417DFC" w:rsidRDefault="00417DFC" w:rsidP="00417DFC">
      <w:pPr>
        <w:pStyle w:val="NormalWeb"/>
      </w:pPr>
      <w:r>
        <w:t>Secondly, the interaction between host-plant physiological stress responses and larval nutritional outcomes needs greater mechanistic clarity. Host plant studies show that biochemical traits vary with stress and season (Jigyasu et al., 2023), but there is a need for integrative experiments that link leaf trait shifts to larval growth trajectories and cocoon traits across different stocks.</w:t>
      </w:r>
    </w:p>
    <w:p w14:paraId="2AA8EF78" w14:textId="77777777" w:rsidR="00417DFC" w:rsidRDefault="00417DFC" w:rsidP="00417DFC">
      <w:pPr>
        <w:pStyle w:val="NormalWeb"/>
      </w:pPr>
      <w:r>
        <w:lastRenderedPageBreak/>
        <w:t>Thirdly, disease ecology under changing climate deserves deeper attention. While pathogen identification and quantified impacts on cocoon traits are clear (Subrahmanyam et al., 2019), the climate sensitivity of transmission dynamics in the muga landscape remains under-characterised. This includes the roles of humidity regimes, rainfall extremes, and temperature stress in modulating host immunity and pathogen persistence.</w:t>
      </w:r>
    </w:p>
    <w:p w14:paraId="2DF7A7D6" w14:textId="77777777" w:rsidR="00417DFC" w:rsidRDefault="00417DFC" w:rsidP="00417DFC">
      <w:pPr>
        <w:pStyle w:val="NormalWeb"/>
      </w:pPr>
      <w:r>
        <w:t>Fourthly, spatial suitability modelling is a promising direction but requires continued refinement and local validation. Climate-space modelling demonstrates potential changes in suitability overlap for silkworm and host plants (Sarma et al., 2025), yet translating these projections into adaptation decisions will require high-resolution ground truthing, explicit treatment of land use change, and socio-economic feasibility assessment. Similarly, precipitation hotspot mapping suggests heightened future risk in parts of the North-East (Sarkar et al., 2023), but implications for plantation survival, flood damage, and operational disruption require sector-specific impact modelling.</w:t>
      </w:r>
    </w:p>
    <w:p w14:paraId="10EE7D09" w14:textId="77777777" w:rsidR="00417DFC" w:rsidRDefault="00417DFC" w:rsidP="00417DFC">
      <w:pPr>
        <w:pStyle w:val="NormalWeb"/>
      </w:pPr>
      <w:r>
        <w:t>Finally, governance and policy research remains essential. Climate change will likely interact with market dynamics, land use pressures, and livelihood diversification. Understanding how producer households manage risk across broods and how institutional support mechanisms can be strengthened is crucial for designing equitable adaptation pathways.</w:t>
      </w:r>
    </w:p>
    <w:p w14:paraId="283F6FE7" w14:textId="77777777" w:rsidR="00417DFC" w:rsidRDefault="00417DFC" w:rsidP="00417DFC"/>
    <w:p w14:paraId="24B4BC26" w14:textId="77777777" w:rsidR="00417DFC" w:rsidRDefault="00417DFC" w:rsidP="00417DFC">
      <w:pPr>
        <w:pStyle w:val="Heading2"/>
      </w:pPr>
      <w:r>
        <w:t xml:space="preserve">8. </w:t>
      </w:r>
      <w:commentRangeStart w:id="6"/>
      <w:r>
        <w:t>Conclusions</w:t>
      </w:r>
      <w:commentRangeEnd w:id="6"/>
      <w:r w:rsidR="001937FD">
        <w:rPr>
          <w:rStyle w:val="CommentReference"/>
          <w:sz w:val="36"/>
          <w:szCs w:val="36"/>
        </w:rPr>
        <w:commentReference w:id="6"/>
      </w:r>
    </w:p>
    <w:p w14:paraId="44A2BF5E" w14:textId="77777777" w:rsidR="00417DFC" w:rsidRDefault="00417DFC" w:rsidP="00417DFC">
      <w:pPr>
        <w:pStyle w:val="NormalWeb"/>
      </w:pPr>
      <w:r>
        <w:t>Climate change poses a complex and seasonally differentiated risk to muga silk production in Assam because the system is fundamentally outdoor, host-plant dependent, and disease constrained. Evidence indicates warming trends and changing rainfall characteristics relevant to North-East India, alongside increasing precipitation extremes and emerging hotspot regions that may amplify disruption. In muga-specific terms, climate risks materialise through host-plant leaf quality and availability, altered brood-wise development conditions, disease pressures that reduce key silk traits, and climate-driven shifts in spatial suitability overlap between silkworm and primary host plants. Adaptation is therefore best framed as a coupled strategy spanning host-plant resilience, brood-scale climate risk management, strengthened disease surveillance, and climate-informed spatial planning. Sustaining muga sericulture under climate change will depend on integrating climate science with local production knowledge, while building institutional capacity to manage both gradual shifts and high-impact extremes.</w:t>
      </w:r>
    </w:p>
    <w:p w14:paraId="32945084" w14:textId="77777777" w:rsidR="00417DFC" w:rsidRDefault="00417DFC" w:rsidP="00417DFC">
      <w:pPr>
        <w:pStyle w:val="Heading2"/>
      </w:pPr>
      <w:r>
        <w:t>9.</w:t>
      </w:r>
      <w:commentRangeStart w:id="7"/>
      <w:r>
        <w:t xml:space="preserve"> Limitations</w:t>
      </w:r>
      <w:commentRangeEnd w:id="7"/>
      <w:r w:rsidR="001937FD">
        <w:rPr>
          <w:rStyle w:val="CommentReference"/>
          <w:sz w:val="36"/>
          <w:szCs w:val="36"/>
        </w:rPr>
        <w:commentReference w:id="7"/>
      </w:r>
    </w:p>
    <w:p w14:paraId="7EE1A9D9" w14:textId="77777777" w:rsidR="00417DFC" w:rsidRDefault="00417DFC" w:rsidP="00417DFC">
      <w:pPr>
        <w:pStyle w:val="NormalWeb"/>
      </w:pPr>
      <w:r>
        <w:t>This review is constrained by the uneven distribution of empirical studies that directly quantify climate–yield relationships for muga silk production at fine temporal resolution across broods and locations in Assam. Several climate studies provide strong regional signals, but translating these into operational thresholds requires additional local datasets. Some muga-specific studies emphasise biological, host-plant, or disease factors without explicit climate attribution, which limits definitive causal inference about climate change impacts. Finally, projection-based evidence depends on model structure and scenario assumptions, and therefore should be interpreted as plausible futures rather than deterministic outcomes.</w:t>
      </w:r>
    </w:p>
    <w:p w14:paraId="76D30D3B" w14:textId="77777777" w:rsidR="00867E80" w:rsidRDefault="00867E80" w:rsidP="00417DFC">
      <w:pPr>
        <w:pStyle w:val="NormalWeb"/>
      </w:pPr>
    </w:p>
    <w:p w14:paraId="3FD0C93B" w14:textId="77777777" w:rsidR="00867E80" w:rsidRPr="00867E80" w:rsidRDefault="00867E80" w:rsidP="00867E80">
      <w:pPr>
        <w:spacing w:after="200" w:line="276" w:lineRule="auto"/>
        <w:ind w:left="0" w:right="0" w:firstLine="0"/>
        <w:jc w:val="left"/>
        <w:rPr>
          <w:rFonts w:ascii="Arial" w:hAnsi="Arial" w:cs="Arial"/>
          <w:b/>
          <w:bCs/>
          <w:color w:val="auto"/>
          <w:kern w:val="0"/>
          <w:sz w:val="22"/>
          <w:szCs w:val="22"/>
          <w:lang w:val="en-GB" w:eastAsia="en-GB"/>
        </w:rPr>
      </w:pPr>
      <w:r w:rsidRPr="00867E80">
        <w:rPr>
          <w:rFonts w:ascii="Arial" w:hAnsi="Arial" w:cs="Arial"/>
          <w:b/>
          <w:bCs/>
          <w:color w:val="auto"/>
          <w:kern w:val="0"/>
          <w:sz w:val="22"/>
          <w:szCs w:val="22"/>
          <w:lang w:val="en-GB" w:eastAsia="en-GB"/>
        </w:rPr>
        <w:t>COMPETING INTERESTS DISCLAIMER:</w:t>
      </w:r>
    </w:p>
    <w:p w14:paraId="47C4C45C" w14:textId="77777777" w:rsidR="00867E80" w:rsidRPr="00867E80" w:rsidRDefault="00867E80" w:rsidP="00867E80">
      <w:pPr>
        <w:spacing w:after="200" w:line="276" w:lineRule="auto"/>
        <w:ind w:left="0" w:right="0" w:firstLine="0"/>
        <w:jc w:val="left"/>
        <w:rPr>
          <w:rFonts w:ascii="Calibri" w:hAnsi="Calibri"/>
          <w:color w:val="auto"/>
          <w:kern w:val="0"/>
          <w:sz w:val="22"/>
          <w:szCs w:val="22"/>
          <w:lang w:val="en-GB" w:eastAsia="en-GB"/>
        </w:rPr>
      </w:pPr>
      <w:r w:rsidRPr="00867E80">
        <w:rPr>
          <w:rFonts w:ascii="Arial" w:hAnsi="Arial" w:cs="Arial"/>
          <w:color w:val="auto"/>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EDF53DF" w14:textId="77777777" w:rsidR="00867E80" w:rsidRDefault="00867E80" w:rsidP="00417DFC">
      <w:pPr>
        <w:pStyle w:val="NormalWeb"/>
      </w:pPr>
    </w:p>
    <w:p w14:paraId="09992BDB" w14:textId="77777777" w:rsidR="00417DFC" w:rsidRDefault="00417DFC" w:rsidP="00417DFC">
      <w:pPr>
        <w:pStyle w:val="Heading2"/>
      </w:pPr>
      <w:commentRangeStart w:id="8"/>
      <w:r>
        <w:t>References</w:t>
      </w:r>
      <w:commentRangeEnd w:id="8"/>
      <w:r w:rsidR="001937FD">
        <w:rPr>
          <w:rStyle w:val="CommentReference"/>
          <w:sz w:val="36"/>
          <w:szCs w:val="36"/>
        </w:rPr>
        <w:commentReference w:id="8"/>
      </w:r>
      <w:r>
        <w:t xml:space="preserve"> </w:t>
      </w:r>
    </w:p>
    <w:p w14:paraId="54341712" w14:textId="77777777" w:rsidR="003A6513" w:rsidRDefault="003A6513" w:rsidP="00586265">
      <w:pPr>
        <w:pStyle w:val="NormalWeb"/>
      </w:pPr>
      <w:r w:rsidRPr="003C3BB0">
        <w:t>Allen, C. D., Macalady, A. K., Chenchouni, H., Bachelet, D., McDowell, N., Vennetier, M., ... &amp; Cobb, N. (2010). A global overview of drought and heat-induced tree mortality reveals emerging climate change risks for forests. Forest ecology and management, 259(4), 660-684.</w:t>
      </w:r>
      <w:r>
        <w:t xml:space="preserve"> </w:t>
      </w:r>
      <w:hyperlink r:id="rId12" w:history="1">
        <w:r w:rsidR="00D82C22" w:rsidRPr="00B23F2C">
          <w:rPr>
            <w:rStyle w:val="Hyperlink"/>
          </w:rPr>
          <w:t>https://doi.org/10.1016/j.foreco.2009.09.001</w:t>
        </w:r>
      </w:hyperlink>
      <w:r w:rsidR="00D82C22">
        <w:t xml:space="preserve"> </w:t>
      </w:r>
      <w:r>
        <w:t xml:space="preserve"> </w:t>
      </w:r>
    </w:p>
    <w:p w14:paraId="6D65F550" w14:textId="77777777" w:rsidR="003A6513" w:rsidRDefault="003A6513" w:rsidP="00586265">
      <w:pPr>
        <w:pStyle w:val="NormalWeb"/>
      </w:pPr>
      <w:r>
        <w:t xml:space="preserve">Dash, S. K., Sharma, N., Pattnayak, K. C., Gao, X. J., &amp; Shi, Y. (2012). Temperature and precipitation changes in the north-east India and their future projections. </w:t>
      </w:r>
      <w:r>
        <w:rPr>
          <w:rStyle w:val="Emphasis"/>
        </w:rPr>
        <w:t>Global and Planetary Change, 98–99</w:t>
      </w:r>
      <w:r>
        <w:t xml:space="preserve">, 31–44. </w:t>
      </w:r>
      <w:hyperlink r:id="rId13" w:history="1">
        <w:r w:rsidR="00D82C22" w:rsidRPr="00B23F2C">
          <w:rPr>
            <w:rStyle w:val="Hyperlink"/>
          </w:rPr>
          <w:t>https://doi.org/10.1016/j.gloplacha.2012.07.006</w:t>
        </w:r>
      </w:hyperlink>
      <w:r w:rsidR="00D82C22">
        <w:t xml:space="preserve"> </w:t>
      </w:r>
    </w:p>
    <w:p w14:paraId="7B80EDDA" w14:textId="77777777" w:rsidR="003A6513" w:rsidRDefault="003A6513" w:rsidP="00586265">
      <w:pPr>
        <w:pStyle w:val="NormalWeb"/>
      </w:pPr>
      <w:r>
        <w:t xml:space="preserve">Deutsch, C. A., Tewksbury, J. J., Tigchelaar, M., Battisti, D. S., Merrill, S. C., Huey, R. B., &amp; Naylor, R. L. (2018). Increase in crop losses to insect pests in a warming climate. </w:t>
      </w:r>
      <w:r>
        <w:rPr>
          <w:rStyle w:val="Emphasis"/>
        </w:rPr>
        <w:t>Science, 361</w:t>
      </w:r>
      <w:r>
        <w:t xml:space="preserve">(6405), 916–919. </w:t>
      </w:r>
      <w:hyperlink r:id="rId14" w:tgtFrame="_new" w:history="1">
        <w:r>
          <w:rPr>
            <w:rStyle w:val="Hyperlink"/>
          </w:rPr>
          <w:t>https://doi.org/10.1126/science.aat3466</w:t>
        </w:r>
      </w:hyperlink>
      <w:r>
        <w:t xml:space="preserve"> </w:t>
      </w:r>
    </w:p>
    <w:p w14:paraId="1C31C4B3" w14:textId="77777777" w:rsidR="003A6513" w:rsidRDefault="003A6513" w:rsidP="00586265">
      <w:pPr>
        <w:pStyle w:val="NormalWeb"/>
      </w:pPr>
      <w:r>
        <w:t xml:space="preserve">Devi, B., Chutia, M., &amp; Bhattacharyya, N. (2021). Food plant diversity, distribution, and nutritional aspects of the endemic golden silk producing silkworm, </w:t>
      </w:r>
      <w:r>
        <w:rPr>
          <w:rStyle w:val="Emphasis"/>
        </w:rPr>
        <w:t>Antheraea assamensis</w:t>
      </w:r>
      <w:r>
        <w:t xml:space="preserve"> – a review. </w:t>
      </w:r>
      <w:r>
        <w:rPr>
          <w:rStyle w:val="Emphasis"/>
        </w:rPr>
        <w:t>Entomologia Experimentalis et Applicata, 169</w:t>
      </w:r>
      <w:r>
        <w:t xml:space="preserve">(3), 237–248. </w:t>
      </w:r>
      <w:hyperlink r:id="rId15" w:history="1">
        <w:r w:rsidR="00D82C22" w:rsidRPr="00B23F2C">
          <w:rPr>
            <w:rStyle w:val="Hyperlink"/>
          </w:rPr>
          <w:t>https://doi.org/10.1111/eea.13021</w:t>
        </w:r>
      </w:hyperlink>
      <w:r w:rsidR="00D82C22">
        <w:t xml:space="preserve"> </w:t>
      </w:r>
    </w:p>
    <w:p w14:paraId="3C53CE49" w14:textId="77777777" w:rsidR="003A6513" w:rsidRDefault="003A6513" w:rsidP="00586265">
      <w:pPr>
        <w:pStyle w:val="NormalWeb"/>
      </w:pPr>
      <w:r>
        <w:t xml:space="preserve">Goswami, B. N., Venugopal, V., Sengupta, D., Madhusoodanan, M. S., &amp; Xavier, P. K. (2006). Increasing trend of extreme rain events over India in a warming environment. </w:t>
      </w:r>
      <w:r>
        <w:rPr>
          <w:rStyle w:val="Emphasis"/>
        </w:rPr>
        <w:t>Science, 314</w:t>
      </w:r>
      <w:r>
        <w:t xml:space="preserve">(5804), 1442–1445. </w:t>
      </w:r>
      <w:hyperlink r:id="rId16" w:tgtFrame="_new" w:history="1">
        <w:r>
          <w:rPr>
            <w:rStyle w:val="Hyperlink"/>
          </w:rPr>
          <w:t>https://doi.org/10.1126/science.1132027</w:t>
        </w:r>
      </w:hyperlink>
      <w:r>
        <w:t xml:space="preserve"> </w:t>
      </w:r>
    </w:p>
    <w:p w14:paraId="761D9664" w14:textId="77777777" w:rsidR="003A6513" w:rsidRDefault="003A6513" w:rsidP="00586265">
      <w:pPr>
        <w:pStyle w:val="NormalWeb"/>
      </w:pPr>
      <w:r>
        <w:t xml:space="preserve">Jain, S. K., Kumar, V., &amp; Saharia, M. (2013). Analysis of rainfall and temperature trends in northeast India. </w:t>
      </w:r>
      <w:r>
        <w:rPr>
          <w:rStyle w:val="Emphasis"/>
        </w:rPr>
        <w:t>International Journal of Climatology, 33</w:t>
      </w:r>
      <w:r>
        <w:t xml:space="preserve">, 968–978. </w:t>
      </w:r>
      <w:hyperlink r:id="rId17" w:tgtFrame="_new" w:history="1">
        <w:r>
          <w:rPr>
            <w:rStyle w:val="Hyperlink"/>
          </w:rPr>
          <w:t>https://doi.org/10.1002/joc.3483</w:t>
        </w:r>
      </w:hyperlink>
    </w:p>
    <w:p w14:paraId="681F6C4B" w14:textId="77777777" w:rsidR="003A6513" w:rsidRDefault="003A6513" w:rsidP="00586265">
      <w:pPr>
        <w:pStyle w:val="NormalWeb"/>
      </w:pPr>
      <w:r>
        <w:t xml:space="preserve">Jigyasu, D. K., Kumar, A., Shabnam, A. A., Begum, R., Singh, S., Malyan, S. K., Neog, K., &amp; Vijayakumari, K. M. (2023). Air pollution tolerance index of </w:t>
      </w:r>
      <w:r>
        <w:rPr>
          <w:rStyle w:val="Emphasis"/>
        </w:rPr>
        <w:t>Persea bombycina</w:t>
      </w:r>
      <w:r>
        <w:t>: Primary food plant of endemic muga silkworm (</w:t>
      </w:r>
      <w:r>
        <w:rPr>
          <w:rStyle w:val="Emphasis"/>
        </w:rPr>
        <w:t>Antheraea assamensis</w:t>
      </w:r>
      <w:r>
        <w:t xml:space="preserve">). </w:t>
      </w:r>
      <w:r>
        <w:rPr>
          <w:rStyle w:val="Emphasis"/>
        </w:rPr>
        <w:t>Heliyon, 9</w:t>
      </w:r>
      <w:r>
        <w:t xml:space="preserve">(11), e21184. </w:t>
      </w:r>
      <w:hyperlink r:id="rId18" w:history="1">
        <w:r w:rsidRPr="00B23F2C">
          <w:rPr>
            <w:rStyle w:val="Hyperlink"/>
          </w:rPr>
          <w:t>https://doi.org/10.1016/j.heliyon.2023.e21184</w:t>
        </w:r>
      </w:hyperlink>
    </w:p>
    <w:p w14:paraId="188A5DBA" w14:textId="77777777" w:rsidR="003A6513" w:rsidRDefault="003A6513" w:rsidP="00586265">
      <w:pPr>
        <w:pStyle w:val="NormalWeb"/>
      </w:pPr>
      <w:r>
        <w:t xml:space="preserve">Kalita, T., &amp; Dutta, K. (2020). Characterisation of cocoon of different population of </w:t>
      </w:r>
      <w:r>
        <w:rPr>
          <w:rStyle w:val="Emphasis"/>
        </w:rPr>
        <w:t>Antheraea assamensis</w:t>
      </w:r>
      <w:r>
        <w:t xml:space="preserve"> (Lepidoptera: Saturniidae). </w:t>
      </w:r>
      <w:r>
        <w:rPr>
          <w:rStyle w:val="Emphasis"/>
        </w:rPr>
        <w:t>Oriental Insects</w:t>
      </w:r>
      <w:r>
        <w:t xml:space="preserve">. Advance online publication. </w:t>
      </w:r>
      <w:hyperlink r:id="rId19" w:history="1">
        <w:r w:rsidR="00D82C22" w:rsidRPr="00B23F2C">
          <w:rPr>
            <w:rStyle w:val="Hyperlink"/>
          </w:rPr>
          <w:t>https://doi.org/10.1080/00305316.2020.1727376</w:t>
        </w:r>
      </w:hyperlink>
      <w:r w:rsidR="00D82C22">
        <w:t xml:space="preserve"> </w:t>
      </w:r>
    </w:p>
    <w:p w14:paraId="0F3A724E" w14:textId="77777777" w:rsidR="003A6513" w:rsidRDefault="003A6513" w:rsidP="00586265">
      <w:pPr>
        <w:pStyle w:val="NormalWeb"/>
      </w:pPr>
      <w:r>
        <w:lastRenderedPageBreak/>
        <w:t xml:space="preserve">Kumar, P., Rupa Kumar, K., Rajeevan, M., &amp; Sahai, A. K. (2007). On the recent strengthening of the relationship between ENSO and northeast monsoon rainfall over South Asia. </w:t>
      </w:r>
      <w:r>
        <w:rPr>
          <w:rStyle w:val="Emphasis"/>
        </w:rPr>
        <w:t>Climate Dynamics, 28</w:t>
      </w:r>
      <w:r>
        <w:t xml:space="preserve">, 649–660. </w:t>
      </w:r>
      <w:hyperlink r:id="rId20" w:history="1">
        <w:r w:rsidR="00D82C22" w:rsidRPr="00B23F2C">
          <w:rPr>
            <w:rStyle w:val="Hyperlink"/>
          </w:rPr>
          <w:t>https://doi.org/10.1007/s00382-006-0210-0</w:t>
        </w:r>
      </w:hyperlink>
      <w:r w:rsidR="00D82C22">
        <w:t xml:space="preserve"> </w:t>
      </w:r>
    </w:p>
    <w:p w14:paraId="503FC39F" w14:textId="77777777" w:rsidR="003A6513" w:rsidRDefault="003A6513" w:rsidP="00586265">
      <w:pPr>
        <w:pStyle w:val="NormalWeb"/>
      </w:pPr>
      <w:r>
        <w:t xml:space="preserve">Kumar, V., Jain, S. K., &amp; Singh, Y. (2010). Analysis of long-term rainfall trends in India. </w:t>
      </w:r>
      <w:r>
        <w:rPr>
          <w:rStyle w:val="Emphasis"/>
        </w:rPr>
        <w:t>Hydrological Sciences Journal, 55</w:t>
      </w:r>
      <w:r>
        <w:t xml:space="preserve">(4), 484–496. </w:t>
      </w:r>
      <w:hyperlink r:id="rId21" w:history="1">
        <w:r w:rsidR="00D82C22" w:rsidRPr="00B23F2C">
          <w:rPr>
            <w:rStyle w:val="Hyperlink"/>
          </w:rPr>
          <w:t>https://doi.org/10.1080/02626667.2010.481373</w:t>
        </w:r>
      </w:hyperlink>
      <w:r w:rsidR="00D82C22">
        <w:t xml:space="preserve"> </w:t>
      </w:r>
    </w:p>
    <w:p w14:paraId="394087D3" w14:textId="77777777" w:rsidR="003A6513" w:rsidRDefault="003A6513" w:rsidP="00586265">
      <w:pPr>
        <w:pStyle w:val="NormalWeb"/>
      </w:pPr>
      <w:r>
        <w:t>Kumar, V., Singh, A., Majumdar, M., Kumar, N., &amp; Bhatia, N. K. (2025). Impact of seasonal variations on economic grainage traits of muga silkworm (</w:t>
      </w:r>
      <w:r>
        <w:rPr>
          <w:rStyle w:val="Emphasis"/>
        </w:rPr>
        <w:t>Antheraea assamensis</w:t>
      </w:r>
      <w:r>
        <w:t xml:space="preserve">) in Garo Hills, India. </w:t>
      </w:r>
      <w:r>
        <w:rPr>
          <w:rStyle w:val="Emphasis"/>
        </w:rPr>
        <w:t>Archives of Current Research International, 25</w:t>
      </w:r>
      <w:r>
        <w:t xml:space="preserve">(4), 164–169. </w:t>
      </w:r>
      <w:hyperlink r:id="rId22" w:tgtFrame="_new" w:history="1">
        <w:r>
          <w:rPr>
            <w:rStyle w:val="Hyperlink"/>
          </w:rPr>
          <w:t>https://doi.org/10.9734/acri/2025/v25i41146</w:t>
        </w:r>
      </w:hyperlink>
      <w:r>
        <w:t xml:space="preserve"> </w:t>
      </w:r>
    </w:p>
    <w:p w14:paraId="7BA7740E" w14:textId="77777777" w:rsidR="003A6513" w:rsidRDefault="003A6513" w:rsidP="00586265">
      <w:pPr>
        <w:pStyle w:val="NormalWeb"/>
      </w:pPr>
      <w:r>
        <w:t xml:space="preserve">Malik, I., &amp; Mishra, V. (2024). Sub-seasonal to seasonal (S2S) prediction of dry and wet extremes for climate adaptation in India. </w:t>
      </w:r>
      <w:r>
        <w:rPr>
          <w:rStyle w:val="Emphasis"/>
        </w:rPr>
        <w:t>Climate Services, 34</w:t>
      </w:r>
      <w:r>
        <w:t xml:space="preserve">, 100457. </w:t>
      </w:r>
      <w:hyperlink r:id="rId23" w:history="1">
        <w:r w:rsidR="00D82C22" w:rsidRPr="00B23F2C">
          <w:rPr>
            <w:rStyle w:val="Hyperlink"/>
          </w:rPr>
          <w:t>https://doi.org/10.1016/j.cliser.2024.100457</w:t>
        </w:r>
      </w:hyperlink>
      <w:r w:rsidR="00D82C22">
        <w:t xml:space="preserve"> </w:t>
      </w:r>
    </w:p>
    <w:p w14:paraId="621C2516" w14:textId="77777777" w:rsidR="003A6513" w:rsidRDefault="003A6513" w:rsidP="00586265">
      <w:pPr>
        <w:pStyle w:val="NormalWeb"/>
      </w:pPr>
      <w:r>
        <w:t xml:space="preserve">Mishra, V., Smoliak, B. V., Lettenmaier, D. P., &amp; Wallace, J. M. (2012). A prominent pattern of year-to-year variability in Indian summer monsoon rainfall. </w:t>
      </w:r>
      <w:r>
        <w:rPr>
          <w:rStyle w:val="Emphasis"/>
        </w:rPr>
        <w:t>Proceedings of the National Academy of Sciences, 109</w:t>
      </w:r>
      <w:r>
        <w:t xml:space="preserve">(19), 7213–7217. </w:t>
      </w:r>
      <w:hyperlink r:id="rId24" w:history="1">
        <w:r w:rsidR="00D82C22" w:rsidRPr="00B23F2C">
          <w:rPr>
            <w:rStyle w:val="Hyperlink"/>
          </w:rPr>
          <w:t>https://doi.org/10.1073/pnas.1119150109</w:t>
        </w:r>
      </w:hyperlink>
      <w:r w:rsidR="00D82C22">
        <w:t xml:space="preserve"> </w:t>
      </w:r>
    </w:p>
    <w:p w14:paraId="6CC79B53" w14:textId="77777777" w:rsidR="003A6513" w:rsidRDefault="003A6513" w:rsidP="00586265">
      <w:pPr>
        <w:pStyle w:val="NormalWeb"/>
      </w:pPr>
      <w:r>
        <w:t xml:space="preserve">Mukherjee, S., Aadhar, S., Stone, D., &amp; Mishra, V. (2018). Increase in extreme precipitation events under anthropogenic warming in India. </w:t>
      </w:r>
      <w:r>
        <w:rPr>
          <w:rStyle w:val="Emphasis"/>
        </w:rPr>
        <w:t>Weather and Climate Extremes, 20</w:t>
      </w:r>
      <w:r>
        <w:t xml:space="preserve">, 45–53. </w:t>
      </w:r>
      <w:hyperlink r:id="rId25" w:history="1">
        <w:r w:rsidR="00D82C22" w:rsidRPr="00B23F2C">
          <w:rPr>
            <w:rStyle w:val="Hyperlink"/>
          </w:rPr>
          <w:t>https://doi.org/10.1016/j.wace.2018.03.005</w:t>
        </w:r>
      </w:hyperlink>
      <w:r w:rsidR="00D82C22">
        <w:t xml:space="preserve"> </w:t>
      </w:r>
    </w:p>
    <w:p w14:paraId="409EB34B" w14:textId="77777777" w:rsidR="003A6513" w:rsidRDefault="003A6513" w:rsidP="00586265">
      <w:pPr>
        <w:pStyle w:val="NormalWeb"/>
      </w:pPr>
      <w:r>
        <w:t xml:space="preserve">Nath, I., Dutta, P. L., Purad, B. S., Ganesh, O., Mallikarjun, &amp; Venkatareddy, L. R. (2025). </w:t>
      </w:r>
      <w:r>
        <w:rPr>
          <w:rStyle w:val="Emphasis"/>
        </w:rPr>
        <w:t>Integrative review of reproductive biology in the muga silkworm (Antheraea assamensis): Anatomy, endocrinology, seasonality and seed technology</w:t>
      </w:r>
      <w:r>
        <w:t xml:space="preserve">. </w:t>
      </w:r>
      <w:r w:rsidRPr="006C7C9D">
        <w:rPr>
          <w:rStyle w:val="Strong"/>
          <w:b w:val="0"/>
        </w:rPr>
        <w:t>Uttar Pradesh Journal of Zoology, 46</w:t>
      </w:r>
      <w:r>
        <w:t xml:space="preserve">(16), 213–227. </w:t>
      </w:r>
      <w:hyperlink r:id="rId26" w:tgtFrame="_new" w:history="1">
        <w:r>
          <w:rPr>
            <w:rStyle w:val="Hyperlink"/>
          </w:rPr>
          <w:t>https://doi.org/10.56557/upjoz/2025/v46i165191</w:t>
        </w:r>
      </w:hyperlink>
      <w:r>
        <w:t xml:space="preserve"> </w:t>
      </w:r>
    </w:p>
    <w:p w14:paraId="23510CB4" w14:textId="77777777" w:rsidR="003A6513" w:rsidRDefault="003A6513" w:rsidP="00586265">
      <w:pPr>
        <w:pStyle w:val="NormalWeb"/>
      </w:pPr>
      <w:r>
        <w:t xml:space="preserve">Sarkar, S., Maity, S. S., &amp; Maity, R. (2023). Precipitation-based climate change hotspots across India through a multi-model assessment from CMIP6. </w:t>
      </w:r>
      <w:r>
        <w:rPr>
          <w:rStyle w:val="Emphasis"/>
        </w:rPr>
        <w:t>Journal of Hydrology, 623</w:t>
      </w:r>
      <w:r>
        <w:t xml:space="preserve">, 129805. </w:t>
      </w:r>
      <w:hyperlink r:id="rId27" w:history="1">
        <w:r w:rsidR="00D82C22" w:rsidRPr="00B23F2C">
          <w:rPr>
            <w:rStyle w:val="Hyperlink"/>
          </w:rPr>
          <w:t>https://doi.org/10.1016/j.jhydrol.2023.129805</w:t>
        </w:r>
      </w:hyperlink>
      <w:r w:rsidR="00D82C22">
        <w:t xml:space="preserve"> </w:t>
      </w:r>
    </w:p>
    <w:p w14:paraId="776121AA" w14:textId="77777777" w:rsidR="003A6513" w:rsidRDefault="003A6513" w:rsidP="00586265">
      <w:pPr>
        <w:pStyle w:val="NormalWeb"/>
      </w:pPr>
      <w:r>
        <w:t>Sarma, K., Chetry, V., Bawri, A., Borah, K. J., Khanikor, B., Kalita, T., Mech, B., Saikia, M. K., &amp; Das, M. (2025). Ensemble distribution model of muga silkworm (</w:t>
      </w:r>
      <w:r>
        <w:rPr>
          <w:rStyle w:val="Emphasis"/>
        </w:rPr>
        <w:t>Antheraea assamensis</w:t>
      </w:r>
      <w:r>
        <w:t>) and its primary host plant soalu (</w:t>
      </w:r>
      <w:r>
        <w:rPr>
          <w:rStyle w:val="Emphasis"/>
        </w:rPr>
        <w:t>Litsea monopetala</w:t>
      </w:r>
      <w:r>
        <w:t xml:space="preserve">) in defined climate space. </w:t>
      </w:r>
      <w:r>
        <w:rPr>
          <w:rStyle w:val="Emphasis"/>
        </w:rPr>
        <w:t>Scientific Reports, 15</w:t>
      </w:r>
      <w:r>
        <w:t xml:space="preserve">, 22080. </w:t>
      </w:r>
      <w:hyperlink r:id="rId28" w:history="1">
        <w:r w:rsidR="00D82C22" w:rsidRPr="00B23F2C">
          <w:rPr>
            <w:rStyle w:val="Hyperlink"/>
          </w:rPr>
          <w:t>https://doi.org/10.1038/s41598-025-05987-x</w:t>
        </w:r>
      </w:hyperlink>
      <w:r w:rsidR="00D82C22">
        <w:t xml:space="preserve"> </w:t>
      </w:r>
    </w:p>
    <w:p w14:paraId="64557383" w14:textId="77777777" w:rsidR="003A6513" w:rsidRDefault="003A6513" w:rsidP="00586265">
      <w:pPr>
        <w:pStyle w:val="NormalWeb"/>
      </w:pPr>
      <w:r w:rsidRPr="003C3BB0">
        <w:t>Singh, A., Kumar, V., Majumdar, M., Guha, L., &amp; Neog, K. (2024). A comprehensive review of insect pest management in muga silkworm (Antheraea assamensis Helfer): Current scenario and future prospects. Journal of Experimental Agriculture International, 46(5), 47-55.</w:t>
      </w:r>
      <w:r>
        <w:t xml:space="preserve"> </w:t>
      </w:r>
      <w:hyperlink r:id="rId29" w:history="1">
        <w:r w:rsidRPr="00B23F2C">
          <w:rPr>
            <w:rStyle w:val="Hyperlink"/>
          </w:rPr>
          <w:t>https://doi.org/10.9734/jeai/2024/v46i52355</w:t>
        </w:r>
      </w:hyperlink>
      <w:r>
        <w:t xml:space="preserve"> </w:t>
      </w:r>
    </w:p>
    <w:p w14:paraId="3D3D5310" w14:textId="77777777" w:rsidR="003A6513" w:rsidRDefault="003A6513" w:rsidP="00586265">
      <w:pPr>
        <w:pStyle w:val="NormalWeb"/>
      </w:pPr>
      <w:r>
        <w:t xml:space="preserve">Subrahmanyam, G., Esvaran, V. G., Ponnuvel, K. M., Hassan, W., Chutia, M., &amp; Das, R. (2019). Isolation and molecular identification of microsporidian pathogen causing nosemosis in muga silkworm, </w:t>
      </w:r>
      <w:r>
        <w:rPr>
          <w:rStyle w:val="Emphasis"/>
        </w:rPr>
        <w:t>Antheraea assamensis</w:t>
      </w:r>
      <w:r>
        <w:t xml:space="preserve"> Helfer (Lepidoptera: Saturniidae). </w:t>
      </w:r>
      <w:r>
        <w:rPr>
          <w:rStyle w:val="Emphasis"/>
        </w:rPr>
        <w:t>Indian Journal of Microbiology, 59</w:t>
      </w:r>
      <w:r>
        <w:t xml:space="preserve">, 525–529. </w:t>
      </w:r>
      <w:hyperlink r:id="rId30" w:history="1">
        <w:r w:rsidR="00D82C22" w:rsidRPr="00B23F2C">
          <w:rPr>
            <w:rStyle w:val="Hyperlink"/>
          </w:rPr>
          <w:t>https://doi.org/10.1007/s12088-019-00822-0</w:t>
        </w:r>
      </w:hyperlink>
      <w:r w:rsidR="00D82C22">
        <w:t xml:space="preserve"> </w:t>
      </w:r>
    </w:p>
    <w:p w14:paraId="74A86AEB" w14:textId="77777777" w:rsidR="003A6513" w:rsidRDefault="003A6513" w:rsidP="00586265">
      <w:pPr>
        <w:pStyle w:val="NormalWeb"/>
      </w:pPr>
      <w:r>
        <w:lastRenderedPageBreak/>
        <w:t xml:space="preserve">Tikader, A., Vijayan, K., &amp; Saratchandra, B. (2013). Muga silkworm, </w:t>
      </w:r>
      <w:r>
        <w:rPr>
          <w:rStyle w:val="Emphasis"/>
        </w:rPr>
        <w:t>Antheraea assamensis</w:t>
      </w:r>
      <w:r>
        <w:t xml:space="preserve"> (Lepidoptera: Saturniidae) – an overview of distribution, biology and breeding. </w:t>
      </w:r>
      <w:r>
        <w:rPr>
          <w:rStyle w:val="Emphasis"/>
        </w:rPr>
        <w:t>European Journal of Entomology, 110</w:t>
      </w:r>
      <w:r>
        <w:t xml:space="preserve">(2), 293–300. </w:t>
      </w:r>
      <w:hyperlink r:id="rId31" w:history="1">
        <w:r w:rsidR="00D82C22" w:rsidRPr="00B23F2C">
          <w:rPr>
            <w:rStyle w:val="Hyperlink"/>
          </w:rPr>
          <w:t>https://doi.org/10.14411/eje.2013.096</w:t>
        </w:r>
      </w:hyperlink>
      <w:r w:rsidR="00D82C22">
        <w:t xml:space="preserve"> </w:t>
      </w:r>
    </w:p>
    <w:p w14:paraId="7C1ABEF7" w14:textId="77777777" w:rsidR="003A6513" w:rsidRDefault="003A6513" w:rsidP="00586265">
      <w:pPr>
        <w:pStyle w:val="NormalWeb"/>
      </w:pPr>
      <w:r>
        <w:t xml:space="preserve">Tiwari, R., Mishra, A. K., Rai, S., &amp; Pandey, L. K. (2023). Evaluation and projection of northeast monsoon precipitation over India under higher warming scenario: A multimodel assessment of CMIP6. </w:t>
      </w:r>
      <w:r>
        <w:rPr>
          <w:rStyle w:val="Emphasis"/>
        </w:rPr>
        <w:t>Theoretical and Applied Climatology, 151</w:t>
      </w:r>
      <w:r>
        <w:t xml:space="preserve">, 859–870. </w:t>
      </w:r>
      <w:hyperlink r:id="rId32" w:history="1">
        <w:r w:rsidRPr="00B23F2C">
          <w:rPr>
            <w:rStyle w:val="Hyperlink"/>
          </w:rPr>
          <w:t>https://doi.org/10.1007/s00704-022-04299-8</w:t>
        </w:r>
      </w:hyperlink>
    </w:p>
    <w:p w14:paraId="291D04D7" w14:textId="77777777" w:rsidR="00417DFC" w:rsidRPr="002525A8" w:rsidRDefault="00417DFC" w:rsidP="002525A8"/>
    <w:sectPr w:rsidR="00417DFC" w:rsidRPr="002525A8" w:rsidSect="00CB6EB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iyambodo bin Katiyun" w:date="2026-03-03T09:38:00Z" w:initials="Pb">
    <w:p w14:paraId="1B2B7263" w14:textId="77777777" w:rsidR="001937FD" w:rsidRDefault="001937FD" w:rsidP="001937FD">
      <w:pPr>
        <w:pStyle w:val="CommentText"/>
      </w:pPr>
      <w:r>
        <w:rPr>
          <w:rStyle w:val="CommentReference"/>
        </w:rPr>
        <w:annotationRef/>
      </w:r>
      <w:r>
        <w:t xml:space="preserve">The title is clear, specific, and accurately reflects the thematic and geographical focus of the manuscript. It correctly identifies the study as a review and clearly signals the linkage between climate change and muga silk production in Assam. However, while descriptive and appropriate, the title could better reflect the analytical depth of the manuscript, particularly its systems-based framing and emphasis on pathways and adaptation. A refined version such as </w:t>
      </w:r>
      <w:r>
        <w:rPr>
          <w:i/>
          <w:iCs/>
        </w:rPr>
        <w:t>“Climate Change Risks, Pathways, and Adaptation Options for Muga Silk Production in Assam: A Systems-Based Review”</w:t>
      </w:r>
      <w:r>
        <w:t xml:space="preserve"> would more fully capture the conceptual strength of the paper. Nonetheless, the current title remains suitable and aligned with the scope of the journal. </w:t>
      </w:r>
    </w:p>
  </w:comment>
  <w:comment w:id="1" w:author="Priyambodo bin Katiyun" w:date="2026-03-03T09:39:00Z" w:initials="Pb">
    <w:p w14:paraId="2C9D136A" w14:textId="77777777" w:rsidR="001937FD" w:rsidRDefault="001937FD" w:rsidP="001937FD">
      <w:pPr>
        <w:pStyle w:val="CommentText"/>
      </w:pPr>
      <w:r>
        <w:rPr>
          <w:rStyle w:val="CommentReference"/>
        </w:rPr>
        <w:annotationRef/>
      </w:r>
      <w:r>
        <w:t>The abstract is comprehensive, conceptually well structured, and clearly communicates the ecological specificity of muga sericulture as an outdoor and climate-sensitive production system. It successfully identifies key impact pathways, including host-plant physiology, larval development, disease dynamics, cocoon traits, and spatial suitability, while also emphasizing the episodic and brood-specific nature of climate risks. The synthesis-oriented framing is particularly strong.</w:t>
      </w:r>
    </w:p>
    <w:p w14:paraId="4C346887" w14:textId="77777777" w:rsidR="001937FD" w:rsidRDefault="001937FD" w:rsidP="001937FD">
      <w:pPr>
        <w:pStyle w:val="CommentText"/>
      </w:pPr>
      <w:r>
        <w:t>However, minor improvements are recommended. First, the abstract should briefly mention the structured PRISMA-based literature selection process to strengthen methodological transparency. Second, it would benefit from one concise sentence highlighting the main research gaps identified in the review. Finally, some tightening of phrasing would enhance conciseness without compromising clarity. Overall, the abstract is strong but would benefit from slight refinement for precision and brevity.</w:t>
      </w:r>
    </w:p>
  </w:comment>
  <w:comment w:id="2" w:author="Priyambodo bin Katiyun" w:date="2026-03-03T09:39:00Z" w:initials="Pb">
    <w:p w14:paraId="56DB9EB0" w14:textId="77777777" w:rsidR="001937FD" w:rsidRDefault="001937FD" w:rsidP="001937FD">
      <w:pPr>
        <w:pStyle w:val="CommentText"/>
      </w:pPr>
      <w:r>
        <w:rPr>
          <w:rStyle w:val="CommentReference"/>
        </w:rPr>
        <w:annotationRef/>
      </w:r>
      <w:r>
        <w:t xml:space="preserve">The selected keywords are relevant and well aligned with the manuscript’s scope, covering the organism, geographic focus, climatic drivers, host plants, and modelling approach. However, for improved discoverability and indexing visibility, it would be beneficial to include broader conceptual terms such as climate adaptation, monsoon variability, eco-climatic system, or sericulture. The current keywords are scientifically appropriate, but minor expansion could increase citation reach and search engine optimization. </w:t>
      </w:r>
    </w:p>
  </w:comment>
  <w:comment w:id="3" w:author="Priyambodo bin Katiyun" w:date="2026-03-03T09:40:00Z" w:initials="Pb">
    <w:p w14:paraId="287E3857" w14:textId="77777777" w:rsidR="001937FD" w:rsidRDefault="001937FD" w:rsidP="001937FD">
      <w:pPr>
        <w:pStyle w:val="CommentText"/>
      </w:pPr>
      <w:r>
        <w:rPr>
          <w:rStyle w:val="CommentReference"/>
        </w:rPr>
        <w:annotationRef/>
      </w:r>
      <w:r>
        <w:t>The introduction is conceptually strong and intellectually engaging. The framing of muga sericulture as a coupled socio-ecological and eco-climatic system is particularly compelling, and the use of synchrony as an organizing concept is effective. The integration of climate science literature with biological and sericultural evidence demonstrates a solid interdisciplinary understanding.</w:t>
      </w:r>
    </w:p>
    <w:p w14:paraId="47DD211B" w14:textId="77777777" w:rsidR="001937FD" w:rsidRDefault="001937FD" w:rsidP="001937FD">
      <w:pPr>
        <w:pStyle w:val="CommentText"/>
      </w:pPr>
      <w:r>
        <w:t>However, the introduction is relatively long and occasionally overlaps with later sections, particularly in the discussion of climate signals. Some condensation of approximately ten to fifteen percent would improve structural efficiency. Additionally, there is an evident typographical error that must be corrected. The introduction would also benefit from a more explicit statement of the research gap that clarifies how this review advances beyond existing muga or climate reviews. With minor tightening and editorial correction, this section would be excellent.</w:t>
      </w:r>
    </w:p>
  </w:comment>
  <w:comment w:id="4" w:author="Priyambodo bin Katiyun" w:date="2026-03-03T09:40:00Z" w:initials="Pb">
    <w:p w14:paraId="407A83CB" w14:textId="77777777" w:rsidR="001937FD" w:rsidRDefault="001937FD" w:rsidP="001937FD">
      <w:pPr>
        <w:pStyle w:val="CommentText"/>
      </w:pPr>
      <w:r>
        <w:rPr>
          <w:rStyle w:val="CommentReference"/>
        </w:rPr>
        <w:annotationRef/>
      </w:r>
      <w:r>
        <w:t>The Methods section demonstrates transparency by adopting a PRISMA-2020 framework and clearly stating the databases searched, inclusion and exclusion criteria, time range, and screening process. The presentation of the selection flow, which resulted in twenty-one included studies, supports methodological credibility.</w:t>
      </w:r>
    </w:p>
    <w:p w14:paraId="779010CC" w14:textId="77777777" w:rsidR="001937FD" w:rsidRDefault="001937FD" w:rsidP="001937FD">
      <w:pPr>
        <w:pStyle w:val="CommentText"/>
      </w:pPr>
      <w:r>
        <w:t>However, clarification is needed regarding whether this is a systematic review or a structured narrative review guided by PRISMA principles. The manuscript does not describe any formal quality appraisal or risk-of-bias assessment for included studies, which would strengthen rigor. In addition, the PRISMA flow diagram requires visual correction and formatting improvement. Strengthening this section with brief commentary on study quality assessment and synthesis strategy would enhance methodological robustness.</w:t>
      </w:r>
    </w:p>
  </w:comment>
  <w:comment w:id="5" w:author="Priyambodo bin Katiyun" w:date="2026-03-03T09:41:00Z" w:initials="Pb">
    <w:p w14:paraId="164731FF" w14:textId="77777777" w:rsidR="001937FD" w:rsidRDefault="001937FD" w:rsidP="001937FD">
      <w:pPr>
        <w:pStyle w:val="CommentText"/>
      </w:pPr>
      <w:r>
        <w:rPr>
          <w:rStyle w:val="CommentReference"/>
        </w:rPr>
        <w:annotationRef/>
      </w:r>
      <w:r>
        <w:t>The Findings and Discussion sections, particularly Sections 3 through 6, are conceptually sophisticated and represent the strongest part of the manuscript. The identification of five climate impact pathways, namely host-plant mediated effects, direct physiological effects, disease amplification, stock-specific trait sensitivity, and spatial suitability shifts, provides a clear analytical framework. The integration of climate projections, biological mechanisms, and adaptation strategies is coherent and well articulated.</w:t>
      </w:r>
    </w:p>
    <w:p w14:paraId="5A07CBC5" w14:textId="77777777" w:rsidR="001937FD" w:rsidRDefault="001937FD" w:rsidP="001937FD">
      <w:pPr>
        <w:pStyle w:val="CommentText"/>
      </w:pPr>
      <w:r>
        <w:t>Nonetheless, some redundancy occurs between the climate signals section and the pathways section, which could be streamlined. Several inferential arguments linking climate projections to brood-specific outcomes remain conceptual rather than quantitatively supported, which is understandable but should be acknowledged more explicitly. The inclusion of a conceptual diagram summarizing the five pathways would significantly strengthen clarity and visual synthesis. Furthermore, a dedicated subsection addressing uncertainty in climate projections and their implications for sericulture planning would improve analytical balance. Overall, this section is intellectually strong but would benefit from minor condensation and visual enhancement.</w:t>
      </w:r>
    </w:p>
  </w:comment>
  <w:comment w:id="6" w:author="Priyambodo bin Katiyun" w:date="2026-03-03T09:41:00Z" w:initials="Pb">
    <w:p w14:paraId="2898815A" w14:textId="77777777" w:rsidR="001937FD" w:rsidRDefault="001937FD" w:rsidP="001937FD">
      <w:pPr>
        <w:pStyle w:val="CommentText"/>
      </w:pPr>
      <w:r>
        <w:rPr>
          <w:rStyle w:val="CommentReference"/>
        </w:rPr>
        <w:annotationRef/>
      </w:r>
      <w:r>
        <w:t>The conclusion is coherent and well aligned with the objectives, and it avoids overstatement. It effectively reiterates the multi-pathway risk framing and emphasizes adaptation as a coupled and system-wide strategy. The emphasis on integrating climate science with local production knowledge is particularly appropriate.</w:t>
      </w:r>
    </w:p>
    <w:p w14:paraId="4B60C7D1" w14:textId="77777777" w:rsidR="001937FD" w:rsidRDefault="001937FD" w:rsidP="001937FD">
      <w:pPr>
        <w:pStyle w:val="CommentText"/>
      </w:pPr>
      <w:r>
        <w:t>However, the conclusion could be slightly tightened to reduce repetition from earlier sections. Adding one forward-looking statement emphasizing institutional and governance innovation would provide a stronger closing impact. Overall, the conclusion is well developed and appropriate.</w:t>
      </w:r>
    </w:p>
  </w:comment>
  <w:comment w:id="7" w:author="Priyambodo bin Katiyun" w:date="2026-03-03T09:41:00Z" w:initials="Pb">
    <w:p w14:paraId="66EC81EE" w14:textId="77777777" w:rsidR="001937FD" w:rsidRDefault="001937FD" w:rsidP="001937FD">
      <w:pPr>
        <w:pStyle w:val="CommentText"/>
      </w:pPr>
      <w:r>
        <w:rPr>
          <w:rStyle w:val="CommentReference"/>
        </w:rPr>
        <w:annotationRef/>
      </w:r>
      <w:r>
        <w:t>The limitations section is transparent and appropriately acknowledges key constraints, including the limited availability of brood-specific quantitative datasets and challenges in climate attribution. It correctly notes that projection-based evidence represents plausible futures rather than deterministic outcomes.</w:t>
      </w:r>
    </w:p>
    <w:p w14:paraId="1E3BB12A" w14:textId="77777777" w:rsidR="001937FD" w:rsidRDefault="001937FD" w:rsidP="001937FD">
      <w:pPr>
        <w:pStyle w:val="CommentText"/>
      </w:pPr>
      <w:r>
        <w:t>To further strengthen this section, the authors could mention the relatively small number of directly relevant studies, potential publication bias, and geographic generalization limits. A brief acknowledgment of uncertainties inherent in model-based suitability projections would also enhance completeness. Nonetheless, the limitations are appropriately presented and contribute to the manuscript’s credibility.</w:t>
      </w:r>
    </w:p>
  </w:comment>
  <w:comment w:id="8" w:author="Priyambodo bin Katiyun" w:date="2026-03-03T09:42:00Z" w:initials="Pb">
    <w:p w14:paraId="70E660C4" w14:textId="77777777" w:rsidR="001937FD" w:rsidRDefault="001937FD" w:rsidP="001937FD">
      <w:pPr>
        <w:pStyle w:val="CommentText"/>
      </w:pPr>
      <w:r>
        <w:rPr>
          <w:rStyle w:val="CommentReference"/>
        </w:rPr>
        <w:annotationRef/>
      </w:r>
      <w:r>
        <w:t>The reference list is strong, relevant, and largely up to date, including recent publications from 2023 to 2025. The integration of high-impact climate science journals such as Science, PNAS, Climate Dynamics, and Scientific Reports with muga-specific entomological literature enhances credibility. The references adequately support the interdisciplinary framing of the manuscript.</w:t>
      </w:r>
    </w:p>
    <w:p w14:paraId="0FBC7FD7" w14:textId="77777777" w:rsidR="001937FD" w:rsidRDefault="001937FD" w:rsidP="001937FD">
      <w:pPr>
        <w:pStyle w:val="CommentText"/>
      </w:pPr>
      <w:r>
        <w:t>Minor recommendations include ensuring consistent formatting, verifying DOI functionality, and potentially expanding comparative literature from other outdoor sericulture systems for broader context. Overall, the references are sufficient, current, and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2B7263" w15:done="0"/>
  <w15:commentEx w15:paraId="4C346887" w15:done="0"/>
  <w15:commentEx w15:paraId="56DB9EB0" w15:done="0"/>
  <w15:commentEx w15:paraId="47DD211B" w15:done="0"/>
  <w15:commentEx w15:paraId="779010CC" w15:done="0"/>
  <w15:commentEx w15:paraId="5A07CBC5" w15:done="0"/>
  <w15:commentEx w15:paraId="4B60C7D1" w15:done="0"/>
  <w15:commentEx w15:paraId="1E3BB12A" w15:done="0"/>
  <w15:commentEx w15:paraId="0FBC7F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E40EF2" w16cex:dateUtc="2026-03-03T02:38:00Z"/>
  <w16cex:commentExtensible w16cex:durableId="532C5F27" w16cex:dateUtc="2026-03-03T02:39:00Z"/>
  <w16cex:commentExtensible w16cex:durableId="566B82AD" w16cex:dateUtc="2026-03-03T02:39:00Z"/>
  <w16cex:commentExtensible w16cex:durableId="2C653456" w16cex:dateUtc="2026-03-03T02:40:00Z"/>
  <w16cex:commentExtensible w16cex:durableId="4EEC582D" w16cex:dateUtc="2026-03-03T02:40:00Z"/>
  <w16cex:commentExtensible w16cex:durableId="1A7512A2" w16cex:dateUtc="2026-03-03T02:41:00Z"/>
  <w16cex:commentExtensible w16cex:durableId="1B569B1B" w16cex:dateUtc="2026-03-03T02:41:00Z"/>
  <w16cex:commentExtensible w16cex:durableId="34AC710D" w16cex:dateUtc="2026-03-03T02:41:00Z"/>
  <w16cex:commentExtensible w16cex:durableId="224FAEEA" w16cex:dateUtc="2026-03-03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2B7263" w16cid:durableId="79E40EF2"/>
  <w16cid:commentId w16cid:paraId="4C346887" w16cid:durableId="532C5F27"/>
  <w16cid:commentId w16cid:paraId="56DB9EB0" w16cid:durableId="566B82AD"/>
  <w16cid:commentId w16cid:paraId="47DD211B" w16cid:durableId="2C653456"/>
  <w16cid:commentId w16cid:paraId="779010CC" w16cid:durableId="4EEC582D"/>
  <w16cid:commentId w16cid:paraId="5A07CBC5" w16cid:durableId="1A7512A2"/>
  <w16cid:commentId w16cid:paraId="4B60C7D1" w16cid:durableId="1B569B1B"/>
  <w16cid:commentId w16cid:paraId="1E3BB12A" w16cid:durableId="34AC710D"/>
  <w16cid:commentId w16cid:paraId="0FBC7FD7" w16cid:durableId="224FAE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D903" w14:textId="77777777" w:rsidR="00673376" w:rsidRDefault="00673376" w:rsidP="00EA54A2">
      <w:pPr>
        <w:spacing w:after="0" w:line="240" w:lineRule="auto"/>
      </w:pPr>
      <w:r>
        <w:separator/>
      </w:r>
    </w:p>
  </w:endnote>
  <w:endnote w:type="continuationSeparator" w:id="0">
    <w:p w14:paraId="754213A0" w14:textId="77777777" w:rsidR="00673376" w:rsidRDefault="00673376" w:rsidP="00EA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FC8E" w14:textId="77777777" w:rsidR="00EA54A2" w:rsidRDefault="00EA5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AC5B" w14:textId="77777777" w:rsidR="00EA54A2" w:rsidRDefault="00EA5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8E53" w14:textId="77777777" w:rsidR="00EA54A2" w:rsidRDefault="00EA5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5D22" w14:textId="77777777" w:rsidR="00673376" w:rsidRDefault="00673376" w:rsidP="00EA54A2">
      <w:pPr>
        <w:spacing w:after="0" w:line="240" w:lineRule="auto"/>
      </w:pPr>
      <w:r>
        <w:separator/>
      </w:r>
    </w:p>
  </w:footnote>
  <w:footnote w:type="continuationSeparator" w:id="0">
    <w:p w14:paraId="084F2713" w14:textId="77777777" w:rsidR="00673376" w:rsidRDefault="00673376" w:rsidP="00EA5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442D" w14:textId="05AF47FF" w:rsidR="00EA54A2" w:rsidRDefault="00000000">
    <w:pPr>
      <w:pStyle w:val="Header"/>
    </w:pPr>
    <w:r>
      <w:rPr>
        <w:noProof/>
      </w:rPr>
      <w:pict w14:anchorId="2C459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4" o:spid="_x0000_s1026"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F0F5" w14:textId="77FAB152" w:rsidR="00EA54A2" w:rsidRDefault="00000000">
    <w:pPr>
      <w:pStyle w:val="Header"/>
    </w:pPr>
    <w:r>
      <w:rPr>
        <w:noProof/>
      </w:rPr>
      <w:pict w14:anchorId="1FB18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5" o:spid="_x0000_s1027"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05F4" w14:textId="4828875B" w:rsidR="00EA54A2" w:rsidRDefault="00000000">
    <w:pPr>
      <w:pStyle w:val="Header"/>
    </w:pPr>
    <w:r>
      <w:rPr>
        <w:noProof/>
      </w:rPr>
      <w:pict w14:anchorId="7C363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3"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09269">
    <w:abstractNumId w:val="13"/>
  </w:num>
  <w:num w:numId="2" w16cid:durableId="67189352">
    <w:abstractNumId w:val="19"/>
  </w:num>
  <w:num w:numId="3" w16cid:durableId="731856273">
    <w:abstractNumId w:val="11"/>
  </w:num>
  <w:num w:numId="4" w16cid:durableId="627593594">
    <w:abstractNumId w:val="3"/>
  </w:num>
  <w:num w:numId="5" w16cid:durableId="870144689">
    <w:abstractNumId w:val="0"/>
  </w:num>
  <w:num w:numId="6" w16cid:durableId="1652710001">
    <w:abstractNumId w:val="16"/>
  </w:num>
  <w:num w:numId="7" w16cid:durableId="1748382604">
    <w:abstractNumId w:val="5"/>
  </w:num>
  <w:num w:numId="8" w16cid:durableId="853962602">
    <w:abstractNumId w:val="4"/>
  </w:num>
  <w:num w:numId="9" w16cid:durableId="1901861838">
    <w:abstractNumId w:val="20"/>
  </w:num>
  <w:num w:numId="10" w16cid:durableId="1619556927">
    <w:abstractNumId w:val="7"/>
  </w:num>
  <w:num w:numId="11" w16cid:durableId="1181969273">
    <w:abstractNumId w:val="8"/>
  </w:num>
  <w:num w:numId="12" w16cid:durableId="80300206">
    <w:abstractNumId w:val="18"/>
  </w:num>
  <w:num w:numId="13" w16cid:durableId="1079132409">
    <w:abstractNumId w:val="12"/>
  </w:num>
  <w:num w:numId="14" w16cid:durableId="963728677">
    <w:abstractNumId w:val="2"/>
  </w:num>
  <w:num w:numId="15" w16cid:durableId="1652632240">
    <w:abstractNumId w:val="22"/>
  </w:num>
  <w:num w:numId="16" w16cid:durableId="634724286">
    <w:abstractNumId w:val="14"/>
  </w:num>
  <w:num w:numId="17" w16cid:durableId="971253976">
    <w:abstractNumId w:val="6"/>
  </w:num>
  <w:num w:numId="18" w16cid:durableId="1284188841">
    <w:abstractNumId w:val="17"/>
  </w:num>
  <w:num w:numId="19" w16cid:durableId="118308871">
    <w:abstractNumId w:val="9"/>
  </w:num>
  <w:num w:numId="20" w16cid:durableId="656034808">
    <w:abstractNumId w:val="10"/>
  </w:num>
  <w:num w:numId="21" w16cid:durableId="2046976551">
    <w:abstractNumId w:val="21"/>
  </w:num>
  <w:num w:numId="22" w16cid:durableId="935020026">
    <w:abstractNumId w:val="15"/>
  </w:num>
  <w:num w:numId="23" w16cid:durableId="9408434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iyambodo bin Katiyun">
    <w15:presenceInfo w15:providerId="Windows Live" w15:userId="9f69d05140e50b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37F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2EFB"/>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86265"/>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3376"/>
    <w:rsid w:val="00676549"/>
    <w:rsid w:val="0067685B"/>
    <w:rsid w:val="00683EC3"/>
    <w:rsid w:val="006907D2"/>
    <w:rsid w:val="00692471"/>
    <w:rsid w:val="00693DFE"/>
    <w:rsid w:val="00695D59"/>
    <w:rsid w:val="006A2C8B"/>
    <w:rsid w:val="006A39B3"/>
    <w:rsid w:val="006A7ABC"/>
    <w:rsid w:val="006B0247"/>
    <w:rsid w:val="006B57D5"/>
    <w:rsid w:val="006B66BC"/>
    <w:rsid w:val="006C7C9D"/>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5A4C"/>
    <w:rsid w:val="00856AFD"/>
    <w:rsid w:val="008605AC"/>
    <w:rsid w:val="00867E80"/>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06645"/>
    <w:rsid w:val="00A15AFC"/>
    <w:rsid w:val="00A1605B"/>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74CD5"/>
    <w:rsid w:val="00B8003F"/>
    <w:rsid w:val="00B81562"/>
    <w:rsid w:val="00B84C19"/>
    <w:rsid w:val="00B928B4"/>
    <w:rsid w:val="00BA248E"/>
    <w:rsid w:val="00BA3C57"/>
    <w:rsid w:val="00BB0BE1"/>
    <w:rsid w:val="00BB4C3B"/>
    <w:rsid w:val="00BB6828"/>
    <w:rsid w:val="00BB7829"/>
    <w:rsid w:val="00BC15EB"/>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CF6BBB"/>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54A2"/>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62CC5"/>
    <w:rsid w:val="00F62D4E"/>
    <w:rsid w:val="00F73CB7"/>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rules v:ext="edit">
        <o:r id="V:Rule1" type="connector" idref="#Straight Arrow Connector 15"/>
        <o:r id="V:Rule2" type="connector" idref="#Straight Arrow Connector 36"/>
        <o:r id="V:Rule3" type="connector" idref="#Straight Arrow Connector 27"/>
        <o:r id="V:Rule4" type="connector" idref="#Straight Arrow Connector 14"/>
        <o:r id="V:Rule5" type="connector" idref="#Straight Arrow Connector 35"/>
        <o:r id="V:Rule6" type="connector" idref="#Straight Arrow Connector 19"/>
        <o:r id="V:Rule7" type="connector" idref="#Straight Arrow Connector 17"/>
        <o:r id="V:Rule8" type="connector" idref="#Straight Arrow Connector 16"/>
      </o:rules>
    </o:shapelayout>
  </w:shapeDefaults>
  <w:decimalSymbol w:val=","/>
  <w:listSeparator w:val=";"/>
  <w14:docId w14:val="09B82A39"/>
  <w15:docId w15:val="{B11A565F-4DFD-4F62-9A33-1AD790D5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EA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4A2"/>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EA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4A2"/>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1937FD"/>
    <w:rPr>
      <w:sz w:val="16"/>
      <w:szCs w:val="16"/>
    </w:rPr>
  </w:style>
  <w:style w:type="paragraph" w:styleId="CommentSubject">
    <w:name w:val="annotation subject"/>
    <w:basedOn w:val="CommentText"/>
    <w:next w:val="CommentText"/>
    <w:link w:val="CommentSubjectChar"/>
    <w:uiPriority w:val="99"/>
    <w:semiHidden/>
    <w:unhideWhenUsed/>
    <w:rsid w:val="001937FD"/>
    <w:pPr>
      <w:spacing w:after="158"/>
      <w:ind w:left="10" w:right="56" w:hanging="10"/>
      <w:jc w:val="both"/>
    </w:pPr>
    <w:rPr>
      <w:rFonts w:ascii="Times New Roman" w:eastAsia="Times New Roman" w:hAnsi="Times New Roman" w:cs="Times New Roman"/>
      <w:b/>
      <w:bCs/>
      <w:color w:val="000000"/>
      <w:kern w:val="2"/>
      <w:lang w:val="en-IN" w:eastAsia="en-IN"/>
    </w:rPr>
  </w:style>
  <w:style w:type="character" w:customStyle="1" w:styleId="CommentSubjectChar">
    <w:name w:val="Comment Subject Char"/>
    <w:basedOn w:val="CommentTextChar"/>
    <w:link w:val="CommentSubject"/>
    <w:uiPriority w:val="99"/>
    <w:semiHidden/>
    <w:rsid w:val="001937FD"/>
    <w:rPr>
      <w:rFonts w:ascii="Times New Roman" w:eastAsia="Times New Roman" w:hAnsi="Times New Roman" w:cs="Times New Roman"/>
      <w:b/>
      <w:bCs/>
      <w:color w:val="000000"/>
      <w:kern w:val="2"/>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gloplacha.2012.07.006" TargetMode="External"/><Relationship Id="rId18" Type="http://schemas.openxmlformats.org/officeDocument/2006/relationships/hyperlink" Target="https://doi.org/10.1016/j.heliyon.2023.e21184" TargetMode="External"/><Relationship Id="rId26" Type="http://schemas.openxmlformats.org/officeDocument/2006/relationships/hyperlink" Target="https://doi.org/10.56557/upjoz/2025/v46i165191?utm_source=chatgpt.com" TargetMode="External"/><Relationship Id="rId39" Type="http://schemas.openxmlformats.org/officeDocument/2006/relationships/fontTable" Target="fontTable.xml"/><Relationship Id="rId21" Type="http://schemas.openxmlformats.org/officeDocument/2006/relationships/hyperlink" Target="https://doi.org/10.1080/02626667.2010.481373"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26/science.1132027" TargetMode="External"/><Relationship Id="rId20" Type="http://schemas.openxmlformats.org/officeDocument/2006/relationships/hyperlink" Target="https://doi.org/10.1007/s00382-006-0210-0" TargetMode="External"/><Relationship Id="rId29" Type="http://schemas.openxmlformats.org/officeDocument/2006/relationships/hyperlink" Target="https://doi.org/10.9734/jeai/2024/v46i5235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73/pnas.1119150109" TargetMode="External"/><Relationship Id="rId32" Type="http://schemas.openxmlformats.org/officeDocument/2006/relationships/hyperlink" Target="https://doi.org/10.1007/s00704-022-04299-8"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111/eea.13021" TargetMode="External"/><Relationship Id="rId23" Type="http://schemas.openxmlformats.org/officeDocument/2006/relationships/hyperlink" Target="https://doi.org/10.1016/j.cliser.2024.100457" TargetMode="External"/><Relationship Id="rId28" Type="http://schemas.openxmlformats.org/officeDocument/2006/relationships/hyperlink" Target="https://doi.org/10.1038/s41598-025-05987-x" TargetMode="External"/><Relationship Id="rId36"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doi.org/10.1080/00305316.2020.1727376" TargetMode="External"/><Relationship Id="rId31" Type="http://schemas.openxmlformats.org/officeDocument/2006/relationships/hyperlink" Target="https://doi.org/10.14411/eje.2013.096"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26/science.aat3466?utm_source=chatgpt.com" TargetMode="External"/><Relationship Id="rId22" Type="http://schemas.openxmlformats.org/officeDocument/2006/relationships/hyperlink" Target="https://doi.org/10.9734/acri/2025/v25i41146?utm_source=chatgpt.com" TargetMode="External"/><Relationship Id="rId27" Type="http://schemas.openxmlformats.org/officeDocument/2006/relationships/hyperlink" Target="https://doi.org/10.1016/j.jhydrol.2023.129805" TargetMode="External"/><Relationship Id="rId30" Type="http://schemas.openxmlformats.org/officeDocument/2006/relationships/hyperlink" Target="https://doi.org/10.1007/s12088-019-00822-0" TargetMode="External"/><Relationship Id="rId35" Type="http://schemas.openxmlformats.org/officeDocument/2006/relationships/footer" Target="foot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016/j.foreco.2009.09.001" TargetMode="External"/><Relationship Id="rId17" Type="http://schemas.openxmlformats.org/officeDocument/2006/relationships/hyperlink" Target="https://doi.org/10.1002/joc.3483" TargetMode="External"/><Relationship Id="rId25" Type="http://schemas.openxmlformats.org/officeDocument/2006/relationships/hyperlink" Target="https://doi.org/10.1016/j.wace.2018.03.005"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4824A-909D-4BFF-A4BC-9307F926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12414</TotalTime>
  <Pages>17</Pages>
  <Words>8146</Words>
  <Characters>46436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Priyambodo bin Katiyun</cp:lastModifiedBy>
  <cp:revision>158</cp:revision>
  <cp:lastPrinted>2025-12-13T07:14:00Z</cp:lastPrinted>
  <dcterms:created xsi:type="dcterms:W3CDTF">2025-09-24T12:44:00Z</dcterms:created>
  <dcterms:modified xsi:type="dcterms:W3CDTF">2026-03-03T02:42:00Z</dcterms:modified>
</cp:coreProperties>
</file>