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A72D0" w14:textId="77777777" w:rsidR="00CD2419" w:rsidRDefault="00CD2419" w:rsidP="00CD2419">
      <w:pPr>
        <w:spacing w:after="0" w:line="360" w:lineRule="auto"/>
        <w:jc w:val="both"/>
        <w:rPr>
          <w:rFonts w:ascii="Times New Roman" w:hAnsi="Times New Roman" w:cs="Times New Roman"/>
          <w:color w:val="000000" w:themeColor="text1"/>
          <w:sz w:val="24"/>
          <w:szCs w:val="24"/>
        </w:rPr>
      </w:pPr>
      <w:bookmarkStart w:id="0" w:name="_Hlk222436678"/>
    </w:p>
    <w:p w14:paraId="3A95C625" w14:textId="5C11A7AD" w:rsidR="005274F5" w:rsidRPr="00CD2419" w:rsidRDefault="004D7143" w:rsidP="00CD2419">
      <w:pPr>
        <w:spacing w:after="0" w:line="360" w:lineRule="auto"/>
        <w:jc w:val="both"/>
        <w:rPr>
          <w:rFonts w:ascii="Times New Roman" w:hAnsi="Times New Roman" w:cs="Times New Roman"/>
          <w:color w:val="000000" w:themeColor="text1"/>
          <w:sz w:val="24"/>
          <w:szCs w:val="24"/>
        </w:rPr>
      </w:pPr>
      <w:r w:rsidRPr="004D7143">
        <w:rPr>
          <w:rFonts w:ascii="Times New Roman" w:hAnsi="Times New Roman" w:cs="Times New Roman"/>
          <w:b/>
          <w:bCs/>
          <w:iCs/>
          <w:color w:val="000000" w:themeColor="text1"/>
          <w:sz w:val="24"/>
          <w:szCs w:val="24"/>
        </w:rPr>
        <w:t xml:space="preserve">Isolation and Structural Elucidation of </w:t>
      </w:r>
      <w:proofErr w:type="spellStart"/>
      <w:r w:rsidRPr="004D7143">
        <w:rPr>
          <w:rFonts w:ascii="Times New Roman" w:hAnsi="Times New Roman" w:cs="Times New Roman"/>
          <w:b/>
          <w:bCs/>
          <w:iCs/>
          <w:color w:val="000000" w:themeColor="text1"/>
          <w:sz w:val="24"/>
          <w:szCs w:val="24"/>
        </w:rPr>
        <w:t>Mangiferin</w:t>
      </w:r>
      <w:proofErr w:type="spellEnd"/>
      <w:r w:rsidRPr="004D7143">
        <w:rPr>
          <w:rFonts w:ascii="Times New Roman" w:hAnsi="Times New Roman" w:cs="Times New Roman"/>
          <w:b/>
          <w:bCs/>
          <w:iCs/>
          <w:color w:val="000000" w:themeColor="text1"/>
          <w:sz w:val="24"/>
          <w:szCs w:val="24"/>
        </w:rPr>
        <w:t xml:space="preserve"> from </w:t>
      </w:r>
      <w:proofErr w:type="spellStart"/>
      <w:r w:rsidRPr="004D7143">
        <w:rPr>
          <w:rFonts w:ascii="Times New Roman" w:hAnsi="Times New Roman" w:cs="Times New Roman"/>
          <w:b/>
          <w:bCs/>
          <w:i/>
          <w:iCs/>
          <w:color w:val="000000" w:themeColor="text1"/>
          <w:sz w:val="24"/>
          <w:szCs w:val="24"/>
        </w:rPr>
        <w:t>Mangifera</w:t>
      </w:r>
      <w:proofErr w:type="spellEnd"/>
      <w:r w:rsidRPr="004D7143">
        <w:rPr>
          <w:rFonts w:ascii="Times New Roman" w:hAnsi="Times New Roman" w:cs="Times New Roman"/>
          <w:b/>
          <w:bCs/>
          <w:i/>
          <w:iCs/>
          <w:color w:val="000000" w:themeColor="text1"/>
          <w:sz w:val="24"/>
          <w:szCs w:val="24"/>
        </w:rPr>
        <w:t xml:space="preserve"> </w:t>
      </w:r>
      <w:proofErr w:type="spellStart"/>
      <w:r w:rsidRPr="004D7143">
        <w:rPr>
          <w:rFonts w:ascii="Times New Roman" w:hAnsi="Times New Roman" w:cs="Times New Roman"/>
          <w:b/>
          <w:bCs/>
          <w:i/>
          <w:iCs/>
          <w:color w:val="000000" w:themeColor="text1"/>
          <w:sz w:val="24"/>
          <w:szCs w:val="24"/>
        </w:rPr>
        <w:t>indica</w:t>
      </w:r>
      <w:proofErr w:type="spellEnd"/>
      <w:r w:rsidRPr="004D7143">
        <w:rPr>
          <w:rFonts w:ascii="Times New Roman" w:hAnsi="Times New Roman" w:cs="Times New Roman"/>
          <w:b/>
          <w:bCs/>
          <w:iCs/>
          <w:color w:val="000000" w:themeColor="text1"/>
          <w:sz w:val="24"/>
          <w:szCs w:val="24"/>
        </w:rPr>
        <w:t xml:space="preserve"> </w:t>
      </w:r>
      <w:r w:rsidR="00D14E48">
        <w:rPr>
          <w:rFonts w:ascii="Times New Roman" w:hAnsi="Times New Roman" w:cs="Times New Roman"/>
          <w:b/>
          <w:bCs/>
          <w:iCs/>
          <w:color w:val="000000" w:themeColor="text1"/>
          <w:sz w:val="24"/>
          <w:szCs w:val="24"/>
        </w:rPr>
        <w:t xml:space="preserve">L. </w:t>
      </w:r>
      <w:r w:rsidRPr="004D7143">
        <w:rPr>
          <w:rFonts w:ascii="Times New Roman" w:hAnsi="Times New Roman" w:cs="Times New Roman"/>
          <w:b/>
          <w:bCs/>
          <w:iCs/>
          <w:color w:val="000000" w:themeColor="text1"/>
          <w:sz w:val="24"/>
          <w:szCs w:val="24"/>
        </w:rPr>
        <w:t>Bark and Evaluation of Its Antioxidant Activity and Preliminary Toxicity Using th</w:t>
      </w:r>
      <w:r>
        <w:rPr>
          <w:rFonts w:ascii="Times New Roman" w:hAnsi="Times New Roman" w:cs="Times New Roman"/>
          <w:b/>
          <w:bCs/>
          <w:iCs/>
          <w:color w:val="000000" w:themeColor="text1"/>
          <w:sz w:val="24"/>
          <w:szCs w:val="24"/>
        </w:rPr>
        <w:t>e Brine Shrimp Lethality Assay</w:t>
      </w:r>
    </w:p>
    <w:p w14:paraId="2447766F" w14:textId="2AA6FFEC" w:rsidR="00CD2419" w:rsidRDefault="00CD2419" w:rsidP="005274F5">
      <w:pPr>
        <w:spacing w:after="0" w:line="360" w:lineRule="auto"/>
        <w:jc w:val="both"/>
        <w:rPr>
          <w:rFonts w:ascii="Times New Roman" w:hAnsi="Times New Roman" w:cs="Times New Roman"/>
          <w:color w:val="000000" w:themeColor="text1"/>
          <w:sz w:val="24"/>
          <w:szCs w:val="24"/>
        </w:rPr>
      </w:pPr>
    </w:p>
    <w:p w14:paraId="63B4C2BF" w14:textId="77777777" w:rsidR="00F803BE" w:rsidRPr="003B13AB" w:rsidRDefault="00F803BE" w:rsidP="005274F5">
      <w:pPr>
        <w:spacing w:after="0" w:line="360" w:lineRule="auto"/>
        <w:jc w:val="both"/>
        <w:rPr>
          <w:rFonts w:ascii="Times New Roman" w:hAnsi="Times New Roman" w:cs="Times New Roman"/>
          <w:color w:val="000000" w:themeColor="text1"/>
          <w:sz w:val="24"/>
          <w:szCs w:val="24"/>
        </w:rPr>
      </w:pPr>
    </w:p>
    <w:p w14:paraId="19EDF301"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589024BC"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ABSTRACT</w:t>
      </w:r>
    </w:p>
    <w:p w14:paraId="60F392FF" w14:textId="7DFA486D" w:rsidR="005274F5" w:rsidRPr="003B13AB" w:rsidRDefault="002D4332" w:rsidP="005274F5">
      <w:pPr>
        <w:spacing w:after="0" w:line="360" w:lineRule="auto"/>
        <w:ind w:firstLine="720"/>
        <w:jc w:val="both"/>
        <w:rPr>
          <w:rFonts w:ascii="Times New Roman" w:hAnsi="Times New Roman" w:cs="Times New Roman"/>
          <w:color w:val="000000" w:themeColor="text1"/>
          <w:sz w:val="24"/>
          <w:szCs w:val="24"/>
        </w:rPr>
      </w:pPr>
      <w:r w:rsidRPr="002D4332">
        <w:rPr>
          <w:rFonts w:ascii="Times New Roman" w:hAnsi="Times New Roman" w:cs="Times New Roman"/>
          <w:color w:val="000000" w:themeColor="text1"/>
          <w:sz w:val="24"/>
          <w:szCs w:val="24"/>
        </w:rPr>
        <w:t xml:space="preserve">Oxidative stress resulting from excessive production of reactive oxygen species (ROS) plays a critical role in the onset and progression of several chronic diseases, including cancer, diabetes mellitus, cardiovascular disorders, and neurodegenerative conditions. Natural antioxidants derived from medicinal plants are increasingly being explored as safer alternatives to synthetic antioxidants. In the present study, </w:t>
      </w:r>
      <w:proofErr w:type="spellStart"/>
      <w:r w:rsidRPr="002D4332">
        <w:rPr>
          <w:rFonts w:ascii="Times New Roman" w:hAnsi="Times New Roman" w:cs="Times New Roman"/>
          <w:color w:val="000000" w:themeColor="text1"/>
          <w:sz w:val="24"/>
          <w:szCs w:val="24"/>
        </w:rPr>
        <w:t>mangiferin</w:t>
      </w:r>
      <w:proofErr w:type="spellEnd"/>
      <w:r w:rsidRPr="002D4332">
        <w:rPr>
          <w:rFonts w:ascii="Times New Roman" w:hAnsi="Times New Roman" w:cs="Times New Roman"/>
          <w:color w:val="000000" w:themeColor="text1"/>
          <w:sz w:val="24"/>
          <w:szCs w:val="24"/>
        </w:rPr>
        <w:t xml:space="preserve">, a bioactive C-glucosyl xanthone, was isolated and purified from the bark of </w:t>
      </w:r>
      <w:r w:rsidRPr="002D4332">
        <w:rPr>
          <w:rFonts w:ascii="Times New Roman" w:hAnsi="Times New Roman" w:cs="Times New Roman"/>
          <w:i/>
          <w:color w:val="000000" w:themeColor="text1"/>
          <w:sz w:val="24"/>
          <w:szCs w:val="24"/>
        </w:rPr>
        <w:t>Mangifera indica L.</w:t>
      </w:r>
      <w:r w:rsidRPr="002D4332">
        <w:rPr>
          <w:rFonts w:ascii="Times New Roman" w:hAnsi="Times New Roman" w:cs="Times New Roman"/>
          <w:color w:val="000000" w:themeColor="text1"/>
          <w:sz w:val="24"/>
          <w:szCs w:val="24"/>
        </w:rPr>
        <w:t xml:space="preserve"> using Soxhlet extraction followed by silica gel column chromatography. The purity and identity of the isolated compound were confirmed through thin layer chromatography (TLC) and comprehensive spectroscopic and chromatographic characterization, including UV–Visible spectroscopy, FT-IR, HPLC, ¹H- a</w:t>
      </w:r>
      <w:r>
        <w:rPr>
          <w:rFonts w:ascii="Times New Roman" w:hAnsi="Times New Roman" w:cs="Times New Roman"/>
          <w:color w:val="000000" w:themeColor="text1"/>
          <w:sz w:val="24"/>
          <w:szCs w:val="24"/>
        </w:rPr>
        <w:t xml:space="preserve">nd ¹³C-NMR, and GC–MS analyses. </w:t>
      </w:r>
      <w:r w:rsidRPr="002D4332">
        <w:rPr>
          <w:rFonts w:ascii="Times New Roman" w:hAnsi="Times New Roman" w:cs="Times New Roman"/>
          <w:color w:val="000000" w:themeColor="text1"/>
          <w:sz w:val="24"/>
          <w:szCs w:val="24"/>
        </w:rPr>
        <w:t xml:space="preserve">The antioxidant potential of purified </w:t>
      </w:r>
      <w:proofErr w:type="spellStart"/>
      <w:r w:rsidRPr="002D4332">
        <w:rPr>
          <w:rFonts w:ascii="Times New Roman" w:hAnsi="Times New Roman" w:cs="Times New Roman"/>
          <w:color w:val="000000" w:themeColor="text1"/>
          <w:sz w:val="24"/>
          <w:szCs w:val="24"/>
        </w:rPr>
        <w:t>mangiferin</w:t>
      </w:r>
      <w:proofErr w:type="spellEnd"/>
      <w:r w:rsidRPr="002D4332">
        <w:rPr>
          <w:rFonts w:ascii="Times New Roman" w:hAnsi="Times New Roman" w:cs="Times New Roman"/>
          <w:color w:val="000000" w:themeColor="text1"/>
          <w:sz w:val="24"/>
          <w:szCs w:val="24"/>
        </w:rPr>
        <w:t xml:space="preserve"> was evaluated using multiple in vitro assays, including DPPH, ABTS●⁺, hydroxyl radical, superoxide anion, hydrogen peroxide, nitric oxide scavenging, and ferric reducing antioxidant power (FRAP) assays. </w:t>
      </w:r>
      <w:proofErr w:type="spellStart"/>
      <w:r w:rsidRPr="002D4332">
        <w:rPr>
          <w:rFonts w:ascii="Times New Roman" w:hAnsi="Times New Roman" w:cs="Times New Roman"/>
          <w:color w:val="000000" w:themeColor="text1"/>
          <w:sz w:val="24"/>
          <w:szCs w:val="24"/>
        </w:rPr>
        <w:t>Mangiferin</w:t>
      </w:r>
      <w:proofErr w:type="spellEnd"/>
      <w:r w:rsidRPr="002D4332">
        <w:rPr>
          <w:rFonts w:ascii="Times New Roman" w:hAnsi="Times New Roman" w:cs="Times New Roman"/>
          <w:color w:val="000000" w:themeColor="text1"/>
          <w:sz w:val="24"/>
          <w:szCs w:val="24"/>
        </w:rPr>
        <w:t xml:space="preserve"> exhibited significant and concentration-dependent antioxidant activity across all assays, with IC₅₀ va</w:t>
      </w:r>
      <w:r w:rsidR="00B233B2">
        <w:rPr>
          <w:rFonts w:ascii="Times New Roman" w:hAnsi="Times New Roman" w:cs="Times New Roman"/>
          <w:color w:val="000000" w:themeColor="text1"/>
          <w:sz w:val="24"/>
          <w:szCs w:val="24"/>
        </w:rPr>
        <w:t xml:space="preserve">lues comparable to those of the </w:t>
      </w:r>
      <w:r w:rsidRPr="002D4332">
        <w:rPr>
          <w:rFonts w:ascii="Times New Roman" w:hAnsi="Times New Roman" w:cs="Times New Roman"/>
          <w:color w:val="000000" w:themeColor="text1"/>
          <w:sz w:val="24"/>
          <w:szCs w:val="24"/>
        </w:rPr>
        <w:t xml:space="preserve">ascorbic acid. The strong radical scavenging and reducing abilities of </w:t>
      </w:r>
      <w:proofErr w:type="spellStart"/>
      <w:r w:rsidRPr="002D4332">
        <w:rPr>
          <w:rFonts w:ascii="Times New Roman" w:hAnsi="Times New Roman" w:cs="Times New Roman"/>
          <w:color w:val="000000" w:themeColor="text1"/>
          <w:sz w:val="24"/>
          <w:szCs w:val="24"/>
        </w:rPr>
        <w:t>mangiferin</w:t>
      </w:r>
      <w:proofErr w:type="spellEnd"/>
      <w:r w:rsidRPr="002D4332">
        <w:rPr>
          <w:rFonts w:ascii="Times New Roman" w:hAnsi="Times New Roman" w:cs="Times New Roman"/>
          <w:color w:val="000000" w:themeColor="text1"/>
          <w:sz w:val="24"/>
          <w:szCs w:val="24"/>
        </w:rPr>
        <w:t xml:space="preserve"> are attributed to its polyphenolic structure and efficient electron- and hydrogen-donating properties.</w:t>
      </w:r>
      <w:r w:rsidR="00DF0020">
        <w:rPr>
          <w:rFonts w:ascii="Times New Roman" w:hAnsi="Times New Roman" w:cs="Times New Roman"/>
          <w:color w:val="000000" w:themeColor="text1"/>
          <w:sz w:val="24"/>
          <w:szCs w:val="24"/>
        </w:rPr>
        <w:t xml:space="preserve"> </w:t>
      </w:r>
      <w:r w:rsidRPr="002D4332">
        <w:rPr>
          <w:rFonts w:ascii="Times New Roman" w:hAnsi="Times New Roman" w:cs="Times New Roman"/>
          <w:color w:val="000000" w:themeColor="text1"/>
          <w:sz w:val="24"/>
          <w:szCs w:val="24"/>
        </w:rPr>
        <w:t xml:space="preserve">In addition, the preliminary toxicity profile of </w:t>
      </w:r>
      <w:proofErr w:type="spellStart"/>
      <w:r w:rsidRPr="002D4332">
        <w:rPr>
          <w:rFonts w:ascii="Times New Roman" w:hAnsi="Times New Roman" w:cs="Times New Roman"/>
          <w:color w:val="000000" w:themeColor="text1"/>
          <w:sz w:val="24"/>
          <w:szCs w:val="24"/>
        </w:rPr>
        <w:t>mangiferin</w:t>
      </w:r>
      <w:proofErr w:type="spellEnd"/>
      <w:r w:rsidRPr="002D4332">
        <w:rPr>
          <w:rFonts w:ascii="Times New Roman" w:hAnsi="Times New Roman" w:cs="Times New Roman"/>
          <w:color w:val="000000" w:themeColor="text1"/>
          <w:sz w:val="24"/>
          <w:szCs w:val="24"/>
        </w:rPr>
        <w:t xml:space="preserve"> was assessed using the brine shrimp lethality assay (</w:t>
      </w:r>
      <w:r w:rsidRPr="00E54747">
        <w:rPr>
          <w:rFonts w:ascii="Times New Roman" w:hAnsi="Times New Roman" w:cs="Times New Roman"/>
          <w:i/>
          <w:iCs/>
          <w:color w:val="000000" w:themeColor="text1"/>
          <w:sz w:val="24"/>
          <w:szCs w:val="24"/>
        </w:rPr>
        <w:t>Artemia salina</w:t>
      </w:r>
      <w:proofErr w:type="gramStart"/>
      <w:r w:rsidRPr="002D4332">
        <w:rPr>
          <w:rFonts w:ascii="Times New Roman" w:hAnsi="Times New Roman" w:cs="Times New Roman"/>
          <w:color w:val="000000" w:themeColor="text1"/>
          <w:sz w:val="24"/>
          <w:szCs w:val="24"/>
        </w:rPr>
        <w:t>).</w:t>
      </w:r>
      <w:r w:rsidR="00502414">
        <w:rPr>
          <w:rFonts w:ascii="Times New Roman" w:hAnsi="Times New Roman" w:cs="Times New Roman"/>
          <w:color w:val="000000" w:themeColor="text1"/>
          <w:sz w:val="24"/>
          <w:szCs w:val="24"/>
        </w:rPr>
        <w:t>The</w:t>
      </w:r>
      <w:proofErr w:type="gramEnd"/>
      <w:r w:rsidR="00502414">
        <w:rPr>
          <w:rFonts w:ascii="Times New Roman" w:hAnsi="Times New Roman" w:cs="Times New Roman"/>
          <w:color w:val="000000" w:themeColor="text1"/>
          <w:sz w:val="24"/>
          <w:szCs w:val="24"/>
        </w:rPr>
        <w:t xml:space="preserve"> results indicated very low lethality of </w:t>
      </w:r>
      <w:r w:rsidR="00502414" w:rsidRPr="00E54747">
        <w:rPr>
          <w:rFonts w:ascii="Times New Roman" w:hAnsi="Times New Roman" w:cs="Times New Roman"/>
          <w:i/>
          <w:iCs/>
          <w:color w:val="000000" w:themeColor="text1"/>
          <w:sz w:val="24"/>
          <w:szCs w:val="24"/>
        </w:rPr>
        <w:t xml:space="preserve">Artemia salina </w:t>
      </w:r>
      <w:r w:rsidR="00502414">
        <w:rPr>
          <w:rFonts w:ascii="Times New Roman" w:hAnsi="Times New Roman" w:cs="Times New Roman"/>
          <w:color w:val="000000" w:themeColor="text1"/>
          <w:sz w:val="24"/>
          <w:szCs w:val="24"/>
        </w:rPr>
        <w:t>nauplii across the tested concentrations (25–500 µg/mL), with no mortality observed at 25 and 50 µg/mL and slight mortality at 100–500 µg/</w:t>
      </w:r>
      <w:proofErr w:type="spellStart"/>
      <w:r w:rsidR="00502414">
        <w:rPr>
          <w:rFonts w:ascii="Times New Roman" w:hAnsi="Times New Roman" w:cs="Times New Roman"/>
          <w:color w:val="000000" w:themeColor="text1"/>
          <w:sz w:val="24"/>
          <w:szCs w:val="24"/>
        </w:rPr>
        <w:t>mL.</w:t>
      </w:r>
      <w:proofErr w:type="spellEnd"/>
      <w:r w:rsidR="00502414">
        <w:rPr>
          <w:rFonts w:ascii="Times New Roman" w:hAnsi="Times New Roman" w:cs="Times New Roman"/>
          <w:color w:val="000000" w:themeColor="text1"/>
          <w:sz w:val="24"/>
          <w:szCs w:val="24"/>
        </w:rPr>
        <w:t xml:space="preserve"> The calculated LD₅₀ value of 1218.60 ± 0.87 µg/mL suggests</w:t>
      </w:r>
      <w:r w:rsidR="00C67137">
        <w:rPr>
          <w:rFonts w:ascii="Times New Roman" w:hAnsi="Times New Roman" w:cs="Times New Roman"/>
          <w:color w:val="000000" w:themeColor="text1"/>
          <w:sz w:val="24"/>
          <w:szCs w:val="24"/>
        </w:rPr>
        <w:t xml:space="preserve"> very </w:t>
      </w:r>
      <w:r w:rsidR="00547315">
        <w:rPr>
          <w:rFonts w:ascii="Times New Roman" w:hAnsi="Times New Roman" w:cs="Times New Roman"/>
          <w:color w:val="000000" w:themeColor="text1"/>
          <w:sz w:val="24"/>
          <w:szCs w:val="24"/>
        </w:rPr>
        <w:t>low</w:t>
      </w:r>
      <w:r w:rsidR="00502414">
        <w:rPr>
          <w:rFonts w:ascii="Times New Roman" w:hAnsi="Times New Roman" w:cs="Times New Roman"/>
          <w:color w:val="000000" w:themeColor="text1"/>
          <w:sz w:val="24"/>
          <w:szCs w:val="24"/>
        </w:rPr>
        <w:t xml:space="preserve"> toxicity</w:t>
      </w:r>
      <w:r w:rsidR="00491DB7">
        <w:rPr>
          <w:rFonts w:ascii="Times New Roman" w:hAnsi="Times New Roman" w:cs="Times New Roman"/>
          <w:color w:val="000000" w:themeColor="text1"/>
          <w:sz w:val="24"/>
          <w:szCs w:val="24"/>
        </w:rPr>
        <w:t>.</w:t>
      </w:r>
      <w:r w:rsidRPr="002D4332">
        <w:rPr>
          <w:rFonts w:ascii="Times New Roman" w:hAnsi="Times New Roman" w:cs="Times New Roman"/>
          <w:color w:val="000000" w:themeColor="text1"/>
          <w:sz w:val="24"/>
          <w:szCs w:val="24"/>
        </w:rPr>
        <w:t xml:space="preserve"> </w:t>
      </w:r>
      <w:r w:rsidR="004D7143" w:rsidRPr="004D7143">
        <w:rPr>
          <w:rFonts w:ascii="Times New Roman" w:hAnsi="Times New Roman" w:cs="Times New Roman"/>
          <w:color w:val="000000" w:themeColor="text1"/>
          <w:sz w:val="24"/>
          <w:szCs w:val="24"/>
        </w:rPr>
        <w:t>The</w:t>
      </w:r>
      <w:r w:rsidR="004D7143">
        <w:rPr>
          <w:rFonts w:ascii="Times New Roman" w:hAnsi="Times New Roman" w:cs="Times New Roman"/>
          <w:color w:val="000000" w:themeColor="text1"/>
          <w:sz w:val="24"/>
          <w:szCs w:val="24"/>
        </w:rPr>
        <w:t>se</w:t>
      </w:r>
      <w:r w:rsidR="004D7143" w:rsidRPr="004D7143">
        <w:rPr>
          <w:rFonts w:ascii="Times New Roman" w:hAnsi="Times New Roman" w:cs="Times New Roman"/>
          <w:color w:val="000000" w:themeColor="text1"/>
          <w:sz w:val="24"/>
          <w:szCs w:val="24"/>
        </w:rPr>
        <w:t xml:space="preserve"> findings support its potential application as a </w:t>
      </w:r>
      <w:r w:rsidR="004D7143">
        <w:rPr>
          <w:rFonts w:ascii="Times New Roman" w:hAnsi="Times New Roman" w:cs="Times New Roman"/>
          <w:color w:val="000000" w:themeColor="text1"/>
          <w:sz w:val="24"/>
          <w:szCs w:val="24"/>
        </w:rPr>
        <w:t xml:space="preserve">safe, </w:t>
      </w:r>
      <w:r w:rsidR="004D7143" w:rsidRPr="004D7143">
        <w:rPr>
          <w:rFonts w:ascii="Times New Roman" w:hAnsi="Times New Roman" w:cs="Times New Roman"/>
          <w:color w:val="000000" w:themeColor="text1"/>
          <w:sz w:val="24"/>
          <w:szCs w:val="24"/>
        </w:rPr>
        <w:t>natural antioxidant and a promising therapeutic lead for oxid</w:t>
      </w:r>
      <w:r w:rsidR="004D7143">
        <w:rPr>
          <w:rFonts w:ascii="Times New Roman" w:hAnsi="Times New Roman" w:cs="Times New Roman"/>
          <w:color w:val="000000" w:themeColor="text1"/>
          <w:sz w:val="24"/>
          <w:szCs w:val="24"/>
        </w:rPr>
        <w:t>ative stress–related disorders.</w:t>
      </w:r>
    </w:p>
    <w:p w14:paraId="7B5B2257"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b/>
          <w:bCs/>
          <w:color w:val="000000" w:themeColor="text1"/>
          <w:sz w:val="24"/>
          <w:szCs w:val="24"/>
        </w:rPr>
        <w:t xml:space="preserve">Keywords: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Xanthone, Oxidative Stress, Natural Antioxidant, </w:t>
      </w:r>
      <w:r w:rsidRPr="003B13AB">
        <w:rPr>
          <w:rFonts w:ascii="Times New Roman" w:hAnsi="Times New Roman" w:cs="Times New Roman"/>
          <w:i/>
          <w:iCs/>
          <w:color w:val="000000" w:themeColor="text1"/>
          <w:sz w:val="24"/>
          <w:szCs w:val="24"/>
        </w:rPr>
        <w:t xml:space="preserve">Mangifera indica </w:t>
      </w:r>
      <w:r w:rsidRPr="003B13AB">
        <w:rPr>
          <w:rFonts w:ascii="Times New Roman" w:hAnsi="Times New Roman" w:cs="Times New Roman"/>
          <w:color w:val="000000" w:themeColor="text1"/>
          <w:sz w:val="24"/>
          <w:szCs w:val="24"/>
        </w:rPr>
        <w:t>L.</w:t>
      </w:r>
    </w:p>
    <w:p w14:paraId="012FB05E" w14:textId="289FF434" w:rsidR="00FC5DCA" w:rsidRDefault="00FC5DCA" w:rsidP="00A73DB8">
      <w:pPr>
        <w:spacing w:after="0" w:line="360" w:lineRule="auto"/>
        <w:jc w:val="both"/>
        <w:rPr>
          <w:rFonts w:ascii="Times New Roman" w:hAnsi="Times New Roman" w:cs="Times New Roman"/>
          <w:b/>
          <w:bCs/>
          <w:color w:val="000000" w:themeColor="text1"/>
          <w:sz w:val="24"/>
          <w:szCs w:val="24"/>
        </w:rPr>
      </w:pPr>
    </w:p>
    <w:p w14:paraId="1B682810" w14:textId="05D5B7FF" w:rsidR="00F803BE" w:rsidRDefault="00F803BE" w:rsidP="00A73DB8">
      <w:pPr>
        <w:spacing w:after="0" w:line="360" w:lineRule="auto"/>
        <w:jc w:val="both"/>
        <w:rPr>
          <w:rFonts w:ascii="Times New Roman" w:hAnsi="Times New Roman" w:cs="Times New Roman"/>
          <w:b/>
          <w:bCs/>
          <w:color w:val="000000" w:themeColor="text1"/>
          <w:sz w:val="24"/>
          <w:szCs w:val="24"/>
        </w:rPr>
      </w:pPr>
    </w:p>
    <w:p w14:paraId="73005E5E" w14:textId="703126D8" w:rsidR="00F803BE" w:rsidRDefault="00F803BE" w:rsidP="00A73DB8">
      <w:pPr>
        <w:spacing w:after="0" w:line="360" w:lineRule="auto"/>
        <w:jc w:val="both"/>
        <w:rPr>
          <w:rFonts w:ascii="Times New Roman" w:hAnsi="Times New Roman" w:cs="Times New Roman"/>
          <w:b/>
          <w:bCs/>
          <w:color w:val="000000" w:themeColor="text1"/>
          <w:sz w:val="24"/>
          <w:szCs w:val="24"/>
        </w:rPr>
      </w:pPr>
    </w:p>
    <w:p w14:paraId="28AC1F7C" w14:textId="77777777" w:rsidR="00F803BE" w:rsidRDefault="00F803BE" w:rsidP="00A73DB8">
      <w:pPr>
        <w:spacing w:after="0" w:line="360" w:lineRule="auto"/>
        <w:jc w:val="both"/>
        <w:rPr>
          <w:rFonts w:ascii="Times New Roman" w:hAnsi="Times New Roman" w:cs="Times New Roman"/>
          <w:b/>
          <w:bCs/>
          <w:color w:val="000000" w:themeColor="text1"/>
          <w:sz w:val="24"/>
          <w:szCs w:val="24"/>
        </w:rPr>
      </w:pPr>
    </w:p>
    <w:p w14:paraId="50CFD742" w14:textId="6E40AAFD" w:rsidR="005274F5" w:rsidRDefault="005274F5" w:rsidP="00A73DB8">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INTRODUCTION</w:t>
      </w:r>
    </w:p>
    <w:p w14:paraId="41ECAF09" w14:textId="77777777" w:rsidR="00F803BE" w:rsidRPr="003B13AB" w:rsidRDefault="00F803BE" w:rsidP="00A73DB8">
      <w:pPr>
        <w:spacing w:after="0" w:line="360" w:lineRule="auto"/>
        <w:jc w:val="both"/>
        <w:rPr>
          <w:rFonts w:ascii="Times New Roman" w:hAnsi="Times New Roman" w:cs="Times New Roman"/>
          <w:b/>
          <w:bCs/>
          <w:color w:val="000000" w:themeColor="text1"/>
          <w:sz w:val="24"/>
          <w:szCs w:val="24"/>
        </w:rPr>
      </w:pPr>
    </w:p>
    <w:p w14:paraId="5081D538" w14:textId="77777777" w:rsidR="005274F5" w:rsidRPr="003B13AB" w:rsidRDefault="005274F5" w:rsidP="005274F5">
      <w:pPr>
        <w:spacing w:after="0" w:line="360" w:lineRule="auto"/>
        <w:jc w:val="both"/>
        <w:rPr>
          <w:rFonts w:ascii="Times New Roman" w:hAnsi="Times New Roman" w:cs="Times New Roman"/>
          <w:bCs/>
          <w:color w:val="000000" w:themeColor="text1"/>
          <w:sz w:val="24"/>
          <w:szCs w:val="24"/>
        </w:rPr>
      </w:pPr>
      <w:r w:rsidRPr="003B13AB">
        <w:rPr>
          <w:rFonts w:ascii="Times New Roman" w:hAnsi="Times New Roman" w:cs="Times New Roman"/>
          <w:bCs/>
          <w:color w:val="000000" w:themeColor="text1"/>
          <w:sz w:val="24"/>
          <w:szCs w:val="24"/>
        </w:rPr>
        <w:t xml:space="preserve">Oxidative stress is a pathological condition that arises from an imbalance between the excessive generation of reactive oxygen species (ROS) and the capacity of the cellular antioxidant </w:t>
      </w:r>
      <w:proofErr w:type="spellStart"/>
      <w:r w:rsidRPr="003B13AB">
        <w:rPr>
          <w:rFonts w:ascii="Times New Roman" w:hAnsi="Times New Roman" w:cs="Times New Roman"/>
          <w:bCs/>
          <w:color w:val="000000" w:themeColor="text1"/>
          <w:sz w:val="24"/>
          <w:szCs w:val="24"/>
        </w:rPr>
        <w:t>defense</w:t>
      </w:r>
      <w:proofErr w:type="spellEnd"/>
      <w:r w:rsidRPr="003B13AB">
        <w:rPr>
          <w:rFonts w:ascii="Times New Roman" w:hAnsi="Times New Roman" w:cs="Times New Roman"/>
          <w:bCs/>
          <w:color w:val="000000" w:themeColor="text1"/>
          <w:sz w:val="24"/>
          <w:szCs w:val="24"/>
        </w:rPr>
        <w:t xml:space="preserve"> system to neutralize them. ROS, including superoxide anions, hydrogen peroxide, and hydroxyl radicals, are highly reactive molecules capable of inducing oxidative damage to vital cellular macromolecules such as nucleic acids, proteins, and lipids. Persistent oxidative stress disrupts cellular homeostasis, promotes genomic instability, alters signal transduction pathways, and accelerates cellular dysfunction, thereby playing a central role in the initiation and progression of numerous chronic and degenerative diseases </w:t>
      </w:r>
      <w:r w:rsidRPr="003B13AB">
        <w:rPr>
          <w:rFonts w:ascii="Times New Roman" w:hAnsi="Times New Roman" w:cs="Times New Roman"/>
          <w:color w:val="000000" w:themeColor="text1"/>
          <w:sz w:val="24"/>
          <w:szCs w:val="24"/>
        </w:rPr>
        <w:t>(Reddy 2023)</w:t>
      </w:r>
      <w:r w:rsidRPr="003B13AB">
        <w:rPr>
          <w:rFonts w:ascii="Times New Roman" w:hAnsi="Times New Roman" w:cs="Times New Roman"/>
          <w:bCs/>
          <w:color w:val="000000" w:themeColor="text1"/>
          <w:sz w:val="24"/>
          <w:szCs w:val="24"/>
        </w:rPr>
        <w:t xml:space="preserve">. Accumulating evidence strongly implicates oxidative stress in the pathophysiology of cancer, diabetes mellitus, cardiovascular disorders, neurodegenerative diseases, diabetes, and other metabolic syndromes. Although endogenous enzymatic antioxidants (superoxide dismutase, catalase, glutathione peroxidase) and non-enzymatic antioxidants (glutathione, vitamins C and E) regulate ROS under normal physiological conditions, sustained or excessive radical production often overwhelms these </w:t>
      </w:r>
      <w:proofErr w:type="spellStart"/>
      <w:r w:rsidRPr="003B13AB">
        <w:rPr>
          <w:rFonts w:ascii="Times New Roman" w:hAnsi="Times New Roman" w:cs="Times New Roman"/>
          <w:bCs/>
          <w:color w:val="000000" w:themeColor="text1"/>
          <w:sz w:val="24"/>
          <w:szCs w:val="24"/>
        </w:rPr>
        <w:t>defense</w:t>
      </w:r>
      <w:proofErr w:type="spellEnd"/>
      <w:r w:rsidRPr="003B13AB">
        <w:rPr>
          <w:rFonts w:ascii="Times New Roman" w:hAnsi="Times New Roman" w:cs="Times New Roman"/>
          <w:bCs/>
          <w:color w:val="000000" w:themeColor="text1"/>
          <w:sz w:val="24"/>
          <w:szCs w:val="24"/>
        </w:rPr>
        <w:t xml:space="preserve"> mechanisms, highlighting the need for effective exogenous antioxidant sources </w:t>
      </w:r>
      <w:r w:rsidRPr="003B13AB">
        <w:rPr>
          <w:rFonts w:ascii="Times New Roman" w:hAnsi="Times New Roman" w:cs="Times New Roman"/>
          <w:color w:val="000000" w:themeColor="text1"/>
          <w:sz w:val="24"/>
          <w:szCs w:val="24"/>
        </w:rPr>
        <w:t>(</w:t>
      </w:r>
      <w:proofErr w:type="spellStart"/>
      <w:r w:rsidRPr="003B13AB">
        <w:rPr>
          <w:rFonts w:ascii="Times New Roman" w:hAnsi="Times New Roman" w:cs="Times New Roman"/>
          <w:color w:val="000000" w:themeColor="text1"/>
          <w:sz w:val="24"/>
          <w:szCs w:val="24"/>
        </w:rPr>
        <w:t>Leyane</w:t>
      </w:r>
      <w:proofErr w:type="spellEnd"/>
      <w:r w:rsidRPr="003B13AB">
        <w:rPr>
          <w:rFonts w:ascii="Times New Roman" w:hAnsi="Times New Roman" w:cs="Times New Roman"/>
          <w:color w:val="000000" w:themeColor="text1"/>
          <w:sz w:val="24"/>
          <w:szCs w:val="24"/>
        </w:rPr>
        <w:t xml:space="preserve"> </w:t>
      </w:r>
      <w:r w:rsidRPr="00B65600">
        <w:rPr>
          <w:rFonts w:ascii="Times New Roman" w:hAnsi="Times New Roman" w:cs="Times New Roman"/>
          <w:i/>
          <w:color w:val="000000" w:themeColor="text1"/>
          <w:sz w:val="24"/>
          <w:szCs w:val="24"/>
        </w:rPr>
        <w:t>et al</w:t>
      </w:r>
      <w:r w:rsidRPr="003B13AB">
        <w:rPr>
          <w:rFonts w:ascii="Times New Roman" w:hAnsi="Times New Roman" w:cs="Times New Roman"/>
          <w:iCs/>
          <w:color w:val="000000" w:themeColor="text1"/>
          <w:sz w:val="24"/>
          <w:szCs w:val="24"/>
        </w:rPr>
        <w:t>.,</w:t>
      </w:r>
      <w:r w:rsidRPr="003B13AB">
        <w:rPr>
          <w:rFonts w:ascii="Times New Roman" w:hAnsi="Times New Roman" w:cs="Times New Roman"/>
          <w:color w:val="000000" w:themeColor="text1"/>
          <w:sz w:val="24"/>
          <w:szCs w:val="24"/>
        </w:rPr>
        <w:t xml:space="preserve"> 2022).</w:t>
      </w:r>
    </w:p>
    <w:p w14:paraId="1FDDA1CF" w14:textId="77777777" w:rsidR="005274F5" w:rsidRPr="003B13AB" w:rsidRDefault="005274F5" w:rsidP="005274F5">
      <w:pPr>
        <w:spacing w:after="0" w:line="360" w:lineRule="auto"/>
        <w:jc w:val="both"/>
        <w:rPr>
          <w:rFonts w:ascii="Times New Roman" w:hAnsi="Times New Roman" w:cs="Times New Roman"/>
          <w:bCs/>
          <w:color w:val="000000" w:themeColor="text1"/>
          <w:sz w:val="24"/>
          <w:szCs w:val="24"/>
        </w:rPr>
      </w:pPr>
    </w:p>
    <w:p w14:paraId="14953B39" w14:textId="77777777" w:rsidR="005274F5" w:rsidRPr="003B13AB" w:rsidRDefault="005274F5" w:rsidP="005274F5">
      <w:pPr>
        <w:spacing w:after="0" w:line="360" w:lineRule="auto"/>
        <w:jc w:val="both"/>
        <w:rPr>
          <w:rFonts w:ascii="Times New Roman" w:hAnsi="Times New Roman" w:cs="Times New Roman"/>
          <w:bCs/>
          <w:color w:val="000000" w:themeColor="text1"/>
          <w:sz w:val="24"/>
          <w:szCs w:val="24"/>
        </w:rPr>
      </w:pPr>
      <w:r w:rsidRPr="003B13AB">
        <w:rPr>
          <w:rFonts w:ascii="Times New Roman" w:hAnsi="Times New Roman" w:cs="Times New Roman"/>
          <w:bCs/>
          <w:color w:val="000000" w:themeColor="text1"/>
          <w:sz w:val="24"/>
          <w:szCs w:val="24"/>
        </w:rPr>
        <w:t xml:space="preserve">Medicinal plants constitute an invaluable reservoir of structurally diverse bioactive phytochemicals capable of mitigating oxidative stress through multiple mechanisms, including free radical scavenging, metal ion chelation, inhibition of pro-oxidant enzymes, and modulation of redox-sensitive </w:t>
      </w:r>
      <w:proofErr w:type="spellStart"/>
      <w:r w:rsidRPr="003B13AB">
        <w:rPr>
          <w:rFonts w:ascii="Times New Roman" w:hAnsi="Times New Roman" w:cs="Times New Roman"/>
          <w:bCs/>
          <w:color w:val="000000" w:themeColor="text1"/>
          <w:sz w:val="24"/>
          <w:szCs w:val="24"/>
        </w:rPr>
        <w:t>signaling</w:t>
      </w:r>
      <w:proofErr w:type="spellEnd"/>
      <w:r w:rsidRPr="003B13AB">
        <w:rPr>
          <w:rFonts w:ascii="Times New Roman" w:hAnsi="Times New Roman" w:cs="Times New Roman"/>
          <w:bCs/>
          <w:color w:val="000000" w:themeColor="text1"/>
          <w:sz w:val="24"/>
          <w:szCs w:val="24"/>
        </w:rPr>
        <w:t xml:space="preserve"> pathways (</w:t>
      </w:r>
      <w:proofErr w:type="spellStart"/>
      <w:r w:rsidRPr="003B13AB">
        <w:rPr>
          <w:rFonts w:ascii="Times New Roman" w:hAnsi="Times New Roman" w:cs="Times New Roman"/>
          <w:bCs/>
          <w:color w:val="000000" w:themeColor="text1"/>
          <w:sz w:val="24"/>
          <w:szCs w:val="24"/>
        </w:rPr>
        <w:t>Tugen</w:t>
      </w:r>
      <w:proofErr w:type="spellEnd"/>
      <w:r w:rsidRPr="003B13AB">
        <w:rPr>
          <w:rFonts w:ascii="Times New Roman" w:hAnsi="Times New Roman" w:cs="Times New Roman"/>
          <w:bCs/>
          <w:color w:val="000000" w:themeColor="text1"/>
          <w:sz w:val="24"/>
          <w:szCs w:val="24"/>
        </w:rPr>
        <w:t xml:space="preserve"> </w:t>
      </w:r>
      <w:r w:rsidRPr="00B65600">
        <w:rPr>
          <w:rFonts w:ascii="Times New Roman" w:hAnsi="Times New Roman" w:cs="Times New Roman"/>
          <w:bCs/>
          <w:i/>
          <w:iCs/>
          <w:color w:val="000000" w:themeColor="text1"/>
          <w:sz w:val="24"/>
          <w:szCs w:val="24"/>
        </w:rPr>
        <w:t>et al</w:t>
      </w:r>
      <w:r w:rsidRPr="003B13AB">
        <w:rPr>
          <w:rFonts w:ascii="Times New Roman" w:hAnsi="Times New Roman" w:cs="Times New Roman"/>
          <w:bCs/>
          <w:color w:val="000000" w:themeColor="text1"/>
          <w:sz w:val="24"/>
          <w:szCs w:val="24"/>
        </w:rPr>
        <w:t xml:space="preserve">., 2025). Among these plants, </w:t>
      </w:r>
      <w:r w:rsidRPr="003B13AB">
        <w:rPr>
          <w:rFonts w:ascii="Times New Roman" w:hAnsi="Times New Roman" w:cs="Times New Roman"/>
          <w:bCs/>
          <w:i/>
          <w:iCs/>
          <w:color w:val="000000" w:themeColor="text1"/>
          <w:sz w:val="24"/>
          <w:szCs w:val="24"/>
        </w:rPr>
        <w:t>Mangifera indica L</w:t>
      </w:r>
      <w:r w:rsidRPr="003B13AB">
        <w:rPr>
          <w:rFonts w:ascii="Times New Roman" w:hAnsi="Times New Roman" w:cs="Times New Roman"/>
          <w:bCs/>
          <w:color w:val="000000" w:themeColor="text1"/>
          <w:sz w:val="24"/>
          <w:szCs w:val="24"/>
        </w:rPr>
        <w:t xml:space="preserve">. has gained considerable scientific attention due to its rich phytochemical profile and wide range of pharmacological activities. </w:t>
      </w:r>
      <w:proofErr w:type="spellStart"/>
      <w:r w:rsidRPr="003B13AB">
        <w:rPr>
          <w:rFonts w:ascii="Times New Roman" w:hAnsi="Times New Roman" w:cs="Times New Roman"/>
          <w:bCs/>
          <w:color w:val="000000" w:themeColor="text1"/>
          <w:sz w:val="24"/>
          <w:szCs w:val="24"/>
        </w:rPr>
        <w:t>Mangiferin</w:t>
      </w:r>
      <w:proofErr w:type="spellEnd"/>
      <w:r w:rsidRPr="003B13AB">
        <w:rPr>
          <w:rFonts w:ascii="Times New Roman" w:hAnsi="Times New Roman" w:cs="Times New Roman"/>
          <w:bCs/>
          <w:color w:val="000000" w:themeColor="text1"/>
          <w:sz w:val="24"/>
          <w:szCs w:val="24"/>
        </w:rPr>
        <w:t xml:space="preserve">, a naturally occurring C-glucosyl xanthone predominantly distributed in the bark, leaves, and peels of </w:t>
      </w:r>
      <w:r w:rsidRPr="003B13AB">
        <w:rPr>
          <w:rFonts w:ascii="Times New Roman" w:hAnsi="Times New Roman" w:cs="Times New Roman"/>
          <w:bCs/>
          <w:i/>
          <w:iCs/>
          <w:color w:val="000000" w:themeColor="text1"/>
          <w:sz w:val="24"/>
          <w:szCs w:val="24"/>
        </w:rPr>
        <w:t xml:space="preserve">Mangifera indica </w:t>
      </w:r>
      <w:r w:rsidRPr="003B13AB">
        <w:rPr>
          <w:rFonts w:ascii="Times New Roman" w:hAnsi="Times New Roman" w:cs="Times New Roman"/>
          <w:bCs/>
          <w:color w:val="000000" w:themeColor="text1"/>
          <w:sz w:val="24"/>
          <w:szCs w:val="24"/>
        </w:rPr>
        <w:t xml:space="preserve">L., is recognized as one of the principal bioactive constituents responsible for its antioxidant, anti-inflammatory, antidiabetic, neuroprotective, and anticancer effects (Imran </w:t>
      </w:r>
      <w:r w:rsidRPr="00B65600">
        <w:rPr>
          <w:rFonts w:ascii="Times New Roman" w:hAnsi="Times New Roman" w:cs="Times New Roman"/>
          <w:bCs/>
          <w:i/>
          <w:iCs/>
          <w:color w:val="000000" w:themeColor="text1"/>
          <w:sz w:val="24"/>
          <w:szCs w:val="24"/>
        </w:rPr>
        <w:t>et al</w:t>
      </w:r>
      <w:r w:rsidRPr="003B13AB">
        <w:rPr>
          <w:rFonts w:ascii="Times New Roman" w:hAnsi="Times New Roman" w:cs="Times New Roman"/>
          <w:bCs/>
          <w:color w:val="000000" w:themeColor="text1"/>
          <w:sz w:val="24"/>
          <w:szCs w:val="24"/>
        </w:rPr>
        <w:t xml:space="preserve">., 2017). Structurally, </w:t>
      </w:r>
      <w:proofErr w:type="spellStart"/>
      <w:r w:rsidRPr="003B13AB">
        <w:rPr>
          <w:rFonts w:ascii="Times New Roman" w:hAnsi="Times New Roman" w:cs="Times New Roman"/>
          <w:bCs/>
          <w:color w:val="000000" w:themeColor="text1"/>
          <w:sz w:val="24"/>
          <w:szCs w:val="24"/>
        </w:rPr>
        <w:t>mangiferin</w:t>
      </w:r>
      <w:proofErr w:type="spellEnd"/>
      <w:r w:rsidRPr="003B13AB">
        <w:rPr>
          <w:rFonts w:ascii="Times New Roman" w:hAnsi="Times New Roman" w:cs="Times New Roman"/>
          <w:bCs/>
          <w:color w:val="000000" w:themeColor="text1"/>
          <w:sz w:val="24"/>
          <w:szCs w:val="24"/>
        </w:rPr>
        <w:t xml:space="preserve"> possesses multiple hydroxyl groups and a xanthone backbone, which confer strong electron- and hydrogen-donating abilities, making it an efficient scavenger of reactive oxygen and nitrogen species. However, the biological activity of </w:t>
      </w:r>
      <w:proofErr w:type="spellStart"/>
      <w:r w:rsidRPr="003B13AB">
        <w:rPr>
          <w:rFonts w:ascii="Times New Roman" w:hAnsi="Times New Roman" w:cs="Times New Roman"/>
          <w:bCs/>
          <w:color w:val="000000" w:themeColor="text1"/>
          <w:sz w:val="24"/>
          <w:szCs w:val="24"/>
        </w:rPr>
        <w:t>mangiferin</w:t>
      </w:r>
      <w:proofErr w:type="spellEnd"/>
      <w:r w:rsidRPr="003B13AB">
        <w:rPr>
          <w:rFonts w:ascii="Times New Roman" w:hAnsi="Times New Roman" w:cs="Times New Roman"/>
          <w:bCs/>
          <w:color w:val="000000" w:themeColor="text1"/>
          <w:sz w:val="24"/>
          <w:szCs w:val="24"/>
        </w:rPr>
        <w:t xml:space="preserve"> is critically influenced by its purity, structural integrity, and physicochemical characteristics, which necessitate rigorous isolation and analytical validation.</w:t>
      </w:r>
    </w:p>
    <w:p w14:paraId="3C0DB5F3" w14:textId="77777777" w:rsidR="005274F5" w:rsidRPr="003B13AB" w:rsidRDefault="005274F5" w:rsidP="005274F5">
      <w:pPr>
        <w:spacing w:after="0" w:line="360" w:lineRule="auto"/>
        <w:jc w:val="both"/>
        <w:rPr>
          <w:rFonts w:ascii="Times New Roman" w:hAnsi="Times New Roman" w:cs="Times New Roman"/>
          <w:bCs/>
          <w:color w:val="000000" w:themeColor="text1"/>
          <w:sz w:val="24"/>
          <w:szCs w:val="24"/>
        </w:rPr>
      </w:pPr>
    </w:p>
    <w:p w14:paraId="750A069D" w14:textId="77777777" w:rsidR="005274F5" w:rsidRPr="003B13AB" w:rsidRDefault="005274F5" w:rsidP="005274F5">
      <w:pPr>
        <w:spacing w:after="0" w:line="360" w:lineRule="auto"/>
        <w:jc w:val="both"/>
        <w:rPr>
          <w:rFonts w:ascii="Times New Roman" w:hAnsi="Times New Roman" w:cs="Times New Roman"/>
          <w:bCs/>
          <w:color w:val="000000" w:themeColor="text1"/>
          <w:sz w:val="24"/>
          <w:szCs w:val="24"/>
        </w:rPr>
      </w:pPr>
      <w:r w:rsidRPr="003B13AB">
        <w:rPr>
          <w:rFonts w:ascii="Times New Roman" w:hAnsi="Times New Roman" w:cs="Times New Roman"/>
          <w:bCs/>
          <w:color w:val="000000" w:themeColor="text1"/>
          <w:sz w:val="24"/>
          <w:szCs w:val="24"/>
        </w:rPr>
        <w:lastRenderedPageBreak/>
        <w:t xml:space="preserve">Therefore, systematic isolation and purification of </w:t>
      </w:r>
      <w:proofErr w:type="spellStart"/>
      <w:r w:rsidRPr="003B13AB">
        <w:rPr>
          <w:rFonts w:ascii="Times New Roman" w:hAnsi="Times New Roman" w:cs="Times New Roman"/>
          <w:bCs/>
          <w:color w:val="000000" w:themeColor="text1"/>
          <w:sz w:val="24"/>
          <w:szCs w:val="24"/>
        </w:rPr>
        <w:t>mangiferin</w:t>
      </w:r>
      <w:proofErr w:type="spellEnd"/>
      <w:r w:rsidRPr="003B13AB">
        <w:rPr>
          <w:rFonts w:ascii="Times New Roman" w:hAnsi="Times New Roman" w:cs="Times New Roman"/>
          <w:bCs/>
          <w:color w:val="000000" w:themeColor="text1"/>
          <w:sz w:val="24"/>
          <w:szCs w:val="24"/>
        </w:rPr>
        <w:t xml:space="preserve"> from </w:t>
      </w:r>
      <w:proofErr w:type="spellStart"/>
      <w:r w:rsidRPr="003B13AB">
        <w:rPr>
          <w:rFonts w:ascii="Times New Roman" w:hAnsi="Times New Roman" w:cs="Times New Roman"/>
          <w:bCs/>
          <w:i/>
          <w:iCs/>
          <w:color w:val="000000" w:themeColor="text1"/>
          <w:sz w:val="24"/>
          <w:szCs w:val="24"/>
        </w:rPr>
        <w:t>Mangifera</w:t>
      </w:r>
      <w:proofErr w:type="spellEnd"/>
      <w:r w:rsidRPr="003B13AB">
        <w:rPr>
          <w:rFonts w:ascii="Times New Roman" w:hAnsi="Times New Roman" w:cs="Times New Roman"/>
          <w:bCs/>
          <w:i/>
          <w:iCs/>
          <w:color w:val="000000" w:themeColor="text1"/>
          <w:sz w:val="24"/>
          <w:szCs w:val="24"/>
        </w:rPr>
        <w:t xml:space="preserve"> </w:t>
      </w:r>
      <w:proofErr w:type="spellStart"/>
      <w:r w:rsidRPr="003B13AB">
        <w:rPr>
          <w:rFonts w:ascii="Times New Roman" w:hAnsi="Times New Roman" w:cs="Times New Roman"/>
          <w:bCs/>
          <w:i/>
          <w:iCs/>
          <w:color w:val="000000" w:themeColor="text1"/>
          <w:sz w:val="24"/>
          <w:szCs w:val="24"/>
        </w:rPr>
        <w:t>indica</w:t>
      </w:r>
      <w:proofErr w:type="spellEnd"/>
      <w:r w:rsidRPr="003B13AB">
        <w:rPr>
          <w:rFonts w:ascii="Times New Roman" w:hAnsi="Times New Roman" w:cs="Times New Roman"/>
          <w:bCs/>
          <w:color w:val="000000" w:themeColor="text1"/>
          <w:sz w:val="24"/>
          <w:szCs w:val="24"/>
        </w:rPr>
        <w:t xml:space="preserve"> L. bark are essential to obtain a chemically well-defined compound suitable for reproducible biological evaluation. Chromatographic techniques, particularly silica gel column chromatography coupled with thin layer chromatography, gives efficient separation of </w:t>
      </w:r>
      <w:proofErr w:type="spellStart"/>
      <w:r w:rsidRPr="003B13AB">
        <w:rPr>
          <w:rFonts w:ascii="Times New Roman" w:hAnsi="Times New Roman" w:cs="Times New Roman"/>
          <w:bCs/>
          <w:color w:val="000000" w:themeColor="text1"/>
          <w:sz w:val="24"/>
          <w:szCs w:val="24"/>
        </w:rPr>
        <w:t>mangiferin</w:t>
      </w:r>
      <w:proofErr w:type="spellEnd"/>
      <w:r w:rsidRPr="003B13AB">
        <w:rPr>
          <w:rFonts w:ascii="Times New Roman" w:hAnsi="Times New Roman" w:cs="Times New Roman"/>
          <w:bCs/>
          <w:color w:val="000000" w:themeColor="text1"/>
          <w:sz w:val="24"/>
          <w:szCs w:val="24"/>
        </w:rPr>
        <w:t xml:space="preserve"> from structurally related phytoconstituents and interfering matrix components. In addition, comprehensive structural and physicochemical characterization using advanced spectroscopic and chromatographic techniques including UV–Visible spectroscopy, Fourier-transform infrared spectroscopy (FT-IR), high-performance liquid chromatography (HPLC), nuclear magnetic resonance (¹H and ¹³C NMR), and mass spectrometry is indispensable for confirming compound identity, functional group composition, molecular framework, and chemical purity.</w:t>
      </w:r>
    </w:p>
    <w:p w14:paraId="1CAC9EFC" w14:textId="77777777" w:rsidR="005274F5" w:rsidRPr="003B13AB" w:rsidRDefault="005274F5" w:rsidP="005274F5">
      <w:pPr>
        <w:spacing w:after="0" w:line="360" w:lineRule="auto"/>
        <w:jc w:val="both"/>
        <w:rPr>
          <w:rFonts w:ascii="Times New Roman" w:hAnsi="Times New Roman" w:cs="Times New Roman"/>
          <w:bCs/>
          <w:color w:val="000000" w:themeColor="text1"/>
          <w:sz w:val="24"/>
          <w:szCs w:val="24"/>
        </w:rPr>
      </w:pPr>
    </w:p>
    <w:p w14:paraId="5FB404B6" w14:textId="4754198A" w:rsidR="003B13AB" w:rsidRPr="003B13AB" w:rsidRDefault="003B13AB" w:rsidP="003B13AB">
      <w:pPr>
        <w:spacing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The brine shrimp lethality assay (BSLT) is a simple, rapid, and cost-effective bioassay commonly used for the preliminary assessment of the toxicity of natural and synthetic compounds. This assay employs the larvae of </w:t>
      </w:r>
      <w:r w:rsidRPr="003B13AB">
        <w:rPr>
          <w:rFonts w:ascii="Times New Roman" w:hAnsi="Times New Roman" w:cs="Times New Roman"/>
          <w:i/>
          <w:iCs/>
          <w:color w:val="000000" w:themeColor="text1"/>
          <w:sz w:val="24"/>
          <w:szCs w:val="24"/>
        </w:rPr>
        <w:t>Artemia salina</w:t>
      </w:r>
      <w:r w:rsidRPr="003B13AB">
        <w:rPr>
          <w:rFonts w:ascii="Times New Roman" w:hAnsi="Times New Roman" w:cs="Times New Roman"/>
          <w:color w:val="000000" w:themeColor="text1"/>
          <w:sz w:val="24"/>
          <w:szCs w:val="24"/>
        </w:rPr>
        <w:t xml:space="preserve"> as a convenient invertebrate model for evaluating the biological effects of test substances. The toxicity of the compounds is determined by observing the mortality of brine shrimp nauplii after exposure to different concentrations of test compounds. The media</w:t>
      </w:r>
      <w:r w:rsidR="000C05BA">
        <w:rPr>
          <w:rFonts w:ascii="Times New Roman" w:hAnsi="Times New Roman" w:cs="Times New Roman"/>
          <w:color w:val="000000" w:themeColor="text1"/>
          <w:sz w:val="24"/>
          <w:szCs w:val="24"/>
        </w:rPr>
        <w:t xml:space="preserve">n lethal concentration (LD₅₀), </w:t>
      </w:r>
      <w:r w:rsidRPr="003B13AB">
        <w:rPr>
          <w:rFonts w:ascii="Times New Roman" w:hAnsi="Times New Roman" w:cs="Times New Roman"/>
          <w:color w:val="000000" w:themeColor="text1"/>
          <w:sz w:val="24"/>
          <w:szCs w:val="24"/>
        </w:rPr>
        <w:t xml:space="preserve">as the concentration of test compound required to cause 50% mortality of the nauplii population, is calculated using regression analysis. </w:t>
      </w:r>
    </w:p>
    <w:p w14:paraId="5B762D48" w14:textId="77777777" w:rsidR="003B13AB" w:rsidRPr="003B13AB" w:rsidRDefault="003B13AB" w:rsidP="005274F5">
      <w:pPr>
        <w:spacing w:after="0" w:line="360" w:lineRule="auto"/>
        <w:jc w:val="both"/>
        <w:rPr>
          <w:rFonts w:ascii="Times New Roman" w:hAnsi="Times New Roman" w:cs="Times New Roman"/>
          <w:bCs/>
          <w:color w:val="000000" w:themeColor="text1"/>
          <w:sz w:val="24"/>
          <w:szCs w:val="24"/>
        </w:rPr>
      </w:pPr>
    </w:p>
    <w:p w14:paraId="5514C8FB" w14:textId="1C4A209E" w:rsidR="005274F5" w:rsidRDefault="005274F5" w:rsidP="005274F5">
      <w:pPr>
        <w:spacing w:after="0" w:line="360" w:lineRule="auto"/>
        <w:jc w:val="both"/>
        <w:rPr>
          <w:rFonts w:ascii="Times New Roman" w:hAnsi="Times New Roman" w:cs="Times New Roman"/>
          <w:bCs/>
          <w:color w:val="000000" w:themeColor="text1"/>
          <w:sz w:val="24"/>
          <w:szCs w:val="24"/>
        </w:rPr>
      </w:pPr>
      <w:r w:rsidRPr="003B13AB">
        <w:rPr>
          <w:rFonts w:ascii="Times New Roman" w:hAnsi="Times New Roman" w:cs="Times New Roman"/>
          <w:bCs/>
          <w:color w:val="000000" w:themeColor="text1"/>
          <w:sz w:val="24"/>
          <w:szCs w:val="24"/>
        </w:rPr>
        <w:t xml:space="preserve">In this context, the present study aims to systematically isolate, purify, and characterize </w:t>
      </w:r>
      <w:proofErr w:type="spellStart"/>
      <w:r w:rsidRPr="003B13AB">
        <w:rPr>
          <w:rFonts w:ascii="Times New Roman" w:hAnsi="Times New Roman" w:cs="Times New Roman"/>
          <w:bCs/>
          <w:color w:val="000000" w:themeColor="text1"/>
          <w:sz w:val="24"/>
          <w:szCs w:val="24"/>
        </w:rPr>
        <w:t>mangiferin</w:t>
      </w:r>
      <w:proofErr w:type="spellEnd"/>
      <w:r w:rsidRPr="003B13AB">
        <w:rPr>
          <w:rFonts w:ascii="Times New Roman" w:hAnsi="Times New Roman" w:cs="Times New Roman"/>
          <w:bCs/>
          <w:color w:val="000000" w:themeColor="text1"/>
          <w:sz w:val="24"/>
          <w:szCs w:val="24"/>
        </w:rPr>
        <w:t xml:space="preserve"> from the bark of </w:t>
      </w:r>
      <w:r w:rsidRPr="003B13AB">
        <w:rPr>
          <w:rFonts w:ascii="Times New Roman" w:hAnsi="Times New Roman" w:cs="Times New Roman"/>
          <w:bCs/>
          <w:i/>
          <w:iCs/>
          <w:color w:val="000000" w:themeColor="text1"/>
          <w:sz w:val="24"/>
          <w:szCs w:val="24"/>
        </w:rPr>
        <w:t>Mangifera indica</w:t>
      </w:r>
      <w:r w:rsidRPr="003B13AB">
        <w:rPr>
          <w:rFonts w:ascii="Times New Roman" w:hAnsi="Times New Roman" w:cs="Times New Roman"/>
          <w:bCs/>
          <w:color w:val="000000" w:themeColor="text1"/>
          <w:sz w:val="24"/>
          <w:szCs w:val="24"/>
        </w:rPr>
        <w:t xml:space="preserve"> L. using chromatographic and spectroscopic approaches, followed by a comprehensive evaluation of its antioxidant potential through multiple in vitro free radical scavenging and reducing power assays. </w:t>
      </w:r>
      <w:r w:rsidR="000C05BA" w:rsidRPr="000C05BA">
        <w:rPr>
          <w:rFonts w:ascii="Times New Roman" w:hAnsi="Times New Roman" w:cs="Times New Roman"/>
          <w:bCs/>
          <w:color w:val="000000" w:themeColor="text1"/>
          <w:sz w:val="24"/>
          <w:szCs w:val="24"/>
        </w:rPr>
        <w:t xml:space="preserve">In addition, the general toxicity profile of the isolated compound was assessed using the Brine Shrimp Lethality Assay employing </w:t>
      </w:r>
      <w:r w:rsidR="000C05BA" w:rsidRPr="00D14E48">
        <w:rPr>
          <w:rFonts w:ascii="Times New Roman" w:hAnsi="Times New Roman" w:cs="Times New Roman"/>
          <w:bCs/>
          <w:i/>
          <w:iCs/>
          <w:color w:val="000000" w:themeColor="text1"/>
          <w:sz w:val="24"/>
          <w:szCs w:val="24"/>
        </w:rPr>
        <w:t>Artemia salina</w:t>
      </w:r>
      <w:r w:rsidR="000C05BA" w:rsidRPr="000C05BA">
        <w:rPr>
          <w:rFonts w:ascii="Times New Roman" w:hAnsi="Times New Roman" w:cs="Times New Roman"/>
          <w:bCs/>
          <w:color w:val="000000" w:themeColor="text1"/>
          <w:sz w:val="24"/>
          <w:szCs w:val="24"/>
        </w:rPr>
        <w:t xml:space="preserve"> nauplii to determine the LD₅₀ value.</w:t>
      </w:r>
      <w:r w:rsidR="000C05BA">
        <w:rPr>
          <w:rFonts w:ascii="Times New Roman" w:hAnsi="Times New Roman" w:cs="Times New Roman"/>
          <w:bCs/>
          <w:color w:val="000000" w:themeColor="text1"/>
          <w:sz w:val="24"/>
          <w:szCs w:val="24"/>
        </w:rPr>
        <w:t xml:space="preserve"> </w:t>
      </w:r>
      <w:r w:rsidR="006978D5" w:rsidRPr="006978D5">
        <w:rPr>
          <w:rFonts w:ascii="Times New Roman" w:hAnsi="Times New Roman" w:cs="Times New Roman"/>
          <w:bCs/>
          <w:color w:val="000000" w:themeColor="text1"/>
          <w:sz w:val="24"/>
          <w:szCs w:val="24"/>
        </w:rPr>
        <w:t xml:space="preserve">This integrated phytochemical and biological approach provides critical insights into the relationship between the structural integrity of </w:t>
      </w:r>
      <w:proofErr w:type="spellStart"/>
      <w:r w:rsidR="006978D5" w:rsidRPr="006978D5">
        <w:rPr>
          <w:rFonts w:ascii="Times New Roman" w:hAnsi="Times New Roman" w:cs="Times New Roman"/>
          <w:bCs/>
          <w:color w:val="000000" w:themeColor="text1"/>
          <w:sz w:val="24"/>
          <w:szCs w:val="24"/>
        </w:rPr>
        <w:t>mangiferin</w:t>
      </w:r>
      <w:proofErr w:type="spellEnd"/>
      <w:r w:rsidR="006978D5" w:rsidRPr="006978D5">
        <w:rPr>
          <w:rFonts w:ascii="Times New Roman" w:hAnsi="Times New Roman" w:cs="Times New Roman"/>
          <w:bCs/>
          <w:color w:val="000000" w:themeColor="text1"/>
          <w:sz w:val="24"/>
          <w:szCs w:val="24"/>
        </w:rPr>
        <w:t xml:space="preserve"> and its antioxidant efficacy, while also offering preliminary information regarding its safety profile, thereby supporting its potential application as a natural antioxidant and a promising therapeutic lead for oxidative stress–related disorders.</w:t>
      </w:r>
    </w:p>
    <w:p w14:paraId="62D21A93" w14:textId="77777777" w:rsidR="006978D5" w:rsidRPr="003B13AB" w:rsidRDefault="006978D5" w:rsidP="005274F5">
      <w:pPr>
        <w:spacing w:after="0" w:line="360" w:lineRule="auto"/>
        <w:jc w:val="both"/>
        <w:rPr>
          <w:rFonts w:ascii="Times New Roman" w:hAnsi="Times New Roman" w:cs="Times New Roman"/>
          <w:b/>
          <w:bCs/>
          <w:color w:val="000000" w:themeColor="text1"/>
          <w:sz w:val="24"/>
          <w:szCs w:val="24"/>
        </w:rPr>
      </w:pPr>
    </w:p>
    <w:p w14:paraId="196F355B" w14:textId="3C1DCFF3"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MATERIALS AND METHODS</w:t>
      </w:r>
    </w:p>
    <w:p w14:paraId="5A5E9450" w14:textId="77777777" w:rsidR="005274F5" w:rsidRPr="003B13AB" w:rsidRDefault="005274F5" w:rsidP="005274F5">
      <w:pPr>
        <w:pStyle w:val="NormalWeb"/>
        <w:spacing w:before="0" w:beforeAutospacing="0" w:after="0" w:afterAutospacing="0" w:line="360" w:lineRule="auto"/>
        <w:jc w:val="both"/>
        <w:rPr>
          <w:b/>
          <w:bCs/>
          <w:color w:val="000000" w:themeColor="text1"/>
        </w:rPr>
      </w:pPr>
    </w:p>
    <w:p w14:paraId="796C9A00" w14:textId="6FE988F4" w:rsidR="005274F5" w:rsidRPr="003B13AB" w:rsidRDefault="005274F5" w:rsidP="005274F5">
      <w:pPr>
        <w:pStyle w:val="NormalWeb"/>
        <w:spacing w:before="0" w:beforeAutospacing="0" w:after="0" w:afterAutospacing="0" w:line="360" w:lineRule="auto"/>
        <w:jc w:val="both"/>
        <w:rPr>
          <w:b/>
          <w:bCs/>
          <w:color w:val="000000" w:themeColor="text1"/>
        </w:rPr>
      </w:pPr>
      <w:r w:rsidRPr="003B13AB">
        <w:rPr>
          <w:b/>
          <w:bCs/>
          <w:color w:val="000000" w:themeColor="text1"/>
        </w:rPr>
        <w:lastRenderedPageBreak/>
        <w:t>Plant Material</w:t>
      </w:r>
    </w:p>
    <w:p w14:paraId="565CE324" w14:textId="77777777" w:rsidR="005274F5" w:rsidRPr="003B13AB" w:rsidRDefault="005274F5" w:rsidP="005274F5">
      <w:pPr>
        <w:pStyle w:val="NormalWeb"/>
        <w:spacing w:line="360" w:lineRule="auto"/>
        <w:jc w:val="both"/>
        <w:rPr>
          <w:rFonts w:eastAsiaTheme="minorEastAsia"/>
          <w:color w:val="000000" w:themeColor="text1"/>
        </w:rPr>
      </w:pPr>
      <w:r w:rsidRPr="003B13AB">
        <w:rPr>
          <w:color w:val="000000" w:themeColor="text1"/>
        </w:rPr>
        <w:t xml:space="preserve">The bark of </w:t>
      </w:r>
      <w:r w:rsidRPr="003B13AB">
        <w:rPr>
          <w:rStyle w:val="Emphasis"/>
          <w:rFonts w:eastAsiaTheme="majorEastAsia"/>
          <w:color w:val="000000" w:themeColor="text1"/>
        </w:rPr>
        <w:t>Mangifera indica</w:t>
      </w:r>
      <w:r w:rsidRPr="003B13AB">
        <w:rPr>
          <w:color w:val="000000" w:themeColor="text1"/>
        </w:rPr>
        <w:t xml:space="preserve"> L. was collected from Mayiladuthurai District, Tamil Nadu, India. The plant material was authenticated by a botanist from the Department of Botany, </w:t>
      </w:r>
      <w:proofErr w:type="spellStart"/>
      <w:r w:rsidRPr="003B13AB">
        <w:rPr>
          <w:color w:val="000000" w:themeColor="text1"/>
        </w:rPr>
        <w:t>Dharmapuram</w:t>
      </w:r>
      <w:proofErr w:type="spellEnd"/>
      <w:r w:rsidRPr="003B13AB">
        <w:rPr>
          <w:color w:val="000000" w:themeColor="text1"/>
        </w:rPr>
        <w:t xml:space="preserve"> </w:t>
      </w:r>
      <w:proofErr w:type="spellStart"/>
      <w:r w:rsidRPr="003B13AB">
        <w:rPr>
          <w:color w:val="000000" w:themeColor="text1"/>
        </w:rPr>
        <w:t>Gnanambigai</w:t>
      </w:r>
      <w:proofErr w:type="spellEnd"/>
      <w:r w:rsidRPr="003B13AB">
        <w:rPr>
          <w:color w:val="000000" w:themeColor="text1"/>
        </w:rPr>
        <w:t xml:space="preserve"> Government Arts College (W), Tamil Nadu. A voucher specimen (DGGACW/BOT/125) was deposited for future reference.</w:t>
      </w:r>
    </w:p>
    <w:p w14:paraId="4482C0B5" w14:textId="34DB7259" w:rsidR="005274F5" w:rsidRPr="003B13AB" w:rsidRDefault="005274F5" w:rsidP="005274F5">
      <w:pPr>
        <w:pStyle w:val="Heading3"/>
        <w:spacing w:line="360" w:lineRule="auto"/>
        <w:jc w:val="both"/>
        <w:rPr>
          <w:rFonts w:ascii="Times New Roman" w:eastAsia="Times New Roman" w:hAnsi="Times New Roman" w:cs="Times New Roman"/>
          <w:b/>
          <w:bCs/>
          <w:color w:val="000000" w:themeColor="text1"/>
          <w:sz w:val="24"/>
          <w:szCs w:val="24"/>
        </w:rPr>
      </w:pPr>
      <w:r w:rsidRPr="003B13AB">
        <w:rPr>
          <w:rFonts w:ascii="Times New Roman" w:eastAsia="Times New Roman" w:hAnsi="Times New Roman" w:cs="Times New Roman"/>
          <w:b/>
          <w:bCs/>
          <w:color w:val="000000" w:themeColor="text1"/>
          <w:sz w:val="24"/>
          <w:szCs w:val="24"/>
        </w:rPr>
        <w:t xml:space="preserve">Extraction of </w:t>
      </w:r>
      <w:r w:rsidRPr="003B13AB">
        <w:rPr>
          <w:rStyle w:val="Emphasis"/>
          <w:rFonts w:ascii="Times New Roman" w:eastAsia="Times New Roman" w:hAnsi="Times New Roman" w:cs="Times New Roman"/>
          <w:b/>
          <w:bCs/>
          <w:color w:val="000000" w:themeColor="text1"/>
          <w:sz w:val="24"/>
          <w:szCs w:val="24"/>
        </w:rPr>
        <w:t>Mangifera indica</w:t>
      </w:r>
      <w:r w:rsidRPr="003B13AB">
        <w:rPr>
          <w:rFonts w:ascii="Times New Roman" w:eastAsia="Times New Roman" w:hAnsi="Times New Roman" w:cs="Times New Roman"/>
          <w:b/>
          <w:bCs/>
          <w:color w:val="000000" w:themeColor="text1"/>
          <w:sz w:val="24"/>
          <w:szCs w:val="24"/>
        </w:rPr>
        <w:t xml:space="preserve"> L. Bark</w:t>
      </w:r>
    </w:p>
    <w:p w14:paraId="6727B76B" w14:textId="552E622C" w:rsidR="005274F5" w:rsidRPr="003B13AB" w:rsidRDefault="005274F5" w:rsidP="005274F5">
      <w:pPr>
        <w:pStyle w:val="NormalWeb"/>
        <w:spacing w:line="360" w:lineRule="auto"/>
        <w:jc w:val="both"/>
        <w:rPr>
          <w:rFonts w:eastAsiaTheme="minorEastAsia"/>
          <w:color w:val="000000" w:themeColor="text1"/>
        </w:rPr>
      </w:pPr>
      <w:r w:rsidRPr="003B13AB">
        <w:rPr>
          <w:color w:val="000000" w:themeColor="text1"/>
        </w:rPr>
        <w:t xml:space="preserve">The air-dried bark powder of </w:t>
      </w:r>
      <w:r w:rsidRPr="003B13AB">
        <w:rPr>
          <w:rStyle w:val="Emphasis"/>
          <w:rFonts w:eastAsiaTheme="majorEastAsia"/>
          <w:color w:val="000000" w:themeColor="text1"/>
        </w:rPr>
        <w:t>Mangifera indica</w:t>
      </w:r>
      <w:r w:rsidRPr="003B13AB">
        <w:rPr>
          <w:color w:val="000000" w:themeColor="text1"/>
        </w:rPr>
        <w:t xml:space="preserve"> L. was subjected to exhaustive extraction using a Soxhlet apparatus with petroleum ether for 7 hours to remove fatty and non-polar constituents. The defatted residue was subsequently extracted using 95% ethanol for 3 hours in the same apparatus. After extraction, the ethanolic extract was concentrated and stored at 4 °C for further analysis, following the method described by Biswas </w:t>
      </w:r>
      <w:r w:rsidRPr="00B65600">
        <w:rPr>
          <w:i/>
          <w:iCs/>
          <w:color w:val="000000" w:themeColor="text1"/>
        </w:rPr>
        <w:t>et al</w:t>
      </w:r>
      <w:r w:rsidRPr="003B13AB">
        <w:rPr>
          <w:color w:val="000000" w:themeColor="text1"/>
        </w:rPr>
        <w:t>.</w:t>
      </w:r>
      <w:r w:rsidR="00B65600">
        <w:rPr>
          <w:color w:val="000000" w:themeColor="text1"/>
        </w:rPr>
        <w:t>,</w:t>
      </w:r>
      <w:r w:rsidRPr="003B13AB">
        <w:rPr>
          <w:color w:val="000000" w:themeColor="text1"/>
        </w:rPr>
        <w:t xml:space="preserve"> (2015).</w:t>
      </w:r>
    </w:p>
    <w:p w14:paraId="79B471A3" w14:textId="26209CCD" w:rsidR="005274F5" w:rsidRPr="003B13AB" w:rsidRDefault="005274F5" w:rsidP="005274F5">
      <w:pPr>
        <w:pStyle w:val="Heading3"/>
        <w:spacing w:line="360" w:lineRule="auto"/>
        <w:jc w:val="both"/>
        <w:rPr>
          <w:rFonts w:ascii="Times New Roman" w:eastAsia="Times New Roman" w:hAnsi="Times New Roman" w:cs="Times New Roman"/>
          <w:b/>
          <w:bCs/>
          <w:color w:val="000000" w:themeColor="text1"/>
          <w:sz w:val="24"/>
          <w:szCs w:val="24"/>
        </w:rPr>
      </w:pPr>
      <w:r w:rsidRPr="003B13AB">
        <w:rPr>
          <w:rFonts w:ascii="Times New Roman" w:eastAsia="Times New Roman" w:hAnsi="Times New Roman" w:cs="Times New Roman"/>
          <w:b/>
          <w:bCs/>
          <w:color w:val="000000" w:themeColor="text1"/>
          <w:sz w:val="24"/>
          <w:szCs w:val="24"/>
        </w:rPr>
        <w:t>Fractionation and Purification of Crude Extract</w:t>
      </w:r>
    </w:p>
    <w:p w14:paraId="1A787E64" w14:textId="6F79030E" w:rsidR="005274F5" w:rsidRPr="003B13AB" w:rsidRDefault="005274F5" w:rsidP="005274F5">
      <w:pPr>
        <w:pStyle w:val="NormalWeb"/>
        <w:spacing w:line="360" w:lineRule="auto"/>
        <w:jc w:val="both"/>
        <w:rPr>
          <w:rFonts w:eastAsiaTheme="minorEastAsia"/>
          <w:color w:val="000000" w:themeColor="text1"/>
        </w:rPr>
      </w:pPr>
      <w:r w:rsidRPr="003B13AB">
        <w:rPr>
          <w:color w:val="000000" w:themeColor="text1"/>
        </w:rPr>
        <w:t xml:space="preserve">Fractionation of the crude ethanolic extract was carried out using column chromatography as described by Singh </w:t>
      </w:r>
      <w:r w:rsidRPr="00B65600">
        <w:rPr>
          <w:i/>
          <w:iCs/>
          <w:color w:val="000000" w:themeColor="text1"/>
        </w:rPr>
        <w:t>et al</w:t>
      </w:r>
      <w:r w:rsidRPr="003B13AB">
        <w:rPr>
          <w:color w:val="000000" w:themeColor="text1"/>
        </w:rPr>
        <w:t>.</w:t>
      </w:r>
      <w:r w:rsidR="00B65600">
        <w:rPr>
          <w:color w:val="000000" w:themeColor="text1"/>
        </w:rPr>
        <w:t>,</w:t>
      </w:r>
      <w:r w:rsidRPr="003B13AB">
        <w:rPr>
          <w:color w:val="000000" w:themeColor="text1"/>
        </w:rPr>
        <w:t xml:space="preserve"> (2012). A glass column was vertically packed with silica gel (60–120 µm), previously activated at 120 °C for 2 hours, using the slurry method with petroleum ether as the packing solvent. The column was gently tapped to ensure uniform packing and allowed to equilibrate before sample loading.</w:t>
      </w:r>
    </w:p>
    <w:p w14:paraId="1B9585B1" w14:textId="77777777" w:rsidR="005274F5" w:rsidRPr="003B13AB" w:rsidRDefault="005274F5" w:rsidP="005274F5">
      <w:pPr>
        <w:pStyle w:val="NormalWeb"/>
        <w:spacing w:line="360" w:lineRule="auto"/>
        <w:jc w:val="both"/>
        <w:rPr>
          <w:color w:val="000000" w:themeColor="text1"/>
        </w:rPr>
      </w:pPr>
      <w:r w:rsidRPr="003B13AB">
        <w:rPr>
          <w:color w:val="000000" w:themeColor="text1"/>
        </w:rPr>
        <w:t xml:space="preserve">The ethanolic extract was adsorbed onto silica gel to form a free-flowing powder and carefully layered onto the top of the packed column. Elution was performed using a solvent system consisting of </w:t>
      </w:r>
      <w:proofErr w:type="spellStart"/>
      <w:proofErr w:type="gramStart"/>
      <w:r w:rsidRPr="003B13AB">
        <w:rPr>
          <w:color w:val="000000" w:themeColor="text1"/>
        </w:rPr>
        <w:t>chloroform:acetone</w:t>
      </w:r>
      <w:proofErr w:type="gramEnd"/>
      <w:r w:rsidRPr="003B13AB">
        <w:rPr>
          <w:color w:val="000000" w:themeColor="text1"/>
        </w:rPr>
        <w:t>:formic</w:t>
      </w:r>
      <w:proofErr w:type="spellEnd"/>
      <w:r w:rsidRPr="003B13AB">
        <w:rPr>
          <w:color w:val="000000" w:themeColor="text1"/>
        </w:rPr>
        <w:t xml:space="preserve"> acid (8:1.5:0.5), with fractions collected using solvents of increasing polarity. The collected fractions were concentrated by solvent evaporation, yielding </w:t>
      </w:r>
      <w:proofErr w:type="spellStart"/>
      <w:r w:rsidRPr="003B13AB">
        <w:rPr>
          <w:color w:val="000000" w:themeColor="text1"/>
        </w:rPr>
        <w:t>mangiferin</w:t>
      </w:r>
      <w:proofErr w:type="spellEnd"/>
      <w:r w:rsidRPr="003B13AB">
        <w:rPr>
          <w:color w:val="000000" w:themeColor="text1"/>
        </w:rPr>
        <w:t xml:space="preserve"> crystals, which were further purified by washing with acetone and ethanol to remove residual impurities.</w:t>
      </w:r>
    </w:p>
    <w:p w14:paraId="52369617" w14:textId="5A0DD7CE" w:rsidR="005274F5" w:rsidRPr="003B13AB" w:rsidRDefault="005274F5" w:rsidP="005274F5">
      <w:pPr>
        <w:pStyle w:val="Heading3"/>
        <w:spacing w:line="360" w:lineRule="auto"/>
        <w:jc w:val="both"/>
        <w:rPr>
          <w:rFonts w:ascii="Times New Roman" w:eastAsia="Times New Roman" w:hAnsi="Times New Roman" w:cs="Times New Roman"/>
          <w:b/>
          <w:bCs/>
          <w:color w:val="000000" w:themeColor="text1"/>
          <w:sz w:val="24"/>
          <w:szCs w:val="24"/>
        </w:rPr>
      </w:pPr>
      <w:r w:rsidRPr="003B13AB">
        <w:rPr>
          <w:rFonts w:ascii="Times New Roman" w:eastAsia="Times New Roman" w:hAnsi="Times New Roman" w:cs="Times New Roman"/>
          <w:b/>
          <w:bCs/>
          <w:color w:val="000000" w:themeColor="text1"/>
          <w:sz w:val="24"/>
          <w:szCs w:val="24"/>
        </w:rPr>
        <w:t>Thin Layer Chromatography (TLC)</w:t>
      </w:r>
    </w:p>
    <w:p w14:paraId="1328D271" w14:textId="352CC5A5" w:rsidR="005274F5" w:rsidRPr="003B13AB" w:rsidRDefault="005274F5" w:rsidP="005274F5">
      <w:pPr>
        <w:pStyle w:val="NormalWeb"/>
        <w:spacing w:line="360" w:lineRule="auto"/>
        <w:jc w:val="both"/>
        <w:rPr>
          <w:rFonts w:eastAsiaTheme="minorEastAsia"/>
          <w:color w:val="000000" w:themeColor="text1"/>
        </w:rPr>
      </w:pPr>
      <w:r w:rsidRPr="003B13AB">
        <w:rPr>
          <w:color w:val="000000" w:themeColor="text1"/>
        </w:rPr>
        <w:t xml:space="preserve">Thin layer chromatography was employed to monitor the separation and purity of the fractions. TLC </w:t>
      </w:r>
      <w:proofErr w:type="spellStart"/>
      <w:r w:rsidR="00DA5659" w:rsidRPr="00DA5659">
        <w:rPr>
          <w:color w:val="000000" w:themeColor="text1"/>
        </w:rPr>
        <w:t>Anex</w:t>
      </w:r>
      <w:r w:rsidRPr="003B13AB">
        <w:rPr>
          <w:color w:val="000000" w:themeColor="text1"/>
        </w:rPr>
        <w:t>s</w:t>
      </w:r>
      <w:proofErr w:type="spellEnd"/>
      <w:r w:rsidRPr="003B13AB">
        <w:rPr>
          <w:color w:val="000000" w:themeColor="text1"/>
        </w:rPr>
        <w:t xml:space="preserve"> were prepared by coating clean glass plates with an aqueous slurry of silica gel G, containing calcium carbonate or starch as a binder. The plates were activated by heating at 105 °C for 30 minutes and allowed to cool prior to use.</w:t>
      </w:r>
    </w:p>
    <w:p w14:paraId="201DE39D" w14:textId="44D83769" w:rsidR="005274F5" w:rsidRPr="003B13AB" w:rsidRDefault="005274F5" w:rsidP="005274F5">
      <w:pPr>
        <w:pStyle w:val="NormalWeb"/>
        <w:spacing w:line="360" w:lineRule="auto"/>
        <w:jc w:val="both"/>
        <w:rPr>
          <w:color w:val="000000" w:themeColor="text1"/>
        </w:rPr>
      </w:pPr>
      <w:r w:rsidRPr="003B13AB">
        <w:rPr>
          <w:color w:val="000000" w:themeColor="text1"/>
        </w:rPr>
        <w:lastRenderedPageBreak/>
        <w:t xml:space="preserve">Samples were loaded approximately 1 cm from the base of the plate using capillary tubes. The developing chamber was pre-saturated with the solvent system </w:t>
      </w:r>
      <w:proofErr w:type="spellStart"/>
      <w:proofErr w:type="gramStart"/>
      <w:r w:rsidRPr="003B13AB">
        <w:rPr>
          <w:color w:val="000000" w:themeColor="text1"/>
        </w:rPr>
        <w:t>chloroform:acetone</w:t>
      </w:r>
      <w:proofErr w:type="gramEnd"/>
      <w:r w:rsidRPr="003B13AB">
        <w:rPr>
          <w:color w:val="000000" w:themeColor="text1"/>
        </w:rPr>
        <w:t>:formic</w:t>
      </w:r>
      <w:proofErr w:type="spellEnd"/>
      <w:r w:rsidRPr="003B13AB">
        <w:rPr>
          <w:color w:val="000000" w:themeColor="text1"/>
        </w:rPr>
        <w:t xml:space="preserve"> acid (8:1.5:0.5). The plates were developed until the solvent front reached approximately three-fourths of the plate height. After development, the plates were removed, air-dried, and heated at 60–120 °C. The presence of polyphenolic compounds was detected by exposing the plates to ammonia </w:t>
      </w:r>
      <w:proofErr w:type="spellStart"/>
      <w:r w:rsidRPr="003B13AB">
        <w:rPr>
          <w:color w:val="000000" w:themeColor="text1"/>
        </w:rPr>
        <w:t>vapour</w:t>
      </w:r>
      <w:proofErr w:type="spellEnd"/>
      <w:r w:rsidRPr="003B13AB">
        <w:rPr>
          <w:color w:val="000000" w:themeColor="text1"/>
        </w:rPr>
        <w:t xml:space="preserve">, as described by Rasyid </w:t>
      </w:r>
      <w:r w:rsidRPr="00B65600">
        <w:rPr>
          <w:i/>
          <w:iCs/>
          <w:color w:val="000000" w:themeColor="text1"/>
        </w:rPr>
        <w:t>et al</w:t>
      </w:r>
      <w:r w:rsidRPr="003B13AB">
        <w:rPr>
          <w:color w:val="000000" w:themeColor="text1"/>
        </w:rPr>
        <w:t xml:space="preserve">., </w:t>
      </w:r>
      <w:r w:rsidR="00B65600">
        <w:rPr>
          <w:color w:val="000000" w:themeColor="text1"/>
        </w:rPr>
        <w:t>(</w:t>
      </w:r>
      <w:r w:rsidRPr="003B13AB">
        <w:rPr>
          <w:color w:val="000000" w:themeColor="text1"/>
        </w:rPr>
        <w:t>2020).</w:t>
      </w:r>
    </w:p>
    <w:p w14:paraId="35B1B81B" w14:textId="304A102D" w:rsidR="005274F5" w:rsidRPr="003B13AB" w:rsidRDefault="005274F5" w:rsidP="005274F5">
      <w:pPr>
        <w:tabs>
          <w:tab w:val="left" w:pos="5733"/>
        </w:tabs>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Characterization of Isolated Compound</w:t>
      </w:r>
    </w:p>
    <w:p w14:paraId="7DF0B4E1" w14:textId="77777777" w:rsidR="005274F5" w:rsidRPr="003B13AB" w:rsidRDefault="005274F5" w:rsidP="005274F5">
      <w:pPr>
        <w:spacing w:after="0" w:line="360" w:lineRule="auto"/>
        <w:jc w:val="both"/>
        <w:rPr>
          <w:rFonts w:ascii="Times New Roman" w:hAnsi="Times New Roman" w:cs="Times New Roman"/>
          <w:b/>
          <w:color w:val="000000" w:themeColor="text1"/>
          <w:sz w:val="24"/>
          <w:szCs w:val="24"/>
        </w:rPr>
      </w:pPr>
    </w:p>
    <w:p w14:paraId="16580A1C" w14:textId="5E70A436" w:rsidR="005274F5" w:rsidRPr="003B13AB" w:rsidRDefault="005274F5" w:rsidP="005274F5">
      <w:pPr>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 xml:space="preserve">UV and FT-IR Spectroscopic analysis </w:t>
      </w:r>
    </w:p>
    <w:p w14:paraId="4A889D14"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75FED7FD"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The collected sample was scanned in the wavelength ranging from 200-700nm using Perkin Elmer Spectrophotometer and the characteristic peaks were detected. FTIR analysis was performed using Perkin Elmer Spectrophotometer system, which was used to detect the characteristic peaks ranging from 400-4000 cm</w:t>
      </w:r>
      <w:r w:rsidRPr="003B13AB">
        <w:rPr>
          <w:rFonts w:ascii="Times New Roman" w:hAnsi="Times New Roman" w:cs="Times New Roman"/>
          <w:color w:val="000000" w:themeColor="text1"/>
          <w:sz w:val="24"/>
          <w:szCs w:val="24"/>
          <w:vertAlign w:val="superscript"/>
        </w:rPr>
        <w:t>-1</w:t>
      </w:r>
      <w:r w:rsidRPr="003B13AB">
        <w:rPr>
          <w:rFonts w:ascii="Times New Roman" w:hAnsi="Times New Roman" w:cs="Times New Roman"/>
          <w:color w:val="000000" w:themeColor="text1"/>
          <w:sz w:val="24"/>
          <w:szCs w:val="24"/>
        </w:rPr>
        <w:t xml:space="preserve"> corresponding to their functional groups. The peak values of the UV and FTIR were recorded. Each and every analysis was repeated twice for the spectrum confirmation.</w:t>
      </w:r>
    </w:p>
    <w:p w14:paraId="4CB0E8F0" w14:textId="77777777" w:rsidR="005274F5" w:rsidRPr="003B13AB" w:rsidRDefault="005274F5" w:rsidP="005274F5">
      <w:pPr>
        <w:spacing w:after="0" w:line="360" w:lineRule="auto"/>
        <w:jc w:val="both"/>
        <w:rPr>
          <w:rFonts w:ascii="Times New Roman" w:hAnsi="Times New Roman" w:cs="Times New Roman"/>
          <w:b/>
          <w:color w:val="000000" w:themeColor="text1"/>
          <w:sz w:val="24"/>
          <w:szCs w:val="24"/>
        </w:rPr>
      </w:pPr>
    </w:p>
    <w:p w14:paraId="39E52BE9" w14:textId="5C256DDA" w:rsidR="005274F5" w:rsidRPr="003B13AB" w:rsidRDefault="005274F5" w:rsidP="005274F5">
      <w:pPr>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HPLC Analysis</w:t>
      </w:r>
    </w:p>
    <w:p w14:paraId="27D252A0" w14:textId="77777777" w:rsidR="005274F5" w:rsidRPr="003B13AB" w:rsidRDefault="005274F5" w:rsidP="005274F5">
      <w:pPr>
        <w:spacing w:after="0" w:line="360" w:lineRule="auto"/>
        <w:jc w:val="both"/>
        <w:rPr>
          <w:rFonts w:ascii="Times New Roman" w:eastAsia="Times New Roman" w:hAnsi="Times New Roman" w:cs="Times New Roman"/>
          <w:color w:val="000000" w:themeColor="text1"/>
          <w:sz w:val="24"/>
          <w:szCs w:val="24"/>
        </w:rPr>
      </w:pPr>
    </w:p>
    <w:p w14:paraId="4AB89AD1" w14:textId="77777777" w:rsidR="005274F5" w:rsidRPr="003B13AB" w:rsidRDefault="005274F5" w:rsidP="005274F5">
      <w:pPr>
        <w:spacing w:after="0" w:line="360" w:lineRule="auto"/>
        <w:jc w:val="both"/>
        <w:rPr>
          <w:rFonts w:ascii="Times New Roman" w:eastAsia="Times New Roman" w:hAnsi="Times New Roman" w:cs="Times New Roman"/>
          <w:color w:val="000000" w:themeColor="text1"/>
          <w:sz w:val="24"/>
          <w:szCs w:val="24"/>
        </w:rPr>
      </w:pPr>
      <w:r w:rsidRPr="003B13AB">
        <w:rPr>
          <w:rFonts w:ascii="Times New Roman" w:eastAsia="Times New Roman" w:hAnsi="Times New Roman" w:cs="Times New Roman"/>
          <w:color w:val="000000" w:themeColor="text1"/>
          <w:sz w:val="24"/>
          <w:szCs w:val="24"/>
        </w:rPr>
        <w:t xml:space="preserve">HPLC was used to evaluate fractions using the (Paranthaman </w:t>
      </w:r>
      <w:r w:rsidRPr="00B65600">
        <w:rPr>
          <w:rFonts w:ascii="Times New Roman" w:eastAsia="Times New Roman" w:hAnsi="Times New Roman" w:cs="Times New Roman"/>
          <w:i/>
          <w:iCs/>
          <w:color w:val="000000" w:themeColor="text1"/>
          <w:sz w:val="24"/>
          <w:szCs w:val="24"/>
        </w:rPr>
        <w:t>et al</w:t>
      </w:r>
      <w:r w:rsidRPr="003B13AB">
        <w:rPr>
          <w:rFonts w:ascii="Times New Roman" w:eastAsia="Times New Roman" w:hAnsi="Times New Roman" w:cs="Times New Roman"/>
          <w:color w:val="000000" w:themeColor="text1"/>
          <w:sz w:val="24"/>
          <w:szCs w:val="24"/>
        </w:rPr>
        <w:t xml:space="preserve">., 2012) method. A Shimadzu HPLC system (Class-VP V6.14 SP2, Japan) with a UV-visible detector and an autosampler (20 </w:t>
      </w:r>
      <w:proofErr w:type="spellStart"/>
      <w:r w:rsidRPr="003B13AB">
        <w:rPr>
          <w:rFonts w:ascii="Times New Roman" w:eastAsia="Times New Roman" w:hAnsi="Times New Roman" w:cs="Times New Roman"/>
          <w:color w:val="000000" w:themeColor="text1"/>
          <w:sz w:val="24"/>
          <w:szCs w:val="24"/>
        </w:rPr>
        <w:t>μL</w:t>
      </w:r>
      <w:proofErr w:type="spellEnd"/>
      <w:r w:rsidRPr="003B13AB">
        <w:rPr>
          <w:rFonts w:ascii="Times New Roman" w:eastAsia="Times New Roman" w:hAnsi="Times New Roman" w:cs="Times New Roman"/>
          <w:color w:val="000000" w:themeColor="text1"/>
          <w:sz w:val="24"/>
          <w:szCs w:val="24"/>
        </w:rPr>
        <w:t xml:space="preserve"> loop) was used for the analysis. Gradient elution with solvents A (</w:t>
      </w:r>
      <w:proofErr w:type="spellStart"/>
      <w:proofErr w:type="gramStart"/>
      <w:r w:rsidRPr="003B13AB">
        <w:rPr>
          <w:rFonts w:ascii="Times New Roman" w:eastAsia="Times New Roman" w:hAnsi="Times New Roman" w:cs="Times New Roman"/>
          <w:color w:val="000000" w:themeColor="text1"/>
          <w:sz w:val="24"/>
          <w:szCs w:val="24"/>
        </w:rPr>
        <w:t>water:acetic</w:t>
      </w:r>
      <w:proofErr w:type="spellEnd"/>
      <w:proofErr w:type="gramEnd"/>
      <w:r w:rsidRPr="003B13AB">
        <w:rPr>
          <w:rFonts w:ascii="Times New Roman" w:eastAsia="Times New Roman" w:hAnsi="Times New Roman" w:cs="Times New Roman"/>
          <w:color w:val="000000" w:themeColor="text1"/>
          <w:sz w:val="24"/>
          <w:szCs w:val="24"/>
        </w:rPr>
        <w:t xml:space="preserve"> acid, 25:1 v/v) and B (methanol) was used to accomplish separation. At a flow rate of 1.0 mL/min, the percentage of solvent B was raised to 50% in 4 minutes and subsequently to 80% in 10 minutes. Detection was done at 280 nm, and each run lasted 25 minutes. </w:t>
      </w:r>
      <w:proofErr w:type="spellStart"/>
      <w:r w:rsidRPr="003B13AB">
        <w:rPr>
          <w:rFonts w:ascii="Times New Roman" w:eastAsia="Times New Roman" w:hAnsi="Times New Roman" w:cs="Times New Roman"/>
          <w:color w:val="000000" w:themeColor="text1"/>
          <w:sz w:val="24"/>
          <w:szCs w:val="24"/>
        </w:rPr>
        <w:t>Autochro</w:t>
      </w:r>
      <w:proofErr w:type="spellEnd"/>
      <w:r w:rsidRPr="003B13AB">
        <w:rPr>
          <w:rFonts w:ascii="Times New Roman" w:eastAsia="Times New Roman" w:hAnsi="Times New Roman" w:cs="Times New Roman"/>
          <w:color w:val="000000" w:themeColor="text1"/>
          <w:sz w:val="24"/>
          <w:szCs w:val="24"/>
        </w:rPr>
        <w:t xml:space="preserve"> software was used to capture and interpret chromatographic results.</w:t>
      </w:r>
    </w:p>
    <w:p w14:paraId="271823D6" w14:textId="77777777" w:rsidR="005274F5" w:rsidRPr="003B13AB" w:rsidRDefault="005274F5" w:rsidP="005274F5">
      <w:pPr>
        <w:autoSpaceDE w:val="0"/>
        <w:autoSpaceDN w:val="0"/>
        <w:adjustRightInd w:val="0"/>
        <w:snapToGrid w:val="0"/>
        <w:spacing w:after="0" w:line="360" w:lineRule="auto"/>
        <w:jc w:val="both"/>
        <w:rPr>
          <w:rFonts w:ascii="Times New Roman" w:hAnsi="Times New Roman" w:cs="Times New Roman"/>
          <w:b/>
          <w:color w:val="000000" w:themeColor="text1"/>
          <w:sz w:val="24"/>
          <w:szCs w:val="24"/>
        </w:rPr>
      </w:pPr>
    </w:p>
    <w:p w14:paraId="64238F66" w14:textId="4184641A" w:rsidR="005274F5" w:rsidRPr="003B13AB" w:rsidRDefault="005274F5" w:rsidP="005274F5">
      <w:pPr>
        <w:tabs>
          <w:tab w:val="left" w:pos="720"/>
          <w:tab w:val="left" w:pos="1440"/>
          <w:tab w:val="left" w:pos="2160"/>
          <w:tab w:val="left" w:pos="2880"/>
          <w:tab w:val="left" w:pos="3600"/>
          <w:tab w:val="left" w:pos="4320"/>
          <w:tab w:val="center" w:pos="5040"/>
          <w:tab w:val="left" w:pos="5550"/>
        </w:tabs>
        <w:spacing w:after="0" w:line="360" w:lineRule="auto"/>
        <w:jc w:val="both"/>
        <w:rPr>
          <w:rFonts w:ascii="Times New Roman" w:hAnsi="Times New Roman" w:cs="Times New Roman"/>
          <w:color w:val="000000" w:themeColor="text1"/>
          <w:sz w:val="24"/>
          <w:szCs w:val="24"/>
          <w:lang w:bidi="ta-IN"/>
        </w:rPr>
      </w:pPr>
      <w:r w:rsidRPr="003B13AB">
        <w:rPr>
          <w:rFonts w:ascii="Times New Roman" w:hAnsi="Times New Roman" w:cs="Times New Roman"/>
          <w:b/>
          <w:color w:val="000000" w:themeColor="text1"/>
          <w:sz w:val="24"/>
          <w:szCs w:val="24"/>
          <w:lang w:bidi="ta-IN"/>
        </w:rPr>
        <w:t>NMR Spectroscopy</w:t>
      </w:r>
    </w:p>
    <w:p w14:paraId="434120E9" w14:textId="77777777" w:rsidR="005274F5" w:rsidRPr="003B13AB" w:rsidRDefault="005274F5" w:rsidP="005274F5">
      <w:pPr>
        <w:tabs>
          <w:tab w:val="left" w:pos="720"/>
          <w:tab w:val="left" w:pos="1440"/>
          <w:tab w:val="left" w:pos="2160"/>
          <w:tab w:val="left" w:pos="2880"/>
          <w:tab w:val="left" w:pos="3600"/>
          <w:tab w:val="left" w:pos="4320"/>
          <w:tab w:val="center" w:pos="5040"/>
          <w:tab w:val="left" w:pos="5550"/>
        </w:tabs>
        <w:spacing w:after="0" w:line="360" w:lineRule="auto"/>
        <w:jc w:val="both"/>
        <w:rPr>
          <w:rFonts w:ascii="Times New Roman" w:hAnsi="Times New Roman" w:cs="Times New Roman"/>
          <w:color w:val="000000" w:themeColor="text1"/>
          <w:sz w:val="24"/>
          <w:szCs w:val="24"/>
          <w:lang w:bidi="ta-IN"/>
        </w:rPr>
      </w:pPr>
    </w:p>
    <w:p w14:paraId="349850DA" w14:textId="77777777" w:rsidR="005274F5" w:rsidRPr="003B13AB" w:rsidRDefault="005274F5" w:rsidP="005274F5">
      <w:pPr>
        <w:tabs>
          <w:tab w:val="left" w:pos="720"/>
          <w:tab w:val="left" w:pos="1440"/>
          <w:tab w:val="left" w:pos="2160"/>
          <w:tab w:val="left" w:pos="2880"/>
          <w:tab w:val="left" w:pos="3600"/>
          <w:tab w:val="left" w:pos="4320"/>
          <w:tab w:val="center" w:pos="5040"/>
          <w:tab w:val="left" w:pos="5550"/>
        </w:tabs>
        <w:spacing w:after="0" w:line="360" w:lineRule="auto"/>
        <w:jc w:val="both"/>
        <w:rPr>
          <w:rFonts w:ascii="Times New Roman" w:hAnsi="Times New Roman" w:cs="Times New Roman"/>
          <w:b/>
          <w:color w:val="000000" w:themeColor="text1"/>
          <w:sz w:val="24"/>
          <w:szCs w:val="24"/>
          <w:lang w:bidi="ta-IN"/>
        </w:rPr>
      </w:pPr>
      <w:r w:rsidRPr="003B13AB">
        <w:rPr>
          <w:rFonts w:ascii="Times New Roman" w:hAnsi="Times New Roman" w:cs="Times New Roman"/>
          <w:color w:val="000000" w:themeColor="text1"/>
          <w:sz w:val="24"/>
          <w:szCs w:val="24"/>
        </w:rPr>
        <w:t xml:space="preserve">The NMR experiment was carried out in BRUKER-AMX400 MHz instrument with </w:t>
      </w:r>
      <w:r w:rsidRPr="003B13AB">
        <w:rPr>
          <w:rFonts w:ascii="Times New Roman" w:hAnsi="Times New Roman" w:cs="Times New Roman"/>
          <w:color w:val="000000" w:themeColor="text1"/>
          <w:sz w:val="24"/>
          <w:szCs w:val="24"/>
          <w:lang w:bidi="ta-IN"/>
        </w:rPr>
        <w:t>5mg of purified compound in DMSO. Tetra Methyl Silane is used as the internal standard and chemical shifts are expressed in ppm.</w:t>
      </w:r>
      <w:r w:rsidRPr="003B13AB">
        <w:rPr>
          <w:rFonts w:ascii="Times New Roman" w:hAnsi="Times New Roman" w:cs="Times New Roman"/>
          <w:color w:val="000000" w:themeColor="text1"/>
          <w:sz w:val="24"/>
          <w:szCs w:val="24"/>
        </w:rPr>
        <w:t xml:space="preserve"> </w:t>
      </w:r>
      <w:r w:rsidRPr="003B13AB">
        <w:rPr>
          <w:rFonts w:ascii="Times New Roman" w:hAnsi="Times New Roman" w:cs="Times New Roman"/>
          <w:bCs/>
          <w:color w:val="000000" w:themeColor="text1"/>
          <w:sz w:val="24"/>
          <w:szCs w:val="24"/>
          <w:lang w:eastAsia="ar-SA"/>
        </w:rPr>
        <w:t>(</w:t>
      </w:r>
      <w:proofErr w:type="spellStart"/>
      <w:r w:rsidRPr="003B13AB">
        <w:rPr>
          <w:rFonts w:ascii="Times New Roman" w:hAnsi="Times New Roman" w:cs="Times New Roman"/>
          <w:color w:val="000000" w:themeColor="text1"/>
          <w:sz w:val="24"/>
          <w:szCs w:val="24"/>
          <w:lang w:eastAsia="ar-SA"/>
        </w:rPr>
        <w:t>Verpoorte</w:t>
      </w:r>
      <w:proofErr w:type="spellEnd"/>
      <w:r w:rsidRPr="003B13AB">
        <w:rPr>
          <w:rFonts w:ascii="Times New Roman" w:hAnsi="Times New Roman" w:cs="Times New Roman"/>
          <w:color w:val="000000" w:themeColor="text1"/>
          <w:sz w:val="24"/>
          <w:szCs w:val="24"/>
          <w:lang w:eastAsia="ar-SA"/>
        </w:rPr>
        <w:t xml:space="preserve"> </w:t>
      </w:r>
      <w:r w:rsidRPr="003B13AB">
        <w:rPr>
          <w:rFonts w:ascii="Times New Roman" w:hAnsi="Times New Roman" w:cs="Times New Roman"/>
          <w:i/>
          <w:color w:val="000000" w:themeColor="text1"/>
          <w:sz w:val="24"/>
          <w:szCs w:val="24"/>
          <w:lang w:eastAsia="ar-SA"/>
        </w:rPr>
        <w:t>et al</w:t>
      </w:r>
      <w:r w:rsidRPr="003B13AB">
        <w:rPr>
          <w:rFonts w:ascii="Times New Roman" w:hAnsi="Times New Roman" w:cs="Times New Roman"/>
          <w:color w:val="000000" w:themeColor="text1"/>
          <w:sz w:val="24"/>
          <w:szCs w:val="24"/>
          <w:lang w:eastAsia="ar-SA"/>
        </w:rPr>
        <w:t>., 2007)</w:t>
      </w:r>
      <w:r w:rsidRPr="003B13AB">
        <w:rPr>
          <w:rFonts w:ascii="Times New Roman" w:hAnsi="Times New Roman" w:cs="Times New Roman"/>
          <w:bCs/>
          <w:color w:val="000000" w:themeColor="text1"/>
          <w:sz w:val="24"/>
          <w:szCs w:val="24"/>
          <w:lang w:eastAsia="ar-SA"/>
        </w:rPr>
        <w:t>.</w:t>
      </w:r>
    </w:p>
    <w:p w14:paraId="52629C9A"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C1E9EE2" w14:textId="0F01049A" w:rsidR="005274F5" w:rsidRPr="003B13AB" w:rsidRDefault="005274F5" w:rsidP="005274F5">
      <w:pPr>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lastRenderedPageBreak/>
        <w:t>Mass Spectrum Analysis</w:t>
      </w:r>
    </w:p>
    <w:p w14:paraId="2DC1FCE6"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060FD142"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Mass spectrum analysis of sample was equipped with JEOL GC MATE-11 HR Mass spectrometer. The chromatography was fitted with DB 5 MS capillary column (30 m x 0.25 mm, film thickness 0.25 µm). The mass spectrometer was operated in the electron impact mode at 70ev. Ion source and transfer line temperature was kept at 250˚C. Mass spectra were recorded in the positive ion mode with a mass range from 100 to 1100 m/z. The detector transforms the number of molecules into an electrical signal and a computer or integrator translates this individual signal peaks into a graph. </w:t>
      </w:r>
    </w:p>
    <w:p w14:paraId="4779E477" w14:textId="77777777" w:rsidR="00A73DB8" w:rsidRPr="003B13AB" w:rsidRDefault="00A73DB8" w:rsidP="005274F5">
      <w:pPr>
        <w:spacing w:after="0" w:line="360" w:lineRule="auto"/>
        <w:jc w:val="both"/>
        <w:rPr>
          <w:rFonts w:ascii="Times New Roman" w:eastAsia="Times New Roman" w:hAnsi="Times New Roman" w:cs="Times New Roman"/>
          <w:color w:val="000000" w:themeColor="text1"/>
          <w:sz w:val="24"/>
          <w:szCs w:val="24"/>
        </w:rPr>
      </w:pPr>
    </w:p>
    <w:p w14:paraId="1AB36761" w14:textId="77A31C19" w:rsidR="005274F5" w:rsidRPr="003B13AB" w:rsidRDefault="005274F5" w:rsidP="005274F5">
      <w:pPr>
        <w:spacing w:after="0" w:line="360" w:lineRule="auto"/>
        <w:jc w:val="both"/>
        <w:rPr>
          <w:rFonts w:ascii="Times New Roman" w:eastAsia="Times New Roman" w:hAnsi="Times New Roman" w:cs="Times New Roman"/>
          <w:b/>
          <w:bCs/>
          <w:color w:val="000000" w:themeColor="text1"/>
          <w:sz w:val="24"/>
          <w:szCs w:val="24"/>
        </w:rPr>
      </w:pPr>
      <w:r w:rsidRPr="003B13AB">
        <w:rPr>
          <w:rFonts w:ascii="Times New Roman" w:eastAsia="Times New Roman" w:hAnsi="Times New Roman" w:cs="Times New Roman"/>
          <w:b/>
          <w:bCs/>
          <w:color w:val="000000" w:themeColor="text1"/>
          <w:sz w:val="24"/>
          <w:szCs w:val="24"/>
        </w:rPr>
        <w:t xml:space="preserve"> Antioxidant Activity</w:t>
      </w:r>
    </w:p>
    <w:p w14:paraId="6F91C0BD"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459BFDF5" w14:textId="2A3E8CF6" w:rsidR="005274F5" w:rsidRPr="003B13AB" w:rsidRDefault="005274F5" w:rsidP="005274F5">
      <w:pPr>
        <w:pStyle w:val="Heading3"/>
        <w:spacing w:before="0"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DPPH Radical Scavenging Activity</w:t>
      </w:r>
    </w:p>
    <w:p w14:paraId="0C6A7E0B" w14:textId="77777777" w:rsidR="005274F5" w:rsidRPr="003B13AB" w:rsidRDefault="005274F5" w:rsidP="005274F5">
      <w:pPr>
        <w:rPr>
          <w:rFonts w:ascii="Times New Roman" w:hAnsi="Times New Roman" w:cs="Times New Roman"/>
          <w:color w:val="000000" w:themeColor="text1"/>
          <w:sz w:val="24"/>
          <w:szCs w:val="24"/>
        </w:rPr>
      </w:pPr>
    </w:p>
    <w:p w14:paraId="6C721DE5" w14:textId="77777777" w:rsidR="005274F5" w:rsidRPr="003B13AB" w:rsidRDefault="005274F5" w:rsidP="005274F5">
      <w:pPr>
        <w:pStyle w:val="NormalWeb"/>
        <w:spacing w:before="0" w:beforeAutospacing="0" w:after="0" w:afterAutospacing="0" w:line="360" w:lineRule="auto"/>
        <w:jc w:val="both"/>
        <w:rPr>
          <w:color w:val="000000" w:themeColor="text1"/>
        </w:rPr>
      </w:pPr>
      <w:r w:rsidRPr="003B13AB">
        <w:rPr>
          <w:color w:val="000000" w:themeColor="text1"/>
        </w:rPr>
        <w:t xml:space="preserve">The free radical scavenging activity of the isolated </w:t>
      </w:r>
      <w:proofErr w:type="spellStart"/>
      <w:r w:rsidRPr="003B13AB">
        <w:rPr>
          <w:color w:val="000000" w:themeColor="text1"/>
        </w:rPr>
        <w:t>mangiferin</w:t>
      </w:r>
      <w:proofErr w:type="spellEnd"/>
      <w:r w:rsidRPr="003B13AB">
        <w:rPr>
          <w:color w:val="000000" w:themeColor="text1"/>
        </w:rPr>
        <w:t xml:space="preserve"> was evaluated using the 1,1-diphenyl-2-picrylhydrazyl (DPPH) assay. A DPPH stock solution was prepared by dissolving 24 mg of DPPH in 100 mL of methanol. The solution was filtered and diluted with methanol to obtain a working solution with an absorbance of approximately 0.973 at 517 nm. For the assay, 3 mL of the DPPH working solution was mixed with 100 µL of </w:t>
      </w:r>
      <w:proofErr w:type="spellStart"/>
      <w:r w:rsidRPr="003B13AB">
        <w:rPr>
          <w:color w:val="000000" w:themeColor="text1"/>
        </w:rPr>
        <w:t>mangiferin</w:t>
      </w:r>
      <w:proofErr w:type="spellEnd"/>
      <w:r w:rsidRPr="003B13AB">
        <w:rPr>
          <w:color w:val="000000" w:themeColor="text1"/>
        </w:rPr>
        <w:t xml:space="preserve"> at concentrations ranging from 10 to 50 µg/</w:t>
      </w:r>
      <w:proofErr w:type="spellStart"/>
      <w:r w:rsidRPr="003B13AB">
        <w:rPr>
          <w:color w:val="000000" w:themeColor="text1"/>
        </w:rPr>
        <w:t>mL.</w:t>
      </w:r>
      <w:proofErr w:type="spellEnd"/>
      <w:r w:rsidRPr="003B13AB">
        <w:rPr>
          <w:color w:val="000000" w:themeColor="text1"/>
        </w:rPr>
        <w:t xml:space="preserve"> Ascorbic acid (10–50 µg/mL) served as the reference standard. The control contained 3 mL of DPPH solution and 100 µL of methanol. All reaction mixtures were incubated in the dark at room temperature for 30 min, and the absorbance was measured at 517 nm using a UV–Vis spectrophotometer (</w:t>
      </w:r>
      <w:proofErr w:type="spellStart"/>
      <w:r w:rsidRPr="003B13AB">
        <w:rPr>
          <w:color w:val="000000" w:themeColor="text1"/>
        </w:rPr>
        <w:t>Baliyan</w:t>
      </w:r>
      <w:proofErr w:type="spellEnd"/>
      <w:r w:rsidRPr="003B13AB">
        <w:rPr>
          <w:color w:val="000000" w:themeColor="text1"/>
        </w:rPr>
        <w:t xml:space="preserve"> </w:t>
      </w:r>
      <w:r w:rsidRPr="00B65600">
        <w:rPr>
          <w:i/>
          <w:iCs/>
          <w:color w:val="000000" w:themeColor="text1"/>
        </w:rPr>
        <w:t>et al</w:t>
      </w:r>
      <w:r w:rsidRPr="003B13AB">
        <w:rPr>
          <w:color w:val="000000" w:themeColor="text1"/>
        </w:rPr>
        <w:t>., 2022).</w:t>
      </w:r>
    </w:p>
    <w:p w14:paraId="70F1D958" w14:textId="77777777" w:rsidR="005274F5" w:rsidRPr="003B13AB" w:rsidRDefault="005274F5" w:rsidP="005274F5">
      <w:pPr>
        <w:spacing w:line="360" w:lineRule="auto"/>
        <w:jc w:val="both"/>
        <w:rPr>
          <w:rFonts w:ascii="Times New Roman" w:hAnsi="Times New Roman" w:cs="Times New Roman"/>
          <w:color w:val="000000" w:themeColor="text1"/>
          <w:sz w:val="24"/>
          <w:szCs w:val="24"/>
        </w:rPr>
      </w:pPr>
    </w:p>
    <w:p w14:paraId="092BE841" w14:textId="7D798963" w:rsidR="005274F5" w:rsidRPr="003B13AB" w:rsidRDefault="005274F5" w:rsidP="005274F5">
      <w:pPr>
        <w:pStyle w:val="Heading3"/>
        <w:spacing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ABTS●⁺ Radical Scavenging Activity</w:t>
      </w:r>
    </w:p>
    <w:p w14:paraId="7479ACA6" w14:textId="77777777" w:rsidR="005274F5" w:rsidRPr="003B13AB" w:rsidRDefault="005274F5" w:rsidP="005274F5">
      <w:pPr>
        <w:pStyle w:val="NormalWeb"/>
        <w:spacing w:line="360" w:lineRule="auto"/>
        <w:jc w:val="both"/>
        <w:rPr>
          <w:color w:val="000000" w:themeColor="text1"/>
        </w:rPr>
      </w:pPr>
      <w:r w:rsidRPr="003B13AB">
        <w:rPr>
          <w:color w:val="000000" w:themeColor="text1"/>
        </w:rPr>
        <w:t xml:space="preserve">The ABTS●⁺ radical scavenging assay was performed according to the method described by (Rumpf </w:t>
      </w:r>
      <w:r w:rsidRPr="00B65600">
        <w:rPr>
          <w:i/>
          <w:iCs/>
          <w:color w:val="000000" w:themeColor="text1"/>
        </w:rPr>
        <w:t>et al</w:t>
      </w:r>
      <w:r w:rsidRPr="003B13AB">
        <w:rPr>
          <w:color w:val="000000" w:themeColor="text1"/>
        </w:rPr>
        <w:t xml:space="preserve">., 2023), with slight modifications. The ABTS●⁺ radical cation was generated by reacting 7 mM ABTS with 2.45 mM potassium persulfate in </w:t>
      </w:r>
      <w:proofErr w:type="spellStart"/>
      <w:proofErr w:type="gramStart"/>
      <w:r w:rsidRPr="003B13AB">
        <w:rPr>
          <w:color w:val="000000" w:themeColor="text1"/>
        </w:rPr>
        <w:t>ethanol:water</w:t>
      </w:r>
      <w:proofErr w:type="spellEnd"/>
      <w:proofErr w:type="gramEnd"/>
      <w:r w:rsidRPr="003B13AB">
        <w:rPr>
          <w:color w:val="000000" w:themeColor="text1"/>
        </w:rPr>
        <w:t xml:space="preserve"> (50:50, v/v) and incubating the mixture in the dark at 25 °C for 12–16 h. The resulting solution was diluted with 50% ethanol to obtain an absorbance of 0.700 ± 0.005 at 734 nm. For the assay, 2.5 mL of the diluted ABTS●⁺ solution was mixed with </w:t>
      </w:r>
      <w:proofErr w:type="spellStart"/>
      <w:r w:rsidRPr="003B13AB">
        <w:rPr>
          <w:color w:val="000000" w:themeColor="text1"/>
        </w:rPr>
        <w:t>mangiferin</w:t>
      </w:r>
      <w:proofErr w:type="spellEnd"/>
      <w:r w:rsidRPr="003B13AB">
        <w:rPr>
          <w:color w:val="000000" w:themeColor="text1"/>
        </w:rPr>
        <w:t xml:space="preserve"> at concentrations of 10–50 µg/</w:t>
      </w:r>
      <w:proofErr w:type="spellStart"/>
      <w:r w:rsidRPr="003B13AB">
        <w:rPr>
          <w:color w:val="000000" w:themeColor="text1"/>
        </w:rPr>
        <w:t>mL.</w:t>
      </w:r>
      <w:proofErr w:type="spellEnd"/>
      <w:r w:rsidRPr="003B13AB">
        <w:rPr>
          <w:color w:val="000000" w:themeColor="text1"/>
        </w:rPr>
        <w:t xml:space="preserve"> After </w:t>
      </w:r>
      <w:r w:rsidRPr="003B13AB">
        <w:rPr>
          <w:color w:val="000000" w:themeColor="text1"/>
        </w:rPr>
        <w:lastRenderedPageBreak/>
        <w:t>incubation for 12 min, the absorbance was recorded at 734 nm. Ascorbic acid (10–50 µg/mL) was used as the standard antioxidant.</w:t>
      </w:r>
    </w:p>
    <w:p w14:paraId="7AE14E7E" w14:textId="7124099E" w:rsidR="005274F5" w:rsidRPr="003B13AB" w:rsidRDefault="005274F5" w:rsidP="005274F5">
      <w:pPr>
        <w:pStyle w:val="Heading3"/>
        <w:spacing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Hydroxyl Radical Scavenging Activity</w:t>
      </w:r>
    </w:p>
    <w:p w14:paraId="308D3115" w14:textId="77777777" w:rsidR="005274F5" w:rsidRPr="003B13AB" w:rsidRDefault="005274F5" w:rsidP="005274F5">
      <w:pPr>
        <w:pStyle w:val="NormalWeb"/>
        <w:spacing w:line="360" w:lineRule="auto"/>
        <w:jc w:val="both"/>
        <w:rPr>
          <w:color w:val="000000" w:themeColor="text1"/>
        </w:rPr>
      </w:pPr>
      <w:r w:rsidRPr="003B13AB">
        <w:rPr>
          <w:color w:val="000000" w:themeColor="text1"/>
        </w:rPr>
        <w:t xml:space="preserve">The hydroxyl radical scavenging activity of </w:t>
      </w:r>
      <w:proofErr w:type="spellStart"/>
      <w:r w:rsidRPr="003B13AB">
        <w:rPr>
          <w:color w:val="000000" w:themeColor="text1"/>
        </w:rPr>
        <w:t>mangiferin</w:t>
      </w:r>
      <w:proofErr w:type="spellEnd"/>
      <w:r w:rsidRPr="003B13AB">
        <w:rPr>
          <w:color w:val="000000" w:themeColor="text1"/>
        </w:rPr>
        <w:t xml:space="preserve"> was determined following the method described by Chen </w:t>
      </w:r>
      <w:r w:rsidRPr="00B65600">
        <w:rPr>
          <w:i/>
          <w:iCs/>
          <w:color w:val="000000" w:themeColor="text1"/>
        </w:rPr>
        <w:t>et al</w:t>
      </w:r>
      <w:r w:rsidRPr="003B13AB">
        <w:rPr>
          <w:color w:val="000000" w:themeColor="text1"/>
        </w:rPr>
        <w:t xml:space="preserve">., (2015). Briefly, 1 mL of </w:t>
      </w:r>
      <w:proofErr w:type="spellStart"/>
      <w:r w:rsidRPr="003B13AB">
        <w:rPr>
          <w:color w:val="000000" w:themeColor="text1"/>
        </w:rPr>
        <w:t>mangiferin</w:t>
      </w:r>
      <w:proofErr w:type="spellEnd"/>
      <w:r w:rsidRPr="003B13AB">
        <w:rPr>
          <w:color w:val="000000" w:themeColor="text1"/>
        </w:rPr>
        <w:t xml:space="preserve"> solution (10–50 µg/mL) was mixed with 1 mL of 9 mM </w:t>
      </w:r>
      <w:proofErr w:type="spellStart"/>
      <w:r w:rsidRPr="003B13AB">
        <w:rPr>
          <w:color w:val="000000" w:themeColor="text1"/>
        </w:rPr>
        <w:t>FeSO</w:t>
      </w:r>
      <w:proofErr w:type="spellEnd"/>
      <w:r w:rsidRPr="003B13AB">
        <w:rPr>
          <w:color w:val="000000" w:themeColor="text1"/>
        </w:rPr>
        <w:t>₄ and 0.1 mL of 9 mM salicylic acid prepared in ethanol. The reaction was initiated by adding 1 mL of 9 mM H₂O₂, and the mixture was incubated at 37 ± 1 °C for 30 min. The absorbance was measured at 510 nm using a UV–Vis spectrophotometer. Ascorbic acid (10–50 µg/mL) was used as the positive control.</w:t>
      </w:r>
    </w:p>
    <w:p w14:paraId="33A0CF77" w14:textId="77777777" w:rsidR="005274F5" w:rsidRPr="003B13AB" w:rsidRDefault="005274F5" w:rsidP="005274F5">
      <w:pPr>
        <w:spacing w:line="360" w:lineRule="auto"/>
        <w:jc w:val="both"/>
        <w:rPr>
          <w:rFonts w:ascii="Times New Roman" w:hAnsi="Times New Roman" w:cs="Times New Roman"/>
          <w:color w:val="000000" w:themeColor="text1"/>
          <w:sz w:val="24"/>
          <w:szCs w:val="24"/>
        </w:rPr>
      </w:pPr>
    </w:p>
    <w:p w14:paraId="3B43E418" w14:textId="7A8B7A09" w:rsidR="005274F5" w:rsidRPr="003B13AB" w:rsidRDefault="005274F5" w:rsidP="005274F5">
      <w:pPr>
        <w:pStyle w:val="Heading3"/>
        <w:spacing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Hydrogen Peroxide (H₂O₂) Scavenging Activity</w:t>
      </w:r>
    </w:p>
    <w:p w14:paraId="36923AB8" w14:textId="77777777" w:rsidR="005274F5" w:rsidRPr="003B13AB" w:rsidRDefault="005274F5" w:rsidP="005274F5">
      <w:pPr>
        <w:pStyle w:val="NormalWeb"/>
        <w:spacing w:line="360" w:lineRule="auto"/>
        <w:jc w:val="both"/>
        <w:rPr>
          <w:color w:val="000000" w:themeColor="text1"/>
        </w:rPr>
      </w:pPr>
      <w:r w:rsidRPr="003B13AB">
        <w:rPr>
          <w:color w:val="000000" w:themeColor="text1"/>
        </w:rPr>
        <w:t xml:space="preserve">The hydrogen peroxide scavenging activity of </w:t>
      </w:r>
      <w:proofErr w:type="spellStart"/>
      <w:r w:rsidRPr="003B13AB">
        <w:rPr>
          <w:color w:val="000000" w:themeColor="text1"/>
        </w:rPr>
        <w:t>mangiferin</w:t>
      </w:r>
      <w:proofErr w:type="spellEnd"/>
      <w:r w:rsidRPr="003B13AB">
        <w:rPr>
          <w:color w:val="000000" w:themeColor="text1"/>
        </w:rPr>
        <w:t xml:space="preserve"> was evaluated using a modified method of Al-</w:t>
      </w:r>
      <w:proofErr w:type="spellStart"/>
      <w:r w:rsidRPr="003B13AB">
        <w:rPr>
          <w:color w:val="000000" w:themeColor="text1"/>
        </w:rPr>
        <w:t>Amiery</w:t>
      </w:r>
      <w:proofErr w:type="spellEnd"/>
      <w:r w:rsidRPr="003B13AB">
        <w:rPr>
          <w:color w:val="000000" w:themeColor="text1"/>
        </w:rPr>
        <w:t xml:space="preserve"> </w:t>
      </w:r>
      <w:r w:rsidRPr="00B65600">
        <w:rPr>
          <w:i/>
          <w:iCs/>
          <w:color w:val="000000" w:themeColor="text1"/>
        </w:rPr>
        <w:t>et al</w:t>
      </w:r>
      <w:r w:rsidRPr="003B13AB">
        <w:rPr>
          <w:color w:val="000000" w:themeColor="text1"/>
        </w:rPr>
        <w:t xml:space="preserve">., (2015). A 2 mM H₂O₂ solution was prepared in 0.2 M phosphate buffer (pH 7.4). Various concentrations of </w:t>
      </w:r>
      <w:proofErr w:type="spellStart"/>
      <w:r w:rsidRPr="003B13AB">
        <w:rPr>
          <w:color w:val="000000" w:themeColor="text1"/>
        </w:rPr>
        <w:t>mangiferin</w:t>
      </w:r>
      <w:proofErr w:type="spellEnd"/>
      <w:r w:rsidRPr="003B13AB">
        <w:rPr>
          <w:color w:val="000000" w:themeColor="text1"/>
        </w:rPr>
        <w:t xml:space="preserve"> (10–50 µg/mL) were added to 2 mL of the H₂O₂ solution and incubated in the dark at room temperature for 30 min. The absorbance was measured at 230 nm against a blank containing phosphate buffer without H₂O₂. Ascorbic acid (10–50 µg/mL) was used as the standard. All experiments were performed in triplicate, and IC₅₀ values were calculated from the inhibition curves.</w:t>
      </w:r>
    </w:p>
    <w:p w14:paraId="22E3820F" w14:textId="6971F076" w:rsidR="005274F5" w:rsidRPr="003B13AB" w:rsidRDefault="005274F5" w:rsidP="005274F5">
      <w:pPr>
        <w:pStyle w:val="Heading3"/>
        <w:spacing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Nitric Oxide (NO) Radical Scavenging Assay</w:t>
      </w:r>
    </w:p>
    <w:p w14:paraId="0D012B6E" w14:textId="35D286DF" w:rsidR="005274F5" w:rsidRPr="003B13AB" w:rsidRDefault="005274F5" w:rsidP="005274F5">
      <w:pPr>
        <w:pStyle w:val="NormalWeb"/>
        <w:spacing w:line="360" w:lineRule="auto"/>
        <w:jc w:val="both"/>
        <w:rPr>
          <w:color w:val="000000" w:themeColor="text1"/>
        </w:rPr>
      </w:pPr>
      <w:r w:rsidRPr="003B13AB">
        <w:rPr>
          <w:color w:val="000000" w:themeColor="text1"/>
        </w:rPr>
        <w:t xml:space="preserve">Nitric oxide scavenging activity was assessed using a modified method of Kurian </w:t>
      </w:r>
      <w:r w:rsidRPr="00B65600">
        <w:rPr>
          <w:i/>
          <w:iCs/>
          <w:color w:val="000000" w:themeColor="text1"/>
        </w:rPr>
        <w:t>et al</w:t>
      </w:r>
      <w:r w:rsidRPr="003B13AB">
        <w:rPr>
          <w:color w:val="000000" w:themeColor="text1"/>
        </w:rPr>
        <w:t>.</w:t>
      </w:r>
      <w:r w:rsidR="00B65600">
        <w:rPr>
          <w:color w:val="000000" w:themeColor="text1"/>
        </w:rPr>
        <w:t>,</w:t>
      </w:r>
      <w:r w:rsidRPr="003B13AB">
        <w:rPr>
          <w:color w:val="000000" w:themeColor="text1"/>
        </w:rPr>
        <w:t xml:space="preserve"> (2010). Briefly, 500 µL of </w:t>
      </w:r>
      <w:proofErr w:type="spellStart"/>
      <w:r w:rsidRPr="003B13AB">
        <w:rPr>
          <w:color w:val="000000" w:themeColor="text1"/>
        </w:rPr>
        <w:t>mangiferin</w:t>
      </w:r>
      <w:proofErr w:type="spellEnd"/>
      <w:r w:rsidRPr="003B13AB">
        <w:rPr>
          <w:color w:val="000000" w:themeColor="text1"/>
        </w:rPr>
        <w:t xml:space="preserve"> solutions (10–50 µg/mL) or distilled water (control) was mixed with 250 µL of sodium nitroprusside (10 mM) prepared in potassium phosphate buffer (pH 7.4). The reaction mixture was incubated at 37 °C for 120 min. After incubation, 250 µL of Griess reagent was added, and the absorbance was measured at 546 nm. Ascorbic acid (10–50 µg/mL) was used as the positive control.</w:t>
      </w:r>
    </w:p>
    <w:p w14:paraId="00EBD45C" w14:textId="206CCE38" w:rsidR="005274F5" w:rsidRPr="003B13AB" w:rsidRDefault="005274F5" w:rsidP="005274F5">
      <w:pPr>
        <w:pStyle w:val="Heading3"/>
        <w:spacing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Superoxide Radical Scavenging Assay</w:t>
      </w:r>
    </w:p>
    <w:p w14:paraId="723E8624" w14:textId="688CD6AD" w:rsidR="005274F5" w:rsidRPr="003B13AB" w:rsidRDefault="005274F5" w:rsidP="005274F5">
      <w:pPr>
        <w:pStyle w:val="NormalWeb"/>
        <w:spacing w:line="360" w:lineRule="auto"/>
        <w:jc w:val="both"/>
        <w:rPr>
          <w:color w:val="000000" w:themeColor="text1"/>
        </w:rPr>
      </w:pPr>
      <w:r w:rsidRPr="003B13AB">
        <w:rPr>
          <w:color w:val="000000" w:themeColor="text1"/>
        </w:rPr>
        <w:t xml:space="preserve">The superoxide anion scavenging activity of </w:t>
      </w:r>
      <w:proofErr w:type="spellStart"/>
      <w:r w:rsidRPr="003B13AB">
        <w:rPr>
          <w:color w:val="000000" w:themeColor="text1"/>
        </w:rPr>
        <w:t>mangiferin</w:t>
      </w:r>
      <w:proofErr w:type="spellEnd"/>
      <w:r w:rsidRPr="003B13AB">
        <w:rPr>
          <w:color w:val="000000" w:themeColor="text1"/>
        </w:rPr>
        <w:t xml:space="preserve"> was determined according to the method described by Liu </w:t>
      </w:r>
      <w:r w:rsidRPr="00B65600">
        <w:rPr>
          <w:i/>
          <w:iCs/>
          <w:color w:val="000000" w:themeColor="text1"/>
        </w:rPr>
        <w:t>et al</w:t>
      </w:r>
      <w:r w:rsidRPr="003B13AB">
        <w:rPr>
          <w:color w:val="000000" w:themeColor="text1"/>
        </w:rPr>
        <w:t>.</w:t>
      </w:r>
      <w:r w:rsidR="00B65600">
        <w:rPr>
          <w:color w:val="000000" w:themeColor="text1"/>
        </w:rPr>
        <w:t>,</w:t>
      </w:r>
      <w:r w:rsidRPr="003B13AB">
        <w:rPr>
          <w:color w:val="000000" w:themeColor="text1"/>
        </w:rPr>
        <w:t xml:space="preserve"> (2022), with minor modifications. </w:t>
      </w:r>
      <w:proofErr w:type="spellStart"/>
      <w:r w:rsidRPr="003B13AB">
        <w:rPr>
          <w:color w:val="000000" w:themeColor="text1"/>
        </w:rPr>
        <w:t>Mangiferin</w:t>
      </w:r>
      <w:proofErr w:type="spellEnd"/>
      <w:r w:rsidRPr="003B13AB">
        <w:rPr>
          <w:color w:val="000000" w:themeColor="text1"/>
        </w:rPr>
        <w:t xml:space="preserve"> solutions (10–</w:t>
      </w:r>
      <w:r w:rsidRPr="003B13AB">
        <w:rPr>
          <w:color w:val="000000" w:themeColor="text1"/>
        </w:rPr>
        <w:lastRenderedPageBreak/>
        <w:t>50 µg/mL) were mixed with 3 mL of Tris–HCl buffer (50 mM, pH 8.2) and incubated at 25 °C for 20 min. The reaction was initiated by adding 0.3 mL of 3 mM pyrogallol, and the change in absorbance was monitored at 320 nm every 30 s for 5 min. The scavenging activity was calculated based on the inhibition of pyrogallol auto-oxidation. Ascorbic acid (10–50 µg/mL) served as the reference standard.</w:t>
      </w:r>
    </w:p>
    <w:p w14:paraId="63AD002C" w14:textId="526F80C2" w:rsidR="005274F5" w:rsidRPr="003B13AB" w:rsidRDefault="005274F5" w:rsidP="005274F5">
      <w:pPr>
        <w:pStyle w:val="Heading3"/>
        <w:spacing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Reducing Power Assay</w:t>
      </w:r>
    </w:p>
    <w:p w14:paraId="7EEC8F57" w14:textId="0D36E3C1" w:rsidR="005274F5" w:rsidRDefault="005274F5" w:rsidP="005274F5">
      <w:pPr>
        <w:pStyle w:val="NormalWeb"/>
        <w:spacing w:after="0" w:afterAutospacing="0" w:line="360" w:lineRule="auto"/>
        <w:jc w:val="both"/>
        <w:rPr>
          <w:color w:val="000000" w:themeColor="text1"/>
        </w:rPr>
      </w:pPr>
      <w:r w:rsidRPr="003B13AB">
        <w:rPr>
          <w:color w:val="000000" w:themeColor="text1"/>
        </w:rPr>
        <w:t xml:space="preserve">The reducing power of </w:t>
      </w:r>
      <w:proofErr w:type="spellStart"/>
      <w:r w:rsidRPr="003B13AB">
        <w:rPr>
          <w:color w:val="000000" w:themeColor="text1"/>
        </w:rPr>
        <w:t>mangiferin</w:t>
      </w:r>
      <w:proofErr w:type="spellEnd"/>
      <w:r w:rsidRPr="003B13AB">
        <w:rPr>
          <w:color w:val="000000" w:themeColor="text1"/>
        </w:rPr>
        <w:t xml:space="preserve"> was evaluated using the Ferric Reducing Antioxidant Power (FRAP) assay. </w:t>
      </w:r>
      <w:proofErr w:type="spellStart"/>
      <w:r w:rsidRPr="003B13AB">
        <w:rPr>
          <w:color w:val="000000" w:themeColor="text1"/>
        </w:rPr>
        <w:t>Mangiferin</w:t>
      </w:r>
      <w:proofErr w:type="spellEnd"/>
      <w:r w:rsidRPr="003B13AB">
        <w:rPr>
          <w:color w:val="000000" w:themeColor="text1"/>
        </w:rPr>
        <w:t xml:space="preserve"> solutions (10–50 µg/mL) were mixed with 2.5 mL of 0.2 M phosphate buffer (pH 6.6) and 2.5 mL of 1% potassium ferricyanide. The mixtures were incubated at 50 °C for 20 min, followed by the addition of 2.5 mL of 10% trichloroacetic acid. After centrifugation at 3,000 rpm for 10 min, 2.5 mL of the supernatant was mixed with 0.5 mL of 0.1% ferric chloride. The absorbance was measured at 700 nm. Ascorbic acid (10–50 µg/mL) was used as the standard. Increased absorbance indicated higher reducing power (Samarakoon, 2023).</w:t>
      </w:r>
    </w:p>
    <w:p w14:paraId="6D1AA787" w14:textId="77777777" w:rsidR="00D75EAA" w:rsidRPr="003B13AB" w:rsidRDefault="00D75EAA" w:rsidP="00D75EAA">
      <w:pPr>
        <w:pStyle w:val="Heading2"/>
        <w:spacing w:line="360" w:lineRule="auto"/>
        <w:jc w:val="both"/>
        <w:rPr>
          <w:rFonts w:ascii="Times New Roman" w:eastAsia="Times New Roman" w:hAnsi="Times New Roman" w:cs="Times New Roman"/>
          <w:b/>
          <w:bCs/>
          <w:color w:val="000000" w:themeColor="text1"/>
          <w:kern w:val="0"/>
          <w:sz w:val="24"/>
          <w:szCs w:val="24"/>
        </w:rPr>
      </w:pPr>
      <w:r w:rsidRPr="003B13AB">
        <w:rPr>
          <w:rFonts w:ascii="Times New Roman" w:eastAsia="Times New Roman" w:hAnsi="Times New Roman" w:cs="Times New Roman"/>
          <w:b/>
          <w:bCs/>
          <w:color w:val="000000" w:themeColor="text1"/>
          <w:sz w:val="24"/>
          <w:szCs w:val="24"/>
        </w:rPr>
        <w:t>Brine Shrimp Lethality Assay</w:t>
      </w:r>
    </w:p>
    <w:p w14:paraId="3299E3C6" w14:textId="7E14977D" w:rsidR="00D75EAA" w:rsidRPr="003B13AB" w:rsidRDefault="00D75EAA" w:rsidP="00D75EAA">
      <w:pPr>
        <w:spacing w:line="360" w:lineRule="auto"/>
        <w:ind w:firstLine="720"/>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The brine shrimp lethality assay was performed according to the method described by </w:t>
      </w:r>
      <w:proofErr w:type="spellStart"/>
      <w:r w:rsidRPr="003B13AB">
        <w:rPr>
          <w:rFonts w:ascii="Times New Roman" w:hAnsi="Times New Roman" w:cs="Times New Roman"/>
          <w:color w:val="000000" w:themeColor="text1"/>
          <w:sz w:val="24"/>
          <w:szCs w:val="24"/>
        </w:rPr>
        <w:t>Suryawanshi</w:t>
      </w:r>
      <w:proofErr w:type="spellEnd"/>
      <w:r w:rsidRPr="003B13AB">
        <w:rPr>
          <w:rFonts w:ascii="Times New Roman" w:hAnsi="Times New Roman" w:cs="Times New Roman"/>
          <w:color w:val="000000" w:themeColor="text1"/>
          <w:sz w:val="24"/>
          <w:szCs w:val="24"/>
        </w:rPr>
        <w:t xml:space="preserve"> </w:t>
      </w:r>
      <w:r w:rsidRPr="00B65600">
        <w:rPr>
          <w:rFonts w:ascii="Times New Roman" w:hAnsi="Times New Roman" w:cs="Times New Roman"/>
          <w:i/>
          <w:color w:val="000000" w:themeColor="text1"/>
          <w:sz w:val="24"/>
          <w:szCs w:val="24"/>
        </w:rPr>
        <w:t>et al</w:t>
      </w:r>
      <w:r w:rsidRPr="00D75EAA">
        <w:rPr>
          <w:rFonts w:ascii="Times New Roman" w:hAnsi="Times New Roman" w:cs="Times New Roman"/>
          <w:i/>
          <w:color w:val="000000" w:themeColor="text1"/>
          <w:sz w:val="24"/>
          <w:szCs w:val="24"/>
        </w:rPr>
        <w:t>.</w:t>
      </w:r>
      <w:r w:rsidR="00B65600">
        <w:rPr>
          <w:rFonts w:ascii="Times New Roman" w:hAnsi="Times New Roman" w:cs="Times New Roman"/>
          <w:i/>
          <w:color w:val="000000" w:themeColor="text1"/>
          <w:sz w:val="24"/>
          <w:szCs w:val="24"/>
        </w:rPr>
        <w:t>,</w:t>
      </w:r>
      <w:r w:rsidRPr="003B13AB">
        <w:rPr>
          <w:rFonts w:ascii="Times New Roman" w:hAnsi="Times New Roman" w:cs="Times New Roman"/>
          <w:color w:val="000000" w:themeColor="text1"/>
          <w:sz w:val="24"/>
          <w:szCs w:val="24"/>
        </w:rPr>
        <w:t xml:space="preserve"> (2020) with s</w:t>
      </w:r>
      <w:r>
        <w:rPr>
          <w:rFonts w:ascii="Times New Roman" w:hAnsi="Times New Roman" w:cs="Times New Roman"/>
          <w:color w:val="000000" w:themeColor="text1"/>
          <w:sz w:val="24"/>
          <w:szCs w:val="24"/>
        </w:rPr>
        <w:t>ome</w:t>
      </w:r>
      <w:r w:rsidRPr="003B13AB">
        <w:rPr>
          <w:rFonts w:ascii="Times New Roman" w:hAnsi="Times New Roman" w:cs="Times New Roman"/>
          <w:color w:val="000000" w:themeColor="text1"/>
          <w:sz w:val="24"/>
          <w:szCs w:val="24"/>
        </w:rPr>
        <w:t xml:space="preserve"> modifications. Brine shrimp (</w:t>
      </w:r>
      <w:r w:rsidRPr="003B13AB">
        <w:rPr>
          <w:rStyle w:val="Heading4Char"/>
          <w:rFonts w:ascii="Times New Roman" w:hAnsi="Times New Roman" w:cs="Times New Roman"/>
          <w:color w:val="000000" w:themeColor="text1"/>
          <w:sz w:val="24"/>
          <w:szCs w:val="24"/>
        </w:rPr>
        <w:t>Artemia salina</w:t>
      </w:r>
      <w:r w:rsidRPr="003B13AB">
        <w:rPr>
          <w:rFonts w:ascii="Times New Roman" w:hAnsi="Times New Roman" w:cs="Times New Roman"/>
          <w:color w:val="000000" w:themeColor="text1"/>
          <w:sz w:val="24"/>
          <w:szCs w:val="24"/>
        </w:rPr>
        <w:t>) eggs were purchased from a local pet store in Mayiladuthurai District, Tamil Nadu, India. Artificial seawater was prepared by dissolving 38 g of non-iodized sea salt in 1 L of distilled water, and the solution was filtered to obtain a clear medium. The brine shrimp eggs were incubated in a small hatching tank containing the prepared artificial seawater for 48 h under continuous illumination and aeration to facilitate hatching. After incubation, the hatched nauplii were collected carefully using a Pasteur pipette.</w:t>
      </w:r>
    </w:p>
    <w:p w14:paraId="56D97E6F" w14:textId="25E5F688" w:rsidR="00D75EAA" w:rsidRPr="00D75EAA" w:rsidRDefault="00D75EAA" w:rsidP="00D75EAA">
      <w:pPr>
        <w:spacing w:line="360" w:lineRule="auto"/>
        <w:ind w:firstLine="720"/>
        <w:jc w:val="both"/>
        <w:rPr>
          <w:rFonts w:ascii="Times New Roman" w:hAnsi="Times New Roman" w:cs="Times New Roman"/>
          <w:color w:val="000000" w:themeColor="text1"/>
          <w:kern w:val="0"/>
          <w:sz w:val="24"/>
          <w:szCs w:val="24"/>
        </w:rPr>
      </w:pP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was dissolved in dimethyl sulfoxide (DMSO) to prepare the stock solution. Different concentrations of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w:t>
      </w:r>
      <w:r w:rsidR="00C70BFD">
        <w:rPr>
          <w:rFonts w:ascii="Times New Roman" w:hAnsi="Times New Roman" w:cs="Times New Roman"/>
          <w:color w:val="000000" w:themeColor="text1"/>
          <w:sz w:val="24"/>
          <w:szCs w:val="24"/>
        </w:rPr>
        <w:t>25, 50, 1</w:t>
      </w:r>
      <w:r w:rsidRPr="003B13AB">
        <w:rPr>
          <w:rFonts w:ascii="Times New Roman" w:hAnsi="Times New Roman" w:cs="Times New Roman"/>
          <w:color w:val="000000" w:themeColor="text1"/>
          <w:sz w:val="24"/>
          <w:szCs w:val="24"/>
        </w:rPr>
        <w:t>00, 2</w:t>
      </w:r>
      <w:r w:rsidR="00C70BFD">
        <w:rPr>
          <w:rFonts w:ascii="Times New Roman" w:hAnsi="Times New Roman" w:cs="Times New Roman"/>
          <w:color w:val="000000" w:themeColor="text1"/>
          <w:sz w:val="24"/>
          <w:szCs w:val="24"/>
        </w:rPr>
        <w:t>5</w:t>
      </w:r>
      <w:r w:rsidRPr="003B13AB">
        <w:rPr>
          <w:rFonts w:ascii="Times New Roman" w:hAnsi="Times New Roman" w:cs="Times New Roman"/>
          <w:color w:val="000000" w:themeColor="text1"/>
          <w:sz w:val="24"/>
          <w:szCs w:val="24"/>
        </w:rPr>
        <w:t>0</w:t>
      </w:r>
      <w:r w:rsidR="00C70BFD">
        <w:rPr>
          <w:rFonts w:ascii="Times New Roman" w:hAnsi="Times New Roman" w:cs="Times New Roman"/>
          <w:color w:val="000000" w:themeColor="text1"/>
          <w:sz w:val="24"/>
          <w:szCs w:val="24"/>
        </w:rPr>
        <w:t xml:space="preserve"> </w:t>
      </w:r>
      <w:r w:rsidRPr="003B13AB">
        <w:rPr>
          <w:rFonts w:ascii="Times New Roman" w:hAnsi="Times New Roman" w:cs="Times New Roman"/>
          <w:color w:val="000000" w:themeColor="text1"/>
          <w:sz w:val="24"/>
          <w:szCs w:val="24"/>
        </w:rPr>
        <w:t>and 500 µg/mL) were then prepared by diluting the stock solution with artificial seawater, ensuring that the final concentration of DMSO did not exceed 1.25% (v/v), as suggested by Dai and Mumper (2010).</w:t>
      </w:r>
      <w:r>
        <w:rPr>
          <w:rFonts w:ascii="Times New Roman" w:hAnsi="Times New Roman" w:cs="Times New Roman"/>
          <w:color w:val="000000" w:themeColor="text1"/>
          <w:kern w:val="0"/>
          <w:sz w:val="24"/>
          <w:szCs w:val="24"/>
        </w:rPr>
        <w:t xml:space="preserve"> </w:t>
      </w:r>
      <w:r w:rsidRPr="003B13AB">
        <w:rPr>
          <w:rFonts w:ascii="Times New Roman" w:hAnsi="Times New Roman" w:cs="Times New Roman"/>
          <w:color w:val="000000" w:themeColor="text1"/>
          <w:sz w:val="24"/>
          <w:szCs w:val="24"/>
        </w:rPr>
        <w:t xml:space="preserve">For each concentration, thirty nauplii were transferred into glass containers containing 25 mL of saline solution mixed with the respective concentration of the test sample. The samples were incubated at room temperature for 24 h. After incubation, the number of surviving nauplii was counted. Nauplii were considered dead when no internal or external movement was observed </w:t>
      </w:r>
      <w:r w:rsidRPr="003B13AB">
        <w:rPr>
          <w:rFonts w:ascii="Times New Roman" w:hAnsi="Times New Roman" w:cs="Times New Roman"/>
          <w:color w:val="000000" w:themeColor="text1"/>
          <w:sz w:val="24"/>
          <w:szCs w:val="24"/>
        </w:rPr>
        <w:lastRenderedPageBreak/>
        <w:t>during 1 min of continuous observation.</w:t>
      </w:r>
      <w:r>
        <w:rPr>
          <w:rFonts w:ascii="Times New Roman" w:hAnsi="Times New Roman" w:cs="Times New Roman"/>
          <w:color w:val="000000" w:themeColor="text1"/>
          <w:kern w:val="0"/>
          <w:sz w:val="24"/>
          <w:szCs w:val="24"/>
        </w:rPr>
        <w:t xml:space="preserve"> </w:t>
      </w:r>
      <w:r w:rsidRPr="003B13AB">
        <w:rPr>
          <w:rFonts w:ascii="Times New Roman" w:eastAsia="Times New Roman" w:hAnsi="Times New Roman" w:cs="Times New Roman"/>
          <w:color w:val="000000" w:themeColor="text1"/>
          <w:sz w:val="24"/>
          <w:szCs w:val="24"/>
        </w:rPr>
        <w:t>Saline solution alone served as the negative control, while potassium dichromate prepared at a concentration of 1 mg/mL in saline solution was used as the positive control.</w:t>
      </w:r>
      <w:r>
        <w:rPr>
          <w:rFonts w:ascii="Times New Roman" w:hAnsi="Times New Roman" w:cs="Times New Roman"/>
          <w:color w:val="000000" w:themeColor="text1"/>
          <w:kern w:val="0"/>
          <w:sz w:val="24"/>
          <w:szCs w:val="24"/>
        </w:rPr>
        <w:t xml:space="preserve"> </w:t>
      </w:r>
      <w:r w:rsidRPr="003B13AB">
        <w:rPr>
          <w:rFonts w:ascii="Times New Roman" w:hAnsi="Times New Roman" w:cs="Times New Roman"/>
          <w:color w:val="000000" w:themeColor="text1"/>
          <w:sz w:val="24"/>
          <w:szCs w:val="24"/>
        </w:rPr>
        <w:t>The percentage mortality of the nauplii was calculated using the following formula:</w:t>
      </w:r>
    </w:p>
    <w:p w14:paraId="70D45006" w14:textId="77777777" w:rsidR="00D75EAA" w:rsidRDefault="00D75EAA" w:rsidP="00D75EAA">
      <w:pPr>
        <w:spacing w:line="360" w:lineRule="auto"/>
        <w:jc w:val="center"/>
        <w:rPr>
          <w:rFonts w:ascii="Times New Roman" w:hAnsi="Times New Roman" w:cs="Times New Roman"/>
          <w:color w:val="000000" w:themeColor="text1"/>
          <w:sz w:val="24"/>
          <w:szCs w:val="24"/>
        </w:rPr>
      </w:pPr>
      <w:r w:rsidRPr="00D75EAA">
        <w:rPr>
          <w:rFonts w:ascii="Times New Roman" w:hAnsi="Times New Roman" w:cs="Times New Roman"/>
          <w:b/>
          <w:color w:val="000000" w:themeColor="text1"/>
          <w:sz w:val="24"/>
          <w:szCs w:val="24"/>
        </w:rPr>
        <w:t>Mortality (</w:t>
      </w:r>
      <w:proofErr w:type="gramStart"/>
      <w:r w:rsidRPr="00D75EAA">
        <w:rPr>
          <w:rFonts w:ascii="Times New Roman" w:hAnsi="Times New Roman" w:cs="Times New Roman"/>
          <w:b/>
          <w:color w:val="000000" w:themeColor="text1"/>
          <w:sz w:val="24"/>
          <w:szCs w:val="24"/>
        </w:rPr>
        <w:t>%)=</w:t>
      </w:r>
      <w:proofErr w:type="gramEnd"/>
      <w:r w:rsidRPr="003B13AB">
        <w:rPr>
          <w:rFonts w:ascii="Times New Roman" w:hAnsi="Times New Roman" w:cs="Times New Roman"/>
          <w:color w:val="000000" w:themeColor="text1"/>
          <w:sz w:val="24"/>
          <w:szCs w:val="24"/>
        </w:rPr>
        <w:t>Initial number of live nauplii/ Number of dead nauplii ×100</w:t>
      </w:r>
    </w:p>
    <w:p w14:paraId="54440A5E" w14:textId="39D00105" w:rsidR="005274F5" w:rsidRPr="003B13AB" w:rsidRDefault="00D75EAA" w:rsidP="00F659CC">
      <w:pPr>
        <w:spacing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The LD₅₀ value was calculated using the regression line equation obtained from the dose–response curve using MS-Excel</w:t>
      </w:r>
      <w:r>
        <w:rPr>
          <w:rFonts w:ascii="Times New Roman" w:hAnsi="Times New Roman" w:cs="Times New Roman"/>
          <w:color w:val="000000" w:themeColor="text1"/>
          <w:sz w:val="24"/>
          <w:szCs w:val="24"/>
        </w:rPr>
        <w:t xml:space="preserve"> </w:t>
      </w:r>
      <w:r w:rsidRPr="003B13AB">
        <w:rPr>
          <w:rFonts w:ascii="Times New Roman" w:hAnsi="Times New Roman" w:cs="Times New Roman"/>
          <w:color w:val="000000" w:themeColor="text1"/>
          <w:sz w:val="24"/>
          <w:szCs w:val="24"/>
        </w:rPr>
        <w:t xml:space="preserve">for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and control.</w:t>
      </w:r>
    </w:p>
    <w:p w14:paraId="514EAB76" w14:textId="26D593FB" w:rsidR="005274F5" w:rsidRPr="003B13AB" w:rsidRDefault="005274F5" w:rsidP="005274F5">
      <w:pPr>
        <w:pStyle w:val="Heading3"/>
        <w:spacing w:before="0"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Statistical Analysis</w:t>
      </w:r>
    </w:p>
    <w:p w14:paraId="5214BC9C" w14:textId="24912810" w:rsidR="005274F5" w:rsidRPr="003B13AB" w:rsidRDefault="005274F5" w:rsidP="00F659CC">
      <w:pPr>
        <w:pStyle w:val="NormalWeb"/>
        <w:spacing w:before="0" w:beforeAutospacing="0" w:after="0" w:afterAutospacing="0" w:line="360" w:lineRule="auto"/>
        <w:ind w:firstLine="720"/>
        <w:jc w:val="both"/>
        <w:rPr>
          <w:color w:val="000000" w:themeColor="text1"/>
        </w:rPr>
      </w:pPr>
      <w:r w:rsidRPr="003B13AB">
        <w:rPr>
          <w:color w:val="000000" w:themeColor="text1"/>
        </w:rPr>
        <w:t>All experiments were performed in triplicate</w:t>
      </w:r>
      <w:r w:rsidR="00C82C18">
        <w:rPr>
          <w:color w:val="000000" w:themeColor="text1"/>
        </w:rPr>
        <w:t xml:space="preserve"> (n</w:t>
      </w:r>
      <w:r w:rsidR="004A0C21">
        <w:rPr>
          <w:color w:val="000000" w:themeColor="text1"/>
        </w:rPr>
        <w:t>=</w:t>
      </w:r>
      <w:r w:rsidR="00C82C18">
        <w:rPr>
          <w:color w:val="000000" w:themeColor="text1"/>
        </w:rPr>
        <w:t>3)</w:t>
      </w:r>
      <w:r w:rsidRPr="003B13AB">
        <w:rPr>
          <w:color w:val="000000" w:themeColor="text1"/>
        </w:rPr>
        <w:t xml:space="preserve">, and the results were expressed as mean ± standard deviation (SD). Statistical significance among groups was analyzed using Student’s </w:t>
      </w:r>
      <w:r w:rsidRPr="003B13AB">
        <w:rPr>
          <w:rStyle w:val="Emphasis"/>
          <w:rFonts w:eastAsiaTheme="majorEastAsia"/>
          <w:color w:val="000000" w:themeColor="text1"/>
        </w:rPr>
        <w:t>t</w:t>
      </w:r>
      <w:r w:rsidRPr="003B13AB">
        <w:rPr>
          <w:color w:val="000000" w:themeColor="text1"/>
        </w:rPr>
        <w:t xml:space="preserve">-test. A </w:t>
      </w:r>
      <w:r w:rsidRPr="003B13AB">
        <w:rPr>
          <w:rStyle w:val="Emphasis"/>
          <w:rFonts w:eastAsiaTheme="majorEastAsia"/>
          <w:color w:val="000000" w:themeColor="text1"/>
        </w:rPr>
        <w:t>p</w:t>
      </w:r>
      <w:r w:rsidRPr="003B13AB">
        <w:rPr>
          <w:color w:val="000000" w:themeColor="text1"/>
        </w:rPr>
        <w:t xml:space="preserve">-value &lt; 0.05 was considered statistically significant. IC₅₀ </w:t>
      </w:r>
      <w:r w:rsidR="004A0C21">
        <w:rPr>
          <w:color w:val="000000" w:themeColor="text1"/>
        </w:rPr>
        <w:t>and LD</w:t>
      </w:r>
      <w:r w:rsidR="004A0C21" w:rsidRPr="00E54747">
        <w:rPr>
          <w:color w:val="000000" w:themeColor="text1"/>
          <w:vertAlign w:val="subscript"/>
        </w:rPr>
        <w:t>50</w:t>
      </w:r>
      <w:r w:rsidR="004A0C21">
        <w:rPr>
          <w:color w:val="000000" w:themeColor="text1"/>
        </w:rPr>
        <w:t xml:space="preserve"> </w:t>
      </w:r>
      <w:r w:rsidRPr="003B13AB">
        <w:rPr>
          <w:color w:val="000000" w:themeColor="text1"/>
        </w:rPr>
        <w:t>values were calculated using graphical regression analysis.</w:t>
      </w:r>
    </w:p>
    <w:p w14:paraId="00949859" w14:textId="77777777" w:rsidR="005274F5" w:rsidRPr="003B13AB" w:rsidRDefault="005274F5" w:rsidP="005274F5">
      <w:pPr>
        <w:tabs>
          <w:tab w:val="left" w:pos="6171"/>
        </w:tabs>
        <w:spacing w:after="0" w:line="360" w:lineRule="auto"/>
        <w:jc w:val="both"/>
        <w:rPr>
          <w:rFonts w:ascii="Times New Roman" w:hAnsi="Times New Roman" w:cs="Times New Roman"/>
          <w:b/>
          <w:bCs/>
          <w:color w:val="000000" w:themeColor="text1"/>
          <w:sz w:val="24"/>
          <w:szCs w:val="24"/>
        </w:rPr>
      </w:pPr>
    </w:p>
    <w:p w14:paraId="5FA5427B" w14:textId="61928906" w:rsidR="005274F5" w:rsidRPr="003B13AB" w:rsidRDefault="005274F5" w:rsidP="005274F5">
      <w:pPr>
        <w:tabs>
          <w:tab w:val="left" w:pos="6171"/>
        </w:tabs>
        <w:spacing w:after="0" w:line="360" w:lineRule="auto"/>
        <w:jc w:val="both"/>
        <w:rPr>
          <w:rFonts w:ascii="Times New Roman" w:hAnsi="Times New Roman" w:cs="Times New Roman"/>
          <w:b/>
          <w:bCs/>
          <w:color w:val="000000" w:themeColor="text1"/>
          <w:sz w:val="24"/>
          <w:szCs w:val="24"/>
          <w:lang w:eastAsia="ar-SA"/>
        </w:rPr>
      </w:pPr>
      <w:r w:rsidRPr="003B13AB">
        <w:rPr>
          <w:rFonts w:ascii="Times New Roman" w:hAnsi="Times New Roman" w:cs="Times New Roman"/>
          <w:b/>
          <w:bCs/>
          <w:color w:val="000000" w:themeColor="text1"/>
          <w:sz w:val="24"/>
          <w:szCs w:val="24"/>
        </w:rPr>
        <w:t>RESULTS</w:t>
      </w:r>
      <w:r w:rsidRPr="003B13AB">
        <w:rPr>
          <w:rFonts w:ascii="Times New Roman" w:hAnsi="Times New Roman" w:cs="Times New Roman"/>
          <w:bCs/>
          <w:color w:val="000000" w:themeColor="text1"/>
          <w:sz w:val="24"/>
          <w:szCs w:val="24"/>
          <w:lang w:eastAsia="ar-SA"/>
        </w:rPr>
        <w:t xml:space="preserve"> </w:t>
      </w:r>
      <w:r w:rsidRPr="003B13AB">
        <w:rPr>
          <w:rFonts w:ascii="Times New Roman" w:hAnsi="Times New Roman" w:cs="Times New Roman"/>
          <w:b/>
          <w:bCs/>
          <w:color w:val="000000" w:themeColor="text1"/>
          <w:sz w:val="24"/>
          <w:szCs w:val="24"/>
          <w:lang w:eastAsia="ar-SA"/>
        </w:rPr>
        <w:t>AND DISCUSSION</w:t>
      </w:r>
    </w:p>
    <w:p w14:paraId="61F452B5" w14:textId="77777777" w:rsidR="005274F5" w:rsidRPr="003B13AB" w:rsidRDefault="005274F5" w:rsidP="005274F5">
      <w:pPr>
        <w:tabs>
          <w:tab w:val="left" w:pos="6171"/>
        </w:tabs>
        <w:spacing w:after="0" w:line="360" w:lineRule="auto"/>
        <w:jc w:val="both"/>
        <w:rPr>
          <w:rFonts w:ascii="Times New Roman" w:hAnsi="Times New Roman" w:cs="Times New Roman"/>
          <w:b/>
          <w:bCs/>
          <w:color w:val="000000" w:themeColor="text1"/>
          <w:sz w:val="24"/>
          <w:szCs w:val="24"/>
          <w:lang w:eastAsia="ar-SA"/>
        </w:rPr>
      </w:pPr>
    </w:p>
    <w:p w14:paraId="7515CFE1" w14:textId="52BD1C5E" w:rsidR="005274F5" w:rsidRPr="003B13AB" w:rsidRDefault="005274F5" w:rsidP="005274F5">
      <w:pPr>
        <w:tabs>
          <w:tab w:val="left" w:pos="6171"/>
        </w:tabs>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lang w:eastAsia="ar-SA"/>
        </w:rPr>
        <w:t>Isolation, Purification and Characterization</w:t>
      </w:r>
    </w:p>
    <w:p w14:paraId="60D4DAAE"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60D62D6F" w14:textId="175172D3"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Thin Layer Chromatography</w:t>
      </w:r>
    </w:p>
    <w:p w14:paraId="1399EE91" w14:textId="77777777" w:rsidR="005274F5" w:rsidRPr="003B13AB" w:rsidRDefault="005274F5" w:rsidP="005274F5">
      <w:pPr>
        <w:autoSpaceDE w:val="0"/>
        <w:autoSpaceDN w:val="0"/>
        <w:adjustRightInd w:val="0"/>
        <w:snapToGrid w:val="0"/>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The separated compound was </w:t>
      </w:r>
      <w:proofErr w:type="spellStart"/>
      <w:r w:rsidRPr="003B13AB">
        <w:rPr>
          <w:rFonts w:ascii="Times New Roman" w:hAnsi="Times New Roman" w:cs="Times New Roman"/>
          <w:color w:val="000000" w:themeColor="text1"/>
          <w:sz w:val="24"/>
          <w:szCs w:val="24"/>
        </w:rPr>
        <w:t>analyzed</w:t>
      </w:r>
      <w:proofErr w:type="spellEnd"/>
      <w:r w:rsidRPr="003B13AB">
        <w:rPr>
          <w:rFonts w:ascii="Times New Roman" w:hAnsi="Times New Roman" w:cs="Times New Roman"/>
          <w:color w:val="000000" w:themeColor="text1"/>
          <w:sz w:val="24"/>
          <w:szCs w:val="24"/>
        </w:rPr>
        <w:t xml:space="preserve"> by TLC and compared with standard quercetin and gallic acid (Fig. 1 and Table 1). The sample showed an Rf value of 0.65, which closely corresponds to the reported Rf value of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(0.66) by </w:t>
      </w:r>
      <w:proofErr w:type="spellStart"/>
      <w:r w:rsidRPr="003B13AB">
        <w:rPr>
          <w:rFonts w:ascii="Times New Roman" w:hAnsi="Times New Roman" w:cs="Times New Roman"/>
          <w:color w:val="000000" w:themeColor="text1"/>
          <w:sz w:val="24"/>
          <w:szCs w:val="24"/>
        </w:rPr>
        <w:t>Rasyid</w:t>
      </w:r>
      <w:proofErr w:type="spellEnd"/>
      <w:r w:rsidRPr="003B13AB">
        <w:rPr>
          <w:rFonts w:ascii="Times New Roman" w:hAnsi="Times New Roman" w:cs="Times New Roman"/>
          <w:color w:val="000000" w:themeColor="text1"/>
          <w:sz w:val="24"/>
          <w:szCs w:val="24"/>
        </w:rPr>
        <w:t xml:space="preserve"> </w:t>
      </w:r>
      <w:r w:rsidRPr="00B65600">
        <w:rPr>
          <w:rFonts w:ascii="Times New Roman" w:hAnsi="Times New Roman" w:cs="Times New Roman"/>
          <w:i/>
          <w:iCs/>
          <w:color w:val="000000" w:themeColor="text1"/>
          <w:sz w:val="24"/>
          <w:szCs w:val="24"/>
        </w:rPr>
        <w:t>et al</w:t>
      </w:r>
      <w:r w:rsidRPr="003B13AB">
        <w:rPr>
          <w:rFonts w:ascii="Times New Roman" w:hAnsi="Times New Roman" w:cs="Times New Roman"/>
          <w:color w:val="000000" w:themeColor="text1"/>
          <w:sz w:val="24"/>
          <w:szCs w:val="24"/>
        </w:rPr>
        <w:t xml:space="preserve">., (2020). This close similarity confirms the identity of the isolated compound as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and indicates effective chromatographic separation. Furthermore, the distinct and single spot observed in the TLC analysis indicated the high purity of the isolated compound. </w:t>
      </w:r>
    </w:p>
    <w:p w14:paraId="1361F217"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r w:rsidRPr="003B13AB">
        <w:rPr>
          <w:rFonts w:ascii="Times New Roman" w:hAnsi="Times New Roman" w:cs="Times New Roman"/>
          <w:noProof/>
          <w:color w:val="000000" w:themeColor="text1"/>
          <w:sz w:val="24"/>
          <w:szCs w:val="24"/>
          <w:lang w:val="en-US"/>
        </w:rPr>
        <w:drawing>
          <wp:anchor distT="0" distB="0" distL="114300" distR="114300" simplePos="0" relativeHeight="251664384" behindDoc="1" locked="0" layoutInCell="1" allowOverlap="1" wp14:anchorId="660D1F2A" wp14:editId="20717D01">
            <wp:simplePos x="0" y="0"/>
            <wp:positionH relativeFrom="column">
              <wp:posOffset>3003996</wp:posOffset>
            </wp:positionH>
            <wp:positionV relativeFrom="paragraph">
              <wp:posOffset>6161</wp:posOffset>
            </wp:positionV>
            <wp:extent cx="2019300" cy="2003425"/>
            <wp:effectExtent l="0" t="0" r="0" b="0"/>
            <wp:wrapTight wrapText="bothSides">
              <wp:wrapPolygon edited="0">
                <wp:start x="0" y="0"/>
                <wp:lineTo x="0" y="21360"/>
                <wp:lineTo x="21396" y="21360"/>
                <wp:lineTo x="213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20000"/>
                      <a:extLst>
                        <a:ext uri="{28A0092B-C50C-407E-A947-70E740481C1C}">
                          <a14:useLocalDpi xmlns:a14="http://schemas.microsoft.com/office/drawing/2010/main" val="0"/>
                        </a:ext>
                      </a:extLst>
                    </a:blip>
                    <a:srcRect/>
                    <a:stretch>
                      <a:fillRect/>
                    </a:stretch>
                  </pic:blipFill>
                  <pic:spPr bwMode="auto">
                    <a:xfrm>
                      <a:off x="0" y="0"/>
                      <a:ext cx="2019300" cy="200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13AB">
        <w:rPr>
          <w:rFonts w:ascii="Times New Roman" w:hAnsi="Times New Roman" w:cs="Times New Roman"/>
          <w:noProof/>
          <w:color w:val="000000" w:themeColor="text1"/>
          <w:sz w:val="24"/>
          <w:szCs w:val="24"/>
          <w:lang w:val="en-US"/>
        </w:rPr>
        <w:drawing>
          <wp:anchor distT="0" distB="0" distL="114300" distR="114300" simplePos="0" relativeHeight="251663360" behindDoc="1" locked="0" layoutInCell="1" allowOverlap="1" wp14:anchorId="3CD554AC" wp14:editId="5F1E24FF">
            <wp:simplePos x="0" y="0"/>
            <wp:positionH relativeFrom="column">
              <wp:posOffset>511845</wp:posOffset>
            </wp:positionH>
            <wp:positionV relativeFrom="paragraph">
              <wp:posOffset>6384</wp:posOffset>
            </wp:positionV>
            <wp:extent cx="2029460" cy="1995805"/>
            <wp:effectExtent l="0" t="0" r="8890" b="4445"/>
            <wp:wrapTight wrapText="bothSides">
              <wp:wrapPolygon edited="0">
                <wp:start x="0" y="0"/>
                <wp:lineTo x="0" y="21442"/>
                <wp:lineTo x="21492" y="21442"/>
                <wp:lineTo x="214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40000" contrast="40000"/>
                      <a:extLst>
                        <a:ext uri="{28A0092B-C50C-407E-A947-70E740481C1C}">
                          <a14:useLocalDpi xmlns:a14="http://schemas.microsoft.com/office/drawing/2010/main" val="0"/>
                        </a:ext>
                      </a:extLst>
                    </a:blip>
                    <a:srcRect/>
                    <a:stretch>
                      <a:fillRect/>
                    </a:stretch>
                  </pic:blipFill>
                  <pic:spPr bwMode="auto">
                    <a:xfrm>
                      <a:off x="0" y="0"/>
                      <a:ext cx="2029460" cy="1995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125C9"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6E636A28"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76EC6E13"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6747BE52"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465D2D86"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7FA8506E"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77229B98"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05B81E5E"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0371B147"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3BAA9BF4"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p>
    <w:p w14:paraId="1B2DAB19" w14:textId="77777777" w:rsidR="005274F5" w:rsidRPr="003B13AB" w:rsidRDefault="005274F5" w:rsidP="005274F5">
      <w:pPr>
        <w:autoSpaceDE w:val="0"/>
        <w:autoSpaceDN w:val="0"/>
        <w:adjustRightInd w:val="0"/>
        <w:snapToGrid w:val="0"/>
        <w:spacing w:after="0" w:line="240" w:lineRule="auto"/>
        <w:rPr>
          <w:rFonts w:ascii="Times New Roman" w:hAnsi="Times New Roman" w:cs="Times New Roman"/>
          <w:b/>
          <w:color w:val="000000" w:themeColor="text1"/>
          <w:sz w:val="24"/>
          <w:szCs w:val="24"/>
        </w:rPr>
      </w:pPr>
    </w:p>
    <w:p w14:paraId="42098E30" w14:textId="77777777" w:rsidR="005274F5" w:rsidRPr="003B13AB" w:rsidRDefault="005274F5" w:rsidP="005274F5">
      <w:pPr>
        <w:autoSpaceDE w:val="0"/>
        <w:autoSpaceDN w:val="0"/>
        <w:adjustRightInd w:val="0"/>
        <w:snapToGrid w:val="0"/>
        <w:spacing w:after="0" w:line="24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lastRenderedPageBreak/>
        <w:t xml:space="preserve">                                        (A)                                                         </w:t>
      </w:r>
      <w:proofErr w:type="gramStart"/>
      <w:r w:rsidRPr="003B13AB">
        <w:rPr>
          <w:rFonts w:ascii="Times New Roman" w:hAnsi="Times New Roman" w:cs="Times New Roman"/>
          <w:b/>
          <w:color w:val="000000" w:themeColor="text1"/>
          <w:sz w:val="24"/>
          <w:szCs w:val="24"/>
        </w:rPr>
        <w:t xml:space="preserve">   (</w:t>
      </w:r>
      <w:proofErr w:type="gramEnd"/>
      <w:r w:rsidRPr="003B13AB">
        <w:rPr>
          <w:rFonts w:ascii="Times New Roman" w:hAnsi="Times New Roman" w:cs="Times New Roman"/>
          <w:b/>
          <w:color w:val="000000" w:themeColor="text1"/>
          <w:sz w:val="24"/>
          <w:szCs w:val="24"/>
        </w:rPr>
        <w:t>B)</w:t>
      </w:r>
    </w:p>
    <w:p w14:paraId="03A09272" w14:textId="77777777" w:rsidR="005274F5" w:rsidRPr="003B13AB" w:rsidRDefault="005274F5" w:rsidP="005274F5">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 xml:space="preserve">Figure 1. Thin layer chromatography of the isolated compound (S) alongside standard quercetin (Q) and gallic acid (G) using </w:t>
      </w:r>
      <w:proofErr w:type="spellStart"/>
      <w:proofErr w:type="gramStart"/>
      <w:r w:rsidRPr="003B13AB">
        <w:rPr>
          <w:rFonts w:ascii="Times New Roman" w:hAnsi="Times New Roman" w:cs="Times New Roman"/>
          <w:b/>
          <w:bCs/>
          <w:color w:val="000000" w:themeColor="text1"/>
          <w:sz w:val="24"/>
          <w:szCs w:val="24"/>
        </w:rPr>
        <w:t>chloroform:acetone</w:t>
      </w:r>
      <w:proofErr w:type="gramEnd"/>
      <w:r w:rsidRPr="003B13AB">
        <w:rPr>
          <w:rFonts w:ascii="Times New Roman" w:hAnsi="Times New Roman" w:cs="Times New Roman"/>
          <w:b/>
          <w:bCs/>
          <w:color w:val="000000" w:themeColor="text1"/>
          <w:sz w:val="24"/>
          <w:szCs w:val="24"/>
        </w:rPr>
        <w:t>:formic</w:t>
      </w:r>
      <w:proofErr w:type="spellEnd"/>
      <w:r w:rsidRPr="003B13AB">
        <w:rPr>
          <w:rFonts w:ascii="Times New Roman" w:hAnsi="Times New Roman" w:cs="Times New Roman"/>
          <w:b/>
          <w:bCs/>
          <w:color w:val="000000" w:themeColor="text1"/>
          <w:sz w:val="24"/>
          <w:szCs w:val="24"/>
        </w:rPr>
        <w:t xml:space="preserve"> acid (8:1.5:0.5) as the mobile phase. (A) Chromatogram under visible light showing limited band visibility. (B) Chromatogram under UV illumination highlighting fluorescent bands used for Rf value determination and compound identification.</w:t>
      </w:r>
    </w:p>
    <w:p w14:paraId="421ECC12"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3287B245" w14:textId="77777777" w:rsidR="005274F5" w:rsidRPr="003B13AB" w:rsidRDefault="005274F5" w:rsidP="005274F5">
      <w:pPr>
        <w:autoSpaceDE w:val="0"/>
        <w:autoSpaceDN w:val="0"/>
        <w:adjustRightInd w:val="0"/>
        <w:snapToGrid w:val="0"/>
        <w:spacing w:after="0" w:line="240" w:lineRule="auto"/>
        <w:jc w:val="center"/>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Table 1. Rf value of separated compound and standard compounds (quercetin and gallic acid) by TLC analysis</w:t>
      </w:r>
    </w:p>
    <w:tbl>
      <w:tblPr>
        <w:tblpPr w:leftFromText="180" w:rightFromText="180" w:vertAnchor="text" w:horzAnchor="margin" w:tblpXSpec="center"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414"/>
        <w:gridCol w:w="2988"/>
      </w:tblGrid>
      <w:tr w:rsidR="003B13AB" w:rsidRPr="003B13AB" w14:paraId="3562D999" w14:textId="77777777" w:rsidTr="003A730C">
        <w:trPr>
          <w:trHeight w:val="319"/>
        </w:trPr>
        <w:tc>
          <w:tcPr>
            <w:tcW w:w="2105" w:type="dxa"/>
          </w:tcPr>
          <w:p w14:paraId="1ACED1D7" w14:textId="77777777" w:rsidR="005274F5" w:rsidRPr="003B13AB" w:rsidRDefault="005274F5" w:rsidP="003A730C">
            <w:pPr>
              <w:spacing w:after="0" w:line="240" w:lineRule="auto"/>
              <w:jc w:val="center"/>
              <w:rPr>
                <w:rFonts w:ascii="Times New Roman" w:eastAsia="Times New Roman" w:hAnsi="Times New Roman" w:cs="Times New Roman"/>
                <w:b/>
                <w:color w:val="000000" w:themeColor="text1"/>
                <w:sz w:val="24"/>
                <w:szCs w:val="24"/>
              </w:rPr>
            </w:pPr>
            <w:r w:rsidRPr="003B13AB">
              <w:rPr>
                <w:rFonts w:ascii="Times New Roman" w:eastAsia="Times New Roman" w:hAnsi="Times New Roman" w:cs="Times New Roman"/>
                <w:b/>
                <w:color w:val="000000" w:themeColor="text1"/>
                <w:sz w:val="24"/>
                <w:szCs w:val="24"/>
              </w:rPr>
              <w:t xml:space="preserve">Flavonoid </w:t>
            </w:r>
          </w:p>
        </w:tc>
        <w:tc>
          <w:tcPr>
            <w:tcW w:w="1414" w:type="dxa"/>
          </w:tcPr>
          <w:p w14:paraId="0B54F79B" w14:textId="77777777" w:rsidR="005274F5" w:rsidRPr="003B13AB" w:rsidRDefault="005274F5" w:rsidP="003A730C">
            <w:pPr>
              <w:spacing w:after="0" w:line="240" w:lineRule="auto"/>
              <w:jc w:val="center"/>
              <w:rPr>
                <w:rFonts w:ascii="Times New Roman" w:eastAsia="Times New Roman" w:hAnsi="Times New Roman" w:cs="Times New Roman"/>
                <w:b/>
                <w:color w:val="000000" w:themeColor="text1"/>
                <w:sz w:val="24"/>
                <w:szCs w:val="24"/>
              </w:rPr>
            </w:pPr>
            <w:r w:rsidRPr="003B13AB">
              <w:rPr>
                <w:rFonts w:ascii="Times New Roman" w:eastAsia="Times New Roman" w:hAnsi="Times New Roman" w:cs="Times New Roman"/>
                <w:b/>
                <w:color w:val="000000" w:themeColor="text1"/>
                <w:sz w:val="24"/>
                <w:szCs w:val="24"/>
              </w:rPr>
              <w:t>Rf Value</w:t>
            </w:r>
          </w:p>
        </w:tc>
        <w:tc>
          <w:tcPr>
            <w:tcW w:w="2988" w:type="dxa"/>
          </w:tcPr>
          <w:p w14:paraId="55ABA842" w14:textId="77777777" w:rsidR="005274F5" w:rsidRPr="003B13AB" w:rsidRDefault="005274F5" w:rsidP="003A730C">
            <w:pPr>
              <w:spacing w:after="0" w:line="240" w:lineRule="auto"/>
              <w:jc w:val="center"/>
              <w:rPr>
                <w:rFonts w:ascii="Times New Roman" w:eastAsia="Times New Roman" w:hAnsi="Times New Roman" w:cs="Times New Roman"/>
                <w:b/>
                <w:color w:val="000000" w:themeColor="text1"/>
                <w:sz w:val="24"/>
                <w:szCs w:val="24"/>
              </w:rPr>
            </w:pPr>
            <w:r w:rsidRPr="003B13AB">
              <w:rPr>
                <w:rFonts w:ascii="Times New Roman" w:eastAsia="Times New Roman" w:hAnsi="Times New Roman" w:cs="Times New Roman"/>
                <w:b/>
                <w:color w:val="000000" w:themeColor="text1"/>
                <w:sz w:val="24"/>
                <w:szCs w:val="24"/>
              </w:rPr>
              <w:t xml:space="preserve">Literature </w:t>
            </w:r>
          </w:p>
        </w:tc>
      </w:tr>
      <w:tr w:rsidR="003B13AB" w:rsidRPr="003B13AB" w14:paraId="040CFEBF" w14:textId="77777777" w:rsidTr="003A730C">
        <w:trPr>
          <w:trHeight w:val="403"/>
        </w:trPr>
        <w:tc>
          <w:tcPr>
            <w:tcW w:w="2105" w:type="dxa"/>
          </w:tcPr>
          <w:p w14:paraId="2C429275" w14:textId="77777777" w:rsidR="005274F5" w:rsidRPr="003B13AB" w:rsidRDefault="005274F5" w:rsidP="003A730C">
            <w:pPr>
              <w:spacing w:after="0" w:line="240" w:lineRule="auto"/>
              <w:rPr>
                <w:rFonts w:ascii="Times New Roman" w:eastAsia="Times New Roman" w:hAnsi="Times New Roman" w:cs="Times New Roman"/>
                <w:b/>
                <w:color w:val="000000" w:themeColor="text1"/>
                <w:sz w:val="24"/>
                <w:szCs w:val="24"/>
              </w:rPr>
            </w:pPr>
            <w:r w:rsidRPr="003B13AB">
              <w:rPr>
                <w:rFonts w:ascii="Times New Roman" w:eastAsia="Times New Roman" w:hAnsi="Times New Roman" w:cs="Times New Roman"/>
                <w:b/>
                <w:color w:val="000000" w:themeColor="text1"/>
                <w:sz w:val="24"/>
                <w:szCs w:val="24"/>
              </w:rPr>
              <w:t>Sample (S)</w:t>
            </w:r>
          </w:p>
        </w:tc>
        <w:tc>
          <w:tcPr>
            <w:tcW w:w="1414" w:type="dxa"/>
          </w:tcPr>
          <w:p w14:paraId="10F95E1C" w14:textId="77777777" w:rsidR="005274F5" w:rsidRPr="003B13AB" w:rsidRDefault="005274F5" w:rsidP="003A730C">
            <w:pPr>
              <w:spacing w:after="0" w:line="240" w:lineRule="auto"/>
              <w:jc w:val="center"/>
              <w:rPr>
                <w:rFonts w:ascii="Times New Roman" w:eastAsia="Times New Roman" w:hAnsi="Times New Roman" w:cs="Times New Roman"/>
                <w:color w:val="000000" w:themeColor="text1"/>
                <w:sz w:val="24"/>
                <w:szCs w:val="24"/>
              </w:rPr>
            </w:pPr>
            <w:r w:rsidRPr="003B13AB">
              <w:rPr>
                <w:rFonts w:ascii="Times New Roman" w:eastAsia="Times New Roman" w:hAnsi="Times New Roman" w:cs="Times New Roman"/>
                <w:color w:val="000000" w:themeColor="text1"/>
                <w:sz w:val="24"/>
                <w:szCs w:val="24"/>
              </w:rPr>
              <w:t>3.9/6 = 0.65</w:t>
            </w:r>
          </w:p>
        </w:tc>
        <w:tc>
          <w:tcPr>
            <w:tcW w:w="2988" w:type="dxa"/>
          </w:tcPr>
          <w:p w14:paraId="499C1636" w14:textId="77777777" w:rsidR="005274F5" w:rsidRPr="003B13AB" w:rsidRDefault="005274F5" w:rsidP="003A730C">
            <w:pPr>
              <w:spacing w:after="0" w:line="240" w:lineRule="auto"/>
              <w:rPr>
                <w:rFonts w:ascii="Times New Roman" w:eastAsia="Times New Roman" w:hAnsi="Times New Roman" w:cs="Times New Roman"/>
                <w:color w:val="000000" w:themeColor="text1"/>
                <w:sz w:val="24"/>
                <w:szCs w:val="24"/>
              </w:rPr>
            </w:pPr>
            <w:r w:rsidRPr="003B13AB">
              <w:rPr>
                <w:rFonts w:ascii="Times New Roman" w:eastAsia="Times New Roman" w:hAnsi="Times New Roman" w:cs="Times New Roman"/>
                <w:color w:val="000000" w:themeColor="text1"/>
                <w:sz w:val="24"/>
                <w:szCs w:val="24"/>
              </w:rPr>
              <w:t xml:space="preserve">Rf </w:t>
            </w:r>
            <w:proofErr w:type="gramStart"/>
            <w:r w:rsidRPr="003B13AB">
              <w:rPr>
                <w:rFonts w:ascii="Times New Roman" w:eastAsia="Times New Roman" w:hAnsi="Times New Roman" w:cs="Times New Roman"/>
                <w:color w:val="000000" w:themeColor="text1"/>
                <w:sz w:val="24"/>
                <w:szCs w:val="24"/>
              </w:rPr>
              <w:t xml:space="preserve">= </w:t>
            </w:r>
            <w:r w:rsidRPr="003B13AB">
              <w:rPr>
                <w:rFonts w:ascii="Times New Roman" w:hAnsi="Times New Roman" w:cs="Times New Roman"/>
                <w:color w:val="000000" w:themeColor="text1"/>
                <w:sz w:val="24"/>
                <w:szCs w:val="24"/>
              </w:rPr>
              <w:t xml:space="preserve"> </w:t>
            </w:r>
            <w:r w:rsidRPr="003B13AB">
              <w:rPr>
                <w:rFonts w:ascii="Times New Roman" w:eastAsia="Times New Roman" w:hAnsi="Times New Roman" w:cs="Times New Roman"/>
                <w:color w:val="000000" w:themeColor="text1"/>
                <w:sz w:val="24"/>
                <w:szCs w:val="24"/>
              </w:rPr>
              <w:t>0.66</w:t>
            </w:r>
            <w:proofErr w:type="gramEnd"/>
            <w:r w:rsidRPr="003B13AB">
              <w:rPr>
                <w:rFonts w:ascii="Times New Roman" w:eastAsia="Times New Roman" w:hAnsi="Times New Roman" w:cs="Times New Roman"/>
                <w:color w:val="000000" w:themeColor="text1"/>
                <w:sz w:val="24"/>
                <w:szCs w:val="24"/>
              </w:rPr>
              <w:t xml:space="preserve"> indicated as </w:t>
            </w:r>
            <w:r w:rsidRPr="003B13AB">
              <w:rPr>
                <w:rFonts w:ascii="Times New Roman" w:hAnsi="Times New Roman" w:cs="Times New Roman"/>
                <w:color w:val="000000" w:themeColor="text1"/>
                <w:sz w:val="24"/>
                <w:szCs w:val="24"/>
              </w:rPr>
              <w:t xml:space="preserve">  </w:t>
            </w:r>
            <w:proofErr w:type="spellStart"/>
            <w:r w:rsidRPr="003B13AB">
              <w:rPr>
                <w:rFonts w:ascii="Times New Roman" w:eastAsia="Times New Roman" w:hAnsi="Times New Roman" w:cs="Times New Roman"/>
                <w:color w:val="000000" w:themeColor="text1"/>
                <w:sz w:val="24"/>
                <w:szCs w:val="24"/>
              </w:rPr>
              <w:t>mangiferin</w:t>
            </w:r>
            <w:proofErr w:type="spellEnd"/>
            <w:r w:rsidRPr="003B13AB">
              <w:rPr>
                <w:rFonts w:ascii="Times New Roman" w:eastAsia="Times New Roman" w:hAnsi="Times New Roman" w:cs="Times New Roman"/>
                <w:color w:val="000000" w:themeColor="text1"/>
                <w:sz w:val="24"/>
                <w:szCs w:val="24"/>
              </w:rPr>
              <w:t xml:space="preserve"> reported by </w:t>
            </w:r>
            <w:r w:rsidRPr="003B13AB">
              <w:rPr>
                <w:rFonts w:ascii="Times New Roman" w:hAnsi="Times New Roman" w:cs="Times New Roman"/>
                <w:color w:val="000000" w:themeColor="text1"/>
                <w:sz w:val="24"/>
                <w:szCs w:val="24"/>
              </w:rPr>
              <w:t xml:space="preserve"> </w:t>
            </w:r>
            <w:proofErr w:type="spellStart"/>
            <w:r w:rsidRPr="003B13AB">
              <w:rPr>
                <w:rFonts w:ascii="Times New Roman" w:eastAsia="Times New Roman" w:hAnsi="Times New Roman" w:cs="Times New Roman"/>
                <w:color w:val="000000" w:themeColor="text1"/>
                <w:sz w:val="24"/>
                <w:szCs w:val="24"/>
              </w:rPr>
              <w:t>Rasyid</w:t>
            </w:r>
            <w:proofErr w:type="spellEnd"/>
            <w:r w:rsidRPr="003B13AB">
              <w:rPr>
                <w:rFonts w:ascii="Times New Roman" w:eastAsia="Times New Roman" w:hAnsi="Times New Roman" w:cs="Times New Roman"/>
                <w:color w:val="000000" w:themeColor="text1"/>
                <w:sz w:val="24"/>
                <w:szCs w:val="24"/>
              </w:rPr>
              <w:t xml:space="preserve">  </w:t>
            </w:r>
            <w:r w:rsidRPr="003B13AB">
              <w:rPr>
                <w:rFonts w:ascii="Times New Roman" w:eastAsia="Times New Roman" w:hAnsi="Times New Roman" w:cs="Times New Roman"/>
                <w:i/>
                <w:color w:val="000000" w:themeColor="text1"/>
                <w:sz w:val="24"/>
                <w:szCs w:val="24"/>
              </w:rPr>
              <w:t>et al</w:t>
            </w:r>
            <w:r w:rsidRPr="003B13AB">
              <w:rPr>
                <w:rFonts w:ascii="Times New Roman" w:eastAsia="Times New Roman" w:hAnsi="Times New Roman" w:cs="Times New Roman"/>
                <w:color w:val="000000" w:themeColor="text1"/>
                <w:sz w:val="24"/>
                <w:szCs w:val="24"/>
              </w:rPr>
              <w:t>. (2020)</w:t>
            </w:r>
          </w:p>
        </w:tc>
      </w:tr>
      <w:tr w:rsidR="003B13AB" w:rsidRPr="003B13AB" w14:paraId="0C878AF6" w14:textId="77777777" w:rsidTr="003A730C">
        <w:trPr>
          <w:trHeight w:val="403"/>
        </w:trPr>
        <w:tc>
          <w:tcPr>
            <w:tcW w:w="2105" w:type="dxa"/>
          </w:tcPr>
          <w:p w14:paraId="019592CC" w14:textId="77777777" w:rsidR="005274F5" w:rsidRPr="003B13AB" w:rsidRDefault="005274F5" w:rsidP="003A730C">
            <w:pPr>
              <w:spacing w:after="0" w:line="240" w:lineRule="auto"/>
              <w:rPr>
                <w:rFonts w:ascii="Times New Roman" w:eastAsia="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Quercetin (Q)</w:t>
            </w:r>
          </w:p>
        </w:tc>
        <w:tc>
          <w:tcPr>
            <w:tcW w:w="1414" w:type="dxa"/>
          </w:tcPr>
          <w:p w14:paraId="622D526E" w14:textId="77777777" w:rsidR="005274F5" w:rsidRPr="003B13AB" w:rsidRDefault="005274F5" w:rsidP="003A730C">
            <w:pPr>
              <w:spacing w:after="0" w:line="240" w:lineRule="auto"/>
              <w:jc w:val="center"/>
              <w:rPr>
                <w:rFonts w:ascii="Times New Roman" w:eastAsia="Times New Roman" w:hAnsi="Times New Roman" w:cs="Times New Roman"/>
                <w:color w:val="000000" w:themeColor="text1"/>
                <w:sz w:val="24"/>
                <w:szCs w:val="24"/>
              </w:rPr>
            </w:pPr>
            <w:r w:rsidRPr="003B13AB">
              <w:rPr>
                <w:rFonts w:ascii="Times New Roman" w:eastAsia="Times New Roman" w:hAnsi="Times New Roman" w:cs="Times New Roman"/>
                <w:color w:val="000000" w:themeColor="text1"/>
                <w:sz w:val="24"/>
                <w:szCs w:val="24"/>
              </w:rPr>
              <w:t>5/6 = 0.83</w:t>
            </w:r>
          </w:p>
        </w:tc>
        <w:tc>
          <w:tcPr>
            <w:tcW w:w="2988" w:type="dxa"/>
          </w:tcPr>
          <w:p w14:paraId="7FC03A3F" w14:textId="77777777" w:rsidR="005274F5" w:rsidRPr="003B13AB" w:rsidRDefault="005274F5" w:rsidP="003A730C">
            <w:pPr>
              <w:spacing w:after="0" w:line="240" w:lineRule="auto"/>
              <w:rPr>
                <w:rFonts w:ascii="Times New Roman" w:eastAsia="Times New Roman" w:hAnsi="Times New Roman" w:cs="Times New Roman"/>
                <w:color w:val="000000" w:themeColor="text1"/>
                <w:sz w:val="24"/>
                <w:szCs w:val="24"/>
              </w:rPr>
            </w:pPr>
            <w:r w:rsidRPr="003B13AB">
              <w:rPr>
                <w:rFonts w:ascii="Times New Roman" w:eastAsia="Times New Roman" w:hAnsi="Times New Roman" w:cs="Times New Roman"/>
                <w:color w:val="000000" w:themeColor="text1"/>
                <w:sz w:val="24"/>
                <w:szCs w:val="24"/>
              </w:rPr>
              <w:t xml:space="preserve">Standard compound </w:t>
            </w:r>
          </w:p>
        </w:tc>
      </w:tr>
      <w:tr w:rsidR="003B13AB" w:rsidRPr="003B13AB" w14:paraId="2F0CEB39" w14:textId="77777777" w:rsidTr="003A730C">
        <w:trPr>
          <w:trHeight w:val="403"/>
        </w:trPr>
        <w:tc>
          <w:tcPr>
            <w:tcW w:w="2105" w:type="dxa"/>
          </w:tcPr>
          <w:p w14:paraId="46EAAD73" w14:textId="77777777" w:rsidR="005274F5" w:rsidRPr="003B13AB" w:rsidRDefault="005274F5" w:rsidP="003A730C">
            <w:pPr>
              <w:spacing w:after="0" w:line="240" w:lineRule="auto"/>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Gallic acid (G)</w:t>
            </w:r>
          </w:p>
        </w:tc>
        <w:tc>
          <w:tcPr>
            <w:tcW w:w="1414" w:type="dxa"/>
          </w:tcPr>
          <w:p w14:paraId="340CE374" w14:textId="77777777" w:rsidR="005274F5" w:rsidRPr="003B13AB" w:rsidRDefault="005274F5" w:rsidP="003A730C">
            <w:pPr>
              <w:spacing w:after="0" w:line="240" w:lineRule="auto"/>
              <w:jc w:val="center"/>
              <w:rPr>
                <w:rFonts w:ascii="Times New Roman" w:eastAsia="Times New Roman" w:hAnsi="Times New Roman" w:cs="Times New Roman"/>
                <w:color w:val="000000" w:themeColor="text1"/>
                <w:sz w:val="24"/>
                <w:szCs w:val="24"/>
              </w:rPr>
            </w:pPr>
            <w:r w:rsidRPr="003B13AB">
              <w:rPr>
                <w:rFonts w:ascii="Times New Roman" w:eastAsia="Times New Roman" w:hAnsi="Times New Roman" w:cs="Times New Roman"/>
                <w:color w:val="000000" w:themeColor="text1"/>
                <w:sz w:val="24"/>
                <w:szCs w:val="24"/>
              </w:rPr>
              <w:t>4.1/6 = 0.68</w:t>
            </w:r>
          </w:p>
        </w:tc>
        <w:tc>
          <w:tcPr>
            <w:tcW w:w="2988" w:type="dxa"/>
          </w:tcPr>
          <w:p w14:paraId="6D7EA856" w14:textId="77777777" w:rsidR="005274F5" w:rsidRPr="003B13AB" w:rsidRDefault="005274F5" w:rsidP="003A730C">
            <w:pPr>
              <w:spacing w:after="0" w:line="240" w:lineRule="auto"/>
              <w:rPr>
                <w:rFonts w:ascii="Times New Roman" w:eastAsia="Times New Roman" w:hAnsi="Times New Roman" w:cs="Times New Roman"/>
                <w:color w:val="000000" w:themeColor="text1"/>
                <w:sz w:val="24"/>
                <w:szCs w:val="24"/>
              </w:rPr>
            </w:pPr>
            <w:r w:rsidRPr="003B13AB">
              <w:rPr>
                <w:rFonts w:ascii="Times New Roman" w:eastAsia="Times New Roman" w:hAnsi="Times New Roman" w:cs="Times New Roman"/>
                <w:color w:val="000000" w:themeColor="text1"/>
                <w:sz w:val="24"/>
                <w:szCs w:val="24"/>
              </w:rPr>
              <w:t>Standard compound</w:t>
            </w:r>
          </w:p>
        </w:tc>
      </w:tr>
    </w:tbl>
    <w:p w14:paraId="1DA8A67A"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6A0755B5"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366FF438"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7FF8DEA8"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0982DCD4"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7C5E65FD"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C7B84DC"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39A4BFC4" w14:textId="0F6DCD64" w:rsidR="005274F5" w:rsidRPr="003B13AB" w:rsidRDefault="005274F5" w:rsidP="005274F5">
      <w:pPr>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 xml:space="preserve">UV Spectrum analysis </w:t>
      </w:r>
    </w:p>
    <w:p w14:paraId="005DA5DD" w14:textId="77777777" w:rsidR="005274F5" w:rsidRPr="003B13AB" w:rsidRDefault="005274F5" w:rsidP="005274F5">
      <w:pPr>
        <w:suppressAutoHyphens/>
        <w:spacing w:after="0" w:line="360" w:lineRule="auto"/>
        <w:jc w:val="both"/>
        <w:rPr>
          <w:rFonts w:ascii="Times New Roman" w:hAnsi="Times New Roman" w:cs="Times New Roman"/>
          <w:color w:val="000000" w:themeColor="text1"/>
          <w:sz w:val="24"/>
          <w:szCs w:val="24"/>
        </w:rPr>
      </w:pPr>
    </w:p>
    <w:p w14:paraId="23B0B2BA" w14:textId="7704A525" w:rsidR="005274F5" w:rsidRPr="003B13AB" w:rsidRDefault="005274F5" w:rsidP="005274F5">
      <w:pPr>
        <w:suppressAutoHyphens/>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The UV–Visible spectrum of the isolated compound is shown in Fig. 2. The analysis revealed characteristic absorption maxima (</w:t>
      </w:r>
      <w:proofErr w:type="spellStart"/>
      <w:r w:rsidRPr="003B13AB">
        <w:rPr>
          <w:rFonts w:ascii="Times New Roman" w:hAnsi="Times New Roman" w:cs="Times New Roman"/>
          <w:color w:val="000000" w:themeColor="text1"/>
          <w:sz w:val="24"/>
          <w:szCs w:val="24"/>
        </w:rPr>
        <w:t>λmax</w:t>
      </w:r>
      <w:proofErr w:type="spellEnd"/>
      <w:r w:rsidRPr="003B13AB">
        <w:rPr>
          <w:rFonts w:ascii="Times New Roman" w:hAnsi="Times New Roman" w:cs="Times New Roman"/>
          <w:color w:val="000000" w:themeColor="text1"/>
          <w:sz w:val="24"/>
          <w:szCs w:val="24"/>
        </w:rPr>
        <w:t xml:space="preserve">) at 265, 311, and 363 nm, which are typical of polyphenolic xanthone glycosides. These absorption bands are attributed to π–π* transitions of the aromatic ring system and n–π* transitions associated with conjugated carbonyl and phenolic functional groups. The observed </w:t>
      </w:r>
      <w:proofErr w:type="spellStart"/>
      <w:r w:rsidRPr="003B13AB">
        <w:rPr>
          <w:rFonts w:ascii="Times New Roman" w:hAnsi="Times New Roman" w:cs="Times New Roman"/>
          <w:color w:val="000000" w:themeColor="text1"/>
          <w:sz w:val="24"/>
          <w:szCs w:val="24"/>
        </w:rPr>
        <w:t>λmax</w:t>
      </w:r>
      <w:proofErr w:type="spellEnd"/>
      <w:r w:rsidRPr="003B13AB">
        <w:rPr>
          <w:rFonts w:ascii="Times New Roman" w:hAnsi="Times New Roman" w:cs="Times New Roman"/>
          <w:color w:val="000000" w:themeColor="text1"/>
          <w:sz w:val="24"/>
          <w:szCs w:val="24"/>
        </w:rPr>
        <w:t xml:space="preserve"> values are in close agreement with previously reported UV spectral data for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Yehia </w:t>
      </w:r>
      <w:r w:rsidRPr="00B65600">
        <w:rPr>
          <w:rFonts w:ascii="Times New Roman" w:hAnsi="Times New Roman" w:cs="Times New Roman"/>
          <w:i/>
          <w:iCs/>
          <w:color w:val="000000" w:themeColor="text1"/>
          <w:sz w:val="24"/>
          <w:szCs w:val="24"/>
        </w:rPr>
        <w:t>et al</w:t>
      </w:r>
      <w:r w:rsidRPr="003B13AB">
        <w:rPr>
          <w:rFonts w:ascii="Times New Roman" w:hAnsi="Times New Roman" w:cs="Times New Roman"/>
          <w:color w:val="000000" w:themeColor="text1"/>
          <w:sz w:val="24"/>
          <w:szCs w:val="24"/>
        </w:rPr>
        <w:t>.</w:t>
      </w:r>
      <w:r w:rsidR="00B65600">
        <w:rPr>
          <w:rFonts w:ascii="Times New Roman" w:hAnsi="Times New Roman" w:cs="Times New Roman"/>
          <w:color w:val="000000" w:themeColor="text1"/>
          <w:sz w:val="24"/>
          <w:szCs w:val="24"/>
        </w:rPr>
        <w:t>,</w:t>
      </w:r>
      <w:r w:rsidRPr="003B13AB">
        <w:rPr>
          <w:rFonts w:ascii="Times New Roman" w:hAnsi="Times New Roman" w:cs="Times New Roman"/>
          <w:color w:val="000000" w:themeColor="text1"/>
          <w:sz w:val="24"/>
          <w:szCs w:val="24"/>
        </w:rPr>
        <w:t xml:space="preserve"> (2023) reported absorption maxima at 263, 315, and 364 nm for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isolated from </w:t>
      </w:r>
      <w:proofErr w:type="spellStart"/>
      <w:r w:rsidRPr="003B13AB">
        <w:rPr>
          <w:rFonts w:ascii="Times New Roman" w:hAnsi="Times New Roman" w:cs="Times New Roman"/>
          <w:i/>
          <w:iCs/>
          <w:color w:val="000000" w:themeColor="text1"/>
          <w:sz w:val="24"/>
          <w:szCs w:val="24"/>
        </w:rPr>
        <w:t>Mangifera</w:t>
      </w:r>
      <w:proofErr w:type="spellEnd"/>
      <w:r w:rsidRPr="003B13AB">
        <w:rPr>
          <w:rFonts w:ascii="Times New Roman" w:hAnsi="Times New Roman" w:cs="Times New Roman"/>
          <w:i/>
          <w:iCs/>
          <w:color w:val="000000" w:themeColor="text1"/>
          <w:sz w:val="24"/>
          <w:szCs w:val="24"/>
        </w:rPr>
        <w:t xml:space="preserve"> indica </w:t>
      </w:r>
      <w:r w:rsidRPr="003B13AB">
        <w:rPr>
          <w:rFonts w:ascii="Times New Roman" w:hAnsi="Times New Roman" w:cs="Times New Roman"/>
          <w:color w:val="000000" w:themeColor="text1"/>
          <w:sz w:val="24"/>
          <w:szCs w:val="24"/>
        </w:rPr>
        <w:t xml:space="preserve">L., which closely correspond to the values obtained in the present study. The minor variations in absorption maxima may be attributed to differences in solvent polarity or experimental conditions. The strong correlation between the observed UV absorption peaks and reported literature values confirms the presence of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in the isolated compound and supports the successful purification of the target phytoconstituent.</w:t>
      </w:r>
    </w:p>
    <w:p w14:paraId="4CC56030" w14:textId="77777777" w:rsidR="005274F5" w:rsidRPr="003B13AB" w:rsidRDefault="005274F5" w:rsidP="005274F5">
      <w:pPr>
        <w:spacing w:after="0" w:line="360" w:lineRule="auto"/>
        <w:jc w:val="center"/>
        <w:rPr>
          <w:rFonts w:ascii="Times New Roman" w:hAnsi="Times New Roman" w:cs="Times New Roman"/>
          <w:b/>
          <w:color w:val="000000" w:themeColor="text1"/>
          <w:sz w:val="24"/>
          <w:szCs w:val="24"/>
        </w:rPr>
      </w:pPr>
      <w:r w:rsidRPr="003B13AB">
        <w:rPr>
          <w:rFonts w:ascii="Times New Roman" w:hAnsi="Times New Roman" w:cs="Times New Roman"/>
          <w:noProof/>
          <w:color w:val="000000" w:themeColor="text1"/>
          <w:sz w:val="24"/>
          <w:szCs w:val="24"/>
          <w:lang w:val="en-US"/>
        </w:rPr>
        <w:lastRenderedPageBreak/>
        <w:drawing>
          <wp:anchor distT="0" distB="0" distL="114300" distR="114300" simplePos="0" relativeHeight="251665408" behindDoc="1" locked="0" layoutInCell="1" allowOverlap="1" wp14:anchorId="227E34AA" wp14:editId="5EB7120E">
            <wp:simplePos x="0" y="0"/>
            <wp:positionH relativeFrom="margin">
              <wp:align>center</wp:align>
            </wp:positionH>
            <wp:positionV relativeFrom="paragraph">
              <wp:posOffset>141</wp:posOffset>
            </wp:positionV>
            <wp:extent cx="4502150" cy="2653665"/>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lum bright="-20000" contrast="40000"/>
                      <a:extLst>
                        <a:ext uri="{28A0092B-C50C-407E-A947-70E740481C1C}">
                          <a14:useLocalDpi xmlns:a14="http://schemas.microsoft.com/office/drawing/2010/main" val="0"/>
                        </a:ext>
                      </a:extLst>
                    </a:blip>
                    <a:srcRect l="1077" t="2168" r="1356" b="1313"/>
                    <a:stretch/>
                  </pic:blipFill>
                  <pic:spPr bwMode="auto">
                    <a:xfrm>
                      <a:off x="0" y="0"/>
                      <a:ext cx="4502150" cy="2653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07F8C3" w14:textId="77777777" w:rsidR="005274F5" w:rsidRPr="003B13AB" w:rsidRDefault="005274F5" w:rsidP="005274F5">
      <w:pPr>
        <w:spacing w:after="0" w:line="360" w:lineRule="auto"/>
        <w:jc w:val="center"/>
        <w:rPr>
          <w:rFonts w:ascii="Times New Roman" w:hAnsi="Times New Roman" w:cs="Times New Roman"/>
          <w:b/>
          <w:i/>
          <w:color w:val="000000" w:themeColor="text1"/>
          <w:sz w:val="24"/>
          <w:szCs w:val="24"/>
        </w:rPr>
      </w:pPr>
      <w:r w:rsidRPr="003B13AB">
        <w:rPr>
          <w:rFonts w:ascii="Times New Roman" w:hAnsi="Times New Roman" w:cs="Times New Roman"/>
          <w:b/>
          <w:color w:val="000000" w:themeColor="text1"/>
          <w:sz w:val="24"/>
          <w:szCs w:val="24"/>
        </w:rPr>
        <w:t>Fig. 2. UV Spectrum of isolated compound</w:t>
      </w:r>
    </w:p>
    <w:p w14:paraId="0BDF3D31" w14:textId="77777777" w:rsidR="005274F5" w:rsidRPr="003B13AB" w:rsidRDefault="005274F5" w:rsidP="005274F5">
      <w:pPr>
        <w:spacing w:after="0" w:line="360" w:lineRule="auto"/>
        <w:jc w:val="both"/>
        <w:rPr>
          <w:rFonts w:ascii="Times New Roman" w:hAnsi="Times New Roman" w:cs="Times New Roman"/>
          <w:b/>
          <w:i/>
          <w:color w:val="000000" w:themeColor="text1"/>
          <w:sz w:val="24"/>
          <w:szCs w:val="24"/>
        </w:rPr>
      </w:pPr>
    </w:p>
    <w:p w14:paraId="0E3B26F1" w14:textId="117EC82C" w:rsidR="005274F5" w:rsidRPr="003B13AB" w:rsidRDefault="005274F5" w:rsidP="005274F5">
      <w:pPr>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 xml:space="preserve">FTIR Spectrum analysis </w:t>
      </w:r>
    </w:p>
    <w:p w14:paraId="0E51B07D"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EEC6314" w14:textId="79439280" w:rsidR="005274F5" w:rsidRPr="003B13AB" w:rsidRDefault="005274F5" w:rsidP="005274F5">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3B13AB">
        <w:rPr>
          <w:rFonts w:ascii="Times New Roman" w:hAnsi="Times New Roman" w:cs="Times New Roman"/>
          <w:color w:val="000000" w:themeColor="text1"/>
          <w:sz w:val="24"/>
          <w:szCs w:val="24"/>
          <w:lang w:val="en-US"/>
        </w:rPr>
        <w:t xml:space="preserve">The FTIR spectrum of the isolated polyphenolic compound is presented in </w:t>
      </w:r>
      <w:r w:rsidRPr="003B13AB">
        <w:rPr>
          <w:rFonts w:ascii="Times New Roman" w:hAnsi="Times New Roman" w:cs="Times New Roman"/>
          <w:bCs/>
          <w:color w:val="000000" w:themeColor="text1"/>
          <w:sz w:val="24"/>
          <w:szCs w:val="24"/>
          <w:lang w:val="en-US"/>
        </w:rPr>
        <w:t>Fig. 3</w:t>
      </w:r>
      <w:r w:rsidRPr="003B13AB">
        <w:rPr>
          <w:rFonts w:ascii="Times New Roman" w:hAnsi="Times New Roman" w:cs="Times New Roman"/>
          <w:color w:val="000000" w:themeColor="text1"/>
          <w:sz w:val="24"/>
          <w:szCs w:val="24"/>
          <w:lang w:val="en-US"/>
        </w:rPr>
        <w:t xml:space="preserve">, and the corresponding functional group are summarized in </w:t>
      </w:r>
      <w:r w:rsidRPr="003B13AB">
        <w:rPr>
          <w:rFonts w:ascii="Times New Roman" w:hAnsi="Times New Roman" w:cs="Times New Roman"/>
          <w:bCs/>
          <w:color w:val="000000" w:themeColor="text1"/>
          <w:sz w:val="24"/>
          <w:szCs w:val="24"/>
          <w:lang w:val="en-US"/>
        </w:rPr>
        <w:t xml:space="preserve">Table </w:t>
      </w:r>
      <w:r w:rsidR="00B65600">
        <w:rPr>
          <w:rFonts w:ascii="Times New Roman" w:hAnsi="Times New Roman" w:cs="Times New Roman"/>
          <w:bCs/>
          <w:color w:val="000000" w:themeColor="text1"/>
          <w:sz w:val="24"/>
          <w:szCs w:val="24"/>
          <w:lang w:val="en-US"/>
        </w:rPr>
        <w:t>2</w:t>
      </w:r>
      <w:r w:rsidRPr="003B13AB">
        <w:rPr>
          <w:rFonts w:ascii="Times New Roman" w:hAnsi="Times New Roman" w:cs="Times New Roman"/>
          <w:color w:val="000000" w:themeColor="text1"/>
          <w:sz w:val="24"/>
          <w:szCs w:val="24"/>
          <w:lang w:val="en-US"/>
        </w:rPr>
        <w:t xml:space="preserve">. The spectrum exhibited a </w:t>
      </w:r>
      <w:r w:rsidRPr="003B13AB">
        <w:rPr>
          <w:rFonts w:ascii="Times New Roman" w:hAnsi="Times New Roman" w:cs="Times New Roman"/>
          <w:bCs/>
          <w:color w:val="000000" w:themeColor="text1"/>
          <w:sz w:val="24"/>
          <w:szCs w:val="24"/>
          <w:lang w:val="en-US"/>
        </w:rPr>
        <w:t>broad absorption band at 3436 cm⁻¹</w:t>
      </w:r>
      <w:r w:rsidRPr="003B13AB">
        <w:rPr>
          <w:rFonts w:ascii="Times New Roman" w:hAnsi="Times New Roman" w:cs="Times New Roman"/>
          <w:color w:val="000000" w:themeColor="text1"/>
          <w:sz w:val="24"/>
          <w:szCs w:val="24"/>
          <w:lang w:val="en-US"/>
        </w:rPr>
        <w:t xml:space="preserve">, which is characteristic of </w:t>
      </w:r>
      <w:r w:rsidRPr="003B13AB">
        <w:rPr>
          <w:rFonts w:ascii="Times New Roman" w:hAnsi="Times New Roman" w:cs="Times New Roman"/>
          <w:bCs/>
          <w:color w:val="000000" w:themeColor="text1"/>
          <w:sz w:val="24"/>
          <w:szCs w:val="24"/>
          <w:lang w:val="en-US"/>
        </w:rPr>
        <w:t>O–H stretching vibrations</w:t>
      </w:r>
      <w:r w:rsidRPr="003B13AB">
        <w:rPr>
          <w:rFonts w:ascii="Times New Roman" w:hAnsi="Times New Roman" w:cs="Times New Roman"/>
          <w:color w:val="000000" w:themeColor="text1"/>
          <w:sz w:val="24"/>
          <w:szCs w:val="24"/>
          <w:lang w:val="en-US"/>
        </w:rPr>
        <w:t xml:space="preserve"> of phenolic hydroxyl groups, indicating the presence of hydrogen-bonded hydroxyl functionalities typical of polyphenolic compounds. A strong absorption peak observed at </w:t>
      </w:r>
      <w:r w:rsidRPr="003B13AB">
        <w:rPr>
          <w:rFonts w:ascii="Times New Roman" w:hAnsi="Times New Roman" w:cs="Times New Roman"/>
          <w:bCs/>
          <w:color w:val="000000" w:themeColor="text1"/>
          <w:sz w:val="24"/>
          <w:szCs w:val="24"/>
          <w:lang w:val="en-US"/>
        </w:rPr>
        <w:t>1634 cm⁻¹</w:t>
      </w:r>
      <w:r w:rsidRPr="003B13AB">
        <w:rPr>
          <w:rFonts w:ascii="Times New Roman" w:hAnsi="Times New Roman" w:cs="Times New Roman"/>
          <w:color w:val="000000" w:themeColor="text1"/>
          <w:sz w:val="24"/>
          <w:szCs w:val="24"/>
          <w:lang w:val="en-US"/>
        </w:rPr>
        <w:t xml:space="preserve"> corresponds to the </w:t>
      </w:r>
      <w:r w:rsidRPr="003B13AB">
        <w:rPr>
          <w:rFonts w:ascii="Times New Roman" w:hAnsi="Times New Roman" w:cs="Times New Roman"/>
          <w:bCs/>
          <w:color w:val="000000" w:themeColor="text1"/>
          <w:sz w:val="24"/>
          <w:szCs w:val="24"/>
          <w:lang w:val="en-US"/>
        </w:rPr>
        <w:t>C=O stretching vibration</w:t>
      </w:r>
      <w:r w:rsidRPr="003B13AB">
        <w:rPr>
          <w:rFonts w:ascii="Times New Roman" w:hAnsi="Times New Roman" w:cs="Times New Roman"/>
          <w:color w:val="000000" w:themeColor="text1"/>
          <w:sz w:val="24"/>
          <w:szCs w:val="24"/>
          <w:lang w:val="en-US"/>
        </w:rPr>
        <w:t xml:space="preserve">, confirming the presence of a keto group within the xanthone nucleus. Additionally, the prominent peak at </w:t>
      </w:r>
      <w:r w:rsidRPr="003B13AB">
        <w:rPr>
          <w:rFonts w:ascii="Times New Roman" w:hAnsi="Times New Roman" w:cs="Times New Roman"/>
          <w:bCs/>
          <w:color w:val="000000" w:themeColor="text1"/>
          <w:sz w:val="24"/>
          <w:szCs w:val="24"/>
          <w:lang w:val="en-US"/>
        </w:rPr>
        <w:t>1117 cm⁻¹</w:t>
      </w:r>
      <w:r w:rsidRPr="003B13AB">
        <w:rPr>
          <w:rFonts w:ascii="Times New Roman" w:hAnsi="Times New Roman" w:cs="Times New Roman"/>
          <w:color w:val="000000" w:themeColor="text1"/>
          <w:sz w:val="24"/>
          <w:szCs w:val="24"/>
          <w:lang w:val="en-US"/>
        </w:rPr>
        <w:t xml:space="preserve"> is attributed to </w:t>
      </w:r>
      <w:r w:rsidRPr="003B13AB">
        <w:rPr>
          <w:rFonts w:ascii="Times New Roman" w:hAnsi="Times New Roman" w:cs="Times New Roman"/>
          <w:bCs/>
          <w:color w:val="000000" w:themeColor="text1"/>
          <w:sz w:val="24"/>
          <w:szCs w:val="24"/>
          <w:lang w:val="en-US"/>
        </w:rPr>
        <w:t>C–O/C–C stretching vibrations</w:t>
      </w:r>
      <w:r w:rsidRPr="003B13AB">
        <w:rPr>
          <w:rFonts w:ascii="Times New Roman" w:hAnsi="Times New Roman" w:cs="Times New Roman"/>
          <w:color w:val="000000" w:themeColor="text1"/>
          <w:sz w:val="24"/>
          <w:szCs w:val="24"/>
          <w:lang w:val="en-US"/>
        </w:rPr>
        <w:t xml:space="preserve"> associated with aromatic ring systems and glycosidic linkages, further supporting the polyphenolic nature of the isolated compound. These findings are in close agreed with earlier reports by Biswas </w:t>
      </w:r>
      <w:r w:rsidRPr="00754AB3">
        <w:rPr>
          <w:rFonts w:ascii="Times New Roman" w:hAnsi="Times New Roman" w:cs="Times New Roman"/>
          <w:i/>
          <w:iCs/>
          <w:color w:val="000000" w:themeColor="text1"/>
          <w:sz w:val="24"/>
          <w:szCs w:val="24"/>
          <w:lang w:val="en-US"/>
        </w:rPr>
        <w:t>et al</w:t>
      </w:r>
      <w:r w:rsidRPr="003B13AB">
        <w:rPr>
          <w:rFonts w:ascii="Times New Roman" w:hAnsi="Times New Roman" w:cs="Times New Roman"/>
          <w:color w:val="000000" w:themeColor="text1"/>
          <w:sz w:val="24"/>
          <w:szCs w:val="24"/>
          <w:lang w:val="en-US"/>
        </w:rPr>
        <w:t>.</w:t>
      </w:r>
      <w:r w:rsidR="00754AB3">
        <w:rPr>
          <w:rFonts w:ascii="Times New Roman" w:hAnsi="Times New Roman" w:cs="Times New Roman"/>
          <w:color w:val="000000" w:themeColor="text1"/>
          <w:sz w:val="24"/>
          <w:szCs w:val="24"/>
          <w:lang w:val="en-US"/>
        </w:rPr>
        <w:t>,</w:t>
      </w:r>
      <w:r w:rsidRPr="003B13AB">
        <w:rPr>
          <w:rFonts w:ascii="Times New Roman" w:hAnsi="Times New Roman" w:cs="Times New Roman"/>
          <w:color w:val="000000" w:themeColor="text1"/>
          <w:sz w:val="24"/>
          <w:szCs w:val="24"/>
          <w:lang w:val="en-US"/>
        </w:rPr>
        <w:t xml:space="preserve"> (2015), identified characteristic FTIR peaks for </w:t>
      </w:r>
      <w:proofErr w:type="spellStart"/>
      <w:r w:rsidRPr="003B13AB">
        <w:rPr>
          <w:rFonts w:ascii="Times New Roman" w:hAnsi="Times New Roman" w:cs="Times New Roman"/>
          <w:color w:val="000000" w:themeColor="text1"/>
          <w:sz w:val="24"/>
          <w:szCs w:val="24"/>
          <w:lang w:val="en-US"/>
        </w:rPr>
        <w:t>Mangiferin</w:t>
      </w:r>
      <w:proofErr w:type="spellEnd"/>
      <w:r w:rsidRPr="003B13AB">
        <w:rPr>
          <w:rFonts w:ascii="Times New Roman" w:hAnsi="Times New Roman" w:cs="Times New Roman"/>
          <w:color w:val="000000" w:themeColor="text1"/>
          <w:sz w:val="24"/>
          <w:szCs w:val="24"/>
          <w:lang w:val="en-US"/>
        </w:rPr>
        <w:t xml:space="preserve"> at </w:t>
      </w:r>
      <w:r w:rsidRPr="003B13AB">
        <w:rPr>
          <w:rFonts w:ascii="Times New Roman" w:hAnsi="Times New Roman" w:cs="Times New Roman"/>
          <w:bCs/>
          <w:color w:val="000000" w:themeColor="text1"/>
          <w:sz w:val="24"/>
          <w:szCs w:val="24"/>
          <w:lang w:val="en-US"/>
        </w:rPr>
        <w:t>3367 cm⁻¹ (O–H stretching)</w:t>
      </w:r>
      <w:r w:rsidRPr="003B13AB">
        <w:rPr>
          <w:rFonts w:ascii="Times New Roman" w:hAnsi="Times New Roman" w:cs="Times New Roman"/>
          <w:color w:val="000000" w:themeColor="text1"/>
          <w:sz w:val="24"/>
          <w:szCs w:val="24"/>
          <w:lang w:val="en-US"/>
        </w:rPr>
        <w:t xml:space="preserve">, </w:t>
      </w:r>
      <w:r w:rsidRPr="003B13AB">
        <w:rPr>
          <w:rFonts w:ascii="Times New Roman" w:hAnsi="Times New Roman" w:cs="Times New Roman"/>
          <w:bCs/>
          <w:color w:val="000000" w:themeColor="text1"/>
          <w:sz w:val="24"/>
          <w:szCs w:val="24"/>
          <w:lang w:val="en-US"/>
        </w:rPr>
        <w:t>1670 cm⁻¹ (C=O stretching)</w:t>
      </w:r>
      <w:r w:rsidRPr="003B13AB">
        <w:rPr>
          <w:rFonts w:ascii="Times New Roman" w:hAnsi="Times New Roman" w:cs="Times New Roman"/>
          <w:color w:val="000000" w:themeColor="text1"/>
          <w:sz w:val="24"/>
          <w:szCs w:val="24"/>
          <w:lang w:val="en-US"/>
        </w:rPr>
        <w:t xml:space="preserve">, and </w:t>
      </w:r>
      <w:r w:rsidRPr="003B13AB">
        <w:rPr>
          <w:rFonts w:ascii="Times New Roman" w:hAnsi="Times New Roman" w:cs="Times New Roman"/>
          <w:bCs/>
          <w:color w:val="000000" w:themeColor="text1"/>
          <w:sz w:val="24"/>
          <w:szCs w:val="24"/>
          <w:lang w:val="en-US"/>
        </w:rPr>
        <w:t>1624.26 cm⁻¹ (C=C stretching)</w:t>
      </w:r>
      <w:r w:rsidRPr="003B13AB">
        <w:rPr>
          <w:rFonts w:ascii="Times New Roman" w:hAnsi="Times New Roman" w:cs="Times New Roman"/>
          <w:color w:val="000000" w:themeColor="text1"/>
          <w:sz w:val="24"/>
          <w:szCs w:val="24"/>
          <w:lang w:val="en-US"/>
        </w:rPr>
        <w:t xml:space="preserve">. The slight shifts in peak positions may be attributed to differences in sample preparation, hydrogen bonding interactions, or instrumental conditions. The presence of phenolic hydroxyl groups, aromatic rings, and carbonyl functionalities confirmed by FTIR analysis strongly supports the successful isolation of </w:t>
      </w:r>
      <w:proofErr w:type="spellStart"/>
      <w:r w:rsidRPr="003B13AB">
        <w:rPr>
          <w:rFonts w:ascii="Times New Roman" w:hAnsi="Times New Roman" w:cs="Times New Roman"/>
          <w:bCs/>
          <w:color w:val="000000" w:themeColor="text1"/>
          <w:sz w:val="24"/>
          <w:szCs w:val="24"/>
          <w:lang w:val="en-US"/>
        </w:rPr>
        <w:t>Mangiferin</w:t>
      </w:r>
      <w:proofErr w:type="spellEnd"/>
      <w:r w:rsidRPr="003B13AB">
        <w:rPr>
          <w:rFonts w:ascii="Times New Roman" w:hAnsi="Times New Roman" w:cs="Times New Roman"/>
          <w:color w:val="000000" w:themeColor="text1"/>
          <w:sz w:val="24"/>
          <w:szCs w:val="24"/>
          <w:lang w:val="en-US"/>
        </w:rPr>
        <w:t xml:space="preserve"> and validates its characteristic </w:t>
      </w:r>
      <w:r w:rsidRPr="003B13AB">
        <w:rPr>
          <w:rFonts w:ascii="Times New Roman" w:hAnsi="Times New Roman" w:cs="Times New Roman"/>
          <w:bCs/>
          <w:color w:val="000000" w:themeColor="text1"/>
          <w:sz w:val="24"/>
          <w:szCs w:val="24"/>
          <w:lang w:val="en-US"/>
        </w:rPr>
        <w:t>aromatic and polyphenolic structure</w:t>
      </w:r>
      <w:r w:rsidRPr="003B13AB">
        <w:rPr>
          <w:rFonts w:ascii="Times New Roman" w:hAnsi="Times New Roman" w:cs="Times New Roman"/>
          <w:color w:val="000000" w:themeColor="text1"/>
          <w:sz w:val="24"/>
          <w:szCs w:val="24"/>
          <w:lang w:val="en-US"/>
        </w:rPr>
        <w:t>.</w:t>
      </w:r>
    </w:p>
    <w:p w14:paraId="7DA1F4E4"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noProof/>
          <w:color w:val="000000" w:themeColor="text1"/>
          <w:sz w:val="24"/>
          <w:szCs w:val="24"/>
          <w:lang w:val="en-US"/>
        </w:rPr>
        <w:lastRenderedPageBreak/>
        <w:drawing>
          <wp:anchor distT="0" distB="0" distL="114300" distR="114300" simplePos="0" relativeHeight="251666432" behindDoc="1" locked="0" layoutInCell="1" allowOverlap="1" wp14:anchorId="303C9B0C" wp14:editId="2014EDC8">
            <wp:simplePos x="0" y="0"/>
            <wp:positionH relativeFrom="column">
              <wp:posOffset>-209550</wp:posOffset>
            </wp:positionH>
            <wp:positionV relativeFrom="paragraph">
              <wp:posOffset>252095</wp:posOffset>
            </wp:positionV>
            <wp:extent cx="6318250" cy="2358390"/>
            <wp:effectExtent l="0" t="0" r="0" b="381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8250" cy="2358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3CCE22" w14:textId="77777777" w:rsidR="005274F5" w:rsidRPr="003B13AB" w:rsidRDefault="005274F5" w:rsidP="005274F5">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3CBCB935" w14:textId="77777777" w:rsidR="005274F5" w:rsidRPr="003B13AB" w:rsidRDefault="005274F5" w:rsidP="005274F5">
      <w:pPr>
        <w:spacing w:after="0" w:line="360" w:lineRule="auto"/>
        <w:jc w:val="center"/>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Fig. 3. FTIR Spectrum of isolated compound</w:t>
      </w:r>
    </w:p>
    <w:p w14:paraId="2F19EB57" w14:textId="77777777" w:rsidR="005274F5" w:rsidRPr="003B13AB" w:rsidRDefault="005274F5" w:rsidP="005274F5">
      <w:pPr>
        <w:spacing w:after="0" w:line="360" w:lineRule="auto"/>
        <w:jc w:val="both"/>
        <w:rPr>
          <w:rFonts w:ascii="Times New Roman" w:hAnsi="Times New Roman" w:cs="Times New Roman"/>
          <w:b/>
          <w:color w:val="000000" w:themeColor="text1"/>
          <w:sz w:val="24"/>
          <w:szCs w:val="24"/>
        </w:rPr>
      </w:pPr>
    </w:p>
    <w:p w14:paraId="10662E38" w14:textId="77777777" w:rsidR="005274F5" w:rsidRPr="003B13AB" w:rsidRDefault="005274F5" w:rsidP="005274F5">
      <w:pPr>
        <w:suppressAutoHyphens/>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bCs/>
          <w:color w:val="000000" w:themeColor="text1"/>
          <w:sz w:val="24"/>
          <w:szCs w:val="24"/>
          <w:lang w:eastAsia="ar-SA"/>
        </w:rPr>
        <w:t xml:space="preserve">Table. 2 FT-IR Peak Values and Functional Groups identified in the </w:t>
      </w:r>
      <w:r w:rsidRPr="003B13AB">
        <w:rPr>
          <w:rFonts w:ascii="Times New Roman" w:hAnsi="Times New Roman" w:cs="Times New Roman"/>
          <w:b/>
          <w:color w:val="000000" w:themeColor="text1"/>
          <w:sz w:val="24"/>
          <w:szCs w:val="24"/>
        </w:rPr>
        <w:t>isolated compound</w:t>
      </w:r>
    </w:p>
    <w:p w14:paraId="3B07C401" w14:textId="77777777" w:rsidR="005274F5" w:rsidRPr="003B13AB" w:rsidRDefault="005274F5" w:rsidP="005274F5">
      <w:pPr>
        <w:suppressAutoHyphens/>
        <w:spacing w:after="0" w:line="360" w:lineRule="auto"/>
        <w:jc w:val="both"/>
        <w:rPr>
          <w:rFonts w:ascii="Times New Roman" w:eastAsia="Arial" w:hAnsi="Times New Roman" w:cs="Times New Roman"/>
          <w:b/>
          <w:color w:val="000000" w:themeColor="text1"/>
          <w:sz w:val="24"/>
          <w:szCs w:val="24"/>
          <w:lang w:eastAsia="ar-SA"/>
        </w:rPr>
      </w:pPr>
    </w:p>
    <w:tbl>
      <w:tblPr>
        <w:tblW w:w="0" w:type="auto"/>
        <w:jc w:val="center"/>
        <w:tblLayout w:type="fixed"/>
        <w:tblCellMar>
          <w:left w:w="0" w:type="dxa"/>
          <w:right w:w="0" w:type="dxa"/>
        </w:tblCellMar>
        <w:tblLook w:val="0000" w:firstRow="0" w:lastRow="0" w:firstColumn="0" w:lastColumn="0" w:noHBand="0" w:noVBand="0"/>
      </w:tblPr>
      <w:tblGrid>
        <w:gridCol w:w="787"/>
        <w:gridCol w:w="1258"/>
        <w:gridCol w:w="2413"/>
        <w:gridCol w:w="1800"/>
      </w:tblGrid>
      <w:tr w:rsidR="00EB55A7" w:rsidRPr="003B13AB" w14:paraId="69237BAC" w14:textId="77777777" w:rsidTr="003A730C">
        <w:trPr>
          <w:trHeight w:val="598"/>
          <w:jc w:val="center"/>
        </w:trPr>
        <w:tc>
          <w:tcPr>
            <w:tcW w:w="787" w:type="dxa"/>
            <w:tcBorders>
              <w:top w:val="single" w:sz="8" w:space="0" w:color="000000"/>
              <w:left w:val="single" w:sz="8" w:space="0" w:color="000000"/>
              <w:bottom w:val="single" w:sz="8" w:space="0" w:color="000000"/>
            </w:tcBorders>
          </w:tcPr>
          <w:p w14:paraId="33F733E7" w14:textId="77777777" w:rsidR="005274F5" w:rsidRPr="003B13AB" w:rsidRDefault="005274F5" w:rsidP="003A730C">
            <w:pPr>
              <w:suppressAutoHyphens/>
              <w:spacing w:after="0" w:line="360" w:lineRule="auto"/>
              <w:jc w:val="center"/>
              <w:rPr>
                <w:rFonts w:ascii="Times New Roman" w:eastAsia="Arial" w:hAnsi="Times New Roman" w:cs="Times New Roman"/>
                <w:b/>
                <w:color w:val="000000" w:themeColor="text1"/>
                <w:sz w:val="24"/>
                <w:szCs w:val="24"/>
                <w:lang w:eastAsia="ar-SA"/>
              </w:rPr>
            </w:pPr>
            <w:r w:rsidRPr="003B13AB">
              <w:rPr>
                <w:rFonts w:ascii="Times New Roman" w:eastAsia="Arial" w:hAnsi="Times New Roman" w:cs="Times New Roman"/>
                <w:b/>
                <w:color w:val="000000" w:themeColor="text1"/>
                <w:sz w:val="24"/>
                <w:szCs w:val="24"/>
                <w:lang w:eastAsia="ar-SA"/>
              </w:rPr>
              <w:t>S. No.</w:t>
            </w:r>
          </w:p>
        </w:tc>
        <w:tc>
          <w:tcPr>
            <w:tcW w:w="1258" w:type="dxa"/>
            <w:tcBorders>
              <w:top w:val="single" w:sz="8" w:space="0" w:color="000000"/>
              <w:left w:val="single" w:sz="8" w:space="0" w:color="000000"/>
              <w:bottom w:val="single" w:sz="8" w:space="0" w:color="000000"/>
            </w:tcBorders>
          </w:tcPr>
          <w:p w14:paraId="2D8F0115" w14:textId="77777777" w:rsidR="005274F5" w:rsidRPr="003B13AB" w:rsidRDefault="005274F5" w:rsidP="003A730C">
            <w:pPr>
              <w:suppressAutoHyphens/>
              <w:spacing w:after="0" w:line="360" w:lineRule="auto"/>
              <w:jc w:val="center"/>
              <w:rPr>
                <w:rFonts w:ascii="Times New Roman" w:eastAsia="Arial" w:hAnsi="Times New Roman" w:cs="Times New Roman"/>
                <w:b/>
                <w:color w:val="000000" w:themeColor="text1"/>
                <w:sz w:val="24"/>
                <w:szCs w:val="24"/>
                <w:lang w:eastAsia="ar-SA"/>
              </w:rPr>
            </w:pPr>
            <w:r w:rsidRPr="003B13AB">
              <w:rPr>
                <w:rFonts w:ascii="Times New Roman" w:eastAsia="Arial" w:hAnsi="Times New Roman" w:cs="Times New Roman"/>
                <w:b/>
                <w:color w:val="000000" w:themeColor="text1"/>
                <w:sz w:val="24"/>
                <w:szCs w:val="24"/>
                <w:lang w:eastAsia="ar-SA"/>
              </w:rPr>
              <w:t>Peak Values</w:t>
            </w:r>
          </w:p>
        </w:tc>
        <w:tc>
          <w:tcPr>
            <w:tcW w:w="2413" w:type="dxa"/>
            <w:tcBorders>
              <w:top w:val="single" w:sz="8" w:space="0" w:color="000000"/>
              <w:left w:val="single" w:sz="8" w:space="0" w:color="000000"/>
              <w:bottom w:val="single" w:sz="8" w:space="0" w:color="000000"/>
            </w:tcBorders>
          </w:tcPr>
          <w:p w14:paraId="62294623" w14:textId="77777777" w:rsidR="005274F5" w:rsidRPr="003B13AB" w:rsidRDefault="005274F5" w:rsidP="003A730C">
            <w:pPr>
              <w:suppressAutoHyphens/>
              <w:spacing w:after="0" w:line="360" w:lineRule="auto"/>
              <w:jc w:val="center"/>
              <w:rPr>
                <w:rFonts w:ascii="Times New Roman" w:eastAsia="Arial" w:hAnsi="Times New Roman" w:cs="Times New Roman"/>
                <w:b/>
                <w:color w:val="000000" w:themeColor="text1"/>
                <w:sz w:val="24"/>
                <w:szCs w:val="24"/>
                <w:lang w:eastAsia="ar-SA"/>
              </w:rPr>
            </w:pPr>
            <w:r w:rsidRPr="003B13AB">
              <w:rPr>
                <w:rFonts w:ascii="Times New Roman" w:eastAsia="Arial" w:hAnsi="Times New Roman" w:cs="Times New Roman"/>
                <w:b/>
                <w:color w:val="000000" w:themeColor="text1"/>
                <w:sz w:val="24"/>
                <w:szCs w:val="24"/>
                <w:lang w:eastAsia="ar-SA"/>
              </w:rPr>
              <w:t>Bonds</w:t>
            </w:r>
          </w:p>
        </w:tc>
        <w:tc>
          <w:tcPr>
            <w:tcW w:w="1800" w:type="dxa"/>
            <w:tcBorders>
              <w:top w:val="single" w:sz="8" w:space="0" w:color="000000"/>
              <w:left w:val="single" w:sz="8" w:space="0" w:color="000000"/>
              <w:bottom w:val="single" w:sz="8" w:space="0" w:color="000000"/>
              <w:right w:val="single" w:sz="8" w:space="0" w:color="000000"/>
            </w:tcBorders>
          </w:tcPr>
          <w:p w14:paraId="64749FCE"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eastAsia="Arial" w:hAnsi="Times New Roman" w:cs="Times New Roman"/>
                <w:b/>
                <w:color w:val="000000" w:themeColor="text1"/>
                <w:sz w:val="24"/>
                <w:szCs w:val="24"/>
                <w:lang w:eastAsia="ar-SA"/>
              </w:rPr>
              <w:t>Functional groups</w:t>
            </w:r>
          </w:p>
        </w:tc>
      </w:tr>
      <w:tr w:rsidR="00EB55A7" w:rsidRPr="003B13AB" w14:paraId="3E9E802A" w14:textId="77777777" w:rsidTr="003A730C">
        <w:trPr>
          <w:trHeight w:val="181"/>
          <w:jc w:val="center"/>
        </w:trPr>
        <w:tc>
          <w:tcPr>
            <w:tcW w:w="787" w:type="dxa"/>
            <w:tcBorders>
              <w:top w:val="single" w:sz="8" w:space="0" w:color="000000"/>
              <w:left w:val="single" w:sz="8" w:space="0" w:color="000000"/>
              <w:bottom w:val="single" w:sz="8" w:space="0" w:color="000000"/>
            </w:tcBorders>
          </w:tcPr>
          <w:p w14:paraId="114C6D86"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eastAsia="Arial" w:hAnsi="Times New Roman" w:cs="Times New Roman"/>
                <w:color w:val="000000" w:themeColor="text1"/>
                <w:sz w:val="24"/>
                <w:szCs w:val="24"/>
                <w:lang w:eastAsia="ar-SA"/>
              </w:rPr>
              <w:t>1</w:t>
            </w:r>
          </w:p>
        </w:tc>
        <w:tc>
          <w:tcPr>
            <w:tcW w:w="1258" w:type="dxa"/>
            <w:tcBorders>
              <w:top w:val="single" w:sz="8" w:space="0" w:color="000000"/>
              <w:left w:val="single" w:sz="8" w:space="0" w:color="000000"/>
              <w:bottom w:val="single" w:sz="8" w:space="0" w:color="000000"/>
            </w:tcBorders>
          </w:tcPr>
          <w:p w14:paraId="3C1260B5"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rPr>
              <w:t>3436</w:t>
            </w:r>
          </w:p>
        </w:tc>
        <w:tc>
          <w:tcPr>
            <w:tcW w:w="2413" w:type="dxa"/>
            <w:tcBorders>
              <w:top w:val="single" w:sz="8" w:space="0" w:color="000000"/>
              <w:left w:val="single" w:sz="8" w:space="0" w:color="000000"/>
              <w:bottom w:val="single" w:sz="8" w:space="0" w:color="000000"/>
            </w:tcBorders>
          </w:tcPr>
          <w:p w14:paraId="2814CDFB"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O–H stretch, H–bonded</w:t>
            </w:r>
          </w:p>
        </w:tc>
        <w:tc>
          <w:tcPr>
            <w:tcW w:w="1800" w:type="dxa"/>
            <w:tcBorders>
              <w:top w:val="single" w:sz="8" w:space="0" w:color="000000"/>
              <w:left w:val="single" w:sz="8" w:space="0" w:color="000000"/>
              <w:bottom w:val="single" w:sz="8" w:space="0" w:color="000000"/>
              <w:right w:val="single" w:sz="8" w:space="0" w:color="000000"/>
            </w:tcBorders>
          </w:tcPr>
          <w:p w14:paraId="412EE1F0"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Alcohols, Phenols</w:t>
            </w:r>
          </w:p>
        </w:tc>
      </w:tr>
      <w:tr w:rsidR="00EB55A7" w:rsidRPr="003B13AB" w14:paraId="44511BBD" w14:textId="77777777" w:rsidTr="003A730C">
        <w:trPr>
          <w:trHeight w:val="199"/>
          <w:jc w:val="center"/>
        </w:trPr>
        <w:tc>
          <w:tcPr>
            <w:tcW w:w="787" w:type="dxa"/>
            <w:tcBorders>
              <w:top w:val="single" w:sz="8" w:space="0" w:color="000000"/>
              <w:left w:val="single" w:sz="8" w:space="0" w:color="000000"/>
              <w:bottom w:val="single" w:sz="8" w:space="0" w:color="000000"/>
            </w:tcBorders>
          </w:tcPr>
          <w:p w14:paraId="61A7AC23"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eastAsia="Arial" w:hAnsi="Times New Roman" w:cs="Times New Roman"/>
                <w:color w:val="000000" w:themeColor="text1"/>
                <w:sz w:val="24"/>
                <w:szCs w:val="24"/>
                <w:lang w:eastAsia="ar-SA"/>
              </w:rPr>
              <w:t>2</w:t>
            </w:r>
          </w:p>
        </w:tc>
        <w:tc>
          <w:tcPr>
            <w:tcW w:w="1258" w:type="dxa"/>
            <w:tcBorders>
              <w:top w:val="single" w:sz="8" w:space="0" w:color="000000"/>
              <w:left w:val="single" w:sz="8" w:space="0" w:color="000000"/>
              <w:bottom w:val="single" w:sz="8" w:space="0" w:color="000000"/>
            </w:tcBorders>
          </w:tcPr>
          <w:p w14:paraId="7883B598"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2028</w:t>
            </w:r>
          </w:p>
        </w:tc>
        <w:tc>
          <w:tcPr>
            <w:tcW w:w="2413" w:type="dxa"/>
            <w:tcBorders>
              <w:top w:val="single" w:sz="8" w:space="0" w:color="000000"/>
              <w:left w:val="single" w:sz="8" w:space="0" w:color="000000"/>
              <w:bottom w:val="single" w:sz="8" w:space="0" w:color="000000"/>
            </w:tcBorders>
          </w:tcPr>
          <w:p w14:paraId="6FDA8439"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eastAsia="Times New Roman" w:hAnsi="Times New Roman" w:cs="Times New Roman"/>
                <w:color w:val="000000" w:themeColor="text1"/>
                <w:sz w:val="24"/>
                <w:szCs w:val="24"/>
              </w:rPr>
              <w:t>C-H stretch</w:t>
            </w:r>
          </w:p>
        </w:tc>
        <w:tc>
          <w:tcPr>
            <w:tcW w:w="1800" w:type="dxa"/>
            <w:tcBorders>
              <w:top w:val="single" w:sz="8" w:space="0" w:color="000000"/>
              <w:left w:val="single" w:sz="8" w:space="0" w:color="000000"/>
              <w:bottom w:val="single" w:sz="8" w:space="0" w:color="000000"/>
              <w:right w:val="single" w:sz="8" w:space="0" w:color="000000"/>
            </w:tcBorders>
          </w:tcPr>
          <w:p w14:paraId="2D0F703A"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eastAsia="Times New Roman" w:hAnsi="Times New Roman" w:cs="Times New Roman"/>
                <w:color w:val="000000" w:themeColor="text1"/>
                <w:sz w:val="24"/>
                <w:szCs w:val="24"/>
              </w:rPr>
              <w:t>Aliphatic</w:t>
            </w:r>
          </w:p>
        </w:tc>
      </w:tr>
      <w:tr w:rsidR="00EB55A7" w:rsidRPr="003B13AB" w14:paraId="3F4A4B86" w14:textId="77777777" w:rsidTr="003A730C">
        <w:trPr>
          <w:trHeight w:val="199"/>
          <w:jc w:val="center"/>
        </w:trPr>
        <w:tc>
          <w:tcPr>
            <w:tcW w:w="787" w:type="dxa"/>
            <w:tcBorders>
              <w:top w:val="single" w:sz="8" w:space="0" w:color="000000"/>
              <w:left w:val="single" w:sz="8" w:space="0" w:color="000000"/>
              <w:bottom w:val="single" w:sz="8" w:space="0" w:color="000000"/>
            </w:tcBorders>
          </w:tcPr>
          <w:p w14:paraId="76A2041D"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eastAsia="Arial" w:hAnsi="Times New Roman" w:cs="Times New Roman"/>
                <w:color w:val="000000" w:themeColor="text1"/>
                <w:sz w:val="24"/>
                <w:szCs w:val="24"/>
                <w:lang w:eastAsia="ar-SA"/>
              </w:rPr>
              <w:t>3</w:t>
            </w:r>
          </w:p>
        </w:tc>
        <w:tc>
          <w:tcPr>
            <w:tcW w:w="1258" w:type="dxa"/>
            <w:tcBorders>
              <w:top w:val="single" w:sz="8" w:space="0" w:color="000000"/>
              <w:left w:val="single" w:sz="8" w:space="0" w:color="000000"/>
              <w:bottom w:val="single" w:sz="8" w:space="0" w:color="000000"/>
            </w:tcBorders>
          </w:tcPr>
          <w:p w14:paraId="4084C04D"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1634</w:t>
            </w:r>
          </w:p>
        </w:tc>
        <w:tc>
          <w:tcPr>
            <w:tcW w:w="2413" w:type="dxa"/>
            <w:tcBorders>
              <w:top w:val="single" w:sz="8" w:space="0" w:color="000000"/>
              <w:left w:val="single" w:sz="8" w:space="0" w:color="000000"/>
              <w:bottom w:val="single" w:sz="8" w:space="0" w:color="000000"/>
            </w:tcBorders>
          </w:tcPr>
          <w:p w14:paraId="3FD215E0"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C=O</w:t>
            </w:r>
          </w:p>
        </w:tc>
        <w:tc>
          <w:tcPr>
            <w:tcW w:w="1800" w:type="dxa"/>
            <w:tcBorders>
              <w:top w:val="single" w:sz="8" w:space="0" w:color="000000"/>
              <w:left w:val="single" w:sz="8" w:space="0" w:color="000000"/>
              <w:bottom w:val="single" w:sz="8" w:space="0" w:color="000000"/>
              <w:right w:val="single" w:sz="8" w:space="0" w:color="000000"/>
            </w:tcBorders>
          </w:tcPr>
          <w:p w14:paraId="799E0C49"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Keto</w:t>
            </w:r>
          </w:p>
        </w:tc>
      </w:tr>
      <w:tr w:rsidR="00EB55A7" w:rsidRPr="003B13AB" w14:paraId="24778124" w14:textId="77777777" w:rsidTr="003A730C">
        <w:trPr>
          <w:trHeight w:val="217"/>
          <w:jc w:val="center"/>
        </w:trPr>
        <w:tc>
          <w:tcPr>
            <w:tcW w:w="787" w:type="dxa"/>
            <w:tcBorders>
              <w:top w:val="single" w:sz="8" w:space="0" w:color="000000"/>
              <w:left w:val="single" w:sz="8" w:space="0" w:color="000000"/>
              <w:bottom w:val="single" w:sz="8" w:space="0" w:color="000000"/>
            </w:tcBorders>
          </w:tcPr>
          <w:p w14:paraId="20402906"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eastAsia="Arial" w:hAnsi="Times New Roman" w:cs="Times New Roman"/>
                <w:color w:val="000000" w:themeColor="text1"/>
                <w:sz w:val="24"/>
                <w:szCs w:val="24"/>
                <w:lang w:eastAsia="ar-SA"/>
              </w:rPr>
              <w:t>5</w:t>
            </w:r>
          </w:p>
        </w:tc>
        <w:tc>
          <w:tcPr>
            <w:tcW w:w="1258" w:type="dxa"/>
            <w:tcBorders>
              <w:top w:val="single" w:sz="8" w:space="0" w:color="000000"/>
              <w:left w:val="single" w:sz="8" w:space="0" w:color="000000"/>
              <w:bottom w:val="single" w:sz="8" w:space="0" w:color="000000"/>
            </w:tcBorders>
          </w:tcPr>
          <w:p w14:paraId="5872A0BF"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1270</w:t>
            </w:r>
          </w:p>
        </w:tc>
        <w:tc>
          <w:tcPr>
            <w:tcW w:w="2413" w:type="dxa"/>
            <w:tcBorders>
              <w:top w:val="single" w:sz="8" w:space="0" w:color="000000"/>
              <w:left w:val="single" w:sz="8" w:space="0" w:color="000000"/>
              <w:bottom w:val="single" w:sz="8" w:space="0" w:color="000000"/>
            </w:tcBorders>
          </w:tcPr>
          <w:p w14:paraId="408DA9DC"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C–O stretch</w:t>
            </w:r>
          </w:p>
        </w:tc>
        <w:tc>
          <w:tcPr>
            <w:tcW w:w="1800" w:type="dxa"/>
            <w:tcBorders>
              <w:top w:val="single" w:sz="8" w:space="0" w:color="000000"/>
              <w:left w:val="single" w:sz="8" w:space="0" w:color="000000"/>
              <w:bottom w:val="single" w:sz="8" w:space="0" w:color="000000"/>
              <w:right w:val="single" w:sz="8" w:space="0" w:color="000000"/>
            </w:tcBorders>
          </w:tcPr>
          <w:p w14:paraId="15BA3B09"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Alcohols</w:t>
            </w:r>
          </w:p>
        </w:tc>
      </w:tr>
      <w:tr w:rsidR="00EB55A7" w:rsidRPr="003B13AB" w14:paraId="566E9A17" w14:textId="77777777" w:rsidTr="003A730C">
        <w:trPr>
          <w:trHeight w:val="64"/>
          <w:jc w:val="center"/>
        </w:trPr>
        <w:tc>
          <w:tcPr>
            <w:tcW w:w="787" w:type="dxa"/>
            <w:tcBorders>
              <w:top w:val="single" w:sz="8" w:space="0" w:color="000000"/>
              <w:left w:val="single" w:sz="8" w:space="0" w:color="000000"/>
              <w:bottom w:val="single" w:sz="8" w:space="0" w:color="000000"/>
            </w:tcBorders>
          </w:tcPr>
          <w:p w14:paraId="17A216C0"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6</w:t>
            </w:r>
          </w:p>
        </w:tc>
        <w:tc>
          <w:tcPr>
            <w:tcW w:w="1258" w:type="dxa"/>
            <w:tcBorders>
              <w:top w:val="single" w:sz="8" w:space="0" w:color="000000"/>
              <w:left w:val="single" w:sz="8" w:space="0" w:color="000000"/>
              <w:bottom w:val="single" w:sz="8" w:space="0" w:color="000000"/>
            </w:tcBorders>
          </w:tcPr>
          <w:p w14:paraId="404F80F7"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1117</w:t>
            </w:r>
          </w:p>
        </w:tc>
        <w:tc>
          <w:tcPr>
            <w:tcW w:w="2413" w:type="dxa"/>
            <w:tcBorders>
              <w:top w:val="single" w:sz="8" w:space="0" w:color="000000"/>
              <w:left w:val="single" w:sz="8" w:space="0" w:color="000000"/>
              <w:bottom w:val="single" w:sz="8" w:space="0" w:color="000000"/>
            </w:tcBorders>
          </w:tcPr>
          <w:p w14:paraId="45136CEE"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C–O stretch</w:t>
            </w:r>
          </w:p>
        </w:tc>
        <w:tc>
          <w:tcPr>
            <w:tcW w:w="1800" w:type="dxa"/>
            <w:tcBorders>
              <w:top w:val="single" w:sz="8" w:space="0" w:color="000000"/>
              <w:left w:val="single" w:sz="8" w:space="0" w:color="000000"/>
              <w:bottom w:val="single" w:sz="8" w:space="0" w:color="000000"/>
              <w:right w:val="single" w:sz="8" w:space="0" w:color="000000"/>
            </w:tcBorders>
          </w:tcPr>
          <w:p w14:paraId="1546C134"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Aromatics</w:t>
            </w:r>
          </w:p>
        </w:tc>
      </w:tr>
      <w:tr w:rsidR="00EB55A7" w:rsidRPr="003B13AB" w14:paraId="44F4619E" w14:textId="77777777" w:rsidTr="003A730C">
        <w:trPr>
          <w:trHeight w:val="64"/>
          <w:jc w:val="center"/>
        </w:trPr>
        <w:tc>
          <w:tcPr>
            <w:tcW w:w="787" w:type="dxa"/>
            <w:tcBorders>
              <w:top w:val="single" w:sz="8" w:space="0" w:color="000000"/>
              <w:left w:val="single" w:sz="8" w:space="0" w:color="000000"/>
              <w:bottom w:val="single" w:sz="8" w:space="0" w:color="000000"/>
            </w:tcBorders>
          </w:tcPr>
          <w:p w14:paraId="6C1A5904"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7</w:t>
            </w:r>
          </w:p>
        </w:tc>
        <w:tc>
          <w:tcPr>
            <w:tcW w:w="1258" w:type="dxa"/>
            <w:tcBorders>
              <w:top w:val="single" w:sz="8" w:space="0" w:color="000000"/>
              <w:left w:val="single" w:sz="8" w:space="0" w:color="000000"/>
              <w:bottom w:val="single" w:sz="8" w:space="0" w:color="000000"/>
            </w:tcBorders>
          </w:tcPr>
          <w:p w14:paraId="49D5E789"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1021</w:t>
            </w:r>
          </w:p>
        </w:tc>
        <w:tc>
          <w:tcPr>
            <w:tcW w:w="2413" w:type="dxa"/>
            <w:tcBorders>
              <w:top w:val="single" w:sz="8" w:space="0" w:color="000000"/>
              <w:left w:val="single" w:sz="8" w:space="0" w:color="000000"/>
              <w:bottom w:val="single" w:sz="8" w:space="0" w:color="000000"/>
            </w:tcBorders>
          </w:tcPr>
          <w:p w14:paraId="2E2060FE"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C–O stretch</w:t>
            </w:r>
          </w:p>
        </w:tc>
        <w:tc>
          <w:tcPr>
            <w:tcW w:w="1800" w:type="dxa"/>
            <w:tcBorders>
              <w:top w:val="single" w:sz="8" w:space="0" w:color="000000"/>
              <w:left w:val="single" w:sz="8" w:space="0" w:color="000000"/>
              <w:bottom w:val="single" w:sz="8" w:space="0" w:color="000000"/>
              <w:right w:val="single" w:sz="8" w:space="0" w:color="000000"/>
            </w:tcBorders>
          </w:tcPr>
          <w:p w14:paraId="2B35AB2B"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Alcohols,</w:t>
            </w:r>
          </w:p>
        </w:tc>
      </w:tr>
      <w:tr w:rsidR="00EB55A7" w:rsidRPr="003B13AB" w14:paraId="1328BF2E" w14:textId="77777777" w:rsidTr="003A730C">
        <w:trPr>
          <w:trHeight w:val="64"/>
          <w:jc w:val="center"/>
        </w:trPr>
        <w:tc>
          <w:tcPr>
            <w:tcW w:w="787" w:type="dxa"/>
            <w:tcBorders>
              <w:top w:val="single" w:sz="8" w:space="0" w:color="000000"/>
              <w:left w:val="single" w:sz="8" w:space="0" w:color="000000"/>
              <w:bottom w:val="single" w:sz="8" w:space="0" w:color="000000"/>
            </w:tcBorders>
          </w:tcPr>
          <w:p w14:paraId="6E51D1CC"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8</w:t>
            </w:r>
          </w:p>
        </w:tc>
        <w:tc>
          <w:tcPr>
            <w:tcW w:w="1258" w:type="dxa"/>
            <w:tcBorders>
              <w:top w:val="single" w:sz="8" w:space="0" w:color="000000"/>
              <w:left w:val="single" w:sz="8" w:space="0" w:color="000000"/>
              <w:bottom w:val="single" w:sz="8" w:space="0" w:color="000000"/>
            </w:tcBorders>
          </w:tcPr>
          <w:p w14:paraId="53EA726C"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952</w:t>
            </w:r>
          </w:p>
        </w:tc>
        <w:tc>
          <w:tcPr>
            <w:tcW w:w="2413" w:type="dxa"/>
            <w:tcBorders>
              <w:top w:val="single" w:sz="8" w:space="0" w:color="000000"/>
              <w:left w:val="single" w:sz="8" w:space="0" w:color="000000"/>
              <w:bottom w:val="single" w:sz="8" w:space="0" w:color="000000"/>
            </w:tcBorders>
          </w:tcPr>
          <w:p w14:paraId="6434880D"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=C–H bend</w:t>
            </w:r>
          </w:p>
        </w:tc>
        <w:tc>
          <w:tcPr>
            <w:tcW w:w="1800" w:type="dxa"/>
            <w:tcBorders>
              <w:top w:val="single" w:sz="8" w:space="0" w:color="000000"/>
              <w:left w:val="single" w:sz="8" w:space="0" w:color="000000"/>
              <w:bottom w:val="single" w:sz="8" w:space="0" w:color="000000"/>
              <w:right w:val="single" w:sz="8" w:space="0" w:color="000000"/>
            </w:tcBorders>
          </w:tcPr>
          <w:p w14:paraId="4E544D5D"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Alkenes</w:t>
            </w:r>
          </w:p>
        </w:tc>
      </w:tr>
      <w:tr w:rsidR="005274F5" w:rsidRPr="003B13AB" w14:paraId="6F6B5D2C" w14:textId="77777777" w:rsidTr="003A730C">
        <w:trPr>
          <w:trHeight w:val="64"/>
          <w:jc w:val="center"/>
        </w:trPr>
        <w:tc>
          <w:tcPr>
            <w:tcW w:w="787" w:type="dxa"/>
            <w:tcBorders>
              <w:top w:val="single" w:sz="8" w:space="0" w:color="000000"/>
              <w:left w:val="single" w:sz="8" w:space="0" w:color="000000"/>
              <w:bottom w:val="single" w:sz="8" w:space="0" w:color="000000"/>
            </w:tcBorders>
          </w:tcPr>
          <w:p w14:paraId="1D3B0BC0"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9</w:t>
            </w:r>
          </w:p>
        </w:tc>
        <w:tc>
          <w:tcPr>
            <w:tcW w:w="1258" w:type="dxa"/>
            <w:tcBorders>
              <w:top w:val="single" w:sz="8" w:space="0" w:color="000000"/>
              <w:left w:val="single" w:sz="8" w:space="0" w:color="000000"/>
              <w:bottom w:val="single" w:sz="8" w:space="0" w:color="000000"/>
            </w:tcBorders>
          </w:tcPr>
          <w:p w14:paraId="7D3E7586"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619</w:t>
            </w:r>
          </w:p>
        </w:tc>
        <w:tc>
          <w:tcPr>
            <w:tcW w:w="2413" w:type="dxa"/>
            <w:tcBorders>
              <w:top w:val="single" w:sz="8" w:space="0" w:color="000000"/>
              <w:left w:val="single" w:sz="8" w:space="0" w:color="000000"/>
              <w:bottom w:val="single" w:sz="8" w:space="0" w:color="000000"/>
            </w:tcBorders>
          </w:tcPr>
          <w:p w14:paraId="602F9F65"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–C ≡ C–H: C–H bend</w:t>
            </w:r>
          </w:p>
        </w:tc>
        <w:tc>
          <w:tcPr>
            <w:tcW w:w="1800" w:type="dxa"/>
            <w:tcBorders>
              <w:top w:val="single" w:sz="8" w:space="0" w:color="000000"/>
              <w:left w:val="single" w:sz="8" w:space="0" w:color="000000"/>
              <w:bottom w:val="single" w:sz="8" w:space="0" w:color="000000"/>
              <w:right w:val="single" w:sz="8" w:space="0" w:color="000000"/>
            </w:tcBorders>
          </w:tcPr>
          <w:p w14:paraId="1E02E080" w14:textId="77777777" w:rsidR="005274F5" w:rsidRPr="003B13AB" w:rsidRDefault="005274F5" w:rsidP="003A730C">
            <w:pPr>
              <w:suppressAutoHyphens/>
              <w:spacing w:after="0" w:line="360" w:lineRule="auto"/>
              <w:jc w:val="center"/>
              <w:rPr>
                <w:rFonts w:ascii="Times New Roman" w:hAnsi="Times New Roman" w:cs="Times New Roman"/>
                <w:color w:val="000000" w:themeColor="text1"/>
                <w:sz w:val="24"/>
                <w:szCs w:val="24"/>
                <w:lang w:eastAsia="ar-SA"/>
              </w:rPr>
            </w:pPr>
            <w:r w:rsidRPr="003B13AB">
              <w:rPr>
                <w:rFonts w:ascii="Times New Roman" w:hAnsi="Times New Roman" w:cs="Times New Roman"/>
                <w:color w:val="000000" w:themeColor="text1"/>
                <w:sz w:val="24"/>
                <w:szCs w:val="24"/>
                <w:lang w:eastAsia="ar-SA"/>
              </w:rPr>
              <w:t>Alkynes</w:t>
            </w:r>
          </w:p>
        </w:tc>
      </w:tr>
    </w:tbl>
    <w:p w14:paraId="04E2568D"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7A1F128C" w14:textId="77777777"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15176EF6" w14:textId="47D1FBDA" w:rsidR="005274F5" w:rsidRPr="003B13AB" w:rsidRDefault="005274F5" w:rsidP="005274F5">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HPLC Spectrum</w:t>
      </w:r>
    </w:p>
    <w:p w14:paraId="3F088EA3" w14:textId="0031A570" w:rsidR="005274F5" w:rsidRPr="003B13AB" w:rsidRDefault="005274F5" w:rsidP="005274F5">
      <w:pPr>
        <w:autoSpaceDE w:val="0"/>
        <w:autoSpaceDN w:val="0"/>
        <w:adjustRightInd w:val="0"/>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The HPLC chromatogram of the isolated compound is presented in Fig. 4. The analysis revealed a prominent and well-resolved peak with a retention time of 4.75 minutes, indicating the presence of a single major compound in the isolated fraction. The observed retention time closely corresponds with earlier findings reported by Adin </w:t>
      </w:r>
      <w:r w:rsidRPr="00B65600">
        <w:rPr>
          <w:rFonts w:ascii="Times New Roman" w:hAnsi="Times New Roman" w:cs="Times New Roman"/>
          <w:i/>
          <w:iCs/>
          <w:color w:val="000000" w:themeColor="text1"/>
          <w:sz w:val="24"/>
          <w:szCs w:val="24"/>
        </w:rPr>
        <w:t>et al</w:t>
      </w:r>
      <w:r w:rsidRPr="003B13AB">
        <w:rPr>
          <w:rFonts w:ascii="Times New Roman" w:hAnsi="Times New Roman" w:cs="Times New Roman"/>
          <w:color w:val="000000" w:themeColor="text1"/>
          <w:sz w:val="24"/>
          <w:szCs w:val="24"/>
        </w:rPr>
        <w:t>.</w:t>
      </w:r>
      <w:r w:rsidR="00B65600">
        <w:rPr>
          <w:rFonts w:ascii="Times New Roman" w:hAnsi="Times New Roman" w:cs="Times New Roman"/>
          <w:color w:val="000000" w:themeColor="text1"/>
          <w:sz w:val="24"/>
          <w:szCs w:val="24"/>
        </w:rPr>
        <w:t>,</w:t>
      </w:r>
      <w:r w:rsidRPr="003B13AB">
        <w:rPr>
          <w:rFonts w:ascii="Times New Roman" w:hAnsi="Times New Roman" w:cs="Times New Roman"/>
          <w:color w:val="000000" w:themeColor="text1"/>
          <w:sz w:val="24"/>
          <w:szCs w:val="24"/>
        </w:rPr>
        <w:t xml:space="preserve"> (2023), who documented that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isolated from </w:t>
      </w:r>
      <w:proofErr w:type="spellStart"/>
      <w:r w:rsidRPr="003B13AB">
        <w:rPr>
          <w:rFonts w:ascii="Times New Roman" w:hAnsi="Times New Roman" w:cs="Times New Roman"/>
          <w:i/>
          <w:iCs/>
          <w:color w:val="000000" w:themeColor="text1"/>
          <w:sz w:val="24"/>
          <w:szCs w:val="24"/>
        </w:rPr>
        <w:t>Mangifera</w:t>
      </w:r>
      <w:proofErr w:type="spellEnd"/>
      <w:r w:rsidRPr="003B13AB">
        <w:rPr>
          <w:rFonts w:ascii="Times New Roman" w:hAnsi="Times New Roman" w:cs="Times New Roman"/>
          <w:i/>
          <w:iCs/>
          <w:color w:val="000000" w:themeColor="text1"/>
          <w:sz w:val="24"/>
          <w:szCs w:val="24"/>
        </w:rPr>
        <w:t xml:space="preserve"> indica</w:t>
      </w:r>
      <w:r w:rsidRPr="003B13AB">
        <w:rPr>
          <w:rFonts w:ascii="Times New Roman" w:hAnsi="Times New Roman" w:cs="Times New Roman"/>
          <w:color w:val="000000" w:themeColor="text1"/>
          <w:sz w:val="24"/>
          <w:szCs w:val="24"/>
        </w:rPr>
        <w:t xml:space="preserve"> </w:t>
      </w:r>
      <w:r w:rsidR="00D14E48">
        <w:rPr>
          <w:rFonts w:ascii="Times New Roman" w:hAnsi="Times New Roman" w:cs="Times New Roman"/>
          <w:color w:val="000000" w:themeColor="text1"/>
          <w:sz w:val="24"/>
          <w:szCs w:val="24"/>
        </w:rPr>
        <w:t xml:space="preserve">L. </w:t>
      </w:r>
      <w:r w:rsidRPr="003B13AB">
        <w:rPr>
          <w:rFonts w:ascii="Times New Roman" w:hAnsi="Times New Roman" w:cs="Times New Roman"/>
          <w:color w:val="000000" w:themeColor="text1"/>
          <w:sz w:val="24"/>
          <w:szCs w:val="24"/>
        </w:rPr>
        <w:t xml:space="preserve">leaves eluted at an average retention time of 4.76 </w:t>
      </w:r>
      <w:r w:rsidRPr="003B13AB">
        <w:rPr>
          <w:rFonts w:ascii="Times New Roman" w:hAnsi="Times New Roman" w:cs="Times New Roman"/>
          <w:color w:val="000000" w:themeColor="text1"/>
          <w:sz w:val="24"/>
          <w:szCs w:val="24"/>
        </w:rPr>
        <w:lastRenderedPageBreak/>
        <w:t xml:space="preserve">minutes under similar chromatographic conditions. The close agreement between the retention times strongly supports the successful isolation of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from the bark extract. Furthermore, the appearance of a sharp and symmetrical peak suggests a high degree of purity of the isolated compound, with minimal interference from co-eluting impurities. </w:t>
      </w:r>
    </w:p>
    <w:p w14:paraId="4654D0B1" w14:textId="77777777" w:rsidR="005274F5" w:rsidRPr="003B13AB" w:rsidRDefault="005274F5" w:rsidP="005274F5">
      <w:pPr>
        <w:autoSpaceDE w:val="0"/>
        <w:autoSpaceDN w:val="0"/>
        <w:adjustRightInd w:val="0"/>
        <w:spacing w:before="240"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noProof/>
          <w:color w:val="000000" w:themeColor="text1"/>
          <w:sz w:val="24"/>
          <w:szCs w:val="24"/>
          <w:lang w:val="en-US"/>
          <w14:ligatures w14:val="standardContextual"/>
        </w:rPr>
        <w:drawing>
          <wp:anchor distT="0" distB="0" distL="114300" distR="114300" simplePos="0" relativeHeight="251662336" behindDoc="1" locked="0" layoutInCell="1" allowOverlap="1" wp14:anchorId="5DF2E400" wp14:editId="67C3D1BA">
            <wp:simplePos x="0" y="0"/>
            <wp:positionH relativeFrom="margin">
              <wp:posOffset>508000</wp:posOffset>
            </wp:positionH>
            <wp:positionV relativeFrom="paragraph">
              <wp:posOffset>358140</wp:posOffset>
            </wp:positionV>
            <wp:extent cx="4712335" cy="1930400"/>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20000" contrast="40000"/>
                      <a:extLst>
                        <a:ext uri="{28A0092B-C50C-407E-A947-70E740481C1C}">
                          <a14:useLocalDpi xmlns:a14="http://schemas.microsoft.com/office/drawing/2010/main" val="0"/>
                        </a:ext>
                      </a:extLst>
                    </a:blip>
                    <a:srcRect b="5557"/>
                    <a:stretch>
                      <a:fillRect/>
                    </a:stretch>
                  </pic:blipFill>
                  <pic:spPr bwMode="auto">
                    <a:xfrm>
                      <a:off x="0" y="0"/>
                      <a:ext cx="4712335" cy="1930400"/>
                    </a:xfrm>
                    <a:prstGeom prst="rect">
                      <a:avLst/>
                    </a:prstGeom>
                    <a:noFill/>
                    <a:ln w="6350">
                      <a:noFill/>
                      <a:miter lim="800000"/>
                      <a:headEnd/>
                      <a:tailEnd/>
                    </a:ln>
                  </pic:spPr>
                </pic:pic>
              </a:graphicData>
            </a:graphic>
            <wp14:sizeRelH relativeFrom="page">
              <wp14:pctWidth>0</wp14:pctWidth>
            </wp14:sizeRelH>
            <wp14:sizeRelV relativeFrom="page">
              <wp14:pctHeight>0</wp14:pctHeight>
            </wp14:sizeRelV>
          </wp:anchor>
        </w:drawing>
      </w:r>
    </w:p>
    <w:p w14:paraId="3ED6E919" w14:textId="77777777" w:rsidR="005274F5" w:rsidRPr="003B13AB" w:rsidRDefault="005274F5" w:rsidP="005274F5">
      <w:pPr>
        <w:spacing w:after="0" w:line="360" w:lineRule="auto"/>
        <w:rPr>
          <w:rFonts w:ascii="Times New Roman" w:hAnsi="Times New Roman" w:cs="Times New Roman"/>
          <w:b/>
          <w:color w:val="000000" w:themeColor="text1"/>
          <w:sz w:val="24"/>
          <w:szCs w:val="24"/>
        </w:rPr>
      </w:pPr>
    </w:p>
    <w:p w14:paraId="55B932E8" w14:textId="01669B88" w:rsidR="005274F5" w:rsidRPr="003B13AB" w:rsidRDefault="005274F5" w:rsidP="005274F5">
      <w:pPr>
        <w:spacing w:after="0" w:line="360" w:lineRule="auto"/>
        <w:jc w:val="center"/>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 xml:space="preserve">Fig. </w:t>
      </w:r>
      <w:r w:rsidR="00E54747">
        <w:rPr>
          <w:rFonts w:ascii="Times New Roman" w:hAnsi="Times New Roman" w:cs="Times New Roman"/>
          <w:b/>
          <w:color w:val="000000" w:themeColor="text1"/>
          <w:sz w:val="24"/>
          <w:szCs w:val="24"/>
        </w:rPr>
        <w:t>4</w:t>
      </w:r>
      <w:r w:rsidRPr="003B13AB">
        <w:rPr>
          <w:rFonts w:ascii="Times New Roman" w:hAnsi="Times New Roman" w:cs="Times New Roman"/>
          <w:b/>
          <w:color w:val="000000" w:themeColor="text1"/>
          <w:sz w:val="24"/>
          <w:szCs w:val="24"/>
        </w:rPr>
        <w:t>. HPLC Spectrum of isolated compound</w:t>
      </w:r>
    </w:p>
    <w:p w14:paraId="3CE2CB6B" w14:textId="77777777" w:rsidR="005274F5" w:rsidRPr="003B13AB" w:rsidRDefault="005274F5" w:rsidP="005274F5">
      <w:pPr>
        <w:spacing w:after="0" w:line="360" w:lineRule="auto"/>
        <w:jc w:val="both"/>
        <w:rPr>
          <w:rFonts w:ascii="Times New Roman" w:hAnsi="Times New Roman" w:cs="Times New Roman"/>
          <w:b/>
          <w:color w:val="000000" w:themeColor="text1"/>
          <w:sz w:val="24"/>
          <w:szCs w:val="24"/>
        </w:rPr>
      </w:pPr>
    </w:p>
    <w:p w14:paraId="63A2993E" w14:textId="77777777" w:rsidR="005274F5" w:rsidRPr="003B13AB" w:rsidRDefault="005274F5" w:rsidP="005274F5">
      <w:pPr>
        <w:spacing w:after="0" w:line="360" w:lineRule="auto"/>
        <w:jc w:val="both"/>
        <w:rPr>
          <w:rFonts w:ascii="Times New Roman" w:eastAsia="TimesNewRomanPSMT" w:hAnsi="Times New Roman" w:cs="Times New Roman"/>
          <w:b/>
          <w:color w:val="000000" w:themeColor="text1"/>
          <w:sz w:val="24"/>
          <w:szCs w:val="24"/>
        </w:rPr>
      </w:pPr>
    </w:p>
    <w:p w14:paraId="6FDDC366" w14:textId="5DB7B90E" w:rsidR="005274F5" w:rsidRPr="003B13AB" w:rsidRDefault="005274F5" w:rsidP="005274F5">
      <w:pPr>
        <w:spacing w:after="0" w:line="360" w:lineRule="auto"/>
        <w:jc w:val="both"/>
        <w:rPr>
          <w:rFonts w:ascii="Times New Roman" w:hAnsi="Times New Roman" w:cs="Times New Roman"/>
          <w:b/>
          <w:color w:val="000000" w:themeColor="text1"/>
          <w:sz w:val="24"/>
          <w:szCs w:val="24"/>
        </w:rPr>
      </w:pPr>
      <w:r w:rsidRPr="003B13AB">
        <w:rPr>
          <w:rFonts w:ascii="Times New Roman" w:eastAsia="TimesNewRomanPSMT" w:hAnsi="Times New Roman" w:cs="Times New Roman"/>
          <w:b/>
          <w:color w:val="000000" w:themeColor="text1"/>
          <w:sz w:val="24"/>
          <w:szCs w:val="24"/>
        </w:rPr>
        <w:t xml:space="preserve">NMR Spectrum of </w:t>
      </w:r>
      <w:r w:rsidRPr="003B13AB">
        <w:rPr>
          <w:rFonts w:ascii="Times New Roman" w:hAnsi="Times New Roman" w:cs="Times New Roman"/>
          <w:b/>
          <w:color w:val="000000" w:themeColor="text1"/>
          <w:sz w:val="24"/>
          <w:szCs w:val="24"/>
        </w:rPr>
        <w:t>isolated compound</w:t>
      </w:r>
    </w:p>
    <w:p w14:paraId="299E2521"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33032D3E"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The ¹H-NMR spectrum of the isolated compound, recorded in DMSO at 400 MHz, is presented in Fig. 5. The spectrum displayed characteristic proton signals corresponding to aromatic rings, a xanthone (pyrone) nucleus, and glycosidic moieties, confirming the structural framework of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Proton signals observed in the range of δ 3.15–4.62 ppm were attributed to the sugar protons, including δ 3.15 (C-3′), 3.16 (C-4′), 3.17 (C-5′), 3.43 (C-6′), 3.61 and 4.01 (C-2′), and 4.62 ppm (C-1′), indicating the presence of a C-glucosyl unit. </w:t>
      </w:r>
    </w:p>
    <w:p w14:paraId="1BEB7D97"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343DCA12"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The aromatic proton signals at δ 6.41 (H-4), 6.88 (H-5), and 7.43 ppm (H-8) correspond to the xanthone aromatic ring system. A downfield signal at δ 13.81 ppm was assigned to the phenolic hydroxyl proton (C-1–OH), which is characteristic of strong intramolecular hydrogen bonding commonly observed in xanthone derivatives.</w:t>
      </w:r>
    </w:p>
    <w:p w14:paraId="417DE191"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15434707"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The ¹³C-NMR spectrum of the isolated compound, shown in Fig. 6, further supported the structural identity of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Signals in the region of δ 61.39–81.53 ppm were assigned to </w:t>
      </w:r>
      <w:r w:rsidRPr="003B13AB">
        <w:rPr>
          <w:rFonts w:ascii="Times New Roman" w:hAnsi="Times New Roman" w:cs="Times New Roman"/>
          <w:color w:val="000000" w:themeColor="text1"/>
          <w:sz w:val="24"/>
          <w:szCs w:val="24"/>
        </w:rPr>
        <w:lastRenderedPageBreak/>
        <w:t>the carbons of the glucosyl moiety, including δ 61.39 (C-6′), 70.32 (C-2′), 70.61 (C-4′), 73.12 (C-1′), 79.01 (C-3′), and 81.53 ppm (C-5′).</w:t>
      </w:r>
    </w:p>
    <w:p w14:paraId="510898BB"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51D818D2"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The aromatic and heterocyclic carbons of the xanthone core appeared between δ 93.28 and 163.78 ppm, with distinct signals at δ 93.28 (C-4), 101.19 (C-4b), 102.41 (C-5), 107.48 (C-2), 107.83 (C-8), 111.37 (C-8a), 143.88 (C-7-OH), 150.92 (C-6-OH), 154.63 (C-8b), 156.19 (C-4a), 161.67 (C-1-OH), and 163.78 ppm (C-3-OH). The signal at δ 176.03 ppm corresponds to the carbonyl carbon (C-9) of the xanthone moiety, confirming the presence of the keto functional group.</w:t>
      </w:r>
    </w:p>
    <w:p w14:paraId="6A3D16CA"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44A02FCE" w14:textId="77777777" w:rsidR="005274F5" w:rsidRPr="003B13AB" w:rsidRDefault="005274F5" w:rsidP="005274F5">
      <w:pPr>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color w:val="000000" w:themeColor="text1"/>
          <w:sz w:val="24"/>
          <w:szCs w:val="24"/>
        </w:rPr>
        <w:t xml:space="preserve">The obtained ¹H- and ¹³C-NMR spectral data are in excellent agreement with previously reported values for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w:t>
      </w:r>
      <w:proofErr w:type="spellStart"/>
      <w:r w:rsidRPr="003B13AB">
        <w:rPr>
          <w:rFonts w:ascii="Times New Roman" w:hAnsi="Times New Roman" w:cs="Times New Roman"/>
          <w:color w:val="000000" w:themeColor="text1"/>
          <w:sz w:val="24"/>
          <w:szCs w:val="24"/>
        </w:rPr>
        <w:t>Djemgou</w:t>
      </w:r>
      <w:proofErr w:type="spellEnd"/>
      <w:r w:rsidRPr="003B13AB">
        <w:rPr>
          <w:rFonts w:ascii="Times New Roman" w:hAnsi="Times New Roman" w:cs="Times New Roman"/>
          <w:color w:val="000000" w:themeColor="text1"/>
          <w:sz w:val="24"/>
          <w:szCs w:val="24"/>
        </w:rPr>
        <w:t xml:space="preserve"> </w:t>
      </w:r>
      <w:r w:rsidRPr="00B65600">
        <w:rPr>
          <w:rFonts w:ascii="Times New Roman" w:hAnsi="Times New Roman" w:cs="Times New Roman"/>
          <w:i/>
          <w:iCs/>
          <w:color w:val="000000" w:themeColor="text1"/>
          <w:sz w:val="24"/>
          <w:szCs w:val="24"/>
        </w:rPr>
        <w:t>et al</w:t>
      </w:r>
      <w:r w:rsidRPr="003B13AB">
        <w:rPr>
          <w:rFonts w:ascii="Times New Roman" w:hAnsi="Times New Roman" w:cs="Times New Roman"/>
          <w:color w:val="000000" w:themeColor="text1"/>
          <w:sz w:val="24"/>
          <w:szCs w:val="24"/>
        </w:rPr>
        <w:t xml:space="preserve">., 2010; Efendi </w:t>
      </w:r>
      <w:r w:rsidRPr="00B65600">
        <w:rPr>
          <w:rFonts w:ascii="Times New Roman" w:hAnsi="Times New Roman" w:cs="Times New Roman"/>
          <w:i/>
          <w:iCs/>
          <w:color w:val="000000" w:themeColor="text1"/>
          <w:sz w:val="24"/>
          <w:szCs w:val="24"/>
        </w:rPr>
        <w:t>et al</w:t>
      </w:r>
      <w:r w:rsidRPr="003B13AB">
        <w:rPr>
          <w:rFonts w:ascii="Times New Roman" w:hAnsi="Times New Roman" w:cs="Times New Roman"/>
          <w:color w:val="000000" w:themeColor="text1"/>
          <w:sz w:val="24"/>
          <w:szCs w:val="24"/>
        </w:rPr>
        <w:t xml:space="preserve">., 2023). The NMR analysis conclusively confirms the structural identity of the isolated compound as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validating the effectiveness of the isolation and purification procedures employed in this study</w:t>
      </w:r>
      <w:r w:rsidRPr="003B13AB">
        <w:rPr>
          <w:rFonts w:ascii="Times New Roman" w:hAnsi="Times New Roman" w:cs="Times New Roman"/>
          <w:b/>
          <w:color w:val="000000" w:themeColor="text1"/>
          <w:sz w:val="24"/>
          <w:szCs w:val="24"/>
        </w:rPr>
        <w:t>.</w:t>
      </w:r>
    </w:p>
    <w:p w14:paraId="5056C54E" w14:textId="77777777" w:rsidR="005274F5" w:rsidRPr="003B13AB" w:rsidRDefault="005274F5" w:rsidP="005274F5">
      <w:pPr>
        <w:tabs>
          <w:tab w:val="left" w:pos="2715"/>
        </w:tabs>
        <w:spacing w:after="0" w:line="360" w:lineRule="auto"/>
        <w:jc w:val="both"/>
        <w:rPr>
          <w:rFonts w:ascii="Times New Roman" w:eastAsia="TimesNewRomanPSMT" w:hAnsi="Times New Roman" w:cs="Times New Roman"/>
          <w:b/>
          <w:color w:val="000000" w:themeColor="text1"/>
          <w:sz w:val="24"/>
          <w:szCs w:val="24"/>
          <w:vertAlign w:val="superscript"/>
        </w:rPr>
      </w:pPr>
    </w:p>
    <w:p w14:paraId="2BDC2884"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shd w:val="clear" w:color="auto" w:fill="FFFFFF"/>
        </w:rPr>
      </w:pPr>
    </w:p>
    <w:p w14:paraId="380B0800" w14:textId="77777777" w:rsidR="005274F5" w:rsidRPr="003B13AB" w:rsidRDefault="005274F5" w:rsidP="005274F5">
      <w:pPr>
        <w:spacing w:after="0" w:line="360" w:lineRule="auto"/>
        <w:jc w:val="both"/>
        <w:rPr>
          <w:rFonts w:ascii="Times New Roman" w:eastAsia="TimesNewRomanPSMT" w:hAnsi="Times New Roman" w:cs="Times New Roman"/>
          <w:b/>
          <w:color w:val="000000" w:themeColor="text1"/>
          <w:sz w:val="24"/>
          <w:szCs w:val="24"/>
        </w:rPr>
      </w:pPr>
      <w:r w:rsidRPr="003B13AB">
        <w:rPr>
          <w:rFonts w:ascii="Times New Roman" w:hAnsi="Times New Roman" w:cs="Times New Roman"/>
          <w:noProof/>
          <w:color w:val="000000" w:themeColor="text1"/>
          <w:sz w:val="24"/>
          <w:szCs w:val="24"/>
          <w:lang w:val="en-US"/>
        </w:rPr>
        <w:drawing>
          <wp:anchor distT="0" distB="0" distL="114300" distR="114300" simplePos="0" relativeHeight="251659264" behindDoc="1" locked="0" layoutInCell="1" allowOverlap="1" wp14:anchorId="0CABD987" wp14:editId="37C4B8CE">
            <wp:simplePos x="0" y="0"/>
            <wp:positionH relativeFrom="column">
              <wp:posOffset>0</wp:posOffset>
            </wp:positionH>
            <wp:positionV relativeFrom="paragraph">
              <wp:posOffset>2540</wp:posOffset>
            </wp:positionV>
            <wp:extent cx="5731510" cy="3885565"/>
            <wp:effectExtent l="0" t="0" r="0" b="0"/>
            <wp:wrapThrough wrapText="bothSides">
              <wp:wrapPolygon edited="0">
                <wp:start x="0" y="0"/>
                <wp:lineTo x="0" y="21498"/>
                <wp:lineTo x="21538" y="21498"/>
                <wp:lineTo x="2153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lum bright="-20000" contrast="40000"/>
                      <a:extLst>
                        <a:ext uri="{28A0092B-C50C-407E-A947-70E740481C1C}">
                          <a14:useLocalDpi xmlns:a14="http://schemas.microsoft.com/office/drawing/2010/main" val="0"/>
                        </a:ext>
                      </a:extLst>
                    </a:blip>
                    <a:srcRect/>
                    <a:stretch>
                      <a:fillRect/>
                    </a:stretch>
                  </pic:blipFill>
                  <pic:spPr bwMode="auto">
                    <a:xfrm>
                      <a:off x="0" y="0"/>
                      <a:ext cx="5731510" cy="3885565"/>
                    </a:xfrm>
                    <a:prstGeom prst="rect">
                      <a:avLst/>
                    </a:prstGeom>
                    <a:noFill/>
                    <a:ln w="6350">
                      <a:noFill/>
                      <a:miter lim="800000"/>
                      <a:headEnd/>
                      <a:tailEnd/>
                    </a:ln>
                  </pic:spPr>
                </pic:pic>
              </a:graphicData>
            </a:graphic>
            <wp14:sizeRelH relativeFrom="page">
              <wp14:pctWidth>0</wp14:pctWidth>
            </wp14:sizeRelH>
            <wp14:sizeRelV relativeFrom="page">
              <wp14:pctHeight>0</wp14:pctHeight>
            </wp14:sizeRelV>
          </wp:anchor>
        </w:drawing>
      </w:r>
    </w:p>
    <w:p w14:paraId="1A3EBCBF" w14:textId="77777777" w:rsidR="005274F5" w:rsidRPr="003B13AB" w:rsidRDefault="005274F5" w:rsidP="005274F5">
      <w:pPr>
        <w:spacing w:after="0" w:line="360" w:lineRule="auto"/>
        <w:jc w:val="center"/>
        <w:rPr>
          <w:rFonts w:ascii="Times New Roman" w:eastAsia="TimesNewRomanPSMT" w:hAnsi="Times New Roman" w:cs="Times New Roman"/>
          <w:b/>
          <w:color w:val="000000" w:themeColor="text1"/>
          <w:sz w:val="24"/>
          <w:szCs w:val="24"/>
          <w:vertAlign w:val="superscript"/>
        </w:rPr>
      </w:pPr>
      <w:r w:rsidRPr="003B13AB">
        <w:rPr>
          <w:rFonts w:ascii="Times New Roman" w:eastAsia="TimesNewRomanPSMT" w:hAnsi="Times New Roman" w:cs="Times New Roman"/>
          <w:b/>
          <w:color w:val="000000" w:themeColor="text1"/>
          <w:sz w:val="24"/>
          <w:szCs w:val="24"/>
        </w:rPr>
        <w:t xml:space="preserve">Fig. 5. Shows the </w:t>
      </w:r>
      <w:r w:rsidRPr="003B13AB">
        <w:rPr>
          <w:rFonts w:ascii="Times New Roman" w:eastAsia="TimesNewRomanPSMT" w:hAnsi="Times New Roman" w:cs="Times New Roman"/>
          <w:b/>
          <w:color w:val="000000" w:themeColor="text1"/>
          <w:sz w:val="24"/>
          <w:szCs w:val="24"/>
          <w:vertAlign w:val="superscript"/>
        </w:rPr>
        <w:t>1</w:t>
      </w:r>
      <w:r w:rsidRPr="003B13AB">
        <w:rPr>
          <w:rFonts w:ascii="Times New Roman" w:eastAsia="TimesNewRomanPSMT" w:hAnsi="Times New Roman" w:cs="Times New Roman"/>
          <w:b/>
          <w:color w:val="000000" w:themeColor="text1"/>
          <w:sz w:val="24"/>
          <w:szCs w:val="24"/>
        </w:rPr>
        <w:t>H-NMR Spectrum of isolated compound</w:t>
      </w:r>
    </w:p>
    <w:p w14:paraId="73DBAF92" w14:textId="77777777" w:rsidR="005274F5" w:rsidRPr="003B13AB" w:rsidRDefault="005274F5" w:rsidP="005274F5">
      <w:pPr>
        <w:spacing w:after="0" w:line="360" w:lineRule="auto"/>
        <w:jc w:val="both"/>
        <w:rPr>
          <w:rFonts w:ascii="Times New Roman" w:eastAsia="TimesNewRomanPSMT" w:hAnsi="Times New Roman" w:cs="Times New Roman"/>
          <w:b/>
          <w:color w:val="000000" w:themeColor="text1"/>
          <w:sz w:val="24"/>
          <w:szCs w:val="24"/>
        </w:rPr>
      </w:pPr>
      <w:r w:rsidRPr="003B13AB">
        <w:rPr>
          <w:rFonts w:ascii="Times New Roman" w:hAnsi="Times New Roman" w:cs="Times New Roman"/>
          <w:noProof/>
          <w:color w:val="000000" w:themeColor="text1"/>
          <w:sz w:val="24"/>
          <w:szCs w:val="24"/>
          <w:lang w:val="en-US"/>
        </w:rPr>
        <w:lastRenderedPageBreak/>
        <w:drawing>
          <wp:anchor distT="0" distB="0" distL="114300" distR="114300" simplePos="0" relativeHeight="251660288" behindDoc="1" locked="0" layoutInCell="1" allowOverlap="1" wp14:anchorId="10F2897C" wp14:editId="585E3FA7">
            <wp:simplePos x="0" y="0"/>
            <wp:positionH relativeFrom="column">
              <wp:posOffset>406400</wp:posOffset>
            </wp:positionH>
            <wp:positionV relativeFrom="paragraph">
              <wp:posOffset>323285</wp:posOffset>
            </wp:positionV>
            <wp:extent cx="4910455" cy="332867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lum bright="-40000" contrast="60000"/>
                      <a:extLst>
                        <a:ext uri="{28A0092B-C50C-407E-A947-70E740481C1C}">
                          <a14:useLocalDpi xmlns:a14="http://schemas.microsoft.com/office/drawing/2010/main" val="0"/>
                        </a:ext>
                      </a:extLst>
                    </a:blip>
                    <a:srcRect/>
                    <a:stretch>
                      <a:fillRect/>
                    </a:stretch>
                  </pic:blipFill>
                  <pic:spPr bwMode="auto">
                    <a:xfrm>
                      <a:off x="0" y="0"/>
                      <a:ext cx="4910455" cy="3328670"/>
                    </a:xfrm>
                    <a:prstGeom prst="rect">
                      <a:avLst/>
                    </a:prstGeom>
                    <a:noFill/>
                    <a:ln w="3175">
                      <a:noFill/>
                      <a:miter lim="800000"/>
                      <a:headEnd/>
                      <a:tailEnd/>
                    </a:ln>
                  </pic:spPr>
                </pic:pic>
              </a:graphicData>
            </a:graphic>
            <wp14:sizeRelH relativeFrom="page">
              <wp14:pctWidth>0</wp14:pctWidth>
            </wp14:sizeRelH>
            <wp14:sizeRelV relativeFrom="page">
              <wp14:pctHeight>0</wp14:pctHeight>
            </wp14:sizeRelV>
          </wp:anchor>
        </w:drawing>
      </w:r>
    </w:p>
    <w:p w14:paraId="4DEB591E" w14:textId="77777777" w:rsidR="005274F5" w:rsidRDefault="005274F5" w:rsidP="005274F5">
      <w:pPr>
        <w:spacing w:after="0" w:line="360" w:lineRule="auto"/>
        <w:jc w:val="both"/>
        <w:rPr>
          <w:rFonts w:ascii="Times New Roman" w:eastAsia="TimesNewRomanPSMT" w:hAnsi="Times New Roman" w:cs="Times New Roman"/>
          <w:b/>
          <w:color w:val="000000" w:themeColor="text1"/>
          <w:sz w:val="24"/>
          <w:szCs w:val="24"/>
        </w:rPr>
      </w:pPr>
    </w:p>
    <w:p w14:paraId="0E588BC7" w14:textId="77777777" w:rsidR="00B65600" w:rsidRPr="003B13AB" w:rsidRDefault="00B65600" w:rsidP="005274F5">
      <w:pPr>
        <w:spacing w:after="0" w:line="360" w:lineRule="auto"/>
        <w:jc w:val="both"/>
        <w:rPr>
          <w:rFonts w:ascii="Times New Roman" w:eastAsia="TimesNewRomanPSMT" w:hAnsi="Times New Roman" w:cs="Times New Roman"/>
          <w:b/>
          <w:color w:val="000000" w:themeColor="text1"/>
          <w:sz w:val="24"/>
          <w:szCs w:val="24"/>
        </w:rPr>
      </w:pPr>
    </w:p>
    <w:p w14:paraId="58C6AF16" w14:textId="77777777" w:rsidR="005274F5" w:rsidRPr="003B13AB" w:rsidRDefault="005274F5" w:rsidP="005274F5">
      <w:pPr>
        <w:spacing w:after="0" w:line="360" w:lineRule="auto"/>
        <w:jc w:val="center"/>
        <w:rPr>
          <w:rFonts w:ascii="Times New Roman" w:hAnsi="Times New Roman" w:cs="Times New Roman"/>
          <w:b/>
          <w:color w:val="000000" w:themeColor="text1"/>
          <w:sz w:val="24"/>
          <w:szCs w:val="24"/>
        </w:rPr>
      </w:pPr>
      <w:r w:rsidRPr="003B13AB">
        <w:rPr>
          <w:rFonts w:ascii="Times New Roman" w:eastAsia="TimesNewRomanPSMT" w:hAnsi="Times New Roman" w:cs="Times New Roman"/>
          <w:b/>
          <w:color w:val="000000" w:themeColor="text1"/>
          <w:sz w:val="24"/>
          <w:szCs w:val="24"/>
        </w:rPr>
        <w:t>Fig. 6.</w:t>
      </w:r>
      <w:r w:rsidRPr="003B13AB">
        <w:rPr>
          <w:rFonts w:ascii="Times New Roman" w:eastAsia="TimesNewRomanPSMT" w:hAnsi="Times New Roman" w:cs="Times New Roman"/>
          <w:b/>
          <w:color w:val="000000" w:themeColor="text1"/>
          <w:sz w:val="24"/>
          <w:szCs w:val="24"/>
          <w:vertAlign w:val="superscript"/>
        </w:rPr>
        <w:t xml:space="preserve">  </w:t>
      </w:r>
      <w:r w:rsidRPr="003B13AB">
        <w:rPr>
          <w:rFonts w:ascii="Times New Roman" w:eastAsia="TimesNewRomanPSMT" w:hAnsi="Times New Roman" w:cs="Times New Roman"/>
          <w:b/>
          <w:color w:val="000000" w:themeColor="text1"/>
          <w:sz w:val="24"/>
          <w:szCs w:val="24"/>
        </w:rPr>
        <w:t>Shows the</w:t>
      </w:r>
      <w:r w:rsidRPr="003B13AB">
        <w:rPr>
          <w:rFonts w:ascii="Times New Roman" w:eastAsia="TimesNewRomanPSMT" w:hAnsi="Times New Roman" w:cs="Times New Roman"/>
          <w:b/>
          <w:color w:val="000000" w:themeColor="text1"/>
          <w:sz w:val="24"/>
          <w:szCs w:val="24"/>
          <w:vertAlign w:val="superscript"/>
        </w:rPr>
        <w:t xml:space="preserve"> 13</w:t>
      </w:r>
      <w:r w:rsidRPr="003B13AB">
        <w:rPr>
          <w:rFonts w:ascii="Times New Roman" w:eastAsia="TimesNewRomanPSMT" w:hAnsi="Times New Roman" w:cs="Times New Roman"/>
          <w:b/>
          <w:color w:val="000000" w:themeColor="text1"/>
          <w:sz w:val="24"/>
          <w:szCs w:val="24"/>
        </w:rPr>
        <w:t>C</w:t>
      </w:r>
      <w:r w:rsidRPr="003B13AB">
        <w:rPr>
          <w:rFonts w:ascii="Times New Roman" w:eastAsia="TimesNewRomanPSMT" w:hAnsi="Times New Roman" w:cs="Times New Roman"/>
          <w:b/>
          <w:color w:val="000000" w:themeColor="text1"/>
          <w:sz w:val="24"/>
          <w:szCs w:val="24"/>
          <w:vertAlign w:val="superscript"/>
        </w:rPr>
        <w:t xml:space="preserve"> </w:t>
      </w:r>
      <w:r w:rsidRPr="003B13AB">
        <w:rPr>
          <w:rFonts w:ascii="Times New Roman" w:eastAsia="TimesNewRomanPSMT" w:hAnsi="Times New Roman" w:cs="Times New Roman"/>
          <w:b/>
          <w:color w:val="000000" w:themeColor="text1"/>
          <w:sz w:val="24"/>
          <w:szCs w:val="24"/>
        </w:rPr>
        <w:t>-NMR Spectrum</w:t>
      </w:r>
    </w:p>
    <w:p w14:paraId="5937BB01" w14:textId="77777777" w:rsidR="005274F5" w:rsidRPr="003B13AB" w:rsidRDefault="005274F5" w:rsidP="005274F5">
      <w:pPr>
        <w:spacing w:after="0" w:line="360" w:lineRule="auto"/>
        <w:jc w:val="both"/>
        <w:rPr>
          <w:rFonts w:ascii="Times New Roman" w:hAnsi="Times New Roman" w:cs="Times New Roman"/>
          <w:b/>
          <w:color w:val="000000" w:themeColor="text1"/>
          <w:sz w:val="24"/>
          <w:szCs w:val="24"/>
        </w:rPr>
      </w:pPr>
    </w:p>
    <w:p w14:paraId="4A0DF14D" w14:textId="6C432646" w:rsidR="005274F5" w:rsidRPr="003B13AB" w:rsidRDefault="005274F5" w:rsidP="005274F5">
      <w:pPr>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 xml:space="preserve">Mass Spectrum Isolated </w:t>
      </w:r>
      <w:proofErr w:type="spellStart"/>
      <w:r w:rsidRPr="003B13AB">
        <w:rPr>
          <w:rFonts w:ascii="Times New Roman" w:hAnsi="Times New Roman" w:cs="Times New Roman"/>
          <w:b/>
          <w:color w:val="000000" w:themeColor="text1"/>
          <w:sz w:val="24"/>
          <w:szCs w:val="24"/>
        </w:rPr>
        <w:t>Mangiferin</w:t>
      </w:r>
      <w:proofErr w:type="spellEnd"/>
    </w:p>
    <w:p w14:paraId="13EEEBF2"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4FDE55A4" w14:textId="305834E2" w:rsidR="005274F5" w:rsidRPr="003B13AB" w:rsidRDefault="005274F5" w:rsidP="005274F5">
      <w:pPr>
        <w:spacing w:after="0" w:line="360" w:lineRule="auto"/>
        <w:ind w:firstLine="720"/>
        <w:jc w:val="both"/>
        <w:rPr>
          <w:rFonts w:ascii="Times New Roman" w:hAnsi="Times New Roman" w:cs="Times New Roman"/>
          <w:b/>
          <w:color w:val="000000" w:themeColor="text1"/>
          <w:sz w:val="24"/>
          <w:szCs w:val="24"/>
        </w:rPr>
      </w:pPr>
      <w:r w:rsidRPr="003B13AB">
        <w:rPr>
          <w:rFonts w:ascii="Times New Roman" w:hAnsi="Times New Roman" w:cs="Times New Roman"/>
          <w:color w:val="000000" w:themeColor="text1"/>
          <w:sz w:val="24"/>
          <w:szCs w:val="24"/>
        </w:rPr>
        <w:t xml:space="preserve">The mass spectrum of the isolated compound (Fig. 7) elucidated a prominent molecular ion peak [M]⁺ at m/z 301.12, confirming the identity of the compound as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The corresponding molecular formula was deduced to be C₁₉H₁₈O₁₁, which is consistent with the reported chemical structure of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These findings are in close agreement with earlier studies by Cai </w:t>
      </w:r>
      <w:r w:rsidRPr="00754AB3">
        <w:rPr>
          <w:rFonts w:ascii="Times New Roman" w:hAnsi="Times New Roman" w:cs="Times New Roman"/>
          <w:i/>
          <w:iCs/>
          <w:color w:val="000000" w:themeColor="text1"/>
          <w:sz w:val="24"/>
          <w:szCs w:val="24"/>
        </w:rPr>
        <w:t>et al</w:t>
      </w:r>
      <w:r w:rsidRPr="003B13AB">
        <w:rPr>
          <w:rFonts w:ascii="Times New Roman" w:hAnsi="Times New Roman" w:cs="Times New Roman"/>
          <w:color w:val="000000" w:themeColor="text1"/>
          <w:sz w:val="24"/>
          <w:szCs w:val="24"/>
        </w:rPr>
        <w:t>.</w:t>
      </w:r>
      <w:r w:rsidR="00754AB3">
        <w:rPr>
          <w:rFonts w:ascii="Times New Roman" w:hAnsi="Times New Roman" w:cs="Times New Roman"/>
          <w:color w:val="000000" w:themeColor="text1"/>
          <w:sz w:val="24"/>
          <w:szCs w:val="24"/>
        </w:rPr>
        <w:t>,</w:t>
      </w:r>
      <w:r w:rsidRPr="003B13AB">
        <w:rPr>
          <w:rFonts w:ascii="Times New Roman" w:hAnsi="Times New Roman" w:cs="Times New Roman"/>
          <w:color w:val="000000" w:themeColor="text1"/>
          <w:sz w:val="24"/>
          <w:szCs w:val="24"/>
        </w:rPr>
        <w:t xml:space="preserve"> (2014), reported a molecular ion peak at m/z 301.10 for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isolated from </w:t>
      </w:r>
      <w:proofErr w:type="spellStart"/>
      <w:r w:rsidRPr="003B13AB">
        <w:rPr>
          <w:rStyle w:val="Emphasis"/>
          <w:rFonts w:ascii="Times New Roman" w:hAnsi="Times New Roman" w:cs="Times New Roman"/>
          <w:color w:val="000000" w:themeColor="text1"/>
          <w:sz w:val="24"/>
          <w:szCs w:val="24"/>
        </w:rPr>
        <w:t>Mangifera</w:t>
      </w:r>
      <w:proofErr w:type="spellEnd"/>
      <w:r w:rsidRPr="003B13AB">
        <w:rPr>
          <w:rStyle w:val="Emphasis"/>
          <w:rFonts w:ascii="Times New Roman" w:hAnsi="Times New Roman" w:cs="Times New Roman"/>
          <w:color w:val="000000" w:themeColor="text1"/>
          <w:sz w:val="24"/>
          <w:szCs w:val="24"/>
        </w:rPr>
        <w:t xml:space="preserve"> indica</w:t>
      </w:r>
      <w:r w:rsidRPr="003B13AB">
        <w:rPr>
          <w:rFonts w:ascii="Times New Roman" w:hAnsi="Times New Roman" w:cs="Times New Roman"/>
          <w:color w:val="000000" w:themeColor="text1"/>
          <w:sz w:val="24"/>
          <w:szCs w:val="24"/>
        </w:rPr>
        <w:t xml:space="preserve"> L. The slight variation in the observed m/z value may be attributed to differences in instrumental resolution or experimental conditions. The mass spectral data provide strong support for the successful isolation and structural confirmation of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w:t>
      </w:r>
    </w:p>
    <w:p w14:paraId="1F884D4C" w14:textId="77777777" w:rsidR="005274F5" w:rsidRPr="003B13AB" w:rsidRDefault="005274F5" w:rsidP="005274F5">
      <w:pPr>
        <w:tabs>
          <w:tab w:val="left" w:pos="6171"/>
        </w:tabs>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noProof/>
          <w:color w:val="000000" w:themeColor="text1"/>
          <w:sz w:val="24"/>
          <w:szCs w:val="24"/>
          <w:lang w:val="en-US"/>
        </w:rPr>
        <w:lastRenderedPageBreak/>
        <w:drawing>
          <wp:anchor distT="0" distB="0" distL="114300" distR="114300" simplePos="0" relativeHeight="251661312" behindDoc="1" locked="0" layoutInCell="1" allowOverlap="1" wp14:anchorId="30C32834" wp14:editId="49EA2383">
            <wp:simplePos x="0" y="0"/>
            <wp:positionH relativeFrom="column">
              <wp:posOffset>862330</wp:posOffset>
            </wp:positionH>
            <wp:positionV relativeFrom="paragraph">
              <wp:posOffset>298450</wp:posOffset>
            </wp:positionV>
            <wp:extent cx="4252595" cy="2870835"/>
            <wp:effectExtent l="19050" t="19050" r="0" b="571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lum bright="-20000" contrast="40000"/>
                      <a:extLst>
                        <a:ext uri="{28A0092B-C50C-407E-A947-70E740481C1C}">
                          <a14:useLocalDpi xmlns:a14="http://schemas.microsoft.com/office/drawing/2010/main" val="0"/>
                        </a:ext>
                      </a:extLst>
                    </a:blip>
                    <a:srcRect/>
                    <a:stretch>
                      <a:fillRect/>
                    </a:stretch>
                  </pic:blipFill>
                  <pic:spPr bwMode="auto">
                    <a:xfrm>
                      <a:off x="0" y="0"/>
                      <a:ext cx="4252595" cy="287083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B0A127C" w14:textId="77777777" w:rsidR="005274F5" w:rsidRPr="003B13AB" w:rsidRDefault="005274F5" w:rsidP="005274F5">
      <w:pPr>
        <w:tabs>
          <w:tab w:val="left" w:pos="6171"/>
        </w:tabs>
        <w:spacing w:after="0" w:line="360" w:lineRule="auto"/>
        <w:jc w:val="center"/>
        <w:rPr>
          <w:rFonts w:ascii="Times New Roman" w:hAnsi="Times New Roman" w:cs="Times New Roman"/>
          <w:b/>
          <w:color w:val="000000" w:themeColor="text1"/>
          <w:sz w:val="24"/>
          <w:szCs w:val="24"/>
        </w:rPr>
      </w:pPr>
    </w:p>
    <w:p w14:paraId="5C73E986" w14:textId="77777777" w:rsidR="005274F5" w:rsidRPr="003B13AB" w:rsidRDefault="005274F5" w:rsidP="005274F5">
      <w:pPr>
        <w:tabs>
          <w:tab w:val="left" w:pos="6171"/>
        </w:tabs>
        <w:spacing w:after="0" w:line="360" w:lineRule="auto"/>
        <w:jc w:val="center"/>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Fig. 7. Mass spectrum of isolated compound</w:t>
      </w:r>
    </w:p>
    <w:p w14:paraId="65D2A8A6" w14:textId="77777777" w:rsidR="005274F5" w:rsidRPr="003B13AB" w:rsidRDefault="005274F5" w:rsidP="005274F5">
      <w:pPr>
        <w:tabs>
          <w:tab w:val="left" w:pos="6171"/>
        </w:tabs>
        <w:spacing w:after="0" w:line="360" w:lineRule="auto"/>
        <w:jc w:val="both"/>
        <w:rPr>
          <w:rFonts w:ascii="Times New Roman" w:hAnsi="Times New Roman" w:cs="Times New Roman"/>
          <w:b/>
          <w:color w:val="000000" w:themeColor="text1"/>
          <w:sz w:val="24"/>
          <w:szCs w:val="24"/>
        </w:rPr>
      </w:pPr>
    </w:p>
    <w:p w14:paraId="5D9CC284" w14:textId="77777777" w:rsidR="005274F5" w:rsidRPr="003B13AB" w:rsidRDefault="005274F5" w:rsidP="005274F5">
      <w:pPr>
        <w:tabs>
          <w:tab w:val="left" w:pos="6171"/>
        </w:tabs>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The cumulative results from HPLC and spectroscopic analyses (UV–Vis, FTIR, NMR, and MS) confirmed the successful isolation and structural identity of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from </w:t>
      </w:r>
      <w:proofErr w:type="spellStart"/>
      <w:r w:rsidRPr="003B13AB">
        <w:rPr>
          <w:rFonts w:ascii="Times New Roman" w:hAnsi="Times New Roman" w:cs="Times New Roman"/>
          <w:i/>
          <w:iCs/>
          <w:color w:val="000000" w:themeColor="text1"/>
          <w:sz w:val="24"/>
          <w:szCs w:val="24"/>
        </w:rPr>
        <w:t>Mangifera</w:t>
      </w:r>
      <w:proofErr w:type="spellEnd"/>
      <w:r w:rsidRPr="003B13AB">
        <w:rPr>
          <w:rFonts w:ascii="Times New Roman" w:hAnsi="Times New Roman" w:cs="Times New Roman"/>
          <w:i/>
          <w:iCs/>
          <w:color w:val="000000" w:themeColor="text1"/>
          <w:sz w:val="24"/>
          <w:szCs w:val="24"/>
        </w:rPr>
        <w:t xml:space="preserve"> </w:t>
      </w:r>
      <w:proofErr w:type="spellStart"/>
      <w:r w:rsidRPr="003B13AB">
        <w:rPr>
          <w:rFonts w:ascii="Times New Roman" w:hAnsi="Times New Roman" w:cs="Times New Roman"/>
          <w:i/>
          <w:iCs/>
          <w:color w:val="000000" w:themeColor="text1"/>
          <w:sz w:val="24"/>
          <w:szCs w:val="24"/>
        </w:rPr>
        <w:t>indica</w:t>
      </w:r>
      <w:proofErr w:type="spellEnd"/>
      <w:r w:rsidRPr="003B13AB">
        <w:rPr>
          <w:rFonts w:ascii="Times New Roman" w:hAnsi="Times New Roman" w:cs="Times New Roman"/>
          <w:color w:val="000000" w:themeColor="text1"/>
          <w:sz w:val="24"/>
          <w:szCs w:val="24"/>
        </w:rPr>
        <w:t xml:space="preserve"> L. bark with high purity. Characteristic functional groups, aromatic xanthone framework, glycosidic moiety, and molecular ion peak consistent with reported literature validated its polyphenolic nature.</w:t>
      </w:r>
    </w:p>
    <w:p w14:paraId="61DF3677" w14:textId="77777777" w:rsidR="005274F5" w:rsidRPr="003B13AB" w:rsidRDefault="005274F5" w:rsidP="005274F5">
      <w:pPr>
        <w:tabs>
          <w:tab w:val="left" w:pos="6171"/>
        </w:tabs>
        <w:spacing w:after="0" w:line="360" w:lineRule="auto"/>
        <w:jc w:val="both"/>
        <w:rPr>
          <w:rFonts w:ascii="Times New Roman" w:hAnsi="Times New Roman" w:cs="Times New Roman"/>
          <w:b/>
          <w:color w:val="000000" w:themeColor="text1"/>
          <w:sz w:val="24"/>
          <w:szCs w:val="24"/>
        </w:rPr>
      </w:pPr>
    </w:p>
    <w:p w14:paraId="72E67F55" w14:textId="0EE9D90F" w:rsidR="005274F5" w:rsidRPr="00EA5389" w:rsidRDefault="005274F5" w:rsidP="005274F5">
      <w:pPr>
        <w:tabs>
          <w:tab w:val="left" w:pos="6171"/>
        </w:tabs>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 xml:space="preserve">Antioxidant Activity of </w:t>
      </w:r>
      <w:proofErr w:type="spellStart"/>
      <w:r w:rsidRPr="003B13AB">
        <w:rPr>
          <w:rFonts w:ascii="Times New Roman" w:hAnsi="Times New Roman" w:cs="Times New Roman"/>
          <w:b/>
          <w:color w:val="000000" w:themeColor="text1"/>
          <w:sz w:val="24"/>
          <w:szCs w:val="24"/>
        </w:rPr>
        <w:t>Mangiferin</w:t>
      </w:r>
      <w:proofErr w:type="spellEnd"/>
      <w:r w:rsidRPr="003B13AB">
        <w:rPr>
          <w:rFonts w:ascii="Times New Roman" w:hAnsi="Times New Roman" w:cs="Times New Roman"/>
          <w:b/>
          <w:color w:val="000000" w:themeColor="text1"/>
          <w:sz w:val="24"/>
          <w:szCs w:val="24"/>
        </w:rPr>
        <w:t xml:space="preserve"> from </w:t>
      </w:r>
      <w:proofErr w:type="spellStart"/>
      <w:r w:rsidRPr="003B13AB">
        <w:rPr>
          <w:rFonts w:ascii="Times New Roman" w:hAnsi="Times New Roman" w:cs="Times New Roman"/>
          <w:b/>
          <w:i/>
          <w:iCs/>
          <w:color w:val="000000" w:themeColor="text1"/>
          <w:sz w:val="24"/>
          <w:szCs w:val="24"/>
        </w:rPr>
        <w:t>Mangifera</w:t>
      </w:r>
      <w:proofErr w:type="spellEnd"/>
      <w:r w:rsidRPr="003B13AB">
        <w:rPr>
          <w:rFonts w:ascii="Times New Roman" w:hAnsi="Times New Roman" w:cs="Times New Roman"/>
          <w:b/>
          <w:i/>
          <w:iCs/>
          <w:color w:val="000000" w:themeColor="text1"/>
          <w:sz w:val="24"/>
          <w:szCs w:val="24"/>
        </w:rPr>
        <w:t xml:space="preserve"> </w:t>
      </w:r>
      <w:proofErr w:type="spellStart"/>
      <w:r w:rsidRPr="003B13AB">
        <w:rPr>
          <w:rFonts w:ascii="Times New Roman" w:hAnsi="Times New Roman" w:cs="Times New Roman"/>
          <w:b/>
          <w:i/>
          <w:iCs/>
          <w:color w:val="000000" w:themeColor="text1"/>
          <w:sz w:val="24"/>
          <w:szCs w:val="24"/>
        </w:rPr>
        <w:t>indica</w:t>
      </w:r>
      <w:proofErr w:type="spellEnd"/>
      <w:r w:rsidRPr="003B13AB">
        <w:rPr>
          <w:rFonts w:ascii="Times New Roman" w:hAnsi="Times New Roman" w:cs="Times New Roman"/>
          <w:b/>
          <w:color w:val="000000" w:themeColor="text1"/>
          <w:sz w:val="24"/>
          <w:szCs w:val="24"/>
        </w:rPr>
        <w:t xml:space="preserve"> L. Bark</w:t>
      </w:r>
      <w:r w:rsidR="00EA5389">
        <w:rPr>
          <w:rFonts w:ascii="Times New Roman" w:hAnsi="Times New Roman" w:cs="Times New Roman"/>
          <w:b/>
          <w:color w:val="000000" w:themeColor="text1"/>
          <w:sz w:val="24"/>
          <w:szCs w:val="24"/>
        </w:rPr>
        <w:t xml:space="preserve"> </w:t>
      </w:r>
      <w:r w:rsidRPr="003B13AB">
        <w:rPr>
          <w:rFonts w:ascii="Times New Roman" w:hAnsi="Times New Roman" w:cs="Times New Roman"/>
          <w:b/>
          <w:bCs/>
          <w:color w:val="000000" w:themeColor="text1"/>
          <w:sz w:val="24"/>
          <w:szCs w:val="24"/>
        </w:rPr>
        <w:t>DPPH radical scavenging assay</w:t>
      </w:r>
    </w:p>
    <w:p w14:paraId="0FAFE6C1" w14:textId="77777777" w:rsidR="005274F5" w:rsidRPr="003B13AB" w:rsidRDefault="005274F5" w:rsidP="005274F5">
      <w:pPr>
        <w:tabs>
          <w:tab w:val="left" w:pos="6171"/>
        </w:tabs>
        <w:spacing w:after="0" w:line="360" w:lineRule="auto"/>
        <w:jc w:val="both"/>
        <w:rPr>
          <w:rFonts w:ascii="Times New Roman" w:hAnsi="Times New Roman" w:cs="Times New Roman"/>
          <w:color w:val="000000" w:themeColor="text1"/>
          <w:sz w:val="24"/>
          <w:szCs w:val="24"/>
        </w:rPr>
      </w:pPr>
    </w:p>
    <w:p w14:paraId="6A342BCA" w14:textId="77777777" w:rsidR="005274F5" w:rsidRPr="003B13AB" w:rsidRDefault="005274F5" w:rsidP="005274F5">
      <w:pPr>
        <w:spacing w:after="0" w:line="360" w:lineRule="auto"/>
        <w:jc w:val="both"/>
        <w:rPr>
          <w:rFonts w:ascii="Times New Roman" w:hAnsi="Times New Roman" w:cs="Times New Roman"/>
          <w:color w:val="000000" w:themeColor="text1"/>
          <w:kern w:val="0"/>
          <w:sz w:val="24"/>
          <w:szCs w:val="24"/>
          <w:lang w:val="en-US"/>
          <w14:ligatures w14:val="standardContextual"/>
        </w:rPr>
      </w:pPr>
      <w:r w:rsidRPr="003B13AB">
        <w:rPr>
          <w:rFonts w:ascii="Times New Roman" w:hAnsi="Times New Roman" w:cs="Times New Roman"/>
          <w:color w:val="000000" w:themeColor="text1"/>
          <w:kern w:val="0"/>
          <w:sz w:val="24"/>
          <w:szCs w:val="24"/>
          <w:lang w:val="en-US"/>
          <w14:ligatures w14:val="standardContextual"/>
        </w:rPr>
        <w:t xml:space="preserve">The DPPH assay is a widely accepted method for assessing the in vitro antioxidant potential of natural compounds by measuring their ability to donate hydrogen atoms to the stable DPPH radical. Reduction of the deep violet DPPH radical to its non-radical form results in a </w:t>
      </w:r>
      <w:proofErr w:type="spellStart"/>
      <w:r w:rsidRPr="003B13AB">
        <w:rPr>
          <w:rFonts w:ascii="Times New Roman" w:hAnsi="Times New Roman" w:cs="Times New Roman"/>
          <w:color w:val="000000" w:themeColor="text1"/>
          <w:kern w:val="0"/>
          <w:sz w:val="24"/>
          <w:szCs w:val="24"/>
          <w:lang w:val="en-US"/>
          <w14:ligatures w14:val="standardContextual"/>
        </w:rPr>
        <w:t>colour</w:t>
      </w:r>
      <w:proofErr w:type="spellEnd"/>
      <w:r w:rsidRPr="003B13AB">
        <w:rPr>
          <w:rFonts w:ascii="Times New Roman" w:hAnsi="Times New Roman" w:cs="Times New Roman"/>
          <w:color w:val="000000" w:themeColor="text1"/>
          <w:kern w:val="0"/>
          <w:sz w:val="24"/>
          <w:szCs w:val="24"/>
          <w:lang w:val="en-US"/>
          <w14:ligatures w14:val="standardContextual"/>
        </w:rPr>
        <w:t xml:space="preserve"> change to pale yellow, which can be quantitatively monitored using UV–Visible spectroscopy (</w:t>
      </w:r>
      <w:proofErr w:type="spellStart"/>
      <w:r w:rsidRPr="003B13AB">
        <w:rPr>
          <w:rFonts w:ascii="Times New Roman" w:hAnsi="Times New Roman" w:cs="Times New Roman"/>
          <w:color w:val="000000" w:themeColor="text1"/>
          <w:kern w:val="0"/>
          <w:sz w:val="24"/>
          <w:szCs w:val="24"/>
          <w:lang w:val="en-US"/>
          <w14:ligatures w14:val="standardContextual"/>
        </w:rPr>
        <w:t>Gulcin</w:t>
      </w:r>
      <w:proofErr w:type="spellEnd"/>
      <w:r w:rsidRPr="003B13AB">
        <w:rPr>
          <w:rFonts w:ascii="Times New Roman" w:hAnsi="Times New Roman" w:cs="Times New Roman"/>
          <w:color w:val="000000" w:themeColor="text1"/>
          <w:kern w:val="0"/>
          <w:sz w:val="24"/>
          <w:szCs w:val="24"/>
          <w:lang w:val="en-US"/>
          <w14:ligatures w14:val="standardContextual"/>
        </w:rPr>
        <w:t xml:space="preserve"> </w:t>
      </w:r>
      <w:r w:rsidRPr="00B65600">
        <w:rPr>
          <w:rFonts w:ascii="Times New Roman" w:hAnsi="Times New Roman" w:cs="Times New Roman"/>
          <w:i/>
          <w:iCs/>
          <w:color w:val="000000" w:themeColor="text1"/>
          <w:kern w:val="0"/>
          <w:sz w:val="24"/>
          <w:szCs w:val="24"/>
          <w:lang w:val="en-US"/>
          <w14:ligatures w14:val="standardContextual"/>
        </w:rPr>
        <w:t>et al</w:t>
      </w:r>
      <w:r w:rsidRPr="003B13AB">
        <w:rPr>
          <w:rFonts w:ascii="Times New Roman" w:hAnsi="Times New Roman" w:cs="Times New Roman"/>
          <w:color w:val="000000" w:themeColor="text1"/>
          <w:kern w:val="0"/>
          <w:sz w:val="24"/>
          <w:szCs w:val="24"/>
          <w:lang w:val="en-US"/>
          <w14:ligatures w14:val="standardContextual"/>
        </w:rPr>
        <w:t>., 2023).</w:t>
      </w:r>
    </w:p>
    <w:p w14:paraId="6E80CEA1" w14:textId="77777777" w:rsidR="005274F5" w:rsidRPr="003B13AB" w:rsidRDefault="005274F5" w:rsidP="005274F5">
      <w:pPr>
        <w:spacing w:after="0" w:line="360" w:lineRule="auto"/>
        <w:jc w:val="both"/>
        <w:rPr>
          <w:rFonts w:ascii="Times New Roman" w:hAnsi="Times New Roman" w:cs="Times New Roman"/>
          <w:color w:val="000000" w:themeColor="text1"/>
          <w:kern w:val="0"/>
          <w:sz w:val="24"/>
          <w:szCs w:val="24"/>
          <w:lang w:val="en-US"/>
          <w14:ligatures w14:val="standardContextual"/>
        </w:rPr>
      </w:pPr>
    </w:p>
    <w:p w14:paraId="5E83E60E" w14:textId="77777777" w:rsidR="005274F5" w:rsidRPr="003B13AB" w:rsidRDefault="005274F5" w:rsidP="005274F5">
      <w:pPr>
        <w:spacing w:after="0" w:line="360" w:lineRule="auto"/>
        <w:jc w:val="both"/>
        <w:rPr>
          <w:rFonts w:ascii="Times New Roman" w:hAnsi="Times New Roman" w:cs="Times New Roman"/>
          <w:color w:val="000000" w:themeColor="text1"/>
          <w:kern w:val="0"/>
          <w:sz w:val="24"/>
          <w:szCs w:val="24"/>
          <w:lang w:val="en-US"/>
          <w14:ligatures w14:val="standardContextual"/>
        </w:rPr>
      </w:pPr>
      <w:r w:rsidRPr="003B13AB">
        <w:rPr>
          <w:rFonts w:ascii="Times New Roman" w:hAnsi="Times New Roman" w:cs="Times New Roman"/>
          <w:color w:val="000000" w:themeColor="text1"/>
          <w:kern w:val="0"/>
          <w:sz w:val="24"/>
          <w:szCs w:val="24"/>
          <w:lang w:val="en-US"/>
          <w14:ligatures w14:val="standardContextual"/>
        </w:rPr>
        <w:t xml:space="preserve">In the present study, </w:t>
      </w:r>
      <w:proofErr w:type="spellStart"/>
      <w:r w:rsidRPr="003B13AB">
        <w:rPr>
          <w:rFonts w:ascii="Times New Roman" w:hAnsi="Times New Roman" w:cs="Times New Roman"/>
          <w:color w:val="000000" w:themeColor="text1"/>
          <w:kern w:val="0"/>
          <w:sz w:val="24"/>
          <w:szCs w:val="24"/>
          <w:lang w:val="en-US"/>
          <w14:ligatures w14:val="standardContextual"/>
        </w:rPr>
        <w:t>Mangiferin</w:t>
      </w:r>
      <w:proofErr w:type="spellEnd"/>
      <w:r w:rsidRPr="003B13AB">
        <w:rPr>
          <w:rFonts w:ascii="Times New Roman" w:hAnsi="Times New Roman" w:cs="Times New Roman"/>
          <w:color w:val="000000" w:themeColor="text1"/>
          <w:kern w:val="0"/>
          <w:sz w:val="24"/>
          <w:szCs w:val="24"/>
          <w:lang w:val="en-US"/>
          <w14:ligatures w14:val="standardContextual"/>
        </w:rPr>
        <w:t xml:space="preserve"> exhibited effective DPPH radical scavenging activity, as indicated by the visible </w:t>
      </w:r>
      <w:proofErr w:type="spellStart"/>
      <w:r w:rsidRPr="003B13AB">
        <w:rPr>
          <w:rFonts w:ascii="Times New Roman" w:hAnsi="Times New Roman" w:cs="Times New Roman"/>
          <w:color w:val="000000" w:themeColor="text1"/>
          <w:kern w:val="0"/>
          <w:sz w:val="24"/>
          <w:szCs w:val="24"/>
          <w:lang w:val="en-US"/>
          <w14:ligatures w14:val="standardContextual"/>
        </w:rPr>
        <w:t>colour</w:t>
      </w:r>
      <w:proofErr w:type="spellEnd"/>
      <w:r w:rsidRPr="003B13AB">
        <w:rPr>
          <w:rFonts w:ascii="Times New Roman" w:hAnsi="Times New Roman" w:cs="Times New Roman"/>
          <w:color w:val="000000" w:themeColor="text1"/>
          <w:kern w:val="0"/>
          <w:sz w:val="24"/>
          <w:szCs w:val="24"/>
          <w:lang w:val="en-US"/>
          <w14:ligatures w14:val="standardContextual"/>
        </w:rPr>
        <w:t xml:space="preserve"> change from violet to yellow. </w:t>
      </w:r>
      <w:proofErr w:type="spellStart"/>
      <w:r w:rsidRPr="003B13AB">
        <w:rPr>
          <w:rFonts w:ascii="Times New Roman" w:hAnsi="Times New Roman" w:cs="Times New Roman"/>
          <w:color w:val="000000" w:themeColor="text1"/>
          <w:kern w:val="0"/>
          <w:sz w:val="24"/>
          <w:szCs w:val="24"/>
          <w:lang w:val="en-US"/>
          <w14:ligatures w14:val="standardContextual"/>
        </w:rPr>
        <w:t>Mangiferin</w:t>
      </w:r>
      <w:proofErr w:type="spellEnd"/>
      <w:r w:rsidRPr="003B13AB">
        <w:rPr>
          <w:rFonts w:ascii="Times New Roman" w:hAnsi="Times New Roman" w:cs="Times New Roman"/>
          <w:color w:val="000000" w:themeColor="text1"/>
          <w:kern w:val="0"/>
          <w:sz w:val="24"/>
          <w:szCs w:val="24"/>
          <w:lang w:val="en-US"/>
          <w14:ligatures w14:val="standardContextual"/>
        </w:rPr>
        <w:t xml:space="preserve"> showed an IC₅₀ value of 36.6 µg/ml, which was comparable to that of the standard antioxidant ascorbic acid (31.15 </w:t>
      </w:r>
      <w:r w:rsidRPr="003B13AB">
        <w:rPr>
          <w:rFonts w:ascii="Times New Roman" w:hAnsi="Times New Roman" w:cs="Times New Roman"/>
          <w:color w:val="000000" w:themeColor="text1"/>
          <w:kern w:val="0"/>
          <w:sz w:val="24"/>
          <w:szCs w:val="24"/>
          <w:lang w:val="en-US"/>
          <w14:ligatures w14:val="standardContextual"/>
        </w:rPr>
        <w:lastRenderedPageBreak/>
        <w:t xml:space="preserve">µg/ml) (Fig. 8). A significant concentration-dependent increase in radical scavenging activity was observed, indicating that </w:t>
      </w:r>
      <w:proofErr w:type="spellStart"/>
      <w:r w:rsidRPr="003B13AB">
        <w:rPr>
          <w:rFonts w:ascii="Times New Roman" w:hAnsi="Times New Roman" w:cs="Times New Roman"/>
          <w:color w:val="000000" w:themeColor="text1"/>
          <w:kern w:val="0"/>
          <w:sz w:val="24"/>
          <w:szCs w:val="24"/>
          <w:lang w:val="en-US"/>
          <w14:ligatures w14:val="standardContextual"/>
        </w:rPr>
        <w:t>Mangiferin</w:t>
      </w:r>
      <w:proofErr w:type="spellEnd"/>
      <w:r w:rsidRPr="003B13AB">
        <w:rPr>
          <w:rFonts w:ascii="Times New Roman" w:hAnsi="Times New Roman" w:cs="Times New Roman"/>
          <w:color w:val="000000" w:themeColor="text1"/>
          <w:kern w:val="0"/>
          <w:sz w:val="24"/>
          <w:szCs w:val="24"/>
          <w:lang w:val="en-US"/>
          <w14:ligatures w14:val="standardContextual"/>
        </w:rPr>
        <w:t xml:space="preserve"> acts as an efficient hydrogen donor. These findings suggest that </w:t>
      </w:r>
      <w:proofErr w:type="spellStart"/>
      <w:r w:rsidRPr="003B13AB">
        <w:rPr>
          <w:rFonts w:ascii="Times New Roman" w:hAnsi="Times New Roman" w:cs="Times New Roman"/>
          <w:color w:val="000000" w:themeColor="text1"/>
          <w:kern w:val="0"/>
          <w:sz w:val="24"/>
          <w:szCs w:val="24"/>
          <w:lang w:val="en-US"/>
          <w14:ligatures w14:val="standardContextual"/>
        </w:rPr>
        <w:t>Mangiferin</w:t>
      </w:r>
      <w:proofErr w:type="spellEnd"/>
      <w:r w:rsidRPr="003B13AB">
        <w:rPr>
          <w:rFonts w:ascii="Times New Roman" w:hAnsi="Times New Roman" w:cs="Times New Roman"/>
          <w:color w:val="000000" w:themeColor="text1"/>
          <w:kern w:val="0"/>
          <w:sz w:val="24"/>
          <w:szCs w:val="24"/>
          <w:lang w:val="en-US"/>
          <w14:ligatures w14:val="standardContextual"/>
        </w:rPr>
        <w:t xml:space="preserve"> possesses strong antioxidant potential and contributes effectively to free radical neutralization under in vitro conditions.</w:t>
      </w:r>
    </w:p>
    <w:p w14:paraId="051D92C3" w14:textId="77777777" w:rsidR="005274F5" w:rsidRPr="003B13AB" w:rsidRDefault="005274F5" w:rsidP="005274F5">
      <w:pPr>
        <w:spacing w:after="0" w:line="360" w:lineRule="auto"/>
        <w:jc w:val="both"/>
        <w:rPr>
          <w:rFonts w:ascii="Times New Roman" w:hAnsi="Times New Roman" w:cs="Times New Roman"/>
          <w:color w:val="000000" w:themeColor="text1"/>
          <w:kern w:val="0"/>
          <w:sz w:val="24"/>
          <w:szCs w:val="24"/>
          <w:lang w:val="en-US"/>
          <w14:ligatures w14:val="standardContextual"/>
        </w:rPr>
      </w:pPr>
    </w:p>
    <w:p w14:paraId="5A93F6FD" w14:textId="77777777" w:rsidR="005274F5" w:rsidRPr="003B13AB" w:rsidRDefault="005274F5" w:rsidP="005274F5">
      <w:pPr>
        <w:spacing w:after="0" w:line="360" w:lineRule="auto"/>
        <w:jc w:val="center"/>
        <w:rPr>
          <w:rFonts w:ascii="Times New Roman" w:hAnsi="Times New Roman" w:cs="Times New Roman"/>
          <w:color w:val="000000" w:themeColor="text1"/>
          <w:sz w:val="24"/>
          <w:szCs w:val="24"/>
        </w:rPr>
      </w:pPr>
      <w:r w:rsidRPr="003B13AB">
        <w:rPr>
          <w:rFonts w:ascii="Times New Roman" w:hAnsi="Times New Roman" w:cs="Times New Roman"/>
          <w:noProof/>
          <w:color w:val="000000" w:themeColor="text1"/>
          <w:sz w:val="24"/>
          <w:szCs w:val="24"/>
          <w:lang w:val="en-US"/>
        </w:rPr>
        <w:drawing>
          <wp:inline distT="0" distB="0" distL="0" distR="0" wp14:anchorId="36614383" wp14:editId="4C67DA25">
            <wp:extent cx="4593771" cy="2801516"/>
            <wp:effectExtent l="0" t="0" r="16510" b="18415"/>
            <wp:docPr id="1" name="Chart 1">
              <a:extLst xmlns:a="http://schemas.openxmlformats.org/drawingml/2006/main">
                <a:ext uri="{FF2B5EF4-FFF2-40B4-BE49-F238E27FC236}">
                  <a16:creationId xmlns:a16="http://schemas.microsoft.com/office/drawing/2014/main" id="{781F0E24-E13C-4D50-B8F7-9DA38DCE9E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97731EE"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61884FF6" w14:textId="756C2E55" w:rsidR="005274F5" w:rsidRPr="00E54747" w:rsidRDefault="005274F5" w:rsidP="00E54747">
      <w:pPr>
        <w:spacing w:after="0" w:line="360" w:lineRule="auto"/>
        <w:jc w:val="center"/>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Fig. 8. DPPH radical scavenging assay.</w:t>
      </w:r>
      <w:r w:rsidR="00E54747">
        <w:rPr>
          <w:rFonts w:ascii="Times New Roman" w:hAnsi="Times New Roman" w:cs="Times New Roman"/>
          <w:b/>
          <w:bCs/>
          <w:color w:val="000000" w:themeColor="text1"/>
          <w:sz w:val="24"/>
          <w:szCs w:val="24"/>
        </w:rPr>
        <w:t xml:space="preserve"> </w:t>
      </w:r>
      <w:r w:rsidRPr="00E54747">
        <w:rPr>
          <w:rFonts w:ascii="Times New Roman" w:hAnsi="Times New Roman" w:cs="Times New Roman"/>
          <w:b/>
          <w:bCs/>
          <w:color w:val="000000" w:themeColor="text1"/>
          <w:sz w:val="24"/>
          <w:szCs w:val="24"/>
        </w:rPr>
        <w:t xml:space="preserve">Values are expressed as the mean ± S.D. (n=3). Different superscript </w:t>
      </w:r>
      <w:proofErr w:type="gramStart"/>
      <w:r w:rsidRPr="00E54747">
        <w:rPr>
          <w:rFonts w:ascii="Times New Roman" w:hAnsi="Times New Roman" w:cs="Times New Roman"/>
          <w:b/>
          <w:bCs/>
          <w:color w:val="000000" w:themeColor="text1"/>
          <w:sz w:val="24"/>
          <w:szCs w:val="24"/>
        </w:rPr>
        <w:t>indicate</w:t>
      </w:r>
      <w:proofErr w:type="gramEnd"/>
      <w:r w:rsidRPr="00E54747">
        <w:rPr>
          <w:rFonts w:ascii="Times New Roman" w:hAnsi="Times New Roman" w:cs="Times New Roman"/>
          <w:b/>
          <w:bCs/>
          <w:color w:val="000000" w:themeColor="text1"/>
          <w:sz w:val="24"/>
          <w:szCs w:val="24"/>
        </w:rPr>
        <w:t xml:space="preserve"> significant difference (p&lt;0.05).</w:t>
      </w:r>
    </w:p>
    <w:p w14:paraId="457087CE" w14:textId="77777777" w:rsidR="005274F5" w:rsidRPr="003B13AB" w:rsidRDefault="005274F5" w:rsidP="00E54747">
      <w:pPr>
        <w:spacing w:after="0" w:line="360" w:lineRule="auto"/>
        <w:jc w:val="center"/>
        <w:rPr>
          <w:rFonts w:ascii="Times New Roman" w:hAnsi="Times New Roman" w:cs="Times New Roman"/>
          <w:b/>
          <w:bCs/>
          <w:color w:val="000000" w:themeColor="text1"/>
          <w:sz w:val="24"/>
          <w:szCs w:val="24"/>
        </w:rPr>
      </w:pPr>
    </w:p>
    <w:p w14:paraId="0916B1D9" w14:textId="267646C5"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ABTS</w:t>
      </w:r>
      <w:r w:rsidRPr="003B13AB">
        <w:rPr>
          <w:rFonts w:ascii="Times New Roman" w:hAnsi="Times New Roman" w:cs="Times New Roman"/>
          <w:b/>
          <w:bCs/>
          <w:color w:val="000000" w:themeColor="text1"/>
          <w:sz w:val="24"/>
          <w:szCs w:val="24"/>
          <w:vertAlign w:val="superscript"/>
        </w:rPr>
        <w:t>●</w:t>
      </w:r>
      <w:r w:rsidRPr="003B13AB">
        <w:rPr>
          <w:rFonts w:ascii="Times New Roman" w:hAnsi="Times New Roman" w:cs="Times New Roman"/>
          <w:color w:val="000000" w:themeColor="text1"/>
          <w:sz w:val="24"/>
          <w:szCs w:val="24"/>
        </w:rPr>
        <w:t>⁺</w:t>
      </w:r>
      <w:r w:rsidRPr="003B13AB">
        <w:rPr>
          <w:rFonts w:ascii="Times New Roman" w:hAnsi="Times New Roman" w:cs="Times New Roman"/>
          <w:b/>
          <w:bCs/>
          <w:color w:val="000000" w:themeColor="text1"/>
          <w:sz w:val="24"/>
          <w:szCs w:val="24"/>
        </w:rPr>
        <w:t xml:space="preserve"> Radical Scavenging Assay</w:t>
      </w:r>
    </w:p>
    <w:p w14:paraId="46B1744D"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20C776BB"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The ABTS assay is a widely recognized method for evaluating antioxidant activity and is particularly useful for assessing the efficacy of both hydrophilic and lipophilic compounds. In this assay, ABTS●⁺ radicals are generated by the reaction of ABTS with potassium persulfate under dark conditions, producing a stable blue–green chromophore. The antioxidant capacity of test compounds is determined by their ability to reduce the ABTS●⁺ radical, which results in a decrease in absorbance at 734 nm (Ilyasov </w:t>
      </w:r>
      <w:r w:rsidRPr="00B65600">
        <w:rPr>
          <w:rFonts w:ascii="Times New Roman" w:hAnsi="Times New Roman" w:cs="Times New Roman"/>
          <w:i/>
          <w:iCs/>
          <w:color w:val="000000" w:themeColor="text1"/>
          <w:sz w:val="24"/>
          <w:szCs w:val="24"/>
        </w:rPr>
        <w:t>et al</w:t>
      </w:r>
      <w:r w:rsidRPr="003B13AB">
        <w:rPr>
          <w:rFonts w:ascii="Times New Roman" w:hAnsi="Times New Roman" w:cs="Times New Roman"/>
          <w:color w:val="000000" w:themeColor="text1"/>
          <w:sz w:val="24"/>
          <w:szCs w:val="24"/>
        </w:rPr>
        <w:t>., 2020).</w:t>
      </w:r>
    </w:p>
    <w:p w14:paraId="1F22A5B9"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In the present study,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exhibited strong ABTS●⁺ radical scavenging activity, as evidenced by the reduction of the blue–green chromophore to a colourless form.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showed an IC₅₀ value of 35.64 µg/ml, which was comparable to that of the standard antioxidant ascorbic acid (30.40 µg/ml) (Fig. 9). A significant concentration-dependent increase in radical scavenging activity was observed, indicating </w:t>
      </w:r>
      <w:proofErr w:type="spellStart"/>
      <w:r w:rsidRPr="003B13AB">
        <w:rPr>
          <w:rFonts w:ascii="Times New Roman" w:hAnsi="Times New Roman" w:cs="Times New Roman"/>
          <w:color w:val="000000" w:themeColor="text1"/>
          <w:sz w:val="24"/>
          <w:szCs w:val="24"/>
        </w:rPr>
        <w:t>Mangiferin’s</w:t>
      </w:r>
      <w:proofErr w:type="spellEnd"/>
      <w:r w:rsidRPr="003B13AB">
        <w:rPr>
          <w:rFonts w:ascii="Times New Roman" w:hAnsi="Times New Roman" w:cs="Times New Roman"/>
          <w:color w:val="000000" w:themeColor="text1"/>
          <w:sz w:val="24"/>
          <w:szCs w:val="24"/>
        </w:rPr>
        <w:t xml:space="preserve"> effective electron-donating ability. </w:t>
      </w:r>
    </w:p>
    <w:p w14:paraId="0F3C701E" w14:textId="77777777" w:rsidR="005274F5" w:rsidRPr="003B13AB" w:rsidRDefault="005274F5" w:rsidP="005274F5">
      <w:pPr>
        <w:spacing w:after="0" w:line="360" w:lineRule="auto"/>
        <w:jc w:val="center"/>
        <w:rPr>
          <w:rFonts w:ascii="Times New Roman" w:hAnsi="Times New Roman" w:cs="Times New Roman"/>
          <w:color w:val="000000" w:themeColor="text1"/>
          <w:sz w:val="24"/>
          <w:szCs w:val="24"/>
        </w:rPr>
      </w:pPr>
      <w:r w:rsidRPr="003B13AB">
        <w:rPr>
          <w:rFonts w:ascii="Times New Roman" w:hAnsi="Times New Roman" w:cs="Times New Roman"/>
          <w:noProof/>
          <w:color w:val="000000" w:themeColor="text1"/>
          <w:sz w:val="24"/>
          <w:szCs w:val="24"/>
          <w:lang w:val="en-US"/>
        </w:rPr>
        <w:lastRenderedPageBreak/>
        <w:drawing>
          <wp:inline distT="0" distB="0" distL="0" distR="0" wp14:anchorId="4728AA50" wp14:editId="7E1A95FA">
            <wp:extent cx="4572000" cy="2743200"/>
            <wp:effectExtent l="0" t="0" r="0" b="0"/>
            <wp:docPr id="8" name="Chart 8">
              <a:extLst xmlns:a="http://schemas.openxmlformats.org/drawingml/2006/main">
                <a:ext uri="{FF2B5EF4-FFF2-40B4-BE49-F238E27FC236}">
                  <a16:creationId xmlns:a16="http://schemas.microsoft.com/office/drawing/2014/main" id="{B7A44C76-8D3A-4E4F-909D-A38DA2436E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A5F46F" w14:textId="77777777" w:rsidR="005274F5" w:rsidRPr="003B13AB" w:rsidRDefault="005274F5" w:rsidP="00E54747">
      <w:pPr>
        <w:spacing w:after="0" w:line="360" w:lineRule="auto"/>
        <w:jc w:val="center"/>
        <w:rPr>
          <w:rFonts w:ascii="Times New Roman" w:hAnsi="Times New Roman" w:cs="Times New Roman"/>
          <w:b/>
          <w:bCs/>
          <w:color w:val="000000" w:themeColor="text1"/>
          <w:sz w:val="24"/>
          <w:szCs w:val="24"/>
        </w:rPr>
      </w:pPr>
    </w:p>
    <w:p w14:paraId="2E3D2858" w14:textId="551BC847" w:rsidR="005274F5" w:rsidRPr="00E54747" w:rsidRDefault="005274F5" w:rsidP="00E54747">
      <w:pPr>
        <w:spacing w:after="0" w:line="360" w:lineRule="auto"/>
        <w:jc w:val="center"/>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Fig. 9. ABTS</w:t>
      </w:r>
      <w:r w:rsidRPr="003B13AB">
        <w:rPr>
          <w:rFonts w:ascii="Times New Roman" w:hAnsi="Times New Roman" w:cs="Times New Roman"/>
          <w:b/>
          <w:bCs/>
          <w:color w:val="000000" w:themeColor="text1"/>
          <w:sz w:val="24"/>
          <w:szCs w:val="24"/>
          <w:vertAlign w:val="superscript"/>
        </w:rPr>
        <w:t>●</w:t>
      </w:r>
      <w:r w:rsidRPr="003B13AB">
        <w:rPr>
          <w:rFonts w:ascii="Times New Roman" w:hAnsi="Times New Roman" w:cs="Times New Roman"/>
          <w:b/>
          <w:bCs/>
          <w:color w:val="000000" w:themeColor="text1"/>
          <w:sz w:val="24"/>
          <w:szCs w:val="24"/>
        </w:rPr>
        <w:t>⁺ radical scavenging assa</w:t>
      </w:r>
      <w:r w:rsidR="00E54747">
        <w:rPr>
          <w:rFonts w:ascii="Times New Roman" w:hAnsi="Times New Roman" w:cs="Times New Roman"/>
          <w:b/>
          <w:bCs/>
          <w:color w:val="000000" w:themeColor="text1"/>
          <w:sz w:val="24"/>
          <w:szCs w:val="24"/>
        </w:rPr>
        <w:t xml:space="preserve">y. </w:t>
      </w:r>
      <w:r w:rsidRPr="00E54747">
        <w:rPr>
          <w:rFonts w:ascii="Times New Roman" w:hAnsi="Times New Roman" w:cs="Times New Roman"/>
          <w:b/>
          <w:bCs/>
          <w:color w:val="000000" w:themeColor="text1"/>
          <w:sz w:val="24"/>
          <w:szCs w:val="24"/>
        </w:rPr>
        <w:t xml:space="preserve">Values are expressed as the mean ± S.D. (n=3). Different superscript </w:t>
      </w:r>
      <w:proofErr w:type="gramStart"/>
      <w:r w:rsidRPr="00E54747">
        <w:rPr>
          <w:rFonts w:ascii="Times New Roman" w:hAnsi="Times New Roman" w:cs="Times New Roman"/>
          <w:b/>
          <w:bCs/>
          <w:color w:val="000000" w:themeColor="text1"/>
          <w:sz w:val="24"/>
          <w:szCs w:val="24"/>
        </w:rPr>
        <w:t>indicate</w:t>
      </w:r>
      <w:proofErr w:type="gramEnd"/>
      <w:r w:rsidRPr="00E54747">
        <w:rPr>
          <w:rFonts w:ascii="Times New Roman" w:hAnsi="Times New Roman" w:cs="Times New Roman"/>
          <w:b/>
          <w:bCs/>
          <w:color w:val="000000" w:themeColor="text1"/>
          <w:sz w:val="24"/>
          <w:szCs w:val="24"/>
        </w:rPr>
        <w:t xml:space="preserve"> significant difference (p&lt;0.05).</w:t>
      </w:r>
    </w:p>
    <w:p w14:paraId="7B417EFF" w14:textId="77777777" w:rsidR="005274F5" w:rsidRPr="003B13AB" w:rsidRDefault="005274F5" w:rsidP="00E54747">
      <w:pPr>
        <w:spacing w:after="0" w:line="360" w:lineRule="auto"/>
        <w:jc w:val="center"/>
        <w:rPr>
          <w:rFonts w:ascii="Times New Roman" w:hAnsi="Times New Roman" w:cs="Times New Roman"/>
          <w:b/>
          <w:bCs/>
          <w:color w:val="000000" w:themeColor="text1"/>
          <w:sz w:val="24"/>
          <w:szCs w:val="24"/>
        </w:rPr>
      </w:pPr>
    </w:p>
    <w:p w14:paraId="1AB20456" w14:textId="2285C012"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Hydroxyl radical scavenging potential</w:t>
      </w:r>
    </w:p>
    <w:p w14:paraId="3A5D08EC"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1E2C099F" w14:textId="19464EBB"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Hydroxyl radicals (OH•) are among the most reactive </w:t>
      </w:r>
      <w:proofErr w:type="spellStart"/>
      <w:r w:rsidRPr="003B13AB">
        <w:rPr>
          <w:rFonts w:ascii="Times New Roman" w:hAnsi="Times New Roman" w:cs="Times New Roman"/>
          <w:color w:val="000000" w:themeColor="text1"/>
          <w:sz w:val="24"/>
          <w:szCs w:val="24"/>
        </w:rPr>
        <w:t>reactive</w:t>
      </w:r>
      <w:proofErr w:type="spellEnd"/>
      <w:r w:rsidRPr="003B13AB">
        <w:rPr>
          <w:rFonts w:ascii="Times New Roman" w:hAnsi="Times New Roman" w:cs="Times New Roman"/>
          <w:color w:val="000000" w:themeColor="text1"/>
          <w:sz w:val="24"/>
          <w:szCs w:val="24"/>
        </w:rPr>
        <w:t xml:space="preserve"> oxygen species (ROS) and are capable of causing severe oxidative damage to cellular macromolecules. They disrupt protein structure by breaking disulfide bonds and initiate lipid peroxidation in cell membranes by attacking unsaturated fatty acids, leading to the formation of lipid peroxides. These processes alter membrane fluidity and permeability, impair cellular transport and signalling, and contribute to the development of various diseases (</w:t>
      </w:r>
      <w:proofErr w:type="spellStart"/>
      <w:r w:rsidRPr="003B13AB">
        <w:rPr>
          <w:rFonts w:ascii="Times New Roman" w:hAnsi="Times New Roman" w:cs="Times New Roman"/>
          <w:color w:val="000000" w:themeColor="text1"/>
          <w:sz w:val="24"/>
          <w:szCs w:val="24"/>
        </w:rPr>
        <w:t>Chandimali</w:t>
      </w:r>
      <w:proofErr w:type="spellEnd"/>
      <w:r w:rsidRPr="003B13AB">
        <w:rPr>
          <w:rFonts w:ascii="Times New Roman" w:hAnsi="Times New Roman" w:cs="Times New Roman"/>
          <w:color w:val="000000" w:themeColor="text1"/>
          <w:sz w:val="24"/>
          <w:szCs w:val="24"/>
        </w:rPr>
        <w:t xml:space="preserve"> </w:t>
      </w:r>
      <w:r w:rsidRPr="00B65600">
        <w:rPr>
          <w:rFonts w:ascii="Times New Roman" w:hAnsi="Times New Roman" w:cs="Times New Roman"/>
          <w:i/>
          <w:iCs/>
          <w:color w:val="000000" w:themeColor="text1"/>
          <w:sz w:val="24"/>
          <w:szCs w:val="24"/>
        </w:rPr>
        <w:t>et al</w:t>
      </w:r>
      <w:r w:rsidR="00B65600">
        <w:rPr>
          <w:rFonts w:ascii="Times New Roman" w:hAnsi="Times New Roman" w:cs="Times New Roman"/>
          <w:color w:val="000000" w:themeColor="text1"/>
          <w:sz w:val="24"/>
          <w:szCs w:val="24"/>
        </w:rPr>
        <w:t>.,</w:t>
      </w:r>
      <w:r w:rsidRPr="003B13AB">
        <w:rPr>
          <w:rFonts w:ascii="Times New Roman" w:hAnsi="Times New Roman" w:cs="Times New Roman"/>
          <w:color w:val="000000" w:themeColor="text1"/>
          <w:sz w:val="24"/>
          <w:szCs w:val="24"/>
        </w:rPr>
        <w:t xml:space="preserve"> 2025).</w:t>
      </w:r>
    </w:p>
    <w:p w14:paraId="1A79E1F8"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50DEAC54"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In the present study,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significantly inhibited hydroxyl radical-induced deoxyribose degradation, as evidenced by the reduced formation of the malondialdehyde–</w:t>
      </w:r>
      <w:proofErr w:type="spellStart"/>
      <w:r w:rsidRPr="003B13AB">
        <w:rPr>
          <w:rFonts w:ascii="Times New Roman" w:hAnsi="Times New Roman" w:cs="Times New Roman"/>
          <w:color w:val="000000" w:themeColor="text1"/>
          <w:sz w:val="24"/>
          <w:szCs w:val="24"/>
        </w:rPr>
        <w:t>thiobarbituric</w:t>
      </w:r>
      <w:proofErr w:type="spellEnd"/>
      <w:r w:rsidRPr="003B13AB">
        <w:rPr>
          <w:rFonts w:ascii="Times New Roman" w:hAnsi="Times New Roman" w:cs="Times New Roman"/>
          <w:color w:val="000000" w:themeColor="text1"/>
          <w:sz w:val="24"/>
          <w:szCs w:val="24"/>
        </w:rPr>
        <w:t xml:space="preserve"> acid (MDA–TBA) complex.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exhibited an IC₅₀ value of 35.19 µg/ml, which was comparable to that of the standard antioxidant ascorbic acid (30.82 µg/ml) (Fig. 10). A clear dose-dependent increase in hydroxyl radical scavenging activity was observed, indicating the strong ability of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to neutralize highly reactive hydroxyl radicals and protect biomolecules from oxidative damage.</w:t>
      </w:r>
    </w:p>
    <w:p w14:paraId="0985E610"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70D7BB97"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1F449082" w14:textId="77777777" w:rsidR="005274F5" w:rsidRPr="003B13AB" w:rsidRDefault="005274F5" w:rsidP="005274F5">
      <w:pPr>
        <w:spacing w:after="0" w:line="360" w:lineRule="auto"/>
        <w:jc w:val="center"/>
        <w:rPr>
          <w:rFonts w:ascii="Times New Roman" w:hAnsi="Times New Roman" w:cs="Times New Roman"/>
          <w:color w:val="000000" w:themeColor="text1"/>
          <w:sz w:val="24"/>
          <w:szCs w:val="24"/>
        </w:rPr>
      </w:pPr>
      <w:r w:rsidRPr="003B13AB">
        <w:rPr>
          <w:rFonts w:ascii="Times New Roman" w:hAnsi="Times New Roman" w:cs="Times New Roman"/>
          <w:noProof/>
          <w:color w:val="000000" w:themeColor="text1"/>
          <w:sz w:val="24"/>
          <w:szCs w:val="24"/>
          <w:lang w:val="en-US"/>
          <w14:ligatures w14:val="standardContextual"/>
        </w:rPr>
        <w:lastRenderedPageBreak/>
        <w:drawing>
          <wp:inline distT="0" distB="0" distL="0" distR="0" wp14:anchorId="5CF88CA2" wp14:editId="46380395">
            <wp:extent cx="4586037" cy="2746456"/>
            <wp:effectExtent l="0" t="0" r="5080" b="15875"/>
            <wp:docPr id="4" name="Chart 4">
              <a:extLst xmlns:a="http://schemas.openxmlformats.org/drawingml/2006/main">
                <a:ext uri="{FF2B5EF4-FFF2-40B4-BE49-F238E27FC236}">
                  <a16:creationId xmlns:a16="http://schemas.microsoft.com/office/drawing/2014/main" id="{1A40B3C9-FA47-432D-8EE0-CF30920110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68A06C" w14:textId="77777777" w:rsidR="005274F5" w:rsidRPr="003B13AB" w:rsidRDefault="005274F5" w:rsidP="00E54747">
      <w:pPr>
        <w:spacing w:after="0" w:line="360" w:lineRule="auto"/>
        <w:jc w:val="center"/>
        <w:rPr>
          <w:rFonts w:ascii="Times New Roman" w:hAnsi="Times New Roman" w:cs="Times New Roman"/>
          <w:b/>
          <w:bCs/>
          <w:color w:val="000000" w:themeColor="text1"/>
          <w:sz w:val="24"/>
          <w:szCs w:val="24"/>
        </w:rPr>
      </w:pPr>
    </w:p>
    <w:p w14:paraId="59B5505C" w14:textId="3091C2CF" w:rsidR="005274F5" w:rsidRPr="00E54747" w:rsidRDefault="005274F5" w:rsidP="00E54747">
      <w:pPr>
        <w:spacing w:after="0" w:line="360" w:lineRule="auto"/>
        <w:jc w:val="center"/>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Fig. 10. Hydroxyl radical scavenging assay.</w:t>
      </w:r>
      <w:r w:rsidR="00E54747">
        <w:rPr>
          <w:rFonts w:ascii="Times New Roman" w:hAnsi="Times New Roman" w:cs="Times New Roman"/>
          <w:b/>
          <w:bCs/>
          <w:color w:val="000000" w:themeColor="text1"/>
          <w:sz w:val="24"/>
          <w:szCs w:val="24"/>
        </w:rPr>
        <w:t xml:space="preserve"> </w:t>
      </w:r>
      <w:r w:rsidRPr="00E54747">
        <w:rPr>
          <w:rFonts w:ascii="Times New Roman" w:hAnsi="Times New Roman" w:cs="Times New Roman"/>
          <w:b/>
          <w:bCs/>
          <w:color w:val="000000" w:themeColor="text1"/>
          <w:sz w:val="24"/>
          <w:szCs w:val="24"/>
        </w:rPr>
        <w:t xml:space="preserve">Values are expressed as the mean ± S.D. (n=3). Different superscript </w:t>
      </w:r>
      <w:proofErr w:type="gramStart"/>
      <w:r w:rsidRPr="00E54747">
        <w:rPr>
          <w:rFonts w:ascii="Times New Roman" w:hAnsi="Times New Roman" w:cs="Times New Roman"/>
          <w:b/>
          <w:bCs/>
          <w:color w:val="000000" w:themeColor="text1"/>
          <w:sz w:val="24"/>
          <w:szCs w:val="24"/>
        </w:rPr>
        <w:t>indicate</w:t>
      </w:r>
      <w:proofErr w:type="gramEnd"/>
      <w:r w:rsidRPr="00E54747">
        <w:rPr>
          <w:rFonts w:ascii="Times New Roman" w:hAnsi="Times New Roman" w:cs="Times New Roman"/>
          <w:b/>
          <w:bCs/>
          <w:color w:val="000000" w:themeColor="text1"/>
          <w:sz w:val="24"/>
          <w:szCs w:val="24"/>
        </w:rPr>
        <w:t xml:space="preserve"> significant difference (p&lt;0.05).</w:t>
      </w:r>
    </w:p>
    <w:p w14:paraId="1BD8BFDA"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6544CD48" w14:textId="0026377A"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Superoxide Scavenging Activity</w:t>
      </w:r>
    </w:p>
    <w:p w14:paraId="1B84411D"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3BC2B5F9" w14:textId="77777777" w:rsidR="005274F5" w:rsidRPr="003B13AB" w:rsidRDefault="005274F5" w:rsidP="005274F5">
      <w:pPr>
        <w:spacing w:after="0" w:line="360" w:lineRule="auto"/>
        <w:jc w:val="both"/>
        <w:rPr>
          <w:rFonts w:ascii="Times New Roman" w:hAnsi="Times New Roman" w:cs="Times New Roman"/>
          <w:color w:val="000000" w:themeColor="text1"/>
          <w:kern w:val="0"/>
          <w:sz w:val="24"/>
          <w:szCs w:val="24"/>
          <w:lang w:val="en-US"/>
          <w14:ligatures w14:val="standardContextual"/>
        </w:rPr>
      </w:pPr>
      <w:r w:rsidRPr="003B13AB">
        <w:rPr>
          <w:rFonts w:ascii="Times New Roman" w:hAnsi="Times New Roman" w:cs="Times New Roman"/>
          <w:color w:val="000000" w:themeColor="text1"/>
          <w:kern w:val="0"/>
          <w:sz w:val="24"/>
          <w:szCs w:val="24"/>
          <w:lang w:val="en-US"/>
          <w14:ligatures w14:val="standardContextual"/>
        </w:rPr>
        <w:t xml:space="preserve">Superoxide radicals (O₂•⁻) are highly reactive oxygen species that can be further converted into hydroxyl radicals (OH•), leading to extensive oxidative damage to DNA, proteins, lipids and other cellular components. Such oxidative stress plays a critical role in the progression of various diseases. Therefore, antioxidants capable of scavenging superoxide radicals are important in preventing cellular damage and disease progression. </w:t>
      </w:r>
    </w:p>
    <w:p w14:paraId="37CBF364" w14:textId="77777777" w:rsidR="005274F5" w:rsidRPr="003B13AB" w:rsidRDefault="005274F5" w:rsidP="005274F5">
      <w:pPr>
        <w:spacing w:after="0" w:line="360" w:lineRule="auto"/>
        <w:jc w:val="both"/>
        <w:rPr>
          <w:rFonts w:ascii="Times New Roman" w:hAnsi="Times New Roman" w:cs="Times New Roman"/>
          <w:color w:val="000000" w:themeColor="text1"/>
          <w:kern w:val="0"/>
          <w:sz w:val="24"/>
          <w:szCs w:val="24"/>
          <w:lang w:val="en-US"/>
          <w14:ligatures w14:val="standardContextual"/>
        </w:rPr>
      </w:pPr>
    </w:p>
    <w:p w14:paraId="26450651"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kern w:val="0"/>
          <w:sz w:val="24"/>
          <w:szCs w:val="24"/>
          <w:lang w:val="en-US"/>
          <w14:ligatures w14:val="standardContextual"/>
        </w:rPr>
        <w:t xml:space="preserve">In this assay, the superoxide radical scavenging activity of the test compound was evaluated based on its ability to inhibit the reduction of nitro blue tetrazolium (NBT) to purple-colored formazan in the presence of the PMS/NADH system (Jaun </w:t>
      </w:r>
      <w:r w:rsidRPr="00B65600">
        <w:rPr>
          <w:rFonts w:ascii="Times New Roman" w:hAnsi="Times New Roman" w:cs="Times New Roman"/>
          <w:i/>
          <w:iCs/>
          <w:color w:val="000000" w:themeColor="text1"/>
          <w:kern w:val="0"/>
          <w:sz w:val="24"/>
          <w:szCs w:val="24"/>
          <w:lang w:val="en-US"/>
          <w14:ligatures w14:val="standardContextual"/>
        </w:rPr>
        <w:t>et al</w:t>
      </w:r>
      <w:r w:rsidRPr="003B13AB">
        <w:rPr>
          <w:rFonts w:ascii="Times New Roman" w:hAnsi="Times New Roman" w:cs="Times New Roman"/>
          <w:color w:val="000000" w:themeColor="text1"/>
          <w:kern w:val="0"/>
          <w:sz w:val="24"/>
          <w:szCs w:val="24"/>
          <w:lang w:val="en-US"/>
          <w14:ligatures w14:val="standardContextual"/>
        </w:rPr>
        <w:t xml:space="preserve">., 2021). In the present study, </w:t>
      </w:r>
      <w:proofErr w:type="spellStart"/>
      <w:r w:rsidRPr="003B13AB">
        <w:rPr>
          <w:rFonts w:ascii="Times New Roman" w:hAnsi="Times New Roman" w:cs="Times New Roman"/>
          <w:color w:val="000000" w:themeColor="text1"/>
          <w:kern w:val="0"/>
          <w:sz w:val="24"/>
          <w:szCs w:val="24"/>
          <w:lang w:val="en-US"/>
          <w14:ligatures w14:val="standardContextual"/>
        </w:rPr>
        <w:t>Mangiferin</w:t>
      </w:r>
      <w:proofErr w:type="spellEnd"/>
      <w:r w:rsidRPr="003B13AB">
        <w:rPr>
          <w:rFonts w:ascii="Times New Roman" w:hAnsi="Times New Roman" w:cs="Times New Roman"/>
          <w:color w:val="000000" w:themeColor="text1"/>
          <w:kern w:val="0"/>
          <w:sz w:val="24"/>
          <w:szCs w:val="24"/>
          <w:lang w:val="en-US"/>
          <w14:ligatures w14:val="standardContextual"/>
        </w:rPr>
        <w:t xml:space="preserve"> effectively scavenged superoxide radicals generated by the PMS/NADH system, resulting in a significant inhibition of NBT reduction. </w:t>
      </w:r>
      <w:proofErr w:type="spellStart"/>
      <w:r w:rsidRPr="003B13AB">
        <w:rPr>
          <w:rFonts w:ascii="Times New Roman" w:hAnsi="Times New Roman" w:cs="Times New Roman"/>
          <w:color w:val="000000" w:themeColor="text1"/>
          <w:kern w:val="0"/>
          <w:sz w:val="24"/>
          <w:szCs w:val="24"/>
          <w:lang w:val="en-US"/>
          <w14:ligatures w14:val="standardContextual"/>
        </w:rPr>
        <w:t>Mangiferin</w:t>
      </w:r>
      <w:proofErr w:type="spellEnd"/>
      <w:r w:rsidRPr="003B13AB">
        <w:rPr>
          <w:rFonts w:ascii="Times New Roman" w:hAnsi="Times New Roman" w:cs="Times New Roman"/>
          <w:color w:val="000000" w:themeColor="text1"/>
          <w:kern w:val="0"/>
          <w:sz w:val="24"/>
          <w:szCs w:val="24"/>
          <w:lang w:val="en-US"/>
          <w14:ligatures w14:val="standardContextual"/>
        </w:rPr>
        <w:t xml:space="preserve"> exhibited an IC₅₀ value of 33.81 µg/ml, which was slightly higher than that of the standard antioxidant ascorbic acid (29.47 µg/ml) (Fig. 11). A clear concentration-dependent increase in scavenging activity was observed, demonstrating </w:t>
      </w:r>
      <w:proofErr w:type="spellStart"/>
      <w:r w:rsidRPr="003B13AB">
        <w:rPr>
          <w:rFonts w:ascii="Times New Roman" w:hAnsi="Times New Roman" w:cs="Times New Roman"/>
          <w:color w:val="000000" w:themeColor="text1"/>
          <w:kern w:val="0"/>
          <w:sz w:val="24"/>
          <w:szCs w:val="24"/>
          <w:lang w:val="en-US"/>
          <w14:ligatures w14:val="standardContextual"/>
        </w:rPr>
        <w:t>Mangiferin’s</w:t>
      </w:r>
      <w:proofErr w:type="spellEnd"/>
      <w:r w:rsidRPr="003B13AB">
        <w:rPr>
          <w:rFonts w:ascii="Times New Roman" w:hAnsi="Times New Roman" w:cs="Times New Roman"/>
          <w:color w:val="000000" w:themeColor="text1"/>
          <w:kern w:val="0"/>
          <w:sz w:val="24"/>
          <w:szCs w:val="24"/>
          <w:lang w:val="en-US"/>
          <w14:ligatures w14:val="standardContextual"/>
        </w:rPr>
        <w:t xml:space="preserve"> effective superoxide radical neutralizing capacity.</w:t>
      </w:r>
    </w:p>
    <w:p w14:paraId="411013BD"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20D209FC" w14:textId="77777777" w:rsidR="005274F5" w:rsidRPr="003B13AB" w:rsidRDefault="005274F5" w:rsidP="005274F5">
      <w:pPr>
        <w:spacing w:after="0" w:line="360" w:lineRule="auto"/>
        <w:jc w:val="center"/>
        <w:rPr>
          <w:rFonts w:ascii="Times New Roman" w:hAnsi="Times New Roman" w:cs="Times New Roman"/>
          <w:color w:val="000000" w:themeColor="text1"/>
          <w:sz w:val="24"/>
          <w:szCs w:val="24"/>
        </w:rPr>
      </w:pPr>
      <w:r w:rsidRPr="003B13AB">
        <w:rPr>
          <w:rFonts w:ascii="Times New Roman" w:hAnsi="Times New Roman" w:cs="Times New Roman"/>
          <w:noProof/>
          <w:color w:val="000000" w:themeColor="text1"/>
          <w:sz w:val="24"/>
          <w:szCs w:val="24"/>
          <w:lang w:val="en-US"/>
        </w:rPr>
        <w:lastRenderedPageBreak/>
        <w:drawing>
          <wp:inline distT="0" distB="0" distL="0" distR="0" wp14:anchorId="6DEE5812" wp14:editId="6BB5AEC9">
            <wp:extent cx="4572000" cy="2743200"/>
            <wp:effectExtent l="0" t="0" r="0" b="0"/>
            <wp:docPr id="10" name="Chart 10">
              <a:extLst xmlns:a="http://schemas.openxmlformats.org/drawingml/2006/main">
                <a:ext uri="{FF2B5EF4-FFF2-40B4-BE49-F238E27FC236}">
                  <a16:creationId xmlns:a16="http://schemas.microsoft.com/office/drawing/2014/main" id="{219732CD-EEFE-4641-B60C-F1BB2F23BA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4D5D799"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57E3E256" w14:textId="40DA2F6C" w:rsidR="005274F5" w:rsidRPr="00E54747" w:rsidRDefault="005274F5" w:rsidP="00E54747">
      <w:pPr>
        <w:spacing w:after="0" w:line="360" w:lineRule="auto"/>
        <w:jc w:val="center"/>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Fig. 11. Superoxide anion assay.</w:t>
      </w:r>
      <w:r w:rsidR="00E54747">
        <w:rPr>
          <w:rFonts w:ascii="Times New Roman" w:hAnsi="Times New Roman" w:cs="Times New Roman"/>
          <w:color w:val="000000" w:themeColor="text1"/>
          <w:sz w:val="24"/>
          <w:szCs w:val="24"/>
        </w:rPr>
        <w:t xml:space="preserve"> </w:t>
      </w:r>
      <w:r w:rsidRPr="00E54747">
        <w:rPr>
          <w:rFonts w:ascii="Times New Roman" w:hAnsi="Times New Roman" w:cs="Times New Roman"/>
          <w:b/>
          <w:bCs/>
          <w:color w:val="000000" w:themeColor="text1"/>
          <w:sz w:val="24"/>
          <w:szCs w:val="24"/>
        </w:rPr>
        <w:t xml:space="preserve">Values are expressed as the mean ± S.D. (n=3). Different superscript </w:t>
      </w:r>
      <w:proofErr w:type="gramStart"/>
      <w:r w:rsidRPr="00E54747">
        <w:rPr>
          <w:rFonts w:ascii="Times New Roman" w:hAnsi="Times New Roman" w:cs="Times New Roman"/>
          <w:b/>
          <w:bCs/>
          <w:color w:val="000000" w:themeColor="text1"/>
          <w:sz w:val="24"/>
          <w:szCs w:val="24"/>
        </w:rPr>
        <w:t>indicate</w:t>
      </w:r>
      <w:proofErr w:type="gramEnd"/>
      <w:r w:rsidRPr="00E54747">
        <w:rPr>
          <w:rFonts w:ascii="Times New Roman" w:hAnsi="Times New Roman" w:cs="Times New Roman"/>
          <w:b/>
          <w:bCs/>
          <w:color w:val="000000" w:themeColor="text1"/>
          <w:sz w:val="24"/>
          <w:szCs w:val="24"/>
        </w:rPr>
        <w:t xml:space="preserve"> significant difference (p&lt;0.05).</w:t>
      </w:r>
    </w:p>
    <w:p w14:paraId="5C6ED163"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22639C22" w14:textId="552AFAFE"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Hydrogen Peroxide (H</w:t>
      </w:r>
      <w:r w:rsidRPr="003B13AB">
        <w:rPr>
          <w:rFonts w:ascii="Times New Roman" w:hAnsi="Times New Roman" w:cs="Times New Roman"/>
          <w:b/>
          <w:bCs/>
          <w:color w:val="000000" w:themeColor="text1"/>
          <w:sz w:val="24"/>
          <w:szCs w:val="24"/>
          <w:vertAlign w:val="subscript"/>
        </w:rPr>
        <w:t>2</w:t>
      </w:r>
      <w:r w:rsidRPr="003B13AB">
        <w:rPr>
          <w:rFonts w:ascii="Times New Roman" w:hAnsi="Times New Roman" w:cs="Times New Roman"/>
          <w:b/>
          <w:bCs/>
          <w:color w:val="000000" w:themeColor="text1"/>
          <w:sz w:val="24"/>
          <w:szCs w:val="24"/>
        </w:rPr>
        <w:t>O</w:t>
      </w:r>
      <w:r w:rsidRPr="003B13AB">
        <w:rPr>
          <w:rFonts w:ascii="Times New Roman" w:hAnsi="Times New Roman" w:cs="Times New Roman"/>
          <w:b/>
          <w:bCs/>
          <w:color w:val="000000" w:themeColor="text1"/>
          <w:sz w:val="24"/>
          <w:szCs w:val="24"/>
          <w:vertAlign w:val="subscript"/>
        </w:rPr>
        <w:t>2</w:t>
      </w:r>
      <w:r w:rsidRPr="003B13AB">
        <w:rPr>
          <w:rFonts w:ascii="Times New Roman" w:hAnsi="Times New Roman" w:cs="Times New Roman"/>
          <w:b/>
          <w:bCs/>
          <w:color w:val="000000" w:themeColor="text1"/>
          <w:sz w:val="24"/>
          <w:szCs w:val="24"/>
        </w:rPr>
        <w:t>) Radical Scavenging</w:t>
      </w:r>
    </w:p>
    <w:p w14:paraId="62697DAC"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0407079B" w14:textId="77777777" w:rsidR="005274F5" w:rsidRPr="003B13AB" w:rsidRDefault="005274F5" w:rsidP="005274F5">
      <w:pPr>
        <w:spacing w:after="0" w:line="360" w:lineRule="auto"/>
        <w:jc w:val="both"/>
        <w:rPr>
          <w:rFonts w:ascii="Times New Roman" w:hAnsi="Times New Roman" w:cs="Times New Roman"/>
          <w:color w:val="000000" w:themeColor="text1"/>
          <w:kern w:val="0"/>
          <w:sz w:val="24"/>
          <w:szCs w:val="24"/>
          <w:lang w:val="en-US"/>
          <w14:ligatures w14:val="standardContextual"/>
        </w:rPr>
      </w:pPr>
      <w:r w:rsidRPr="003B13AB">
        <w:rPr>
          <w:rFonts w:ascii="Times New Roman" w:hAnsi="Times New Roman" w:cs="Times New Roman"/>
          <w:color w:val="000000" w:themeColor="text1"/>
          <w:kern w:val="0"/>
          <w:sz w:val="24"/>
          <w:szCs w:val="24"/>
          <w:lang w:val="en-US"/>
          <w14:ligatures w14:val="standardContextual"/>
        </w:rPr>
        <w:t>Hydrogen peroxide (H₂O₂) is a byproduct of normal cellular metabolism and becomes harmful when produced in excess, leading to oxidative stress. Although H₂O₂ itself is relatively less reactive, it can be converted into highly reactive hydroxyl radicals (OH•) via Fenton’s reaction, resulting in severe damage to proteins, lipids, and cell membranes. Such oxidative damage disrupts membrane integrity, alters protein structure, and impairs cellular functions, thereby contributing to the development of various diseases, including cancer, diabetes mellitus, and cardiovascular conditions. Therefore, regulation of intracellular H₂O₂ levels is essential for maintaining cellular homeostasis.</w:t>
      </w:r>
      <w:r w:rsidRPr="003B13AB">
        <w:rPr>
          <w:rFonts w:ascii="Times New Roman" w:hAnsi="Times New Roman" w:cs="Times New Roman"/>
          <w:color w:val="000000" w:themeColor="text1"/>
          <w:sz w:val="24"/>
          <w:szCs w:val="24"/>
        </w:rPr>
        <w:t xml:space="preserve"> (Yu </w:t>
      </w:r>
      <w:r w:rsidRPr="003B13AB">
        <w:rPr>
          <w:rFonts w:ascii="Times New Roman" w:hAnsi="Times New Roman" w:cs="Times New Roman"/>
          <w:i/>
          <w:color w:val="000000" w:themeColor="text1"/>
          <w:sz w:val="24"/>
          <w:szCs w:val="24"/>
        </w:rPr>
        <w:t>et al</w:t>
      </w:r>
      <w:r w:rsidRPr="003B13AB">
        <w:rPr>
          <w:rFonts w:ascii="Times New Roman" w:hAnsi="Times New Roman" w:cs="Times New Roman"/>
          <w:color w:val="000000" w:themeColor="text1"/>
          <w:sz w:val="24"/>
          <w:szCs w:val="24"/>
        </w:rPr>
        <w:t>., 2024).</w:t>
      </w:r>
    </w:p>
    <w:p w14:paraId="1CBB69CD" w14:textId="77777777" w:rsidR="005274F5" w:rsidRPr="003B13AB" w:rsidRDefault="005274F5" w:rsidP="005274F5">
      <w:pPr>
        <w:spacing w:after="0" w:line="360" w:lineRule="auto"/>
        <w:jc w:val="both"/>
        <w:rPr>
          <w:rFonts w:ascii="Times New Roman" w:hAnsi="Times New Roman" w:cs="Times New Roman"/>
          <w:color w:val="000000" w:themeColor="text1"/>
          <w:kern w:val="0"/>
          <w:sz w:val="24"/>
          <w:szCs w:val="24"/>
          <w:lang w:val="en-US"/>
          <w14:ligatures w14:val="standardContextual"/>
        </w:rPr>
      </w:pPr>
    </w:p>
    <w:p w14:paraId="5CD6A28E" w14:textId="77777777" w:rsidR="005274F5" w:rsidRPr="003B13AB" w:rsidRDefault="005274F5" w:rsidP="005274F5">
      <w:pPr>
        <w:spacing w:after="0" w:line="360" w:lineRule="auto"/>
        <w:jc w:val="both"/>
        <w:rPr>
          <w:rFonts w:ascii="Times New Roman" w:hAnsi="Times New Roman" w:cs="Times New Roman"/>
          <w:color w:val="000000" w:themeColor="text1"/>
          <w:kern w:val="0"/>
          <w:sz w:val="24"/>
          <w:szCs w:val="24"/>
          <w:lang w:val="en-US"/>
          <w14:ligatures w14:val="standardContextual"/>
        </w:rPr>
      </w:pPr>
      <w:r w:rsidRPr="003B13AB">
        <w:rPr>
          <w:rFonts w:ascii="Times New Roman" w:hAnsi="Times New Roman" w:cs="Times New Roman"/>
          <w:color w:val="000000" w:themeColor="text1"/>
          <w:kern w:val="0"/>
          <w:sz w:val="24"/>
          <w:szCs w:val="24"/>
          <w:lang w:val="en-US"/>
          <w14:ligatures w14:val="standardContextual"/>
        </w:rPr>
        <w:t xml:space="preserve">In the present study, </w:t>
      </w:r>
      <w:proofErr w:type="spellStart"/>
      <w:r w:rsidRPr="003B13AB">
        <w:rPr>
          <w:rFonts w:ascii="Times New Roman" w:hAnsi="Times New Roman" w:cs="Times New Roman"/>
          <w:color w:val="000000" w:themeColor="text1"/>
          <w:kern w:val="0"/>
          <w:sz w:val="24"/>
          <w:szCs w:val="24"/>
          <w:lang w:val="en-US"/>
          <w14:ligatures w14:val="standardContextual"/>
        </w:rPr>
        <w:t>Mangiferin</w:t>
      </w:r>
      <w:proofErr w:type="spellEnd"/>
      <w:r w:rsidRPr="003B13AB">
        <w:rPr>
          <w:rFonts w:ascii="Times New Roman" w:hAnsi="Times New Roman" w:cs="Times New Roman"/>
          <w:color w:val="000000" w:themeColor="text1"/>
          <w:kern w:val="0"/>
          <w:sz w:val="24"/>
          <w:szCs w:val="24"/>
          <w:lang w:val="en-US"/>
          <w14:ligatures w14:val="standardContextual"/>
        </w:rPr>
        <w:t xml:space="preserve"> exhibited strong hydrogen peroxide scavenging activity, as indicated by a significant decrease in absorbance due to the conversion of H₂O₂ into water and oxygen. </w:t>
      </w:r>
      <w:proofErr w:type="spellStart"/>
      <w:r w:rsidRPr="003B13AB">
        <w:rPr>
          <w:rFonts w:ascii="Times New Roman" w:hAnsi="Times New Roman" w:cs="Times New Roman"/>
          <w:color w:val="000000" w:themeColor="text1"/>
          <w:kern w:val="0"/>
          <w:sz w:val="24"/>
          <w:szCs w:val="24"/>
          <w:lang w:val="en-US"/>
          <w14:ligatures w14:val="standardContextual"/>
        </w:rPr>
        <w:t>Mangiferin</w:t>
      </w:r>
      <w:proofErr w:type="spellEnd"/>
      <w:r w:rsidRPr="003B13AB">
        <w:rPr>
          <w:rFonts w:ascii="Times New Roman" w:hAnsi="Times New Roman" w:cs="Times New Roman"/>
          <w:color w:val="000000" w:themeColor="text1"/>
          <w:kern w:val="0"/>
          <w:sz w:val="24"/>
          <w:szCs w:val="24"/>
          <w:lang w:val="en-US"/>
          <w14:ligatures w14:val="standardContextual"/>
        </w:rPr>
        <w:t xml:space="preserve"> showed an IC₅₀ value of 33.96 µg/ml, which was comparable to that of the standard antioxidant ascorbic acid (31.66 µg/ml) (Fig. 12). Both compounds demonstrated a concentration-dependent scavenging effect, indicating </w:t>
      </w:r>
      <w:proofErr w:type="spellStart"/>
      <w:r w:rsidRPr="003B13AB">
        <w:rPr>
          <w:rFonts w:ascii="Times New Roman" w:hAnsi="Times New Roman" w:cs="Times New Roman"/>
          <w:color w:val="000000" w:themeColor="text1"/>
          <w:kern w:val="0"/>
          <w:sz w:val="24"/>
          <w:szCs w:val="24"/>
          <w:lang w:val="en-US"/>
          <w14:ligatures w14:val="standardContextual"/>
        </w:rPr>
        <w:t>Mangiferin’s</w:t>
      </w:r>
      <w:proofErr w:type="spellEnd"/>
      <w:r w:rsidRPr="003B13AB">
        <w:rPr>
          <w:rFonts w:ascii="Times New Roman" w:hAnsi="Times New Roman" w:cs="Times New Roman"/>
          <w:color w:val="000000" w:themeColor="text1"/>
          <w:kern w:val="0"/>
          <w:sz w:val="24"/>
          <w:szCs w:val="24"/>
          <w:lang w:val="en-US"/>
          <w14:ligatures w14:val="standardContextual"/>
        </w:rPr>
        <w:t xml:space="preserve"> effective role in mitigating H₂O₂-mediated oxidative stress.</w:t>
      </w:r>
    </w:p>
    <w:p w14:paraId="31270D8F" w14:textId="77777777" w:rsidR="005274F5" w:rsidRPr="003B13AB" w:rsidRDefault="005274F5" w:rsidP="005274F5">
      <w:pPr>
        <w:spacing w:after="0" w:line="360" w:lineRule="auto"/>
        <w:jc w:val="both"/>
        <w:rPr>
          <w:rFonts w:ascii="Times New Roman" w:hAnsi="Times New Roman" w:cs="Times New Roman"/>
          <w:color w:val="000000" w:themeColor="text1"/>
          <w:kern w:val="0"/>
          <w:sz w:val="24"/>
          <w:szCs w:val="24"/>
          <w:lang w:val="en-US"/>
          <w14:ligatures w14:val="standardContextual"/>
        </w:rPr>
      </w:pPr>
    </w:p>
    <w:p w14:paraId="423FF6F9"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2AF287FF" w14:textId="77777777" w:rsidR="005274F5" w:rsidRPr="003B13AB" w:rsidRDefault="005274F5" w:rsidP="005274F5">
      <w:pPr>
        <w:spacing w:after="0" w:line="360" w:lineRule="auto"/>
        <w:jc w:val="center"/>
        <w:rPr>
          <w:rFonts w:ascii="Times New Roman" w:hAnsi="Times New Roman" w:cs="Times New Roman"/>
          <w:color w:val="000000" w:themeColor="text1"/>
          <w:sz w:val="24"/>
          <w:szCs w:val="24"/>
        </w:rPr>
      </w:pPr>
      <w:r w:rsidRPr="003B13AB">
        <w:rPr>
          <w:rFonts w:ascii="Times New Roman" w:hAnsi="Times New Roman" w:cs="Times New Roman"/>
          <w:noProof/>
          <w:color w:val="000000" w:themeColor="text1"/>
          <w:sz w:val="24"/>
          <w:szCs w:val="24"/>
          <w:lang w:val="en-US"/>
          <w14:ligatures w14:val="standardContextual"/>
        </w:rPr>
        <w:lastRenderedPageBreak/>
        <w:drawing>
          <wp:inline distT="0" distB="0" distL="0" distR="0" wp14:anchorId="33FF45CA" wp14:editId="63251818">
            <wp:extent cx="4572000" cy="2743200"/>
            <wp:effectExtent l="0" t="0" r="0" b="0"/>
            <wp:docPr id="12" name="Chart 12">
              <a:extLst xmlns:a="http://schemas.openxmlformats.org/drawingml/2006/main">
                <a:ext uri="{FF2B5EF4-FFF2-40B4-BE49-F238E27FC236}">
                  <a16:creationId xmlns:a16="http://schemas.microsoft.com/office/drawing/2014/main" id="{9E77E712-5ADA-463D-A88B-BE1B66C5D7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5581DCD" w14:textId="77777777" w:rsidR="005274F5" w:rsidRPr="003B13AB" w:rsidRDefault="005274F5" w:rsidP="00E54747">
      <w:pPr>
        <w:spacing w:after="0" w:line="360" w:lineRule="auto"/>
        <w:jc w:val="center"/>
        <w:rPr>
          <w:rFonts w:ascii="Times New Roman" w:hAnsi="Times New Roman" w:cs="Times New Roman"/>
          <w:b/>
          <w:bCs/>
          <w:color w:val="000000" w:themeColor="text1"/>
          <w:sz w:val="24"/>
          <w:szCs w:val="24"/>
        </w:rPr>
      </w:pPr>
    </w:p>
    <w:p w14:paraId="7A28CB44" w14:textId="0BD9B202" w:rsidR="005274F5" w:rsidRPr="00E54747" w:rsidRDefault="005274F5" w:rsidP="00E54747">
      <w:pPr>
        <w:spacing w:after="0" w:line="360" w:lineRule="auto"/>
        <w:jc w:val="center"/>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Fig. 12. Hydrogen peroxide radical scavenging assay.</w:t>
      </w:r>
      <w:r w:rsidR="00E54747">
        <w:rPr>
          <w:rFonts w:ascii="Times New Roman" w:hAnsi="Times New Roman" w:cs="Times New Roman"/>
          <w:b/>
          <w:bCs/>
          <w:color w:val="000000" w:themeColor="text1"/>
          <w:sz w:val="24"/>
          <w:szCs w:val="24"/>
        </w:rPr>
        <w:t xml:space="preserve"> </w:t>
      </w:r>
      <w:r w:rsidRPr="00E54747">
        <w:rPr>
          <w:rFonts w:ascii="Times New Roman" w:hAnsi="Times New Roman" w:cs="Times New Roman"/>
          <w:b/>
          <w:bCs/>
          <w:color w:val="000000" w:themeColor="text1"/>
          <w:sz w:val="24"/>
          <w:szCs w:val="24"/>
        </w:rPr>
        <w:t xml:space="preserve">Values are expressed as the mean ± S.D. (n=3). Different superscript </w:t>
      </w:r>
      <w:proofErr w:type="gramStart"/>
      <w:r w:rsidRPr="00E54747">
        <w:rPr>
          <w:rFonts w:ascii="Times New Roman" w:hAnsi="Times New Roman" w:cs="Times New Roman"/>
          <w:b/>
          <w:bCs/>
          <w:color w:val="000000" w:themeColor="text1"/>
          <w:sz w:val="24"/>
          <w:szCs w:val="24"/>
        </w:rPr>
        <w:t>indicate</w:t>
      </w:r>
      <w:proofErr w:type="gramEnd"/>
      <w:r w:rsidRPr="00E54747">
        <w:rPr>
          <w:rFonts w:ascii="Times New Roman" w:hAnsi="Times New Roman" w:cs="Times New Roman"/>
          <w:b/>
          <w:bCs/>
          <w:color w:val="000000" w:themeColor="text1"/>
          <w:sz w:val="24"/>
          <w:szCs w:val="24"/>
        </w:rPr>
        <w:t xml:space="preserve"> significant difference (p&lt;0.05).</w:t>
      </w:r>
    </w:p>
    <w:p w14:paraId="0A0AE7BE"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5F692296" w14:textId="6CEBBA8A"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Reducing Power Assay</w:t>
      </w:r>
    </w:p>
    <w:p w14:paraId="5F60C808" w14:textId="77777777" w:rsidR="005274F5" w:rsidRPr="003B13AB" w:rsidRDefault="005274F5" w:rsidP="005274F5">
      <w:pPr>
        <w:pStyle w:val="NormalWeb"/>
        <w:spacing w:line="360" w:lineRule="auto"/>
        <w:jc w:val="both"/>
        <w:rPr>
          <w:color w:val="000000" w:themeColor="text1"/>
        </w:rPr>
      </w:pPr>
      <w:r w:rsidRPr="003B13AB">
        <w:rPr>
          <w:color w:val="000000" w:themeColor="text1"/>
        </w:rPr>
        <w:t xml:space="preserve">The Ferric Reducing Antioxidant Power (FRAP) assay is a widely used analytical method for quantifying the antioxidant capacity of bioactive compounds. This assay is based on the reduction of ferric ions (Fe³⁺) to ferrous ions (Fe²⁺), leading to the formation of a </w:t>
      </w:r>
      <w:proofErr w:type="spellStart"/>
      <w:r w:rsidRPr="003B13AB">
        <w:rPr>
          <w:color w:val="000000" w:themeColor="text1"/>
        </w:rPr>
        <w:t>coloured</w:t>
      </w:r>
      <w:proofErr w:type="spellEnd"/>
      <w:r w:rsidRPr="003B13AB">
        <w:rPr>
          <w:color w:val="000000" w:themeColor="text1"/>
        </w:rPr>
        <w:t xml:space="preserve"> ferrous–</w:t>
      </w:r>
      <w:proofErr w:type="spellStart"/>
      <w:r w:rsidRPr="003B13AB">
        <w:rPr>
          <w:color w:val="000000" w:themeColor="text1"/>
        </w:rPr>
        <w:t>tripyridyltriazine</w:t>
      </w:r>
      <w:proofErr w:type="spellEnd"/>
      <w:r w:rsidRPr="003B13AB">
        <w:rPr>
          <w:color w:val="000000" w:themeColor="text1"/>
        </w:rPr>
        <w:t xml:space="preserve"> complex. The intensity of the developed </w:t>
      </w:r>
      <w:proofErr w:type="spellStart"/>
      <w:r w:rsidRPr="003B13AB">
        <w:rPr>
          <w:color w:val="000000" w:themeColor="text1"/>
        </w:rPr>
        <w:t>colour</w:t>
      </w:r>
      <w:proofErr w:type="spellEnd"/>
      <w:r w:rsidRPr="003B13AB">
        <w:rPr>
          <w:color w:val="000000" w:themeColor="text1"/>
        </w:rPr>
        <w:t xml:space="preserve">, which directly proportional to the reducing potential of the test compound, is quantitatively measured using spectrophotometric analysis, ensuring high sensitivity and reproducibility (Benzie </w:t>
      </w:r>
      <w:r w:rsidRPr="00B65600">
        <w:rPr>
          <w:i/>
          <w:iCs/>
          <w:color w:val="000000" w:themeColor="text1"/>
        </w:rPr>
        <w:t>et al</w:t>
      </w:r>
      <w:r w:rsidRPr="003B13AB">
        <w:rPr>
          <w:color w:val="000000" w:themeColor="text1"/>
        </w:rPr>
        <w:t>., 1999).</w:t>
      </w:r>
    </w:p>
    <w:p w14:paraId="1EE6B832" w14:textId="2C4F9FC8" w:rsidR="005274F5" w:rsidRPr="003B13AB" w:rsidRDefault="005274F5" w:rsidP="005274F5">
      <w:pPr>
        <w:pStyle w:val="NormalWeb"/>
        <w:spacing w:line="360" w:lineRule="auto"/>
        <w:jc w:val="both"/>
        <w:rPr>
          <w:color w:val="000000" w:themeColor="text1"/>
        </w:rPr>
      </w:pPr>
      <w:r w:rsidRPr="003B13AB">
        <w:rPr>
          <w:color w:val="000000" w:themeColor="text1"/>
        </w:rPr>
        <w:t xml:space="preserve">In the present study, </w:t>
      </w:r>
      <w:proofErr w:type="spellStart"/>
      <w:r w:rsidRPr="00F96222">
        <w:rPr>
          <w:rStyle w:val="Strong"/>
          <w:rFonts w:eastAsiaTheme="majorEastAsia"/>
          <w:b w:val="0"/>
          <w:bCs w:val="0"/>
          <w:color w:val="000000" w:themeColor="text1"/>
        </w:rPr>
        <w:t>Mangiferin</w:t>
      </w:r>
      <w:proofErr w:type="spellEnd"/>
      <w:r w:rsidRPr="003B13AB">
        <w:rPr>
          <w:color w:val="000000" w:themeColor="text1"/>
        </w:rPr>
        <w:t xml:space="preserve"> exhibited a significant, concentration-dependent increase in reducing power, indicating its effective electron-donating capacity. </w:t>
      </w:r>
      <w:proofErr w:type="spellStart"/>
      <w:r w:rsidRPr="003B13AB">
        <w:rPr>
          <w:color w:val="000000" w:themeColor="text1"/>
        </w:rPr>
        <w:t>Mangiferin</w:t>
      </w:r>
      <w:proofErr w:type="spellEnd"/>
      <w:r w:rsidRPr="003B13AB">
        <w:rPr>
          <w:color w:val="000000" w:themeColor="text1"/>
        </w:rPr>
        <w:t xml:space="preserve"> showed an IC₅₀ value of </w:t>
      </w:r>
      <w:r w:rsidRPr="003B13AB">
        <w:rPr>
          <w:rStyle w:val="Strong"/>
          <w:rFonts w:eastAsiaTheme="majorEastAsia"/>
          <w:b w:val="0"/>
          <w:bCs w:val="0"/>
          <w:color w:val="000000" w:themeColor="text1"/>
        </w:rPr>
        <w:t>35.79 µg/ml</w:t>
      </w:r>
      <w:r w:rsidRPr="003B13AB">
        <w:rPr>
          <w:color w:val="000000" w:themeColor="text1"/>
        </w:rPr>
        <w:t xml:space="preserve">, whereas the standard antioxidant ascorbic acid exhibited an IC₅₀ value of </w:t>
      </w:r>
      <w:r w:rsidRPr="003B13AB">
        <w:rPr>
          <w:rStyle w:val="Strong"/>
          <w:rFonts w:eastAsiaTheme="majorEastAsia"/>
          <w:b w:val="0"/>
          <w:bCs w:val="0"/>
          <w:color w:val="000000" w:themeColor="text1"/>
        </w:rPr>
        <w:t>31.76 µg/ml</w:t>
      </w:r>
      <w:r w:rsidRPr="003B13AB">
        <w:rPr>
          <w:rStyle w:val="Strong"/>
          <w:rFonts w:eastAsiaTheme="majorEastAsia"/>
          <w:color w:val="000000" w:themeColor="text1"/>
        </w:rPr>
        <w:t xml:space="preserve"> </w:t>
      </w:r>
      <w:r w:rsidRPr="003B13AB">
        <w:rPr>
          <w:color w:val="000000" w:themeColor="text1"/>
        </w:rPr>
        <w:t xml:space="preserve">(Fig. 13). Although slightly lower than the standard, </w:t>
      </w:r>
      <w:proofErr w:type="spellStart"/>
      <w:r w:rsidRPr="003B13AB">
        <w:rPr>
          <w:color w:val="000000" w:themeColor="text1"/>
        </w:rPr>
        <w:t>Mangiferin</w:t>
      </w:r>
      <w:proofErr w:type="spellEnd"/>
      <w:r w:rsidRPr="003B13AB">
        <w:rPr>
          <w:color w:val="000000" w:themeColor="text1"/>
        </w:rPr>
        <w:t xml:space="preserve"> demonstrated</w:t>
      </w:r>
      <w:r w:rsidR="000C68EA" w:rsidRPr="003B13AB">
        <w:rPr>
          <w:color w:val="000000" w:themeColor="text1"/>
        </w:rPr>
        <w:t xml:space="preserve"> </w:t>
      </w:r>
      <w:r w:rsidRPr="003B13AB">
        <w:rPr>
          <w:color w:val="000000" w:themeColor="text1"/>
        </w:rPr>
        <w:t>strong ferric reducing ability, further confirming its potent antioxidant potential.</w:t>
      </w:r>
    </w:p>
    <w:p w14:paraId="14350F1D"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p>
    <w:p w14:paraId="529180CF" w14:textId="77777777" w:rsidR="005274F5" w:rsidRPr="003B13AB" w:rsidRDefault="005274F5" w:rsidP="005274F5">
      <w:pPr>
        <w:spacing w:after="0" w:line="360" w:lineRule="auto"/>
        <w:jc w:val="center"/>
        <w:rPr>
          <w:rFonts w:ascii="Times New Roman" w:hAnsi="Times New Roman" w:cs="Times New Roman"/>
          <w:color w:val="000000" w:themeColor="text1"/>
          <w:sz w:val="24"/>
          <w:szCs w:val="24"/>
        </w:rPr>
      </w:pPr>
      <w:r w:rsidRPr="003B13AB">
        <w:rPr>
          <w:rFonts w:ascii="Times New Roman" w:hAnsi="Times New Roman" w:cs="Times New Roman"/>
          <w:noProof/>
          <w:color w:val="000000" w:themeColor="text1"/>
          <w:sz w:val="24"/>
          <w:szCs w:val="24"/>
          <w:lang w:val="en-US"/>
        </w:rPr>
        <w:lastRenderedPageBreak/>
        <w:drawing>
          <wp:inline distT="0" distB="0" distL="0" distR="0" wp14:anchorId="211A3606" wp14:editId="05974DD7">
            <wp:extent cx="4554415" cy="2713893"/>
            <wp:effectExtent l="0" t="0" r="17780" b="10795"/>
            <wp:docPr id="15" name="Chart 15">
              <a:extLst xmlns:a="http://schemas.openxmlformats.org/drawingml/2006/main">
                <a:ext uri="{FF2B5EF4-FFF2-40B4-BE49-F238E27FC236}">
                  <a16:creationId xmlns:a16="http://schemas.microsoft.com/office/drawing/2014/main" id="{0D9E869F-278E-4275-B076-E162130F68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30764A9" w14:textId="77777777" w:rsidR="005274F5" w:rsidRPr="003B13AB" w:rsidRDefault="005274F5" w:rsidP="005274F5">
      <w:pPr>
        <w:spacing w:after="0" w:line="360" w:lineRule="auto"/>
        <w:jc w:val="center"/>
        <w:rPr>
          <w:rFonts w:ascii="Times New Roman" w:hAnsi="Times New Roman" w:cs="Times New Roman"/>
          <w:b/>
          <w:bCs/>
          <w:color w:val="000000" w:themeColor="text1"/>
          <w:sz w:val="24"/>
          <w:szCs w:val="24"/>
        </w:rPr>
      </w:pPr>
    </w:p>
    <w:p w14:paraId="5C2B6600" w14:textId="30BFC317" w:rsidR="005274F5" w:rsidRPr="00E54747" w:rsidRDefault="005274F5" w:rsidP="00E54747">
      <w:pPr>
        <w:spacing w:after="0" w:line="360" w:lineRule="auto"/>
        <w:jc w:val="center"/>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Fig. 13.</w:t>
      </w:r>
      <w:r w:rsidRPr="003B13AB">
        <w:rPr>
          <w:rFonts w:ascii="Times New Roman" w:hAnsi="Times New Roman" w:cs="Times New Roman"/>
          <w:color w:val="000000" w:themeColor="text1"/>
          <w:sz w:val="24"/>
          <w:szCs w:val="24"/>
        </w:rPr>
        <w:t xml:space="preserve"> </w:t>
      </w:r>
      <w:r w:rsidRPr="003B13AB">
        <w:rPr>
          <w:rFonts w:ascii="Times New Roman" w:hAnsi="Times New Roman" w:cs="Times New Roman"/>
          <w:b/>
          <w:bCs/>
          <w:color w:val="000000" w:themeColor="text1"/>
          <w:sz w:val="24"/>
          <w:szCs w:val="24"/>
        </w:rPr>
        <w:t>Reducing power assay.</w:t>
      </w:r>
      <w:r w:rsidR="00E54747">
        <w:rPr>
          <w:rFonts w:ascii="Times New Roman" w:hAnsi="Times New Roman" w:cs="Times New Roman"/>
          <w:b/>
          <w:bCs/>
          <w:color w:val="000000" w:themeColor="text1"/>
          <w:sz w:val="24"/>
          <w:szCs w:val="24"/>
        </w:rPr>
        <w:t xml:space="preserve"> </w:t>
      </w:r>
      <w:r w:rsidRPr="00E54747">
        <w:rPr>
          <w:rFonts w:ascii="Times New Roman" w:hAnsi="Times New Roman" w:cs="Times New Roman"/>
          <w:b/>
          <w:bCs/>
          <w:color w:val="000000" w:themeColor="text1"/>
          <w:sz w:val="24"/>
          <w:szCs w:val="24"/>
        </w:rPr>
        <w:t xml:space="preserve">Values are expressed as the mean ± S.D. (n=3). Different superscript </w:t>
      </w:r>
      <w:proofErr w:type="gramStart"/>
      <w:r w:rsidRPr="00E54747">
        <w:rPr>
          <w:rFonts w:ascii="Times New Roman" w:hAnsi="Times New Roman" w:cs="Times New Roman"/>
          <w:b/>
          <w:bCs/>
          <w:color w:val="000000" w:themeColor="text1"/>
          <w:sz w:val="24"/>
          <w:szCs w:val="24"/>
        </w:rPr>
        <w:t>indicate</w:t>
      </w:r>
      <w:proofErr w:type="gramEnd"/>
      <w:r w:rsidRPr="00E54747">
        <w:rPr>
          <w:rFonts w:ascii="Times New Roman" w:hAnsi="Times New Roman" w:cs="Times New Roman"/>
          <w:b/>
          <w:bCs/>
          <w:color w:val="000000" w:themeColor="text1"/>
          <w:sz w:val="24"/>
          <w:szCs w:val="24"/>
        </w:rPr>
        <w:t xml:space="preserve"> significant difference (p&lt;0.05).</w:t>
      </w:r>
    </w:p>
    <w:p w14:paraId="07F5048A"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5DBBE33E" w14:textId="1E1163B6"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Nitric Oxide Scavenging Assay</w:t>
      </w:r>
    </w:p>
    <w:p w14:paraId="0C09BBCF"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6C76B875" w14:textId="77777777" w:rsidR="005274F5" w:rsidRPr="003B13AB" w:rsidRDefault="005274F5" w:rsidP="005274F5">
      <w:pPr>
        <w:spacing w:after="0" w:line="360" w:lineRule="auto"/>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The nitric oxide scavenging assay evaluates the ability of antioxidants to neutralize nitric oxide radicals generated from sodium nitroprusside in aqueous conditions. Nitric oxide readily reacts with oxygen to form nitrite ions, which can be quantified using the Griess reagent. Antioxidants inhibit nitrite formation by scavenging nitric oxide radicals, thereby reducing nitrosative stress associated with inflammation and various pathological conditions (Kumbhare </w:t>
      </w:r>
      <w:r w:rsidRPr="00B65600">
        <w:rPr>
          <w:rFonts w:ascii="Times New Roman" w:hAnsi="Times New Roman" w:cs="Times New Roman"/>
          <w:i/>
          <w:iCs/>
          <w:color w:val="000000" w:themeColor="text1"/>
          <w:sz w:val="24"/>
          <w:szCs w:val="24"/>
        </w:rPr>
        <w:t>et al</w:t>
      </w:r>
      <w:r w:rsidRPr="003B13AB">
        <w:rPr>
          <w:rFonts w:ascii="Times New Roman" w:hAnsi="Times New Roman" w:cs="Times New Roman"/>
          <w:color w:val="000000" w:themeColor="text1"/>
          <w:sz w:val="24"/>
          <w:szCs w:val="24"/>
        </w:rPr>
        <w:t xml:space="preserve">., 2012). In the present study,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significantly scavenged nitric oxide radicals, resulting in effective inhibition of nitrite formation.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exhibited an IC₅₀ value of 43.60 µg/ml, which was slightly lower than that of the standard antioxidant ascorbic acid (47.03 µg/ml) (Fig. 14). A clear dose-dependent increase in nitric oxide scavenging activity was observed, indicating </w:t>
      </w:r>
      <w:proofErr w:type="spellStart"/>
      <w:r w:rsidRPr="003B13AB">
        <w:rPr>
          <w:rFonts w:ascii="Times New Roman" w:hAnsi="Times New Roman" w:cs="Times New Roman"/>
          <w:color w:val="000000" w:themeColor="text1"/>
          <w:sz w:val="24"/>
          <w:szCs w:val="24"/>
        </w:rPr>
        <w:t>Mangiferin’s</w:t>
      </w:r>
      <w:proofErr w:type="spellEnd"/>
      <w:r w:rsidRPr="003B13AB">
        <w:rPr>
          <w:rFonts w:ascii="Times New Roman" w:hAnsi="Times New Roman" w:cs="Times New Roman"/>
          <w:color w:val="000000" w:themeColor="text1"/>
          <w:sz w:val="24"/>
          <w:szCs w:val="24"/>
        </w:rPr>
        <w:t xml:space="preserve"> strong potential to mitigate nitric oxide–mediated oxidative and inflammatory damage.</w:t>
      </w:r>
    </w:p>
    <w:p w14:paraId="218F4C8D" w14:textId="77777777" w:rsidR="005274F5" w:rsidRPr="003B13AB" w:rsidRDefault="005274F5" w:rsidP="005274F5">
      <w:pPr>
        <w:spacing w:after="0" w:line="360" w:lineRule="auto"/>
        <w:jc w:val="center"/>
        <w:rPr>
          <w:rFonts w:ascii="Times New Roman" w:hAnsi="Times New Roman" w:cs="Times New Roman"/>
          <w:color w:val="000000" w:themeColor="text1"/>
          <w:sz w:val="24"/>
          <w:szCs w:val="24"/>
        </w:rPr>
      </w:pPr>
      <w:r w:rsidRPr="003B13AB">
        <w:rPr>
          <w:rFonts w:ascii="Times New Roman" w:hAnsi="Times New Roman" w:cs="Times New Roman"/>
          <w:noProof/>
          <w:color w:val="000000" w:themeColor="text1"/>
          <w:sz w:val="24"/>
          <w:szCs w:val="24"/>
          <w:lang w:val="en-US"/>
        </w:rPr>
        <w:lastRenderedPageBreak/>
        <w:drawing>
          <wp:inline distT="0" distB="0" distL="0" distR="0" wp14:anchorId="1891D36D" wp14:editId="2D68B76B">
            <wp:extent cx="4606413" cy="2800554"/>
            <wp:effectExtent l="0" t="0" r="3810" b="0"/>
            <wp:docPr id="13" name="Chart 13">
              <a:extLst xmlns:a="http://schemas.openxmlformats.org/drawingml/2006/main">
                <a:ext uri="{FF2B5EF4-FFF2-40B4-BE49-F238E27FC236}">
                  <a16:creationId xmlns:a16="http://schemas.microsoft.com/office/drawing/2014/main" id="{4BDA3EE4-7F01-480D-AB2C-4BF5EAD72D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78945E" w14:textId="77777777" w:rsidR="005274F5" w:rsidRPr="003B13AB" w:rsidRDefault="005274F5" w:rsidP="005274F5">
      <w:pPr>
        <w:spacing w:after="0" w:line="360" w:lineRule="auto"/>
        <w:jc w:val="center"/>
        <w:rPr>
          <w:rFonts w:ascii="Times New Roman" w:hAnsi="Times New Roman" w:cs="Times New Roman"/>
          <w:b/>
          <w:bCs/>
          <w:color w:val="000000" w:themeColor="text1"/>
          <w:sz w:val="24"/>
          <w:szCs w:val="24"/>
        </w:rPr>
      </w:pPr>
    </w:p>
    <w:p w14:paraId="2F01679D" w14:textId="5CEC1706" w:rsidR="005274F5" w:rsidRPr="00E54747" w:rsidRDefault="005274F5" w:rsidP="00E54747">
      <w:pPr>
        <w:spacing w:after="0" w:line="360" w:lineRule="auto"/>
        <w:jc w:val="center"/>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Fig. 14. Nitric oxide radical scavenging.</w:t>
      </w:r>
      <w:r w:rsidR="00E54747">
        <w:rPr>
          <w:rFonts w:ascii="Times New Roman" w:hAnsi="Times New Roman" w:cs="Times New Roman"/>
          <w:color w:val="000000" w:themeColor="text1"/>
          <w:sz w:val="24"/>
          <w:szCs w:val="24"/>
        </w:rPr>
        <w:t xml:space="preserve"> </w:t>
      </w:r>
      <w:r w:rsidRPr="00E54747">
        <w:rPr>
          <w:rFonts w:ascii="Times New Roman" w:hAnsi="Times New Roman" w:cs="Times New Roman"/>
          <w:b/>
          <w:bCs/>
          <w:color w:val="000000" w:themeColor="text1"/>
          <w:sz w:val="24"/>
          <w:szCs w:val="24"/>
        </w:rPr>
        <w:t xml:space="preserve">Values are expressed as the mean ± S.D. (n=3). Different superscript </w:t>
      </w:r>
      <w:proofErr w:type="gramStart"/>
      <w:r w:rsidRPr="00E54747">
        <w:rPr>
          <w:rFonts w:ascii="Times New Roman" w:hAnsi="Times New Roman" w:cs="Times New Roman"/>
          <w:b/>
          <w:bCs/>
          <w:color w:val="000000" w:themeColor="text1"/>
          <w:sz w:val="24"/>
          <w:szCs w:val="24"/>
        </w:rPr>
        <w:t>indicate</w:t>
      </w:r>
      <w:proofErr w:type="gramEnd"/>
      <w:r w:rsidRPr="00E54747">
        <w:rPr>
          <w:rFonts w:ascii="Times New Roman" w:hAnsi="Times New Roman" w:cs="Times New Roman"/>
          <w:b/>
          <w:bCs/>
          <w:color w:val="000000" w:themeColor="text1"/>
          <w:sz w:val="24"/>
          <w:szCs w:val="24"/>
        </w:rPr>
        <w:t xml:space="preserve"> significant difference (p&lt;0.05).</w:t>
      </w:r>
    </w:p>
    <w:p w14:paraId="1353287C" w14:textId="77777777" w:rsidR="000C68EA" w:rsidRDefault="000C68EA" w:rsidP="005274F5">
      <w:pPr>
        <w:spacing w:after="0" w:line="360" w:lineRule="auto"/>
        <w:jc w:val="both"/>
        <w:rPr>
          <w:rFonts w:ascii="Times New Roman" w:hAnsi="Times New Roman" w:cs="Times New Roman"/>
          <w:b/>
          <w:color w:val="000000" w:themeColor="text1"/>
          <w:sz w:val="24"/>
          <w:szCs w:val="24"/>
        </w:rPr>
      </w:pPr>
    </w:p>
    <w:p w14:paraId="02EBA53E" w14:textId="008E1F4D" w:rsidR="00EA5389" w:rsidRPr="00F954D2" w:rsidRDefault="00EB55A7" w:rsidP="00F954D2">
      <w:pPr>
        <w:pStyle w:val="Heading2"/>
        <w:spacing w:line="360" w:lineRule="auto"/>
        <w:jc w:val="both"/>
        <w:rPr>
          <w:rFonts w:ascii="Times New Roman" w:eastAsia="Times New Roman" w:hAnsi="Times New Roman" w:cs="Times New Roman"/>
          <w:b/>
          <w:bCs/>
          <w:color w:val="000000" w:themeColor="text1"/>
          <w:sz w:val="24"/>
          <w:szCs w:val="24"/>
        </w:rPr>
      </w:pPr>
      <w:r w:rsidRPr="00EB55A7">
        <w:rPr>
          <w:rFonts w:ascii="Times New Roman" w:eastAsia="Times New Roman" w:hAnsi="Times New Roman" w:cs="Times New Roman"/>
          <w:b/>
          <w:bCs/>
          <w:color w:val="000000" w:themeColor="text1"/>
          <w:sz w:val="24"/>
          <w:szCs w:val="24"/>
        </w:rPr>
        <w:t>Brine Shrimp Lethality Assay</w:t>
      </w:r>
    </w:p>
    <w:p w14:paraId="48C03D0A" w14:textId="617F454D" w:rsidR="003B13AB" w:rsidRDefault="00EB281D" w:rsidP="00F954D2">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results of the brine shrimp lethality assay showed that </w:t>
      </w:r>
      <w:proofErr w:type="spellStart"/>
      <w:r>
        <w:rPr>
          <w:rFonts w:ascii="Times New Roman" w:hAnsi="Times New Roman" w:cs="Times New Roman"/>
          <w:color w:val="000000" w:themeColor="text1"/>
          <w:sz w:val="24"/>
          <w:szCs w:val="24"/>
        </w:rPr>
        <w:t>mangiferin</w:t>
      </w:r>
      <w:proofErr w:type="spellEnd"/>
      <w:r>
        <w:rPr>
          <w:rFonts w:ascii="Times New Roman" w:hAnsi="Times New Roman" w:cs="Times New Roman"/>
          <w:color w:val="000000" w:themeColor="text1"/>
          <w:sz w:val="24"/>
          <w:szCs w:val="24"/>
        </w:rPr>
        <w:t xml:space="preserve"> exhibited very low toxicity toward </w:t>
      </w:r>
      <w:r w:rsidRPr="009B2E9E">
        <w:rPr>
          <w:rFonts w:ascii="Times New Roman" w:hAnsi="Times New Roman" w:cs="Times New Roman"/>
          <w:i/>
          <w:iCs/>
          <w:color w:val="000000" w:themeColor="text1"/>
          <w:sz w:val="24"/>
          <w:szCs w:val="24"/>
        </w:rPr>
        <w:t>Artemia salina</w:t>
      </w:r>
      <w:r>
        <w:rPr>
          <w:rFonts w:ascii="Times New Roman" w:hAnsi="Times New Roman" w:cs="Times New Roman"/>
          <w:color w:val="000000" w:themeColor="text1"/>
          <w:sz w:val="24"/>
          <w:szCs w:val="24"/>
        </w:rPr>
        <w:t xml:space="preserve"> nauplii within the tested concentration range of 25–500 µg/</w:t>
      </w:r>
      <w:proofErr w:type="spellStart"/>
      <w:r>
        <w:rPr>
          <w:rFonts w:ascii="Times New Roman" w:hAnsi="Times New Roman" w:cs="Times New Roman"/>
          <w:color w:val="000000" w:themeColor="text1"/>
          <w:sz w:val="24"/>
          <w:szCs w:val="24"/>
        </w:rPr>
        <w:t>mL.</w:t>
      </w:r>
      <w:proofErr w:type="spellEnd"/>
      <w:r>
        <w:rPr>
          <w:rFonts w:ascii="Times New Roman" w:hAnsi="Times New Roman" w:cs="Times New Roman"/>
          <w:color w:val="000000" w:themeColor="text1"/>
          <w:sz w:val="24"/>
          <w:szCs w:val="24"/>
        </w:rPr>
        <w:t xml:space="preserve"> No mortality was observed at the lower concentrations of 25 and 50 µg/mL indicating that </w:t>
      </w:r>
      <w:proofErr w:type="spellStart"/>
      <w:r>
        <w:rPr>
          <w:rFonts w:ascii="Times New Roman" w:hAnsi="Times New Roman" w:cs="Times New Roman"/>
          <w:color w:val="000000" w:themeColor="text1"/>
          <w:sz w:val="24"/>
          <w:szCs w:val="24"/>
        </w:rPr>
        <w:t>mangiferin</w:t>
      </w:r>
      <w:proofErr w:type="spellEnd"/>
      <w:r>
        <w:rPr>
          <w:rFonts w:ascii="Times New Roman" w:hAnsi="Times New Roman" w:cs="Times New Roman"/>
          <w:color w:val="000000" w:themeColor="text1"/>
          <w:sz w:val="24"/>
          <w:szCs w:val="24"/>
        </w:rPr>
        <w:t xml:space="preserve"> is non-toxic at these levels. </w:t>
      </w:r>
      <w:proofErr w:type="gramStart"/>
      <w:r>
        <w:rPr>
          <w:rFonts w:ascii="Times New Roman" w:hAnsi="Times New Roman" w:cs="Times New Roman"/>
          <w:color w:val="000000" w:themeColor="text1"/>
          <w:sz w:val="24"/>
          <w:szCs w:val="24"/>
        </w:rPr>
        <w:t>However</w:t>
      </w:r>
      <w:proofErr w:type="gramEnd"/>
      <w:r>
        <w:rPr>
          <w:rFonts w:ascii="Times New Roman" w:hAnsi="Times New Roman" w:cs="Times New Roman"/>
          <w:color w:val="000000" w:themeColor="text1"/>
          <w:sz w:val="24"/>
          <w:szCs w:val="24"/>
        </w:rPr>
        <w:t xml:space="preserve"> a slight increase in mortality was observed at 100, 250, and 500 µg/mL suggesting a dose-dependent response with increasing concentration.</w:t>
      </w:r>
      <w:r w:rsidR="002F12FE">
        <w:rPr>
          <w:rFonts w:ascii="Times New Roman" w:hAnsi="Times New Roman" w:cs="Times New Roman"/>
          <w:color w:val="000000" w:themeColor="text1"/>
          <w:sz w:val="24"/>
          <w:szCs w:val="24"/>
        </w:rPr>
        <w:t xml:space="preserve"> </w:t>
      </w:r>
      <w:r w:rsidR="00B60FC6">
        <w:rPr>
          <w:rFonts w:ascii="Times New Roman" w:hAnsi="Times New Roman" w:cs="Times New Roman"/>
          <w:color w:val="000000" w:themeColor="text1"/>
          <w:sz w:val="24"/>
          <w:szCs w:val="24"/>
        </w:rPr>
        <w:t xml:space="preserve">Despite the gradual increase in mortality at higher concentrations the overall lethality remained relatively low indicating minimal toxicity of </w:t>
      </w:r>
      <w:proofErr w:type="spellStart"/>
      <w:r w:rsidR="00B60FC6">
        <w:rPr>
          <w:rFonts w:ascii="Times New Roman" w:hAnsi="Times New Roman" w:cs="Times New Roman"/>
          <w:color w:val="000000" w:themeColor="text1"/>
          <w:sz w:val="24"/>
          <w:szCs w:val="24"/>
        </w:rPr>
        <w:t>mangiferin</w:t>
      </w:r>
      <w:proofErr w:type="spellEnd"/>
      <w:r w:rsidR="00B60FC6">
        <w:rPr>
          <w:rFonts w:ascii="Times New Roman" w:hAnsi="Times New Roman" w:cs="Times New Roman"/>
          <w:color w:val="000000" w:themeColor="text1"/>
          <w:sz w:val="24"/>
          <w:szCs w:val="24"/>
        </w:rPr>
        <w:t xml:space="preserve"> toward brine shrimp nauplii. The negative control (artificial sea water) showed no mortality confirming that the experimental conditions did not affect the survival of the nauplii. In contrast the positive control Potassium dichromate (1 mg/mL) </w:t>
      </w:r>
      <w:r w:rsidR="007576C3">
        <w:rPr>
          <w:rFonts w:ascii="Times New Roman" w:hAnsi="Times New Roman" w:cs="Times New Roman"/>
          <w:color w:val="000000" w:themeColor="text1"/>
          <w:sz w:val="24"/>
          <w:szCs w:val="24"/>
        </w:rPr>
        <w:t>given</w:t>
      </w:r>
      <w:r w:rsidR="00B60FC6">
        <w:rPr>
          <w:rFonts w:ascii="Times New Roman" w:hAnsi="Times New Roman" w:cs="Times New Roman"/>
          <w:color w:val="000000" w:themeColor="text1"/>
          <w:sz w:val="24"/>
          <w:szCs w:val="24"/>
        </w:rPr>
        <w:t xml:space="preserve"> 100% mortality demonstrating the sensitivity and reliability of the </w:t>
      </w:r>
      <w:proofErr w:type="spellStart"/>
      <w:proofErr w:type="gramStart"/>
      <w:r w:rsidR="00B60FC6">
        <w:rPr>
          <w:rFonts w:ascii="Times New Roman" w:hAnsi="Times New Roman" w:cs="Times New Roman"/>
          <w:color w:val="000000" w:themeColor="text1"/>
          <w:sz w:val="24"/>
          <w:szCs w:val="24"/>
        </w:rPr>
        <w:t>assay.</w:t>
      </w:r>
      <w:r w:rsidR="00C21F39">
        <w:rPr>
          <w:rFonts w:ascii="Times New Roman" w:hAnsi="Times New Roman" w:cs="Times New Roman"/>
          <w:color w:val="000000" w:themeColor="text1"/>
          <w:sz w:val="24"/>
          <w:szCs w:val="24"/>
        </w:rPr>
        <w:t>The</w:t>
      </w:r>
      <w:proofErr w:type="spellEnd"/>
      <w:proofErr w:type="gramEnd"/>
      <w:r w:rsidR="00C21F39">
        <w:rPr>
          <w:rFonts w:ascii="Times New Roman" w:hAnsi="Times New Roman" w:cs="Times New Roman"/>
          <w:color w:val="000000" w:themeColor="text1"/>
          <w:sz w:val="24"/>
          <w:szCs w:val="24"/>
        </w:rPr>
        <w:t xml:space="preserve"> calculated LD₅₀ value of </w:t>
      </w:r>
      <w:proofErr w:type="spellStart"/>
      <w:r w:rsidR="00C21F39">
        <w:rPr>
          <w:rFonts w:ascii="Times New Roman" w:hAnsi="Times New Roman" w:cs="Times New Roman"/>
          <w:color w:val="000000" w:themeColor="text1"/>
          <w:sz w:val="24"/>
          <w:szCs w:val="24"/>
        </w:rPr>
        <w:t>mangiferin</w:t>
      </w:r>
      <w:proofErr w:type="spellEnd"/>
      <w:r w:rsidR="00C21F39">
        <w:rPr>
          <w:rFonts w:ascii="Times New Roman" w:hAnsi="Times New Roman" w:cs="Times New Roman"/>
          <w:color w:val="000000" w:themeColor="text1"/>
          <w:sz w:val="24"/>
          <w:szCs w:val="24"/>
        </w:rPr>
        <w:t xml:space="preserve"> was 1218.60 ± 0.87 µg/mL which is higher than the maximum tested concentration indicating very low toxicity toward brine shrimp nauplii. These findings suggest that </w:t>
      </w:r>
      <w:proofErr w:type="spellStart"/>
      <w:r w:rsidR="00C21F39">
        <w:rPr>
          <w:rFonts w:ascii="Times New Roman" w:hAnsi="Times New Roman" w:cs="Times New Roman"/>
          <w:color w:val="000000" w:themeColor="text1"/>
          <w:sz w:val="24"/>
          <w:szCs w:val="24"/>
        </w:rPr>
        <w:t>mangiferin</w:t>
      </w:r>
      <w:proofErr w:type="spellEnd"/>
      <w:r w:rsidR="00C21F39">
        <w:rPr>
          <w:rFonts w:ascii="Times New Roman" w:hAnsi="Times New Roman" w:cs="Times New Roman"/>
          <w:color w:val="000000" w:themeColor="text1"/>
          <w:sz w:val="24"/>
          <w:szCs w:val="24"/>
        </w:rPr>
        <w:t xml:space="preserve"> is relatively safe within the tested concentration range although a slight increase in mortality was observed when the dose increased.</w:t>
      </w:r>
    </w:p>
    <w:p w14:paraId="54F0A62E" w14:textId="65F575CE" w:rsidR="00EB55A7" w:rsidRDefault="00E556D2" w:rsidP="003B13AB">
      <w:pPr>
        <w:spacing w:line="360" w:lineRule="auto"/>
        <w:ind w:firstLine="720"/>
        <w:jc w:val="both"/>
        <w:rPr>
          <w:rFonts w:ascii="Times New Roman" w:hAnsi="Times New Roman" w:cs="Times New Roman"/>
          <w:color w:val="000000" w:themeColor="text1"/>
          <w:sz w:val="24"/>
          <w:szCs w:val="24"/>
        </w:rPr>
      </w:pPr>
      <w:r>
        <w:rPr>
          <w:noProof/>
        </w:rPr>
        <w:lastRenderedPageBreak/>
        <w:drawing>
          <wp:inline distT="0" distB="0" distL="0" distR="0" wp14:anchorId="030E2C46" wp14:editId="3BDCD01D">
            <wp:extent cx="4657725" cy="2798508"/>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57883" cy="2798603"/>
                    </a:xfrm>
                    <a:prstGeom prst="rect">
                      <a:avLst/>
                    </a:prstGeom>
                    <a:noFill/>
                    <a:ln>
                      <a:noFill/>
                    </a:ln>
                  </pic:spPr>
                </pic:pic>
              </a:graphicData>
            </a:graphic>
          </wp:inline>
        </w:drawing>
      </w:r>
    </w:p>
    <w:p w14:paraId="39BA4B49" w14:textId="6C4D659C" w:rsidR="00D75EAA" w:rsidRPr="00D75EAA" w:rsidRDefault="00D75EAA" w:rsidP="00615BBB">
      <w:pPr>
        <w:spacing w:before="240" w:line="360" w:lineRule="auto"/>
        <w:ind w:firstLine="720"/>
        <w:jc w:val="center"/>
        <w:rPr>
          <w:rFonts w:ascii="Times New Roman" w:hAnsi="Times New Roman" w:cs="Times New Roman"/>
          <w:sz w:val="24"/>
          <w:szCs w:val="24"/>
        </w:rPr>
      </w:pPr>
      <w:r w:rsidRPr="00D75EAA">
        <w:rPr>
          <w:rStyle w:val="Strong"/>
          <w:rFonts w:ascii="Times New Roman" w:hAnsi="Times New Roman" w:cs="Times New Roman"/>
          <w:sz w:val="24"/>
          <w:szCs w:val="24"/>
        </w:rPr>
        <w:t>Figure 15.</w:t>
      </w:r>
      <w:r w:rsidRPr="00D75EAA">
        <w:rPr>
          <w:rFonts w:ascii="Times New Roman" w:hAnsi="Times New Roman" w:cs="Times New Roman"/>
          <w:b/>
          <w:sz w:val="24"/>
          <w:szCs w:val="24"/>
        </w:rPr>
        <w:t xml:space="preserve"> Regression line equation obtained from the </w:t>
      </w:r>
      <w:r w:rsidRPr="00D75EAA">
        <w:rPr>
          <w:rStyle w:val="whitespace-normal"/>
          <w:rFonts w:ascii="Times New Roman" w:hAnsi="Times New Roman" w:cs="Times New Roman"/>
          <w:b/>
          <w:sz w:val="24"/>
          <w:szCs w:val="24"/>
        </w:rPr>
        <w:t>Brine Shrimp Lethality Assay</w:t>
      </w:r>
      <w:r w:rsidRPr="00D75EAA">
        <w:rPr>
          <w:rFonts w:ascii="Times New Roman" w:hAnsi="Times New Roman" w:cs="Times New Roman"/>
          <w:b/>
          <w:sz w:val="24"/>
          <w:szCs w:val="24"/>
        </w:rPr>
        <w:t xml:space="preserve"> (BSLT) for </w:t>
      </w:r>
      <w:proofErr w:type="spellStart"/>
      <w:r w:rsidRPr="00D75EAA">
        <w:rPr>
          <w:rStyle w:val="Strong"/>
          <w:rFonts w:ascii="Times New Roman" w:hAnsi="Times New Roman" w:cs="Times New Roman"/>
          <w:sz w:val="24"/>
          <w:szCs w:val="24"/>
        </w:rPr>
        <w:t>Mangiferin</w:t>
      </w:r>
      <w:proofErr w:type="spellEnd"/>
      <w:r w:rsidRPr="00D75EAA">
        <w:rPr>
          <w:rFonts w:ascii="Times New Roman" w:hAnsi="Times New Roman" w:cs="Times New Roman"/>
          <w:b/>
          <w:sz w:val="24"/>
          <w:szCs w:val="24"/>
        </w:rPr>
        <w:t xml:space="preserve"> showing the relationship between concentration and percentage mortality of </w:t>
      </w:r>
      <w:r w:rsidRPr="00D14E48">
        <w:rPr>
          <w:rStyle w:val="whitespace-normal"/>
          <w:rFonts w:ascii="Times New Roman" w:hAnsi="Times New Roman" w:cs="Times New Roman"/>
          <w:b/>
          <w:i/>
          <w:iCs/>
          <w:sz w:val="24"/>
          <w:szCs w:val="24"/>
        </w:rPr>
        <w:t>Artemia salina</w:t>
      </w:r>
      <w:r>
        <w:rPr>
          <w:rFonts w:ascii="Times New Roman" w:hAnsi="Times New Roman" w:cs="Times New Roman"/>
          <w:b/>
          <w:sz w:val="24"/>
          <w:szCs w:val="24"/>
        </w:rPr>
        <w:t xml:space="preserve"> nauplii</w:t>
      </w:r>
      <w:r w:rsidR="00615BBB">
        <w:rPr>
          <w:rFonts w:ascii="Times New Roman" w:hAnsi="Times New Roman" w:cs="Times New Roman"/>
          <w:b/>
          <w:sz w:val="24"/>
          <w:szCs w:val="24"/>
        </w:rPr>
        <w:t xml:space="preserve"> (n=3)</w:t>
      </w:r>
      <w:r>
        <w:rPr>
          <w:rFonts w:ascii="Times New Roman" w:hAnsi="Times New Roman" w:cs="Times New Roman"/>
          <w:b/>
          <w:sz w:val="24"/>
          <w:szCs w:val="24"/>
        </w:rPr>
        <w:t xml:space="preserve">. </w:t>
      </w:r>
    </w:p>
    <w:p w14:paraId="5B27D0C0" w14:textId="5D2E52E1" w:rsidR="003B13AB" w:rsidRPr="00D75EAA" w:rsidRDefault="003B13AB" w:rsidP="00D75EAA">
      <w:pPr>
        <w:spacing w:line="360" w:lineRule="auto"/>
        <w:ind w:firstLine="720"/>
        <w:jc w:val="both"/>
        <w:rPr>
          <w:rFonts w:ascii="Times New Roman" w:hAnsi="Times New Roman" w:cs="Times New Roman"/>
          <w:color w:val="000000" w:themeColor="text1"/>
          <w:sz w:val="24"/>
          <w:szCs w:val="24"/>
        </w:rPr>
      </w:pPr>
      <w:r w:rsidRPr="003B13AB">
        <w:rPr>
          <w:rFonts w:ascii="Times New Roman" w:hAnsi="Times New Roman" w:cs="Times New Roman"/>
          <w:color w:val="000000" w:themeColor="text1"/>
          <w:sz w:val="24"/>
          <w:szCs w:val="24"/>
        </w:rPr>
        <w:t xml:space="preserve">The present findings are consistent with previous reports indicating that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exhibits low toxicity in the brine shrimp lethality assay. A similar observation was reported by Ishaque </w:t>
      </w:r>
      <w:r w:rsidRPr="00D75EAA">
        <w:rPr>
          <w:rFonts w:ascii="Times New Roman" w:hAnsi="Times New Roman" w:cs="Times New Roman"/>
          <w:i/>
          <w:color w:val="000000" w:themeColor="text1"/>
          <w:sz w:val="24"/>
          <w:szCs w:val="24"/>
        </w:rPr>
        <w:t>et al.</w:t>
      </w:r>
      <w:r w:rsidR="009B2E9E">
        <w:rPr>
          <w:rFonts w:ascii="Times New Roman" w:hAnsi="Times New Roman" w:cs="Times New Roman"/>
          <w:i/>
          <w:color w:val="000000" w:themeColor="text1"/>
          <w:sz w:val="24"/>
          <w:szCs w:val="24"/>
        </w:rPr>
        <w:t>,</w:t>
      </w:r>
      <w:r w:rsidRPr="003B13AB">
        <w:rPr>
          <w:rFonts w:ascii="Times New Roman" w:hAnsi="Times New Roman" w:cs="Times New Roman"/>
          <w:color w:val="000000" w:themeColor="text1"/>
          <w:sz w:val="24"/>
          <w:szCs w:val="24"/>
        </w:rPr>
        <w:t xml:space="preserve"> (2021), </w:t>
      </w:r>
      <w:r w:rsidR="00D75EAA">
        <w:rPr>
          <w:rFonts w:ascii="Times New Roman" w:hAnsi="Times New Roman" w:cs="Times New Roman"/>
          <w:color w:val="000000" w:themeColor="text1"/>
          <w:sz w:val="24"/>
          <w:szCs w:val="24"/>
        </w:rPr>
        <w:t>they</w:t>
      </w:r>
      <w:r w:rsidRPr="003B13AB">
        <w:rPr>
          <w:rFonts w:ascii="Times New Roman" w:hAnsi="Times New Roman" w:cs="Times New Roman"/>
          <w:color w:val="000000" w:themeColor="text1"/>
          <w:sz w:val="24"/>
          <w:szCs w:val="24"/>
        </w:rPr>
        <w:t xml:space="preserve"> isolated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from </w:t>
      </w:r>
      <w:r w:rsidRPr="00D75EAA">
        <w:rPr>
          <w:rFonts w:ascii="Times New Roman" w:hAnsi="Times New Roman" w:cs="Times New Roman"/>
          <w:i/>
          <w:color w:val="000000" w:themeColor="text1"/>
          <w:sz w:val="24"/>
          <w:szCs w:val="24"/>
        </w:rPr>
        <w:t xml:space="preserve">Dryopteris </w:t>
      </w:r>
      <w:proofErr w:type="spellStart"/>
      <w:r w:rsidRPr="00D75EAA">
        <w:rPr>
          <w:rFonts w:ascii="Times New Roman" w:hAnsi="Times New Roman" w:cs="Times New Roman"/>
          <w:i/>
          <w:color w:val="000000" w:themeColor="text1"/>
          <w:sz w:val="24"/>
          <w:szCs w:val="24"/>
        </w:rPr>
        <w:t>ramosa</w:t>
      </w:r>
      <w:proofErr w:type="spellEnd"/>
      <w:r w:rsidRPr="003B13AB">
        <w:rPr>
          <w:rFonts w:ascii="Times New Roman" w:hAnsi="Times New Roman" w:cs="Times New Roman"/>
          <w:color w:val="000000" w:themeColor="text1"/>
          <w:sz w:val="24"/>
          <w:szCs w:val="24"/>
        </w:rPr>
        <w:t xml:space="preserve"> and evaluated its biological activities. In their study,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exhibited weak toxicity toward brine shrimp nauplii, with an LD₅₀ value of 969.77 ± 0.67 µg/mL, indicating relatively low lethality. These findings support the present study and suggest that </w:t>
      </w:r>
      <w:proofErr w:type="spellStart"/>
      <w:r w:rsidRPr="003B13AB">
        <w:rPr>
          <w:rFonts w:ascii="Times New Roman" w:hAnsi="Times New Roman" w:cs="Times New Roman"/>
          <w:color w:val="000000" w:themeColor="text1"/>
          <w:sz w:val="24"/>
          <w:szCs w:val="24"/>
        </w:rPr>
        <w:t>mangiferin</w:t>
      </w:r>
      <w:proofErr w:type="spellEnd"/>
      <w:r w:rsidRPr="003B13AB">
        <w:rPr>
          <w:rFonts w:ascii="Times New Roman" w:hAnsi="Times New Roman" w:cs="Times New Roman"/>
          <w:color w:val="000000" w:themeColor="text1"/>
          <w:sz w:val="24"/>
          <w:szCs w:val="24"/>
        </w:rPr>
        <w:t xml:space="preserve"> possesses low general toxicity in preliminary screening models. </w:t>
      </w:r>
    </w:p>
    <w:p w14:paraId="63F0C979" w14:textId="616FA67E" w:rsidR="005274F5" w:rsidRPr="003B13AB" w:rsidRDefault="005274F5" w:rsidP="005274F5">
      <w:pPr>
        <w:spacing w:after="0" w:line="360" w:lineRule="auto"/>
        <w:jc w:val="both"/>
        <w:rPr>
          <w:rFonts w:ascii="Times New Roman" w:hAnsi="Times New Roman" w:cs="Times New Roman"/>
          <w:b/>
          <w:color w:val="000000" w:themeColor="text1"/>
          <w:sz w:val="24"/>
          <w:szCs w:val="24"/>
        </w:rPr>
      </w:pPr>
      <w:r w:rsidRPr="003B13AB">
        <w:rPr>
          <w:rFonts w:ascii="Times New Roman" w:hAnsi="Times New Roman" w:cs="Times New Roman"/>
          <w:b/>
          <w:color w:val="000000" w:themeColor="text1"/>
          <w:sz w:val="24"/>
          <w:szCs w:val="24"/>
        </w:rPr>
        <w:t>CONCLUSION</w:t>
      </w:r>
    </w:p>
    <w:p w14:paraId="0F3F7765" w14:textId="20E5D219" w:rsidR="004D7143" w:rsidRPr="004D7143" w:rsidRDefault="004D7143" w:rsidP="004D7143">
      <w:pPr>
        <w:spacing w:after="0" w:line="360" w:lineRule="auto"/>
        <w:ind w:firstLine="720"/>
        <w:jc w:val="both"/>
        <w:rPr>
          <w:rFonts w:ascii="Times New Roman" w:hAnsi="Times New Roman" w:cs="Times New Roman"/>
          <w:color w:val="000000" w:themeColor="text1"/>
          <w:sz w:val="24"/>
          <w:szCs w:val="24"/>
        </w:rPr>
      </w:pPr>
      <w:r w:rsidRPr="004D7143">
        <w:rPr>
          <w:rFonts w:ascii="Times New Roman" w:hAnsi="Times New Roman" w:cs="Times New Roman"/>
          <w:color w:val="000000" w:themeColor="text1"/>
          <w:sz w:val="24"/>
          <w:szCs w:val="24"/>
        </w:rPr>
        <w:t xml:space="preserve">The present study confirms that </w:t>
      </w:r>
      <w:proofErr w:type="spellStart"/>
      <w:r w:rsidRPr="004D7143">
        <w:rPr>
          <w:rFonts w:ascii="Times New Roman" w:hAnsi="Times New Roman" w:cs="Times New Roman"/>
          <w:color w:val="000000" w:themeColor="text1"/>
          <w:sz w:val="24"/>
          <w:szCs w:val="24"/>
        </w:rPr>
        <w:t>mangiferin</w:t>
      </w:r>
      <w:proofErr w:type="spellEnd"/>
      <w:r w:rsidRPr="004D7143">
        <w:rPr>
          <w:rFonts w:ascii="Times New Roman" w:hAnsi="Times New Roman" w:cs="Times New Roman"/>
          <w:color w:val="000000" w:themeColor="text1"/>
          <w:sz w:val="24"/>
          <w:szCs w:val="24"/>
        </w:rPr>
        <w:t xml:space="preserve"> isolated from </w:t>
      </w:r>
      <w:proofErr w:type="spellStart"/>
      <w:r w:rsidRPr="004D7143">
        <w:rPr>
          <w:rFonts w:ascii="Times New Roman" w:hAnsi="Times New Roman" w:cs="Times New Roman"/>
          <w:i/>
          <w:color w:val="000000" w:themeColor="text1"/>
          <w:sz w:val="24"/>
          <w:szCs w:val="24"/>
        </w:rPr>
        <w:t>Mangifera</w:t>
      </w:r>
      <w:proofErr w:type="spellEnd"/>
      <w:r w:rsidRPr="004D7143">
        <w:rPr>
          <w:rFonts w:ascii="Times New Roman" w:hAnsi="Times New Roman" w:cs="Times New Roman"/>
          <w:i/>
          <w:color w:val="000000" w:themeColor="text1"/>
          <w:sz w:val="24"/>
          <w:szCs w:val="24"/>
        </w:rPr>
        <w:t xml:space="preserve"> indica L.</w:t>
      </w:r>
      <w:r w:rsidRPr="004D7143">
        <w:rPr>
          <w:rFonts w:ascii="Times New Roman" w:hAnsi="Times New Roman" w:cs="Times New Roman"/>
          <w:color w:val="000000" w:themeColor="text1"/>
          <w:sz w:val="24"/>
          <w:szCs w:val="24"/>
        </w:rPr>
        <w:t xml:space="preserve"> bark possesses strong antioxidant potential through efficient scavenging of reactive oxyge</w:t>
      </w:r>
      <w:r>
        <w:rPr>
          <w:rFonts w:ascii="Times New Roman" w:hAnsi="Times New Roman" w:cs="Times New Roman"/>
          <w:color w:val="000000" w:themeColor="text1"/>
          <w:sz w:val="24"/>
          <w:szCs w:val="24"/>
        </w:rPr>
        <w:t xml:space="preserve">n, </w:t>
      </w:r>
      <w:r w:rsidRPr="004D7143">
        <w:rPr>
          <w:rFonts w:ascii="Times New Roman" w:hAnsi="Times New Roman" w:cs="Times New Roman"/>
          <w:color w:val="000000" w:themeColor="text1"/>
          <w:sz w:val="24"/>
          <w:szCs w:val="24"/>
        </w:rPr>
        <w:t>nitrogen species and significant ferric reducing capacity. In addition, the brine shrimp lethality assay (</w:t>
      </w:r>
      <w:r w:rsidRPr="00B65600">
        <w:rPr>
          <w:rFonts w:ascii="Times New Roman" w:hAnsi="Times New Roman" w:cs="Times New Roman"/>
          <w:i/>
          <w:iCs/>
          <w:color w:val="000000" w:themeColor="text1"/>
          <w:sz w:val="24"/>
          <w:szCs w:val="24"/>
        </w:rPr>
        <w:t>Artemia salina</w:t>
      </w:r>
      <w:r w:rsidRPr="004D7143">
        <w:rPr>
          <w:rFonts w:ascii="Times New Roman" w:hAnsi="Times New Roman" w:cs="Times New Roman"/>
          <w:color w:val="000000" w:themeColor="text1"/>
          <w:sz w:val="24"/>
          <w:szCs w:val="24"/>
        </w:rPr>
        <w:t>) indicated very low toxicity with an LD₅₀ value of 1218.60 ± 0.87 µg/</w:t>
      </w:r>
      <w:proofErr w:type="spellStart"/>
      <w:r w:rsidRPr="004D7143">
        <w:rPr>
          <w:rFonts w:ascii="Times New Roman" w:hAnsi="Times New Roman" w:cs="Times New Roman"/>
          <w:color w:val="000000" w:themeColor="text1"/>
          <w:sz w:val="24"/>
          <w:szCs w:val="24"/>
        </w:rPr>
        <w:t>mL.</w:t>
      </w:r>
      <w:proofErr w:type="spellEnd"/>
      <w:r w:rsidRPr="004D7143">
        <w:rPr>
          <w:rFonts w:ascii="Times New Roman" w:hAnsi="Times New Roman" w:cs="Times New Roman"/>
          <w:color w:val="000000" w:themeColor="text1"/>
          <w:sz w:val="24"/>
          <w:szCs w:val="24"/>
        </w:rPr>
        <w:t xml:space="preserve"> These findings suggest that </w:t>
      </w:r>
      <w:proofErr w:type="spellStart"/>
      <w:r w:rsidRPr="004D7143">
        <w:rPr>
          <w:rFonts w:ascii="Times New Roman" w:hAnsi="Times New Roman" w:cs="Times New Roman"/>
          <w:color w:val="000000" w:themeColor="text1"/>
          <w:sz w:val="24"/>
          <w:szCs w:val="24"/>
        </w:rPr>
        <w:t>mangiferin</w:t>
      </w:r>
      <w:proofErr w:type="spellEnd"/>
      <w:r w:rsidRPr="004D7143">
        <w:rPr>
          <w:rFonts w:ascii="Times New Roman" w:hAnsi="Times New Roman" w:cs="Times New Roman"/>
          <w:color w:val="000000" w:themeColor="text1"/>
          <w:sz w:val="24"/>
          <w:szCs w:val="24"/>
        </w:rPr>
        <w:t xml:space="preserve"> exhibits potent antioxidant activity with minimal preliminary toxicity, supporting its potential as a natural antioxidant for managing oxidative stress–related disorders.</w:t>
      </w:r>
    </w:p>
    <w:p w14:paraId="00943947" w14:textId="3003C150" w:rsidR="006D7345" w:rsidRDefault="006D7345" w:rsidP="005274F5">
      <w:pPr>
        <w:spacing w:after="0" w:line="360" w:lineRule="auto"/>
        <w:jc w:val="both"/>
        <w:rPr>
          <w:rFonts w:ascii="Times New Roman" w:hAnsi="Times New Roman" w:cs="Times New Roman"/>
          <w:color w:val="000000" w:themeColor="text1"/>
          <w:sz w:val="24"/>
          <w:szCs w:val="24"/>
        </w:rPr>
      </w:pPr>
    </w:p>
    <w:p w14:paraId="1B1BFA20" w14:textId="1B574BDC" w:rsidR="00F803BE" w:rsidRDefault="00F803BE" w:rsidP="005274F5">
      <w:pPr>
        <w:spacing w:after="0" w:line="360" w:lineRule="auto"/>
        <w:jc w:val="both"/>
        <w:rPr>
          <w:rFonts w:ascii="Times New Roman" w:hAnsi="Times New Roman" w:cs="Times New Roman"/>
          <w:color w:val="000000" w:themeColor="text1"/>
          <w:sz w:val="24"/>
          <w:szCs w:val="24"/>
        </w:rPr>
      </w:pPr>
    </w:p>
    <w:p w14:paraId="7F05ED2B" w14:textId="216877F2" w:rsidR="00F803BE" w:rsidRDefault="00F803BE" w:rsidP="005274F5">
      <w:pPr>
        <w:spacing w:after="0" w:line="360" w:lineRule="auto"/>
        <w:jc w:val="both"/>
        <w:rPr>
          <w:rFonts w:ascii="Times New Roman" w:hAnsi="Times New Roman" w:cs="Times New Roman"/>
          <w:color w:val="000000" w:themeColor="text1"/>
          <w:sz w:val="24"/>
          <w:szCs w:val="24"/>
        </w:rPr>
      </w:pPr>
    </w:p>
    <w:p w14:paraId="3FCE32FD" w14:textId="77777777" w:rsidR="00F803BE" w:rsidRDefault="00F803BE" w:rsidP="005274F5">
      <w:pPr>
        <w:spacing w:after="0" w:line="360" w:lineRule="auto"/>
        <w:jc w:val="both"/>
        <w:rPr>
          <w:rFonts w:ascii="Times New Roman" w:hAnsi="Times New Roman" w:cs="Times New Roman"/>
          <w:color w:val="000000" w:themeColor="text1"/>
          <w:sz w:val="24"/>
          <w:szCs w:val="24"/>
        </w:rPr>
      </w:pPr>
      <w:bookmarkStart w:id="1" w:name="_GoBack"/>
      <w:bookmarkEnd w:id="1"/>
    </w:p>
    <w:p w14:paraId="0E752FE5" w14:textId="77777777" w:rsidR="006D7345" w:rsidRPr="006D7345" w:rsidRDefault="006D7345" w:rsidP="006D7345">
      <w:pPr>
        <w:spacing w:after="0" w:line="360" w:lineRule="auto"/>
        <w:jc w:val="both"/>
        <w:rPr>
          <w:rFonts w:ascii="Times New Roman" w:hAnsi="Times New Roman" w:cs="Times New Roman"/>
          <w:color w:val="000000" w:themeColor="text1"/>
          <w:sz w:val="24"/>
          <w:szCs w:val="24"/>
        </w:rPr>
      </w:pPr>
      <w:r w:rsidRPr="006D7345">
        <w:rPr>
          <w:rFonts w:ascii="Times New Roman" w:hAnsi="Times New Roman" w:cs="Times New Roman"/>
          <w:color w:val="000000" w:themeColor="text1"/>
          <w:sz w:val="24"/>
          <w:szCs w:val="24"/>
        </w:rPr>
        <w:t>COMPETING INTERESTS DISCLAIMER:</w:t>
      </w:r>
    </w:p>
    <w:p w14:paraId="52AC87D8" w14:textId="40BB2587" w:rsidR="006D7345" w:rsidRPr="003B13AB" w:rsidRDefault="006D7345" w:rsidP="006D7345">
      <w:pPr>
        <w:spacing w:after="0" w:line="360" w:lineRule="auto"/>
        <w:jc w:val="both"/>
        <w:rPr>
          <w:rFonts w:ascii="Times New Roman" w:hAnsi="Times New Roman" w:cs="Times New Roman"/>
          <w:color w:val="000000" w:themeColor="text1"/>
          <w:sz w:val="24"/>
          <w:szCs w:val="24"/>
        </w:rPr>
      </w:pPr>
      <w:r w:rsidRPr="006D7345">
        <w:rPr>
          <w:rFonts w:ascii="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1E78D660"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p>
    <w:p w14:paraId="1CC4EC2E" w14:textId="77777777" w:rsidR="005274F5" w:rsidRPr="003B13AB" w:rsidRDefault="005274F5" w:rsidP="005274F5">
      <w:pPr>
        <w:spacing w:after="0" w:line="360" w:lineRule="auto"/>
        <w:jc w:val="both"/>
        <w:rPr>
          <w:rFonts w:ascii="Times New Roman" w:hAnsi="Times New Roman" w:cs="Times New Roman"/>
          <w:b/>
          <w:bCs/>
          <w:color w:val="000000" w:themeColor="text1"/>
          <w:sz w:val="24"/>
          <w:szCs w:val="24"/>
        </w:rPr>
      </w:pPr>
      <w:r w:rsidRPr="003B13AB">
        <w:rPr>
          <w:rFonts w:ascii="Times New Roman" w:hAnsi="Times New Roman" w:cs="Times New Roman"/>
          <w:b/>
          <w:bCs/>
          <w:color w:val="000000" w:themeColor="text1"/>
          <w:sz w:val="24"/>
          <w:szCs w:val="24"/>
        </w:rPr>
        <w:t>REFERENCES</w:t>
      </w:r>
    </w:p>
    <w:p w14:paraId="49A5693E" w14:textId="77777777" w:rsidR="005274F5" w:rsidRPr="003B13AB" w:rsidRDefault="005274F5" w:rsidP="005274F5">
      <w:pPr>
        <w:rPr>
          <w:rFonts w:ascii="Times New Roman" w:hAnsi="Times New Roman" w:cs="Times New Roman"/>
          <w:color w:val="000000" w:themeColor="text1"/>
          <w:sz w:val="24"/>
          <w:szCs w:val="24"/>
        </w:rPr>
      </w:pPr>
    </w:p>
    <w:bookmarkEnd w:id="0"/>
    <w:p w14:paraId="6BCEFC0C" w14:textId="77777777" w:rsidR="00B65600" w:rsidRPr="00BE6878" w:rsidRDefault="00B65600" w:rsidP="00B65600">
      <w:pPr>
        <w:pStyle w:val="Bibliography"/>
        <w:spacing w:line="360" w:lineRule="auto"/>
        <w:ind w:left="360"/>
        <w:jc w:val="both"/>
        <w:rPr>
          <w:rFonts w:ascii="Times New Roman" w:hAnsi="Times New Roman" w:cs="Times New Roman"/>
          <w:color w:val="000000" w:themeColor="text1"/>
          <w:sz w:val="24"/>
          <w:szCs w:val="24"/>
          <w:u w:val="single"/>
        </w:rPr>
      </w:pPr>
      <w:r w:rsidRPr="00BE6878">
        <w:rPr>
          <w:rFonts w:ascii="Times New Roman" w:hAnsi="Times New Roman" w:cs="Times New Roman"/>
          <w:bCs/>
          <w:color w:val="000000" w:themeColor="text1"/>
          <w:sz w:val="24"/>
          <w:szCs w:val="24"/>
          <w:shd w:val="clear" w:color="auto" w:fill="FFFFFF"/>
        </w:rPr>
        <w:t xml:space="preserve">Adin, S. N., Gupta, I., Aqil, M., Mujeeb, M., &amp; Ahad, A. (2023). BBD driven optimization of extraction of therapeutically active </w:t>
      </w:r>
      <w:proofErr w:type="spellStart"/>
      <w:r w:rsidRPr="00BE6878">
        <w:rPr>
          <w:rFonts w:ascii="Times New Roman" w:hAnsi="Times New Roman" w:cs="Times New Roman"/>
          <w:bCs/>
          <w:color w:val="000000" w:themeColor="text1"/>
          <w:sz w:val="24"/>
          <w:szCs w:val="24"/>
          <w:shd w:val="clear" w:color="auto" w:fill="FFFFFF"/>
        </w:rPr>
        <w:t>xanthanoid</w:t>
      </w:r>
      <w:proofErr w:type="spellEnd"/>
      <w:r w:rsidRPr="00BE6878">
        <w:rPr>
          <w:rFonts w:ascii="Times New Roman" w:hAnsi="Times New Roman" w:cs="Times New Roman"/>
          <w:bCs/>
          <w:color w:val="000000" w:themeColor="text1"/>
          <w:sz w:val="24"/>
          <w:szCs w:val="24"/>
          <w:shd w:val="clear" w:color="auto" w:fill="FFFFFF"/>
        </w:rPr>
        <w:t xml:space="preserve"> </w:t>
      </w:r>
      <w:proofErr w:type="spellStart"/>
      <w:r w:rsidRPr="00BE6878">
        <w:rPr>
          <w:rFonts w:ascii="Times New Roman" w:hAnsi="Times New Roman" w:cs="Times New Roman"/>
          <w:bCs/>
          <w:color w:val="000000" w:themeColor="text1"/>
          <w:sz w:val="24"/>
          <w:szCs w:val="24"/>
          <w:shd w:val="clear" w:color="auto" w:fill="FFFFFF"/>
        </w:rPr>
        <w:t>mangiferin</w:t>
      </w:r>
      <w:proofErr w:type="spellEnd"/>
      <w:r w:rsidRPr="00BE6878">
        <w:rPr>
          <w:rFonts w:ascii="Times New Roman" w:hAnsi="Times New Roman" w:cs="Times New Roman"/>
          <w:bCs/>
          <w:color w:val="000000" w:themeColor="text1"/>
          <w:sz w:val="24"/>
          <w:szCs w:val="24"/>
          <w:shd w:val="clear" w:color="auto" w:fill="FFFFFF"/>
        </w:rPr>
        <w:t xml:space="preserve"> from </w:t>
      </w:r>
      <w:proofErr w:type="spellStart"/>
      <w:r w:rsidRPr="00BE6878">
        <w:rPr>
          <w:rFonts w:ascii="Times New Roman" w:hAnsi="Times New Roman" w:cs="Times New Roman"/>
          <w:bCs/>
          <w:color w:val="000000" w:themeColor="text1"/>
          <w:sz w:val="24"/>
          <w:szCs w:val="24"/>
          <w:shd w:val="clear" w:color="auto" w:fill="FFFFFF"/>
        </w:rPr>
        <w:t>Mangifera</w:t>
      </w:r>
      <w:proofErr w:type="spellEnd"/>
      <w:r w:rsidRPr="00BE6878">
        <w:rPr>
          <w:rFonts w:ascii="Times New Roman" w:hAnsi="Times New Roman" w:cs="Times New Roman"/>
          <w:bCs/>
          <w:color w:val="000000" w:themeColor="text1"/>
          <w:sz w:val="24"/>
          <w:szCs w:val="24"/>
          <w:shd w:val="clear" w:color="auto" w:fill="FFFFFF"/>
        </w:rPr>
        <w:t xml:space="preserve"> indica L. leaves and its antioxidant activity. </w:t>
      </w:r>
      <w:r w:rsidRPr="00BE6878">
        <w:rPr>
          <w:rFonts w:ascii="Times New Roman" w:hAnsi="Times New Roman" w:cs="Times New Roman"/>
          <w:bCs/>
          <w:i/>
          <w:iCs/>
          <w:color w:val="000000" w:themeColor="text1"/>
          <w:sz w:val="24"/>
          <w:szCs w:val="24"/>
          <w:shd w:val="clear" w:color="auto" w:fill="FFFFFF"/>
        </w:rPr>
        <w:t>Pharmacognosy research</w:t>
      </w:r>
      <w:r w:rsidRPr="00BE6878">
        <w:rPr>
          <w:rFonts w:ascii="Times New Roman" w:hAnsi="Times New Roman" w:cs="Times New Roman"/>
          <w:bCs/>
          <w:color w:val="000000" w:themeColor="text1"/>
          <w:sz w:val="24"/>
          <w:szCs w:val="24"/>
          <w:shd w:val="clear" w:color="auto" w:fill="FFFFFF"/>
        </w:rPr>
        <w:t>, </w:t>
      </w:r>
      <w:r w:rsidRPr="00BE6878">
        <w:rPr>
          <w:rFonts w:ascii="Times New Roman" w:hAnsi="Times New Roman" w:cs="Times New Roman"/>
          <w:bCs/>
          <w:i/>
          <w:iCs/>
          <w:color w:val="000000" w:themeColor="text1"/>
          <w:sz w:val="24"/>
          <w:szCs w:val="24"/>
          <w:shd w:val="clear" w:color="auto" w:fill="FFFFFF"/>
        </w:rPr>
        <w:t>15</w:t>
      </w:r>
      <w:r w:rsidRPr="00BE6878">
        <w:rPr>
          <w:rFonts w:ascii="Times New Roman" w:hAnsi="Times New Roman" w:cs="Times New Roman"/>
          <w:bCs/>
          <w:color w:val="000000" w:themeColor="text1"/>
          <w:sz w:val="24"/>
          <w:szCs w:val="24"/>
          <w:shd w:val="clear" w:color="auto" w:fill="FFFFFF"/>
        </w:rPr>
        <w:t>(1).</w:t>
      </w:r>
    </w:p>
    <w:p w14:paraId="7EA85017" w14:textId="77777777" w:rsidR="00B65600" w:rsidRPr="00BE6878" w:rsidRDefault="00B65600" w:rsidP="00B65600">
      <w:pPr>
        <w:pStyle w:val="Bibliography"/>
        <w:spacing w:line="360" w:lineRule="auto"/>
        <w:ind w:left="360"/>
        <w:jc w:val="both"/>
        <w:rPr>
          <w:rFonts w:ascii="Times New Roman" w:hAnsi="Times New Roman" w:cs="Times New Roman"/>
          <w:color w:val="000000" w:themeColor="text1"/>
          <w:sz w:val="24"/>
          <w:szCs w:val="24"/>
          <w:u w:val="single"/>
        </w:rPr>
      </w:pPr>
      <w:r w:rsidRPr="00BE6878">
        <w:rPr>
          <w:rFonts w:ascii="Times New Roman" w:hAnsi="Times New Roman" w:cs="Times New Roman"/>
          <w:color w:val="000000" w:themeColor="text1"/>
          <w:sz w:val="24"/>
          <w:szCs w:val="24"/>
        </w:rPr>
        <w:t>Al-</w:t>
      </w:r>
      <w:proofErr w:type="spellStart"/>
      <w:r w:rsidRPr="00BE6878">
        <w:rPr>
          <w:rFonts w:ascii="Times New Roman" w:hAnsi="Times New Roman" w:cs="Times New Roman"/>
          <w:color w:val="000000" w:themeColor="text1"/>
          <w:sz w:val="24"/>
          <w:szCs w:val="24"/>
        </w:rPr>
        <w:t>Amiery</w:t>
      </w:r>
      <w:proofErr w:type="spellEnd"/>
      <w:r w:rsidRPr="00BE6878">
        <w:rPr>
          <w:rFonts w:ascii="Times New Roman" w:hAnsi="Times New Roman" w:cs="Times New Roman"/>
          <w:color w:val="000000" w:themeColor="text1"/>
          <w:sz w:val="24"/>
          <w:szCs w:val="24"/>
        </w:rPr>
        <w:t>, A. A., Al-</w:t>
      </w:r>
      <w:proofErr w:type="spellStart"/>
      <w:r w:rsidRPr="00BE6878">
        <w:rPr>
          <w:rFonts w:ascii="Times New Roman" w:hAnsi="Times New Roman" w:cs="Times New Roman"/>
          <w:color w:val="000000" w:themeColor="text1"/>
          <w:sz w:val="24"/>
          <w:szCs w:val="24"/>
        </w:rPr>
        <w:t>Majedy</w:t>
      </w:r>
      <w:proofErr w:type="spellEnd"/>
      <w:r w:rsidRPr="00BE6878">
        <w:rPr>
          <w:rFonts w:ascii="Times New Roman" w:hAnsi="Times New Roman" w:cs="Times New Roman"/>
          <w:color w:val="000000" w:themeColor="text1"/>
          <w:sz w:val="24"/>
          <w:szCs w:val="24"/>
        </w:rPr>
        <w:t xml:space="preserve">, Y. K., Kadhum, A. A. H., &amp; Mohamad, A. B. (2015). Hydrogen Peroxide Scavenging Activity of Novel Coumarins Synthesized Using Different Approaches. </w:t>
      </w:r>
      <w:r w:rsidRPr="00BE6878">
        <w:rPr>
          <w:rFonts w:ascii="Times New Roman" w:hAnsi="Times New Roman" w:cs="Times New Roman"/>
          <w:i/>
          <w:iCs/>
          <w:color w:val="000000" w:themeColor="text1"/>
          <w:sz w:val="24"/>
          <w:szCs w:val="24"/>
        </w:rPr>
        <w:t>PLOS ONE</w:t>
      </w:r>
      <w:r w:rsidRPr="00BE6878">
        <w:rPr>
          <w:rFonts w:ascii="Times New Roman" w:hAnsi="Times New Roman" w:cs="Times New Roman"/>
          <w:color w:val="000000" w:themeColor="text1"/>
          <w:sz w:val="24"/>
          <w:szCs w:val="24"/>
        </w:rPr>
        <w:t xml:space="preserve">, </w:t>
      </w:r>
      <w:r w:rsidRPr="00BE6878">
        <w:rPr>
          <w:rFonts w:ascii="Times New Roman" w:hAnsi="Times New Roman" w:cs="Times New Roman"/>
          <w:i/>
          <w:iCs/>
          <w:color w:val="000000" w:themeColor="text1"/>
          <w:sz w:val="24"/>
          <w:szCs w:val="24"/>
        </w:rPr>
        <w:t>10</w:t>
      </w:r>
      <w:r w:rsidRPr="00BE6878">
        <w:rPr>
          <w:rFonts w:ascii="Times New Roman" w:hAnsi="Times New Roman" w:cs="Times New Roman"/>
          <w:color w:val="000000" w:themeColor="text1"/>
          <w:sz w:val="24"/>
          <w:szCs w:val="24"/>
        </w:rPr>
        <w:t xml:space="preserve">(7), e0132175. </w:t>
      </w:r>
      <w:hyperlink r:id="rId23" w:history="1">
        <w:r w:rsidRPr="00825D66">
          <w:rPr>
            <w:rStyle w:val="Hyperlink"/>
            <w:rFonts w:ascii="Times New Roman" w:hAnsi="Times New Roman" w:cs="Times New Roman"/>
            <w:sz w:val="24"/>
            <w:szCs w:val="24"/>
          </w:rPr>
          <w:t>https://doi.org/10.1371/journal.pone.0132175</w:t>
        </w:r>
      </w:hyperlink>
      <w:r>
        <w:rPr>
          <w:rFonts w:ascii="Times New Roman" w:hAnsi="Times New Roman" w:cs="Times New Roman"/>
          <w:sz w:val="24"/>
          <w:szCs w:val="24"/>
        </w:rPr>
        <w:t xml:space="preserve"> </w:t>
      </w:r>
    </w:p>
    <w:p w14:paraId="1A158CC0" w14:textId="77777777" w:rsidR="00B65600" w:rsidRPr="00BE6878" w:rsidRDefault="00B65600" w:rsidP="00B65600">
      <w:pPr>
        <w:pStyle w:val="Bibliography"/>
        <w:spacing w:line="360" w:lineRule="auto"/>
        <w:ind w:left="360"/>
        <w:jc w:val="both"/>
        <w:rPr>
          <w:rFonts w:ascii="Times New Roman" w:hAnsi="Times New Roman" w:cs="Times New Roman"/>
          <w:color w:val="000000" w:themeColor="text1"/>
          <w:sz w:val="24"/>
          <w:szCs w:val="24"/>
        </w:rPr>
      </w:pPr>
      <w:proofErr w:type="spellStart"/>
      <w:r w:rsidRPr="00BE6878">
        <w:rPr>
          <w:rFonts w:ascii="Times New Roman" w:hAnsi="Times New Roman" w:cs="Times New Roman"/>
          <w:color w:val="000000" w:themeColor="text1"/>
          <w:sz w:val="24"/>
          <w:szCs w:val="24"/>
        </w:rPr>
        <w:t>Baliyan</w:t>
      </w:r>
      <w:proofErr w:type="spellEnd"/>
      <w:r w:rsidRPr="00BE6878">
        <w:rPr>
          <w:rFonts w:ascii="Times New Roman" w:hAnsi="Times New Roman" w:cs="Times New Roman"/>
          <w:color w:val="000000" w:themeColor="text1"/>
          <w:sz w:val="24"/>
          <w:szCs w:val="24"/>
        </w:rPr>
        <w:t xml:space="preserve">, S., Mukherjee, R., Priyadarshini, A., Vibhuti, A., Gupta, A., Pandey, R. P., &amp; Chang, C.-M. (2022). Determination of Antioxidants by DPPH Radical Scavenging Activity and Quantitative Phytochemical Analysis of Ficus religiosa. </w:t>
      </w:r>
      <w:r w:rsidRPr="00BE6878">
        <w:rPr>
          <w:rFonts w:ascii="Times New Roman" w:hAnsi="Times New Roman" w:cs="Times New Roman"/>
          <w:i/>
          <w:iCs/>
          <w:color w:val="000000" w:themeColor="text1"/>
          <w:sz w:val="24"/>
          <w:szCs w:val="24"/>
        </w:rPr>
        <w:t>Molecules</w:t>
      </w:r>
      <w:r w:rsidRPr="00BE6878">
        <w:rPr>
          <w:rFonts w:ascii="Times New Roman" w:hAnsi="Times New Roman" w:cs="Times New Roman"/>
          <w:color w:val="000000" w:themeColor="text1"/>
          <w:sz w:val="24"/>
          <w:szCs w:val="24"/>
        </w:rPr>
        <w:t xml:space="preserve">, </w:t>
      </w:r>
      <w:r w:rsidRPr="00BE6878">
        <w:rPr>
          <w:rFonts w:ascii="Times New Roman" w:hAnsi="Times New Roman" w:cs="Times New Roman"/>
          <w:i/>
          <w:iCs/>
          <w:color w:val="000000" w:themeColor="text1"/>
          <w:sz w:val="24"/>
          <w:szCs w:val="24"/>
        </w:rPr>
        <w:t>27</w:t>
      </w:r>
      <w:r w:rsidRPr="00BE6878">
        <w:rPr>
          <w:rFonts w:ascii="Times New Roman" w:hAnsi="Times New Roman" w:cs="Times New Roman"/>
          <w:color w:val="000000" w:themeColor="text1"/>
          <w:sz w:val="24"/>
          <w:szCs w:val="24"/>
        </w:rPr>
        <w:t xml:space="preserve">(4), 1326. </w:t>
      </w:r>
      <w:hyperlink r:id="rId24" w:history="1">
        <w:r w:rsidRPr="00825D66">
          <w:rPr>
            <w:rStyle w:val="Hyperlink"/>
            <w:rFonts w:ascii="Times New Roman" w:hAnsi="Times New Roman" w:cs="Times New Roman"/>
            <w:sz w:val="24"/>
            <w:szCs w:val="24"/>
          </w:rPr>
          <w:t>https://doi.org/10.3390/molecules27041326</w:t>
        </w:r>
      </w:hyperlink>
      <w:r w:rsidRPr="00BE6878">
        <w:rPr>
          <w:rFonts w:ascii="Times New Roman" w:hAnsi="Times New Roman" w:cs="Times New Roman"/>
          <w:color w:val="000000" w:themeColor="text1"/>
          <w:sz w:val="24"/>
          <w:szCs w:val="24"/>
        </w:rPr>
        <w:t xml:space="preserve"> </w:t>
      </w:r>
    </w:p>
    <w:p w14:paraId="47C5681C" w14:textId="77777777" w:rsidR="00B65600" w:rsidRPr="00BE6878" w:rsidRDefault="00B65600" w:rsidP="00B65600">
      <w:pPr>
        <w:pStyle w:val="Bibliography"/>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color w:val="000000" w:themeColor="text1"/>
          <w:sz w:val="24"/>
          <w:szCs w:val="24"/>
        </w:rPr>
        <w:t>Benzie, I. F., &amp; Strain, J. J. (1999). Ferric reducing/antioxidant power assay: direct measure of total antioxidant activity of biological fluids and modified version for simultaneous measurement of total antioxidant power and ascorbic acid concentration. </w:t>
      </w:r>
      <w:r w:rsidRPr="00BE6878">
        <w:rPr>
          <w:rFonts w:ascii="Times New Roman" w:hAnsi="Times New Roman" w:cs="Times New Roman"/>
          <w:i/>
          <w:iCs/>
          <w:color w:val="000000" w:themeColor="text1"/>
          <w:sz w:val="24"/>
          <w:szCs w:val="24"/>
        </w:rPr>
        <w:t>Methods in enzymology</w:t>
      </w:r>
      <w:r w:rsidRPr="00BE6878">
        <w:rPr>
          <w:rFonts w:ascii="Times New Roman" w:hAnsi="Times New Roman" w:cs="Times New Roman"/>
          <w:color w:val="000000" w:themeColor="text1"/>
          <w:sz w:val="24"/>
          <w:szCs w:val="24"/>
        </w:rPr>
        <w:t>, </w:t>
      </w:r>
      <w:r w:rsidRPr="00BE6878">
        <w:rPr>
          <w:rFonts w:ascii="Times New Roman" w:hAnsi="Times New Roman" w:cs="Times New Roman"/>
          <w:i/>
          <w:iCs/>
          <w:color w:val="000000" w:themeColor="text1"/>
          <w:sz w:val="24"/>
          <w:szCs w:val="24"/>
        </w:rPr>
        <w:t>299</w:t>
      </w:r>
      <w:r w:rsidRPr="00BE6878">
        <w:rPr>
          <w:rFonts w:ascii="Times New Roman" w:hAnsi="Times New Roman" w:cs="Times New Roman"/>
          <w:color w:val="000000" w:themeColor="text1"/>
          <w:sz w:val="24"/>
          <w:szCs w:val="24"/>
        </w:rPr>
        <w:t xml:space="preserve">, 15–27. </w:t>
      </w:r>
      <w:hyperlink r:id="rId25" w:history="1">
        <w:r w:rsidRPr="00BE6878">
          <w:rPr>
            <w:rStyle w:val="Hyperlink"/>
            <w:rFonts w:ascii="Times New Roman" w:hAnsi="Times New Roman" w:cs="Times New Roman"/>
            <w:sz w:val="24"/>
            <w:szCs w:val="24"/>
          </w:rPr>
          <w:t>https://doi.org/10.1016/s0076-6879(99)99005-5</w:t>
        </w:r>
      </w:hyperlink>
      <w:r w:rsidRPr="00BE6878">
        <w:rPr>
          <w:rFonts w:ascii="Times New Roman" w:hAnsi="Times New Roman" w:cs="Times New Roman"/>
          <w:color w:val="000000" w:themeColor="text1"/>
          <w:sz w:val="24"/>
          <w:szCs w:val="24"/>
        </w:rPr>
        <w:t xml:space="preserve"> </w:t>
      </w:r>
    </w:p>
    <w:p w14:paraId="7B37C326" w14:textId="561F4A7A" w:rsidR="00B65600" w:rsidRPr="00BE6878" w:rsidRDefault="00B65600" w:rsidP="00B65600">
      <w:pPr>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bCs/>
          <w:color w:val="000000" w:themeColor="text1"/>
          <w:sz w:val="24"/>
          <w:szCs w:val="24"/>
        </w:rPr>
        <w:t xml:space="preserve">Biswas, T., Sen, A., Roy, R., Maji, S., &amp; Maji, H. S. (2015). Isolation of </w:t>
      </w:r>
      <w:proofErr w:type="spellStart"/>
      <w:r w:rsidRPr="00BE6878">
        <w:rPr>
          <w:rFonts w:ascii="Times New Roman" w:hAnsi="Times New Roman" w:cs="Times New Roman"/>
          <w:bCs/>
          <w:color w:val="000000" w:themeColor="text1"/>
          <w:sz w:val="24"/>
          <w:szCs w:val="24"/>
        </w:rPr>
        <w:t>mangiferin</w:t>
      </w:r>
      <w:proofErr w:type="spellEnd"/>
      <w:r w:rsidRPr="00BE6878">
        <w:rPr>
          <w:rFonts w:ascii="Times New Roman" w:hAnsi="Times New Roman" w:cs="Times New Roman"/>
          <w:bCs/>
          <w:color w:val="000000" w:themeColor="text1"/>
          <w:sz w:val="24"/>
          <w:szCs w:val="24"/>
        </w:rPr>
        <w:t xml:space="preserve"> from flowering buds of </w:t>
      </w:r>
      <w:r w:rsidRPr="00BE6878">
        <w:rPr>
          <w:rFonts w:ascii="Times New Roman" w:hAnsi="Times New Roman" w:cs="Times New Roman"/>
          <w:bCs/>
          <w:i/>
          <w:color w:val="000000" w:themeColor="text1"/>
          <w:sz w:val="24"/>
          <w:szCs w:val="24"/>
        </w:rPr>
        <w:t>Mangifera indica</w:t>
      </w:r>
      <w:r w:rsidRPr="00BE6878">
        <w:rPr>
          <w:rFonts w:ascii="Times New Roman" w:hAnsi="Times New Roman" w:cs="Times New Roman"/>
          <w:bCs/>
          <w:color w:val="000000" w:themeColor="text1"/>
          <w:sz w:val="24"/>
          <w:szCs w:val="24"/>
        </w:rPr>
        <w:t xml:space="preserve"> L and its evaluation of in vitro antibacterial activity. J Pharm Anal, 4(3), 49-56.</w:t>
      </w:r>
    </w:p>
    <w:p w14:paraId="254685DD" w14:textId="77777777" w:rsidR="00B65600" w:rsidRPr="00BE6878" w:rsidRDefault="00B65600" w:rsidP="00B65600">
      <w:pPr>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bCs/>
          <w:color w:val="000000" w:themeColor="text1"/>
          <w:sz w:val="24"/>
          <w:szCs w:val="24"/>
          <w:shd w:val="clear" w:color="auto" w:fill="FFFFFF"/>
        </w:rPr>
        <w:t xml:space="preserve">Cai, F., Sun, L., Gao, S., Zhan, Q., Wang, W., &amp; Chen, W. (2014). An improved LC-MS/MS method for the determination of </w:t>
      </w:r>
      <w:proofErr w:type="spellStart"/>
      <w:r w:rsidRPr="00BE6878">
        <w:rPr>
          <w:rFonts w:ascii="Times New Roman" w:hAnsi="Times New Roman" w:cs="Times New Roman"/>
          <w:bCs/>
          <w:color w:val="000000" w:themeColor="text1"/>
          <w:sz w:val="24"/>
          <w:szCs w:val="24"/>
          <w:shd w:val="clear" w:color="auto" w:fill="FFFFFF"/>
        </w:rPr>
        <w:t>mangiferin</w:t>
      </w:r>
      <w:proofErr w:type="spellEnd"/>
      <w:r w:rsidRPr="00BE6878">
        <w:rPr>
          <w:rFonts w:ascii="Times New Roman" w:hAnsi="Times New Roman" w:cs="Times New Roman"/>
          <w:bCs/>
          <w:color w:val="000000" w:themeColor="text1"/>
          <w:sz w:val="24"/>
          <w:szCs w:val="24"/>
          <w:shd w:val="clear" w:color="auto" w:fill="FFFFFF"/>
        </w:rPr>
        <w:t xml:space="preserve"> in rat plasma and its application in nonlinear pharmacokinetics. </w:t>
      </w:r>
      <w:r w:rsidRPr="00BE6878">
        <w:rPr>
          <w:rFonts w:ascii="Times New Roman" w:hAnsi="Times New Roman" w:cs="Times New Roman"/>
          <w:bCs/>
          <w:i/>
          <w:iCs/>
          <w:color w:val="000000" w:themeColor="text1"/>
          <w:sz w:val="24"/>
          <w:szCs w:val="24"/>
          <w:shd w:val="clear" w:color="auto" w:fill="FFFFFF"/>
        </w:rPr>
        <w:t xml:space="preserve">Die </w:t>
      </w:r>
      <w:proofErr w:type="spellStart"/>
      <w:r w:rsidRPr="00BE6878">
        <w:rPr>
          <w:rFonts w:ascii="Times New Roman" w:hAnsi="Times New Roman" w:cs="Times New Roman"/>
          <w:bCs/>
          <w:i/>
          <w:iCs/>
          <w:color w:val="000000" w:themeColor="text1"/>
          <w:sz w:val="24"/>
          <w:szCs w:val="24"/>
          <w:shd w:val="clear" w:color="auto" w:fill="FFFFFF"/>
        </w:rPr>
        <w:t>Pharmazie</w:t>
      </w:r>
      <w:proofErr w:type="spellEnd"/>
      <w:r w:rsidRPr="00BE6878">
        <w:rPr>
          <w:rFonts w:ascii="Times New Roman" w:hAnsi="Times New Roman" w:cs="Times New Roman"/>
          <w:bCs/>
          <w:i/>
          <w:iCs/>
          <w:color w:val="000000" w:themeColor="text1"/>
          <w:sz w:val="24"/>
          <w:szCs w:val="24"/>
          <w:shd w:val="clear" w:color="auto" w:fill="FFFFFF"/>
        </w:rPr>
        <w:t>-An International Journal of Pharmaceutical Sciences</w:t>
      </w:r>
      <w:r w:rsidRPr="00BE6878">
        <w:rPr>
          <w:rFonts w:ascii="Times New Roman" w:hAnsi="Times New Roman" w:cs="Times New Roman"/>
          <w:bCs/>
          <w:color w:val="000000" w:themeColor="text1"/>
          <w:sz w:val="24"/>
          <w:szCs w:val="24"/>
          <w:shd w:val="clear" w:color="auto" w:fill="FFFFFF"/>
        </w:rPr>
        <w:t>, </w:t>
      </w:r>
      <w:r w:rsidRPr="00BE6878">
        <w:rPr>
          <w:rFonts w:ascii="Times New Roman" w:hAnsi="Times New Roman" w:cs="Times New Roman"/>
          <w:bCs/>
          <w:i/>
          <w:iCs/>
          <w:color w:val="000000" w:themeColor="text1"/>
          <w:sz w:val="24"/>
          <w:szCs w:val="24"/>
          <w:shd w:val="clear" w:color="auto" w:fill="FFFFFF"/>
        </w:rPr>
        <w:t>69</w:t>
      </w:r>
      <w:r w:rsidRPr="00BE6878">
        <w:rPr>
          <w:rFonts w:ascii="Times New Roman" w:hAnsi="Times New Roman" w:cs="Times New Roman"/>
          <w:bCs/>
          <w:color w:val="000000" w:themeColor="text1"/>
          <w:sz w:val="24"/>
          <w:szCs w:val="24"/>
          <w:shd w:val="clear" w:color="auto" w:fill="FFFFFF"/>
        </w:rPr>
        <w:t>(3), 168-172.</w:t>
      </w:r>
    </w:p>
    <w:p w14:paraId="1D8A28E8" w14:textId="77777777" w:rsidR="00B65600" w:rsidRPr="00BE6878" w:rsidRDefault="00B65600" w:rsidP="00B65600">
      <w:pPr>
        <w:spacing w:line="360" w:lineRule="auto"/>
        <w:ind w:left="360"/>
        <w:jc w:val="both"/>
        <w:rPr>
          <w:rStyle w:val="Hyperlink"/>
          <w:rFonts w:ascii="Times New Roman" w:hAnsi="Times New Roman" w:cs="Times New Roman"/>
          <w:color w:val="000000" w:themeColor="text1"/>
          <w:sz w:val="24"/>
          <w:szCs w:val="24"/>
          <w:u w:val="none"/>
        </w:rPr>
      </w:pPr>
      <w:proofErr w:type="spellStart"/>
      <w:r w:rsidRPr="00BE6878">
        <w:rPr>
          <w:rFonts w:ascii="Times New Roman" w:hAnsi="Times New Roman" w:cs="Times New Roman"/>
          <w:color w:val="000000" w:themeColor="text1"/>
          <w:sz w:val="24"/>
          <w:szCs w:val="24"/>
        </w:rPr>
        <w:lastRenderedPageBreak/>
        <w:t>Chandimali</w:t>
      </w:r>
      <w:proofErr w:type="spellEnd"/>
      <w:r w:rsidRPr="00BE6878">
        <w:rPr>
          <w:rFonts w:ascii="Times New Roman" w:hAnsi="Times New Roman" w:cs="Times New Roman"/>
          <w:color w:val="000000" w:themeColor="text1"/>
          <w:sz w:val="24"/>
          <w:szCs w:val="24"/>
        </w:rPr>
        <w:t>, N., Bak, S.G., Park, E.H. Lim, H.J., Won, Y.S., Kim, E.K., Park, S.I., Lee, S.J</w:t>
      </w:r>
      <w:r w:rsidRPr="00BE6878">
        <w:rPr>
          <w:rFonts w:ascii="Times New Roman" w:hAnsi="Times New Roman" w:cs="Times New Roman"/>
          <w:i/>
          <w:iCs/>
          <w:color w:val="000000" w:themeColor="text1"/>
          <w:sz w:val="24"/>
          <w:szCs w:val="24"/>
        </w:rPr>
        <w:t>.</w:t>
      </w:r>
      <w:r w:rsidRPr="00BE6878">
        <w:rPr>
          <w:rFonts w:ascii="Times New Roman" w:hAnsi="Times New Roman" w:cs="Times New Roman"/>
          <w:color w:val="000000" w:themeColor="text1"/>
          <w:sz w:val="24"/>
          <w:szCs w:val="24"/>
        </w:rPr>
        <w:t xml:space="preserve"> (2025). Free radicals and their impact on health and antioxidant </w:t>
      </w:r>
      <w:proofErr w:type="spellStart"/>
      <w:r w:rsidRPr="00BE6878">
        <w:rPr>
          <w:rFonts w:ascii="Times New Roman" w:hAnsi="Times New Roman" w:cs="Times New Roman"/>
          <w:color w:val="000000" w:themeColor="text1"/>
          <w:sz w:val="24"/>
          <w:szCs w:val="24"/>
        </w:rPr>
        <w:t>defenses</w:t>
      </w:r>
      <w:proofErr w:type="spellEnd"/>
      <w:r w:rsidRPr="00BE6878">
        <w:rPr>
          <w:rFonts w:ascii="Times New Roman" w:hAnsi="Times New Roman" w:cs="Times New Roman"/>
          <w:color w:val="000000" w:themeColor="text1"/>
          <w:sz w:val="24"/>
          <w:szCs w:val="24"/>
        </w:rPr>
        <w:t>: a review. </w:t>
      </w:r>
      <w:r w:rsidRPr="00BE6878">
        <w:rPr>
          <w:rFonts w:ascii="Times New Roman" w:hAnsi="Times New Roman" w:cs="Times New Roman"/>
          <w:i/>
          <w:iCs/>
          <w:color w:val="000000" w:themeColor="text1"/>
          <w:sz w:val="24"/>
          <w:szCs w:val="24"/>
        </w:rPr>
        <w:t xml:space="preserve">Cell Death </w:t>
      </w:r>
      <w:proofErr w:type="spellStart"/>
      <w:r w:rsidRPr="00BE6878">
        <w:rPr>
          <w:rFonts w:ascii="Times New Roman" w:hAnsi="Times New Roman" w:cs="Times New Roman"/>
          <w:i/>
          <w:iCs/>
          <w:color w:val="000000" w:themeColor="text1"/>
          <w:sz w:val="24"/>
          <w:szCs w:val="24"/>
        </w:rPr>
        <w:t>Discov</w:t>
      </w:r>
      <w:proofErr w:type="spellEnd"/>
      <w:r w:rsidRPr="00BE6878">
        <w:rPr>
          <w:rFonts w:ascii="Times New Roman" w:hAnsi="Times New Roman" w:cs="Times New Roman"/>
          <w:i/>
          <w:iCs/>
          <w:color w:val="000000" w:themeColor="text1"/>
          <w:sz w:val="24"/>
          <w:szCs w:val="24"/>
        </w:rPr>
        <w:t>.</w:t>
      </w:r>
      <w:r w:rsidRPr="00BE6878">
        <w:rPr>
          <w:rFonts w:ascii="Times New Roman" w:hAnsi="Times New Roman" w:cs="Times New Roman"/>
          <w:color w:val="000000" w:themeColor="text1"/>
          <w:sz w:val="24"/>
          <w:szCs w:val="24"/>
        </w:rPr>
        <w:t> </w:t>
      </w:r>
      <w:r w:rsidRPr="00BE6878">
        <w:rPr>
          <w:rFonts w:ascii="Times New Roman" w:hAnsi="Times New Roman" w:cs="Times New Roman"/>
          <w:i/>
          <w:iCs/>
          <w:color w:val="000000" w:themeColor="text1"/>
          <w:sz w:val="24"/>
          <w:szCs w:val="24"/>
        </w:rPr>
        <w:t>11</w:t>
      </w:r>
      <w:r w:rsidRPr="00BE6878">
        <w:rPr>
          <w:rFonts w:ascii="Times New Roman" w:hAnsi="Times New Roman" w:cs="Times New Roman"/>
          <w:color w:val="000000" w:themeColor="text1"/>
          <w:sz w:val="24"/>
          <w:szCs w:val="24"/>
        </w:rPr>
        <w:t xml:space="preserve">, 19. </w:t>
      </w:r>
      <w:hyperlink r:id="rId26" w:history="1">
        <w:r w:rsidRPr="00825D66">
          <w:rPr>
            <w:rStyle w:val="Hyperlink"/>
            <w:rFonts w:ascii="Times New Roman" w:hAnsi="Times New Roman" w:cs="Times New Roman"/>
            <w:sz w:val="24"/>
            <w:szCs w:val="24"/>
          </w:rPr>
          <w:t>https://doi.org/10.1038/s41420-024-02278-8</w:t>
        </w:r>
      </w:hyperlink>
    </w:p>
    <w:p w14:paraId="585019E8" w14:textId="77777777" w:rsidR="00B65600" w:rsidRPr="00BE6878" w:rsidRDefault="00B65600" w:rsidP="00B65600">
      <w:pPr>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bCs/>
          <w:color w:val="000000" w:themeColor="text1"/>
          <w:sz w:val="24"/>
          <w:szCs w:val="24"/>
        </w:rPr>
        <w:t xml:space="preserve">Chen, H., Diao, J., Li, Y., Chen, Q., Kong, B. (2015). The effectiveness of clove extracts in the inhibition of hydroxyl radical oxidation-induced structural and rheological changes in porcine myofibrillar protein. </w:t>
      </w:r>
      <w:r w:rsidRPr="00BE6878">
        <w:rPr>
          <w:rFonts w:ascii="Times New Roman" w:hAnsi="Times New Roman" w:cs="Times New Roman"/>
          <w:bCs/>
          <w:i/>
          <w:color w:val="000000" w:themeColor="text1"/>
          <w:sz w:val="24"/>
          <w:szCs w:val="24"/>
        </w:rPr>
        <w:t>Meat Science, 111</w:t>
      </w:r>
      <w:r w:rsidRPr="00BE6878">
        <w:rPr>
          <w:rFonts w:ascii="Times New Roman" w:hAnsi="Times New Roman" w:cs="Times New Roman"/>
          <w:bCs/>
          <w:color w:val="000000" w:themeColor="text1"/>
          <w:sz w:val="24"/>
          <w:szCs w:val="24"/>
        </w:rPr>
        <w:t xml:space="preserve">, 60-66. </w:t>
      </w:r>
      <w:hyperlink r:id="rId27" w:history="1">
        <w:r w:rsidRPr="00825D66">
          <w:rPr>
            <w:rStyle w:val="Hyperlink"/>
            <w:rFonts w:ascii="Times New Roman" w:hAnsi="Times New Roman" w:cs="Times New Roman"/>
            <w:bCs/>
            <w:sz w:val="24"/>
            <w:szCs w:val="24"/>
          </w:rPr>
          <w:t>https://doi.org/10.1016/j.meatsci.2015.08.017</w:t>
        </w:r>
      </w:hyperlink>
      <w:r w:rsidRPr="00BE6878">
        <w:rPr>
          <w:rFonts w:ascii="Times New Roman" w:hAnsi="Times New Roman" w:cs="Times New Roman"/>
          <w:color w:val="000000" w:themeColor="text1"/>
          <w:sz w:val="24"/>
          <w:szCs w:val="24"/>
        </w:rPr>
        <w:t xml:space="preserve"> </w:t>
      </w:r>
    </w:p>
    <w:p w14:paraId="13FEBA04" w14:textId="77777777" w:rsidR="00B65600" w:rsidRDefault="00B65600" w:rsidP="00B65600">
      <w:pPr>
        <w:spacing w:line="360" w:lineRule="auto"/>
        <w:ind w:left="360"/>
        <w:jc w:val="both"/>
        <w:rPr>
          <w:rFonts w:ascii="Times New Roman" w:hAnsi="Times New Roman" w:cs="Times New Roman"/>
          <w:color w:val="000000" w:themeColor="text1"/>
          <w:kern w:val="0"/>
          <w:sz w:val="24"/>
          <w:szCs w:val="24"/>
          <w14:ligatures w14:val="standardContextual"/>
        </w:rPr>
      </w:pPr>
      <w:r w:rsidRPr="00251B49">
        <w:rPr>
          <w:rFonts w:ascii="Times New Roman" w:hAnsi="Times New Roman" w:cs="Times New Roman"/>
          <w:color w:val="000000" w:themeColor="text1"/>
          <w:kern w:val="0"/>
          <w:sz w:val="24"/>
          <w:szCs w:val="24"/>
          <w14:ligatures w14:val="standardContextual"/>
        </w:rPr>
        <w:t>Dai, J., &amp; Mumper, R. J. (2010). Plant phenolics: extraction, analysis and their antioxidant and anticancer properties. </w:t>
      </w:r>
      <w:r w:rsidRPr="00251B49">
        <w:rPr>
          <w:rFonts w:ascii="Times New Roman" w:hAnsi="Times New Roman" w:cs="Times New Roman"/>
          <w:i/>
          <w:iCs/>
          <w:color w:val="000000" w:themeColor="text1"/>
          <w:kern w:val="0"/>
          <w:sz w:val="24"/>
          <w:szCs w:val="24"/>
          <w14:ligatures w14:val="standardContextual"/>
        </w:rPr>
        <w:t>Molecules (Basel, Switzerland)</w:t>
      </w:r>
      <w:r w:rsidRPr="00251B49">
        <w:rPr>
          <w:rFonts w:ascii="Times New Roman" w:hAnsi="Times New Roman" w:cs="Times New Roman"/>
          <w:color w:val="000000" w:themeColor="text1"/>
          <w:kern w:val="0"/>
          <w:sz w:val="24"/>
          <w:szCs w:val="24"/>
          <w14:ligatures w14:val="standardContextual"/>
        </w:rPr>
        <w:t>, </w:t>
      </w:r>
      <w:r w:rsidRPr="00251B49">
        <w:rPr>
          <w:rFonts w:ascii="Times New Roman" w:hAnsi="Times New Roman" w:cs="Times New Roman"/>
          <w:i/>
          <w:iCs/>
          <w:color w:val="000000" w:themeColor="text1"/>
          <w:kern w:val="0"/>
          <w:sz w:val="24"/>
          <w:szCs w:val="24"/>
          <w14:ligatures w14:val="standardContextual"/>
        </w:rPr>
        <w:t>15</w:t>
      </w:r>
      <w:r w:rsidRPr="00251B49">
        <w:rPr>
          <w:rFonts w:ascii="Times New Roman" w:hAnsi="Times New Roman" w:cs="Times New Roman"/>
          <w:color w:val="000000" w:themeColor="text1"/>
          <w:kern w:val="0"/>
          <w:sz w:val="24"/>
          <w:szCs w:val="24"/>
          <w14:ligatures w14:val="standardContextual"/>
        </w:rPr>
        <w:t xml:space="preserve">(10), 7313–7352. </w:t>
      </w:r>
      <w:hyperlink r:id="rId28" w:history="1">
        <w:r w:rsidRPr="005F3225">
          <w:rPr>
            <w:rStyle w:val="Hyperlink"/>
            <w:rFonts w:ascii="Times New Roman" w:hAnsi="Times New Roman" w:cs="Times New Roman"/>
            <w:kern w:val="0"/>
            <w:sz w:val="24"/>
            <w:szCs w:val="24"/>
            <w14:ligatures w14:val="standardContextual"/>
          </w:rPr>
          <w:t>https://doi.org/10.3390/molecules15107313</w:t>
        </w:r>
      </w:hyperlink>
      <w:r>
        <w:rPr>
          <w:rFonts w:ascii="Times New Roman" w:hAnsi="Times New Roman" w:cs="Times New Roman"/>
          <w:color w:val="000000" w:themeColor="text1"/>
          <w:kern w:val="0"/>
          <w:sz w:val="24"/>
          <w:szCs w:val="24"/>
          <w14:ligatures w14:val="standardContextual"/>
        </w:rPr>
        <w:t xml:space="preserve"> </w:t>
      </w:r>
    </w:p>
    <w:p w14:paraId="2E32F209" w14:textId="77777777" w:rsidR="00B65600" w:rsidRPr="00BE6878" w:rsidRDefault="00B65600" w:rsidP="00B65600">
      <w:pPr>
        <w:spacing w:line="360" w:lineRule="auto"/>
        <w:ind w:left="360"/>
        <w:jc w:val="both"/>
        <w:rPr>
          <w:rFonts w:ascii="Times New Roman" w:hAnsi="Times New Roman" w:cs="Times New Roman"/>
          <w:color w:val="000000" w:themeColor="text1"/>
          <w:sz w:val="24"/>
          <w:szCs w:val="24"/>
        </w:rPr>
      </w:pPr>
      <w:proofErr w:type="spellStart"/>
      <w:r w:rsidRPr="00BE6878">
        <w:rPr>
          <w:rFonts w:ascii="Times New Roman" w:hAnsi="Times New Roman" w:cs="Times New Roman"/>
          <w:color w:val="000000" w:themeColor="text1"/>
          <w:kern w:val="0"/>
          <w:sz w:val="24"/>
          <w:szCs w:val="24"/>
          <w14:ligatures w14:val="standardContextual"/>
        </w:rPr>
        <w:t>Gulcin</w:t>
      </w:r>
      <w:proofErr w:type="spellEnd"/>
      <w:r w:rsidRPr="00BE6878">
        <w:rPr>
          <w:rFonts w:ascii="Times New Roman" w:hAnsi="Times New Roman" w:cs="Times New Roman"/>
          <w:color w:val="000000" w:themeColor="text1"/>
          <w:kern w:val="0"/>
          <w:sz w:val="24"/>
          <w:szCs w:val="24"/>
          <w14:ligatures w14:val="standardContextual"/>
        </w:rPr>
        <w:t xml:space="preserve">, İ., &amp; </w:t>
      </w:r>
      <w:proofErr w:type="spellStart"/>
      <w:r w:rsidRPr="00BE6878">
        <w:rPr>
          <w:rFonts w:ascii="Times New Roman" w:hAnsi="Times New Roman" w:cs="Times New Roman"/>
          <w:color w:val="000000" w:themeColor="text1"/>
          <w:kern w:val="0"/>
          <w:sz w:val="24"/>
          <w:szCs w:val="24"/>
          <w14:ligatures w14:val="standardContextual"/>
        </w:rPr>
        <w:t>Alwasel</w:t>
      </w:r>
      <w:proofErr w:type="spellEnd"/>
      <w:r w:rsidRPr="00BE6878">
        <w:rPr>
          <w:rFonts w:ascii="Times New Roman" w:hAnsi="Times New Roman" w:cs="Times New Roman"/>
          <w:color w:val="000000" w:themeColor="text1"/>
          <w:kern w:val="0"/>
          <w:sz w:val="24"/>
          <w:szCs w:val="24"/>
          <w14:ligatures w14:val="standardContextual"/>
        </w:rPr>
        <w:t>, S. H. (2023). DPPH Radical Scavenging Assay. </w:t>
      </w:r>
      <w:r w:rsidRPr="00BE6878">
        <w:rPr>
          <w:rFonts w:ascii="Times New Roman" w:hAnsi="Times New Roman" w:cs="Times New Roman"/>
          <w:i/>
          <w:iCs/>
          <w:color w:val="000000" w:themeColor="text1"/>
          <w:kern w:val="0"/>
          <w:sz w:val="24"/>
          <w:szCs w:val="24"/>
          <w14:ligatures w14:val="standardContextual"/>
        </w:rPr>
        <w:t>Processes</w:t>
      </w:r>
      <w:r w:rsidRPr="00BE6878">
        <w:rPr>
          <w:rFonts w:ascii="Times New Roman" w:hAnsi="Times New Roman" w:cs="Times New Roman"/>
          <w:color w:val="000000" w:themeColor="text1"/>
          <w:kern w:val="0"/>
          <w:sz w:val="24"/>
          <w:szCs w:val="24"/>
          <w14:ligatures w14:val="standardContextual"/>
        </w:rPr>
        <w:t>, </w:t>
      </w:r>
      <w:r w:rsidRPr="00BE6878">
        <w:rPr>
          <w:rFonts w:ascii="Times New Roman" w:hAnsi="Times New Roman" w:cs="Times New Roman"/>
          <w:i/>
          <w:iCs/>
          <w:color w:val="000000" w:themeColor="text1"/>
          <w:kern w:val="0"/>
          <w:sz w:val="24"/>
          <w:szCs w:val="24"/>
          <w14:ligatures w14:val="standardContextual"/>
        </w:rPr>
        <w:t>11</w:t>
      </w:r>
      <w:r w:rsidRPr="00BE6878">
        <w:rPr>
          <w:rFonts w:ascii="Times New Roman" w:hAnsi="Times New Roman" w:cs="Times New Roman"/>
          <w:color w:val="000000" w:themeColor="text1"/>
          <w:kern w:val="0"/>
          <w:sz w:val="24"/>
          <w:szCs w:val="24"/>
          <w14:ligatures w14:val="standardContextual"/>
        </w:rPr>
        <w:t xml:space="preserve">(8), 2248. </w:t>
      </w:r>
      <w:hyperlink r:id="rId29" w:history="1">
        <w:r w:rsidRPr="00BE6878">
          <w:rPr>
            <w:rStyle w:val="Hyperlink"/>
            <w:rFonts w:ascii="Times New Roman" w:hAnsi="Times New Roman" w:cs="Times New Roman"/>
            <w:kern w:val="0"/>
            <w:sz w:val="24"/>
            <w:szCs w:val="24"/>
            <w14:ligatures w14:val="standardContextual"/>
          </w:rPr>
          <w:t>https://doi.org/10.3390/pr11082248</w:t>
        </w:r>
      </w:hyperlink>
      <w:r w:rsidRPr="00BE6878">
        <w:rPr>
          <w:rFonts w:ascii="Times New Roman" w:hAnsi="Times New Roman" w:cs="Times New Roman"/>
          <w:color w:val="000000" w:themeColor="text1"/>
          <w:kern w:val="0"/>
          <w:sz w:val="24"/>
          <w:szCs w:val="24"/>
          <w14:ligatures w14:val="standardContextual"/>
        </w:rPr>
        <w:t xml:space="preserve"> </w:t>
      </w:r>
    </w:p>
    <w:p w14:paraId="737C2127" w14:textId="77777777" w:rsidR="00B65600" w:rsidRPr="00BE6878" w:rsidRDefault="00B65600" w:rsidP="00B65600">
      <w:pPr>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color w:val="000000" w:themeColor="text1"/>
          <w:sz w:val="24"/>
          <w:szCs w:val="24"/>
        </w:rPr>
        <w:t xml:space="preserve">Ilyasov, I. R., </w:t>
      </w:r>
      <w:proofErr w:type="spellStart"/>
      <w:r w:rsidRPr="00BE6878">
        <w:rPr>
          <w:rFonts w:ascii="Times New Roman" w:hAnsi="Times New Roman" w:cs="Times New Roman"/>
          <w:color w:val="000000" w:themeColor="text1"/>
          <w:sz w:val="24"/>
          <w:szCs w:val="24"/>
        </w:rPr>
        <w:t>Beloborodov</w:t>
      </w:r>
      <w:proofErr w:type="spellEnd"/>
      <w:r w:rsidRPr="00BE6878">
        <w:rPr>
          <w:rFonts w:ascii="Times New Roman" w:hAnsi="Times New Roman" w:cs="Times New Roman"/>
          <w:color w:val="000000" w:themeColor="text1"/>
          <w:sz w:val="24"/>
          <w:szCs w:val="24"/>
        </w:rPr>
        <w:t>, V. L., Selivanova, I. A., &amp; Terekhov, R. P. (2020). ABTS/PP Decolorization Assay of Antioxidant Capacity Reaction Pathways. </w:t>
      </w:r>
      <w:r w:rsidRPr="00BE6878">
        <w:rPr>
          <w:rFonts w:ascii="Times New Roman" w:hAnsi="Times New Roman" w:cs="Times New Roman"/>
          <w:i/>
          <w:iCs/>
          <w:color w:val="000000" w:themeColor="text1"/>
          <w:sz w:val="24"/>
          <w:szCs w:val="24"/>
        </w:rPr>
        <w:t>International Journal of Molecular Sciences</w:t>
      </w:r>
      <w:r w:rsidRPr="00BE6878">
        <w:rPr>
          <w:rFonts w:ascii="Times New Roman" w:hAnsi="Times New Roman" w:cs="Times New Roman"/>
          <w:color w:val="000000" w:themeColor="text1"/>
          <w:sz w:val="24"/>
          <w:szCs w:val="24"/>
        </w:rPr>
        <w:t>, </w:t>
      </w:r>
      <w:r w:rsidRPr="00BE6878">
        <w:rPr>
          <w:rFonts w:ascii="Times New Roman" w:hAnsi="Times New Roman" w:cs="Times New Roman"/>
          <w:i/>
          <w:iCs/>
          <w:color w:val="000000" w:themeColor="text1"/>
          <w:sz w:val="24"/>
          <w:szCs w:val="24"/>
        </w:rPr>
        <w:t>21</w:t>
      </w:r>
      <w:r w:rsidRPr="00BE6878">
        <w:rPr>
          <w:rFonts w:ascii="Times New Roman" w:hAnsi="Times New Roman" w:cs="Times New Roman"/>
          <w:color w:val="000000" w:themeColor="text1"/>
          <w:sz w:val="24"/>
          <w:szCs w:val="24"/>
        </w:rPr>
        <w:t xml:space="preserve">(3), 1131. </w:t>
      </w:r>
      <w:hyperlink r:id="rId30" w:history="1">
        <w:r w:rsidRPr="00BE6878">
          <w:rPr>
            <w:rStyle w:val="Hyperlink"/>
            <w:rFonts w:ascii="Times New Roman" w:hAnsi="Times New Roman" w:cs="Times New Roman"/>
            <w:sz w:val="24"/>
            <w:szCs w:val="24"/>
          </w:rPr>
          <w:t>https://doi.org/10.3390/ijms21031131</w:t>
        </w:r>
      </w:hyperlink>
      <w:r w:rsidRPr="00BE6878">
        <w:rPr>
          <w:rFonts w:ascii="Times New Roman" w:hAnsi="Times New Roman" w:cs="Times New Roman"/>
          <w:color w:val="000000" w:themeColor="text1"/>
          <w:sz w:val="24"/>
          <w:szCs w:val="24"/>
        </w:rPr>
        <w:t xml:space="preserve"> </w:t>
      </w:r>
    </w:p>
    <w:p w14:paraId="7C10C5DB" w14:textId="77777777" w:rsidR="00B65600" w:rsidRPr="00BE6878" w:rsidRDefault="00B65600" w:rsidP="00B65600">
      <w:pPr>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bCs/>
          <w:color w:val="000000" w:themeColor="text1"/>
          <w:sz w:val="24"/>
          <w:szCs w:val="24"/>
        </w:rPr>
        <w:t xml:space="preserve">Imran, M., Arshad, M. S., Butt, M. S., Kwon, J. H., Arshad, M. U., &amp; Sultan, M. T. (2017). </w:t>
      </w:r>
      <w:proofErr w:type="spellStart"/>
      <w:r w:rsidRPr="00BE6878">
        <w:rPr>
          <w:rFonts w:ascii="Times New Roman" w:hAnsi="Times New Roman" w:cs="Times New Roman"/>
          <w:bCs/>
          <w:color w:val="000000" w:themeColor="text1"/>
          <w:sz w:val="24"/>
          <w:szCs w:val="24"/>
        </w:rPr>
        <w:t>Mangiferin</w:t>
      </w:r>
      <w:proofErr w:type="spellEnd"/>
      <w:r w:rsidRPr="00BE6878">
        <w:rPr>
          <w:rFonts w:ascii="Times New Roman" w:hAnsi="Times New Roman" w:cs="Times New Roman"/>
          <w:bCs/>
          <w:color w:val="000000" w:themeColor="text1"/>
          <w:sz w:val="24"/>
          <w:szCs w:val="24"/>
        </w:rPr>
        <w:t>: a natural miracle bioactive compound against lifestyle related disorders. </w:t>
      </w:r>
      <w:r w:rsidRPr="00BE6878">
        <w:rPr>
          <w:rFonts w:ascii="Times New Roman" w:hAnsi="Times New Roman" w:cs="Times New Roman"/>
          <w:bCs/>
          <w:i/>
          <w:iCs/>
          <w:color w:val="000000" w:themeColor="text1"/>
          <w:sz w:val="24"/>
          <w:szCs w:val="24"/>
        </w:rPr>
        <w:t>Lipids in health and disease</w:t>
      </w:r>
      <w:r w:rsidRPr="00BE6878">
        <w:rPr>
          <w:rFonts w:ascii="Times New Roman" w:hAnsi="Times New Roman" w:cs="Times New Roman"/>
          <w:bCs/>
          <w:color w:val="000000" w:themeColor="text1"/>
          <w:sz w:val="24"/>
          <w:szCs w:val="24"/>
        </w:rPr>
        <w:t>, </w:t>
      </w:r>
      <w:r w:rsidRPr="00BE6878">
        <w:rPr>
          <w:rFonts w:ascii="Times New Roman" w:hAnsi="Times New Roman" w:cs="Times New Roman"/>
          <w:bCs/>
          <w:i/>
          <w:iCs/>
          <w:color w:val="000000" w:themeColor="text1"/>
          <w:sz w:val="24"/>
          <w:szCs w:val="24"/>
        </w:rPr>
        <w:t>16</w:t>
      </w:r>
      <w:r w:rsidRPr="00BE6878">
        <w:rPr>
          <w:rFonts w:ascii="Times New Roman" w:hAnsi="Times New Roman" w:cs="Times New Roman"/>
          <w:bCs/>
          <w:color w:val="000000" w:themeColor="text1"/>
          <w:sz w:val="24"/>
          <w:szCs w:val="24"/>
        </w:rPr>
        <w:t xml:space="preserve">(1), 84. </w:t>
      </w:r>
      <w:hyperlink r:id="rId31" w:history="1">
        <w:r w:rsidRPr="00BE6878">
          <w:rPr>
            <w:rStyle w:val="Hyperlink"/>
            <w:rFonts w:ascii="Times New Roman" w:hAnsi="Times New Roman" w:cs="Times New Roman"/>
            <w:bCs/>
            <w:sz w:val="24"/>
            <w:szCs w:val="24"/>
          </w:rPr>
          <w:t>https://doi.org/10.1186/s12944-017-0449-y</w:t>
        </w:r>
      </w:hyperlink>
      <w:r w:rsidRPr="00BE6878">
        <w:rPr>
          <w:rFonts w:ascii="Times New Roman" w:hAnsi="Times New Roman" w:cs="Times New Roman"/>
          <w:bCs/>
          <w:color w:val="000000" w:themeColor="text1"/>
          <w:sz w:val="24"/>
          <w:szCs w:val="24"/>
        </w:rPr>
        <w:t xml:space="preserve"> </w:t>
      </w:r>
    </w:p>
    <w:p w14:paraId="2A8369F5" w14:textId="77777777" w:rsidR="00B65600" w:rsidRDefault="00B65600" w:rsidP="00B65600">
      <w:pPr>
        <w:spacing w:line="360" w:lineRule="auto"/>
        <w:ind w:left="360"/>
        <w:jc w:val="both"/>
        <w:rPr>
          <w:rFonts w:ascii="Times New Roman" w:hAnsi="Times New Roman" w:cs="Times New Roman"/>
          <w:color w:val="000000" w:themeColor="text1"/>
          <w:sz w:val="24"/>
          <w:szCs w:val="24"/>
        </w:rPr>
      </w:pPr>
      <w:r w:rsidRPr="00D136D0">
        <w:rPr>
          <w:rFonts w:ascii="Times New Roman" w:hAnsi="Times New Roman" w:cs="Times New Roman"/>
          <w:color w:val="000000" w:themeColor="text1"/>
          <w:sz w:val="24"/>
          <w:szCs w:val="24"/>
        </w:rPr>
        <w:t>Ishaque, M., Bibi, Y., Masood, S., Al Ayoubi, S., Qayyum, A., Nisa, S., &amp; Ahmed, W. (2022). Xanthone C-glycosides isomers purified from </w:t>
      </w:r>
      <w:r w:rsidRPr="00D136D0">
        <w:rPr>
          <w:rFonts w:ascii="Times New Roman" w:hAnsi="Times New Roman" w:cs="Times New Roman"/>
          <w:i/>
          <w:iCs/>
          <w:color w:val="000000" w:themeColor="text1"/>
          <w:sz w:val="24"/>
          <w:szCs w:val="24"/>
        </w:rPr>
        <w:t xml:space="preserve">Dryopteris </w:t>
      </w:r>
      <w:proofErr w:type="spellStart"/>
      <w:r w:rsidRPr="00D136D0">
        <w:rPr>
          <w:rFonts w:ascii="Times New Roman" w:hAnsi="Times New Roman" w:cs="Times New Roman"/>
          <w:i/>
          <w:iCs/>
          <w:color w:val="000000" w:themeColor="text1"/>
          <w:sz w:val="24"/>
          <w:szCs w:val="24"/>
        </w:rPr>
        <w:t>ramosa</w:t>
      </w:r>
      <w:proofErr w:type="spellEnd"/>
      <w:r w:rsidRPr="00D136D0">
        <w:rPr>
          <w:rFonts w:ascii="Times New Roman" w:hAnsi="Times New Roman" w:cs="Times New Roman"/>
          <w:color w:val="000000" w:themeColor="text1"/>
          <w:sz w:val="24"/>
          <w:szCs w:val="24"/>
        </w:rPr>
        <w:t> (Hope) C. Chr. with bactericidal and cytotoxic prospects. </w:t>
      </w:r>
      <w:r w:rsidRPr="00D136D0">
        <w:rPr>
          <w:rFonts w:ascii="Times New Roman" w:hAnsi="Times New Roman" w:cs="Times New Roman"/>
          <w:i/>
          <w:iCs/>
          <w:color w:val="000000" w:themeColor="text1"/>
          <w:sz w:val="24"/>
          <w:szCs w:val="24"/>
        </w:rPr>
        <w:t>Saudi journal of biological sciences</w:t>
      </w:r>
      <w:r w:rsidRPr="00D136D0">
        <w:rPr>
          <w:rFonts w:ascii="Times New Roman" w:hAnsi="Times New Roman" w:cs="Times New Roman"/>
          <w:color w:val="000000" w:themeColor="text1"/>
          <w:sz w:val="24"/>
          <w:szCs w:val="24"/>
        </w:rPr>
        <w:t>, </w:t>
      </w:r>
      <w:r w:rsidRPr="00D136D0">
        <w:rPr>
          <w:rFonts w:ascii="Times New Roman" w:hAnsi="Times New Roman" w:cs="Times New Roman"/>
          <w:i/>
          <w:iCs/>
          <w:color w:val="000000" w:themeColor="text1"/>
          <w:sz w:val="24"/>
          <w:szCs w:val="24"/>
        </w:rPr>
        <w:t>29</w:t>
      </w:r>
      <w:r w:rsidRPr="00D136D0">
        <w:rPr>
          <w:rFonts w:ascii="Times New Roman" w:hAnsi="Times New Roman" w:cs="Times New Roman"/>
          <w:color w:val="000000" w:themeColor="text1"/>
          <w:sz w:val="24"/>
          <w:szCs w:val="24"/>
        </w:rPr>
        <w:t xml:space="preserve">(2), 1191–1196. </w:t>
      </w:r>
      <w:hyperlink r:id="rId32" w:history="1">
        <w:r w:rsidRPr="005F3225">
          <w:rPr>
            <w:rStyle w:val="Hyperlink"/>
            <w:rFonts w:ascii="Times New Roman" w:hAnsi="Times New Roman" w:cs="Times New Roman"/>
            <w:sz w:val="24"/>
            <w:szCs w:val="24"/>
          </w:rPr>
          <w:t>https://doi.org/10.1016/j.sjbs.2021.09.047</w:t>
        </w:r>
      </w:hyperlink>
      <w:r>
        <w:rPr>
          <w:rFonts w:ascii="Times New Roman" w:hAnsi="Times New Roman" w:cs="Times New Roman"/>
          <w:color w:val="000000" w:themeColor="text1"/>
          <w:sz w:val="24"/>
          <w:szCs w:val="24"/>
        </w:rPr>
        <w:t xml:space="preserve"> </w:t>
      </w:r>
    </w:p>
    <w:p w14:paraId="0E84982D" w14:textId="77777777" w:rsidR="00B65600" w:rsidRDefault="00B65600" w:rsidP="00B65600">
      <w:pPr>
        <w:spacing w:line="360" w:lineRule="auto"/>
        <w:ind w:left="360"/>
        <w:jc w:val="both"/>
        <w:rPr>
          <w:rFonts w:ascii="Times New Roman" w:hAnsi="Times New Roman" w:cs="Times New Roman"/>
          <w:color w:val="000000" w:themeColor="text1"/>
          <w:sz w:val="24"/>
          <w:szCs w:val="24"/>
        </w:rPr>
      </w:pPr>
      <w:r w:rsidRPr="001928BF">
        <w:rPr>
          <w:rFonts w:ascii="Times New Roman" w:hAnsi="Times New Roman" w:cs="Times New Roman"/>
          <w:color w:val="000000" w:themeColor="text1"/>
          <w:kern w:val="0"/>
          <w:sz w:val="24"/>
          <w:szCs w:val="24"/>
          <w14:ligatures w14:val="standardContextual"/>
        </w:rPr>
        <w:t>Juan, C. A., Pérez de la Lastra, J. M., Plou, F. J., &amp; Pérez-</w:t>
      </w:r>
      <w:proofErr w:type="spellStart"/>
      <w:r w:rsidRPr="001928BF">
        <w:rPr>
          <w:rFonts w:ascii="Times New Roman" w:hAnsi="Times New Roman" w:cs="Times New Roman"/>
          <w:color w:val="000000" w:themeColor="text1"/>
          <w:kern w:val="0"/>
          <w:sz w:val="24"/>
          <w:szCs w:val="24"/>
          <w14:ligatures w14:val="standardContextual"/>
        </w:rPr>
        <w:t>Lebeña</w:t>
      </w:r>
      <w:proofErr w:type="spellEnd"/>
      <w:r w:rsidRPr="001928BF">
        <w:rPr>
          <w:rFonts w:ascii="Times New Roman" w:hAnsi="Times New Roman" w:cs="Times New Roman"/>
          <w:color w:val="000000" w:themeColor="text1"/>
          <w:kern w:val="0"/>
          <w:sz w:val="24"/>
          <w:szCs w:val="24"/>
          <w14:ligatures w14:val="standardContextual"/>
        </w:rPr>
        <w:t>, E. (2021). The Chemistry of Reactive Oxygen Species (ROS) Revisited: Outlining Their Role in Biological Macromolecules (DNA, Lipids and Proteins) and Induced Pathologies. </w:t>
      </w:r>
      <w:r w:rsidRPr="001928BF">
        <w:rPr>
          <w:rFonts w:ascii="Times New Roman" w:hAnsi="Times New Roman" w:cs="Times New Roman"/>
          <w:i/>
          <w:iCs/>
          <w:color w:val="000000" w:themeColor="text1"/>
          <w:kern w:val="0"/>
          <w:sz w:val="24"/>
          <w:szCs w:val="24"/>
          <w14:ligatures w14:val="standardContextual"/>
        </w:rPr>
        <w:t>International journal of molecular sciences</w:t>
      </w:r>
      <w:r w:rsidRPr="001928BF">
        <w:rPr>
          <w:rFonts w:ascii="Times New Roman" w:hAnsi="Times New Roman" w:cs="Times New Roman"/>
          <w:color w:val="000000" w:themeColor="text1"/>
          <w:kern w:val="0"/>
          <w:sz w:val="24"/>
          <w:szCs w:val="24"/>
          <w14:ligatures w14:val="standardContextual"/>
        </w:rPr>
        <w:t>, </w:t>
      </w:r>
      <w:r w:rsidRPr="001928BF">
        <w:rPr>
          <w:rFonts w:ascii="Times New Roman" w:hAnsi="Times New Roman" w:cs="Times New Roman"/>
          <w:i/>
          <w:iCs/>
          <w:color w:val="000000" w:themeColor="text1"/>
          <w:kern w:val="0"/>
          <w:sz w:val="24"/>
          <w:szCs w:val="24"/>
          <w14:ligatures w14:val="standardContextual"/>
        </w:rPr>
        <w:t>22</w:t>
      </w:r>
      <w:r w:rsidRPr="001928BF">
        <w:rPr>
          <w:rFonts w:ascii="Times New Roman" w:hAnsi="Times New Roman" w:cs="Times New Roman"/>
          <w:color w:val="000000" w:themeColor="text1"/>
          <w:kern w:val="0"/>
          <w:sz w:val="24"/>
          <w:szCs w:val="24"/>
          <w14:ligatures w14:val="standardContextual"/>
        </w:rPr>
        <w:t xml:space="preserve">(9), 4642. </w:t>
      </w:r>
      <w:hyperlink r:id="rId33" w:history="1">
        <w:r w:rsidRPr="001928BF">
          <w:rPr>
            <w:rStyle w:val="Hyperlink"/>
            <w:rFonts w:ascii="Times New Roman" w:hAnsi="Times New Roman" w:cs="Times New Roman"/>
            <w:kern w:val="0"/>
            <w:sz w:val="24"/>
            <w:szCs w:val="24"/>
            <w14:ligatures w14:val="standardContextual"/>
          </w:rPr>
          <w:t>https://doi.org/10.3390/ijms22094642</w:t>
        </w:r>
      </w:hyperlink>
      <w:r w:rsidRPr="00BE6878">
        <w:rPr>
          <w:rFonts w:ascii="Times New Roman" w:hAnsi="Times New Roman" w:cs="Times New Roman"/>
          <w:color w:val="000000" w:themeColor="text1"/>
          <w:kern w:val="0"/>
          <w:sz w:val="24"/>
          <w:szCs w:val="24"/>
          <w14:ligatures w14:val="standardContextual"/>
        </w:rPr>
        <w:t xml:space="preserve"> </w:t>
      </w:r>
      <w:r>
        <w:rPr>
          <w:rFonts w:ascii="Times New Roman" w:hAnsi="Times New Roman" w:cs="Times New Roman"/>
          <w:color w:val="000000" w:themeColor="text1"/>
          <w:sz w:val="24"/>
          <w:szCs w:val="24"/>
        </w:rPr>
        <w:t xml:space="preserve">   </w:t>
      </w:r>
    </w:p>
    <w:p w14:paraId="0FCEA45B" w14:textId="77777777" w:rsidR="00B65600" w:rsidRPr="00C466B2" w:rsidRDefault="00B65600" w:rsidP="00B65600">
      <w:pPr>
        <w:spacing w:line="360" w:lineRule="auto"/>
        <w:ind w:left="360"/>
        <w:jc w:val="both"/>
        <w:rPr>
          <w:rFonts w:ascii="Times New Roman" w:hAnsi="Times New Roman" w:cs="Times New Roman"/>
          <w:color w:val="000000" w:themeColor="text1"/>
          <w:sz w:val="24"/>
          <w:szCs w:val="24"/>
        </w:rPr>
      </w:pPr>
      <w:r w:rsidRPr="00097118">
        <w:rPr>
          <w:rFonts w:ascii="Times New Roman" w:hAnsi="Times New Roman" w:cs="Times New Roman"/>
          <w:color w:val="000000" w:themeColor="text1"/>
          <w:sz w:val="24"/>
          <w:szCs w:val="24"/>
        </w:rPr>
        <w:t xml:space="preserve">Kumbhare, M. R., </w:t>
      </w:r>
      <w:proofErr w:type="spellStart"/>
      <w:r w:rsidRPr="00097118">
        <w:rPr>
          <w:rFonts w:ascii="Times New Roman" w:hAnsi="Times New Roman" w:cs="Times New Roman"/>
          <w:color w:val="000000" w:themeColor="text1"/>
          <w:sz w:val="24"/>
          <w:szCs w:val="24"/>
        </w:rPr>
        <w:t>Guleha</w:t>
      </w:r>
      <w:proofErr w:type="spellEnd"/>
      <w:r w:rsidRPr="00097118">
        <w:rPr>
          <w:rFonts w:ascii="Times New Roman" w:hAnsi="Times New Roman" w:cs="Times New Roman"/>
          <w:color w:val="000000" w:themeColor="text1"/>
          <w:sz w:val="24"/>
          <w:szCs w:val="24"/>
        </w:rPr>
        <w:t xml:space="preserve">, V. Sivakumar, T. (2012). Estimation of total phenolic content, cytotoxicity and in–vitro antioxidant activity of stem bark of Moringa oleifera. </w:t>
      </w:r>
      <w:r w:rsidRPr="00097118">
        <w:rPr>
          <w:rFonts w:ascii="Times New Roman" w:hAnsi="Times New Roman" w:cs="Times New Roman"/>
          <w:i/>
          <w:iCs/>
          <w:color w:val="000000" w:themeColor="text1"/>
          <w:sz w:val="24"/>
          <w:szCs w:val="24"/>
        </w:rPr>
        <w:t>Asian Pacific Journal of Tropical Disease, 2</w:t>
      </w:r>
      <w:r w:rsidRPr="00097118">
        <w:rPr>
          <w:rFonts w:ascii="Times New Roman" w:hAnsi="Times New Roman" w:cs="Times New Roman"/>
          <w:color w:val="000000" w:themeColor="text1"/>
          <w:sz w:val="24"/>
          <w:szCs w:val="24"/>
        </w:rPr>
        <w:t>(2),</w:t>
      </w:r>
      <w:r w:rsidRPr="00097118">
        <w:rPr>
          <w:rFonts w:ascii="Times New Roman" w:hAnsi="Times New Roman" w:cs="Times New Roman"/>
          <w:i/>
          <w:iCs/>
          <w:color w:val="000000" w:themeColor="text1"/>
          <w:sz w:val="24"/>
          <w:szCs w:val="24"/>
        </w:rPr>
        <w:t xml:space="preserve"> </w:t>
      </w:r>
      <w:r w:rsidRPr="00097118">
        <w:rPr>
          <w:rFonts w:ascii="Times New Roman" w:hAnsi="Times New Roman" w:cs="Times New Roman"/>
          <w:color w:val="000000" w:themeColor="text1"/>
          <w:sz w:val="24"/>
          <w:szCs w:val="24"/>
        </w:rPr>
        <w:t>144-150,</w:t>
      </w:r>
      <w:r w:rsidRPr="00097118">
        <w:rPr>
          <w:rFonts w:ascii="Times New Roman" w:hAnsi="Times New Roman" w:cs="Times New Roman"/>
          <w:i/>
          <w:iCs/>
          <w:color w:val="000000" w:themeColor="text1"/>
          <w:sz w:val="24"/>
          <w:szCs w:val="24"/>
        </w:rPr>
        <w:t xml:space="preserve"> </w:t>
      </w:r>
      <w:hyperlink r:id="rId34" w:history="1">
        <w:r w:rsidRPr="00097118">
          <w:rPr>
            <w:rStyle w:val="Hyperlink"/>
            <w:rFonts w:ascii="Times New Roman" w:hAnsi="Times New Roman" w:cs="Times New Roman"/>
            <w:sz w:val="24"/>
            <w:szCs w:val="24"/>
          </w:rPr>
          <w:t>https://doi.org/10.1016/S2222-1808(12)60033-4</w:t>
        </w:r>
      </w:hyperlink>
      <w:r w:rsidRPr="00097118">
        <w:rPr>
          <w:rFonts w:ascii="Times New Roman" w:hAnsi="Times New Roman" w:cs="Times New Roman"/>
          <w:color w:val="000000" w:themeColor="text1"/>
          <w:sz w:val="24"/>
          <w:szCs w:val="24"/>
        </w:rPr>
        <w:t xml:space="preserve"> </w:t>
      </w:r>
    </w:p>
    <w:p w14:paraId="0583FEC5" w14:textId="77777777" w:rsidR="00B65600" w:rsidRPr="00BE6878" w:rsidRDefault="00B65600" w:rsidP="00B65600">
      <w:pPr>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color w:val="000000" w:themeColor="text1"/>
          <w:sz w:val="24"/>
          <w:szCs w:val="24"/>
        </w:rPr>
        <w:lastRenderedPageBreak/>
        <w:t>Kurian, G.A., Suryanarayanan, S., Raman, A. </w:t>
      </w:r>
      <w:r w:rsidRPr="00BE6878">
        <w:rPr>
          <w:rFonts w:ascii="Times New Roman" w:hAnsi="Times New Roman" w:cs="Times New Roman"/>
          <w:i/>
          <w:iCs/>
          <w:color w:val="000000" w:themeColor="text1"/>
          <w:sz w:val="24"/>
          <w:szCs w:val="24"/>
        </w:rPr>
        <w:t>et al.</w:t>
      </w:r>
      <w:r w:rsidRPr="00BE6878">
        <w:rPr>
          <w:rFonts w:ascii="Times New Roman" w:hAnsi="Times New Roman" w:cs="Times New Roman"/>
          <w:color w:val="000000" w:themeColor="text1"/>
          <w:sz w:val="24"/>
          <w:szCs w:val="24"/>
        </w:rPr>
        <w:t> (2010). Antioxidant effects of ethyl acetate extract of </w:t>
      </w:r>
      <w:proofErr w:type="spellStart"/>
      <w:r w:rsidRPr="00BE6878">
        <w:rPr>
          <w:rFonts w:ascii="Times New Roman" w:hAnsi="Times New Roman" w:cs="Times New Roman"/>
          <w:i/>
          <w:iCs/>
          <w:color w:val="000000" w:themeColor="text1"/>
          <w:sz w:val="24"/>
          <w:szCs w:val="24"/>
        </w:rPr>
        <w:t>Desmodium</w:t>
      </w:r>
      <w:proofErr w:type="spellEnd"/>
      <w:r w:rsidRPr="00BE6878">
        <w:rPr>
          <w:rFonts w:ascii="Times New Roman" w:hAnsi="Times New Roman" w:cs="Times New Roman"/>
          <w:i/>
          <w:iCs/>
          <w:color w:val="000000" w:themeColor="text1"/>
          <w:sz w:val="24"/>
          <w:szCs w:val="24"/>
        </w:rPr>
        <w:t xml:space="preserve"> </w:t>
      </w:r>
      <w:proofErr w:type="spellStart"/>
      <w:r w:rsidRPr="00BE6878">
        <w:rPr>
          <w:rFonts w:ascii="Times New Roman" w:hAnsi="Times New Roman" w:cs="Times New Roman"/>
          <w:i/>
          <w:iCs/>
          <w:color w:val="000000" w:themeColor="text1"/>
          <w:sz w:val="24"/>
          <w:szCs w:val="24"/>
        </w:rPr>
        <w:t>gangeticum</w:t>
      </w:r>
      <w:proofErr w:type="spellEnd"/>
      <w:r w:rsidRPr="00BE6878">
        <w:rPr>
          <w:rFonts w:ascii="Times New Roman" w:hAnsi="Times New Roman" w:cs="Times New Roman"/>
          <w:color w:val="000000" w:themeColor="text1"/>
          <w:sz w:val="24"/>
          <w:szCs w:val="24"/>
        </w:rPr>
        <w:t> root on myocardial ischemia reperfusion injury in rat hearts. </w:t>
      </w:r>
      <w:r w:rsidRPr="00BE6878">
        <w:rPr>
          <w:rFonts w:ascii="Times New Roman" w:hAnsi="Times New Roman" w:cs="Times New Roman"/>
          <w:i/>
          <w:iCs/>
          <w:color w:val="000000" w:themeColor="text1"/>
          <w:sz w:val="24"/>
          <w:szCs w:val="24"/>
        </w:rPr>
        <w:t>Chin Med</w:t>
      </w:r>
      <w:r w:rsidRPr="00BE6878">
        <w:rPr>
          <w:rFonts w:ascii="Times New Roman" w:hAnsi="Times New Roman" w:cs="Times New Roman"/>
          <w:color w:val="000000" w:themeColor="text1"/>
          <w:sz w:val="24"/>
          <w:szCs w:val="24"/>
        </w:rPr>
        <w:t> </w:t>
      </w:r>
      <w:r w:rsidRPr="00BE6878">
        <w:rPr>
          <w:rFonts w:ascii="Times New Roman" w:hAnsi="Times New Roman" w:cs="Times New Roman"/>
          <w:i/>
          <w:iCs/>
          <w:color w:val="000000" w:themeColor="text1"/>
          <w:sz w:val="24"/>
          <w:szCs w:val="24"/>
        </w:rPr>
        <w:t>5</w:t>
      </w:r>
      <w:r w:rsidRPr="00BE6878">
        <w:rPr>
          <w:rFonts w:ascii="Times New Roman" w:hAnsi="Times New Roman" w:cs="Times New Roman"/>
          <w:color w:val="000000" w:themeColor="text1"/>
          <w:sz w:val="24"/>
          <w:szCs w:val="24"/>
        </w:rPr>
        <w:t xml:space="preserve">, 3. </w:t>
      </w:r>
      <w:hyperlink r:id="rId35" w:history="1">
        <w:r w:rsidRPr="00825D66">
          <w:rPr>
            <w:rStyle w:val="Hyperlink"/>
            <w:rFonts w:ascii="Times New Roman" w:hAnsi="Times New Roman" w:cs="Times New Roman"/>
            <w:sz w:val="24"/>
            <w:szCs w:val="24"/>
          </w:rPr>
          <w:t>https://doi.org/10.1186/1749-8546-5-3</w:t>
        </w:r>
      </w:hyperlink>
      <w:r w:rsidRPr="00BE6878">
        <w:rPr>
          <w:rFonts w:ascii="Times New Roman" w:hAnsi="Times New Roman" w:cs="Times New Roman"/>
          <w:color w:val="000000" w:themeColor="text1"/>
          <w:sz w:val="24"/>
          <w:szCs w:val="24"/>
        </w:rPr>
        <w:t xml:space="preserve"> </w:t>
      </w:r>
    </w:p>
    <w:p w14:paraId="33D17886" w14:textId="77777777" w:rsidR="00B65600" w:rsidRPr="00BE6878" w:rsidRDefault="00B65600" w:rsidP="00B65600">
      <w:pPr>
        <w:spacing w:line="360" w:lineRule="auto"/>
        <w:ind w:left="360"/>
        <w:jc w:val="both"/>
        <w:rPr>
          <w:rFonts w:ascii="Times New Roman" w:hAnsi="Times New Roman" w:cs="Times New Roman"/>
          <w:color w:val="000000" w:themeColor="text1"/>
          <w:sz w:val="24"/>
          <w:szCs w:val="24"/>
        </w:rPr>
      </w:pPr>
      <w:proofErr w:type="spellStart"/>
      <w:r w:rsidRPr="00BE6878">
        <w:rPr>
          <w:rFonts w:ascii="Times New Roman" w:hAnsi="Times New Roman" w:cs="Times New Roman"/>
          <w:color w:val="000000" w:themeColor="text1"/>
          <w:sz w:val="24"/>
          <w:szCs w:val="24"/>
        </w:rPr>
        <w:t>Leyane</w:t>
      </w:r>
      <w:proofErr w:type="spellEnd"/>
      <w:r w:rsidRPr="00BE6878">
        <w:rPr>
          <w:rFonts w:ascii="Times New Roman" w:hAnsi="Times New Roman" w:cs="Times New Roman"/>
          <w:color w:val="000000" w:themeColor="text1"/>
          <w:sz w:val="24"/>
          <w:szCs w:val="24"/>
        </w:rPr>
        <w:t>, T. S., Jere, S. W., &amp; Houreld, N. N. (2022). Oxidative Stress in Ageing and Chronic Degenerative Pathologies: Molecular Mechanisms Involved in Counteracting Oxidative Stress and Chronic Inflammation. </w:t>
      </w:r>
      <w:r w:rsidRPr="00BE6878">
        <w:rPr>
          <w:rFonts w:ascii="Times New Roman" w:hAnsi="Times New Roman" w:cs="Times New Roman"/>
          <w:i/>
          <w:iCs/>
          <w:color w:val="000000" w:themeColor="text1"/>
          <w:sz w:val="24"/>
          <w:szCs w:val="24"/>
        </w:rPr>
        <w:t>International journal of molecular sciences</w:t>
      </w:r>
      <w:r w:rsidRPr="00BE6878">
        <w:rPr>
          <w:rFonts w:ascii="Times New Roman" w:hAnsi="Times New Roman" w:cs="Times New Roman"/>
          <w:color w:val="000000" w:themeColor="text1"/>
          <w:sz w:val="24"/>
          <w:szCs w:val="24"/>
        </w:rPr>
        <w:t>, </w:t>
      </w:r>
      <w:r w:rsidRPr="00BE6878">
        <w:rPr>
          <w:rFonts w:ascii="Times New Roman" w:hAnsi="Times New Roman" w:cs="Times New Roman"/>
          <w:i/>
          <w:iCs/>
          <w:color w:val="000000" w:themeColor="text1"/>
          <w:sz w:val="24"/>
          <w:szCs w:val="24"/>
        </w:rPr>
        <w:t>23</w:t>
      </w:r>
      <w:r w:rsidRPr="00BE6878">
        <w:rPr>
          <w:rFonts w:ascii="Times New Roman" w:hAnsi="Times New Roman" w:cs="Times New Roman"/>
          <w:color w:val="000000" w:themeColor="text1"/>
          <w:sz w:val="24"/>
          <w:szCs w:val="24"/>
        </w:rPr>
        <w:t xml:space="preserve">(13), 7273. </w:t>
      </w:r>
      <w:hyperlink r:id="rId36" w:history="1">
        <w:r w:rsidRPr="00825D66">
          <w:rPr>
            <w:rStyle w:val="Hyperlink"/>
            <w:rFonts w:ascii="Times New Roman" w:hAnsi="Times New Roman" w:cs="Times New Roman"/>
            <w:sz w:val="24"/>
            <w:szCs w:val="24"/>
          </w:rPr>
          <w:t>https://doi.org/10.3390/ijms23137273</w:t>
        </w:r>
      </w:hyperlink>
      <w:r w:rsidRPr="00BE6878">
        <w:rPr>
          <w:rFonts w:ascii="Times New Roman" w:hAnsi="Times New Roman" w:cs="Times New Roman"/>
          <w:color w:val="000000" w:themeColor="text1"/>
          <w:sz w:val="24"/>
          <w:szCs w:val="24"/>
        </w:rPr>
        <w:t>​</w:t>
      </w:r>
    </w:p>
    <w:p w14:paraId="060985EC" w14:textId="77777777" w:rsidR="00B65600" w:rsidRPr="00BE6878" w:rsidRDefault="00B65600" w:rsidP="00B65600">
      <w:pPr>
        <w:pStyle w:val="Bibliography"/>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color w:val="000000" w:themeColor="text1"/>
          <w:sz w:val="24"/>
          <w:szCs w:val="24"/>
        </w:rPr>
        <w:t xml:space="preserve">Liu, F.-F., Li, Y.-Q., Sun, G.-J., Wang, C.-Y., Liang, Y., Zhao, X.-Z., He, J.-X., &amp; Mo, H.-Z. (2022). Influence of ultrasound treatment on the physicochemical and antioxidant properties of mung bean protein hydrolysate. </w:t>
      </w:r>
      <w:r w:rsidRPr="00BE6878">
        <w:rPr>
          <w:rFonts w:ascii="Times New Roman" w:hAnsi="Times New Roman" w:cs="Times New Roman"/>
          <w:i/>
          <w:iCs/>
          <w:color w:val="000000" w:themeColor="text1"/>
          <w:sz w:val="24"/>
          <w:szCs w:val="24"/>
        </w:rPr>
        <w:t>Ultrasonics Sonochemistry</w:t>
      </w:r>
      <w:r w:rsidRPr="00BE6878">
        <w:rPr>
          <w:rFonts w:ascii="Times New Roman" w:hAnsi="Times New Roman" w:cs="Times New Roman"/>
          <w:color w:val="000000" w:themeColor="text1"/>
          <w:sz w:val="24"/>
          <w:szCs w:val="24"/>
        </w:rPr>
        <w:t xml:space="preserve">, </w:t>
      </w:r>
      <w:r w:rsidRPr="00BE6878">
        <w:rPr>
          <w:rFonts w:ascii="Times New Roman" w:hAnsi="Times New Roman" w:cs="Times New Roman"/>
          <w:i/>
          <w:iCs/>
          <w:color w:val="000000" w:themeColor="text1"/>
          <w:sz w:val="24"/>
          <w:szCs w:val="24"/>
        </w:rPr>
        <w:t>84</w:t>
      </w:r>
      <w:r w:rsidRPr="00BE6878">
        <w:rPr>
          <w:rFonts w:ascii="Times New Roman" w:hAnsi="Times New Roman" w:cs="Times New Roman"/>
          <w:color w:val="000000" w:themeColor="text1"/>
          <w:sz w:val="24"/>
          <w:szCs w:val="24"/>
        </w:rPr>
        <w:t xml:space="preserve">, 105964. </w:t>
      </w:r>
      <w:hyperlink r:id="rId37" w:history="1">
        <w:r w:rsidRPr="00825D66">
          <w:rPr>
            <w:rStyle w:val="Hyperlink"/>
            <w:rFonts w:ascii="Times New Roman" w:hAnsi="Times New Roman" w:cs="Times New Roman"/>
            <w:sz w:val="24"/>
            <w:szCs w:val="24"/>
          </w:rPr>
          <w:t>https://doi.org/10.1016/j.ultsonch.2022.105964</w:t>
        </w:r>
      </w:hyperlink>
      <w:r w:rsidRPr="00BE6878">
        <w:rPr>
          <w:rFonts w:ascii="Times New Roman" w:hAnsi="Times New Roman" w:cs="Times New Roman"/>
          <w:color w:val="000000" w:themeColor="text1"/>
          <w:sz w:val="24"/>
          <w:szCs w:val="24"/>
        </w:rPr>
        <w:t xml:space="preserve"> </w:t>
      </w:r>
    </w:p>
    <w:p w14:paraId="36636F06" w14:textId="77777777" w:rsidR="00B65600" w:rsidRPr="00BE6878" w:rsidRDefault="00B65600" w:rsidP="00B65600">
      <w:pPr>
        <w:spacing w:line="360" w:lineRule="auto"/>
        <w:ind w:left="360"/>
        <w:jc w:val="both"/>
        <w:rPr>
          <w:rFonts w:ascii="Times New Roman" w:hAnsi="Times New Roman" w:cs="Times New Roman"/>
          <w:sz w:val="24"/>
          <w:szCs w:val="24"/>
        </w:rPr>
      </w:pPr>
      <w:proofErr w:type="spellStart"/>
      <w:r w:rsidRPr="00BE6878">
        <w:rPr>
          <w:rFonts w:ascii="Times New Roman" w:hAnsi="Times New Roman" w:cs="Times New Roman"/>
          <w:sz w:val="24"/>
          <w:szCs w:val="24"/>
        </w:rPr>
        <w:t>Paranthaman</w:t>
      </w:r>
      <w:proofErr w:type="spellEnd"/>
      <w:r w:rsidRPr="00BE6878">
        <w:rPr>
          <w:rFonts w:ascii="Times New Roman" w:hAnsi="Times New Roman" w:cs="Times New Roman"/>
          <w:sz w:val="24"/>
          <w:szCs w:val="24"/>
        </w:rPr>
        <w:t xml:space="preserve"> R, Praveen </w:t>
      </w:r>
      <w:proofErr w:type="spellStart"/>
      <w:r w:rsidRPr="00BE6878">
        <w:rPr>
          <w:rFonts w:ascii="Times New Roman" w:hAnsi="Times New Roman" w:cs="Times New Roman"/>
          <w:sz w:val="24"/>
          <w:szCs w:val="24"/>
        </w:rPr>
        <w:t>kumar</w:t>
      </w:r>
      <w:proofErr w:type="spellEnd"/>
      <w:r w:rsidRPr="00BE6878">
        <w:rPr>
          <w:rFonts w:ascii="Times New Roman" w:hAnsi="Times New Roman" w:cs="Times New Roman"/>
          <w:sz w:val="24"/>
          <w:szCs w:val="24"/>
        </w:rPr>
        <w:t xml:space="preserve"> P, </w:t>
      </w:r>
      <w:proofErr w:type="spellStart"/>
      <w:r w:rsidRPr="00BE6878">
        <w:rPr>
          <w:rFonts w:ascii="Times New Roman" w:hAnsi="Times New Roman" w:cs="Times New Roman"/>
          <w:sz w:val="24"/>
          <w:szCs w:val="24"/>
        </w:rPr>
        <w:t>Kumaravel</w:t>
      </w:r>
      <w:proofErr w:type="spellEnd"/>
      <w:r w:rsidRPr="00BE6878">
        <w:rPr>
          <w:rFonts w:ascii="Times New Roman" w:hAnsi="Times New Roman" w:cs="Times New Roman"/>
          <w:sz w:val="24"/>
          <w:szCs w:val="24"/>
        </w:rPr>
        <w:t xml:space="preserve"> S. (2012). GC-MS Analysis of Phytochemicals and Simultaneous Determination of Flavonoids in Amaranthus </w:t>
      </w:r>
      <w:proofErr w:type="spellStart"/>
      <w:r w:rsidRPr="00BE6878">
        <w:rPr>
          <w:rFonts w:ascii="Times New Roman" w:hAnsi="Times New Roman" w:cs="Times New Roman"/>
          <w:sz w:val="24"/>
          <w:szCs w:val="24"/>
        </w:rPr>
        <w:t>caudatus</w:t>
      </w:r>
      <w:proofErr w:type="spellEnd"/>
      <w:r w:rsidRPr="00BE6878">
        <w:rPr>
          <w:rFonts w:ascii="Times New Roman" w:hAnsi="Times New Roman" w:cs="Times New Roman"/>
          <w:sz w:val="24"/>
          <w:szCs w:val="24"/>
        </w:rPr>
        <w:t xml:space="preserve"> (</w:t>
      </w:r>
      <w:proofErr w:type="spellStart"/>
      <w:r w:rsidRPr="00BE6878">
        <w:rPr>
          <w:rFonts w:ascii="Times New Roman" w:hAnsi="Times New Roman" w:cs="Times New Roman"/>
          <w:sz w:val="24"/>
          <w:szCs w:val="24"/>
        </w:rPr>
        <w:t>Sirukeerai</w:t>
      </w:r>
      <w:proofErr w:type="spellEnd"/>
      <w:r w:rsidRPr="00BE6878">
        <w:rPr>
          <w:rFonts w:ascii="Times New Roman" w:hAnsi="Times New Roman" w:cs="Times New Roman"/>
          <w:sz w:val="24"/>
          <w:szCs w:val="24"/>
        </w:rPr>
        <w:t xml:space="preserve">) by RP-HPLC. J Anal </w:t>
      </w:r>
      <w:proofErr w:type="spellStart"/>
      <w:r w:rsidRPr="00BE6878">
        <w:rPr>
          <w:rFonts w:ascii="Times New Roman" w:hAnsi="Times New Roman" w:cs="Times New Roman"/>
          <w:sz w:val="24"/>
          <w:szCs w:val="24"/>
        </w:rPr>
        <w:t>Bioanal</w:t>
      </w:r>
      <w:proofErr w:type="spellEnd"/>
      <w:r w:rsidRPr="00BE6878">
        <w:rPr>
          <w:rFonts w:ascii="Times New Roman" w:hAnsi="Times New Roman" w:cs="Times New Roman"/>
          <w:sz w:val="24"/>
          <w:szCs w:val="24"/>
        </w:rPr>
        <w:t xml:space="preserve"> Techniques 3:147.</w:t>
      </w:r>
    </w:p>
    <w:p w14:paraId="1FA70D2D" w14:textId="77777777" w:rsidR="00B65600" w:rsidRPr="003B13AB" w:rsidRDefault="00B65600" w:rsidP="00B65600">
      <w:pPr>
        <w:spacing w:line="360" w:lineRule="auto"/>
        <w:ind w:left="360"/>
        <w:jc w:val="both"/>
        <w:rPr>
          <w:rFonts w:ascii="Times New Roman" w:hAnsi="Times New Roman" w:cs="Times New Roman"/>
          <w:color w:val="000000" w:themeColor="text1"/>
          <w:sz w:val="24"/>
          <w:szCs w:val="24"/>
        </w:rPr>
      </w:pPr>
      <w:proofErr w:type="spellStart"/>
      <w:r w:rsidRPr="001E4C81">
        <w:rPr>
          <w:rFonts w:ascii="Times New Roman" w:hAnsi="Times New Roman" w:cs="Times New Roman"/>
          <w:color w:val="000000" w:themeColor="text1"/>
          <w:sz w:val="24"/>
          <w:szCs w:val="24"/>
        </w:rPr>
        <w:t>Pratheepa</w:t>
      </w:r>
      <w:proofErr w:type="spellEnd"/>
      <w:r w:rsidRPr="001E4C81">
        <w:rPr>
          <w:rFonts w:ascii="Times New Roman" w:hAnsi="Times New Roman" w:cs="Times New Roman"/>
          <w:color w:val="000000" w:themeColor="text1"/>
          <w:sz w:val="24"/>
          <w:szCs w:val="24"/>
        </w:rPr>
        <w:t xml:space="preserve">, C., and C. </w:t>
      </w:r>
      <w:proofErr w:type="spellStart"/>
      <w:r w:rsidRPr="001E4C81">
        <w:rPr>
          <w:rFonts w:ascii="Times New Roman" w:hAnsi="Times New Roman" w:cs="Times New Roman"/>
          <w:color w:val="000000" w:themeColor="text1"/>
          <w:sz w:val="24"/>
          <w:szCs w:val="24"/>
        </w:rPr>
        <w:t>Shibana</w:t>
      </w:r>
      <w:proofErr w:type="spellEnd"/>
      <w:r w:rsidRPr="001E4C8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1E4C81">
        <w:rPr>
          <w:rFonts w:ascii="Times New Roman" w:hAnsi="Times New Roman" w:cs="Times New Roman"/>
          <w:color w:val="000000" w:themeColor="text1"/>
          <w:sz w:val="24"/>
          <w:szCs w:val="24"/>
        </w:rPr>
        <w:t>2026</w:t>
      </w:r>
      <w:r>
        <w:rPr>
          <w:rFonts w:ascii="Times New Roman" w:hAnsi="Times New Roman" w:cs="Times New Roman"/>
          <w:color w:val="000000" w:themeColor="text1"/>
          <w:sz w:val="24"/>
          <w:szCs w:val="24"/>
        </w:rPr>
        <w:t>)</w:t>
      </w:r>
      <w:r w:rsidRPr="001E4C81">
        <w:rPr>
          <w:rFonts w:ascii="Times New Roman" w:hAnsi="Times New Roman" w:cs="Times New Roman"/>
          <w:color w:val="000000" w:themeColor="text1"/>
          <w:sz w:val="24"/>
          <w:szCs w:val="24"/>
        </w:rPr>
        <w:t>. Synthesis and Characterization of Titanium Dioxide Nanoparticles from Ethanol Extracts of Portunus Pelagicus (Linnaeus, 1758) and Their Evaluation of Brine Shrimp Lethality Assa</w:t>
      </w:r>
      <w:r>
        <w:rPr>
          <w:rFonts w:ascii="Times New Roman" w:hAnsi="Times New Roman" w:cs="Times New Roman"/>
          <w:color w:val="000000" w:themeColor="text1"/>
          <w:sz w:val="24"/>
          <w:szCs w:val="24"/>
        </w:rPr>
        <w:t>y</w:t>
      </w:r>
      <w:r w:rsidRPr="001E4C81">
        <w:rPr>
          <w:rFonts w:ascii="Times New Roman" w:hAnsi="Times New Roman" w:cs="Times New Roman"/>
          <w:color w:val="000000" w:themeColor="text1"/>
          <w:sz w:val="24"/>
          <w:szCs w:val="24"/>
        </w:rPr>
        <w:t>. </w:t>
      </w:r>
      <w:r w:rsidRPr="001E4C81">
        <w:rPr>
          <w:rFonts w:ascii="Times New Roman" w:hAnsi="Times New Roman" w:cs="Times New Roman"/>
          <w:i/>
          <w:iCs/>
          <w:color w:val="000000" w:themeColor="text1"/>
          <w:sz w:val="24"/>
          <w:szCs w:val="24"/>
        </w:rPr>
        <w:t>UTTAR PRADESH JOURNAL OF ZOOLOGY</w:t>
      </w:r>
      <w:r w:rsidRPr="001E4C81">
        <w:rPr>
          <w:rFonts w:ascii="Times New Roman" w:hAnsi="Times New Roman" w:cs="Times New Roman"/>
          <w:color w:val="000000" w:themeColor="text1"/>
          <w:sz w:val="24"/>
          <w:szCs w:val="24"/>
        </w:rPr>
        <w:t xml:space="preserve"> 47 (1):51-62. </w:t>
      </w:r>
      <w:hyperlink r:id="rId38" w:history="1">
        <w:r w:rsidRPr="005F3225">
          <w:rPr>
            <w:rStyle w:val="Hyperlink"/>
            <w:rFonts w:ascii="Times New Roman" w:hAnsi="Times New Roman" w:cs="Times New Roman"/>
            <w:sz w:val="24"/>
            <w:szCs w:val="24"/>
          </w:rPr>
          <w:t>https://doi.org/10.56557/upjoz/2026/v47i15436</w:t>
        </w:r>
      </w:hyperlink>
      <w:r w:rsidRPr="001E4C8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66B14293" w14:textId="77777777" w:rsidR="00B65600" w:rsidRPr="00BE6878" w:rsidRDefault="00B65600" w:rsidP="00B65600">
      <w:pPr>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bCs/>
          <w:color w:val="000000" w:themeColor="text1"/>
          <w:sz w:val="24"/>
          <w:szCs w:val="24"/>
        </w:rPr>
        <w:t xml:space="preserve">Rasyid, R., Mawaddah, S., &amp; </w:t>
      </w:r>
      <w:proofErr w:type="spellStart"/>
      <w:r w:rsidRPr="00BE6878">
        <w:rPr>
          <w:rFonts w:ascii="Times New Roman" w:hAnsi="Times New Roman" w:cs="Times New Roman"/>
          <w:bCs/>
          <w:color w:val="000000" w:themeColor="text1"/>
          <w:sz w:val="24"/>
          <w:szCs w:val="24"/>
        </w:rPr>
        <w:t>Rivai</w:t>
      </w:r>
      <w:proofErr w:type="spellEnd"/>
      <w:r w:rsidRPr="00BE6878">
        <w:rPr>
          <w:rFonts w:ascii="Times New Roman" w:hAnsi="Times New Roman" w:cs="Times New Roman"/>
          <w:bCs/>
          <w:color w:val="000000" w:themeColor="text1"/>
          <w:sz w:val="24"/>
          <w:szCs w:val="24"/>
        </w:rPr>
        <w:t xml:space="preserve">, H. (2020). Quantitative determination of </w:t>
      </w:r>
      <w:proofErr w:type="spellStart"/>
      <w:r w:rsidRPr="00BE6878">
        <w:rPr>
          <w:rFonts w:ascii="Times New Roman" w:hAnsi="Times New Roman" w:cs="Times New Roman"/>
          <w:bCs/>
          <w:color w:val="000000" w:themeColor="text1"/>
          <w:sz w:val="24"/>
          <w:szCs w:val="24"/>
        </w:rPr>
        <w:t>mangiferin</w:t>
      </w:r>
      <w:proofErr w:type="spellEnd"/>
      <w:r w:rsidRPr="00BE6878">
        <w:rPr>
          <w:rFonts w:ascii="Times New Roman" w:hAnsi="Times New Roman" w:cs="Times New Roman"/>
          <w:bCs/>
          <w:color w:val="000000" w:themeColor="text1"/>
          <w:sz w:val="24"/>
          <w:szCs w:val="24"/>
        </w:rPr>
        <w:t xml:space="preserve"> in methanol extract of </w:t>
      </w:r>
      <w:proofErr w:type="spellStart"/>
      <w:r w:rsidRPr="00BE6878">
        <w:rPr>
          <w:rFonts w:ascii="Times New Roman" w:hAnsi="Times New Roman" w:cs="Times New Roman"/>
          <w:bCs/>
          <w:color w:val="000000" w:themeColor="text1"/>
          <w:sz w:val="24"/>
          <w:szCs w:val="24"/>
        </w:rPr>
        <w:t>Bacang</w:t>
      </w:r>
      <w:proofErr w:type="spellEnd"/>
      <w:r w:rsidRPr="00BE6878">
        <w:rPr>
          <w:rFonts w:ascii="Times New Roman" w:hAnsi="Times New Roman" w:cs="Times New Roman"/>
          <w:bCs/>
          <w:color w:val="000000" w:themeColor="text1"/>
          <w:sz w:val="24"/>
          <w:szCs w:val="24"/>
        </w:rPr>
        <w:t xml:space="preserve"> Mango (</w:t>
      </w:r>
      <w:proofErr w:type="spellStart"/>
      <w:r w:rsidRPr="00BE6878">
        <w:rPr>
          <w:rFonts w:ascii="Times New Roman" w:hAnsi="Times New Roman" w:cs="Times New Roman"/>
          <w:bCs/>
          <w:i/>
          <w:color w:val="000000" w:themeColor="text1"/>
          <w:sz w:val="24"/>
          <w:szCs w:val="24"/>
        </w:rPr>
        <w:t>Mangifera</w:t>
      </w:r>
      <w:proofErr w:type="spellEnd"/>
      <w:r w:rsidRPr="00BE6878">
        <w:rPr>
          <w:rFonts w:ascii="Times New Roman" w:hAnsi="Times New Roman" w:cs="Times New Roman"/>
          <w:bCs/>
          <w:i/>
          <w:color w:val="000000" w:themeColor="text1"/>
          <w:sz w:val="24"/>
          <w:szCs w:val="24"/>
        </w:rPr>
        <w:t xml:space="preserve"> </w:t>
      </w:r>
      <w:proofErr w:type="spellStart"/>
      <w:r w:rsidRPr="00BE6878">
        <w:rPr>
          <w:rFonts w:ascii="Times New Roman" w:hAnsi="Times New Roman" w:cs="Times New Roman"/>
          <w:bCs/>
          <w:i/>
          <w:color w:val="000000" w:themeColor="text1"/>
          <w:sz w:val="24"/>
          <w:szCs w:val="24"/>
        </w:rPr>
        <w:t>foetida</w:t>
      </w:r>
      <w:proofErr w:type="spellEnd"/>
      <w:r w:rsidRPr="00BE6878">
        <w:rPr>
          <w:rFonts w:ascii="Times New Roman" w:hAnsi="Times New Roman" w:cs="Times New Roman"/>
          <w:bCs/>
          <w:color w:val="000000" w:themeColor="text1"/>
          <w:sz w:val="24"/>
          <w:szCs w:val="24"/>
        </w:rPr>
        <w:t xml:space="preserve"> L.) leaves by thin-layer chromatography densitometry. World J. Pharm. Pharm. Sci, 9, 1551-1560.</w:t>
      </w:r>
    </w:p>
    <w:p w14:paraId="3953E954" w14:textId="77777777" w:rsidR="00B65600" w:rsidRPr="00BE6878" w:rsidRDefault="00B65600" w:rsidP="00B65600">
      <w:pPr>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bCs/>
          <w:color w:val="000000" w:themeColor="text1"/>
          <w:sz w:val="24"/>
          <w:szCs w:val="24"/>
        </w:rPr>
        <w:t>Reddy VP. (2023). Oxidative Stress in Health and Disease. </w:t>
      </w:r>
      <w:r w:rsidRPr="00BE6878">
        <w:rPr>
          <w:rFonts w:ascii="Times New Roman" w:hAnsi="Times New Roman" w:cs="Times New Roman"/>
          <w:bCs/>
          <w:i/>
          <w:iCs/>
          <w:color w:val="000000" w:themeColor="text1"/>
          <w:sz w:val="24"/>
          <w:szCs w:val="24"/>
        </w:rPr>
        <w:t>Biomedicines</w:t>
      </w:r>
      <w:r w:rsidRPr="00BE6878">
        <w:rPr>
          <w:rFonts w:ascii="Times New Roman" w:hAnsi="Times New Roman" w:cs="Times New Roman"/>
          <w:bCs/>
          <w:color w:val="000000" w:themeColor="text1"/>
          <w:sz w:val="24"/>
          <w:szCs w:val="24"/>
        </w:rPr>
        <w:t>, </w:t>
      </w:r>
      <w:r w:rsidRPr="00BE6878">
        <w:rPr>
          <w:rFonts w:ascii="Times New Roman" w:hAnsi="Times New Roman" w:cs="Times New Roman"/>
          <w:bCs/>
          <w:i/>
          <w:iCs/>
          <w:color w:val="000000" w:themeColor="text1"/>
          <w:sz w:val="24"/>
          <w:szCs w:val="24"/>
        </w:rPr>
        <w:t>11</w:t>
      </w:r>
      <w:r w:rsidRPr="00BE6878">
        <w:rPr>
          <w:rFonts w:ascii="Times New Roman" w:hAnsi="Times New Roman" w:cs="Times New Roman"/>
          <w:bCs/>
          <w:color w:val="000000" w:themeColor="text1"/>
          <w:sz w:val="24"/>
          <w:szCs w:val="24"/>
        </w:rPr>
        <w:t xml:space="preserve">(11), 2925. </w:t>
      </w:r>
      <w:hyperlink r:id="rId39" w:history="1">
        <w:r w:rsidRPr="00825D66">
          <w:rPr>
            <w:rStyle w:val="Hyperlink"/>
            <w:rFonts w:ascii="Times New Roman" w:hAnsi="Times New Roman" w:cs="Times New Roman"/>
            <w:bCs/>
            <w:sz w:val="24"/>
            <w:szCs w:val="24"/>
          </w:rPr>
          <w:t>https://doi.org/10.3390/biomedicines11112925</w:t>
        </w:r>
      </w:hyperlink>
    </w:p>
    <w:p w14:paraId="632B12E1" w14:textId="77777777" w:rsidR="00B65600" w:rsidRPr="00BE6878" w:rsidRDefault="00B65600" w:rsidP="00B65600">
      <w:pPr>
        <w:pStyle w:val="Bibliography"/>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color w:val="000000" w:themeColor="text1"/>
          <w:sz w:val="24"/>
          <w:szCs w:val="24"/>
        </w:rPr>
        <w:t xml:space="preserve">Rumpf, J., Burger, R., &amp; Schulze, M. (2023). Statistical evaluation of DPPH, ABTS, FRAP, and </w:t>
      </w:r>
      <w:proofErr w:type="spellStart"/>
      <w:r w:rsidRPr="00BE6878">
        <w:rPr>
          <w:rFonts w:ascii="Times New Roman" w:hAnsi="Times New Roman" w:cs="Times New Roman"/>
          <w:color w:val="000000" w:themeColor="text1"/>
          <w:sz w:val="24"/>
          <w:szCs w:val="24"/>
        </w:rPr>
        <w:t>Folin-Ciocalteu</w:t>
      </w:r>
      <w:proofErr w:type="spellEnd"/>
      <w:r w:rsidRPr="00BE6878">
        <w:rPr>
          <w:rFonts w:ascii="Times New Roman" w:hAnsi="Times New Roman" w:cs="Times New Roman"/>
          <w:color w:val="000000" w:themeColor="text1"/>
          <w:sz w:val="24"/>
          <w:szCs w:val="24"/>
        </w:rPr>
        <w:t xml:space="preserve"> assays to assess the antioxidant capacity of </w:t>
      </w:r>
      <w:proofErr w:type="spellStart"/>
      <w:r w:rsidRPr="00BE6878">
        <w:rPr>
          <w:rFonts w:ascii="Times New Roman" w:hAnsi="Times New Roman" w:cs="Times New Roman"/>
          <w:color w:val="000000" w:themeColor="text1"/>
          <w:sz w:val="24"/>
          <w:szCs w:val="24"/>
        </w:rPr>
        <w:t>lignins</w:t>
      </w:r>
      <w:proofErr w:type="spellEnd"/>
      <w:r w:rsidRPr="00BE6878">
        <w:rPr>
          <w:rFonts w:ascii="Times New Roman" w:hAnsi="Times New Roman" w:cs="Times New Roman"/>
          <w:color w:val="000000" w:themeColor="text1"/>
          <w:sz w:val="24"/>
          <w:szCs w:val="24"/>
        </w:rPr>
        <w:t xml:space="preserve">. </w:t>
      </w:r>
      <w:r w:rsidRPr="00BE6878">
        <w:rPr>
          <w:rFonts w:ascii="Times New Roman" w:hAnsi="Times New Roman" w:cs="Times New Roman"/>
          <w:i/>
          <w:iCs/>
          <w:color w:val="000000" w:themeColor="text1"/>
          <w:sz w:val="24"/>
          <w:szCs w:val="24"/>
        </w:rPr>
        <w:t>International Journal of Biological Macromolecules</w:t>
      </w:r>
      <w:r w:rsidRPr="00BE6878">
        <w:rPr>
          <w:rFonts w:ascii="Times New Roman" w:hAnsi="Times New Roman" w:cs="Times New Roman"/>
          <w:color w:val="000000" w:themeColor="text1"/>
          <w:sz w:val="24"/>
          <w:szCs w:val="24"/>
        </w:rPr>
        <w:t xml:space="preserve">, </w:t>
      </w:r>
      <w:r w:rsidRPr="00BE6878">
        <w:rPr>
          <w:rFonts w:ascii="Times New Roman" w:hAnsi="Times New Roman" w:cs="Times New Roman"/>
          <w:i/>
          <w:iCs/>
          <w:color w:val="000000" w:themeColor="text1"/>
          <w:sz w:val="24"/>
          <w:szCs w:val="24"/>
        </w:rPr>
        <w:t>233</w:t>
      </w:r>
      <w:r w:rsidRPr="00BE6878">
        <w:rPr>
          <w:rFonts w:ascii="Times New Roman" w:hAnsi="Times New Roman" w:cs="Times New Roman"/>
          <w:color w:val="000000" w:themeColor="text1"/>
          <w:sz w:val="24"/>
          <w:szCs w:val="24"/>
        </w:rPr>
        <w:t xml:space="preserve">, 123470. </w:t>
      </w:r>
      <w:hyperlink r:id="rId40" w:history="1">
        <w:r w:rsidRPr="00825D66">
          <w:rPr>
            <w:rStyle w:val="Hyperlink"/>
            <w:rFonts w:ascii="Times New Roman" w:hAnsi="Times New Roman" w:cs="Times New Roman"/>
            <w:sz w:val="24"/>
            <w:szCs w:val="24"/>
          </w:rPr>
          <w:t>https://doi.org/10.1016/j.ijbiomac.2023.123470</w:t>
        </w:r>
      </w:hyperlink>
    </w:p>
    <w:p w14:paraId="06803A01" w14:textId="77777777" w:rsidR="00B65600" w:rsidRPr="00BE6878" w:rsidRDefault="00B65600" w:rsidP="00B65600">
      <w:pPr>
        <w:pStyle w:val="Bibliography"/>
        <w:spacing w:line="360" w:lineRule="auto"/>
        <w:ind w:left="360"/>
        <w:jc w:val="both"/>
        <w:rPr>
          <w:rFonts w:ascii="Times New Roman" w:hAnsi="Times New Roman" w:cs="Times New Roman"/>
          <w:color w:val="000000" w:themeColor="text1"/>
          <w:sz w:val="24"/>
          <w:szCs w:val="24"/>
        </w:rPr>
      </w:pPr>
      <w:proofErr w:type="spellStart"/>
      <w:r w:rsidRPr="00BE6878">
        <w:rPr>
          <w:rFonts w:ascii="Times New Roman" w:hAnsi="Times New Roman" w:cs="Times New Roman"/>
          <w:color w:val="000000" w:themeColor="text1"/>
          <w:sz w:val="24"/>
          <w:szCs w:val="24"/>
        </w:rPr>
        <w:t>Samarakoon</w:t>
      </w:r>
      <w:proofErr w:type="spellEnd"/>
      <w:r w:rsidRPr="00BE6878">
        <w:rPr>
          <w:rFonts w:ascii="Times New Roman" w:hAnsi="Times New Roman" w:cs="Times New Roman"/>
          <w:color w:val="000000" w:themeColor="text1"/>
          <w:sz w:val="24"/>
          <w:szCs w:val="24"/>
        </w:rPr>
        <w:t xml:space="preserve"> </w:t>
      </w:r>
      <w:proofErr w:type="spellStart"/>
      <w:r w:rsidRPr="00BE6878">
        <w:rPr>
          <w:rFonts w:ascii="Times New Roman" w:hAnsi="Times New Roman" w:cs="Times New Roman"/>
          <w:color w:val="000000" w:themeColor="text1"/>
          <w:sz w:val="24"/>
          <w:szCs w:val="24"/>
        </w:rPr>
        <w:t>Dnaw</w:t>
      </w:r>
      <w:proofErr w:type="spellEnd"/>
      <w:r w:rsidRPr="00BE6878">
        <w:rPr>
          <w:rFonts w:ascii="Times New Roman" w:hAnsi="Times New Roman" w:cs="Times New Roman"/>
          <w:color w:val="000000" w:themeColor="text1"/>
          <w:sz w:val="24"/>
          <w:szCs w:val="24"/>
        </w:rPr>
        <w:t xml:space="preserve"> &amp; </w:t>
      </w:r>
      <w:proofErr w:type="spellStart"/>
      <w:r w:rsidRPr="00BE6878">
        <w:rPr>
          <w:rFonts w:ascii="Times New Roman" w:hAnsi="Times New Roman" w:cs="Times New Roman"/>
          <w:color w:val="000000" w:themeColor="text1"/>
          <w:sz w:val="24"/>
          <w:szCs w:val="24"/>
        </w:rPr>
        <w:t>Samarakoon</w:t>
      </w:r>
      <w:proofErr w:type="spellEnd"/>
      <w:r w:rsidRPr="00BE6878">
        <w:rPr>
          <w:rFonts w:ascii="Times New Roman" w:hAnsi="Times New Roman" w:cs="Times New Roman"/>
          <w:color w:val="000000" w:themeColor="text1"/>
          <w:sz w:val="24"/>
          <w:szCs w:val="24"/>
        </w:rPr>
        <w:t xml:space="preserve"> </w:t>
      </w:r>
      <w:proofErr w:type="spellStart"/>
      <w:r w:rsidRPr="00BE6878">
        <w:rPr>
          <w:rFonts w:ascii="Times New Roman" w:hAnsi="Times New Roman" w:cs="Times New Roman"/>
          <w:color w:val="000000" w:themeColor="text1"/>
          <w:sz w:val="24"/>
          <w:szCs w:val="24"/>
        </w:rPr>
        <w:t>Dnaw</w:t>
      </w:r>
      <w:proofErr w:type="spellEnd"/>
      <w:r w:rsidRPr="00BE6878">
        <w:rPr>
          <w:rFonts w:ascii="Times New Roman" w:hAnsi="Times New Roman" w:cs="Times New Roman"/>
          <w:color w:val="000000" w:themeColor="text1"/>
          <w:sz w:val="24"/>
          <w:szCs w:val="24"/>
        </w:rPr>
        <w:t xml:space="preserve">. (2023). Advancing </w:t>
      </w:r>
      <w:r w:rsidRPr="00BE6878">
        <w:rPr>
          <w:rFonts w:ascii="Times New Roman" w:hAnsi="Times New Roman" w:cs="Times New Roman"/>
          <w:i/>
          <w:iCs/>
          <w:color w:val="000000" w:themeColor="text1"/>
          <w:sz w:val="24"/>
          <w:szCs w:val="24"/>
        </w:rPr>
        <w:t>In vitro</w:t>
      </w:r>
      <w:r w:rsidRPr="00BE6878">
        <w:rPr>
          <w:rFonts w:ascii="Times New Roman" w:hAnsi="Times New Roman" w:cs="Times New Roman"/>
          <w:color w:val="000000" w:themeColor="text1"/>
          <w:sz w:val="24"/>
          <w:szCs w:val="24"/>
        </w:rPr>
        <w:t xml:space="preserve"> Antioxidant Activity Assessment: A Comprehensive Methodological Review and Improved Approaches for </w:t>
      </w:r>
      <w:r w:rsidRPr="00BE6878">
        <w:rPr>
          <w:rFonts w:ascii="Times New Roman" w:hAnsi="Times New Roman" w:cs="Times New Roman"/>
          <w:color w:val="000000" w:themeColor="text1"/>
          <w:sz w:val="24"/>
          <w:szCs w:val="24"/>
        </w:rPr>
        <w:lastRenderedPageBreak/>
        <w:t xml:space="preserve">DPPH, FRAP and H2O2 Assays. </w:t>
      </w:r>
      <w:r w:rsidRPr="00BE6878">
        <w:rPr>
          <w:rFonts w:ascii="Times New Roman" w:hAnsi="Times New Roman" w:cs="Times New Roman"/>
          <w:i/>
          <w:iCs/>
          <w:color w:val="000000" w:themeColor="text1"/>
          <w:sz w:val="24"/>
          <w:szCs w:val="24"/>
        </w:rPr>
        <w:t>Journal of Natural &amp; Ayurvedic Medicine</w:t>
      </w:r>
      <w:r w:rsidRPr="00BE6878">
        <w:rPr>
          <w:rFonts w:ascii="Times New Roman" w:hAnsi="Times New Roman" w:cs="Times New Roman"/>
          <w:color w:val="000000" w:themeColor="text1"/>
          <w:sz w:val="24"/>
          <w:szCs w:val="24"/>
        </w:rPr>
        <w:t xml:space="preserve">, </w:t>
      </w:r>
      <w:r w:rsidRPr="00BE6878">
        <w:rPr>
          <w:rFonts w:ascii="Times New Roman" w:hAnsi="Times New Roman" w:cs="Times New Roman"/>
          <w:i/>
          <w:iCs/>
          <w:color w:val="000000" w:themeColor="text1"/>
          <w:sz w:val="24"/>
          <w:szCs w:val="24"/>
        </w:rPr>
        <w:t>7</w:t>
      </w:r>
      <w:r w:rsidRPr="00BE6878">
        <w:rPr>
          <w:rFonts w:ascii="Times New Roman" w:hAnsi="Times New Roman" w:cs="Times New Roman"/>
          <w:color w:val="000000" w:themeColor="text1"/>
          <w:sz w:val="24"/>
          <w:szCs w:val="24"/>
        </w:rPr>
        <w:t xml:space="preserve">(4), 1–7. </w:t>
      </w:r>
      <w:hyperlink r:id="rId41" w:history="1">
        <w:r w:rsidRPr="00825D66">
          <w:rPr>
            <w:rStyle w:val="Hyperlink"/>
            <w:rFonts w:ascii="Times New Roman" w:hAnsi="Times New Roman" w:cs="Times New Roman"/>
            <w:sz w:val="24"/>
            <w:szCs w:val="24"/>
          </w:rPr>
          <w:t>https://doi.org/10.23880/jonam-16000431</w:t>
        </w:r>
      </w:hyperlink>
      <w:r w:rsidRPr="00BE6878">
        <w:rPr>
          <w:rFonts w:ascii="Times New Roman" w:hAnsi="Times New Roman" w:cs="Times New Roman"/>
          <w:color w:val="000000" w:themeColor="text1"/>
          <w:sz w:val="24"/>
          <w:szCs w:val="24"/>
        </w:rPr>
        <w:t xml:space="preserve"> </w:t>
      </w:r>
    </w:p>
    <w:p w14:paraId="003DD9EF" w14:textId="77777777" w:rsidR="00B65600" w:rsidRPr="00BE6878" w:rsidRDefault="00B65600" w:rsidP="00B65600">
      <w:pPr>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bCs/>
          <w:color w:val="000000" w:themeColor="text1"/>
          <w:sz w:val="24"/>
          <w:szCs w:val="24"/>
        </w:rPr>
        <w:t xml:space="preserve">Singh, S. K., Tiwari, R. M., Sinha, S. K., Danta, C. C., &amp; Prasad, S. K. (2012). Antimicrobial evaluation of </w:t>
      </w:r>
      <w:proofErr w:type="spellStart"/>
      <w:r w:rsidRPr="00BE6878">
        <w:rPr>
          <w:rFonts w:ascii="Times New Roman" w:hAnsi="Times New Roman" w:cs="Times New Roman"/>
          <w:bCs/>
          <w:color w:val="000000" w:themeColor="text1"/>
          <w:sz w:val="24"/>
          <w:szCs w:val="24"/>
        </w:rPr>
        <w:t>mangiferin</w:t>
      </w:r>
      <w:proofErr w:type="spellEnd"/>
      <w:r w:rsidRPr="00BE6878">
        <w:rPr>
          <w:rFonts w:ascii="Times New Roman" w:hAnsi="Times New Roman" w:cs="Times New Roman"/>
          <w:bCs/>
          <w:color w:val="000000" w:themeColor="text1"/>
          <w:sz w:val="24"/>
          <w:szCs w:val="24"/>
        </w:rPr>
        <w:t xml:space="preserve"> and its synthesized analogues. Asian Pacific Journal of Tropical Biomedicine, 2(2), S884-S887.</w:t>
      </w:r>
    </w:p>
    <w:p w14:paraId="5FDE67AF" w14:textId="77777777" w:rsidR="00B65600" w:rsidRDefault="00B65600" w:rsidP="00B65600">
      <w:pPr>
        <w:spacing w:line="360" w:lineRule="auto"/>
        <w:ind w:left="360"/>
        <w:jc w:val="both"/>
        <w:rPr>
          <w:rFonts w:ascii="Times New Roman" w:hAnsi="Times New Roman" w:cs="Times New Roman"/>
          <w:bCs/>
          <w:color w:val="000000" w:themeColor="text1"/>
          <w:sz w:val="24"/>
          <w:szCs w:val="24"/>
        </w:rPr>
      </w:pPr>
      <w:proofErr w:type="spellStart"/>
      <w:r w:rsidRPr="00BE6878">
        <w:rPr>
          <w:rFonts w:ascii="Times New Roman" w:hAnsi="Times New Roman" w:cs="Times New Roman"/>
          <w:bCs/>
          <w:color w:val="000000" w:themeColor="text1"/>
          <w:sz w:val="24"/>
          <w:szCs w:val="24"/>
        </w:rPr>
        <w:t>Tüğen</w:t>
      </w:r>
      <w:proofErr w:type="spellEnd"/>
      <w:r w:rsidRPr="00BE6878">
        <w:rPr>
          <w:rFonts w:ascii="Times New Roman" w:hAnsi="Times New Roman" w:cs="Times New Roman"/>
          <w:bCs/>
          <w:color w:val="000000" w:themeColor="text1"/>
          <w:sz w:val="24"/>
          <w:szCs w:val="24"/>
        </w:rPr>
        <w:t xml:space="preserve">, A., &amp; </w:t>
      </w:r>
      <w:proofErr w:type="spellStart"/>
      <w:r w:rsidRPr="00BE6878">
        <w:rPr>
          <w:rFonts w:ascii="Times New Roman" w:hAnsi="Times New Roman" w:cs="Times New Roman"/>
          <w:bCs/>
          <w:color w:val="000000" w:themeColor="text1"/>
          <w:sz w:val="24"/>
          <w:szCs w:val="24"/>
        </w:rPr>
        <w:t>Buruleanu</w:t>
      </w:r>
      <w:proofErr w:type="spellEnd"/>
      <w:r w:rsidRPr="00BE6878">
        <w:rPr>
          <w:rFonts w:ascii="Times New Roman" w:hAnsi="Times New Roman" w:cs="Times New Roman"/>
          <w:bCs/>
          <w:color w:val="000000" w:themeColor="text1"/>
          <w:sz w:val="24"/>
          <w:szCs w:val="24"/>
        </w:rPr>
        <w:t>, C. L. (2025). The Role of Plant-Derived Bioactive Compounds in Mitigating Oxidative Stress. </w:t>
      </w:r>
      <w:r w:rsidRPr="00BE6878">
        <w:rPr>
          <w:rFonts w:ascii="Times New Roman" w:hAnsi="Times New Roman" w:cs="Times New Roman"/>
          <w:bCs/>
          <w:i/>
          <w:iCs/>
          <w:color w:val="000000" w:themeColor="text1"/>
          <w:sz w:val="24"/>
          <w:szCs w:val="24"/>
        </w:rPr>
        <w:t>Foods (Basel, Switzerland)</w:t>
      </w:r>
      <w:r w:rsidRPr="00BE6878">
        <w:rPr>
          <w:rFonts w:ascii="Times New Roman" w:hAnsi="Times New Roman" w:cs="Times New Roman"/>
          <w:bCs/>
          <w:color w:val="000000" w:themeColor="text1"/>
          <w:sz w:val="24"/>
          <w:szCs w:val="24"/>
        </w:rPr>
        <w:t>, </w:t>
      </w:r>
      <w:r w:rsidRPr="00BE6878">
        <w:rPr>
          <w:rFonts w:ascii="Times New Roman" w:hAnsi="Times New Roman" w:cs="Times New Roman"/>
          <w:bCs/>
          <w:i/>
          <w:iCs/>
          <w:color w:val="000000" w:themeColor="text1"/>
          <w:sz w:val="24"/>
          <w:szCs w:val="24"/>
        </w:rPr>
        <w:t>15</w:t>
      </w:r>
      <w:r w:rsidRPr="00BE6878">
        <w:rPr>
          <w:rFonts w:ascii="Times New Roman" w:hAnsi="Times New Roman" w:cs="Times New Roman"/>
          <w:bCs/>
          <w:color w:val="000000" w:themeColor="text1"/>
          <w:sz w:val="24"/>
          <w:szCs w:val="24"/>
        </w:rPr>
        <w:t xml:space="preserve">(1), 108. </w:t>
      </w:r>
      <w:hyperlink r:id="rId42" w:history="1">
        <w:r w:rsidRPr="00BE6878">
          <w:rPr>
            <w:rStyle w:val="Hyperlink"/>
            <w:rFonts w:ascii="Times New Roman" w:hAnsi="Times New Roman" w:cs="Times New Roman"/>
            <w:bCs/>
            <w:sz w:val="24"/>
            <w:szCs w:val="24"/>
          </w:rPr>
          <w:t>https://doi.org/10.3390/foods15010108</w:t>
        </w:r>
      </w:hyperlink>
      <w:r w:rsidRPr="00BE6878">
        <w:rPr>
          <w:rFonts w:ascii="Times New Roman" w:hAnsi="Times New Roman" w:cs="Times New Roman"/>
          <w:bCs/>
          <w:color w:val="000000" w:themeColor="text1"/>
          <w:sz w:val="24"/>
          <w:szCs w:val="24"/>
        </w:rPr>
        <w:t xml:space="preserve"> </w:t>
      </w:r>
    </w:p>
    <w:p w14:paraId="723C97D0" w14:textId="77777777" w:rsidR="00B65600" w:rsidRPr="003A22DA" w:rsidRDefault="00B65600" w:rsidP="00B65600">
      <w:pPr>
        <w:pStyle w:val="BodyText"/>
        <w:spacing w:line="360" w:lineRule="auto"/>
        <w:ind w:left="360"/>
        <w:jc w:val="both"/>
        <w:rPr>
          <w:rFonts w:ascii="Times New Roman" w:hAnsi="Times New Roman" w:cs="Times New Roman"/>
          <w:bCs/>
          <w:color w:val="000000" w:themeColor="text1"/>
          <w:sz w:val="24"/>
          <w:szCs w:val="24"/>
        </w:rPr>
      </w:pPr>
      <w:proofErr w:type="spellStart"/>
      <w:r w:rsidRPr="003A22DA">
        <w:rPr>
          <w:rFonts w:ascii="Times New Roman" w:hAnsi="Times New Roman" w:cs="Times New Roman"/>
          <w:bCs/>
          <w:color w:val="000000" w:themeColor="text1"/>
          <w:sz w:val="24"/>
          <w:szCs w:val="24"/>
        </w:rPr>
        <w:t>Verpoorte</w:t>
      </w:r>
      <w:proofErr w:type="spellEnd"/>
      <w:r w:rsidRPr="003A22DA">
        <w:rPr>
          <w:rFonts w:ascii="Times New Roman" w:hAnsi="Times New Roman" w:cs="Times New Roman"/>
          <w:bCs/>
          <w:color w:val="000000" w:themeColor="text1"/>
          <w:sz w:val="24"/>
          <w:szCs w:val="24"/>
        </w:rPr>
        <w:t>, K. C.  (2007). The Pharmacology of Chinese Herbs. CRC Press, Boca Raton.</w:t>
      </w:r>
    </w:p>
    <w:p w14:paraId="1998FCBA" w14:textId="77777777" w:rsidR="00B65600" w:rsidRPr="00B4057E" w:rsidRDefault="00B65600" w:rsidP="00B65600">
      <w:pPr>
        <w:pStyle w:val="BodyText"/>
        <w:spacing w:line="360" w:lineRule="auto"/>
        <w:ind w:left="360"/>
        <w:jc w:val="both"/>
        <w:rPr>
          <w:rFonts w:ascii="Times New Roman" w:hAnsi="Times New Roman" w:cs="Times New Roman"/>
          <w:bCs/>
          <w:color w:val="000000" w:themeColor="text1"/>
          <w:sz w:val="24"/>
          <w:szCs w:val="24"/>
          <w:u w:val="single"/>
        </w:rPr>
      </w:pPr>
      <w:r w:rsidRPr="003A22DA">
        <w:rPr>
          <w:rFonts w:ascii="Times New Roman" w:hAnsi="Times New Roman" w:cs="Times New Roman"/>
          <w:bCs/>
          <w:color w:val="000000" w:themeColor="text1"/>
          <w:sz w:val="24"/>
          <w:szCs w:val="24"/>
        </w:rPr>
        <w:t xml:space="preserve">Wani TA, Bhat IA, </w:t>
      </w:r>
      <w:proofErr w:type="spellStart"/>
      <w:r w:rsidRPr="003A22DA">
        <w:rPr>
          <w:rFonts w:ascii="Times New Roman" w:hAnsi="Times New Roman" w:cs="Times New Roman"/>
          <w:bCs/>
          <w:color w:val="000000" w:themeColor="text1"/>
          <w:sz w:val="24"/>
          <w:szCs w:val="24"/>
        </w:rPr>
        <w:t>Guleria</w:t>
      </w:r>
      <w:proofErr w:type="spellEnd"/>
      <w:r w:rsidRPr="003A22DA">
        <w:rPr>
          <w:rFonts w:ascii="Times New Roman" w:hAnsi="Times New Roman" w:cs="Times New Roman"/>
          <w:bCs/>
          <w:color w:val="000000" w:themeColor="text1"/>
          <w:sz w:val="24"/>
          <w:szCs w:val="24"/>
        </w:rPr>
        <w:t xml:space="preserve"> K, </w:t>
      </w:r>
      <w:proofErr w:type="spellStart"/>
      <w:r w:rsidRPr="003A22DA">
        <w:rPr>
          <w:rFonts w:ascii="Times New Roman" w:hAnsi="Times New Roman" w:cs="Times New Roman"/>
          <w:bCs/>
          <w:color w:val="000000" w:themeColor="text1"/>
          <w:sz w:val="24"/>
          <w:szCs w:val="24"/>
        </w:rPr>
        <w:t>Fayaz</w:t>
      </w:r>
      <w:proofErr w:type="spellEnd"/>
      <w:r w:rsidRPr="003A22DA">
        <w:rPr>
          <w:rFonts w:ascii="Times New Roman" w:hAnsi="Times New Roman" w:cs="Times New Roman"/>
          <w:bCs/>
          <w:color w:val="000000" w:themeColor="text1"/>
          <w:sz w:val="24"/>
          <w:szCs w:val="24"/>
        </w:rPr>
        <w:t xml:space="preserve"> M, Anju T, Haritha K, Kumar A, </w:t>
      </w:r>
      <w:proofErr w:type="spellStart"/>
      <w:r w:rsidRPr="003A22DA">
        <w:rPr>
          <w:rFonts w:ascii="Times New Roman" w:hAnsi="Times New Roman" w:cs="Times New Roman"/>
          <w:bCs/>
          <w:color w:val="000000" w:themeColor="text1"/>
          <w:sz w:val="24"/>
          <w:szCs w:val="24"/>
        </w:rPr>
        <w:t>Kaloo</w:t>
      </w:r>
      <w:proofErr w:type="spellEnd"/>
      <w:r w:rsidRPr="003A22DA">
        <w:rPr>
          <w:rFonts w:ascii="Times New Roman" w:hAnsi="Times New Roman" w:cs="Times New Roman"/>
          <w:bCs/>
          <w:color w:val="000000" w:themeColor="text1"/>
          <w:sz w:val="24"/>
          <w:szCs w:val="24"/>
        </w:rPr>
        <w:t xml:space="preserve"> ZA. (2022). Phytochemicals: Diversity, Sources and Their Roles. Phytochemical Genomics. Springer, Singapore. </w:t>
      </w:r>
      <w:hyperlink r:id="rId43" w:history="1">
        <w:r w:rsidRPr="007C1E01">
          <w:rPr>
            <w:rStyle w:val="Hyperlink"/>
            <w:rFonts w:ascii="Times New Roman" w:hAnsi="Times New Roman" w:cs="Times New Roman"/>
            <w:bCs/>
            <w:sz w:val="24"/>
            <w:szCs w:val="24"/>
          </w:rPr>
          <w:t>https://doi.org/10.1007/978-981-19-5779-6</w:t>
        </w:r>
      </w:hyperlink>
    </w:p>
    <w:p w14:paraId="1D243048" w14:textId="77777777" w:rsidR="00B65600" w:rsidRPr="00BE6878" w:rsidRDefault="00B65600" w:rsidP="00B65600">
      <w:pPr>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bCs/>
          <w:color w:val="000000" w:themeColor="text1"/>
          <w:sz w:val="24"/>
          <w:szCs w:val="24"/>
        </w:rPr>
        <w:t xml:space="preserve">Yehia, R. S., &amp; </w:t>
      </w:r>
      <w:proofErr w:type="spellStart"/>
      <w:r w:rsidRPr="00BE6878">
        <w:rPr>
          <w:rFonts w:ascii="Times New Roman" w:hAnsi="Times New Roman" w:cs="Times New Roman"/>
          <w:bCs/>
          <w:color w:val="000000" w:themeColor="text1"/>
          <w:sz w:val="24"/>
          <w:szCs w:val="24"/>
        </w:rPr>
        <w:t>Altwaim</w:t>
      </w:r>
      <w:proofErr w:type="spellEnd"/>
      <w:r w:rsidRPr="00BE6878">
        <w:rPr>
          <w:rFonts w:ascii="Times New Roman" w:hAnsi="Times New Roman" w:cs="Times New Roman"/>
          <w:bCs/>
          <w:color w:val="000000" w:themeColor="text1"/>
          <w:sz w:val="24"/>
          <w:szCs w:val="24"/>
        </w:rPr>
        <w:t xml:space="preserve">, S. A. (2023). An insight into </w:t>
      </w:r>
      <w:r w:rsidRPr="00BE6878">
        <w:rPr>
          <w:rFonts w:ascii="Times New Roman" w:hAnsi="Times New Roman" w:cs="Times New Roman"/>
          <w:bCs/>
          <w:i/>
          <w:color w:val="000000" w:themeColor="text1"/>
          <w:sz w:val="24"/>
          <w:szCs w:val="24"/>
        </w:rPr>
        <w:t>in vitro</w:t>
      </w:r>
      <w:r w:rsidRPr="00BE6878">
        <w:rPr>
          <w:rFonts w:ascii="Times New Roman" w:hAnsi="Times New Roman" w:cs="Times New Roman"/>
          <w:bCs/>
          <w:color w:val="000000" w:themeColor="text1"/>
          <w:sz w:val="24"/>
          <w:szCs w:val="24"/>
        </w:rPr>
        <w:t xml:space="preserve"> antioxidant, antimicrobial, cytotoxic, and apoptosis induction potential of </w:t>
      </w:r>
      <w:proofErr w:type="spellStart"/>
      <w:r w:rsidRPr="00BE6878">
        <w:rPr>
          <w:rFonts w:ascii="Times New Roman" w:hAnsi="Times New Roman" w:cs="Times New Roman"/>
          <w:bCs/>
          <w:color w:val="000000" w:themeColor="text1"/>
          <w:sz w:val="24"/>
          <w:szCs w:val="24"/>
        </w:rPr>
        <w:t>mangiferin</w:t>
      </w:r>
      <w:proofErr w:type="spellEnd"/>
      <w:r w:rsidRPr="00BE6878">
        <w:rPr>
          <w:rFonts w:ascii="Times New Roman" w:hAnsi="Times New Roman" w:cs="Times New Roman"/>
          <w:bCs/>
          <w:color w:val="000000" w:themeColor="text1"/>
          <w:sz w:val="24"/>
          <w:szCs w:val="24"/>
        </w:rPr>
        <w:t xml:space="preserve">, a bioactive compound derived from </w:t>
      </w:r>
      <w:r w:rsidRPr="00BE6878">
        <w:rPr>
          <w:rFonts w:ascii="Times New Roman" w:hAnsi="Times New Roman" w:cs="Times New Roman"/>
          <w:bCs/>
          <w:i/>
          <w:color w:val="000000" w:themeColor="text1"/>
          <w:sz w:val="24"/>
          <w:szCs w:val="24"/>
        </w:rPr>
        <w:t>Mangifera indica</w:t>
      </w:r>
      <w:r w:rsidRPr="00BE6878">
        <w:rPr>
          <w:rFonts w:ascii="Times New Roman" w:hAnsi="Times New Roman" w:cs="Times New Roman"/>
          <w:bCs/>
          <w:color w:val="000000" w:themeColor="text1"/>
          <w:sz w:val="24"/>
          <w:szCs w:val="24"/>
        </w:rPr>
        <w:t xml:space="preserve">. </w:t>
      </w:r>
      <w:r w:rsidRPr="00BE6878">
        <w:rPr>
          <w:rFonts w:ascii="Times New Roman" w:hAnsi="Times New Roman" w:cs="Times New Roman"/>
          <w:bCs/>
          <w:i/>
          <w:color w:val="000000" w:themeColor="text1"/>
          <w:sz w:val="24"/>
          <w:szCs w:val="24"/>
        </w:rPr>
        <w:t>Plants, 12</w:t>
      </w:r>
      <w:r w:rsidRPr="00BE6878">
        <w:rPr>
          <w:rFonts w:ascii="Times New Roman" w:hAnsi="Times New Roman" w:cs="Times New Roman"/>
          <w:bCs/>
          <w:color w:val="000000" w:themeColor="text1"/>
          <w:sz w:val="24"/>
          <w:szCs w:val="24"/>
        </w:rPr>
        <w:t>(7), 1539.</w:t>
      </w:r>
    </w:p>
    <w:p w14:paraId="105D034A" w14:textId="77777777" w:rsidR="00B65600" w:rsidRDefault="00B65600" w:rsidP="00B65600">
      <w:pPr>
        <w:spacing w:line="360" w:lineRule="auto"/>
        <w:ind w:left="360"/>
        <w:jc w:val="both"/>
        <w:rPr>
          <w:rFonts w:ascii="Times New Roman" w:hAnsi="Times New Roman" w:cs="Times New Roman"/>
          <w:color w:val="000000" w:themeColor="text1"/>
          <w:sz w:val="24"/>
          <w:szCs w:val="24"/>
        </w:rPr>
      </w:pPr>
      <w:r w:rsidRPr="00BE6878">
        <w:rPr>
          <w:rFonts w:ascii="Times New Roman" w:hAnsi="Times New Roman" w:cs="Times New Roman"/>
          <w:color w:val="000000" w:themeColor="text1"/>
          <w:sz w:val="24"/>
          <w:szCs w:val="24"/>
        </w:rPr>
        <w:t>Yu, Q., Li, W., Liang, M., Li, G., Wu, Z., Long, J., Yuan, C., Mei, W., &amp; Xia, X. (2024). Preparation, Characterization, and Antioxidant Activities of Extracts from </w:t>
      </w:r>
      <w:r w:rsidRPr="00BE6878">
        <w:rPr>
          <w:rFonts w:ascii="Times New Roman" w:hAnsi="Times New Roman" w:cs="Times New Roman"/>
          <w:i/>
          <w:iCs/>
          <w:color w:val="000000" w:themeColor="text1"/>
          <w:sz w:val="24"/>
          <w:szCs w:val="24"/>
        </w:rPr>
        <w:t>Amygdalus persica</w:t>
      </w:r>
      <w:r w:rsidRPr="00BE6878">
        <w:rPr>
          <w:rFonts w:ascii="Times New Roman" w:hAnsi="Times New Roman" w:cs="Times New Roman"/>
          <w:color w:val="000000" w:themeColor="text1"/>
          <w:sz w:val="24"/>
          <w:szCs w:val="24"/>
        </w:rPr>
        <w:t> L. Flowers. </w:t>
      </w:r>
      <w:r w:rsidRPr="00BE6878">
        <w:rPr>
          <w:rFonts w:ascii="Times New Roman" w:hAnsi="Times New Roman" w:cs="Times New Roman"/>
          <w:i/>
          <w:iCs/>
          <w:color w:val="000000" w:themeColor="text1"/>
          <w:sz w:val="24"/>
          <w:szCs w:val="24"/>
        </w:rPr>
        <w:t>Molecules</w:t>
      </w:r>
      <w:r w:rsidRPr="00BE6878">
        <w:rPr>
          <w:rFonts w:ascii="Times New Roman" w:hAnsi="Times New Roman" w:cs="Times New Roman"/>
          <w:color w:val="000000" w:themeColor="text1"/>
          <w:sz w:val="24"/>
          <w:szCs w:val="24"/>
        </w:rPr>
        <w:t>, </w:t>
      </w:r>
      <w:r w:rsidRPr="00BE6878">
        <w:rPr>
          <w:rFonts w:ascii="Times New Roman" w:hAnsi="Times New Roman" w:cs="Times New Roman"/>
          <w:i/>
          <w:iCs/>
          <w:color w:val="000000" w:themeColor="text1"/>
          <w:sz w:val="24"/>
          <w:szCs w:val="24"/>
        </w:rPr>
        <w:t>29</w:t>
      </w:r>
      <w:r w:rsidRPr="00BE6878">
        <w:rPr>
          <w:rFonts w:ascii="Times New Roman" w:hAnsi="Times New Roman" w:cs="Times New Roman"/>
          <w:color w:val="000000" w:themeColor="text1"/>
          <w:sz w:val="24"/>
          <w:szCs w:val="24"/>
        </w:rPr>
        <w:t xml:space="preserve">(3), 633. </w:t>
      </w:r>
      <w:hyperlink r:id="rId44" w:history="1">
        <w:r w:rsidRPr="00825D66">
          <w:rPr>
            <w:rStyle w:val="Hyperlink"/>
            <w:rFonts w:ascii="Times New Roman" w:hAnsi="Times New Roman" w:cs="Times New Roman"/>
            <w:sz w:val="24"/>
            <w:szCs w:val="24"/>
          </w:rPr>
          <w:t>https://doi.org/10.3390/molecules29030633</w:t>
        </w:r>
      </w:hyperlink>
      <w:r w:rsidRPr="00BE6878">
        <w:rPr>
          <w:rFonts w:ascii="Times New Roman" w:hAnsi="Times New Roman" w:cs="Times New Roman"/>
          <w:color w:val="000000" w:themeColor="text1"/>
          <w:sz w:val="24"/>
          <w:szCs w:val="24"/>
        </w:rPr>
        <w:t xml:space="preserve"> </w:t>
      </w:r>
    </w:p>
    <w:p w14:paraId="53766F39" w14:textId="77777777" w:rsidR="00A90240" w:rsidRPr="003B13AB" w:rsidRDefault="00A90240" w:rsidP="00B65600">
      <w:pPr>
        <w:pStyle w:val="Bibliography"/>
        <w:spacing w:line="360" w:lineRule="auto"/>
        <w:jc w:val="both"/>
        <w:rPr>
          <w:rFonts w:ascii="Times New Roman" w:hAnsi="Times New Roman" w:cs="Times New Roman"/>
          <w:color w:val="000000" w:themeColor="text1"/>
          <w:sz w:val="24"/>
          <w:szCs w:val="24"/>
        </w:rPr>
      </w:pPr>
    </w:p>
    <w:sectPr w:rsidR="00A90240" w:rsidRPr="003B13AB">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FA26E" w14:textId="77777777" w:rsidR="00986C34" w:rsidRDefault="00986C34" w:rsidP="00F803BE">
      <w:pPr>
        <w:spacing w:after="0" w:line="240" w:lineRule="auto"/>
      </w:pPr>
      <w:r>
        <w:separator/>
      </w:r>
    </w:p>
  </w:endnote>
  <w:endnote w:type="continuationSeparator" w:id="0">
    <w:p w14:paraId="46BAF987" w14:textId="77777777" w:rsidR="00986C34" w:rsidRDefault="00986C34" w:rsidP="00F8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E6D6A" w14:textId="77777777" w:rsidR="00F803BE" w:rsidRDefault="00F80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69B0F" w14:textId="77777777" w:rsidR="00F803BE" w:rsidRDefault="00F80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5DDB" w14:textId="77777777" w:rsidR="00F803BE" w:rsidRDefault="00F80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3AE65" w14:textId="77777777" w:rsidR="00986C34" w:rsidRDefault="00986C34" w:rsidP="00F803BE">
      <w:pPr>
        <w:spacing w:after="0" w:line="240" w:lineRule="auto"/>
      </w:pPr>
      <w:r>
        <w:separator/>
      </w:r>
    </w:p>
  </w:footnote>
  <w:footnote w:type="continuationSeparator" w:id="0">
    <w:p w14:paraId="3E23422E" w14:textId="77777777" w:rsidR="00986C34" w:rsidRDefault="00986C34" w:rsidP="00F80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29720" w14:textId="646D190D" w:rsidR="00F803BE" w:rsidRDefault="00F803BE">
    <w:pPr>
      <w:pStyle w:val="Header"/>
    </w:pPr>
    <w:r>
      <w:rPr>
        <w:noProof/>
      </w:rPr>
      <w:pict w14:anchorId="02F0A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04090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62613" w14:textId="0B8B79F4" w:rsidR="00F803BE" w:rsidRDefault="00F803BE">
    <w:pPr>
      <w:pStyle w:val="Header"/>
    </w:pPr>
    <w:r>
      <w:rPr>
        <w:noProof/>
      </w:rPr>
      <w:pict w14:anchorId="2C567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04090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A82A" w14:textId="363FAD9F" w:rsidR="00F803BE" w:rsidRDefault="00F803BE">
    <w:pPr>
      <w:pStyle w:val="Header"/>
    </w:pPr>
    <w:r>
      <w:rPr>
        <w:noProof/>
      </w:rPr>
      <w:pict w14:anchorId="4B4BC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04090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67769"/>
    <w:multiLevelType w:val="hybridMultilevel"/>
    <w:tmpl w:val="A074E9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85A"/>
    <w:rsid w:val="000C05BA"/>
    <w:rsid w:val="000C68EA"/>
    <w:rsid w:val="00171625"/>
    <w:rsid w:val="00204CD8"/>
    <w:rsid w:val="00221731"/>
    <w:rsid w:val="002D4332"/>
    <w:rsid w:val="002F12FE"/>
    <w:rsid w:val="00361D9B"/>
    <w:rsid w:val="003B13AB"/>
    <w:rsid w:val="00491DB7"/>
    <w:rsid w:val="004A0C21"/>
    <w:rsid w:val="004D7143"/>
    <w:rsid w:val="00502414"/>
    <w:rsid w:val="005274F5"/>
    <w:rsid w:val="00547315"/>
    <w:rsid w:val="00615BBB"/>
    <w:rsid w:val="006978D5"/>
    <w:rsid w:val="006D7345"/>
    <w:rsid w:val="00754AB3"/>
    <w:rsid w:val="007576C3"/>
    <w:rsid w:val="00765FD5"/>
    <w:rsid w:val="007F54E4"/>
    <w:rsid w:val="0095685A"/>
    <w:rsid w:val="00962550"/>
    <w:rsid w:val="00986C34"/>
    <w:rsid w:val="009B2E9E"/>
    <w:rsid w:val="00A73DB8"/>
    <w:rsid w:val="00A90240"/>
    <w:rsid w:val="00AE503D"/>
    <w:rsid w:val="00B233B2"/>
    <w:rsid w:val="00B27432"/>
    <w:rsid w:val="00B60FC6"/>
    <w:rsid w:val="00B65600"/>
    <w:rsid w:val="00B8342B"/>
    <w:rsid w:val="00C21F39"/>
    <w:rsid w:val="00C67137"/>
    <w:rsid w:val="00C70BFD"/>
    <w:rsid w:val="00C82C18"/>
    <w:rsid w:val="00CD2419"/>
    <w:rsid w:val="00CF3022"/>
    <w:rsid w:val="00D14E48"/>
    <w:rsid w:val="00D439A1"/>
    <w:rsid w:val="00D75EAA"/>
    <w:rsid w:val="00D760DF"/>
    <w:rsid w:val="00D80938"/>
    <w:rsid w:val="00DA5659"/>
    <w:rsid w:val="00DB7104"/>
    <w:rsid w:val="00DC118E"/>
    <w:rsid w:val="00DF0020"/>
    <w:rsid w:val="00E54747"/>
    <w:rsid w:val="00E556D2"/>
    <w:rsid w:val="00EA5389"/>
    <w:rsid w:val="00EB281D"/>
    <w:rsid w:val="00EB55A7"/>
    <w:rsid w:val="00EB5FB3"/>
    <w:rsid w:val="00EC61D4"/>
    <w:rsid w:val="00EF078D"/>
    <w:rsid w:val="00F659CC"/>
    <w:rsid w:val="00F803BE"/>
    <w:rsid w:val="00F82057"/>
    <w:rsid w:val="00F954D2"/>
    <w:rsid w:val="00F96222"/>
    <w:rsid w:val="00FC5D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38B279"/>
  <w15:chartTrackingRefBased/>
  <w15:docId w15:val="{715C28B1-9B95-4BD1-94AA-D662A7A4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4F5"/>
    <w:pPr>
      <w:spacing w:line="259" w:lineRule="auto"/>
    </w:pPr>
    <w:rPr>
      <w:sz w:val="22"/>
      <w:szCs w:val="22"/>
      <w14:ligatures w14:val="none"/>
    </w:rPr>
  </w:style>
  <w:style w:type="paragraph" w:styleId="Heading1">
    <w:name w:val="heading 1"/>
    <w:basedOn w:val="Normal"/>
    <w:next w:val="Normal"/>
    <w:link w:val="Heading1Char"/>
    <w:uiPriority w:val="9"/>
    <w:qFormat/>
    <w:rsid w:val="00956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6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68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8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8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8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68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8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8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8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85A"/>
    <w:rPr>
      <w:rFonts w:eastAsiaTheme="majorEastAsia" w:cstheme="majorBidi"/>
      <w:color w:val="272727" w:themeColor="text1" w:themeTint="D8"/>
    </w:rPr>
  </w:style>
  <w:style w:type="paragraph" w:styleId="Title">
    <w:name w:val="Title"/>
    <w:basedOn w:val="Normal"/>
    <w:next w:val="Normal"/>
    <w:link w:val="TitleChar"/>
    <w:uiPriority w:val="10"/>
    <w:qFormat/>
    <w:rsid w:val="00956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85A"/>
    <w:pPr>
      <w:spacing w:before="160"/>
      <w:jc w:val="center"/>
    </w:pPr>
    <w:rPr>
      <w:i/>
      <w:iCs/>
      <w:color w:val="404040" w:themeColor="text1" w:themeTint="BF"/>
    </w:rPr>
  </w:style>
  <w:style w:type="character" w:customStyle="1" w:styleId="QuoteChar">
    <w:name w:val="Quote Char"/>
    <w:basedOn w:val="DefaultParagraphFont"/>
    <w:link w:val="Quote"/>
    <w:uiPriority w:val="29"/>
    <w:rsid w:val="0095685A"/>
    <w:rPr>
      <w:i/>
      <w:iCs/>
      <w:color w:val="404040" w:themeColor="text1" w:themeTint="BF"/>
    </w:rPr>
  </w:style>
  <w:style w:type="paragraph" w:styleId="ListParagraph">
    <w:name w:val="List Paragraph"/>
    <w:basedOn w:val="Normal"/>
    <w:uiPriority w:val="34"/>
    <w:qFormat/>
    <w:rsid w:val="0095685A"/>
    <w:pPr>
      <w:ind w:left="720"/>
      <w:contextualSpacing/>
    </w:pPr>
  </w:style>
  <w:style w:type="character" w:styleId="IntenseEmphasis">
    <w:name w:val="Intense Emphasis"/>
    <w:basedOn w:val="DefaultParagraphFont"/>
    <w:uiPriority w:val="21"/>
    <w:qFormat/>
    <w:rsid w:val="0095685A"/>
    <w:rPr>
      <w:i/>
      <w:iCs/>
      <w:color w:val="0F4761" w:themeColor="accent1" w:themeShade="BF"/>
    </w:rPr>
  </w:style>
  <w:style w:type="paragraph" w:styleId="IntenseQuote">
    <w:name w:val="Intense Quote"/>
    <w:basedOn w:val="Normal"/>
    <w:next w:val="Normal"/>
    <w:link w:val="IntenseQuoteChar"/>
    <w:uiPriority w:val="30"/>
    <w:qFormat/>
    <w:rsid w:val="00956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85A"/>
    <w:rPr>
      <w:i/>
      <w:iCs/>
      <w:color w:val="0F4761" w:themeColor="accent1" w:themeShade="BF"/>
    </w:rPr>
  </w:style>
  <w:style w:type="character" w:styleId="IntenseReference">
    <w:name w:val="Intense Reference"/>
    <w:basedOn w:val="DefaultParagraphFont"/>
    <w:uiPriority w:val="32"/>
    <w:qFormat/>
    <w:rsid w:val="0095685A"/>
    <w:rPr>
      <w:b/>
      <w:bCs/>
      <w:smallCaps/>
      <w:color w:val="0F4761" w:themeColor="accent1" w:themeShade="BF"/>
      <w:spacing w:val="5"/>
    </w:rPr>
  </w:style>
  <w:style w:type="character" w:styleId="Hyperlink">
    <w:name w:val="Hyperlink"/>
    <w:basedOn w:val="DefaultParagraphFont"/>
    <w:uiPriority w:val="99"/>
    <w:unhideWhenUsed/>
    <w:rsid w:val="005274F5"/>
    <w:rPr>
      <w:color w:val="467886" w:themeColor="hyperlink"/>
      <w:u w:val="single"/>
    </w:rPr>
  </w:style>
  <w:style w:type="paragraph" w:styleId="Bibliography">
    <w:name w:val="Bibliography"/>
    <w:basedOn w:val="Normal"/>
    <w:next w:val="Normal"/>
    <w:uiPriority w:val="37"/>
    <w:unhideWhenUsed/>
    <w:rsid w:val="005274F5"/>
  </w:style>
  <w:style w:type="paragraph" w:styleId="BodyText">
    <w:name w:val="Body Text"/>
    <w:basedOn w:val="Normal"/>
    <w:link w:val="BodyTextChar"/>
    <w:uiPriority w:val="1"/>
    <w:qFormat/>
    <w:rsid w:val="005274F5"/>
    <w:pPr>
      <w:widowControl w:val="0"/>
      <w:autoSpaceDE w:val="0"/>
      <w:autoSpaceDN w:val="0"/>
      <w:spacing w:after="0" w:line="240" w:lineRule="auto"/>
      <w:ind w:left="23"/>
    </w:pPr>
    <w:rPr>
      <w:rFonts w:ascii="Georgia" w:eastAsia="Georgia" w:hAnsi="Georgia" w:cs="Georgia"/>
      <w:kern w:val="0"/>
      <w:sz w:val="18"/>
      <w:szCs w:val="18"/>
      <w:lang w:val="en-US"/>
    </w:rPr>
  </w:style>
  <w:style w:type="character" w:customStyle="1" w:styleId="BodyTextChar">
    <w:name w:val="Body Text Char"/>
    <w:basedOn w:val="DefaultParagraphFont"/>
    <w:link w:val="BodyText"/>
    <w:uiPriority w:val="1"/>
    <w:rsid w:val="005274F5"/>
    <w:rPr>
      <w:rFonts w:ascii="Georgia" w:eastAsia="Georgia" w:hAnsi="Georgia" w:cs="Georgia"/>
      <w:kern w:val="0"/>
      <w:sz w:val="18"/>
      <w:szCs w:val="18"/>
      <w:lang w:val="en-US"/>
      <w14:ligatures w14:val="none"/>
    </w:rPr>
  </w:style>
  <w:style w:type="paragraph" w:styleId="NormalWeb">
    <w:name w:val="Normal (Web)"/>
    <w:basedOn w:val="Normal"/>
    <w:uiPriority w:val="99"/>
    <w:unhideWhenUsed/>
    <w:rsid w:val="005274F5"/>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5274F5"/>
    <w:rPr>
      <w:i/>
      <w:iCs/>
    </w:rPr>
  </w:style>
  <w:style w:type="character" w:styleId="Strong">
    <w:name w:val="Strong"/>
    <w:basedOn w:val="DefaultParagraphFont"/>
    <w:uiPriority w:val="22"/>
    <w:qFormat/>
    <w:rsid w:val="005274F5"/>
    <w:rPr>
      <w:b/>
      <w:bCs/>
    </w:rPr>
  </w:style>
  <w:style w:type="character" w:customStyle="1" w:styleId="whitespace-normal">
    <w:name w:val="whitespace-normal"/>
    <w:basedOn w:val="DefaultParagraphFont"/>
    <w:rsid w:val="00D75EAA"/>
  </w:style>
  <w:style w:type="character" w:styleId="UnresolvedMention">
    <w:name w:val="Unresolved Mention"/>
    <w:basedOn w:val="DefaultParagraphFont"/>
    <w:uiPriority w:val="99"/>
    <w:semiHidden/>
    <w:unhideWhenUsed/>
    <w:rsid w:val="00CD2419"/>
    <w:rPr>
      <w:color w:val="605E5C"/>
      <w:shd w:val="clear" w:color="auto" w:fill="E1DFDD"/>
    </w:rPr>
  </w:style>
  <w:style w:type="paragraph" w:styleId="Header">
    <w:name w:val="header"/>
    <w:basedOn w:val="Normal"/>
    <w:link w:val="HeaderChar"/>
    <w:uiPriority w:val="99"/>
    <w:unhideWhenUsed/>
    <w:rsid w:val="00F80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3BE"/>
    <w:rPr>
      <w:sz w:val="22"/>
      <w:szCs w:val="22"/>
      <w14:ligatures w14:val="none"/>
    </w:rPr>
  </w:style>
  <w:style w:type="paragraph" w:styleId="Footer">
    <w:name w:val="footer"/>
    <w:basedOn w:val="Normal"/>
    <w:link w:val="FooterChar"/>
    <w:uiPriority w:val="99"/>
    <w:unhideWhenUsed/>
    <w:rsid w:val="00F80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3BE"/>
    <w:rPr>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3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chart" Target="charts/chart4.xml"/><Relationship Id="rId26" Type="http://schemas.openxmlformats.org/officeDocument/2006/relationships/hyperlink" Target="https://doi.org/10.1038/s41420-024-02278-8" TargetMode="External"/><Relationship Id="rId39" Type="http://schemas.openxmlformats.org/officeDocument/2006/relationships/hyperlink" Target="https://doi.org/10.3390/biomedicines11112925" TargetMode="External"/><Relationship Id="rId21" Type="http://schemas.openxmlformats.org/officeDocument/2006/relationships/chart" Target="charts/chart7.xml"/><Relationship Id="rId34" Type="http://schemas.openxmlformats.org/officeDocument/2006/relationships/hyperlink" Target="https://doi.org/10.1016/S2222-1808(12)60033-4" TargetMode="External"/><Relationship Id="rId42" Type="http://schemas.openxmlformats.org/officeDocument/2006/relationships/hyperlink" Target="https://doi.org/10.3390/foods15010108"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hart" Target="charts/chart2.xml"/><Relationship Id="rId29" Type="http://schemas.openxmlformats.org/officeDocument/2006/relationships/hyperlink" Target="https://doi.org/10.3390/pr11082248" TargetMode="External"/><Relationship Id="rId11" Type="http://schemas.openxmlformats.org/officeDocument/2006/relationships/image" Target="media/image5.png"/><Relationship Id="rId24" Type="http://schemas.openxmlformats.org/officeDocument/2006/relationships/hyperlink" Target="https://doi.org/10.3390/molecules27041326" TargetMode="External"/><Relationship Id="rId32" Type="http://schemas.openxmlformats.org/officeDocument/2006/relationships/hyperlink" Target="https://doi.org/10.1016/j.sjbs.2021.09.047" TargetMode="External"/><Relationship Id="rId37" Type="http://schemas.openxmlformats.org/officeDocument/2006/relationships/hyperlink" Target="https://doi.org/10.1016/j.ultsonch.2022.105964" TargetMode="External"/><Relationship Id="rId40" Type="http://schemas.openxmlformats.org/officeDocument/2006/relationships/hyperlink" Target="https://doi.org/10.1016/j.ijbiomac.2023.123470"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oi.org/10.1371/journal.pone.0132175" TargetMode="External"/><Relationship Id="rId28" Type="http://schemas.openxmlformats.org/officeDocument/2006/relationships/hyperlink" Target="https://doi.org/10.3390/molecules15107313" TargetMode="External"/><Relationship Id="rId36" Type="http://schemas.openxmlformats.org/officeDocument/2006/relationships/hyperlink" Target="https://doi.org/10.3390/ijms23137273" TargetMode="External"/><Relationship Id="rId49" Type="http://schemas.openxmlformats.org/officeDocument/2006/relationships/header" Target="header3.xml"/><Relationship Id="rId10" Type="http://schemas.openxmlformats.org/officeDocument/2006/relationships/image" Target="media/image4.emf"/><Relationship Id="rId19" Type="http://schemas.openxmlformats.org/officeDocument/2006/relationships/chart" Target="charts/chart5.xml"/><Relationship Id="rId31" Type="http://schemas.openxmlformats.org/officeDocument/2006/relationships/hyperlink" Target="https://doi.org/10.1186/s12944-017-0449-y" TargetMode="External"/><Relationship Id="rId44" Type="http://schemas.openxmlformats.org/officeDocument/2006/relationships/hyperlink" Target="https://doi.org/10.3390/molecules29030633"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9.tiff"/><Relationship Id="rId27" Type="http://schemas.openxmlformats.org/officeDocument/2006/relationships/hyperlink" Target="https://doi.org/10.1016/j.meatsci.2015.08.017" TargetMode="External"/><Relationship Id="rId30" Type="http://schemas.openxmlformats.org/officeDocument/2006/relationships/hyperlink" Target="https://doi.org/10.3390/ijms21031131" TargetMode="External"/><Relationship Id="rId35" Type="http://schemas.openxmlformats.org/officeDocument/2006/relationships/hyperlink" Target="https://doi.org/10.1186/1749-8546-5-3" TargetMode="External"/><Relationship Id="rId43" Type="http://schemas.openxmlformats.org/officeDocument/2006/relationships/hyperlink" Target="https://doi.org/10.1007/978-981-19-5779-6" TargetMode="External"/><Relationship Id="rId48" Type="http://schemas.openxmlformats.org/officeDocument/2006/relationships/footer" Target="footer2.xml"/><Relationship Id="rId8" Type="http://schemas.openxmlformats.org/officeDocument/2006/relationships/image" Target="media/image2.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chart" Target="charts/chart3.xml"/><Relationship Id="rId25" Type="http://schemas.openxmlformats.org/officeDocument/2006/relationships/hyperlink" Target="https://doi.org/10.1016/s0076-6879(99)99005-5" TargetMode="External"/><Relationship Id="rId33" Type="http://schemas.openxmlformats.org/officeDocument/2006/relationships/hyperlink" Target="https://doi.org/10.3390/ijms22094642" TargetMode="External"/><Relationship Id="rId38" Type="http://schemas.openxmlformats.org/officeDocument/2006/relationships/hyperlink" Target="https://doi.org/10.56557/upjoz/2026/v47i15436" TargetMode="External"/><Relationship Id="rId46" Type="http://schemas.openxmlformats.org/officeDocument/2006/relationships/header" Target="header2.xml"/><Relationship Id="rId20" Type="http://schemas.openxmlformats.org/officeDocument/2006/relationships/chart" Target="charts/chart6.xml"/><Relationship Id="rId41" Type="http://schemas.openxmlformats.org/officeDocument/2006/relationships/hyperlink" Target="https://doi.org/10.23880/jonam-16000431"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Welcome\Desktop\anti%20oxidant%20result%208.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Welcome\Desktop\anti%20oxidant%20result%208.1.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Monisha\Desktop\anti%20oxidant%20result%2021.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Welcome\Desktop\anti%20oxidant%20result%208.1.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nisha\Desktop\anti%20oxidant%20result%2021.2.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Welcome\Desktop\anti%20oxidant%20result%208.1.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Welcome\Desktop\anti%20oxidant%20result%208.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0" baseline="0">
                <a:solidFill>
                  <a:sysClr val="windowText" lastClr="000000"/>
                </a:solidFill>
              </a:rPr>
              <a:t>DPPH radical scavenging assay</a:t>
            </a:r>
          </a:p>
        </c:rich>
      </c:tx>
      <c:overlay val="0"/>
      <c:spPr>
        <a:noFill/>
        <a:ln>
          <a:noFill/>
        </a:ln>
        <a:effectLst/>
      </c:spPr>
    </c:title>
    <c:autoTitleDeleted val="0"/>
    <c:plotArea>
      <c:layout>
        <c:manualLayout>
          <c:layoutTarget val="inner"/>
          <c:xMode val="edge"/>
          <c:yMode val="edge"/>
          <c:x val="0.12488911615315608"/>
          <c:y val="0.16360534796160389"/>
          <c:w val="0.84470013851365411"/>
          <c:h val="0.52687080851938972"/>
        </c:manualLayout>
      </c:layout>
      <c:barChart>
        <c:barDir val="col"/>
        <c:grouping val="clustered"/>
        <c:varyColors val="0"/>
        <c:ser>
          <c:idx val="0"/>
          <c:order val="0"/>
          <c:tx>
            <c:strRef>
              <c:f>DPPH!$O$4</c:f>
              <c:strCache>
                <c:ptCount val="1"/>
                <c:pt idx="0">
                  <c:v>MANGIFERIN</c:v>
                </c:pt>
              </c:strCache>
            </c:strRef>
          </c:tx>
          <c:spPr>
            <a:solidFill>
              <a:schemeClr val="bg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DPPH!$P$3:$T$3</c:f>
              <c:numCache>
                <c:formatCode>General</c:formatCode>
                <c:ptCount val="5"/>
                <c:pt idx="0">
                  <c:v>10</c:v>
                </c:pt>
                <c:pt idx="1">
                  <c:v>20</c:v>
                </c:pt>
                <c:pt idx="2">
                  <c:v>30</c:v>
                </c:pt>
                <c:pt idx="3">
                  <c:v>40</c:v>
                </c:pt>
                <c:pt idx="4">
                  <c:v>50</c:v>
                </c:pt>
              </c:numCache>
            </c:numRef>
          </c:cat>
          <c:val>
            <c:numRef>
              <c:f>DPPH!$P$4:$T$4</c:f>
              <c:numCache>
                <c:formatCode>General</c:formatCode>
                <c:ptCount val="5"/>
                <c:pt idx="0">
                  <c:v>17.176890000000057</c:v>
                </c:pt>
                <c:pt idx="1">
                  <c:v>27.216899999999999</c:v>
                </c:pt>
                <c:pt idx="2">
                  <c:v>35.741410000000002</c:v>
                </c:pt>
                <c:pt idx="3">
                  <c:v>53.612120000000012</c:v>
                </c:pt>
                <c:pt idx="4">
                  <c:v>71.287369999999996</c:v>
                </c:pt>
              </c:numCache>
            </c:numRef>
          </c:val>
          <c:extLst>
            <c:ext xmlns:c16="http://schemas.microsoft.com/office/drawing/2014/chart" uri="{C3380CC4-5D6E-409C-BE32-E72D297353CC}">
              <c16:uniqueId val="{00000000-5855-4304-9514-3B50CF3EABCA}"/>
            </c:ext>
          </c:extLst>
        </c:ser>
        <c:ser>
          <c:idx val="1"/>
          <c:order val="1"/>
          <c:tx>
            <c:strRef>
              <c:f>DPPH!$O$5</c:f>
              <c:strCache>
                <c:ptCount val="1"/>
                <c:pt idx="0">
                  <c:v>ASCORBIC ACID</c:v>
                </c:pt>
              </c:strCache>
            </c:strRef>
          </c:tx>
          <c:spPr>
            <a:solidFill>
              <a:schemeClr val="accent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DPPH!$P$3:$T$3</c:f>
              <c:numCache>
                <c:formatCode>General</c:formatCode>
                <c:ptCount val="5"/>
                <c:pt idx="0">
                  <c:v>10</c:v>
                </c:pt>
                <c:pt idx="1">
                  <c:v>20</c:v>
                </c:pt>
                <c:pt idx="2">
                  <c:v>30</c:v>
                </c:pt>
                <c:pt idx="3">
                  <c:v>40</c:v>
                </c:pt>
                <c:pt idx="4">
                  <c:v>50</c:v>
                </c:pt>
              </c:numCache>
            </c:numRef>
          </c:cat>
          <c:val>
            <c:numRef>
              <c:f>DPPH!$P$5:$T$5</c:f>
              <c:numCache>
                <c:formatCode>General</c:formatCode>
                <c:ptCount val="5"/>
                <c:pt idx="0">
                  <c:v>23.338450000000005</c:v>
                </c:pt>
                <c:pt idx="1">
                  <c:v>33.131420000000006</c:v>
                </c:pt>
                <c:pt idx="2">
                  <c:v>42.973940000000006</c:v>
                </c:pt>
                <c:pt idx="3">
                  <c:v>66.273870000000002</c:v>
                </c:pt>
                <c:pt idx="4">
                  <c:v>76.56241</c:v>
                </c:pt>
              </c:numCache>
            </c:numRef>
          </c:val>
          <c:extLst>
            <c:ext xmlns:c16="http://schemas.microsoft.com/office/drawing/2014/chart" uri="{C3380CC4-5D6E-409C-BE32-E72D297353CC}">
              <c16:uniqueId val="{00000001-5855-4304-9514-3B50CF3EABCA}"/>
            </c:ext>
          </c:extLst>
        </c:ser>
        <c:dLbls>
          <c:showLegendKey val="0"/>
          <c:showVal val="0"/>
          <c:showCatName val="0"/>
          <c:showSerName val="0"/>
          <c:showPercent val="0"/>
          <c:showBubbleSize val="0"/>
        </c:dLbls>
        <c:gapWidth val="219"/>
        <c:overlap val="-27"/>
        <c:axId val="82156160"/>
        <c:axId val="84768256"/>
      </c:barChart>
      <c:catAx>
        <c:axId val="82156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baseline="0">
                    <a:solidFill>
                      <a:schemeClr val="tx1"/>
                    </a:solidFill>
                  </a:rPr>
                  <a:t>Concentration (</a:t>
                </a:r>
                <a:r>
                  <a:rPr lang="el-GR" b="1" baseline="0">
                    <a:solidFill>
                      <a:schemeClr val="tx1"/>
                    </a:solidFill>
                  </a:rPr>
                  <a:t>μ</a:t>
                </a:r>
                <a:r>
                  <a:rPr lang="en-US" b="1" baseline="0">
                    <a:solidFill>
                      <a:schemeClr val="tx1"/>
                    </a:solidFill>
                  </a:rPr>
                  <a:t>g/ml)</a:t>
                </a:r>
                <a:endParaRPr lang="en-IN" b="1" baseline="0">
                  <a:solidFill>
                    <a:schemeClr val="tx1"/>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768256"/>
        <c:crosses val="autoZero"/>
        <c:auto val="1"/>
        <c:lblAlgn val="ctr"/>
        <c:lblOffset val="100"/>
        <c:noMultiLvlLbl val="0"/>
      </c:catAx>
      <c:valAx>
        <c:axId val="84768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b="1" baseline="0">
                    <a:solidFill>
                      <a:sysClr val="windowText" lastClr="000000"/>
                    </a:solidFill>
                  </a:rPr>
                  <a:t>Percentage of inhibition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156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aseline="0">
                <a:solidFill>
                  <a:schemeClr val="tx1"/>
                </a:solidFill>
              </a:rPr>
              <a:t>ABTS radical scavenging assay </a:t>
            </a:r>
          </a:p>
        </c:rich>
      </c:tx>
      <c:overlay val="0"/>
      <c:spPr>
        <a:noFill/>
        <a:ln>
          <a:noFill/>
        </a:ln>
        <a:effectLst/>
      </c:spPr>
    </c:title>
    <c:autoTitleDeleted val="0"/>
    <c:plotArea>
      <c:layout/>
      <c:barChart>
        <c:barDir val="col"/>
        <c:grouping val="clustered"/>
        <c:varyColors val="0"/>
        <c:ser>
          <c:idx val="0"/>
          <c:order val="0"/>
          <c:tx>
            <c:strRef>
              <c:f>ABTS!$O$3</c:f>
              <c:strCache>
                <c:ptCount val="1"/>
                <c:pt idx="0">
                  <c:v>MANGIFERIN</c:v>
                </c:pt>
              </c:strCache>
            </c:strRef>
          </c:tx>
          <c:spPr>
            <a:solidFill>
              <a:schemeClr val="bg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ABTS!$P$2:$T$2</c:f>
              <c:numCache>
                <c:formatCode>General</c:formatCode>
                <c:ptCount val="5"/>
                <c:pt idx="0">
                  <c:v>10</c:v>
                </c:pt>
                <c:pt idx="1">
                  <c:v>20</c:v>
                </c:pt>
                <c:pt idx="2">
                  <c:v>30</c:v>
                </c:pt>
                <c:pt idx="3">
                  <c:v>40</c:v>
                </c:pt>
                <c:pt idx="4">
                  <c:v>50</c:v>
                </c:pt>
              </c:numCache>
            </c:numRef>
          </c:cat>
          <c:val>
            <c:numRef>
              <c:f>ABTS!$P$3:$T$3</c:f>
              <c:numCache>
                <c:formatCode>General</c:formatCode>
                <c:ptCount val="5"/>
                <c:pt idx="0">
                  <c:v>17.54627</c:v>
                </c:pt>
                <c:pt idx="1">
                  <c:v>25.84665</c:v>
                </c:pt>
                <c:pt idx="2">
                  <c:v>36.902470000000001</c:v>
                </c:pt>
                <c:pt idx="3">
                  <c:v>59.058630000000001</c:v>
                </c:pt>
                <c:pt idx="4">
                  <c:v>71.096670000000003</c:v>
                </c:pt>
              </c:numCache>
            </c:numRef>
          </c:val>
          <c:extLst>
            <c:ext xmlns:c16="http://schemas.microsoft.com/office/drawing/2014/chart" uri="{C3380CC4-5D6E-409C-BE32-E72D297353CC}">
              <c16:uniqueId val="{00000000-B107-49CD-BA60-47B3CA0E0825}"/>
            </c:ext>
          </c:extLst>
        </c:ser>
        <c:ser>
          <c:idx val="1"/>
          <c:order val="1"/>
          <c:tx>
            <c:strRef>
              <c:f>ABTS!$O$4</c:f>
              <c:strCache>
                <c:ptCount val="1"/>
                <c:pt idx="0">
                  <c:v>ASCORBIC ACID</c:v>
                </c:pt>
              </c:strCache>
            </c:strRef>
          </c:tx>
          <c:spPr>
            <a:solidFill>
              <a:schemeClr val="accent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ABTS!$P$2:$T$2</c:f>
              <c:numCache>
                <c:formatCode>General</c:formatCode>
                <c:ptCount val="5"/>
                <c:pt idx="0">
                  <c:v>10</c:v>
                </c:pt>
                <c:pt idx="1">
                  <c:v>20</c:v>
                </c:pt>
                <c:pt idx="2">
                  <c:v>30</c:v>
                </c:pt>
                <c:pt idx="3">
                  <c:v>40</c:v>
                </c:pt>
                <c:pt idx="4">
                  <c:v>50</c:v>
                </c:pt>
              </c:numCache>
            </c:numRef>
          </c:cat>
          <c:val>
            <c:numRef>
              <c:f>ABTS!$P$4:$T$4</c:f>
              <c:numCache>
                <c:formatCode>General</c:formatCode>
                <c:ptCount val="5"/>
                <c:pt idx="0">
                  <c:v>18.523250000000001</c:v>
                </c:pt>
                <c:pt idx="1">
                  <c:v>30.666049999999938</c:v>
                </c:pt>
                <c:pt idx="2">
                  <c:v>52.583869999999997</c:v>
                </c:pt>
                <c:pt idx="3">
                  <c:v>65.753420000000006</c:v>
                </c:pt>
                <c:pt idx="4">
                  <c:v>79.318469999999991</c:v>
                </c:pt>
              </c:numCache>
            </c:numRef>
          </c:val>
          <c:extLst>
            <c:ext xmlns:c16="http://schemas.microsoft.com/office/drawing/2014/chart" uri="{C3380CC4-5D6E-409C-BE32-E72D297353CC}">
              <c16:uniqueId val="{00000001-B107-49CD-BA60-47B3CA0E0825}"/>
            </c:ext>
          </c:extLst>
        </c:ser>
        <c:dLbls>
          <c:showLegendKey val="0"/>
          <c:showVal val="0"/>
          <c:showCatName val="0"/>
          <c:showSerName val="0"/>
          <c:showPercent val="0"/>
          <c:showBubbleSize val="0"/>
        </c:dLbls>
        <c:gapWidth val="219"/>
        <c:overlap val="-27"/>
        <c:axId val="226365440"/>
        <c:axId val="226367360"/>
      </c:barChart>
      <c:catAx>
        <c:axId val="226365440"/>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1" i="0" u="none" strike="noStrike" kern="1200" baseline="0">
                    <a:solidFill>
                      <a:schemeClr val="tx1"/>
                    </a:solidFill>
                  </a:rPr>
                  <a:t>Concentration (</a:t>
                </a:r>
                <a:r>
                  <a:rPr lang="el-GR" sz="1000" b="1" i="0" u="none" strike="noStrike" kern="1200" baseline="0">
                    <a:solidFill>
                      <a:schemeClr val="tx1"/>
                    </a:solidFill>
                  </a:rPr>
                  <a:t>μ</a:t>
                </a:r>
                <a:r>
                  <a:rPr lang="en-US" sz="1000" b="1" i="0" u="none" strike="noStrike" kern="1200" baseline="0">
                    <a:solidFill>
                      <a:schemeClr val="tx1"/>
                    </a:solidFill>
                  </a:rPr>
                  <a:t>g/ml)</a:t>
                </a:r>
                <a:endParaRPr lang="en-IN" sz="1000" b="1" i="0" u="none" strike="noStrike" kern="1200" baseline="0">
                  <a:solidFill>
                    <a:schemeClr val="tx1"/>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367360"/>
        <c:crosses val="autoZero"/>
        <c:auto val="1"/>
        <c:lblAlgn val="ctr"/>
        <c:lblOffset val="100"/>
        <c:noMultiLvlLbl val="0"/>
      </c:catAx>
      <c:valAx>
        <c:axId val="226367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solidFill>
                  </a:rPr>
                  <a:t>Percentage of inhibition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365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aseline="0">
                <a:solidFill>
                  <a:schemeClr val="tx1"/>
                </a:solidFill>
              </a:rPr>
              <a:t>Hydroxyl radical scavenging assay</a:t>
            </a:r>
          </a:p>
        </c:rich>
      </c:tx>
      <c:layout>
        <c:manualLayout>
          <c:xMode val="edge"/>
          <c:yMode val="edge"/>
          <c:x val="0.24087489063867015"/>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'[anti oxidant result 21.2.xlsx]HYROXYL'!$O$3</c:f>
              <c:strCache>
                <c:ptCount val="1"/>
                <c:pt idx="0">
                  <c:v>MANGIFERIN</c:v>
                </c:pt>
              </c:strCache>
            </c:strRef>
          </c:tx>
          <c:spPr>
            <a:solidFill>
              <a:schemeClr val="bg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'[anti oxidant result 21.2.xlsx]HYROXYL'!$P$2:$T$2</c:f>
              <c:numCache>
                <c:formatCode>General</c:formatCode>
                <c:ptCount val="5"/>
                <c:pt idx="0">
                  <c:v>10</c:v>
                </c:pt>
                <c:pt idx="1">
                  <c:v>20</c:v>
                </c:pt>
                <c:pt idx="2">
                  <c:v>30</c:v>
                </c:pt>
                <c:pt idx="3">
                  <c:v>40</c:v>
                </c:pt>
                <c:pt idx="4">
                  <c:v>50</c:v>
                </c:pt>
              </c:numCache>
            </c:numRef>
          </c:cat>
          <c:val>
            <c:numRef>
              <c:f>'[anti oxidant result 21.2.xlsx]HYROXYL'!$P$3:$T$3</c:f>
              <c:numCache>
                <c:formatCode>General</c:formatCode>
                <c:ptCount val="5"/>
                <c:pt idx="0">
                  <c:v>16.434090000000001</c:v>
                </c:pt>
                <c:pt idx="1">
                  <c:v>24.558319999999998</c:v>
                </c:pt>
                <c:pt idx="2">
                  <c:v>45.794400000000003</c:v>
                </c:pt>
                <c:pt idx="3">
                  <c:v>60.47878</c:v>
                </c:pt>
                <c:pt idx="4">
                  <c:v>67.109250000000003</c:v>
                </c:pt>
              </c:numCache>
            </c:numRef>
          </c:val>
          <c:extLst>
            <c:ext xmlns:c16="http://schemas.microsoft.com/office/drawing/2014/chart" uri="{C3380CC4-5D6E-409C-BE32-E72D297353CC}">
              <c16:uniqueId val="{00000000-A209-4274-915E-6E796D6A1960}"/>
            </c:ext>
          </c:extLst>
        </c:ser>
        <c:ser>
          <c:idx val="1"/>
          <c:order val="1"/>
          <c:tx>
            <c:strRef>
              <c:f>'[anti oxidant result 21.2.xlsx]HYROXYL'!$O$4</c:f>
              <c:strCache>
                <c:ptCount val="1"/>
                <c:pt idx="0">
                  <c:v>ASCORBIC ACID</c:v>
                </c:pt>
              </c:strCache>
            </c:strRef>
          </c:tx>
          <c:spPr>
            <a:solidFill>
              <a:schemeClr val="accent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'[anti oxidant result 21.2.xlsx]HYROXYL'!$P$2:$T$2</c:f>
              <c:numCache>
                <c:formatCode>General</c:formatCode>
                <c:ptCount val="5"/>
                <c:pt idx="0">
                  <c:v>10</c:v>
                </c:pt>
                <c:pt idx="1">
                  <c:v>20</c:v>
                </c:pt>
                <c:pt idx="2">
                  <c:v>30</c:v>
                </c:pt>
                <c:pt idx="3">
                  <c:v>40</c:v>
                </c:pt>
                <c:pt idx="4">
                  <c:v>50</c:v>
                </c:pt>
              </c:numCache>
            </c:numRef>
          </c:cat>
          <c:val>
            <c:numRef>
              <c:f>'[anti oxidant result 21.2.xlsx]HYROXYL'!$P$4:$T$4</c:f>
              <c:numCache>
                <c:formatCode>General</c:formatCode>
                <c:ptCount val="5"/>
                <c:pt idx="0">
                  <c:v>21.936540000000001</c:v>
                </c:pt>
                <c:pt idx="1">
                  <c:v>32.564419999999998</c:v>
                </c:pt>
                <c:pt idx="2">
                  <c:v>47.892989999999998</c:v>
                </c:pt>
                <c:pt idx="3">
                  <c:v>66.266180000000006</c:v>
                </c:pt>
                <c:pt idx="4">
                  <c:v>75.523200000000003</c:v>
                </c:pt>
              </c:numCache>
            </c:numRef>
          </c:val>
          <c:extLst>
            <c:ext xmlns:c16="http://schemas.microsoft.com/office/drawing/2014/chart" uri="{C3380CC4-5D6E-409C-BE32-E72D297353CC}">
              <c16:uniqueId val="{00000001-A209-4274-915E-6E796D6A1960}"/>
            </c:ext>
          </c:extLst>
        </c:ser>
        <c:dLbls>
          <c:showLegendKey val="0"/>
          <c:showVal val="0"/>
          <c:showCatName val="0"/>
          <c:showSerName val="0"/>
          <c:showPercent val="0"/>
          <c:showBubbleSize val="0"/>
        </c:dLbls>
        <c:gapWidth val="219"/>
        <c:overlap val="-27"/>
        <c:axId val="630932175"/>
        <c:axId val="630933615"/>
      </c:barChart>
      <c:catAx>
        <c:axId val="6309321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chemeClr val="tx1"/>
                    </a:solidFill>
                  </a:rPr>
                  <a:t>Concentration (</a:t>
                </a:r>
                <a:r>
                  <a:rPr lang="el-GR" sz="1000" b="1" i="0" u="none" strike="noStrike" kern="1200" baseline="0">
                    <a:solidFill>
                      <a:schemeClr val="tx1"/>
                    </a:solidFill>
                  </a:rPr>
                  <a:t>μ</a:t>
                </a:r>
                <a:r>
                  <a:rPr lang="en-US" sz="1000" b="1" i="0" u="none" strike="noStrike" kern="1200" baseline="0">
                    <a:solidFill>
                      <a:schemeClr val="tx1"/>
                    </a:solidFill>
                  </a:rPr>
                  <a:t>g/ml)</a:t>
                </a:r>
                <a:endParaRPr lang="en-IN"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30933615"/>
        <c:crosses val="autoZero"/>
        <c:auto val="1"/>
        <c:lblAlgn val="ctr"/>
        <c:lblOffset val="100"/>
        <c:noMultiLvlLbl val="0"/>
      </c:catAx>
      <c:valAx>
        <c:axId val="6309336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solidFill>
                  </a:rPr>
                  <a:t>Percentage of inhibition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09321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aseline="0">
                <a:solidFill>
                  <a:schemeClr val="tx1"/>
                </a:solidFill>
              </a:rPr>
              <a:t>Superoxide anion assay</a:t>
            </a:r>
          </a:p>
        </c:rich>
      </c:tx>
      <c:overlay val="0"/>
      <c:spPr>
        <a:noFill/>
        <a:ln>
          <a:noFill/>
        </a:ln>
        <a:effectLst/>
      </c:spPr>
    </c:title>
    <c:autoTitleDeleted val="0"/>
    <c:plotArea>
      <c:layout/>
      <c:barChart>
        <c:barDir val="col"/>
        <c:grouping val="clustered"/>
        <c:varyColors val="0"/>
        <c:ser>
          <c:idx val="0"/>
          <c:order val="0"/>
          <c:tx>
            <c:strRef>
              <c:f>'superoxide radical'!$O$5</c:f>
              <c:strCache>
                <c:ptCount val="1"/>
                <c:pt idx="0">
                  <c:v>MANGIFERIN</c:v>
                </c:pt>
              </c:strCache>
            </c:strRef>
          </c:tx>
          <c:spPr>
            <a:solidFill>
              <a:schemeClr val="bg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'superoxide radical'!$P$4:$T$4</c:f>
              <c:numCache>
                <c:formatCode>General</c:formatCode>
                <c:ptCount val="5"/>
                <c:pt idx="0">
                  <c:v>10</c:v>
                </c:pt>
                <c:pt idx="1">
                  <c:v>20</c:v>
                </c:pt>
                <c:pt idx="2">
                  <c:v>30</c:v>
                </c:pt>
                <c:pt idx="3">
                  <c:v>40</c:v>
                </c:pt>
                <c:pt idx="4">
                  <c:v>50</c:v>
                </c:pt>
              </c:numCache>
            </c:numRef>
          </c:cat>
          <c:val>
            <c:numRef>
              <c:f>'superoxide radical'!$P$5:$T$5</c:f>
              <c:numCache>
                <c:formatCode>General</c:formatCode>
                <c:ptCount val="5"/>
                <c:pt idx="0">
                  <c:v>17.81935000000005</c:v>
                </c:pt>
                <c:pt idx="1">
                  <c:v>30.269189999999938</c:v>
                </c:pt>
                <c:pt idx="2">
                  <c:v>48.946740000000005</c:v>
                </c:pt>
                <c:pt idx="3">
                  <c:v>59.368050000000011</c:v>
                </c:pt>
                <c:pt idx="4">
                  <c:v>68.649699999999996</c:v>
                </c:pt>
              </c:numCache>
            </c:numRef>
          </c:val>
          <c:extLst>
            <c:ext xmlns:c16="http://schemas.microsoft.com/office/drawing/2014/chart" uri="{C3380CC4-5D6E-409C-BE32-E72D297353CC}">
              <c16:uniqueId val="{00000000-7946-463B-8A3D-826BAF60D064}"/>
            </c:ext>
          </c:extLst>
        </c:ser>
        <c:ser>
          <c:idx val="1"/>
          <c:order val="1"/>
          <c:tx>
            <c:strRef>
              <c:f>'superoxide radical'!$O$6</c:f>
              <c:strCache>
                <c:ptCount val="1"/>
                <c:pt idx="0">
                  <c:v>ASCORBIC ACID</c:v>
                </c:pt>
              </c:strCache>
            </c:strRef>
          </c:tx>
          <c:spPr>
            <a:solidFill>
              <a:schemeClr val="accent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'superoxide radical'!$P$4:$T$4</c:f>
              <c:numCache>
                <c:formatCode>General</c:formatCode>
                <c:ptCount val="5"/>
                <c:pt idx="0">
                  <c:v>10</c:v>
                </c:pt>
                <c:pt idx="1">
                  <c:v>20</c:v>
                </c:pt>
                <c:pt idx="2">
                  <c:v>30</c:v>
                </c:pt>
                <c:pt idx="3">
                  <c:v>40</c:v>
                </c:pt>
                <c:pt idx="4">
                  <c:v>50</c:v>
                </c:pt>
              </c:numCache>
            </c:numRef>
          </c:cat>
          <c:val>
            <c:numRef>
              <c:f>'superoxide radical'!$P$6:$T$6</c:f>
              <c:numCache>
                <c:formatCode>General</c:formatCode>
                <c:ptCount val="5"/>
                <c:pt idx="0">
                  <c:v>20.658719999999946</c:v>
                </c:pt>
                <c:pt idx="1">
                  <c:v>34.928110000000139</c:v>
                </c:pt>
                <c:pt idx="2">
                  <c:v>56.503570000000003</c:v>
                </c:pt>
                <c:pt idx="3">
                  <c:v>66.97502999999999</c:v>
                </c:pt>
                <c:pt idx="4">
                  <c:v>74.595969999999994</c:v>
                </c:pt>
              </c:numCache>
            </c:numRef>
          </c:val>
          <c:extLst>
            <c:ext xmlns:c16="http://schemas.microsoft.com/office/drawing/2014/chart" uri="{C3380CC4-5D6E-409C-BE32-E72D297353CC}">
              <c16:uniqueId val="{00000001-7946-463B-8A3D-826BAF60D064}"/>
            </c:ext>
          </c:extLst>
        </c:ser>
        <c:dLbls>
          <c:showLegendKey val="0"/>
          <c:showVal val="0"/>
          <c:showCatName val="0"/>
          <c:showSerName val="0"/>
          <c:showPercent val="0"/>
          <c:showBubbleSize val="0"/>
        </c:dLbls>
        <c:gapWidth val="219"/>
        <c:overlap val="-27"/>
        <c:axId val="226585984"/>
        <c:axId val="226637312"/>
      </c:barChart>
      <c:catAx>
        <c:axId val="226585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chemeClr val="tx1"/>
                    </a:solidFill>
                  </a:rPr>
                  <a:t>Concentration (</a:t>
                </a:r>
                <a:r>
                  <a:rPr lang="el-GR" sz="1000" b="1" i="0" u="none" strike="noStrike" kern="1200" baseline="0">
                    <a:solidFill>
                      <a:schemeClr val="tx1"/>
                    </a:solidFill>
                  </a:rPr>
                  <a:t>μ</a:t>
                </a:r>
                <a:r>
                  <a:rPr lang="en-US" sz="1000" b="1" i="0" u="none" strike="noStrike" kern="1200" baseline="0">
                    <a:solidFill>
                      <a:schemeClr val="tx1"/>
                    </a:solidFill>
                  </a:rPr>
                  <a:t>g/ml)</a:t>
                </a:r>
                <a:endParaRPr lang="en-IN" sz="1000" b="1"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637312"/>
        <c:crosses val="autoZero"/>
        <c:auto val="1"/>
        <c:lblAlgn val="ctr"/>
        <c:lblOffset val="100"/>
        <c:noMultiLvlLbl val="0"/>
      </c:catAx>
      <c:valAx>
        <c:axId val="226637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solidFill>
                  </a:rPr>
                  <a:t>Percentage of inhibition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585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aseline="0">
                <a:solidFill>
                  <a:schemeClr val="tx1"/>
                </a:solidFill>
              </a:rPr>
              <a:t>Hydrogen peroxide radical scavenging assay</a:t>
            </a:r>
          </a:p>
        </c:rich>
      </c:tx>
      <c:layout>
        <c:manualLayout>
          <c:xMode val="edge"/>
          <c:yMode val="edge"/>
          <c:x val="0.1479512248468941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h2o2!$O$3</c:f>
              <c:strCache>
                <c:ptCount val="1"/>
                <c:pt idx="0">
                  <c:v>MANGIFERIN</c:v>
                </c:pt>
              </c:strCache>
            </c:strRef>
          </c:tx>
          <c:spPr>
            <a:solidFill>
              <a:schemeClr val="bg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h2o2!$P$2:$T$2</c:f>
              <c:numCache>
                <c:formatCode>General</c:formatCode>
                <c:ptCount val="5"/>
                <c:pt idx="0">
                  <c:v>10</c:v>
                </c:pt>
                <c:pt idx="1">
                  <c:v>20</c:v>
                </c:pt>
                <c:pt idx="2">
                  <c:v>30</c:v>
                </c:pt>
                <c:pt idx="3">
                  <c:v>40</c:v>
                </c:pt>
                <c:pt idx="4">
                  <c:v>50</c:v>
                </c:pt>
              </c:numCache>
            </c:numRef>
          </c:cat>
          <c:val>
            <c:numRef>
              <c:f>h2o2!$P$3:$T$3</c:f>
              <c:numCache>
                <c:formatCode>General</c:formatCode>
                <c:ptCount val="5"/>
                <c:pt idx="0">
                  <c:v>18.838830000000002</c:v>
                </c:pt>
                <c:pt idx="1">
                  <c:v>27.987459999999999</c:v>
                </c:pt>
                <c:pt idx="2">
                  <c:v>49.536799999999999</c:v>
                </c:pt>
                <c:pt idx="3">
                  <c:v>60.49427</c:v>
                </c:pt>
                <c:pt idx="4">
                  <c:v>67.440969999999993</c:v>
                </c:pt>
              </c:numCache>
            </c:numRef>
          </c:val>
          <c:extLst>
            <c:ext xmlns:c16="http://schemas.microsoft.com/office/drawing/2014/chart" uri="{C3380CC4-5D6E-409C-BE32-E72D297353CC}">
              <c16:uniqueId val="{00000000-BDFA-46EC-A9E7-1874595FDC1B}"/>
            </c:ext>
          </c:extLst>
        </c:ser>
        <c:ser>
          <c:idx val="1"/>
          <c:order val="1"/>
          <c:tx>
            <c:strRef>
              <c:f>h2o2!$O$4</c:f>
              <c:strCache>
                <c:ptCount val="1"/>
                <c:pt idx="0">
                  <c:v>ASCORBIC ACID</c:v>
                </c:pt>
              </c:strCache>
            </c:strRef>
          </c:tx>
          <c:spPr>
            <a:solidFill>
              <a:schemeClr val="accent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h2o2!$P$2:$T$2</c:f>
              <c:numCache>
                <c:formatCode>General</c:formatCode>
                <c:ptCount val="5"/>
                <c:pt idx="0">
                  <c:v>10</c:v>
                </c:pt>
                <c:pt idx="1">
                  <c:v>20</c:v>
                </c:pt>
                <c:pt idx="2">
                  <c:v>30</c:v>
                </c:pt>
                <c:pt idx="3">
                  <c:v>40</c:v>
                </c:pt>
                <c:pt idx="4">
                  <c:v>50</c:v>
                </c:pt>
              </c:numCache>
            </c:numRef>
          </c:cat>
          <c:val>
            <c:numRef>
              <c:f>h2o2!$P$4:$T$4</c:f>
              <c:numCache>
                <c:formatCode>General</c:formatCode>
                <c:ptCount val="5"/>
                <c:pt idx="0">
                  <c:v>23.245460000000001</c:v>
                </c:pt>
                <c:pt idx="1">
                  <c:v>36.020009999999999</c:v>
                </c:pt>
                <c:pt idx="2">
                  <c:v>47.777439999999999</c:v>
                </c:pt>
                <c:pt idx="3">
                  <c:v>61.07705</c:v>
                </c:pt>
                <c:pt idx="4">
                  <c:v>71.734889999999993</c:v>
                </c:pt>
              </c:numCache>
            </c:numRef>
          </c:val>
          <c:extLst>
            <c:ext xmlns:c16="http://schemas.microsoft.com/office/drawing/2014/chart" uri="{C3380CC4-5D6E-409C-BE32-E72D297353CC}">
              <c16:uniqueId val="{00000001-BDFA-46EC-A9E7-1874595FDC1B}"/>
            </c:ext>
          </c:extLst>
        </c:ser>
        <c:dLbls>
          <c:showLegendKey val="0"/>
          <c:showVal val="0"/>
          <c:showCatName val="0"/>
          <c:showSerName val="0"/>
          <c:showPercent val="0"/>
          <c:showBubbleSize val="0"/>
        </c:dLbls>
        <c:gapWidth val="219"/>
        <c:overlap val="-27"/>
        <c:axId val="881075839"/>
        <c:axId val="994348303"/>
      </c:barChart>
      <c:catAx>
        <c:axId val="88107583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chemeClr val="tx1"/>
                    </a:solidFill>
                  </a:rPr>
                  <a:t>Concentration (</a:t>
                </a:r>
                <a:r>
                  <a:rPr lang="el-GR" sz="1000" b="1" i="0" u="none" strike="noStrike" kern="1200" baseline="0">
                    <a:solidFill>
                      <a:schemeClr val="tx1"/>
                    </a:solidFill>
                  </a:rPr>
                  <a:t>μ</a:t>
                </a:r>
                <a:r>
                  <a:rPr lang="en-US" sz="1000" b="1" i="0" u="none" strike="noStrike" kern="1200" baseline="0">
                    <a:solidFill>
                      <a:schemeClr val="tx1"/>
                    </a:solidFill>
                  </a:rPr>
                  <a:t>g/ml)</a:t>
                </a:r>
                <a:endParaRPr lang="en-IN" sz="1000" b="1" i="0" u="none" strike="noStrike" kern="120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4348303"/>
        <c:crosses val="autoZero"/>
        <c:auto val="1"/>
        <c:lblAlgn val="ctr"/>
        <c:lblOffset val="100"/>
        <c:noMultiLvlLbl val="0"/>
      </c:catAx>
      <c:valAx>
        <c:axId val="9943483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solidFill>
                  </a:rPr>
                  <a:t>Percentage of inhibition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075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aseline="0">
                <a:solidFill>
                  <a:schemeClr val="tx1"/>
                </a:solidFill>
              </a:rPr>
              <a:t>Reducing power assay</a:t>
            </a:r>
          </a:p>
        </c:rich>
      </c:tx>
      <c:overlay val="0"/>
      <c:spPr>
        <a:noFill/>
        <a:ln>
          <a:noFill/>
        </a:ln>
        <a:effectLst/>
      </c:spPr>
    </c:title>
    <c:autoTitleDeleted val="0"/>
    <c:plotArea>
      <c:layout/>
      <c:barChart>
        <c:barDir val="col"/>
        <c:grouping val="clustered"/>
        <c:varyColors val="0"/>
        <c:ser>
          <c:idx val="0"/>
          <c:order val="0"/>
          <c:tx>
            <c:strRef>
              <c:f>frap!$O$3</c:f>
              <c:strCache>
                <c:ptCount val="1"/>
                <c:pt idx="0">
                  <c:v>MANGIFERIN</c:v>
                </c:pt>
              </c:strCache>
            </c:strRef>
          </c:tx>
          <c:spPr>
            <a:solidFill>
              <a:schemeClr val="bg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frap!$P$2:$T$2</c:f>
              <c:numCache>
                <c:formatCode>General</c:formatCode>
                <c:ptCount val="5"/>
                <c:pt idx="0">
                  <c:v>10</c:v>
                </c:pt>
                <c:pt idx="1">
                  <c:v>20</c:v>
                </c:pt>
                <c:pt idx="2">
                  <c:v>30</c:v>
                </c:pt>
                <c:pt idx="3">
                  <c:v>40</c:v>
                </c:pt>
                <c:pt idx="4">
                  <c:v>50</c:v>
                </c:pt>
              </c:numCache>
            </c:numRef>
          </c:cat>
          <c:val>
            <c:numRef>
              <c:f>frap!$P$3:$T$3</c:f>
              <c:numCache>
                <c:formatCode>General</c:formatCode>
                <c:ptCount val="5"/>
                <c:pt idx="0">
                  <c:v>19.851769999999988</c:v>
                </c:pt>
                <c:pt idx="1">
                  <c:v>26.984447999999922</c:v>
                </c:pt>
                <c:pt idx="2">
                  <c:v>49.993030000000012</c:v>
                </c:pt>
                <c:pt idx="3">
                  <c:v>55.342560000000006</c:v>
                </c:pt>
                <c:pt idx="4">
                  <c:v>64.038339999999948</c:v>
                </c:pt>
              </c:numCache>
            </c:numRef>
          </c:val>
          <c:extLst>
            <c:ext xmlns:c16="http://schemas.microsoft.com/office/drawing/2014/chart" uri="{C3380CC4-5D6E-409C-BE32-E72D297353CC}">
              <c16:uniqueId val="{00000000-9034-4D7C-AAC8-44F12FB637B1}"/>
            </c:ext>
          </c:extLst>
        </c:ser>
        <c:ser>
          <c:idx val="1"/>
          <c:order val="1"/>
          <c:tx>
            <c:strRef>
              <c:f>frap!$O$4</c:f>
              <c:strCache>
                <c:ptCount val="1"/>
                <c:pt idx="0">
                  <c:v>ASCORBIC ACID</c:v>
                </c:pt>
              </c:strCache>
            </c:strRef>
          </c:tx>
          <c:spPr>
            <a:solidFill>
              <a:schemeClr val="accent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frap!$P$2:$T$2</c:f>
              <c:numCache>
                <c:formatCode>General</c:formatCode>
                <c:ptCount val="5"/>
                <c:pt idx="0">
                  <c:v>10</c:v>
                </c:pt>
                <c:pt idx="1">
                  <c:v>20</c:v>
                </c:pt>
                <c:pt idx="2">
                  <c:v>30</c:v>
                </c:pt>
                <c:pt idx="3">
                  <c:v>40</c:v>
                </c:pt>
                <c:pt idx="4">
                  <c:v>50</c:v>
                </c:pt>
              </c:numCache>
            </c:numRef>
          </c:cat>
          <c:val>
            <c:numRef>
              <c:f>frap!$P$4:$T$4</c:f>
              <c:numCache>
                <c:formatCode>General</c:formatCode>
                <c:ptCount val="5"/>
                <c:pt idx="0">
                  <c:v>18.589619999999918</c:v>
                </c:pt>
                <c:pt idx="1">
                  <c:v>36.839320000000001</c:v>
                </c:pt>
                <c:pt idx="2">
                  <c:v>53.854730000000004</c:v>
                </c:pt>
                <c:pt idx="3">
                  <c:v>60.602940000000011</c:v>
                </c:pt>
                <c:pt idx="4">
                  <c:v>69.100889999999978</c:v>
                </c:pt>
              </c:numCache>
            </c:numRef>
          </c:val>
          <c:extLst>
            <c:ext xmlns:c16="http://schemas.microsoft.com/office/drawing/2014/chart" uri="{C3380CC4-5D6E-409C-BE32-E72D297353CC}">
              <c16:uniqueId val="{00000001-9034-4D7C-AAC8-44F12FB637B1}"/>
            </c:ext>
          </c:extLst>
        </c:ser>
        <c:dLbls>
          <c:showLegendKey val="0"/>
          <c:showVal val="0"/>
          <c:showCatName val="0"/>
          <c:showSerName val="0"/>
          <c:showPercent val="0"/>
          <c:showBubbleSize val="0"/>
        </c:dLbls>
        <c:gapWidth val="219"/>
        <c:overlap val="-27"/>
        <c:axId val="81490304"/>
        <c:axId val="81492224"/>
      </c:barChart>
      <c:catAx>
        <c:axId val="81490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chemeClr val="tx1"/>
                    </a:solidFill>
                  </a:rPr>
                  <a:t>Concentration (</a:t>
                </a:r>
                <a:r>
                  <a:rPr lang="el-GR" sz="1000" b="1" i="0" u="none" strike="noStrike" kern="1200" baseline="0">
                    <a:solidFill>
                      <a:schemeClr val="tx1"/>
                    </a:solidFill>
                  </a:rPr>
                  <a:t>μ</a:t>
                </a:r>
                <a:r>
                  <a:rPr lang="en-US" sz="1000" b="1" i="0" u="none" strike="noStrike" kern="1200" baseline="0">
                    <a:solidFill>
                      <a:schemeClr val="tx1"/>
                    </a:solidFill>
                  </a:rPr>
                  <a:t>g/ml)</a:t>
                </a:r>
                <a:endParaRPr lang="en-IN" sz="1000" b="1"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92224"/>
        <c:crosses val="autoZero"/>
        <c:auto val="1"/>
        <c:lblAlgn val="ctr"/>
        <c:lblOffset val="100"/>
        <c:noMultiLvlLbl val="0"/>
      </c:catAx>
      <c:valAx>
        <c:axId val="81492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solidFill>
                  </a:rPr>
                  <a:t>Percentage of inhibition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9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aseline="0">
                <a:solidFill>
                  <a:schemeClr val="tx1"/>
                </a:solidFill>
              </a:rPr>
              <a:t>Nitric oxide scavenging activity</a:t>
            </a:r>
          </a:p>
        </c:rich>
      </c:tx>
      <c:overlay val="0"/>
      <c:spPr>
        <a:noFill/>
        <a:ln>
          <a:noFill/>
        </a:ln>
        <a:effectLst/>
      </c:spPr>
    </c:title>
    <c:autoTitleDeleted val="0"/>
    <c:plotArea>
      <c:layout/>
      <c:barChart>
        <c:barDir val="col"/>
        <c:grouping val="clustered"/>
        <c:varyColors val="0"/>
        <c:ser>
          <c:idx val="0"/>
          <c:order val="0"/>
          <c:tx>
            <c:strRef>
              <c:f>'NITRIC OXIDE'!$O$3</c:f>
              <c:strCache>
                <c:ptCount val="1"/>
                <c:pt idx="0">
                  <c:v>MANGIFERIN</c:v>
                </c:pt>
              </c:strCache>
            </c:strRef>
          </c:tx>
          <c:spPr>
            <a:solidFill>
              <a:schemeClr val="bg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'NITRIC OXIDE'!$P$2:$T$2</c:f>
              <c:numCache>
                <c:formatCode>General</c:formatCode>
                <c:ptCount val="5"/>
                <c:pt idx="0">
                  <c:v>10</c:v>
                </c:pt>
                <c:pt idx="1">
                  <c:v>20</c:v>
                </c:pt>
                <c:pt idx="2">
                  <c:v>30</c:v>
                </c:pt>
                <c:pt idx="3">
                  <c:v>40</c:v>
                </c:pt>
                <c:pt idx="4">
                  <c:v>50</c:v>
                </c:pt>
              </c:numCache>
            </c:numRef>
          </c:cat>
          <c:val>
            <c:numRef>
              <c:f>'NITRIC OXIDE'!$P$3:$T$3</c:f>
              <c:numCache>
                <c:formatCode>General</c:formatCode>
                <c:ptCount val="5"/>
                <c:pt idx="0">
                  <c:v>18.744239999999934</c:v>
                </c:pt>
                <c:pt idx="1">
                  <c:v>30.534260000000035</c:v>
                </c:pt>
                <c:pt idx="2">
                  <c:v>38.443580000000004</c:v>
                </c:pt>
                <c:pt idx="3">
                  <c:v>43.438580000000002</c:v>
                </c:pt>
                <c:pt idx="4">
                  <c:v>51.712420000000002</c:v>
                </c:pt>
              </c:numCache>
            </c:numRef>
          </c:val>
          <c:extLst>
            <c:ext xmlns:c16="http://schemas.microsoft.com/office/drawing/2014/chart" uri="{C3380CC4-5D6E-409C-BE32-E72D297353CC}">
              <c16:uniqueId val="{00000000-B0E5-465B-AA9C-D1EE10D0F4C5}"/>
            </c:ext>
          </c:extLst>
        </c:ser>
        <c:ser>
          <c:idx val="1"/>
          <c:order val="1"/>
          <c:tx>
            <c:strRef>
              <c:f>'NITRIC OXIDE'!$O$4</c:f>
              <c:strCache>
                <c:ptCount val="1"/>
                <c:pt idx="0">
                  <c:v>ASCORBIC ACID</c:v>
                </c:pt>
              </c:strCache>
            </c:strRef>
          </c:tx>
          <c:spPr>
            <a:solidFill>
              <a:schemeClr val="accent1">
                <a:lumMod val="5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'NITRIC OXIDE'!$P$2:$T$2</c:f>
              <c:numCache>
                <c:formatCode>General</c:formatCode>
                <c:ptCount val="5"/>
                <c:pt idx="0">
                  <c:v>10</c:v>
                </c:pt>
                <c:pt idx="1">
                  <c:v>20</c:v>
                </c:pt>
                <c:pt idx="2">
                  <c:v>30</c:v>
                </c:pt>
                <c:pt idx="3">
                  <c:v>40</c:v>
                </c:pt>
                <c:pt idx="4">
                  <c:v>50</c:v>
                </c:pt>
              </c:numCache>
            </c:numRef>
          </c:cat>
          <c:val>
            <c:numRef>
              <c:f>'NITRIC OXIDE'!$P$4:$T$4</c:f>
              <c:numCache>
                <c:formatCode>General</c:formatCode>
                <c:ptCount val="5"/>
                <c:pt idx="0">
                  <c:v>28.360309999999938</c:v>
                </c:pt>
                <c:pt idx="1">
                  <c:v>36.178260000000002</c:v>
                </c:pt>
                <c:pt idx="2">
                  <c:v>41.490690000000001</c:v>
                </c:pt>
                <c:pt idx="3">
                  <c:v>47.8675</c:v>
                </c:pt>
                <c:pt idx="4">
                  <c:v>53.700810000000011</c:v>
                </c:pt>
              </c:numCache>
            </c:numRef>
          </c:val>
          <c:extLst>
            <c:ext xmlns:c16="http://schemas.microsoft.com/office/drawing/2014/chart" uri="{C3380CC4-5D6E-409C-BE32-E72D297353CC}">
              <c16:uniqueId val="{00000001-B0E5-465B-AA9C-D1EE10D0F4C5}"/>
            </c:ext>
          </c:extLst>
        </c:ser>
        <c:dLbls>
          <c:showLegendKey val="0"/>
          <c:showVal val="0"/>
          <c:showCatName val="0"/>
          <c:showSerName val="0"/>
          <c:showPercent val="0"/>
          <c:showBubbleSize val="0"/>
        </c:dLbls>
        <c:gapWidth val="219"/>
        <c:overlap val="-27"/>
        <c:axId val="81973248"/>
        <c:axId val="81975168"/>
      </c:barChart>
      <c:catAx>
        <c:axId val="81973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chemeClr val="tx1"/>
                    </a:solidFill>
                  </a:rPr>
                  <a:t>Concentration (</a:t>
                </a:r>
                <a:r>
                  <a:rPr lang="el-GR" sz="1000" b="1" i="0" u="none" strike="noStrike" kern="1200" baseline="0">
                    <a:solidFill>
                      <a:schemeClr val="tx1"/>
                    </a:solidFill>
                  </a:rPr>
                  <a:t>μ</a:t>
                </a:r>
                <a:r>
                  <a:rPr lang="en-US" sz="1000" b="1" i="0" u="none" strike="noStrike" kern="1200" baseline="0">
                    <a:solidFill>
                      <a:schemeClr val="tx1"/>
                    </a:solidFill>
                  </a:rPr>
                  <a:t>g/ml)</a:t>
                </a:r>
                <a:endParaRPr lang="en-IN" sz="1000" b="1"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75168"/>
        <c:crosses val="autoZero"/>
        <c:auto val="1"/>
        <c:lblAlgn val="ctr"/>
        <c:lblOffset val="100"/>
        <c:noMultiLvlLbl val="0"/>
      </c:catAx>
      <c:valAx>
        <c:axId val="81975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solidFill>
                  </a:rPr>
                  <a:t>Percentage of inhibition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7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0.18407</cdr:x>
      <cdr:y>0.07979</cdr:y>
    </cdr:from>
    <cdr:to>
      <cdr:x>0.22639</cdr:x>
      <cdr:y>0.12837</cdr:y>
    </cdr:to>
    <cdr:sp macro="" textlink="">
      <cdr:nvSpPr>
        <cdr:cNvPr id="2" name="TextBox 1">
          <a:extLst xmlns:a="http://schemas.openxmlformats.org/drawingml/2006/main">
            <a:ext uri="{FF2B5EF4-FFF2-40B4-BE49-F238E27FC236}">
              <a16:creationId xmlns:a16="http://schemas.microsoft.com/office/drawing/2014/main" id="{3D56B1EE-15A9-5BC0-8EF8-90F1A14CCC63}"/>
            </a:ext>
          </a:extLst>
        </cdr:cNvPr>
        <cdr:cNvSpPr txBox="1"/>
      </cdr:nvSpPr>
      <cdr:spPr>
        <a:xfrm xmlns:a="http://schemas.openxmlformats.org/drawingml/2006/main">
          <a:off x="845587" y="223546"/>
          <a:ext cx="194388" cy="13607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0.15868</cdr:x>
      <cdr:y>0.49611</cdr:y>
    </cdr:from>
    <cdr:to>
      <cdr:x>0.21369</cdr:x>
      <cdr:y>0.62101</cdr:y>
    </cdr:to>
    <cdr:sp macro="" textlink="">
      <cdr:nvSpPr>
        <cdr:cNvPr id="3" name="TextBox 2">
          <a:extLst xmlns:a="http://schemas.openxmlformats.org/drawingml/2006/main">
            <a:ext uri="{FF2B5EF4-FFF2-40B4-BE49-F238E27FC236}">
              <a16:creationId xmlns:a16="http://schemas.microsoft.com/office/drawing/2014/main" id="{E122A725-9355-3E2D-8DFB-94556A50377C}"/>
            </a:ext>
          </a:extLst>
        </cdr:cNvPr>
        <cdr:cNvSpPr txBox="1"/>
      </cdr:nvSpPr>
      <cdr:spPr>
        <a:xfrm xmlns:a="http://schemas.openxmlformats.org/drawingml/2006/main" flipH="1">
          <a:off x="728954" y="1389873"/>
          <a:ext cx="252704" cy="34989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a:t>a</a:t>
          </a:r>
        </a:p>
      </cdr:txBody>
    </cdr:sp>
  </cdr:relSizeAnchor>
  <cdr:relSizeAnchor xmlns:cdr="http://schemas.openxmlformats.org/drawingml/2006/chartDrawing">
    <cdr:from>
      <cdr:x>0.32631</cdr:x>
      <cdr:y>0.43445</cdr:y>
    </cdr:from>
    <cdr:to>
      <cdr:x>0.38132</cdr:x>
      <cdr:y>0.55935</cdr:y>
    </cdr:to>
    <cdr:sp macro="" textlink="">
      <cdr:nvSpPr>
        <cdr:cNvPr id="4" name="TextBox 1">
          <a:extLst xmlns:a="http://schemas.openxmlformats.org/drawingml/2006/main">
            <a:ext uri="{FF2B5EF4-FFF2-40B4-BE49-F238E27FC236}">
              <a16:creationId xmlns:a16="http://schemas.microsoft.com/office/drawing/2014/main" id="{CA4E3117-9E85-CDC4-F70B-E37FBCCD7561}"/>
            </a:ext>
          </a:extLst>
        </cdr:cNvPr>
        <cdr:cNvSpPr txBox="1"/>
      </cdr:nvSpPr>
      <cdr:spPr>
        <a:xfrm xmlns:a="http://schemas.openxmlformats.org/drawingml/2006/main" flipH="1">
          <a:off x="1498989" y="1217126"/>
          <a:ext cx="252704" cy="34989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0.49769</cdr:x>
      <cdr:y>0.38588</cdr:y>
    </cdr:from>
    <cdr:to>
      <cdr:x>0.5527</cdr:x>
      <cdr:y>0.51078</cdr:y>
    </cdr:to>
    <cdr:sp macro="" textlink="">
      <cdr:nvSpPr>
        <cdr:cNvPr id="5" name="TextBox 1">
          <a:extLst xmlns:a="http://schemas.openxmlformats.org/drawingml/2006/main">
            <a:ext uri="{FF2B5EF4-FFF2-40B4-BE49-F238E27FC236}">
              <a16:creationId xmlns:a16="http://schemas.microsoft.com/office/drawing/2014/main" id="{CA4E3117-9E85-CDC4-F70B-E37FBCCD7561}"/>
            </a:ext>
          </a:extLst>
        </cdr:cNvPr>
        <cdr:cNvSpPr txBox="1"/>
      </cdr:nvSpPr>
      <cdr:spPr>
        <a:xfrm xmlns:a="http://schemas.openxmlformats.org/drawingml/2006/main" flipH="1">
          <a:off x="2286259" y="1081055"/>
          <a:ext cx="252704" cy="34989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0.66483</cdr:x>
      <cdr:y>0.2818</cdr:y>
    </cdr:from>
    <cdr:to>
      <cdr:x>0.71984</cdr:x>
      <cdr:y>0.4067</cdr:y>
    </cdr:to>
    <cdr:sp macro="" textlink="">
      <cdr:nvSpPr>
        <cdr:cNvPr id="6" name="TextBox 1">
          <a:extLst xmlns:a="http://schemas.openxmlformats.org/drawingml/2006/main">
            <a:ext uri="{FF2B5EF4-FFF2-40B4-BE49-F238E27FC236}">
              <a16:creationId xmlns:a16="http://schemas.microsoft.com/office/drawing/2014/main" id="{CA4E3117-9E85-CDC4-F70B-E37FBCCD7561}"/>
            </a:ext>
          </a:extLst>
        </cdr:cNvPr>
        <cdr:cNvSpPr txBox="1"/>
      </cdr:nvSpPr>
      <cdr:spPr>
        <a:xfrm xmlns:a="http://schemas.openxmlformats.org/drawingml/2006/main" flipH="1">
          <a:off x="3054091" y="789474"/>
          <a:ext cx="252704" cy="34989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0.8341</cdr:x>
      <cdr:y>0.17078</cdr:y>
    </cdr:from>
    <cdr:to>
      <cdr:x>0.88911</cdr:x>
      <cdr:y>0.29568</cdr:y>
    </cdr:to>
    <cdr:sp macro="" textlink="">
      <cdr:nvSpPr>
        <cdr:cNvPr id="7" name="TextBox 1">
          <a:extLst xmlns:a="http://schemas.openxmlformats.org/drawingml/2006/main">
            <a:ext uri="{FF2B5EF4-FFF2-40B4-BE49-F238E27FC236}">
              <a16:creationId xmlns:a16="http://schemas.microsoft.com/office/drawing/2014/main" id="{CA4E3117-9E85-CDC4-F70B-E37FBCCD7561}"/>
            </a:ext>
          </a:extLst>
        </cdr:cNvPr>
        <cdr:cNvSpPr txBox="1"/>
      </cdr:nvSpPr>
      <cdr:spPr>
        <a:xfrm xmlns:a="http://schemas.openxmlformats.org/drawingml/2006/main" flipH="1">
          <a:off x="3831642" y="478453"/>
          <a:ext cx="252704" cy="34989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0.20735</cdr:x>
      <cdr:y>0.45795</cdr:y>
    </cdr:from>
    <cdr:to>
      <cdr:x>0.26024</cdr:x>
      <cdr:y>0.54122</cdr:y>
    </cdr:to>
    <cdr:sp macro="" textlink="">
      <cdr:nvSpPr>
        <cdr:cNvPr id="9" name="TextBox 8">
          <a:extLst xmlns:a="http://schemas.openxmlformats.org/drawingml/2006/main">
            <a:ext uri="{FF2B5EF4-FFF2-40B4-BE49-F238E27FC236}">
              <a16:creationId xmlns:a16="http://schemas.microsoft.com/office/drawing/2014/main" id="{0C1CF37E-AEFF-C987-BF89-EFEF98C064AA}"/>
            </a:ext>
          </a:extLst>
        </cdr:cNvPr>
        <cdr:cNvSpPr txBox="1"/>
      </cdr:nvSpPr>
      <cdr:spPr>
        <a:xfrm xmlns:a="http://schemas.openxmlformats.org/drawingml/2006/main">
          <a:off x="952500" y="1282959"/>
          <a:ext cx="242985" cy="23326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a:t>b</a:t>
          </a:r>
        </a:p>
      </cdr:txBody>
    </cdr:sp>
  </cdr:relSizeAnchor>
  <cdr:relSizeAnchor xmlns:cdr="http://schemas.openxmlformats.org/drawingml/2006/chartDrawing">
    <cdr:from>
      <cdr:x>0.37709</cdr:x>
      <cdr:y>0.40323</cdr:y>
    </cdr:from>
    <cdr:to>
      <cdr:x>0.42998</cdr:x>
      <cdr:y>0.48649</cdr:y>
    </cdr:to>
    <cdr:sp macro="" textlink="">
      <cdr:nvSpPr>
        <cdr:cNvPr id="10" name="TextBox 1">
          <a:extLst xmlns:a="http://schemas.openxmlformats.org/drawingml/2006/main">
            <a:ext uri="{FF2B5EF4-FFF2-40B4-BE49-F238E27FC236}">
              <a16:creationId xmlns:a16="http://schemas.microsoft.com/office/drawing/2014/main" id="{F3C1A6A7-79C3-6F14-F6C3-ABD0D26C5AF4}"/>
            </a:ext>
          </a:extLst>
        </cdr:cNvPr>
        <cdr:cNvSpPr txBox="1"/>
      </cdr:nvSpPr>
      <cdr:spPr>
        <a:xfrm xmlns:a="http://schemas.openxmlformats.org/drawingml/2006/main">
          <a:off x="1732253" y="1129652"/>
          <a:ext cx="242985" cy="23326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0.54423</cdr:x>
      <cdr:y>0.34772</cdr:y>
    </cdr:from>
    <cdr:to>
      <cdr:x>0.59713</cdr:x>
      <cdr:y>0.43098</cdr:y>
    </cdr:to>
    <cdr:sp macro="" textlink="">
      <cdr:nvSpPr>
        <cdr:cNvPr id="11" name="TextBox 1">
          <a:extLst xmlns:a="http://schemas.openxmlformats.org/drawingml/2006/main">
            <a:ext uri="{FF2B5EF4-FFF2-40B4-BE49-F238E27FC236}">
              <a16:creationId xmlns:a16="http://schemas.microsoft.com/office/drawing/2014/main" id="{F3C1A6A7-79C3-6F14-F6C3-ABD0D26C5AF4}"/>
            </a:ext>
          </a:extLst>
        </cdr:cNvPr>
        <cdr:cNvSpPr txBox="1"/>
      </cdr:nvSpPr>
      <cdr:spPr>
        <a:xfrm xmlns:a="http://schemas.openxmlformats.org/drawingml/2006/main">
          <a:off x="2500086" y="974142"/>
          <a:ext cx="242985" cy="23326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0.71138</cdr:x>
      <cdr:y>0.20548</cdr:y>
    </cdr:from>
    <cdr:to>
      <cdr:x>0.76427</cdr:x>
      <cdr:y>0.28874</cdr:y>
    </cdr:to>
    <cdr:sp macro="" textlink="">
      <cdr:nvSpPr>
        <cdr:cNvPr id="12" name="TextBox 1">
          <a:extLst xmlns:a="http://schemas.openxmlformats.org/drawingml/2006/main">
            <a:ext uri="{FF2B5EF4-FFF2-40B4-BE49-F238E27FC236}">
              <a16:creationId xmlns:a16="http://schemas.microsoft.com/office/drawing/2014/main" id="{F3C1A6A7-79C3-6F14-F6C3-ABD0D26C5AF4}"/>
            </a:ext>
          </a:extLst>
        </cdr:cNvPr>
        <cdr:cNvSpPr txBox="1"/>
      </cdr:nvSpPr>
      <cdr:spPr>
        <a:xfrm xmlns:a="http://schemas.openxmlformats.org/drawingml/2006/main">
          <a:off x="3267917" y="575647"/>
          <a:ext cx="242985" cy="23326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0.88064</cdr:x>
      <cdr:y>0.13609</cdr:y>
    </cdr:from>
    <cdr:to>
      <cdr:x>0.93354</cdr:x>
      <cdr:y>0.21935</cdr:y>
    </cdr:to>
    <cdr:sp macro="" textlink="">
      <cdr:nvSpPr>
        <cdr:cNvPr id="13" name="TextBox 1">
          <a:extLst xmlns:a="http://schemas.openxmlformats.org/drawingml/2006/main">
            <a:ext uri="{FF2B5EF4-FFF2-40B4-BE49-F238E27FC236}">
              <a16:creationId xmlns:a16="http://schemas.microsoft.com/office/drawing/2014/main" id="{F3C1A6A7-79C3-6F14-F6C3-ABD0D26C5AF4}"/>
            </a:ext>
          </a:extLst>
        </cdr:cNvPr>
        <cdr:cNvSpPr txBox="1"/>
      </cdr:nvSpPr>
      <cdr:spPr>
        <a:xfrm xmlns:a="http://schemas.openxmlformats.org/drawingml/2006/main">
          <a:off x="4045469" y="381259"/>
          <a:ext cx="242985" cy="23326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userShapes>
</file>

<file path=word/drawings/drawing2.xml><?xml version="1.0" encoding="utf-8"?>
<c:userShapes xmlns:c="http://schemas.openxmlformats.org/drawingml/2006/chart">
  <cdr:relSizeAnchor xmlns:cdr="http://schemas.openxmlformats.org/drawingml/2006/chartDrawing">
    <cdr:from>
      <cdr:x>0.15949</cdr:x>
      <cdr:y>0.49706</cdr:y>
    </cdr:from>
    <cdr:to>
      <cdr:x>0.20974</cdr:x>
      <cdr:y>0.58841</cdr:y>
    </cdr:to>
    <cdr:sp macro="" textlink="">
      <cdr:nvSpPr>
        <cdr:cNvPr id="2" name="TextBox 1">
          <a:extLst xmlns:a="http://schemas.openxmlformats.org/drawingml/2006/main">
            <a:ext uri="{FF2B5EF4-FFF2-40B4-BE49-F238E27FC236}">
              <a16:creationId xmlns:a16="http://schemas.microsoft.com/office/drawing/2014/main" id="{803C44CF-5DB1-5DB0-5665-7B8FDBC40D51}"/>
            </a:ext>
          </a:extLst>
        </cdr:cNvPr>
        <cdr:cNvSpPr txBox="1"/>
      </cdr:nvSpPr>
      <cdr:spPr>
        <a:xfrm xmlns:a="http://schemas.openxmlformats.org/drawingml/2006/main">
          <a:off x="730071" y="1344865"/>
          <a:ext cx="230022" cy="24715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a:t>a</a:t>
          </a:r>
        </a:p>
      </cdr:txBody>
    </cdr:sp>
  </cdr:relSizeAnchor>
  <cdr:relSizeAnchor xmlns:cdr="http://schemas.openxmlformats.org/drawingml/2006/chartDrawing">
    <cdr:from>
      <cdr:x>0.32783</cdr:x>
      <cdr:y>0.44792</cdr:y>
    </cdr:from>
    <cdr:to>
      <cdr:x>0.37807</cdr:x>
      <cdr:y>0.53927</cdr:y>
    </cdr:to>
    <cdr:sp macro="" textlink="">
      <cdr:nvSpPr>
        <cdr:cNvPr id="8" name="TextBox 1">
          <a:extLst xmlns:a="http://schemas.openxmlformats.org/drawingml/2006/main">
            <a:ext uri="{FF2B5EF4-FFF2-40B4-BE49-F238E27FC236}">
              <a16:creationId xmlns:a16="http://schemas.microsoft.com/office/drawing/2014/main" id="{77204841-FBF8-1295-278A-6D601556567F}"/>
            </a:ext>
          </a:extLst>
        </cdr:cNvPr>
        <cdr:cNvSpPr txBox="1"/>
      </cdr:nvSpPr>
      <cdr:spPr>
        <a:xfrm xmlns:a="http://schemas.openxmlformats.org/drawingml/2006/main">
          <a:off x="1505063" y="1207408"/>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0.49639</cdr:x>
      <cdr:y>0.38482</cdr:y>
    </cdr:from>
    <cdr:to>
      <cdr:x>0.54664</cdr:x>
      <cdr:y>0.47617</cdr:y>
    </cdr:to>
    <cdr:sp macro="" textlink="">
      <cdr:nvSpPr>
        <cdr:cNvPr id="9" name="TextBox 1">
          <a:extLst xmlns:a="http://schemas.openxmlformats.org/drawingml/2006/main">
            <a:ext uri="{FF2B5EF4-FFF2-40B4-BE49-F238E27FC236}">
              <a16:creationId xmlns:a16="http://schemas.microsoft.com/office/drawing/2014/main" id="{77204841-FBF8-1295-278A-6D601556567F}"/>
            </a:ext>
          </a:extLst>
        </cdr:cNvPr>
        <cdr:cNvSpPr txBox="1"/>
      </cdr:nvSpPr>
      <cdr:spPr>
        <a:xfrm xmlns:a="http://schemas.openxmlformats.org/drawingml/2006/main">
          <a:off x="2278970" y="1037318"/>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0.66388</cdr:x>
      <cdr:y>0.25299</cdr:y>
    </cdr:from>
    <cdr:to>
      <cdr:x>0.71413</cdr:x>
      <cdr:y>0.34434</cdr:y>
    </cdr:to>
    <cdr:sp macro="" textlink="">
      <cdr:nvSpPr>
        <cdr:cNvPr id="10" name="TextBox 1">
          <a:extLst xmlns:a="http://schemas.openxmlformats.org/drawingml/2006/main">
            <a:ext uri="{FF2B5EF4-FFF2-40B4-BE49-F238E27FC236}">
              <a16:creationId xmlns:a16="http://schemas.microsoft.com/office/drawing/2014/main" id="{77204841-FBF8-1295-278A-6D601556567F}"/>
            </a:ext>
          </a:extLst>
        </cdr:cNvPr>
        <cdr:cNvSpPr txBox="1"/>
      </cdr:nvSpPr>
      <cdr:spPr>
        <a:xfrm xmlns:a="http://schemas.openxmlformats.org/drawingml/2006/main">
          <a:off x="3039018" y="684498"/>
          <a:ext cx="230022" cy="24715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0.83461</cdr:x>
      <cdr:y>0.17992</cdr:y>
    </cdr:from>
    <cdr:to>
      <cdr:x>0.88501</cdr:x>
      <cdr:y>0.27093</cdr:y>
    </cdr:to>
    <cdr:sp macro="" textlink="">
      <cdr:nvSpPr>
        <cdr:cNvPr id="11" name="TextBox 1">
          <a:extLst xmlns:a="http://schemas.openxmlformats.org/drawingml/2006/main">
            <a:ext uri="{FF2B5EF4-FFF2-40B4-BE49-F238E27FC236}">
              <a16:creationId xmlns:a16="http://schemas.microsoft.com/office/drawing/2014/main" id="{77204841-FBF8-1295-278A-6D601556567F}"/>
            </a:ext>
          </a:extLst>
        </cdr:cNvPr>
        <cdr:cNvSpPr txBox="1"/>
      </cdr:nvSpPr>
      <cdr:spPr>
        <a:xfrm xmlns:a="http://schemas.openxmlformats.org/drawingml/2006/main">
          <a:off x="3820554" y="486803"/>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0.20892</cdr:x>
      <cdr:y>0.4923</cdr:y>
    </cdr:from>
    <cdr:to>
      <cdr:x>0.25931</cdr:x>
      <cdr:y>0.58331</cdr:y>
    </cdr:to>
    <cdr:sp macro="" textlink="">
      <cdr:nvSpPr>
        <cdr:cNvPr id="12" name="TextBox 1">
          <a:extLst xmlns:a="http://schemas.openxmlformats.org/drawingml/2006/main">
            <a:ext uri="{FF2B5EF4-FFF2-40B4-BE49-F238E27FC236}">
              <a16:creationId xmlns:a16="http://schemas.microsoft.com/office/drawing/2014/main" id="{77204841-FBF8-1295-278A-6D601556567F}"/>
            </a:ext>
          </a:extLst>
        </cdr:cNvPr>
        <cdr:cNvSpPr txBox="1"/>
      </cdr:nvSpPr>
      <cdr:spPr>
        <a:xfrm xmlns:a="http://schemas.openxmlformats.org/drawingml/2006/main">
          <a:off x="956346" y="1331979"/>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0.37596</cdr:x>
      <cdr:y>0.42536</cdr:y>
    </cdr:from>
    <cdr:to>
      <cdr:x>0.42636</cdr:x>
      <cdr:y>0.51637</cdr:y>
    </cdr:to>
    <cdr:sp macro="" textlink="">
      <cdr:nvSpPr>
        <cdr:cNvPr id="13" name="TextBox 1">
          <a:extLst xmlns:a="http://schemas.openxmlformats.org/drawingml/2006/main">
            <a:ext uri="{FF2B5EF4-FFF2-40B4-BE49-F238E27FC236}">
              <a16:creationId xmlns:a16="http://schemas.microsoft.com/office/drawing/2014/main" id="{77204841-FBF8-1295-278A-6D601556567F}"/>
            </a:ext>
          </a:extLst>
        </cdr:cNvPr>
        <cdr:cNvSpPr txBox="1"/>
      </cdr:nvSpPr>
      <cdr:spPr>
        <a:xfrm xmlns:a="http://schemas.openxmlformats.org/drawingml/2006/main">
          <a:off x="1721029" y="115087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0.54594</cdr:x>
      <cdr:y>0.29644</cdr:y>
    </cdr:from>
    <cdr:to>
      <cdr:x>0.59634</cdr:x>
      <cdr:y>0.38745</cdr:y>
    </cdr:to>
    <cdr:sp macro="" textlink="">
      <cdr:nvSpPr>
        <cdr:cNvPr id="14" name="TextBox 1">
          <a:extLst xmlns:a="http://schemas.openxmlformats.org/drawingml/2006/main">
            <a:ext uri="{FF2B5EF4-FFF2-40B4-BE49-F238E27FC236}">
              <a16:creationId xmlns:a16="http://schemas.microsoft.com/office/drawing/2014/main" id="{E893A3B2-D3B1-61FC-BAC7-4B2230209169}"/>
            </a:ext>
          </a:extLst>
        </cdr:cNvPr>
        <cdr:cNvSpPr txBox="1"/>
      </cdr:nvSpPr>
      <cdr:spPr>
        <a:xfrm xmlns:a="http://schemas.openxmlformats.org/drawingml/2006/main">
          <a:off x="2499128" y="802067"/>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0.71299</cdr:x>
      <cdr:y>0.21711</cdr:y>
    </cdr:from>
    <cdr:to>
      <cdr:x>0.76339</cdr:x>
      <cdr:y>0.30812</cdr:y>
    </cdr:to>
    <cdr:sp macro="" textlink="">
      <cdr:nvSpPr>
        <cdr:cNvPr id="15" name="TextBox 1">
          <a:extLst xmlns:a="http://schemas.openxmlformats.org/drawingml/2006/main">
            <a:ext uri="{FF2B5EF4-FFF2-40B4-BE49-F238E27FC236}">
              <a16:creationId xmlns:a16="http://schemas.microsoft.com/office/drawing/2014/main" id="{E893A3B2-D3B1-61FC-BAC7-4B2230209169}"/>
            </a:ext>
          </a:extLst>
        </cdr:cNvPr>
        <cdr:cNvSpPr txBox="1"/>
      </cdr:nvSpPr>
      <cdr:spPr>
        <a:xfrm xmlns:a="http://schemas.openxmlformats.org/drawingml/2006/main">
          <a:off x="3263811" y="587419"/>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0.88297</cdr:x>
      <cdr:y>0.13282</cdr:y>
    </cdr:from>
    <cdr:to>
      <cdr:x>0.93337</cdr:x>
      <cdr:y>0.22383</cdr:y>
    </cdr:to>
    <cdr:sp macro="" textlink="">
      <cdr:nvSpPr>
        <cdr:cNvPr id="16" name="TextBox 1">
          <a:extLst xmlns:a="http://schemas.openxmlformats.org/drawingml/2006/main">
            <a:ext uri="{FF2B5EF4-FFF2-40B4-BE49-F238E27FC236}">
              <a16:creationId xmlns:a16="http://schemas.microsoft.com/office/drawing/2014/main" id="{E893A3B2-D3B1-61FC-BAC7-4B2230209169}"/>
            </a:ext>
          </a:extLst>
        </cdr:cNvPr>
        <cdr:cNvSpPr txBox="1"/>
      </cdr:nvSpPr>
      <cdr:spPr>
        <a:xfrm xmlns:a="http://schemas.openxmlformats.org/drawingml/2006/main">
          <a:off x="4041909" y="359356"/>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userShapes>
</file>

<file path=word/drawings/drawing3.xml><?xml version="1.0" encoding="utf-8"?>
<c:userShapes xmlns:c="http://schemas.openxmlformats.org/drawingml/2006/chart">
  <cdr:relSizeAnchor xmlns:cdr="http://schemas.openxmlformats.org/drawingml/2006/chartDrawing">
    <cdr:from>
      <cdr:x>0.20736</cdr:x>
      <cdr:y>0.48483</cdr:y>
    </cdr:from>
    <cdr:to>
      <cdr:x>0.25755</cdr:x>
      <cdr:y>0.57668</cdr:y>
    </cdr:to>
    <cdr:sp macro="" textlink="">
      <cdr:nvSpPr>
        <cdr:cNvPr id="2" name="TextBox 1">
          <a:extLst xmlns:a="http://schemas.openxmlformats.org/drawingml/2006/main">
            <a:ext uri="{FF2B5EF4-FFF2-40B4-BE49-F238E27FC236}">
              <a16:creationId xmlns:a16="http://schemas.microsoft.com/office/drawing/2014/main" id="{E893A3B2-D3B1-61FC-BAC7-4B2230209169}"/>
            </a:ext>
          </a:extLst>
        </cdr:cNvPr>
        <cdr:cNvSpPr txBox="1"/>
      </cdr:nvSpPr>
      <cdr:spPr>
        <a:xfrm xmlns:a="http://schemas.openxmlformats.org/drawingml/2006/main">
          <a:off x="944022" y="1342743"/>
          <a:ext cx="228494" cy="25438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0.37392</cdr:x>
      <cdr:y>0.40942</cdr:y>
    </cdr:from>
    <cdr:to>
      <cdr:x>0.42459</cdr:x>
      <cdr:y>0.49833</cdr:y>
    </cdr:to>
    <cdr:sp macro="" textlink="">
      <cdr:nvSpPr>
        <cdr:cNvPr id="3" name="TextBox 1">
          <a:extLst xmlns:a="http://schemas.openxmlformats.org/drawingml/2006/main">
            <a:ext uri="{FF2B5EF4-FFF2-40B4-BE49-F238E27FC236}">
              <a16:creationId xmlns:a16="http://schemas.microsoft.com/office/drawing/2014/main" id="{E893A3B2-D3B1-61FC-BAC7-4B2230209169}"/>
            </a:ext>
          </a:extLst>
        </cdr:cNvPr>
        <cdr:cNvSpPr txBox="1"/>
      </cdr:nvSpPr>
      <cdr:spPr>
        <a:xfrm xmlns:a="http://schemas.openxmlformats.org/drawingml/2006/main">
          <a:off x="1702312" y="1133885"/>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0.54433</cdr:x>
      <cdr:y>0.29015</cdr:y>
    </cdr:from>
    <cdr:to>
      <cdr:x>0.595</cdr:x>
      <cdr:y>0.37906</cdr:y>
    </cdr:to>
    <cdr:sp macro="" textlink="">
      <cdr:nvSpPr>
        <cdr:cNvPr id="4" name="TextBox 1">
          <a:extLst xmlns:a="http://schemas.openxmlformats.org/drawingml/2006/main">
            <a:ext uri="{FF2B5EF4-FFF2-40B4-BE49-F238E27FC236}">
              <a16:creationId xmlns:a16="http://schemas.microsoft.com/office/drawing/2014/main" id="{E893A3B2-D3B1-61FC-BAC7-4B2230209169}"/>
            </a:ext>
          </a:extLst>
        </cdr:cNvPr>
        <cdr:cNvSpPr txBox="1"/>
      </cdr:nvSpPr>
      <cdr:spPr>
        <a:xfrm xmlns:a="http://schemas.openxmlformats.org/drawingml/2006/main">
          <a:off x="2478139" y="803582"/>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0.71137</cdr:x>
      <cdr:y>0.19585</cdr:y>
    </cdr:from>
    <cdr:to>
      <cdr:x>0.76204</cdr:x>
      <cdr:y>0.28476</cdr:y>
    </cdr:to>
    <cdr:sp macro="" textlink="">
      <cdr:nvSpPr>
        <cdr:cNvPr id="5" name="TextBox 1">
          <a:extLst xmlns:a="http://schemas.openxmlformats.org/drawingml/2006/main">
            <a:ext uri="{FF2B5EF4-FFF2-40B4-BE49-F238E27FC236}">
              <a16:creationId xmlns:a16="http://schemas.microsoft.com/office/drawing/2014/main" id="{E893A3B2-D3B1-61FC-BAC7-4B2230209169}"/>
            </a:ext>
          </a:extLst>
        </cdr:cNvPr>
        <cdr:cNvSpPr txBox="1"/>
      </cdr:nvSpPr>
      <cdr:spPr>
        <a:xfrm xmlns:a="http://schemas.openxmlformats.org/drawingml/2006/main">
          <a:off x="3238602" y="542413"/>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0.88178</cdr:x>
      <cdr:y>0.15425</cdr:y>
    </cdr:from>
    <cdr:to>
      <cdr:x>0.93245</cdr:x>
      <cdr:y>0.24316</cdr:y>
    </cdr:to>
    <cdr:sp macro="" textlink="">
      <cdr:nvSpPr>
        <cdr:cNvPr id="6" name="TextBox 1">
          <a:extLst xmlns:a="http://schemas.openxmlformats.org/drawingml/2006/main">
            <a:ext uri="{FF2B5EF4-FFF2-40B4-BE49-F238E27FC236}">
              <a16:creationId xmlns:a16="http://schemas.microsoft.com/office/drawing/2014/main" id="{E893A3B2-D3B1-61FC-BAC7-4B2230209169}"/>
            </a:ext>
          </a:extLst>
        </cdr:cNvPr>
        <cdr:cNvSpPr txBox="1"/>
      </cdr:nvSpPr>
      <cdr:spPr>
        <a:xfrm xmlns:a="http://schemas.openxmlformats.org/drawingml/2006/main">
          <a:off x="4014429" y="427191"/>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0.32836</cdr:x>
      <cdr:y>0.46489</cdr:y>
    </cdr:from>
    <cdr:to>
      <cdr:x>0.37903</cdr:x>
      <cdr:y>0.5538</cdr:y>
    </cdr:to>
    <cdr:sp macro="" textlink="">
      <cdr:nvSpPr>
        <cdr:cNvPr id="8" name="TextBox 1">
          <a:extLst xmlns:a="http://schemas.openxmlformats.org/drawingml/2006/main">
            <a:ext uri="{FF2B5EF4-FFF2-40B4-BE49-F238E27FC236}">
              <a16:creationId xmlns:a16="http://schemas.microsoft.com/office/drawing/2014/main" id="{E893A3B2-D3B1-61FC-BAC7-4B2230209169}"/>
            </a:ext>
          </a:extLst>
        </cdr:cNvPr>
        <cdr:cNvSpPr txBox="1"/>
      </cdr:nvSpPr>
      <cdr:spPr>
        <a:xfrm xmlns:a="http://schemas.openxmlformats.org/drawingml/2006/main">
          <a:off x="1494913" y="1287513"/>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0.16132</cdr:x>
      <cdr:y>0.51481</cdr:y>
    </cdr:from>
    <cdr:to>
      <cdr:x>0.212</cdr:x>
      <cdr:y>0.60372</cdr:y>
    </cdr:to>
    <cdr:sp macro="" textlink="">
      <cdr:nvSpPr>
        <cdr:cNvPr id="9"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734449" y="142578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0.49709</cdr:x>
      <cdr:y>0.33731</cdr:y>
    </cdr:from>
    <cdr:to>
      <cdr:x>0.54776</cdr:x>
      <cdr:y>0.42621</cdr:y>
    </cdr:to>
    <cdr:sp macro="" textlink="">
      <cdr:nvSpPr>
        <cdr:cNvPr id="10"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2263058" y="934167"/>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0.83454</cdr:x>
      <cdr:y>0.20695</cdr:y>
    </cdr:from>
    <cdr:to>
      <cdr:x>0.88521</cdr:x>
      <cdr:y>0.29586</cdr:y>
    </cdr:to>
    <cdr:sp macro="" textlink="">
      <cdr:nvSpPr>
        <cdr:cNvPr id="11"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3799349" y="573139"/>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0.66412</cdr:x>
      <cdr:y>0.25132</cdr:y>
    </cdr:from>
    <cdr:to>
      <cdr:x>0.7148</cdr:x>
      <cdr:y>0.34023</cdr:y>
    </cdr:to>
    <cdr:sp macro="" textlink="">
      <cdr:nvSpPr>
        <cdr:cNvPr id="12"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3023522" y="696042"/>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userShapes>
</file>

<file path=word/drawings/drawing4.xml><?xml version="1.0" encoding="utf-8"?>
<c:userShapes xmlns:c="http://schemas.openxmlformats.org/drawingml/2006/chart">
  <cdr:relSizeAnchor xmlns:cdr="http://schemas.openxmlformats.org/drawingml/2006/chartDrawing">
    <cdr:from>
      <cdr:x>0.83403</cdr:x>
      <cdr:y>0.19907</cdr:y>
    </cdr:from>
    <cdr:to>
      <cdr:x>0.88449</cdr:x>
      <cdr:y>0.28884</cdr:y>
    </cdr:to>
    <cdr:sp macro="" textlink="">
      <cdr:nvSpPr>
        <cdr:cNvPr id="2"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3813175" y="54610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0.66736</cdr:x>
      <cdr:y>0.2581</cdr:y>
    </cdr:from>
    <cdr:to>
      <cdr:x>0.71782</cdr:x>
      <cdr:y>0.34786</cdr:y>
    </cdr:to>
    <cdr:sp macro="" textlink="">
      <cdr:nvSpPr>
        <cdr:cNvPr id="3"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3051175" y="708025"/>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0.49861</cdr:x>
      <cdr:y>0.31713</cdr:y>
    </cdr:from>
    <cdr:to>
      <cdr:x>0.54907</cdr:x>
      <cdr:y>0.40689</cdr:y>
    </cdr:to>
    <cdr:sp macro="" textlink="">
      <cdr:nvSpPr>
        <cdr:cNvPr id="4"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2279650" y="86995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0.32778</cdr:x>
      <cdr:y>0.42477</cdr:y>
    </cdr:from>
    <cdr:to>
      <cdr:x>0.37824</cdr:x>
      <cdr:y>0.51453</cdr:y>
    </cdr:to>
    <cdr:sp macro="" textlink="">
      <cdr:nvSpPr>
        <cdr:cNvPr id="5"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1498600" y="1165225"/>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0.15903</cdr:x>
      <cdr:y>0.50463</cdr:y>
    </cdr:from>
    <cdr:to>
      <cdr:x>0.20949</cdr:x>
      <cdr:y>0.59439</cdr:y>
    </cdr:to>
    <cdr:sp macro="" textlink="">
      <cdr:nvSpPr>
        <cdr:cNvPr id="6"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727075" y="138430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0.87986</cdr:x>
      <cdr:y>0.15741</cdr:y>
    </cdr:from>
    <cdr:to>
      <cdr:x>0.93032</cdr:x>
      <cdr:y>0.24717</cdr:y>
    </cdr:to>
    <cdr:sp macro="" textlink="">
      <cdr:nvSpPr>
        <cdr:cNvPr id="7" name="TextBox 1">
          <a:extLst xmlns:a="http://schemas.openxmlformats.org/drawingml/2006/main">
            <a:ext uri="{FF2B5EF4-FFF2-40B4-BE49-F238E27FC236}">
              <a16:creationId xmlns:a16="http://schemas.microsoft.com/office/drawing/2014/main" id="{DA352582-437B-10D0-4CD1-6375A9499E69}"/>
            </a:ext>
          </a:extLst>
        </cdr:cNvPr>
        <cdr:cNvSpPr txBox="1"/>
      </cdr:nvSpPr>
      <cdr:spPr>
        <a:xfrm xmlns:a="http://schemas.openxmlformats.org/drawingml/2006/main">
          <a:off x="4022725" y="43180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0.71319</cdr:x>
      <cdr:y>0.20255</cdr:y>
    </cdr:from>
    <cdr:to>
      <cdr:x>0.76365</cdr:x>
      <cdr:y>0.29231</cdr:y>
    </cdr:to>
    <cdr:sp macro="" textlink="">
      <cdr:nvSpPr>
        <cdr:cNvPr id="8"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3260725" y="555625"/>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0.54236</cdr:x>
      <cdr:y>0.26852</cdr:y>
    </cdr:from>
    <cdr:to>
      <cdr:x>0.59282</cdr:x>
      <cdr:y>0.35828</cdr:y>
    </cdr:to>
    <cdr:sp macro="" textlink="">
      <cdr:nvSpPr>
        <cdr:cNvPr id="9"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2479675" y="73660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0.37569</cdr:x>
      <cdr:y>0.40046</cdr:y>
    </cdr:from>
    <cdr:to>
      <cdr:x>0.42615</cdr:x>
      <cdr:y>0.49022</cdr:y>
    </cdr:to>
    <cdr:sp macro="" textlink="">
      <cdr:nvSpPr>
        <cdr:cNvPr id="10"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1717675" y="109855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0.20903</cdr:x>
      <cdr:y>0.4838</cdr:y>
    </cdr:from>
    <cdr:to>
      <cdr:x>0.25949</cdr:x>
      <cdr:y>0.57356</cdr:y>
    </cdr:to>
    <cdr:sp macro="" textlink="">
      <cdr:nvSpPr>
        <cdr:cNvPr id="11"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955675" y="132715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userShapes>
</file>

<file path=word/drawings/drawing5.xml><?xml version="1.0" encoding="utf-8"?>
<c:userShapes xmlns:c="http://schemas.openxmlformats.org/drawingml/2006/chart">
  <cdr:relSizeAnchor xmlns:cdr="http://schemas.openxmlformats.org/drawingml/2006/chartDrawing">
    <cdr:from>
      <cdr:x>0.20695</cdr:x>
      <cdr:y>0.43866</cdr:y>
    </cdr:from>
    <cdr:to>
      <cdr:x>0.25741</cdr:x>
      <cdr:y>0.52842</cdr:y>
    </cdr:to>
    <cdr:sp macro="" textlink="">
      <cdr:nvSpPr>
        <cdr:cNvPr id="2"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946160" y="1203332"/>
          <a:ext cx="230703" cy="2462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0.37569</cdr:x>
      <cdr:y>0.35533</cdr:y>
    </cdr:from>
    <cdr:to>
      <cdr:x>0.42615</cdr:x>
      <cdr:y>0.44509</cdr:y>
    </cdr:to>
    <cdr:sp macro="" textlink="">
      <cdr:nvSpPr>
        <cdr:cNvPr id="3"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1717655" y="974735"/>
          <a:ext cx="230703" cy="2462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0.54444</cdr:x>
      <cdr:y>0.27894</cdr:y>
    </cdr:from>
    <cdr:to>
      <cdr:x>0.5949</cdr:x>
      <cdr:y>0.3687</cdr:y>
    </cdr:to>
    <cdr:sp macro="" textlink="">
      <cdr:nvSpPr>
        <cdr:cNvPr id="4"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2489200" y="765175"/>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0.71319</cdr:x>
      <cdr:y>0.18866</cdr:y>
    </cdr:from>
    <cdr:to>
      <cdr:x>0.76365</cdr:x>
      <cdr:y>0.27842</cdr:y>
    </cdr:to>
    <cdr:sp macro="" textlink="">
      <cdr:nvSpPr>
        <cdr:cNvPr id="5"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3260705" y="517532"/>
          <a:ext cx="230703" cy="2462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0.88195</cdr:x>
      <cdr:y>0.12616</cdr:y>
    </cdr:from>
    <cdr:to>
      <cdr:x>0.93241</cdr:x>
      <cdr:y>0.21592</cdr:y>
    </cdr:to>
    <cdr:sp macro="" textlink="">
      <cdr:nvSpPr>
        <cdr:cNvPr id="6"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4032260" y="346070"/>
          <a:ext cx="230703" cy="2462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0.16111</cdr:x>
      <cdr:y>0.47338</cdr:y>
    </cdr:from>
    <cdr:to>
      <cdr:x>0.21157</cdr:x>
      <cdr:y>0.56314</cdr:y>
    </cdr:to>
    <cdr:sp macro="" textlink="">
      <cdr:nvSpPr>
        <cdr:cNvPr id="7"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736595" y="1298573"/>
          <a:ext cx="230703" cy="2462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0.49652</cdr:x>
      <cdr:y>0.26505</cdr:y>
    </cdr:from>
    <cdr:to>
      <cdr:x>0.54698</cdr:x>
      <cdr:y>0.35481</cdr:y>
    </cdr:to>
    <cdr:sp macro="" textlink="">
      <cdr:nvSpPr>
        <cdr:cNvPr id="8"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2270105" y="727082"/>
          <a:ext cx="230703" cy="2462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0.33194</cdr:x>
      <cdr:y>0.40741</cdr:y>
    </cdr:from>
    <cdr:to>
      <cdr:x>0.3824</cdr:x>
      <cdr:y>0.49717</cdr:y>
    </cdr:to>
    <cdr:sp macro="" textlink="">
      <cdr:nvSpPr>
        <cdr:cNvPr id="9" name="TextBox 1">
          <a:extLst xmlns:a="http://schemas.openxmlformats.org/drawingml/2006/main">
            <a:ext uri="{FF2B5EF4-FFF2-40B4-BE49-F238E27FC236}">
              <a16:creationId xmlns:a16="http://schemas.microsoft.com/office/drawing/2014/main" id="{CFC4C68D-76BF-13E9-F8FE-AA26711AD0CE}"/>
            </a:ext>
          </a:extLst>
        </cdr:cNvPr>
        <cdr:cNvSpPr txBox="1"/>
      </cdr:nvSpPr>
      <cdr:spPr>
        <a:xfrm xmlns:a="http://schemas.openxmlformats.org/drawingml/2006/main">
          <a:off x="1517630" y="1117601"/>
          <a:ext cx="230703" cy="2462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0.66527</cdr:x>
      <cdr:y>0.19907</cdr:y>
    </cdr:from>
    <cdr:to>
      <cdr:x>0.71573</cdr:x>
      <cdr:y>0.28883</cdr:y>
    </cdr:to>
    <cdr:sp macro="" textlink="">
      <cdr:nvSpPr>
        <cdr:cNvPr id="10" name="TextBox 1">
          <a:extLst xmlns:a="http://schemas.openxmlformats.org/drawingml/2006/main">
            <a:ext uri="{FF2B5EF4-FFF2-40B4-BE49-F238E27FC236}">
              <a16:creationId xmlns:a16="http://schemas.microsoft.com/office/drawing/2014/main" id="{1957FE99-342E-640C-D9C8-C124C3FA15EC}"/>
            </a:ext>
          </a:extLst>
        </cdr:cNvPr>
        <cdr:cNvSpPr txBox="1"/>
      </cdr:nvSpPr>
      <cdr:spPr>
        <a:xfrm xmlns:a="http://schemas.openxmlformats.org/drawingml/2006/main">
          <a:off x="3041630" y="546092"/>
          <a:ext cx="230703" cy="2462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0.83611</cdr:x>
      <cdr:y>0.14699</cdr:y>
    </cdr:from>
    <cdr:to>
      <cdr:x>0.88657</cdr:x>
      <cdr:y>0.23675</cdr:y>
    </cdr:to>
    <cdr:sp macro="" textlink="">
      <cdr:nvSpPr>
        <cdr:cNvPr id="11" name="TextBox 1">
          <a:extLst xmlns:a="http://schemas.openxmlformats.org/drawingml/2006/main">
            <a:ext uri="{FF2B5EF4-FFF2-40B4-BE49-F238E27FC236}">
              <a16:creationId xmlns:a16="http://schemas.microsoft.com/office/drawing/2014/main" id="{1957FE99-342E-640C-D9C8-C124C3FA15EC}"/>
            </a:ext>
          </a:extLst>
        </cdr:cNvPr>
        <cdr:cNvSpPr txBox="1"/>
      </cdr:nvSpPr>
      <cdr:spPr>
        <a:xfrm xmlns:a="http://schemas.openxmlformats.org/drawingml/2006/main">
          <a:off x="3822710" y="403220"/>
          <a:ext cx="230703" cy="2462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userShapes>
</file>

<file path=word/drawings/drawing6.xml><?xml version="1.0" encoding="utf-8"?>
<c:userShapes xmlns:c="http://schemas.openxmlformats.org/drawingml/2006/chart">
  <cdr:relSizeAnchor xmlns:cdr="http://schemas.openxmlformats.org/drawingml/2006/chartDrawing">
    <cdr:from>
      <cdr:x>0.88252</cdr:x>
      <cdr:y>0.14154</cdr:y>
    </cdr:from>
    <cdr:to>
      <cdr:x>0.93276</cdr:x>
      <cdr:y>0.23289</cdr:y>
    </cdr:to>
    <cdr:sp macro="" textlink="">
      <cdr:nvSpPr>
        <cdr:cNvPr id="2"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4019343" y="384130"/>
          <a:ext cx="228855" cy="24790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0.5427</cdr:x>
      <cdr:y>0.24285</cdr:y>
    </cdr:from>
    <cdr:to>
      <cdr:x>0.59295</cdr:x>
      <cdr:y>0.3342</cdr:y>
    </cdr:to>
    <cdr:sp macro="" textlink="">
      <cdr:nvSpPr>
        <cdr:cNvPr id="3"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2471698" y="659066"/>
          <a:ext cx="228855" cy="24790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0.37599</cdr:x>
      <cdr:y>0.35643</cdr:y>
    </cdr:from>
    <cdr:to>
      <cdr:x>0.42624</cdr:x>
      <cdr:y>0.44778</cdr:y>
    </cdr:to>
    <cdr:sp macro="" textlink="">
      <cdr:nvSpPr>
        <cdr:cNvPr id="4"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1726180" y="960777"/>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0.20742</cdr:x>
      <cdr:y>0.48263</cdr:y>
    </cdr:from>
    <cdr:to>
      <cdr:x>0.25767</cdr:x>
      <cdr:y>0.57397</cdr:y>
    </cdr:to>
    <cdr:sp macro="" textlink="">
      <cdr:nvSpPr>
        <cdr:cNvPr id="5"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952273" y="1300956"/>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0.71312</cdr:x>
      <cdr:y>0.19868</cdr:y>
    </cdr:from>
    <cdr:to>
      <cdr:x>0.76337</cdr:x>
      <cdr:y>0.29003</cdr:y>
    </cdr:to>
    <cdr:sp macro="" textlink="">
      <cdr:nvSpPr>
        <cdr:cNvPr id="6"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3273992" y="535554"/>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0.83392</cdr:x>
      <cdr:y>0.18071</cdr:y>
    </cdr:from>
    <cdr:to>
      <cdr:x>0.88457</cdr:x>
      <cdr:y>0.27144</cdr:y>
    </cdr:to>
    <cdr:sp macro="" textlink="">
      <cdr:nvSpPr>
        <cdr:cNvPr id="7"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3797998" y="490415"/>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0.66385</cdr:x>
      <cdr:y>0.23084</cdr:y>
    </cdr:from>
    <cdr:to>
      <cdr:x>0.7145</cdr:x>
      <cdr:y>0.32158</cdr:y>
    </cdr:to>
    <cdr:sp macro="" textlink="">
      <cdr:nvSpPr>
        <cdr:cNvPr id="8" name="TextBox 1">
          <a:extLst xmlns:a="http://schemas.openxmlformats.org/drawingml/2006/main">
            <a:ext uri="{FF2B5EF4-FFF2-40B4-BE49-F238E27FC236}">
              <a16:creationId xmlns:a16="http://schemas.microsoft.com/office/drawing/2014/main" id="{0A83E9F0-CF1A-50D9-FB1B-DDFD0EE55230}"/>
            </a:ext>
          </a:extLst>
        </cdr:cNvPr>
        <cdr:cNvSpPr txBox="1"/>
      </cdr:nvSpPr>
      <cdr:spPr>
        <a:xfrm xmlns:a="http://schemas.openxmlformats.org/drawingml/2006/main">
          <a:off x="3023438" y="626487"/>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0.49838</cdr:x>
      <cdr:y>0.26556</cdr:y>
    </cdr:from>
    <cdr:to>
      <cdr:x>0.54903</cdr:x>
      <cdr:y>0.35629</cdr:y>
    </cdr:to>
    <cdr:sp macro="" textlink="">
      <cdr:nvSpPr>
        <cdr:cNvPr id="9" name="TextBox 1">
          <a:extLst xmlns:a="http://schemas.openxmlformats.org/drawingml/2006/main">
            <a:ext uri="{FF2B5EF4-FFF2-40B4-BE49-F238E27FC236}">
              <a16:creationId xmlns:a16="http://schemas.microsoft.com/office/drawing/2014/main" id="{0A83E9F0-CF1A-50D9-FB1B-DDFD0EE55230}"/>
            </a:ext>
          </a:extLst>
        </cdr:cNvPr>
        <cdr:cNvSpPr txBox="1"/>
      </cdr:nvSpPr>
      <cdr:spPr>
        <a:xfrm xmlns:a="http://schemas.openxmlformats.org/drawingml/2006/main">
          <a:off x="2269811" y="72069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0.33061</cdr:x>
      <cdr:y>0.42369</cdr:y>
    </cdr:from>
    <cdr:to>
      <cdr:x>0.38126</cdr:x>
      <cdr:y>0.51442</cdr:y>
    </cdr:to>
    <cdr:sp macro="" textlink="">
      <cdr:nvSpPr>
        <cdr:cNvPr id="10" name="TextBox 1">
          <a:extLst xmlns:a="http://schemas.openxmlformats.org/drawingml/2006/main">
            <a:ext uri="{FF2B5EF4-FFF2-40B4-BE49-F238E27FC236}">
              <a16:creationId xmlns:a16="http://schemas.microsoft.com/office/drawing/2014/main" id="{0A83E9F0-CF1A-50D9-FB1B-DDFD0EE55230}"/>
            </a:ext>
          </a:extLst>
        </cdr:cNvPr>
        <cdr:cNvSpPr txBox="1"/>
      </cdr:nvSpPr>
      <cdr:spPr>
        <a:xfrm xmlns:a="http://schemas.openxmlformats.org/drawingml/2006/main">
          <a:off x="1505718" y="1149838"/>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0.15824</cdr:x>
      <cdr:y>0.46997</cdr:y>
    </cdr:from>
    <cdr:to>
      <cdr:x>0.20889</cdr:x>
      <cdr:y>0.5607</cdr:y>
    </cdr:to>
    <cdr:sp macro="" textlink="">
      <cdr:nvSpPr>
        <cdr:cNvPr id="11" name="TextBox 1">
          <a:extLst xmlns:a="http://schemas.openxmlformats.org/drawingml/2006/main">
            <a:ext uri="{FF2B5EF4-FFF2-40B4-BE49-F238E27FC236}">
              <a16:creationId xmlns:a16="http://schemas.microsoft.com/office/drawing/2014/main" id="{0A83E9F0-CF1A-50D9-FB1B-DDFD0EE55230}"/>
            </a:ext>
          </a:extLst>
        </cdr:cNvPr>
        <cdr:cNvSpPr txBox="1"/>
      </cdr:nvSpPr>
      <cdr:spPr>
        <a:xfrm xmlns:a="http://schemas.openxmlformats.org/drawingml/2006/main">
          <a:off x="720691" y="1275442"/>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userShapes>
</file>

<file path=word/drawings/drawing7.xml><?xml version="1.0" encoding="utf-8"?>
<c:userShapes xmlns:c="http://schemas.openxmlformats.org/drawingml/2006/chart">
  <cdr:relSizeAnchor xmlns:cdr="http://schemas.openxmlformats.org/drawingml/2006/chartDrawing">
    <cdr:from>
      <cdr:x>0.20669</cdr:x>
      <cdr:y>0.35825</cdr:y>
    </cdr:from>
    <cdr:to>
      <cdr:x>0.25677</cdr:x>
      <cdr:y>0.44617</cdr:y>
    </cdr:to>
    <cdr:sp macro="" textlink="">
      <cdr:nvSpPr>
        <cdr:cNvPr id="2" name="TextBox 1">
          <a:extLst xmlns:a="http://schemas.openxmlformats.org/drawingml/2006/main">
            <a:ext uri="{FF2B5EF4-FFF2-40B4-BE49-F238E27FC236}">
              <a16:creationId xmlns:a16="http://schemas.microsoft.com/office/drawing/2014/main" id="{1957FE99-342E-640C-D9C8-C124C3FA15EC}"/>
            </a:ext>
          </a:extLst>
        </cdr:cNvPr>
        <cdr:cNvSpPr txBox="1"/>
      </cdr:nvSpPr>
      <cdr:spPr>
        <a:xfrm xmlns:a="http://schemas.openxmlformats.org/drawingml/2006/main">
          <a:off x="952090" y="1003300"/>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0.83591</cdr:x>
      <cdr:y>0.14248</cdr:y>
    </cdr:from>
    <cdr:to>
      <cdr:x>0.88599</cdr:x>
      <cdr:y>0.2304</cdr:y>
    </cdr:to>
    <cdr:sp macro="" textlink="">
      <cdr:nvSpPr>
        <cdr:cNvPr id="3" name="TextBox 1">
          <a:extLst xmlns:a="http://schemas.openxmlformats.org/drawingml/2006/main">
            <a:ext uri="{FF2B5EF4-FFF2-40B4-BE49-F238E27FC236}">
              <a16:creationId xmlns:a16="http://schemas.microsoft.com/office/drawing/2014/main" id="{1957FE99-342E-640C-D9C8-C124C3FA15EC}"/>
            </a:ext>
          </a:extLst>
        </cdr:cNvPr>
        <cdr:cNvSpPr txBox="1"/>
      </cdr:nvSpPr>
      <cdr:spPr>
        <a:xfrm xmlns:a="http://schemas.openxmlformats.org/drawingml/2006/main">
          <a:off x="3850558" y="399026"/>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0.66249</cdr:x>
      <cdr:y>0.21928</cdr:y>
    </cdr:from>
    <cdr:to>
      <cdr:x>0.71257</cdr:x>
      <cdr:y>0.3072</cdr:y>
    </cdr:to>
    <cdr:sp macro="" textlink="">
      <cdr:nvSpPr>
        <cdr:cNvPr id="4" name="TextBox 1">
          <a:extLst xmlns:a="http://schemas.openxmlformats.org/drawingml/2006/main">
            <a:ext uri="{FF2B5EF4-FFF2-40B4-BE49-F238E27FC236}">
              <a16:creationId xmlns:a16="http://schemas.microsoft.com/office/drawing/2014/main" id="{1957FE99-342E-640C-D9C8-C124C3FA15EC}"/>
            </a:ext>
          </a:extLst>
        </cdr:cNvPr>
        <cdr:cNvSpPr txBox="1"/>
      </cdr:nvSpPr>
      <cdr:spPr>
        <a:xfrm xmlns:a="http://schemas.openxmlformats.org/drawingml/2006/main">
          <a:off x="3051687" y="614106"/>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0.49351</cdr:x>
      <cdr:y>0.26682</cdr:y>
    </cdr:from>
    <cdr:to>
      <cdr:x>0.54359</cdr:x>
      <cdr:y>0.35475</cdr:y>
    </cdr:to>
    <cdr:sp macro="" textlink="">
      <cdr:nvSpPr>
        <cdr:cNvPr id="5" name="TextBox 1">
          <a:extLst xmlns:a="http://schemas.openxmlformats.org/drawingml/2006/main">
            <a:ext uri="{FF2B5EF4-FFF2-40B4-BE49-F238E27FC236}">
              <a16:creationId xmlns:a16="http://schemas.microsoft.com/office/drawing/2014/main" id="{1957FE99-342E-640C-D9C8-C124C3FA15EC}"/>
            </a:ext>
          </a:extLst>
        </cdr:cNvPr>
        <cdr:cNvSpPr txBox="1"/>
      </cdr:nvSpPr>
      <cdr:spPr>
        <a:xfrm xmlns:a="http://schemas.openxmlformats.org/drawingml/2006/main">
          <a:off x="2273300" y="747252"/>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0.32675</cdr:x>
      <cdr:y>0.34362</cdr:y>
    </cdr:from>
    <cdr:to>
      <cdr:x>0.37683</cdr:x>
      <cdr:y>0.43155</cdr:y>
    </cdr:to>
    <cdr:sp macro="" textlink="">
      <cdr:nvSpPr>
        <cdr:cNvPr id="6" name="TextBox 1">
          <a:extLst xmlns:a="http://schemas.openxmlformats.org/drawingml/2006/main">
            <a:ext uri="{FF2B5EF4-FFF2-40B4-BE49-F238E27FC236}">
              <a16:creationId xmlns:a16="http://schemas.microsoft.com/office/drawing/2014/main" id="{1499617C-D8D9-E484-11CD-4A08D32D11CC}"/>
            </a:ext>
          </a:extLst>
        </cdr:cNvPr>
        <cdr:cNvSpPr txBox="1"/>
      </cdr:nvSpPr>
      <cdr:spPr>
        <a:xfrm xmlns:a="http://schemas.openxmlformats.org/drawingml/2006/main">
          <a:off x="1505155" y="962333"/>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0.15555</cdr:x>
      <cdr:y>0.44236</cdr:y>
    </cdr:from>
    <cdr:to>
      <cdr:x>0.20563</cdr:x>
      <cdr:y>0.53029</cdr:y>
    </cdr:to>
    <cdr:sp macro="" textlink="">
      <cdr:nvSpPr>
        <cdr:cNvPr id="7" name="TextBox 1">
          <a:extLst xmlns:a="http://schemas.openxmlformats.org/drawingml/2006/main">
            <a:ext uri="{FF2B5EF4-FFF2-40B4-BE49-F238E27FC236}">
              <a16:creationId xmlns:a16="http://schemas.microsoft.com/office/drawing/2014/main" id="{1499617C-D8D9-E484-11CD-4A08D32D11CC}"/>
            </a:ext>
          </a:extLst>
        </cdr:cNvPr>
        <cdr:cNvSpPr txBox="1"/>
      </cdr:nvSpPr>
      <cdr:spPr>
        <a:xfrm xmlns:a="http://schemas.openxmlformats.org/drawingml/2006/main">
          <a:off x="716526" y="1238864"/>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a</a:t>
          </a:r>
        </a:p>
      </cdr:txBody>
    </cdr:sp>
  </cdr:relSizeAnchor>
  <cdr:relSizeAnchor xmlns:cdr="http://schemas.openxmlformats.org/drawingml/2006/chartDrawing">
    <cdr:from>
      <cdr:x>0.88483</cdr:x>
      <cdr:y>0.1242</cdr:y>
    </cdr:from>
    <cdr:to>
      <cdr:x>0.93491</cdr:x>
      <cdr:y>0.21212</cdr:y>
    </cdr:to>
    <cdr:sp macro="" textlink="">
      <cdr:nvSpPr>
        <cdr:cNvPr id="8"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4075881" y="347816"/>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0.71363</cdr:x>
      <cdr:y>0.17539</cdr:y>
    </cdr:from>
    <cdr:to>
      <cdr:x>0.76371</cdr:x>
      <cdr:y>0.26332</cdr:y>
    </cdr:to>
    <cdr:sp macro="" textlink="">
      <cdr:nvSpPr>
        <cdr:cNvPr id="9"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3287252" y="491203"/>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0.54465</cdr:x>
      <cdr:y>0.23391</cdr:y>
    </cdr:from>
    <cdr:to>
      <cdr:x>0.59473</cdr:x>
      <cdr:y>0.32183</cdr:y>
    </cdr:to>
    <cdr:sp macro="" textlink="">
      <cdr:nvSpPr>
        <cdr:cNvPr id="10"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2508865" y="655074"/>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dr:relSizeAnchor xmlns:cdr="http://schemas.openxmlformats.org/drawingml/2006/chartDrawing">
    <cdr:from>
      <cdr:x>0.37567</cdr:x>
      <cdr:y>0.28511</cdr:y>
    </cdr:from>
    <cdr:to>
      <cdr:x>0.42575</cdr:x>
      <cdr:y>0.37303</cdr:y>
    </cdr:to>
    <cdr:sp macro="" textlink="">
      <cdr:nvSpPr>
        <cdr:cNvPr id="11" name="TextBox 1">
          <a:extLst xmlns:a="http://schemas.openxmlformats.org/drawingml/2006/main">
            <a:ext uri="{FF2B5EF4-FFF2-40B4-BE49-F238E27FC236}">
              <a16:creationId xmlns:a16="http://schemas.microsoft.com/office/drawing/2014/main" id="{D4DA5228-048D-BDD9-E9F0-9A0078AA9FA6}"/>
            </a:ext>
          </a:extLst>
        </cdr:cNvPr>
        <cdr:cNvSpPr txBox="1"/>
      </cdr:nvSpPr>
      <cdr:spPr>
        <a:xfrm xmlns:a="http://schemas.openxmlformats.org/drawingml/2006/main">
          <a:off x="1730477" y="798461"/>
          <a:ext cx="230696" cy="246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100"/>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28</Pages>
  <Words>7177</Words>
  <Characters>40911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Monisha</dc:creator>
  <cp:keywords/>
  <dc:description/>
  <cp:lastModifiedBy>SDI 1084</cp:lastModifiedBy>
  <cp:revision>20</cp:revision>
  <dcterms:created xsi:type="dcterms:W3CDTF">2026-03-05T08:40:00Z</dcterms:created>
  <dcterms:modified xsi:type="dcterms:W3CDTF">2026-03-06T08:40:00Z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584522ad-e9f2-4158-9f27-490fd2bb96af</vt:lpwstr>
  </property>
</Properties>
</file>