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16614" w14:textId="73278AA7" w:rsidR="002D31BA" w:rsidRPr="002D31BA" w:rsidRDefault="002D31BA" w:rsidP="003B7575">
      <w:pPr>
        <w:pStyle w:val="Heading1"/>
        <w:rPr>
          <w:sz w:val="48"/>
          <w:szCs w:val="32"/>
          <w:u w:val="single"/>
        </w:rPr>
      </w:pPr>
      <w:bookmarkStart w:id="0" w:name="_GoBack"/>
      <w:bookmarkEnd w:id="0"/>
      <w:r w:rsidRPr="002D31BA">
        <w:rPr>
          <w:sz w:val="48"/>
          <w:szCs w:val="32"/>
          <w:u w:val="single"/>
        </w:rPr>
        <w:t>Review Article</w:t>
      </w:r>
    </w:p>
    <w:p w14:paraId="55744CC0" w14:textId="52F69F12" w:rsidR="002442DA" w:rsidRPr="003B7575" w:rsidRDefault="003B7575" w:rsidP="003B7575">
      <w:pPr>
        <w:pStyle w:val="Heading1"/>
        <w:rPr>
          <w:sz w:val="44"/>
        </w:rPr>
      </w:pPr>
      <w:r w:rsidRPr="003B7575">
        <w:rPr>
          <w:sz w:val="48"/>
          <w:szCs w:val="32"/>
        </w:rPr>
        <w:t>Recent Trends in Sustainable Fisheries and Aquaculture: A Comprehensive Review</w:t>
      </w:r>
    </w:p>
    <w:p w14:paraId="69B14E2B" w14:textId="77777777" w:rsidR="002442DA" w:rsidRDefault="002442DA">
      <w:pPr>
        <w:spacing w:after="80"/>
      </w:pPr>
    </w:p>
    <w:p w14:paraId="5210C174" w14:textId="77777777" w:rsidR="003B7575" w:rsidRDefault="003B7575">
      <w:pPr>
        <w:spacing w:after="80"/>
      </w:pPr>
    </w:p>
    <w:p w14:paraId="67DA6651" w14:textId="77777777" w:rsidR="002442DA" w:rsidRDefault="003B7575" w:rsidP="003B7575">
      <w:pPr>
        <w:spacing w:before="240" w:after="160"/>
      </w:pPr>
      <w:r>
        <w:rPr>
          <w:b/>
          <w:bCs/>
          <w:sz w:val="28"/>
          <w:szCs w:val="28"/>
        </w:rPr>
        <w:t>ABSTRACT</w:t>
      </w:r>
    </w:p>
    <w:p w14:paraId="40940FD6" w14:textId="77777777" w:rsidR="002442DA" w:rsidRDefault="003B7575" w:rsidP="003B7575">
      <w:pPr>
        <w:tabs>
          <w:tab w:val="left" w:pos="9356"/>
        </w:tabs>
        <w:spacing w:after="160" w:line="360" w:lineRule="auto"/>
        <w:ind w:right="4"/>
        <w:jc w:val="both"/>
      </w:pPr>
      <w:r>
        <w:t xml:space="preserve">Fisheries and aquaculture collectively underpin global food security, provide livelihoods for hundreds of millions of people, and contribute substantially to the nutrition of coastal and inland communities worldwide. Yet escalating anthropogenic pressures—including overfishing, habitat destruction, climate change, and pollution—continue to challenge the long-term viability of these sectors. This review </w:t>
      </w:r>
      <w:proofErr w:type="spellStart"/>
      <w:r>
        <w:t>synthesises</w:t>
      </w:r>
      <w:proofErr w:type="spellEnd"/>
      <w:r>
        <w:t xml:space="preserve"> recent advances in sustainable fisheries management and aquaculture practices, drawing on peer-reviewed literature published primarily between 2005 and 2026. The global status of wild-capture fisheries and farmed production is examined alongside innovative management approaches such as ecosystem-based fisheries management and marine protected areas. Emerging aquaculture technologies—including integrated multi-trophic aquaculture, recirculating aquaculture systems, and alternative feed ingredients—are critically evaluated. The roles of remote sensing, biotechnology, and selective breeding in improving sustainability outcomes are also discussed. Socioeconomic dimensions of sustainability, including food security, small-scale fisheries, the blue economy, and the governance frameworks that underpin sustainable practice, are further addressed. The review identifies critical knowledge gaps and proposes a research agenda to advance the sustainable co-development of fisheries and aquaculture in a rapidly changing world.</w:t>
      </w:r>
    </w:p>
    <w:p w14:paraId="0B30597D" w14:textId="77777777" w:rsidR="002442DA" w:rsidRDefault="002442DA">
      <w:pPr>
        <w:spacing w:after="80"/>
      </w:pPr>
    </w:p>
    <w:p w14:paraId="58E5D498" w14:textId="77777777" w:rsidR="002442DA" w:rsidRDefault="003B7575" w:rsidP="003B7575">
      <w:pPr>
        <w:spacing w:before="160"/>
        <w:ind w:right="4"/>
        <w:jc w:val="both"/>
      </w:pPr>
      <w:r>
        <w:rPr>
          <w:b/>
          <w:bCs/>
        </w:rPr>
        <w:t xml:space="preserve">Keywords: </w:t>
      </w:r>
      <w:r>
        <w:t>sustainable fisheries; aquaculture; ecosystem-based management; marine protected areas; climate change; blue economy; recirculating aquaculture systems; integrated multi-trophic aquaculture; food security;</w:t>
      </w:r>
    </w:p>
    <w:p w14:paraId="0419B04D" w14:textId="77777777" w:rsidR="002442DA" w:rsidRDefault="002442DA">
      <w:pPr>
        <w:spacing w:after="80"/>
      </w:pPr>
    </w:p>
    <w:p w14:paraId="688D2EB8" w14:textId="77777777" w:rsidR="002442DA" w:rsidRDefault="003B7575">
      <w:pPr>
        <w:spacing w:before="440" w:after="200"/>
      </w:pPr>
      <w:r>
        <w:rPr>
          <w:b/>
          <w:bCs/>
          <w:sz w:val="28"/>
          <w:szCs w:val="28"/>
        </w:rPr>
        <w:lastRenderedPageBreak/>
        <w:t>1. INTRODUCTION</w:t>
      </w:r>
    </w:p>
    <w:p w14:paraId="0B464441" w14:textId="77777777" w:rsidR="002442DA" w:rsidRDefault="003B7575">
      <w:pPr>
        <w:spacing w:after="160" w:line="360" w:lineRule="auto"/>
        <w:jc w:val="both"/>
      </w:pPr>
      <w:r>
        <w:t>The world's oceans, rivers, and lakes sustain approximately 600 million livelihoods and supply more than 3.3 billion people with at least 20 per cent of their average per capita animal protein intake (</w:t>
      </w:r>
      <w:proofErr w:type="spellStart"/>
      <w:r>
        <w:t>Béné</w:t>
      </w:r>
      <w:proofErr w:type="spellEnd"/>
      <w:r>
        <w:t xml:space="preserve"> et al., 2015; </w:t>
      </w:r>
      <w:proofErr w:type="spellStart"/>
      <w:r>
        <w:t>Béné</w:t>
      </w:r>
      <w:proofErr w:type="spellEnd"/>
      <w:r>
        <w:t xml:space="preserve"> et al., 2016). Global fisheries and aquaculture production has grown markedly over the past six decades, driven by expanding consumer demand, dietary transitions in populous middle-income nations, and the increasing recognition of seafood as a source of high-quality, micronutrient-rich protein (Golden et al., 2016). Despite this trajectory of growth, the sector stands at a pivotal crossroads. Decades of intensive exploitation have depleted numerous commercially important fish stocks, degraded critical marine habitats, and diminished the broader ecological services upon which productive fisheries depend (Halpern et al., 2008; Pauly et al., 1998). In parallel, aquaculture—the farming of fish, shellfish, crustaceans, and aquatic plants—has emerged as one of the world's fastest-growing food production sectors, yet its rapid expansion has also generated environmental concerns related to water quality, escapement of farmed species, use of wild-caught feed fish, and disease transmission (Klinger &amp; Naylor, 2012; Naylor et al., 2009).</w:t>
      </w:r>
    </w:p>
    <w:p w14:paraId="21B52B4F" w14:textId="77777777" w:rsidR="002442DA" w:rsidRDefault="003B7575">
      <w:pPr>
        <w:spacing w:after="160" w:line="360" w:lineRule="auto"/>
        <w:jc w:val="both"/>
      </w:pPr>
      <w:r>
        <w:t xml:space="preserve">The concept of sustainable fisheries and aquaculture has evolved considerably since its initial formulation in the Brundtland Report of 1987, which called for development that meets the needs of the present without compromising the ability of future generations to meet their own needs. Applied to the aquatic food sector, sustainability encompasses not only the biological and ecological dimensions of stock health and ecosystem integrity, but also the economic viability of fishing and farming enterprises, the social equity of access and benefit distribution, and the governance capacity to manage shared and transboundary resources effectively (Ostrom, 2009; Pitcher &amp; Cheung, 2013). Recent decades have seen a proliferation of management tools, technological innovations, certification schemes, and international policy frameworks aimed at </w:t>
      </w:r>
      <w:proofErr w:type="spellStart"/>
      <w:r>
        <w:t>operationalising</w:t>
      </w:r>
      <w:proofErr w:type="spellEnd"/>
      <w:r>
        <w:t xml:space="preserve"> these multifaceted sustainability goals.</w:t>
      </w:r>
    </w:p>
    <w:p w14:paraId="3E4B4A4B" w14:textId="77777777" w:rsidR="002442DA" w:rsidRDefault="003B7575">
      <w:pPr>
        <w:spacing w:after="160" w:line="360" w:lineRule="auto"/>
        <w:jc w:val="both"/>
      </w:pPr>
      <w:r>
        <w:t xml:space="preserve">The urgency of sustainable fisheries management has been heightened by the growing recognition that climate change is already reshaping ocean productivity, species distributions, and the timing of biological events critical to fisheries (Brander, 2007; Cheung et al., 2009; Free et al., 2019). Ocean warming and acidification are altering the physiological performance of marine organisms, whilst changing current patterns and upwelling dynamics are affecting the </w:t>
      </w:r>
      <w:r>
        <w:lastRenderedPageBreak/>
        <w:t>spatial structure of fish stocks in ways that cut across existing jurisdictional boundaries (Kroeker et al., 2013). Meanwhile, the global aquaculture sector is projected to supply an increasingly dominant share of the world's seafood as wild-capture production approaches or has already reached its sustainable ceiling (Merino et al., 2012; Kobayashi et al., 2015).</w:t>
      </w:r>
    </w:p>
    <w:p w14:paraId="696DFBDB" w14:textId="77777777" w:rsidR="002442DA" w:rsidRDefault="003B7575">
      <w:pPr>
        <w:spacing w:after="160" w:line="360" w:lineRule="auto"/>
        <w:jc w:val="both"/>
      </w:pPr>
      <w:r>
        <w:t>Against this backdrop, the present review provides a comprehensive and up-to-date synthesis of recent trends in sustainable fisheries and aquaculture. By integrating findings from peer-reviewed research across fisheries science, marine ecology, aquaculture engineering, food systems, and environmental governance, this review aims to identify the most promising pathways towards a more sustainable global blue food system and to highlight areas where further scientific and policy effort is most urgently required.</w:t>
      </w:r>
    </w:p>
    <w:p w14:paraId="3B63EDE1" w14:textId="77777777" w:rsidR="002442DA" w:rsidRDefault="003B7575">
      <w:pPr>
        <w:spacing w:before="320" w:after="160"/>
      </w:pPr>
      <w:r>
        <w:rPr>
          <w:b/>
          <w:bCs/>
          <w:i/>
          <w:iCs/>
        </w:rPr>
        <w:t>1.1 Scope and Objectives</w:t>
      </w:r>
    </w:p>
    <w:p w14:paraId="03A9AB1B" w14:textId="77777777" w:rsidR="002442DA" w:rsidRDefault="003B7575">
      <w:pPr>
        <w:spacing w:after="160" w:line="360" w:lineRule="auto"/>
        <w:jc w:val="both"/>
      </w:pPr>
      <w:r>
        <w:t>This review focuses on the period from 2005 to 2026, with selected reference to foundational and classic studies where these provide essential conceptual context. The primary objectives of this review are: (</w:t>
      </w:r>
      <w:proofErr w:type="spellStart"/>
      <w:r>
        <w:t>i</w:t>
      </w:r>
      <w:proofErr w:type="spellEnd"/>
      <w:r>
        <w:t xml:space="preserve">) to describe the current global status and production trends of both wild-capture fisheries and aquaculture; (ii) to </w:t>
      </w:r>
      <w:proofErr w:type="spellStart"/>
      <w:r>
        <w:t>synthesise</w:t>
      </w:r>
      <w:proofErr w:type="spellEnd"/>
      <w:r>
        <w:t xml:space="preserve"> advances in sustainable fisheries management, including ecosystem-based approaches, spatial planning, and stock assessment; (iii) to evaluate emerging and established sustainable aquaculture technologies and practices; (iv) to assess the role of technological innovation—including remote sensing, genomics, and biotechnology—in advancing sustainability; (v) to examine the environmental challenges facing both sectors, with particular attention to climate change and pollution; (vi) to explore the socioeconomic dimensions of sustainability, encompassing food security, equity, and the blue economy; and (vii) to review current governance and policy frameworks and identify gaps requiring future research and action.</w:t>
      </w:r>
    </w:p>
    <w:p w14:paraId="1F15E089" w14:textId="77777777" w:rsidR="002442DA" w:rsidRDefault="003B7575">
      <w:pPr>
        <w:spacing w:before="440" w:after="200"/>
      </w:pPr>
      <w:r>
        <w:rPr>
          <w:b/>
          <w:bCs/>
          <w:sz w:val="28"/>
          <w:szCs w:val="28"/>
        </w:rPr>
        <w:t>2. METHODS FOR LITERATURE SELECTION</w:t>
      </w:r>
    </w:p>
    <w:p w14:paraId="2553A450" w14:textId="77777777" w:rsidR="002442DA" w:rsidRDefault="003B7575">
      <w:pPr>
        <w:spacing w:after="160" w:line="360" w:lineRule="auto"/>
        <w:jc w:val="both"/>
      </w:pPr>
      <w:r>
        <w:t xml:space="preserve">The literature for this review was identified through systematic searches of the following academic databases: Web of Science, Scopus, Google Scholar, and PubMed. Primary searches were conducted using combinations of key terms including 'sustainable fisheries', 'sustainable aquaculture', 'ecosystem-based fisheries management', 'marine protected areas', 'integrated multi-trophic aquaculture', 'recirculating aquaculture systems', 'aquaculture feed sustainability', 'climate </w:t>
      </w:r>
      <w:r>
        <w:lastRenderedPageBreak/>
        <w:t>change fisheries', 'blue economy', and 'fisheries governance'. Additional searches employed terms targeting specific subsectors and technologies, including 'selective breeding aquaculture', 'insect meal fish feed', 'seaweed farming', 'global fishing watch', 'small-scale fisheries', 'fisheries subsidies', and 'seafood certification'.</w:t>
      </w:r>
    </w:p>
    <w:p w14:paraId="14D361EA" w14:textId="77777777" w:rsidR="002442DA" w:rsidRDefault="003B7575">
      <w:pPr>
        <w:spacing w:after="160" w:line="360" w:lineRule="auto"/>
        <w:jc w:val="both"/>
      </w:pPr>
      <w:r>
        <w:t xml:space="preserve">The date range for literature retrieval was set from 2005 to 2026, although seminal and frequently cited works published before 2005 were also included where they provide indispensable conceptual or historical context. All retrieved literature was restricted exclusively to peer-reviewed journal articles published in </w:t>
      </w:r>
      <w:proofErr w:type="spellStart"/>
      <w:r>
        <w:t>recognised</w:t>
      </w:r>
      <w:proofErr w:type="spellEnd"/>
      <w:r>
        <w:t xml:space="preserve"> international academic journals. Books, grey literature, technical reports, working papers, practitioner guides, and governmental or intergovernmental publications were deliberately excluded to ensure the highest standards of scientific </w:t>
      </w:r>
      <w:proofErr w:type="spellStart"/>
      <w:r>
        <w:t>rigour</w:t>
      </w:r>
      <w:proofErr w:type="spellEnd"/>
      <w:r>
        <w:t xml:space="preserve"> and reproducibility. Titles and abstracts were screened for relevance to the thematic scope of the review, and full texts were retrieved for all candidate papers. Duplicate records were removed and studies were evaluated for methodological robustness and relevance. The final reference list represents literature deemed most pertinent to the themes addressed in this review, with priority given to high-impact studies published in internationally indexed journals.</w:t>
      </w:r>
    </w:p>
    <w:p w14:paraId="0C60011D" w14:textId="77777777" w:rsidR="002442DA" w:rsidRDefault="003B7575">
      <w:pPr>
        <w:spacing w:before="440" w:after="200"/>
      </w:pPr>
      <w:r>
        <w:rPr>
          <w:b/>
          <w:bCs/>
          <w:sz w:val="28"/>
          <w:szCs w:val="28"/>
        </w:rPr>
        <w:t>3. GLOBAL STATUS OF FISHERIES AND AQUACULTURE</w:t>
      </w:r>
    </w:p>
    <w:p w14:paraId="5A17645D" w14:textId="77777777" w:rsidR="002442DA" w:rsidRDefault="003B7575">
      <w:pPr>
        <w:spacing w:before="320" w:after="160"/>
      </w:pPr>
      <w:r>
        <w:rPr>
          <w:b/>
          <w:bCs/>
          <w:i/>
          <w:iCs/>
        </w:rPr>
        <w:t>3.1 Capture Fisheries: Production and Trends</w:t>
      </w:r>
    </w:p>
    <w:p w14:paraId="4E7231C8" w14:textId="77777777" w:rsidR="002442DA" w:rsidRDefault="003B7575">
      <w:pPr>
        <w:spacing w:after="160" w:line="360" w:lineRule="auto"/>
        <w:jc w:val="both"/>
      </w:pPr>
      <w:r>
        <w:t xml:space="preserve">Global wild-capture fisheries production has undergone a complex trajectory over the past several decades. Official reporting by international fisheries bodies has long pointed to a plateau in marine landings at roughly 80–85 million </w:t>
      </w:r>
      <w:proofErr w:type="spellStart"/>
      <w:r>
        <w:t>tonnes</w:t>
      </w:r>
      <w:proofErr w:type="spellEnd"/>
      <w:r>
        <w:t xml:space="preserve"> annually since the late 1980s. However, a landmark study by Pauly and Zeller (2016), employing systematic catch reconstruction methods, demonstrated that global catches were considerably higher than reported—peaking at approximately 130 million </w:t>
      </w:r>
      <w:proofErr w:type="spellStart"/>
      <w:r>
        <w:t>tonnes</w:t>
      </w:r>
      <w:proofErr w:type="spellEnd"/>
      <w:r>
        <w:t xml:space="preserve"> in the mid-1990s and declining substantially since then. This discrepancy arose largely from the systematic under-reporting of small-scale, subsistence, and discarded catches in official statistics, thereby obscuring the true magnitude of exploitation pressure on marine resources. The study's findings fundamentally altered the scientific community's understanding of the global fishing footprint and underscored the urgency of governance reform.</w:t>
      </w:r>
    </w:p>
    <w:p w14:paraId="0DEC9203" w14:textId="77777777" w:rsidR="002442DA" w:rsidRDefault="003B7575">
      <w:pPr>
        <w:spacing w:after="160" w:line="360" w:lineRule="auto"/>
        <w:jc w:val="both"/>
      </w:pPr>
      <w:r>
        <w:lastRenderedPageBreak/>
        <w:t xml:space="preserve">A troubling corollary of intensive exploitation has been the progressive fishing down of marine food webs—a phenomenon rigorously documented by Pauly et al. (1998), who demonstrated that the mean trophic level of global catches declined as fisheries sequentially depleted large, high-trophic-level predators and shifted targeting towards smaller, shorter-lived species at lower trophic levels. This </w:t>
      </w:r>
      <w:proofErr w:type="spellStart"/>
      <w:r>
        <w:t>reorganisation</w:t>
      </w:r>
      <w:proofErr w:type="spellEnd"/>
      <w:r>
        <w:t xml:space="preserve"> of fishing effort carries profound ecological consequences, </w:t>
      </w:r>
      <w:proofErr w:type="spellStart"/>
      <w:r>
        <w:t>destabilising</w:t>
      </w:r>
      <w:proofErr w:type="spellEnd"/>
      <w:r>
        <w:t xml:space="preserve"> community structure, reducing ecosystem resilience, and eroding the productive potential of marine systems. The proportion of fish stocks exploited at biologically unsustainable levels has increased substantially, and overexploitation is particularly acute in tropical and subtropical seas where governance capacity is often weakest and dependence on fisheries for food security is highest.</w:t>
      </w:r>
    </w:p>
    <w:p w14:paraId="47AA3416" w14:textId="77777777" w:rsidR="002442DA" w:rsidRDefault="003B7575">
      <w:pPr>
        <w:spacing w:after="160" w:line="360" w:lineRule="auto"/>
        <w:jc w:val="both"/>
      </w:pPr>
      <w:r>
        <w:t xml:space="preserve">Despite these challenges, there is compelling evidence that recovery is achievable under reformed management. Costello et al. (2016) </w:t>
      </w:r>
      <w:proofErr w:type="spellStart"/>
      <w:r>
        <w:t>analysed</w:t>
      </w:r>
      <w:proofErr w:type="spellEnd"/>
      <w:r>
        <w:t xml:space="preserve"> a large global database of assessed fish stocks and demonstrated that, under improved management arrangements, global fisheries could increase long-term sustainable catches whilst simultaneously rebuilding depleted biomass. This optimistic scenario, however, depends on the implementation of science-based harvest controls and the political will to reduce fishing effort during recovery periods—conditions that remain difficult to satisfy in many jurisdictions.</w:t>
      </w:r>
    </w:p>
    <w:p w14:paraId="679D1644" w14:textId="77777777" w:rsidR="002442DA" w:rsidRDefault="003B7575">
      <w:pPr>
        <w:spacing w:before="320" w:after="160"/>
      </w:pPr>
      <w:r>
        <w:rPr>
          <w:b/>
          <w:bCs/>
          <w:i/>
          <w:iCs/>
        </w:rPr>
        <w:t>3.2 Global Aquaculture: Growth and Diversification</w:t>
      </w:r>
    </w:p>
    <w:p w14:paraId="106C2C96" w14:textId="77777777" w:rsidR="002442DA" w:rsidRDefault="003B7575">
      <w:pPr>
        <w:spacing w:after="160" w:line="360" w:lineRule="auto"/>
        <w:jc w:val="both"/>
      </w:pPr>
      <w:r>
        <w:t>Aquaculture has emerged as one of the most rapidly expanding sectors of global food production. From a position of relative insignificance in the mid-twentieth century, it now accounts for more than half of all aquatic food consumed by humans (Troell et al., 2014). Asia—particularly China—dominates production both in volume and diversity, accounting for the majority of global finfish, shellfish, crustacean, and seaweed output. Global aquaculture production has grown at an average annual rate exceeding five per cent over recent decades, driven by rising consumer demand, advances in hatchery technology, and expanding geographical reach of farming operations (Kobayashi et al., 2015).</w:t>
      </w:r>
    </w:p>
    <w:p w14:paraId="20F72FF7" w14:textId="77777777" w:rsidR="002442DA" w:rsidRDefault="003B7575">
      <w:pPr>
        <w:spacing w:after="160" w:line="360" w:lineRule="auto"/>
        <w:jc w:val="both"/>
      </w:pPr>
      <w:r>
        <w:t xml:space="preserve">The diversity of cultured species has broadened considerably. Whilst salmonids, tilapia, catfish, and carps remain dominant in volume terms, significant investments have been made in the farming of marine finfish such as sea bass, sea bream, turbot, and grouper, as well as high-value crustaceans including shrimp and prawns. Bivalve </w:t>
      </w:r>
      <w:proofErr w:type="spellStart"/>
      <w:r>
        <w:t>molluscs</w:t>
      </w:r>
      <w:proofErr w:type="spellEnd"/>
      <w:r>
        <w:t xml:space="preserve">—oysters, mussels, clams, and </w:t>
      </w:r>
      <w:r>
        <w:lastRenderedPageBreak/>
        <w:t>scallops—represent a particularly important segment of sustainable aquaculture on account of their filter-feeding ecology, which requires no external feed inputs, and their positive contributions to coastal water quality. Detailed spatial analysis by Gentry et al. (2017) and Froehlich et al. (2018a) revealed that vast areas of the global ocean possess suitable physical conditions for marine aquaculture, and that expansion potential is largely constrained by governance, social, and economic factors rather than biophysical limits alone.</w:t>
      </w:r>
    </w:p>
    <w:p w14:paraId="45F7D66B" w14:textId="77777777" w:rsidR="002442DA" w:rsidRDefault="003B7575">
      <w:pPr>
        <w:spacing w:after="160" w:line="360" w:lineRule="auto"/>
        <w:jc w:val="both"/>
      </w:pPr>
      <w:r>
        <w:t xml:space="preserve">The cultivation of aquatic macroalgae (seaweeds) has similarly expanded, with global seaweed farming now producing tens of millions of </w:t>
      </w:r>
      <w:proofErr w:type="spellStart"/>
      <w:r>
        <w:t>tonnes</w:t>
      </w:r>
      <w:proofErr w:type="spellEnd"/>
      <w:r>
        <w:t xml:space="preserve"> annually, primarily in Asian countries, for use in food, pharmaceuticals, </w:t>
      </w:r>
      <w:proofErr w:type="spellStart"/>
      <w:r>
        <w:t>fertilisers</w:t>
      </w:r>
      <w:proofErr w:type="spellEnd"/>
      <w:r>
        <w:t xml:space="preserve">, and biofuel feedstocks (Duarte et al., 2017). A comprehensive comparative assessment by Gephart et al. (2021) evaluated the environmental performance of blue foods across multiple impact categories and found that </w:t>
      </w:r>
      <w:proofErr w:type="spellStart"/>
      <w:r>
        <w:t>molluscs</w:t>
      </w:r>
      <w:proofErr w:type="spellEnd"/>
      <w:r>
        <w:t xml:space="preserve"> and seaweeds consistently exhibited the lowest environmental footprints per unit of nutrition, whilst fed marine finfish and crustaceans showed higher greenhouse gas emissions and land-use intensities. These findings carry important implications for guiding the sustainable expansion of the sector. Despite the impressive growth trajectory of aquaculture, concerns persist over the ecological sustainability of intensive farming, encompassing water quality impacts, use of wild-caught fish for feed production, and antibiotic and chemical use (Cabello, 2006; Klinger &amp; Naylor, 2012).</w:t>
      </w:r>
    </w:p>
    <w:p w14:paraId="4FE9AFD8" w14:textId="77777777" w:rsidR="002442DA" w:rsidRDefault="003B7575">
      <w:pPr>
        <w:spacing w:before="440" w:after="200"/>
      </w:pPr>
      <w:r>
        <w:rPr>
          <w:b/>
          <w:bCs/>
          <w:sz w:val="28"/>
          <w:szCs w:val="28"/>
        </w:rPr>
        <w:t>4. SUSTAINABLE FISHERIES MANAGEMENT</w:t>
      </w:r>
    </w:p>
    <w:p w14:paraId="530BDDAA" w14:textId="77777777" w:rsidR="002442DA" w:rsidRDefault="003B7575">
      <w:pPr>
        <w:spacing w:before="320" w:after="160"/>
      </w:pPr>
      <w:r>
        <w:rPr>
          <w:b/>
          <w:bCs/>
          <w:i/>
          <w:iCs/>
        </w:rPr>
        <w:t>4.1 Ecosystem-Based Fisheries Management</w:t>
      </w:r>
    </w:p>
    <w:p w14:paraId="0943A7B1" w14:textId="77777777" w:rsidR="002442DA" w:rsidRDefault="003B7575">
      <w:pPr>
        <w:spacing w:after="160" w:line="360" w:lineRule="auto"/>
        <w:jc w:val="both"/>
      </w:pPr>
      <w:r>
        <w:t xml:space="preserve">Traditional single-species fisheries management, which focused primarily on maintaining the biomass of individual target stocks above levels required for maximum sustainable yield, has been progressively supplanted—at least in principle—by the more holistic paradigm of ecosystem-based fisheries management (EBFM). EBFM </w:t>
      </w:r>
      <w:proofErr w:type="spellStart"/>
      <w:r>
        <w:t>recognises</w:t>
      </w:r>
      <w:proofErr w:type="spellEnd"/>
      <w:r>
        <w:t xml:space="preserve"> that fish stocks are embedded within complex food webs, physical environments, and socio-institutional systems, and that management must account for ecological interactions, environmental drivers, and human dimensions simultaneously (</w:t>
      </w:r>
      <w:proofErr w:type="spellStart"/>
      <w:r>
        <w:t>Pikitch</w:t>
      </w:r>
      <w:proofErr w:type="spellEnd"/>
      <w:r>
        <w:t xml:space="preserve"> et al., 2004). The intellectual case for EBFM is compelling: single-species models that ignore predator–prey dynamics, habitat dependencies, and environmental variability consistently fail to anticipate the cascading effects of exploitation </w:t>
      </w:r>
      <w:r>
        <w:lastRenderedPageBreak/>
        <w:t>on the broader ecosystem, as illustrated by the sequential collapse of many predator populations following the depletion of their prey bases.</w:t>
      </w:r>
    </w:p>
    <w:p w14:paraId="0384D81E" w14:textId="77777777" w:rsidR="002442DA" w:rsidRDefault="003B7575">
      <w:pPr>
        <w:spacing w:after="160" w:line="360" w:lineRule="auto"/>
        <w:jc w:val="both"/>
      </w:pPr>
      <w:r>
        <w:t xml:space="preserve">In practice, the implementation of EBFM has proved challenging. It demands multi-species stock assessments, integration of oceanographic and ecological data, explicit consideration of bycatch and habitat impacts, and co-ordination across jurisdictions and sectors. Progress has been made in several regions—including the Norwegian Sea, the California Current system, and the Benguela Current large marine ecosystem—where EBFM approaches have been </w:t>
      </w:r>
      <w:proofErr w:type="spellStart"/>
      <w:r>
        <w:t>operationalised</w:t>
      </w:r>
      <w:proofErr w:type="spellEnd"/>
      <w:r>
        <w:t xml:space="preserve"> to varying degrees. Hilborn and Ovando (2014) argued that many traditionally well-managed fisheries already embody key EBFM principles implicitly, and called for pragmatic integration of ecosystem considerations into existing management frameworks rather than wholesale replacement of established approaches. Nevertheless, the </w:t>
      </w:r>
      <w:proofErr w:type="spellStart"/>
      <w:r>
        <w:t>operationalisation</w:t>
      </w:r>
      <w:proofErr w:type="spellEnd"/>
      <w:r>
        <w:t xml:space="preserve"> of full EBFM—particularly in data-limited, multi-jurisdictional, and developing-country contexts—remains a central frontier of fisheries science and governance.</w:t>
      </w:r>
    </w:p>
    <w:p w14:paraId="1A63ADD3" w14:textId="77777777" w:rsidR="002442DA" w:rsidRDefault="003B7575">
      <w:pPr>
        <w:spacing w:before="320" w:after="160"/>
      </w:pPr>
      <w:r>
        <w:rPr>
          <w:b/>
          <w:bCs/>
          <w:i/>
          <w:iCs/>
        </w:rPr>
        <w:t>4.2 Marine Protected Areas and Spatial Planning</w:t>
      </w:r>
    </w:p>
    <w:p w14:paraId="7D103098" w14:textId="77777777" w:rsidR="002442DA" w:rsidRDefault="003B7575">
      <w:pPr>
        <w:spacing w:after="160" w:line="360" w:lineRule="auto"/>
        <w:jc w:val="both"/>
      </w:pPr>
      <w:r>
        <w:t>Marine protected areas (MPAs) have become a central pillar of marine conservation and fisheries management policy. By removing or limiting fishing pressure from defined spatial zones, MPAs permit depleted populations to recover, biomass to rebuild, and ecological processes to be restored. A comprehensive global synthesis by Lester et al. (2009) demonstrated that no-take MPAs consistently produce significant positive biological effects, including increased fish biomass, density, diversity, and body size within their boundaries. These ecological benefits are well-established; however, the extent to which they translate into broader fisheries benefits through spillover of adult fish and larvae into adjacent fished areas remains more variable and context-dependent.</w:t>
      </w:r>
    </w:p>
    <w:p w14:paraId="71253937" w14:textId="77777777" w:rsidR="002442DA" w:rsidRDefault="003B7575">
      <w:pPr>
        <w:spacing w:after="160" w:line="360" w:lineRule="auto"/>
        <w:jc w:val="both"/>
      </w:pPr>
      <w:r>
        <w:t xml:space="preserve">The effectiveness of MPAs is strongly contingent on design and implementation quality. Edgar et al. (2014) identified five key features of high-performing MPAs: no-take status, well-enforced boundaries, old age, large size, and isolation from human pressures. Their global analysis demonstrated that MPAs possessing all five features contained fish communities with dramatically higher biomass than equivalent unprotected areas, whilst MPAs lacking these features offered minimal conservation benefit. These findings carry important implications for the design of the expanding global network of MPAs, particularly given international </w:t>
      </w:r>
      <w:r>
        <w:lastRenderedPageBreak/>
        <w:t>commitments under the Kunming-Montreal Global Biodiversity Framework to protect 30 per cent of the world's ocean by 2030. Integrated marine spatial planning—extending beyond discrete MPAs to encompass the zoning of entire marine regions for multiple uses—has gained traction as a more comprehensive approach to balancing biodiversity conservation with fisheries, energy, and recreation interests.</w:t>
      </w:r>
    </w:p>
    <w:p w14:paraId="3C10F8E1" w14:textId="77777777" w:rsidR="002442DA" w:rsidRDefault="003B7575">
      <w:pPr>
        <w:spacing w:before="320" w:after="160"/>
      </w:pPr>
      <w:r>
        <w:rPr>
          <w:b/>
          <w:bCs/>
          <w:i/>
          <w:iCs/>
        </w:rPr>
        <w:t>4.3 Stock Assessment, Monitoring, and Catch Reporting</w:t>
      </w:r>
    </w:p>
    <w:p w14:paraId="722899FD" w14:textId="77777777" w:rsidR="002442DA" w:rsidRDefault="003B7575">
      <w:pPr>
        <w:spacing w:after="160" w:line="360" w:lineRule="auto"/>
        <w:jc w:val="both"/>
      </w:pPr>
      <w:r>
        <w:t xml:space="preserve">Robust stock assessment is the cornerstone of evidence-based fisheries management. Conventional assessment methods rely on a combination of fisheries-dependent data (commercial and recreational catch statistics, observer records) and fisheries-independent surveys to estimate population biomass, age structure, and reproductive output. These data-intensive methods are well-developed for large, commercially important stocks in high-governance nations but remain poorly suited to the many data-limited fisheries that </w:t>
      </w:r>
      <w:proofErr w:type="spellStart"/>
      <w:r>
        <w:t>characterise</w:t>
      </w:r>
      <w:proofErr w:type="spellEnd"/>
      <w:r>
        <w:t xml:space="preserve"> tropical and developing-country contexts, where the majority of the world's fishers and fishing-dependent communities are located.</w:t>
      </w:r>
    </w:p>
    <w:p w14:paraId="1AA87F57" w14:textId="77777777" w:rsidR="002442DA" w:rsidRDefault="003B7575">
      <w:pPr>
        <w:spacing w:after="160" w:line="360" w:lineRule="auto"/>
        <w:jc w:val="both"/>
      </w:pPr>
      <w:r>
        <w:t xml:space="preserve">The systematic under-reporting of catches revealed by Pauly and Zeller (2016) has spurred innovation in catch reconstruction methods that incorporate diverse data sources including ethnographic surveys, household consumption studies, and trade statistics. Complementing these approaches, advances in environmental DNA sampling, acoustic survey methods, and machine learning-based image recognition are offering new tools for non-invasive, high-resolution monitoring of fish populations. Satellite-based vessel monitoring systems and automatic identification system data cross-referenced with global fishing watch databases, as demonstrated by </w:t>
      </w:r>
      <w:proofErr w:type="spellStart"/>
      <w:r>
        <w:t>Kroodsma</w:t>
      </w:r>
      <w:proofErr w:type="spellEnd"/>
      <w:r>
        <w:t xml:space="preserve"> et al. (2018), have </w:t>
      </w:r>
      <w:proofErr w:type="spellStart"/>
      <w:r>
        <w:t>revolutionised</w:t>
      </w:r>
      <w:proofErr w:type="spellEnd"/>
      <w:r>
        <w:t xml:space="preserve"> the capacity to track fishing vessel activity at the global scale, revealing previously uncharted patterns of distant-water fleet </w:t>
      </w:r>
      <w:proofErr w:type="spellStart"/>
      <w:r>
        <w:t>behaviour</w:t>
      </w:r>
      <w:proofErr w:type="spellEnd"/>
      <w:r>
        <w:t xml:space="preserve"> and identifying zones of potential illegal, unreported, and unregulated (IUU) fishing. The integration of these diverse monitoring tools within adaptive management frameworks offers transformative potential for improving both the accuracy and timeliness of fisheries assessment.</w:t>
      </w:r>
    </w:p>
    <w:p w14:paraId="4D29ECF8" w14:textId="77777777" w:rsidR="002442DA" w:rsidRDefault="003B7575">
      <w:pPr>
        <w:spacing w:before="440" w:after="200"/>
      </w:pPr>
      <w:r>
        <w:rPr>
          <w:b/>
          <w:bCs/>
          <w:sz w:val="28"/>
          <w:szCs w:val="28"/>
        </w:rPr>
        <w:t>5. SUSTAINABLE AQUACULTURE PRACTICES</w:t>
      </w:r>
    </w:p>
    <w:p w14:paraId="5C74C10E" w14:textId="77777777" w:rsidR="002442DA" w:rsidRDefault="003B7575">
      <w:pPr>
        <w:spacing w:before="320" w:after="160"/>
      </w:pPr>
      <w:r>
        <w:rPr>
          <w:b/>
          <w:bCs/>
          <w:i/>
          <w:iCs/>
        </w:rPr>
        <w:t>5.1 Integrated Multi-Trophic Aquaculture</w:t>
      </w:r>
    </w:p>
    <w:p w14:paraId="061F238F" w14:textId="77777777" w:rsidR="002442DA" w:rsidRDefault="003B7575">
      <w:pPr>
        <w:spacing w:after="160" w:line="360" w:lineRule="auto"/>
        <w:jc w:val="both"/>
      </w:pPr>
      <w:r>
        <w:lastRenderedPageBreak/>
        <w:t xml:space="preserve">Integrated multi-trophic aquaculture (IMTA) represents one of the most ecologically inspired approaches to sustainable fish farming. In IMTA systems, the by-products—uneaten feed, </w:t>
      </w:r>
      <w:proofErr w:type="spellStart"/>
      <w:r>
        <w:t>faeces</w:t>
      </w:r>
      <w:proofErr w:type="spellEnd"/>
      <w:r>
        <w:t>, and dissolved waste—from one species are used as inputs for other, complementary cultured organisms at different trophic levels, thereby increasing resource use efficiency and reducing environmental impact (Troell et al., 2009). A typical IMTA configuration might co-culture finfish such as Atlantic salmon alongside suspension-feeding bivalves such as mussels or oysters, which filter particulate organic matter from the water column, and extractive macroalgae such as kelp, which absorb dissolved inorganic nutrients. The result is a farm system that mimics aspects of natural ecosystem function, reducing the net release of nutrients and organic matter into the surrounding marine environment whilst diversifying production and potentially improving the economic resilience of the enterprise.</w:t>
      </w:r>
    </w:p>
    <w:p w14:paraId="73A3E6E2" w14:textId="77777777" w:rsidR="002442DA" w:rsidRDefault="003B7575">
      <w:pPr>
        <w:spacing w:after="160" w:line="360" w:lineRule="auto"/>
        <w:jc w:val="both"/>
      </w:pPr>
      <w:r>
        <w:t>Research at IMTA pilot sites in Canada, Norway, Chile, China, and Israel has demonstrated reductions in nitrogen and phosphorus release per unit of finfish produced, improved water quality around farm sites, and commercial viability of co-cultured extractive species (Troell et al., 2009). Salmon aquaculture operations in coastal Chile, for instance, have been linked to significant nutrient loading and ecosystem-level impacts, and IMTA-style integration of bioremediation species has been explored as a mitigation strategy in that context (Buschmann et al., 2009). Scaling IMTA from pilot to commercial operation, however, remains technically and logistically challenging, and the optimal species combinations, spatial arrangements, and stocking ratios require careful site-specific experimentation and modelling. Regulatory frameworks in most jurisdictions have not yet fully adapted to accommodate the novel multi-species, multi-operator arrangements that advanced IMTA systems require.</w:t>
      </w:r>
    </w:p>
    <w:p w14:paraId="71DD664F" w14:textId="77777777" w:rsidR="002442DA" w:rsidRDefault="003B7575">
      <w:pPr>
        <w:spacing w:before="320" w:after="160"/>
      </w:pPr>
      <w:r>
        <w:rPr>
          <w:b/>
          <w:bCs/>
          <w:i/>
          <w:iCs/>
        </w:rPr>
        <w:t>5.2 Recirculating Aquaculture Systems</w:t>
      </w:r>
    </w:p>
    <w:p w14:paraId="55AAC86E" w14:textId="77777777" w:rsidR="002442DA" w:rsidRDefault="003B7575">
      <w:pPr>
        <w:spacing w:after="160" w:line="360" w:lineRule="auto"/>
        <w:jc w:val="both"/>
      </w:pPr>
      <w:r>
        <w:t xml:space="preserve">Recirculating aquaculture systems (RAS) represent a technologically intensive approach to sustainable aquaculture </w:t>
      </w:r>
      <w:proofErr w:type="spellStart"/>
      <w:r>
        <w:t>characterised</w:t>
      </w:r>
      <w:proofErr w:type="spellEnd"/>
      <w:r>
        <w:t xml:space="preserve"> by the recycling and treatment of water within enclosed facilities. In a RAS, water is continuously filtered, re-oxygenated, and purified through a combination of mechanical, biological, and UV treatment processes before being returned to the fish rearing tanks. This enables the production of fish at very high densities with minimal water exchange and effluent discharge—typically reducing water consumption by over 95 per cent compared with flow-through systems (Martins et al., 2010). The environmental advantages of </w:t>
      </w:r>
      <w:r>
        <w:lastRenderedPageBreak/>
        <w:t>RAS are considerable: the technology eliminates the risk of fish escapement into wild environments, prevents direct discharge of nutrient-laden effluents into adjacent water bodies, allows full control over feeding regimes and growth parameters, and can be located anywhere, effectively decoupling fish production from coastal and freshwater environments.</w:t>
      </w:r>
    </w:p>
    <w:p w14:paraId="13D7F4D0" w14:textId="77777777" w:rsidR="002442DA" w:rsidRDefault="003B7575">
      <w:pPr>
        <w:spacing w:after="160" w:line="360" w:lineRule="auto"/>
        <w:jc w:val="both"/>
      </w:pPr>
      <w:r>
        <w:t>Land-based salmon RAS facilities have been developed in Europe, North America, and Asia, attracted by growing consumer demand for locally produced, traceable seafood. Martins et al. (2010) reviewed the development of RAS technology across European contexts and identified improving energy efficiency, effective biofilter management, and handling of solid wastes as the primary technological challenges requiring further innovation. However, RAS are highly energy-intensive, and their overall environmental impact depends critically on the carbon intensity of the energy sources used. Life cycle assessments have generally found higher energy and carbon footprints per unit of fish produced in RAS compared with net-pen aquaculture, unless renewable energy sources are employed. The economic cost structure of RAS operations is considerably higher than conventional systems, requiring sustained high market prices to remain commercially viable—a factor that currently limits adoption to premium market segments.</w:t>
      </w:r>
    </w:p>
    <w:p w14:paraId="5ED782A9" w14:textId="77777777" w:rsidR="002442DA" w:rsidRDefault="003B7575">
      <w:pPr>
        <w:spacing w:before="320" w:after="160"/>
      </w:pPr>
      <w:r>
        <w:rPr>
          <w:b/>
          <w:bCs/>
          <w:i/>
          <w:iCs/>
        </w:rPr>
        <w:t>5.3 Alternative and Sustainable Feed Ingredients</w:t>
      </w:r>
    </w:p>
    <w:p w14:paraId="0CBC88F4" w14:textId="77777777" w:rsidR="002442DA" w:rsidRDefault="003B7575">
      <w:pPr>
        <w:spacing w:after="160" w:line="360" w:lineRule="auto"/>
        <w:jc w:val="both"/>
      </w:pPr>
      <w:r>
        <w:t>The dependence of aquaculture—particularly carnivorous species such as salmon, trout, and marine finfish—on fishmeal and fish oil derived from wild-caught pelagic fish is one of the most significant sustainability challenges facing the sector. Global fishmeal production is concentrated in a handful of species and regions, notably anchovy in the Humboldt Current, sand eels in the North Sea, and capelin in the North Atlantic, whose exploitation for reduction to meal and oil contributes to ecological stress in these ecosystems and to competition between aquaculture and direct human consumption (Naylor et al., 2009; Olsen, 2011).</w:t>
      </w:r>
    </w:p>
    <w:p w14:paraId="37DEC046" w14:textId="77777777" w:rsidR="002442DA" w:rsidRDefault="003B7575">
      <w:pPr>
        <w:spacing w:after="160" w:line="360" w:lineRule="auto"/>
        <w:jc w:val="both"/>
      </w:pPr>
      <w:r>
        <w:t>Over the past two decades, the aquafeed industry has made substantial progress in replacing fishmeal and fish oil with alternative protein and lipid sources. Plant-based proteins—including soybean meal, rapeseed meal, and wheat gluten—have been incorporated at high inclusion rates into feeds for many species, although challenges remain with respect to digestibility, amino acid profiles, and the presence of anti-nutritional factors. Terrestrial animal by-products, including poultry meal and feather meal, represent another source, subject to regulatory restrictions in several jurisdictions. More recently, insect meal—particularly from black soldier fly (</w:t>
      </w:r>
      <w:proofErr w:type="spellStart"/>
      <w:r>
        <w:t>Hermetia</w:t>
      </w:r>
      <w:proofErr w:type="spellEnd"/>
      <w:r>
        <w:t xml:space="preserve"> </w:t>
      </w:r>
      <w:proofErr w:type="spellStart"/>
      <w:r>
        <w:lastRenderedPageBreak/>
        <w:t>illucens</w:t>
      </w:r>
      <w:proofErr w:type="spellEnd"/>
      <w:r>
        <w:t>) larvae—has emerged as a promising and environmentally advantageous protein source that can be produced on organic waste streams with minimal land and water requirements (Henry et al., 2015). Similarly, single-cell proteins derived from fermentation of bacteria, yeast, or microalgae, and algal oils produced by heterotrophic microalgae rich in long-chain omega-3 fatty acids, are increasingly incorporated into commercial aquafeeds, reducing dependency on wild fish-derived oils whilst maintaining the nutritional quality of farmed fish for human consumers (Naylor et al., 2009; Olsen, 2011). Froehlich et al. (2018b) conducted a comparative scenario analysis demonstrating that transitioning to a world in which aquaculture provides the majority of aquatic protein supply could, if managed carefully, be achieved with considerably less land and wild fish consumption than an equivalent reliance on terrestrial livestock production.</w:t>
      </w:r>
    </w:p>
    <w:p w14:paraId="778309C7" w14:textId="77777777" w:rsidR="002442DA" w:rsidRDefault="003B7575">
      <w:pPr>
        <w:spacing w:before="320" w:after="160"/>
      </w:pPr>
      <w:r>
        <w:rPr>
          <w:b/>
          <w:bCs/>
          <w:i/>
          <w:iCs/>
        </w:rPr>
        <w:t>5.4 Selective Breeding and Genetic Improvement</w:t>
      </w:r>
    </w:p>
    <w:p w14:paraId="791B1B04" w14:textId="77777777" w:rsidR="002442DA" w:rsidRDefault="003B7575">
      <w:pPr>
        <w:spacing w:after="160" w:line="360" w:lineRule="auto"/>
        <w:jc w:val="both"/>
      </w:pPr>
      <w:r>
        <w:t xml:space="preserve">Selective breeding </w:t>
      </w:r>
      <w:proofErr w:type="spellStart"/>
      <w:r>
        <w:t>programmes</w:t>
      </w:r>
      <w:proofErr w:type="spellEnd"/>
      <w:r>
        <w:t xml:space="preserve"> have delivered transformative productivity gains in terrestrial livestock agriculture over the past century, and aquaculture is increasingly following this path. Systematic selective breeding of Atlantic salmon initiated in Norway in the early 1970s has yielded cumulative genetic gains in growth rate of approximately 10–15 per cent per generation, now representing one of the most successful livestock improvement </w:t>
      </w:r>
      <w:proofErr w:type="spellStart"/>
      <w:r>
        <w:t>programmes</w:t>
      </w:r>
      <w:proofErr w:type="spellEnd"/>
      <w:r>
        <w:t xml:space="preserve"> in history (</w:t>
      </w:r>
      <w:proofErr w:type="spellStart"/>
      <w:r>
        <w:t>Gjedrem</w:t>
      </w:r>
      <w:proofErr w:type="spellEnd"/>
      <w:r>
        <w:t xml:space="preserve"> et al., 2012). Similar </w:t>
      </w:r>
      <w:proofErr w:type="spellStart"/>
      <w:r>
        <w:t>programmes</w:t>
      </w:r>
      <w:proofErr w:type="spellEnd"/>
      <w:r>
        <w:t xml:space="preserve"> have been developed for tilapia, common carp, catfish, shrimp, and a growing range of marine finfish, generating gains in growth rate, feed conversion efficiency, disease resistance, and stress tolerance with significant positive implications for the economic and environmental sustainability of production.</w:t>
      </w:r>
    </w:p>
    <w:p w14:paraId="1FE84EE2" w14:textId="77777777" w:rsidR="002442DA" w:rsidRDefault="003B7575">
      <w:pPr>
        <w:spacing w:after="160" w:line="360" w:lineRule="auto"/>
        <w:jc w:val="both"/>
      </w:pPr>
      <w:r>
        <w:t>The integration of genomic tools—including genomic selection based on dense single-nucleotide polymorphism marker panels and, more recently, gene editing technologies such as CRISPR-Cas9—has accelerated the pace of genetic improvement whilst reducing costs and improving the precision of selection (Gjedrem et al., 2012). However, the application of gene editing in aquaculture raises complex regulatory and ethical questions, particularly regarding the potential ecological impacts of escapement of genetically modified fish into wild environments and the acceptability of such products to consumers in different markets. Robust regulatory oversight and comprehensive environmental risk assessment are essential prerequisites for the responsible deployment of advanced genetic technologies in commercial aquaculture.</w:t>
      </w:r>
    </w:p>
    <w:p w14:paraId="2E26F344" w14:textId="77777777" w:rsidR="002442DA" w:rsidRDefault="003B7575">
      <w:pPr>
        <w:spacing w:before="440" w:after="200"/>
      </w:pPr>
      <w:r>
        <w:rPr>
          <w:b/>
          <w:bCs/>
          <w:sz w:val="28"/>
          <w:szCs w:val="28"/>
        </w:rPr>
        <w:lastRenderedPageBreak/>
        <w:t>6. TECHNOLOGICAL INNOVATIONS IN FISHERIES AND AQUACULTURE</w:t>
      </w:r>
    </w:p>
    <w:p w14:paraId="274F5644" w14:textId="77777777" w:rsidR="002442DA" w:rsidRDefault="003B7575">
      <w:pPr>
        <w:spacing w:before="320" w:after="160"/>
      </w:pPr>
      <w:r>
        <w:rPr>
          <w:b/>
          <w:bCs/>
          <w:i/>
          <w:iCs/>
        </w:rPr>
        <w:t>6.1 Remote Sensing, Big Data, and Vessel Monitoring</w:t>
      </w:r>
    </w:p>
    <w:p w14:paraId="29AD2B06" w14:textId="77777777" w:rsidR="002442DA" w:rsidRDefault="003B7575">
      <w:pPr>
        <w:spacing w:after="160" w:line="360" w:lineRule="auto"/>
        <w:jc w:val="both"/>
      </w:pPr>
      <w:r>
        <w:t>Advances in satellite technology, electronic monitoring, and data analytics have transformed the capacity for real-time observation of fishing activity and ocean conditions at global scales. The Global Fishing Watch initiative, drawing on automatic identification system transponder data from commercial vessels, has enabled researchers and regulators to track the precise movements and inferred activities of tens of thousands of fishing vessels worldwide (</w:t>
      </w:r>
      <w:proofErr w:type="spellStart"/>
      <w:r>
        <w:t>Kroodsma</w:t>
      </w:r>
      <w:proofErr w:type="spellEnd"/>
      <w:r>
        <w:t xml:space="preserve"> et al., 2018). Analysis of this dataset revealed that global fishing effort is distributed across more than 55 per cent of the world's ocean area, and identified temporal patterns related to seasons, weather events, and regulatory closures. Crucially, it has also enabled the identification of vessels operating outside declared fishing zones or without legitimate registration, substantially strengthening efforts to combat IUU fishing at the global scale.</w:t>
      </w:r>
    </w:p>
    <w:p w14:paraId="7358411F" w14:textId="77777777" w:rsidR="002442DA" w:rsidRDefault="003B7575">
      <w:pPr>
        <w:spacing w:after="160" w:line="360" w:lineRule="auto"/>
        <w:jc w:val="both"/>
      </w:pPr>
      <w:r>
        <w:t xml:space="preserve">Remote sensing of ocean </w:t>
      </w:r>
      <w:proofErr w:type="spellStart"/>
      <w:r>
        <w:t>colour</w:t>
      </w:r>
      <w:proofErr w:type="spellEnd"/>
      <w:r>
        <w:t xml:space="preserve">, sea surface temperature, chlorophyll-a concentrations, and current patterns from earth observation satellites provides fisheries managers and industry operators with real-time information on the location of productive fishing grounds, facilitating more efficient targeting and reducing fuel consumption. Machine learning and artificial intelligence are finding increasing application in fisheries science, including in the classification of fish species from underwater camera imagery, the prediction of stock dynamics from environmental covariates, and the </w:t>
      </w:r>
      <w:proofErr w:type="spellStart"/>
      <w:r>
        <w:t>optimisation</w:t>
      </w:r>
      <w:proofErr w:type="spellEnd"/>
      <w:r>
        <w:t xml:space="preserve"> of fishing gear designs to reduce bycatch. These emerging analytical tools hold considerable promise for improving the cost-effectiveness and accuracy of fisheries assessment and monitoring across diverse operational contexts.</w:t>
      </w:r>
    </w:p>
    <w:p w14:paraId="1BC72818" w14:textId="77777777" w:rsidR="002442DA" w:rsidRDefault="003B7575">
      <w:pPr>
        <w:spacing w:before="320" w:after="160"/>
      </w:pPr>
      <w:r>
        <w:rPr>
          <w:b/>
          <w:bCs/>
          <w:i/>
          <w:iCs/>
        </w:rPr>
        <w:t>6.2 Biotechnology and Genomics in Aquaculture</w:t>
      </w:r>
    </w:p>
    <w:p w14:paraId="4259CE80" w14:textId="77777777" w:rsidR="002442DA" w:rsidRDefault="003B7575">
      <w:pPr>
        <w:spacing w:after="160" w:line="360" w:lineRule="auto"/>
        <w:jc w:val="both"/>
      </w:pPr>
      <w:r>
        <w:t xml:space="preserve">Beyond selective breeding, molecular biotechnology is opening new avenues for disease management, reproductive control, and nutritional enhancement in aquaculture. Genomic sequencing of commercially important aquaculture species has expanded rapidly, with high-quality reference genomes now available for Atlantic salmon, rainbow trout, tilapia, common carp, and several marine finfish and crustacean species. These genomic resources underpin marker-assisted and genomic selection </w:t>
      </w:r>
      <w:proofErr w:type="spellStart"/>
      <w:r>
        <w:t>programmes</w:t>
      </w:r>
      <w:proofErr w:type="spellEnd"/>
      <w:r>
        <w:t xml:space="preserve"> and enable the identification of quantitative </w:t>
      </w:r>
      <w:r>
        <w:lastRenderedPageBreak/>
        <w:t>trait loci associated with economically important traits such as disease resistance, flesh quality, and thermal tolerance.</w:t>
      </w:r>
    </w:p>
    <w:p w14:paraId="0A53DDAB" w14:textId="77777777" w:rsidR="002442DA" w:rsidRDefault="003B7575">
      <w:pPr>
        <w:spacing w:after="160" w:line="360" w:lineRule="auto"/>
        <w:jc w:val="both"/>
      </w:pPr>
      <w:r>
        <w:t>Vaccine development has emerged as a critical tool for reducing antibiotic use in aquaculture. The salmon aquaculture industry in Norway successfully transitioned away from heavy reliance on antibiotics in the 1990s following the development and widespread adoption of multivalent oil-adjuvanted vaccines against furunculosis and vibriosis—a public health and environmental success story that stands as a model for other producing nations (Cabello, 2006). Antibiotic resistance nonetheless remains a significant concern in aquaculture contexts where vaccination coverage is low and antimicrobial use is poorly regulated, particularly in parts of South and Southeast Asia where shrimp and fish production is intensive and growing rapidly (Cabello, 2006). Addressing these challenges requires coordinated action spanning research, regulation, industry practice, and international trade standards.</w:t>
      </w:r>
    </w:p>
    <w:p w14:paraId="4E6BA271" w14:textId="77777777" w:rsidR="002442DA" w:rsidRDefault="003B7575">
      <w:pPr>
        <w:spacing w:before="320" w:after="160"/>
      </w:pPr>
      <w:r>
        <w:rPr>
          <w:b/>
          <w:bCs/>
          <w:i/>
          <w:iCs/>
        </w:rPr>
        <w:t>6.3 Seaweed Cultivation and Blue Biotechnology</w:t>
      </w:r>
    </w:p>
    <w:p w14:paraId="1243A12B" w14:textId="77777777" w:rsidR="002442DA" w:rsidRDefault="003B7575">
      <w:pPr>
        <w:spacing w:after="160" w:line="360" w:lineRule="auto"/>
        <w:jc w:val="both"/>
      </w:pPr>
      <w:r>
        <w:t xml:space="preserve">The cultivation of marine macroalgae has attracted growing interest not only as a food and feed source but as a potential mechanism for carbon sequestration, coastal bioremediation, and production of high-value bioactive compounds. Seaweed farming requires no freshwater, no </w:t>
      </w:r>
      <w:proofErr w:type="spellStart"/>
      <w:r>
        <w:t>fertiliser</w:t>
      </w:r>
      <w:proofErr w:type="spellEnd"/>
      <w:r>
        <w:t xml:space="preserve"> inputs, and no feed, deriving all nutrient requirements from the surrounding seawater, making it one of the least environmentally impactful forms of food production per unit area (Duarte et al., 2017). The potential of seaweed farms to mitigate coastal eutrophication by absorbing excess nutrients from agricultural runoff, aquaculture effluents, and urban discharge has been explored in several contexts. When integrated into IMTA systems, macroalgal culture can absorb dissolved inorganic nitrogen and phosphorus released by co-cultured finfish, performing an important ecosystem service whilst generating harvestable biomass (Troell et al., 2009).</w:t>
      </w:r>
    </w:p>
    <w:p w14:paraId="478AB979" w14:textId="77777777" w:rsidR="002442DA" w:rsidRDefault="003B7575">
      <w:pPr>
        <w:spacing w:after="160" w:line="360" w:lineRule="auto"/>
        <w:jc w:val="both"/>
      </w:pPr>
      <w:r>
        <w:t xml:space="preserve">The carbon sequestration potential of kelp and other large seaweeds has attracted particular scientific and policy interest. However, as Duarte et al. (2017) noted, the fate of carbon fixed in seaweed biomass—whether it is </w:t>
      </w:r>
      <w:proofErr w:type="spellStart"/>
      <w:r>
        <w:t>remineralised</w:t>
      </w:r>
      <w:proofErr w:type="spellEnd"/>
      <w:r>
        <w:t xml:space="preserve"> rapidly in coastal waters, exported to depth, or permanently sequestered—remains a subject of active and unresolved research. Blue biotechnology, which encompasses the discovery and development of bioactive compounds from marine organisms, represents a further frontier with commercial applications in pharmaceuticals, </w:t>
      </w:r>
      <w:r>
        <w:lastRenderedPageBreak/>
        <w:t xml:space="preserve">nutraceuticals, cosmetics, and specialty feeds. Algal oils rich in long-chain omega-3 fatty acids, derived from microalgae cultivated in heterotrophic fermentation systems, are already </w:t>
      </w:r>
      <w:proofErr w:type="spellStart"/>
      <w:r>
        <w:t>commercialised</w:t>
      </w:r>
      <w:proofErr w:type="spellEnd"/>
      <w:r>
        <w:t xml:space="preserve"> as a sustainable substitute for fish-derived oils in both aquafeeds and human nutritional supplements.</w:t>
      </w:r>
    </w:p>
    <w:p w14:paraId="2FFA4268" w14:textId="77777777" w:rsidR="002442DA" w:rsidRDefault="003B7575">
      <w:pPr>
        <w:spacing w:before="440" w:after="200"/>
      </w:pPr>
      <w:r>
        <w:rPr>
          <w:b/>
          <w:bCs/>
          <w:sz w:val="28"/>
          <w:szCs w:val="28"/>
        </w:rPr>
        <w:t>7. ENVIRONMENTAL CHALLENGES AND CLIMATE CHANGE IMPACTS</w:t>
      </w:r>
    </w:p>
    <w:p w14:paraId="2ED25564" w14:textId="77777777" w:rsidR="002442DA" w:rsidRDefault="003B7575">
      <w:pPr>
        <w:spacing w:before="320" w:after="160"/>
      </w:pPr>
      <w:r>
        <w:rPr>
          <w:b/>
          <w:bCs/>
          <w:i/>
          <w:iCs/>
        </w:rPr>
        <w:t>7.1 Ocean Warming, Acidification, and Distribution Shifts</w:t>
      </w:r>
    </w:p>
    <w:p w14:paraId="5622AD5A" w14:textId="77777777" w:rsidR="002442DA" w:rsidRDefault="003B7575">
      <w:pPr>
        <w:spacing w:after="160" w:line="360" w:lineRule="auto"/>
        <w:jc w:val="both"/>
      </w:pPr>
      <w:r>
        <w:t>The impacts of anthropogenic climate change on marine ecosystems and the fisheries they support represent one of the defining challenges for the sector in the twenty-first century. Ocean warming has already caused significant poleward shifts in the distributions of numerous commercially important fish species, altered the phenology of spawning and recruitment, and changed the seasonal timing of productivity in both temperate and high-latitude seas (Cheung et al., 2009; Brander, 2007). Free et al. (2019) conducted a comprehensive analysis of historical catch data and linked observed changes in production to sea surface temperature anomalies, finding that warming has already produced significant net decreases in maximum sustainable yield for many stocks, with impacts disproportionately affecting lower-latitude fisheries and the food-insecure populations that depend upon them.</w:t>
      </w:r>
    </w:p>
    <w:p w14:paraId="0B612F3D" w14:textId="77777777" w:rsidR="002442DA" w:rsidRDefault="003B7575">
      <w:pPr>
        <w:spacing w:after="160" w:line="360" w:lineRule="auto"/>
        <w:jc w:val="both"/>
      </w:pPr>
      <w:r>
        <w:t xml:space="preserve">Ocean acidification—the progressive decrease in seawater pH resulting from the absorption of atmospheric CO2—poses particular threats to calcifying organisms including oysters, mussels, corals, and certain echinoderm and crustacean species (Kroeker et al., 2013). Kroeker et al. (2013) </w:t>
      </w:r>
      <w:proofErr w:type="spellStart"/>
      <w:r>
        <w:t>synthesised</w:t>
      </w:r>
      <w:proofErr w:type="spellEnd"/>
      <w:r>
        <w:t xml:space="preserve"> the results of hundreds of laboratory and mesocosm experiments and found consistent negative effects of acidification on calcification rates, survival, growth, and reproduction across a wide range of marine taxa. Combined effects of warming and acidification are generally more severe than either stressor alone, raising serious concern about the future viability of bivalve aquaculture in regions experiencing rapid ocean change. Projections of future fisheries production under climate change scenarios consistently indicate substantial redistribution of catches across latitudinal gradients, with tropical and subtropical nations facing the greatest losses in catch potential (Cheung et al., 2009), creating new tensions in international fisheries governance as stocks migrate across existing jurisdictional boundaries.</w:t>
      </w:r>
    </w:p>
    <w:p w14:paraId="2A5DECF6" w14:textId="77777777" w:rsidR="002442DA" w:rsidRDefault="003B7575">
      <w:pPr>
        <w:spacing w:before="320" w:after="160"/>
      </w:pPr>
      <w:r>
        <w:rPr>
          <w:b/>
          <w:bCs/>
          <w:i/>
          <w:iCs/>
        </w:rPr>
        <w:lastRenderedPageBreak/>
        <w:t>7.2 Pollution, Habitat Degradation, and Biodiversity Loss</w:t>
      </w:r>
    </w:p>
    <w:p w14:paraId="70585CE0" w14:textId="77777777" w:rsidR="002442DA" w:rsidRDefault="003B7575">
      <w:pPr>
        <w:spacing w:after="160" w:line="360" w:lineRule="auto"/>
        <w:jc w:val="both"/>
      </w:pPr>
      <w:r>
        <w:t>The cumulative impact of human activities on marine ecosystems—documented comprehensively by Halpern et al. (2008) through an integrated global mapping exercise—reveals that virtually no area of the world's ocean is entirely free from anthropogenic influence. Nutrient loading from agriculture, sewage, and aquaculture drives widespread coastal eutrophication, producing hypoxic dead zones, harmful algal blooms, and deteriorating water quality in productive estuarine and nearshore environments. Plastic pollution has emerged as a pervasive contaminant across all ocean zones, with microplastics documented in the tissues of commercially important fish and shellfish, with potential implications for product safety and consumer acceptance.</w:t>
      </w:r>
    </w:p>
    <w:p w14:paraId="08EFF078" w14:textId="77777777" w:rsidR="002442DA" w:rsidRDefault="003B7575">
      <w:pPr>
        <w:spacing w:after="160" w:line="360" w:lineRule="auto"/>
        <w:jc w:val="both"/>
      </w:pPr>
      <w:r>
        <w:t xml:space="preserve">Habitat degradation, particularly the loss of mangrove forests, seagrass beds, coral reefs, and estuarine wetlands, which serve as critical nursery and feeding habitats for many commercially exploited species, has profoundly undermined the productive potential of coastal fisheries. Much of this habitat loss has been attributed directly or indirectly to aquaculture expansion, coastal development, and land-use change in adjacent catchments. The conversion of mangrove ecosystems for shrimp pond construction in Southeast Asia and other tropical regions has been particularly destructive, eliminating habitats that simultaneously support fisheries, sequester carbon, and provide coastal protection against extreme weather events (Klinger &amp; Naylor, 2012). The restoration of degraded coastal habitats is increasingly </w:t>
      </w:r>
      <w:proofErr w:type="spellStart"/>
      <w:r>
        <w:t>recognised</w:t>
      </w:r>
      <w:proofErr w:type="spellEnd"/>
      <w:r>
        <w:t xml:space="preserve"> as both an important co-benefit of sustainable aquaculture and fisheries management </w:t>
      </w:r>
      <w:proofErr w:type="spellStart"/>
      <w:r>
        <w:t>programmes</w:t>
      </w:r>
      <w:proofErr w:type="spellEnd"/>
      <w:r>
        <w:t>, and a policy priority in its own right under international biodiversity and climate frameworks.</w:t>
      </w:r>
    </w:p>
    <w:p w14:paraId="77E8DF11" w14:textId="77777777" w:rsidR="002442DA" w:rsidRDefault="003B7575">
      <w:pPr>
        <w:spacing w:before="440" w:after="200"/>
      </w:pPr>
      <w:r>
        <w:rPr>
          <w:b/>
          <w:bCs/>
          <w:sz w:val="28"/>
          <w:szCs w:val="28"/>
        </w:rPr>
        <w:t>8. SOCIOECONOMIC DIMENSIONS OF SUSTAINABLE FISHERIES AND AQUACULTURE</w:t>
      </w:r>
    </w:p>
    <w:p w14:paraId="3BC28736" w14:textId="77777777" w:rsidR="002442DA" w:rsidRDefault="003B7575">
      <w:pPr>
        <w:spacing w:before="320" w:after="160"/>
      </w:pPr>
      <w:r>
        <w:rPr>
          <w:b/>
          <w:bCs/>
          <w:i/>
          <w:iCs/>
        </w:rPr>
        <w:t>8.1 Food Security, Nutrition, and Human Health</w:t>
      </w:r>
    </w:p>
    <w:p w14:paraId="30C9FC28" w14:textId="77777777" w:rsidR="002442DA" w:rsidRDefault="003B7575">
      <w:pPr>
        <w:spacing w:after="160" w:line="360" w:lineRule="auto"/>
        <w:jc w:val="both"/>
      </w:pPr>
      <w:r>
        <w:t xml:space="preserve">Fish and other aquatic foods are nutritionally distinctive in their concentration of long-chain omega-3 polyunsaturated fatty acids, high-quality protein, and micronutrients including iodine, zinc, calcium, iron, and vitamin D. For populations in coastal and riparian communities across sub-Saharan Africa, South and Southeast Asia, and the Pacific Islands, small-scale fisheries and aquaculture represent not only a dietary staple but frequently the most accessible and affordable </w:t>
      </w:r>
      <w:r>
        <w:lastRenderedPageBreak/>
        <w:t xml:space="preserve">source of animal-derived micronutrients (Golden et al., 2016; </w:t>
      </w:r>
      <w:proofErr w:type="spellStart"/>
      <w:r>
        <w:t>Béné</w:t>
      </w:r>
      <w:proofErr w:type="spellEnd"/>
      <w:r>
        <w:t xml:space="preserve"> et al., 2016). Golden et al. (2016) demonstrated that projected declines in fish catch under climate change and continued mismanagement would have measurable adverse effects on micronutrient intake for hundreds of millions of people in the most vulnerable nations, underscoring the critical intersection between fisheries sustainability and global nutritional health outcomes.</w:t>
      </w:r>
    </w:p>
    <w:p w14:paraId="4FDB66B1" w14:textId="77777777" w:rsidR="002442DA" w:rsidRDefault="003B7575">
      <w:pPr>
        <w:spacing w:after="160" w:line="360" w:lineRule="auto"/>
        <w:jc w:val="both"/>
      </w:pPr>
      <w:r>
        <w:t xml:space="preserve">The capacity of fisheries and aquaculture to contribute to feeding a global population projected to exceed 9.7 billion by 2050 has been the subject of important analytical work. </w:t>
      </w:r>
      <w:proofErr w:type="spellStart"/>
      <w:r>
        <w:t>Béné</w:t>
      </w:r>
      <w:proofErr w:type="spellEnd"/>
      <w:r>
        <w:t xml:space="preserve"> et al. (2015) argued that fish—by virtue of its high protein density, efficient feed conversion relative to terrestrial livestock, and wide geographical production base—must be placed centrally in discussions of future food system sustainability. Merino et al. (2012) employed modelling approaches to examine whether marine fisheries and aquaculture could collectively satisfy projected future seafood demand under different climate and management scenarios, concluding that whilst the challenge is formidable, there are credible pathways to meeting demand if governance improves and the aquaculture sector expands responsibly. The environmental performance of aquatic food production relative to terrestrial alternatives was further </w:t>
      </w:r>
      <w:proofErr w:type="spellStart"/>
      <w:r>
        <w:t>contextualised</w:t>
      </w:r>
      <w:proofErr w:type="spellEnd"/>
      <w:r>
        <w:t xml:space="preserve"> by </w:t>
      </w:r>
      <w:proofErr w:type="spellStart"/>
      <w:r>
        <w:t>Gephart</w:t>
      </w:r>
      <w:proofErr w:type="spellEnd"/>
      <w:r>
        <w:t xml:space="preserve"> et al. (2021), who demonstrated that many blue food categories compare </w:t>
      </w:r>
      <w:proofErr w:type="spellStart"/>
      <w:r>
        <w:t>favourably</w:t>
      </w:r>
      <w:proofErr w:type="spellEnd"/>
      <w:r>
        <w:t xml:space="preserve"> with terrestrial animal proteins across multiple environmental impact dimensions, reinforcing the case for expanding sustainably produced aquatic foods in global dietary transitions.</w:t>
      </w:r>
    </w:p>
    <w:p w14:paraId="2EFF7E2D" w14:textId="77777777" w:rsidR="002442DA" w:rsidRDefault="003B7575">
      <w:pPr>
        <w:spacing w:before="320" w:after="160"/>
      </w:pPr>
      <w:r>
        <w:rPr>
          <w:b/>
          <w:bCs/>
          <w:i/>
          <w:iCs/>
        </w:rPr>
        <w:t>8.2 Small-Scale Fisheries and the Blue Economy</w:t>
      </w:r>
    </w:p>
    <w:p w14:paraId="1A985114" w14:textId="77777777" w:rsidR="002442DA" w:rsidRDefault="003B7575">
      <w:pPr>
        <w:spacing w:after="160" w:line="360" w:lineRule="auto"/>
        <w:jc w:val="both"/>
      </w:pPr>
      <w:r>
        <w:t xml:space="preserve">Small-scale fisheries—defined broadly to encompass artisanal, subsistence, and small commercial operations—employ the vast majority of the world's fishers and provide the bulk of fish for direct human consumption in developing nations. Despite their importance, small-scale fisheries have historically received far less policy attention and scientific investment than industrial fisheries, and their catches are systematically undercounted in official statistics (Pauly &amp; Zeller, 2016; </w:t>
      </w:r>
      <w:proofErr w:type="spellStart"/>
      <w:r>
        <w:t>Béné</w:t>
      </w:r>
      <w:proofErr w:type="spellEnd"/>
      <w:r>
        <w:t xml:space="preserve"> et al., 2016). The social dimensions of small-scale fisheries sustainability are complex, encompassing questions of tenure rights and access to fishing grounds, gender equity given the significant roles of women in fish processing and marketing, occupational safety, and the cultural identities of fishing communities.</w:t>
      </w:r>
    </w:p>
    <w:p w14:paraId="606B1FBD" w14:textId="77777777" w:rsidR="002442DA" w:rsidRDefault="003B7575">
      <w:pPr>
        <w:spacing w:after="160" w:line="360" w:lineRule="auto"/>
        <w:jc w:val="both"/>
      </w:pPr>
      <w:r>
        <w:lastRenderedPageBreak/>
        <w:t xml:space="preserve">The concept of the blue economy—which broadly refers to the sustainable use of ocean resources for economic growth, improved livelihoods, and jobs whilst preserving the health of ocean ecosystems—has gained prominence in international policy discourse (Bennett et al., 2019). However, as Bennett et al. (2019) cautioned, the blue economy concept </w:t>
      </w:r>
      <w:proofErr w:type="spellStart"/>
      <w:r>
        <w:t>harbours</w:t>
      </w:r>
      <w:proofErr w:type="spellEnd"/>
      <w:r>
        <w:t xml:space="preserve"> internal tensions between economic growth objectives and equity and conservation goals. Without careful governance, blue economy initiatives risk privileging large-scale commercial interests at the expense of small-scale fishers and coastal communities who depend most directly on ocean resources for their daily sustenance and livelihoods. The equitable distribution of benefits from ocean-based industries is therefore as critical a sustainability consideration as the ecological integrity of the resources themselves.</w:t>
      </w:r>
    </w:p>
    <w:p w14:paraId="08AD8DB3" w14:textId="77777777" w:rsidR="002442DA" w:rsidRDefault="003B7575">
      <w:pPr>
        <w:spacing w:before="320" w:after="160"/>
      </w:pPr>
      <w:r>
        <w:rPr>
          <w:b/>
          <w:bCs/>
          <w:i/>
          <w:iCs/>
        </w:rPr>
        <w:t>8.3 Subsidies, Certification, and Ecolabelling</w:t>
      </w:r>
    </w:p>
    <w:p w14:paraId="0521BF0F" w14:textId="77777777" w:rsidR="002442DA" w:rsidRDefault="003B7575">
      <w:pPr>
        <w:spacing w:after="160" w:line="360" w:lineRule="auto"/>
        <w:jc w:val="both"/>
      </w:pPr>
      <w:r>
        <w:t xml:space="preserve">Global fisheries subsidies—estimated at tens of billions of US dollars annually—represent a major driver of overfishing by allowing fishing fleets to remain profitable even when targeting overfished stocks at biomass levels that would otherwise render operations economically unviable. Subsidies that reduce the cost of fuel, vessel construction, insurance, and port infrastructure </w:t>
      </w:r>
      <w:proofErr w:type="spellStart"/>
      <w:r>
        <w:t>incentivise</w:t>
      </w:r>
      <w:proofErr w:type="spellEnd"/>
      <w:r>
        <w:t xml:space="preserve"> excess fishing capacity and effort. Reform of harmful fisheries subsidies has been a long-standing but elusive goal of international fisheries governance; negotiations within the World Trade </w:t>
      </w:r>
      <w:proofErr w:type="spellStart"/>
      <w:r>
        <w:t>Organisation</w:t>
      </w:r>
      <w:proofErr w:type="spellEnd"/>
      <w:r>
        <w:t xml:space="preserve"> have in recent years produced landmark agreements to prohibit the most egregious forms of capacity-enhancing and IUU-supporting subsidies, though implementation and enforcement remain critical challenges.</w:t>
      </w:r>
    </w:p>
    <w:p w14:paraId="7AAB4A4F" w14:textId="77777777" w:rsidR="002442DA" w:rsidRDefault="003B7575">
      <w:pPr>
        <w:spacing w:after="160" w:line="360" w:lineRule="auto"/>
        <w:jc w:val="both"/>
      </w:pPr>
      <w:r>
        <w:t xml:space="preserve">Seafood certification and ecolabelling </w:t>
      </w:r>
      <w:proofErr w:type="spellStart"/>
      <w:r>
        <w:t>programmes</w:t>
      </w:r>
      <w:proofErr w:type="spellEnd"/>
      <w:r>
        <w:t xml:space="preserve"> have emerged as market-based instruments for </w:t>
      </w:r>
      <w:proofErr w:type="spellStart"/>
      <w:r>
        <w:t>incentivising</w:t>
      </w:r>
      <w:proofErr w:type="spellEnd"/>
      <w:r>
        <w:t xml:space="preserve"> sustainable practices by rewarding certified producers with premium prices and access to environmentally conscious consumer markets. The extent to which certification </w:t>
      </w:r>
      <w:proofErr w:type="spellStart"/>
      <w:r>
        <w:t>programmes</w:t>
      </w:r>
      <w:proofErr w:type="spellEnd"/>
      <w:r>
        <w:t xml:space="preserve"> deliver genuine environmental improvements beyond merely selecting fisheries already meeting sustainability thresholds has been debated in the literature (Bush et al., 2013). It has been widely noted that participation in certification schemes remains disproportionately concentrated in developed-nation fisheries and large-scale aquaculture enterprises, leaving the majority of global production—including most small-scale tropical fisheries—outside the reach of market-based sustainability incentives (Bush et al., 2013). Addressing this imbalance requires both outreach and technical capacity building in developing-country fisheries and the </w:t>
      </w:r>
      <w:r>
        <w:lastRenderedPageBreak/>
        <w:t>development of alternative, lower-cost approaches to sustainability verification that are accessible to resource-poor producers.</w:t>
      </w:r>
    </w:p>
    <w:p w14:paraId="184EAAD1" w14:textId="77777777" w:rsidR="002442DA" w:rsidRDefault="003B7575">
      <w:pPr>
        <w:spacing w:before="440" w:after="200"/>
      </w:pPr>
      <w:r>
        <w:rPr>
          <w:b/>
          <w:bCs/>
          <w:sz w:val="28"/>
          <w:szCs w:val="28"/>
        </w:rPr>
        <w:t>9. GOVERNANCE, POLICY, AND INTERNATIONAL FRAMEWORKS</w:t>
      </w:r>
    </w:p>
    <w:p w14:paraId="1CFBDFFB" w14:textId="77777777" w:rsidR="002442DA" w:rsidRDefault="003B7575">
      <w:pPr>
        <w:spacing w:after="160" w:line="360" w:lineRule="auto"/>
        <w:jc w:val="both"/>
      </w:pPr>
      <w:r>
        <w:t xml:space="preserve">Effective governance is a necessary condition for sustainable fisheries and aquaculture, yet it remains among the most intractable challenges. Marine fisheries resources are, in the classic formulation of common pool resources, </w:t>
      </w:r>
      <w:proofErr w:type="spellStart"/>
      <w:r>
        <w:t>characterised</w:t>
      </w:r>
      <w:proofErr w:type="spellEnd"/>
      <w:r>
        <w:t xml:space="preserve"> by rivalry in consumption and difficulty of exclusion—properties that create incentives for individual actors to overexploit shared stocks in the absence of collective action. Ostrom's (2009) framework for </w:t>
      </w:r>
      <w:proofErr w:type="spellStart"/>
      <w:r>
        <w:t>analysing</w:t>
      </w:r>
      <w:proofErr w:type="spellEnd"/>
      <w:r>
        <w:t xml:space="preserve"> sustainability of social-ecological systems provides a conceptual basis for understanding the conditions under which communities can successfully self-govern common pool resources, and has influenced the design of participatory and co-management arrangements in numerous fisheries contexts worldwide.</w:t>
      </w:r>
    </w:p>
    <w:p w14:paraId="05CC61AD" w14:textId="77777777" w:rsidR="002442DA" w:rsidRDefault="003B7575">
      <w:pPr>
        <w:spacing w:after="160" w:line="360" w:lineRule="auto"/>
        <w:jc w:val="both"/>
      </w:pPr>
      <w:r>
        <w:t xml:space="preserve">International fisheries governance operates through a complex, overlapping architecture of multilateral agreements, regional fisheries management </w:t>
      </w:r>
      <w:proofErr w:type="spellStart"/>
      <w:r>
        <w:t>organisations</w:t>
      </w:r>
      <w:proofErr w:type="spellEnd"/>
      <w:r>
        <w:t xml:space="preserve"> (RFMOs), and bilateral arrangements. The United Nations Convention on the Law of the Sea (UNCLOS) provides the foundational framework of ocean jurisdiction, establishing the rights and responsibilities of coastal states over their exclusive economic zones and the high seas. Regional fisheries management bodies are responsible for managing shared and straddling stocks across national jurisdictions, with highly variable degrees of effectiveness and scientific </w:t>
      </w:r>
      <w:proofErr w:type="spellStart"/>
      <w:r>
        <w:t>rigour</w:t>
      </w:r>
      <w:proofErr w:type="spellEnd"/>
      <w:r>
        <w:t>. Pitcher and Cheung (2013) critically examined the status of global fisheries management and found persistent divergence between aspirational policy frameworks and on-the-ground management performance, calling for strengthened accountability mechanisms and more rigorous application of the precautionary approach.</w:t>
      </w:r>
    </w:p>
    <w:p w14:paraId="0CCBD3E3" w14:textId="77777777" w:rsidR="002442DA" w:rsidRDefault="003B7575">
      <w:pPr>
        <w:spacing w:after="160" w:line="360" w:lineRule="auto"/>
        <w:jc w:val="both"/>
      </w:pPr>
      <w:r>
        <w:t xml:space="preserve">The governance of aquaculture is similarly fragmented, with regulatory responsibility distributed across multiple sectoral agencies—including those responsible for environment, agriculture, fisheries, public health, and spatial planning—often without effective inter-agency co-ordination. The proliferation of national aquaculture strategies in recent years reflects growing recognition of the sector's economic potential, but the translation of strategic ambitions into effective regulatory and monitoring capacity remains challenging, particularly in lower-income countries </w:t>
      </w:r>
      <w:r>
        <w:lastRenderedPageBreak/>
        <w:t>seeking to rapidly expand production. Certification schemes, though imperfect, interact with formal governance frameworks in important ways. By setting standards for fishing and farming practices, certification bodies create de facto governance mechanisms that can complement—and sometimes compensate for—weaknesses in state regulation (Bush et al., 2013). The recognition that neither state governance nor market mechanisms alone are sufficient has spurred interest in hybrid governance approaches that integrate public regulation, private standards, civil society oversight, and community management.</w:t>
      </w:r>
    </w:p>
    <w:p w14:paraId="028C5B20" w14:textId="77777777" w:rsidR="002442DA" w:rsidRDefault="003B7575">
      <w:pPr>
        <w:spacing w:before="440" w:after="200"/>
      </w:pPr>
      <w:r>
        <w:rPr>
          <w:b/>
          <w:bCs/>
          <w:sz w:val="28"/>
          <w:szCs w:val="28"/>
        </w:rPr>
        <w:t>10. CONCLUSIONS</w:t>
      </w:r>
    </w:p>
    <w:p w14:paraId="5D907BD1" w14:textId="77777777" w:rsidR="002442DA" w:rsidRDefault="003B7575">
      <w:pPr>
        <w:spacing w:after="160" w:line="360" w:lineRule="auto"/>
        <w:jc w:val="both"/>
      </w:pPr>
      <w:r>
        <w:t>This review demonstrates that sustainable fisheries and aquaculture have become a scientific, technological, and governance priority of the first order. Wild-capture fisheries face persistent and in many regions worsening pressures from overfishing, habitat degradation, and climate change, yet there is compelling evidence that well-managed fisheries can recover and provide sustainable yields over the long term. Aquaculture, now producing more than half of all seafood consumed globally, offers critical opportunities to supplement declining wild catches, but must itself be governed and operated sustainably to avoid perpetuating environmental harms at scale. Across both sectors, the convergence of advances in genomics, remote sensing, ecological modelling, and social science is generating an unprecedented evidence base for more effective, adaptive, and equitable management.</w:t>
      </w:r>
    </w:p>
    <w:p w14:paraId="0AEAECAE" w14:textId="77777777" w:rsidR="002442DA" w:rsidRDefault="003B7575">
      <w:pPr>
        <w:spacing w:after="160" w:line="360" w:lineRule="auto"/>
        <w:jc w:val="both"/>
      </w:pPr>
      <w:r>
        <w:t xml:space="preserve">The transition towards truly sustainable blue food systems will require the simultaneous pursuit of multiple objectives: rebuilding depleted wild stocks through science-based management and spatial protection; expanding sustainable aquaculture using technologies such as IMTA, RAS, and alternative feeds; harnessing technological innovation to improve monitoring, enforcement, and productivity; addressing the distributional justice concerns of small-scale fisheries and coastal communities; reforming perverse subsidy structures; and building adaptive governance capacity at national and international levels. The nutritional stakes are high: for hundreds of millions of people—particularly the most vulnerable and food-insecure—the future of fisheries and aquaculture is inseparable from the future of human health, well-being, and development. Only through an integrated, evidence-informed, and equitable approach will it be possible to </w:t>
      </w:r>
      <w:r>
        <w:lastRenderedPageBreak/>
        <w:t>ensure that aquatic food systems continue to support human flourishing within planetary boundaries.</w:t>
      </w:r>
    </w:p>
    <w:p w14:paraId="71867AF7" w14:textId="77777777" w:rsidR="002442DA" w:rsidRDefault="003B7575">
      <w:pPr>
        <w:spacing w:before="440" w:after="200"/>
      </w:pPr>
      <w:r>
        <w:rPr>
          <w:b/>
          <w:bCs/>
          <w:sz w:val="28"/>
          <w:szCs w:val="28"/>
        </w:rPr>
        <w:t>11. LIMITATIONS</w:t>
      </w:r>
    </w:p>
    <w:p w14:paraId="4F2858EE" w14:textId="77777777" w:rsidR="002442DA" w:rsidRDefault="003B7575">
      <w:pPr>
        <w:spacing w:after="160" w:line="360" w:lineRule="auto"/>
        <w:jc w:val="both"/>
      </w:pPr>
      <w:r>
        <w:t xml:space="preserve">Several limitations of this review merit acknowledgement. The restriction of literature to peer-reviewed academic journal articles, whilst appropriate for scientific </w:t>
      </w:r>
      <w:proofErr w:type="spellStart"/>
      <w:r>
        <w:t>rigour</w:t>
      </w:r>
      <w:proofErr w:type="spellEnd"/>
      <w:r>
        <w:t>, necessarily excludes a body of relevant practitioner experience, industry data, and policy analysis published in grey literature and governmental reports. The reliance on English-language publications may introduce linguistic bias, potentially under-representing important research conducted and published in other languages, particularly from major producing nations in Asia, Latin America, and Africa. Furthermore, the broad thematic scope of this review—spanning fisheries ecology, aquaculture technology, socioeconomics, and governance—necessarily limits the depth of treatment of any individual subtopic, and readers seeking more detailed analysis of specific areas are directed to specialist reviews in each domain. The rapidly evolving nature of the field means that some findings and statistics reported here may be superseded by research published after the literature search was completed. Finally, regional and species-specific variation in sustainability outcomes is substantial, and the synthesis of global-scale studies may obscure important context-specific dynamics that are critical to understanding and managing particular fisheries and aquaculture systems.</w:t>
      </w:r>
    </w:p>
    <w:p w14:paraId="50E44EDF" w14:textId="77777777" w:rsidR="00140823" w:rsidRDefault="00140823">
      <w:pPr>
        <w:spacing w:after="160" w:line="360" w:lineRule="auto"/>
        <w:jc w:val="both"/>
      </w:pPr>
    </w:p>
    <w:p w14:paraId="13AF15AD" w14:textId="77777777" w:rsidR="00140823" w:rsidRDefault="00140823" w:rsidP="00140823">
      <w:pPr>
        <w:spacing w:after="160" w:line="360" w:lineRule="auto"/>
        <w:jc w:val="both"/>
      </w:pPr>
      <w:r>
        <w:t>COMPETING INTERESTS DISCLAIMER:</w:t>
      </w:r>
    </w:p>
    <w:p w14:paraId="1A22636F" w14:textId="3EDF4ED0" w:rsidR="00140823" w:rsidRDefault="00140823" w:rsidP="00140823">
      <w:pPr>
        <w:spacing w:after="160" w:line="360" w:lineRule="auto"/>
        <w:jc w:val="both"/>
      </w:pPr>
      <w:r>
        <w:t>Authors have declared that they have no known competing financial interests OR non-financial interests OR personal relationships that could have appeared to influence the work reported in this paper.</w:t>
      </w:r>
    </w:p>
    <w:p w14:paraId="59E87E66" w14:textId="77777777" w:rsidR="002442DA" w:rsidRDefault="003B7575">
      <w:pPr>
        <w:spacing w:before="440" w:after="200"/>
      </w:pPr>
      <w:r>
        <w:rPr>
          <w:b/>
          <w:bCs/>
          <w:sz w:val="28"/>
          <w:szCs w:val="28"/>
        </w:rPr>
        <w:t>REFERENCES</w:t>
      </w:r>
    </w:p>
    <w:p w14:paraId="4745E406" w14:textId="77777777" w:rsidR="002442DA" w:rsidRDefault="002442DA">
      <w:pPr>
        <w:spacing w:after="80"/>
      </w:pPr>
    </w:p>
    <w:p w14:paraId="5F499345" w14:textId="77777777" w:rsidR="002442DA" w:rsidRDefault="003B7575" w:rsidP="003B7575">
      <w:pPr>
        <w:spacing w:after="180" w:line="300" w:lineRule="auto"/>
        <w:jc w:val="both"/>
      </w:pPr>
      <w:proofErr w:type="spellStart"/>
      <w:r>
        <w:t>Béné</w:t>
      </w:r>
      <w:proofErr w:type="spellEnd"/>
      <w:r>
        <w:t xml:space="preserve">, C., Arthur, R., Norbury, H., Allison, E. H., Beveridge, M., Bush, S., Campling, L., </w:t>
      </w:r>
      <w:proofErr w:type="spellStart"/>
      <w:r>
        <w:t>Leschen</w:t>
      </w:r>
      <w:proofErr w:type="spellEnd"/>
      <w:r>
        <w:t xml:space="preserve">, W., Little, D., Squires, D., Thilsted, S. H., Troell, M., &amp; Williams, M. (2016). Contribution of fisheries and aquaculture to food security and poverty reduction: Assessing the </w:t>
      </w:r>
      <w:r>
        <w:lastRenderedPageBreak/>
        <w:t xml:space="preserve">current evidence. World Development, 79, 177–196. </w:t>
      </w:r>
      <w:hyperlink r:id="rId7" w:history="1">
        <w:r w:rsidRPr="003B7575">
          <w:rPr>
            <w:color w:val="0563C1"/>
            <w:u w:val="single"/>
          </w:rPr>
          <w:t>https://doi.org/10.1016/j.worlddev.2015.11.007</w:t>
        </w:r>
      </w:hyperlink>
    </w:p>
    <w:p w14:paraId="24A396C9" w14:textId="77777777" w:rsidR="002442DA" w:rsidRDefault="003B7575" w:rsidP="003B7575">
      <w:pPr>
        <w:spacing w:after="180" w:line="300" w:lineRule="auto"/>
        <w:jc w:val="both"/>
      </w:pPr>
      <w:proofErr w:type="spellStart"/>
      <w:r>
        <w:t>Béné</w:t>
      </w:r>
      <w:proofErr w:type="spellEnd"/>
      <w:r>
        <w:t xml:space="preserve">, C., </w:t>
      </w:r>
      <w:proofErr w:type="spellStart"/>
      <w:r>
        <w:t>Barange</w:t>
      </w:r>
      <w:proofErr w:type="spellEnd"/>
      <w:r>
        <w:t xml:space="preserve">, M., Subasinghe, R., Pinstrup-Andersen, P., Merino, G., </w:t>
      </w:r>
      <w:proofErr w:type="spellStart"/>
      <w:r>
        <w:t>Hemre</w:t>
      </w:r>
      <w:proofErr w:type="spellEnd"/>
      <w:r>
        <w:t xml:space="preserve">, G.-I., &amp; Williams, M. (2015). Feeding 9 billion by 2050 – Putting fish back on the menu. Food Security, 7(2), 261–274. </w:t>
      </w:r>
      <w:hyperlink r:id="rId8" w:history="1">
        <w:r w:rsidRPr="003B7575">
          <w:rPr>
            <w:color w:val="0563C1"/>
            <w:u w:val="single"/>
          </w:rPr>
          <w:t>https://doi.org/10.1007/s12571-015-0427-z</w:t>
        </w:r>
      </w:hyperlink>
    </w:p>
    <w:p w14:paraId="32DC52E5" w14:textId="77777777" w:rsidR="002442DA" w:rsidRDefault="003B7575" w:rsidP="003B7575">
      <w:pPr>
        <w:spacing w:after="180" w:line="300" w:lineRule="auto"/>
        <w:jc w:val="both"/>
      </w:pPr>
      <w:r>
        <w:t xml:space="preserve">Bennett, N. J., Cisneros-Montemayor, A. M., Blythe, J., Silver, J. J., Singh, G., Andrews, N., De Vos, A., Finkbeiner, E. M., Greenhill, L., Gutiérrez, N. L., Jonsen, I. D., Lam, V., Madero-Sierra, V., Mbatha, N., Nakamura, K., Ota, Y., Rathwell, K., Scholtens, J., Scobie, M., &amp; Sumaila, U. R. (2019). Towards a sustainable and equitable blue economy. Nature Sustainability, 2(11), 991–993. </w:t>
      </w:r>
      <w:hyperlink r:id="rId9" w:history="1">
        <w:r w:rsidRPr="003B7575">
          <w:rPr>
            <w:color w:val="0563C1"/>
            <w:u w:val="single"/>
          </w:rPr>
          <w:t>https://doi.org/10.1038/s41893-019-0404-1</w:t>
        </w:r>
      </w:hyperlink>
    </w:p>
    <w:p w14:paraId="4964E5AB" w14:textId="77777777" w:rsidR="002442DA" w:rsidRDefault="003B7575" w:rsidP="003B7575">
      <w:pPr>
        <w:spacing w:after="180" w:line="300" w:lineRule="auto"/>
        <w:jc w:val="both"/>
      </w:pPr>
      <w:r>
        <w:t xml:space="preserve">Brander, K. M. (2007). Global fish production and climate change. Proceedings of the National Academy of Sciences, 104(50), 19709–19714. </w:t>
      </w:r>
      <w:hyperlink r:id="rId10" w:history="1">
        <w:r w:rsidRPr="003B7575">
          <w:rPr>
            <w:color w:val="0563C1"/>
            <w:u w:val="single"/>
          </w:rPr>
          <w:t>https://doi.org/10.1073/pnas.0702059104</w:t>
        </w:r>
      </w:hyperlink>
    </w:p>
    <w:p w14:paraId="3ECBC017" w14:textId="77777777" w:rsidR="002442DA" w:rsidRDefault="003B7575" w:rsidP="003B7575">
      <w:pPr>
        <w:spacing w:after="180" w:line="300" w:lineRule="auto"/>
        <w:jc w:val="both"/>
      </w:pPr>
      <w:r>
        <w:t xml:space="preserve">Buschmann, A. H., Cabello, F., Young, K., Carvajal, J., Varela, D. A., &amp; Henríquez, L. (2009). Salmon aquaculture and coastal ecosystem health in Chile: Analysis of regulations, environmental impacts and bioremediation systems. Ocean &amp; Coastal Management, 52(5), 243–249. </w:t>
      </w:r>
      <w:hyperlink r:id="rId11" w:history="1">
        <w:r w:rsidRPr="003B7575">
          <w:rPr>
            <w:color w:val="0563C1"/>
            <w:u w:val="single"/>
          </w:rPr>
          <w:t>https://doi.org/10.1016/j.ocecoaman.2009.03.002</w:t>
        </w:r>
      </w:hyperlink>
    </w:p>
    <w:p w14:paraId="29950C92" w14:textId="77777777" w:rsidR="002442DA" w:rsidRDefault="003B7575" w:rsidP="003B7575">
      <w:pPr>
        <w:spacing w:after="180" w:line="300" w:lineRule="auto"/>
        <w:jc w:val="both"/>
      </w:pPr>
      <w:r>
        <w:t xml:space="preserve">Bush, S. R., Belton, B., Hall, D., Vandergeest, P., Murray, F. J., Ponte, S., </w:t>
      </w:r>
      <w:proofErr w:type="spellStart"/>
      <w:r>
        <w:t>Oosterveer</w:t>
      </w:r>
      <w:proofErr w:type="spellEnd"/>
      <w:r>
        <w:t xml:space="preserve">, P., Islam, M. S., Mol, A. P. J., Hatanaka, M., Kruijssen, F., Ha, T. T. T., Little, D. C., &amp; </w:t>
      </w:r>
      <w:proofErr w:type="spellStart"/>
      <w:r>
        <w:t>Kusumawati</w:t>
      </w:r>
      <w:proofErr w:type="spellEnd"/>
      <w:r>
        <w:t xml:space="preserve">, R. (2013). Certify sustainable aquaculture? Science, 341(6150), 1067–1068. </w:t>
      </w:r>
      <w:hyperlink r:id="rId12" w:history="1">
        <w:r w:rsidRPr="003B7575">
          <w:rPr>
            <w:color w:val="0563C1"/>
            <w:u w:val="single"/>
          </w:rPr>
          <w:t>https://doi.org/10.1126/science.1237314</w:t>
        </w:r>
      </w:hyperlink>
    </w:p>
    <w:p w14:paraId="56100B30" w14:textId="77777777" w:rsidR="002442DA" w:rsidRDefault="003B7575" w:rsidP="003B7575">
      <w:pPr>
        <w:spacing w:after="180" w:line="300" w:lineRule="auto"/>
        <w:jc w:val="both"/>
      </w:pPr>
      <w:r>
        <w:t xml:space="preserve">Cabello, F. C. (2006). Heavy use of prophylactic antibiotics in aquaculture: A growing problem for human and animal health and for the environment. Environmental Microbiology, 8(7), 1137–1144. </w:t>
      </w:r>
      <w:hyperlink r:id="rId13" w:history="1">
        <w:r w:rsidRPr="003B7575">
          <w:rPr>
            <w:color w:val="0563C1"/>
            <w:u w:val="single"/>
          </w:rPr>
          <w:t>https://doi.org/10.1111/j.1462-2920.2006.01054.x</w:t>
        </w:r>
      </w:hyperlink>
    </w:p>
    <w:p w14:paraId="408A1B96" w14:textId="77777777" w:rsidR="002442DA" w:rsidRDefault="003B7575" w:rsidP="003B7575">
      <w:pPr>
        <w:spacing w:after="180" w:line="300" w:lineRule="auto"/>
        <w:jc w:val="both"/>
      </w:pPr>
      <w:r>
        <w:t xml:space="preserve">Cheung, W. W. L., Lam, V. W. Y., Sarmiento, J. L., Kearney, K., Watson, R., &amp; Pauly, D. (2009). Projecting global marine biodiversity impacts under climate change scenarios. Fish and Fisheries, 10(3), 235–251. </w:t>
      </w:r>
      <w:hyperlink r:id="rId14" w:history="1">
        <w:r w:rsidRPr="003B7575">
          <w:rPr>
            <w:color w:val="0563C1"/>
            <w:u w:val="single"/>
          </w:rPr>
          <w:t>https://doi.org/10.1111/j.1467-2979.2008.00315.x</w:t>
        </w:r>
      </w:hyperlink>
    </w:p>
    <w:p w14:paraId="0D511998" w14:textId="77777777" w:rsidR="002442DA" w:rsidRDefault="003B7575" w:rsidP="003B7575">
      <w:pPr>
        <w:spacing w:after="180" w:line="300" w:lineRule="auto"/>
        <w:jc w:val="both"/>
      </w:pPr>
      <w:r>
        <w:t xml:space="preserve">Costello, C., Ovando, D., Clavelle, T., Strauss, C. K., Hilborn, R., Melnychuk, M. C., Branch, T. A., Gaines, S. D., </w:t>
      </w:r>
      <w:proofErr w:type="spellStart"/>
      <w:r>
        <w:t>Szuwalski</w:t>
      </w:r>
      <w:proofErr w:type="spellEnd"/>
      <w:r>
        <w:t xml:space="preserve">, C. S., Cabral, R. B., Rader, D. W., &amp; Leland, A. (2016). Global fishery prospects under contrasting management regimes. Proceedings of the National Academy of Sciences, 113(18), 5125–5129. </w:t>
      </w:r>
      <w:hyperlink r:id="rId15" w:history="1">
        <w:r w:rsidRPr="003B7575">
          <w:rPr>
            <w:color w:val="0563C1"/>
            <w:u w:val="single"/>
          </w:rPr>
          <w:t>https://doi.org/10.1073/pnas.1520420113</w:t>
        </w:r>
      </w:hyperlink>
    </w:p>
    <w:p w14:paraId="7B4F965C" w14:textId="77777777" w:rsidR="002442DA" w:rsidRDefault="003B7575" w:rsidP="003B7575">
      <w:pPr>
        <w:spacing w:after="180" w:line="300" w:lineRule="auto"/>
        <w:jc w:val="both"/>
      </w:pPr>
      <w:r>
        <w:t xml:space="preserve">Duarte, C. M., Wu, J., Xiao, X., Bruhn, A., &amp; Krause-Jensen, D. (2017). Can seaweed farming play a role in climate change mitigation and adaptation? Frontiers in Marine Science, 4, 100. </w:t>
      </w:r>
      <w:hyperlink r:id="rId16" w:history="1">
        <w:r w:rsidRPr="003B7575">
          <w:rPr>
            <w:color w:val="0563C1"/>
            <w:u w:val="single"/>
          </w:rPr>
          <w:t>https://doi.org/10.3389/fmars.2017.00100</w:t>
        </w:r>
      </w:hyperlink>
    </w:p>
    <w:p w14:paraId="374845D4" w14:textId="77777777" w:rsidR="002442DA" w:rsidRDefault="003B7575" w:rsidP="003B7575">
      <w:pPr>
        <w:spacing w:after="180" w:line="300" w:lineRule="auto"/>
        <w:jc w:val="both"/>
      </w:pPr>
      <w:r>
        <w:lastRenderedPageBreak/>
        <w:t xml:space="preserve">Edgar, G. J., Stuart-Smith, R. D., Willis, T. J., </w:t>
      </w:r>
      <w:proofErr w:type="spellStart"/>
      <w:r>
        <w:t>Kininmonth</w:t>
      </w:r>
      <w:proofErr w:type="spellEnd"/>
      <w:r>
        <w:t xml:space="preserve">, S., Baker, S. C., Banks, S., Barrett, N. S., </w:t>
      </w:r>
      <w:proofErr w:type="spellStart"/>
      <w:r>
        <w:t>Becerro</w:t>
      </w:r>
      <w:proofErr w:type="spellEnd"/>
      <w:r>
        <w:t xml:space="preserve">, M. A., Bernard, A. T. F., Berkhout, J., Buxton, C. D., Campbell, S. J., Cooper, A. T., Davey, M., Edgar, S. C., </w:t>
      </w:r>
      <w:proofErr w:type="spellStart"/>
      <w:r>
        <w:t>Försterra</w:t>
      </w:r>
      <w:proofErr w:type="spellEnd"/>
      <w:r>
        <w:t xml:space="preserve">, G., Galván, D. E., Irigoyen, A. J., Kushner, D. J., &amp; Thomson, R. J. (2014). Global conservation outcomes depend on marine protected areas with five key features. Nature, 506(7487), 216–220. </w:t>
      </w:r>
      <w:hyperlink r:id="rId17" w:history="1">
        <w:r w:rsidRPr="003B7575">
          <w:rPr>
            <w:color w:val="0563C1"/>
            <w:u w:val="single"/>
          </w:rPr>
          <w:t>https://doi.org/10.1038/nature13022</w:t>
        </w:r>
      </w:hyperlink>
    </w:p>
    <w:p w14:paraId="6AAB99F9" w14:textId="77777777" w:rsidR="002442DA" w:rsidRDefault="003B7575" w:rsidP="003B7575">
      <w:pPr>
        <w:spacing w:after="180" w:line="300" w:lineRule="auto"/>
        <w:jc w:val="both"/>
      </w:pPr>
      <w:r>
        <w:t xml:space="preserve">Free, C. M., Thorson, J. T., Pinsky, M. L., Oken, K. L., Wiedenmann, J., &amp; Jensen, O. P. (2019). Impacts of historical warming on marine fisheries production. Science, 363(6430), 979–983. </w:t>
      </w:r>
      <w:hyperlink r:id="rId18" w:history="1">
        <w:r w:rsidRPr="003B7575">
          <w:rPr>
            <w:color w:val="0563C1"/>
            <w:u w:val="single"/>
          </w:rPr>
          <w:t>https://doi.org/10.1126/science.aau1758</w:t>
        </w:r>
      </w:hyperlink>
    </w:p>
    <w:p w14:paraId="543EDBFE" w14:textId="77777777" w:rsidR="002442DA" w:rsidRDefault="003B7575" w:rsidP="003B7575">
      <w:pPr>
        <w:spacing w:after="180" w:line="300" w:lineRule="auto"/>
        <w:jc w:val="both"/>
      </w:pPr>
      <w:r>
        <w:t xml:space="preserve">Froehlich, H. E., Jacobsen, N. S., Essington, T. E., Clavelle, T., &amp; Halpern, B. S. (2018a). Avoiding the environmental limits of ocean aquaculture. Nature Sustainability, 1(9), 523–530. </w:t>
      </w:r>
      <w:hyperlink r:id="rId19" w:history="1">
        <w:r w:rsidRPr="003B7575">
          <w:rPr>
            <w:color w:val="0563C1"/>
            <w:u w:val="single"/>
          </w:rPr>
          <w:t>https://doi.org/10.1038/s41893-018-0163-2</w:t>
        </w:r>
      </w:hyperlink>
    </w:p>
    <w:p w14:paraId="0A8A86C1" w14:textId="77777777" w:rsidR="002442DA" w:rsidRDefault="003B7575" w:rsidP="003B7575">
      <w:pPr>
        <w:spacing w:after="180" w:line="300" w:lineRule="auto"/>
        <w:jc w:val="both"/>
      </w:pPr>
      <w:r>
        <w:t xml:space="preserve">Froehlich, H. E., Runge, C. A., Gentry, R. R., Gaines, S. D., &amp; Halpern, B. S. (2018b). Comparative terrestrial feed and land use of an aquaculture-dominant world. Proceedings of the National Academy of Sciences, 115(20), 5295–5300. </w:t>
      </w:r>
      <w:hyperlink r:id="rId20" w:history="1">
        <w:r w:rsidRPr="003B7575">
          <w:rPr>
            <w:color w:val="0563C1"/>
            <w:u w:val="single"/>
          </w:rPr>
          <w:t>https://doi.org/10.1073/pnas.1801692115</w:t>
        </w:r>
      </w:hyperlink>
    </w:p>
    <w:p w14:paraId="7F6047AB" w14:textId="77777777" w:rsidR="002442DA" w:rsidRDefault="003B7575" w:rsidP="003B7575">
      <w:pPr>
        <w:spacing w:after="180" w:line="300" w:lineRule="auto"/>
        <w:jc w:val="both"/>
      </w:pPr>
      <w:r>
        <w:t xml:space="preserve">Gentry, R. R., Froehlich, H. E., Grimm, D., </w:t>
      </w:r>
      <w:proofErr w:type="spellStart"/>
      <w:r>
        <w:t>Kareiva</w:t>
      </w:r>
      <w:proofErr w:type="spellEnd"/>
      <w:r>
        <w:t xml:space="preserve">, P., Parke, M., Rust, M., Scarborough, C., &amp; Halpern, B. S. (2017). Mapping the global potential for marine aquaculture. Nature Ecology &amp; Evolution, 1(9), 1317–1324. </w:t>
      </w:r>
      <w:hyperlink r:id="rId21" w:history="1">
        <w:r w:rsidRPr="003B7575">
          <w:rPr>
            <w:color w:val="0563C1"/>
            <w:u w:val="single"/>
          </w:rPr>
          <w:t>https://doi.org/10.1038/s41559-017-0257-9</w:t>
        </w:r>
      </w:hyperlink>
    </w:p>
    <w:p w14:paraId="2BAA55BF" w14:textId="77777777" w:rsidR="002442DA" w:rsidRDefault="003B7575" w:rsidP="003B7575">
      <w:pPr>
        <w:spacing w:after="180" w:line="300" w:lineRule="auto"/>
        <w:jc w:val="both"/>
      </w:pPr>
      <w:r>
        <w:t xml:space="preserve">Gephart, J. A., Henriksson, P. J. G., Parker, R. W. R., </w:t>
      </w:r>
      <w:proofErr w:type="spellStart"/>
      <w:r>
        <w:t>Shepon</w:t>
      </w:r>
      <w:proofErr w:type="spellEnd"/>
      <w:r>
        <w:t xml:space="preserve">, A., Gorospe, K. D., Bergman, K., Eshel, G., Golden, C. D., Halpern, B. S., Hornborg, S., Jonell, M., Metian, M., Mifflin, K., Newton, R., Noel, S., Pearce, C. M., </w:t>
      </w:r>
      <w:proofErr w:type="spellStart"/>
      <w:r>
        <w:t>Tyedmers</w:t>
      </w:r>
      <w:proofErr w:type="spellEnd"/>
      <w:r>
        <w:t xml:space="preserve">, P., Zhang, W., Ziegler, F., &amp; Troell, M. (2021). Environmental performance of blue foods. Nature, 597(7876), 360–365. </w:t>
      </w:r>
      <w:hyperlink r:id="rId22" w:history="1">
        <w:r w:rsidRPr="003B7575">
          <w:rPr>
            <w:color w:val="0563C1"/>
            <w:u w:val="single"/>
          </w:rPr>
          <w:t>https://doi.org/10.1038/s41586-021-03889-2</w:t>
        </w:r>
      </w:hyperlink>
    </w:p>
    <w:p w14:paraId="40A84625" w14:textId="77777777" w:rsidR="002442DA" w:rsidRDefault="003B7575" w:rsidP="003B7575">
      <w:pPr>
        <w:spacing w:after="180" w:line="300" w:lineRule="auto"/>
        <w:jc w:val="both"/>
      </w:pPr>
      <w:r>
        <w:t xml:space="preserve">Gjedrem, T., Robinson, N., &amp; Rye, M. (2012). The importance of selective breeding in aquaculture to meet future demands for animal protein: A review. Aquaculture, 350–353, 117–129. </w:t>
      </w:r>
      <w:hyperlink r:id="rId23" w:history="1">
        <w:r w:rsidRPr="003B7575">
          <w:rPr>
            <w:color w:val="0563C1"/>
            <w:u w:val="single"/>
          </w:rPr>
          <w:t>https://doi.org/10.1016/j.aquaculture.2012.04.008</w:t>
        </w:r>
      </w:hyperlink>
    </w:p>
    <w:p w14:paraId="1297D768" w14:textId="77777777" w:rsidR="002442DA" w:rsidRDefault="003B7575" w:rsidP="003B7575">
      <w:pPr>
        <w:spacing w:after="180" w:line="300" w:lineRule="auto"/>
        <w:jc w:val="both"/>
      </w:pPr>
      <w:r>
        <w:t xml:space="preserve">Golden, C. D., Allison, E. H., Cheung, W. W. L., Dey, M. M., Halpern, B. S., McCauley, D. J., Smith, M., </w:t>
      </w:r>
      <w:proofErr w:type="spellStart"/>
      <w:r>
        <w:t>Vaitla</w:t>
      </w:r>
      <w:proofErr w:type="spellEnd"/>
      <w:r>
        <w:t xml:space="preserve">, B., Zeller, D., &amp; Myers, S. S. (2016). Nutrition: Fall in fish catch threatens human health. Nature, 534(7607), 317–320. </w:t>
      </w:r>
      <w:hyperlink r:id="rId24" w:history="1">
        <w:r w:rsidRPr="003B7575">
          <w:rPr>
            <w:color w:val="0563C1"/>
            <w:u w:val="single"/>
          </w:rPr>
          <w:t>https://doi.org/10.1038/534317a</w:t>
        </w:r>
      </w:hyperlink>
    </w:p>
    <w:p w14:paraId="662F5BB7" w14:textId="77777777" w:rsidR="002442DA" w:rsidRDefault="003B7575" w:rsidP="003B7575">
      <w:pPr>
        <w:spacing w:after="180" w:line="300" w:lineRule="auto"/>
        <w:jc w:val="both"/>
      </w:pPr>
      <w:r>
        <w:t xml:space="preserve">Halpern, B. S., Walbridge, S., </w:t>
      </w:r>
      <w:proofErr w:type="spellStart"/>
      <w:r>
        <w:t>Selkoe</w:t>
      </w:r>
      <w:proofErr w:type="spellEnd"/>
      <w:r>
        <w:t xml:space="preserve">, K. A., Kappel, C. V., Micheli, F., D'Agrosa, C., Bruno, J. F., Casey, K. S., Ebert, C., Fox, H. E., Fujita, R., Heinemann, D., Lenihan, H. S., Madin, E. M. P., Perry, M. T., Selig, E. R., Spalding, M., Steneck, R., &amp; Watson, R. (2008). A global map of human impact on marine ecosystems. Science, 319(5865), 948–952. </w:t>
      </w:r>
      <w:hyperlink r:id="rId25" w:history="1">
        <w:r w:rsidRPr="003B7575">
          <w:rPr>
            <w:color w:val="0563C1"/>
            <w:u w:val="single"/>
          </w:rPr>
          <w:t>https://doi.org/10.1126/science.1149345</w:t>
        </w:r>
      </w:hyperlink>
    </w:p>
    <w:p w14:paraId="41DE5864" w14:textId="77777777" w:rsidR="002442DA" w:rsidRDefault="003B7575" w:rsidP="003B7575">
      <w:pPr>
        <w:spacing w:after="180" w:line="300" w:lineRule="auto"/>
        <w:jc w:val="both"/>
      </w:pPr>
      <w:r>
        <w:lastRenderedPageBreak/>
        <w:t xml:space="preserve">Henry, M., Gasco, L., Piccolo, G., &amp; </w:t>
      </w:r>
      <w:proofErr w:type="spellStart"/>
      <w:r>
        <w:t>Fountoulaki</w:t>
      </w:r>
      <w:proofErr w:type="spellEnd"/>
      <w:r>
        <w:t xml:space="preserve">, E. (2015). Review on the use of insects in the diet of farmed fish: Past and future. Animal Feed Science and Technology, 203, 1–22. </w:t>
      </w:r>
      <w:hyperlink r:id="rId26" w:history="1">
        <w:r w:rsidRPr="003B7575">
          <w:rPr>
            <w:color w:val="0563C1"/>
            <w:u w:val="single"/>
          </w:rPr>
          <w:t>https://doi.org/10.1016/j.anifeedsci.2015.03.001</w:t>
        </w:r>
      </w:hyperlink>
    </w:p>
    <w:p w14:paraId="09F1D72A" w14:textId="77777777" w:rsidR="002442DA" w:rsidRDefault="003B7575" w:rsidP="003B7575">
      <w:pPr>
        <w:spacing w:after="180" w:line="300" w:lineRule="auto"/>
        <w:jc w:val="both"/>
      </w:pPr>
      <w:r>
        <w:t xml:space="preserve">Hilborn, R., &amp; Ovando, D. (2014). Reflections on the success of traditional fisheries management. ICES Journal of Marine Science, 71(5), 1040–1046. </w:t>
      </w:r>
      <w:hyperlink r:id="rId27" w:history="1">
        <w:r w:rsidRPr="003B7575">
          <w:rPr>
            <w:color w:val="0563C1"/>
            <w:u w:val="single"/>
          </w:rPr>
          <w:t>https://doi.org/10.1093/icesjms/fsu034</w:t>
        </w:r>
      </w:hyperlink>
    </w:p>
    <w:p w14:paraId="1DD809C7" w14:textId="77777777" w:rsidR="002442DA" w:rsidRDefault="003B7575" w:rsidP="003B7575">
      <w:pPr>
        <w:spacing w:after="180" w:line="300" w:lineRule="auto"/>
        <w:jc w:val="both"/>
      </w:pPr>
      <w:r>
        <w:t xml:space="preserve">Klinger, D. H., &amp; Naylor, R. (2012). Searching for solutions in aquaculture: Charting a sustainable course. Annual Review of Environment and Resources, 37, 247–276. </w:t>
      </w:r>
      <w:hyperlink r:id="rId28" w:history="1">
        <w:r w:rsidRPr="003B7575">
          <w:rPr>
            <w:color w:val="0563C1"/>
            <w:u w:val="single"/>
          </w:rPr>
          <w:t>https://doi.org/10.1146/annurev-environ-021111-161531</w:t>
        </w:r>
      </w:hyperlink>
    </w:p>
    <w:p w14:paraId="03FBCE85" w14:textId="77777777" w:rsidR="002442DA" w:rsidRDefault="003B7575" w:rsidP="003B7575">
      <w:pPr>
        <w:spacing w:after="180" w:line="300" w:lineRule="auto"/>
        <w:jc w:val="both"/>
      </w:pPr>
      <w:r>
        <w:t xml:space="preserve">Kobayashi, M., </w:t>
      </w:r>
      <w:proofErr w:type="spellStart"/>
      <w:r>
        <w:t>Msangi</w:t>
      </w:r>
      <w:proofErr w:type="spellEnd"/>
      <w:r>
        <w:t xml:space="preserve">, S., Batka, M., Vannuccini, S., Dey, M. M., &amp; Anderson, J. L. (2015). Fish to 2030: The role and opportunity for aquaculture. Aquaculture Economics &amp; Management, 19(3), 282–300. </w:t>
      </w:r>
      <w:hyperlink r:id="rId29" w:history="1">
        <w:r w:rsidRPr="003B7575">
          <w:rPr>
            <w:color w:val="0563C1"/>
            <w:u w:val="single"/>
          </w:rPr>
          <w:t>https://doi.org/10.1080/13657305.2015.994240</w:t>
        </w:r>
      </w:hyperlink>
    </w:p>
    <w:p w14:paraId="6E2E72C5" w14:textId="77777777" w:rsidR="002442DA" w:rsidRDefault="003B7575" w:rsidP="003B7575">
      <w:pPr>
        <w:spacing w:after="180" w:line="300" w:lineRule="auto"/>
        <w:jc w:val="both"/>
      </w:pPr>
      <w:r>
        <w:t xml:space="preserve">Kroeker, K. J., Kordas, R. L., Crim, R., Hendriks, I. E., </w:t>
      </w:r>
      <w:proofErr w:type="spellStart"/>
      <w:r>
        <w:t>Ramajo</w:t>
      </w:r>
      <w:proofErr w:type="spellEnd"/>
      <w:r>
        <w:t xml:space="preserve">, L., Singh, G. S., Duarte, C. M., &amp; Gattuso, J.-P. (2013). Impacts of ocean acidification on marine organisms: Quantifying sensitivities and interaction with warming. Global Change Biology, 19(6), 1884–1896. </w:t>
      </w:r>
      <w:hyperlink r:id="rId30" w:history="1">
        <w:r w:rsidRPr="003B7575">
          <w:rPr>
            <w:color w:val="0563C1"/>
            <w:u w:val="single"/>
          </w:rPr>
          <w:t>https://doi.org/10.1111/gcb.12179</w:t>
        </w:r>
      </w:hyperlink>
    </w:p>
    <w:p w14:paraId="06F5E116" w14:textId="77777777" w:rsidR="002442DA" w:rsidRDefault="003B7575" w:rsidP="003B7575">
      <w:pPr>
        <w:spacing w:after="180" w:line="300" w:lineRule="auto"/>
        <w:jc w:val="both"/>
      </w:pPr>
      <w:proofErr w:type="spellStart"/>
      <w:r>
        <w:t>Kroodsma</w:t>
      </w:r>
      <w:proofErr w:type="spellEnd"/>
      <w:r>
        <w:t xml:space="preserve">, D. A., Mayorga, J., Hochberg, T., Miller, N. A., </w:t>
      </w:r>
      <w:proofErr w:type="spellStart"/>
      <w:r>
        <w:t>Boerder</w:t>
      </w:r>
      <w:proofErr w:type="spellEnd"/>
      <w:r>
        <w:t xml:space="preserve">, K., Ferretti, F., Wilson, A., Bergman, B., White, T. D., Block, B. A., Woods, P., Sullivan, B., Costello, C., &amp; Worm, B. (2018). Tracking the global footprint of fisheries. Science, 359(6378), 904–908. </w:t>
      </w:r>
      <w:hyperlink r:id="rId31" w:history="1">
        <w:r w:rsidRPr="003B7575">
          <w:rPr>
            <w:color w:val="0563C1"/>
            <w:u w:val="single"/>
          </w:rPr>
          <w:t>https://doi.org/10.1126/science.aao5646</w:t>
        </w:r>
      </w:hyperlink>
    </w:p>
    <w:p w14:paraId="21C8C3AA" w14:textId="77777777" w:rsidR="002442DA" w:rsidRDefault="003B7575" w:rsidP="003B7575">
      <w:pPr>
        <w:spacing w:after="180" w:line="300" w:lineRule="auto"/>
        <w:jc w:val="both"/>
      </w:pPr>
      <w:r>
        <w:t xml:space="preserve">Lester, S. E., Halpern, B. S., Grorud-Colvert, K., Lubchenco, J., Ruttenberg, B. I., Gaines, S. D., </w:t>
      </w:r>
      <w:proofErr w:type="spellStart"/>
      <w:r>
        <w:t>Airame</w:t>
      </w:r>
      <w:proofErr w:type="spellEnd"/>
      <w:r>
        <w:t xml:space="preserve">, S., &amp; Warner, R. R. (2009). Biological effects within no-take marine reserves: A global synthesis. Marine Ecology Progress Series, 384, 33–46. </w:t>
      </w:r>
      <w:hyperlink r:id="rId32" w:history="1">
        <w:r w:rsidRPr="003B7575">
          <w:rPr>
            <w:color w:val="0563C1"/>
            <w:u w:val="single"/>
          </w:rPr>
          <w:t>https://doi.org/10.3354/meps08029</w:t>
        </w:r>
      </w:hyperlink>
    </w:p>
    <w:p w14:paraId="2E070CDA" w14:textId="77777777" w:rsidR="002442DA" w:rsidRDefault="003B7575" w:rsidP="003B7575">
      <w:pPr>
        <w:spacing w:after="180" w:line="300" w:lineRule="auto"/>
        <w:jc w:val="both"/>
      </w:pPr>
      <w:r>
        <w:t xml:space="preserve">Martins, C. I. M., Eding, E. H., </w:t>
      </w:r>
      <w:proofErr w:type="spellStart"/>
      <w:r>
        <w:t>Verdegem</w:t>
      </w:r>
      <w:proofErr w:type="spellEnd"/>
      <w:r>
        <w:t xml:space="preserve">, M. C. J., </w:t>
      </w:r>
      <w:proofErr w:type="spellStart"/>
      <w:r>
        <w:t>Heinsbroek</w:t>
      </w:r>
      <w:proofErr w:type="spellEnd"/>
      <w:r>
        <w:t xml:space="preserve">, L. T. N., Schneider, O., </w:t>
      </w:r>
      <w:proofErr w:type="spellStart"/>
      <w:r>
        <w:t>Blancheton</w:t>
      </w:r>
      <w:proofErr w:type="spellEnd"/>
      <w:r>
        <w:t xml:space="preserve">, J. P., </w:t>
      </w:r>
      <w:proofErr w:type="spellStart"/>
      <w:r>
        <w:t>d'Orbcastel</w:t>
      </w:r>
      <w:proofErr w:type="spellEnd"/>
      <w:r>
        <w:t xml:space="preserve">, E. R., &amp; </w:t>
      </w:r>
      <w:proofErr w:type="spellStart"/>
      <w:r>
        <w:t>Verreth</w:t>
      </w:r>
      <w:proofErr w:type="spellEnd"/>
      <w:r>
        <w:t xml:space="preserve">, J. A. J. (2010). New developments in recirculating aquaculture systems in Europe: A perspective on environmental sustainability. Aquacultural Engineering, 43(3), 83–93. </w:t>
      </w:r>
      <w:hyperlink r:id="rId33" w:history="1">
        <w:r w:rsidRPr="003B7575">
          <w:rPr>
            <w:color w:val="0563C1"/>
            <w:u w:val="single"/>
          </w:rPr>
          <w:t>https://doi.org/10.1016/j.aquaeng.2010.09.002</w:t>
        </w:r>
      </w:hyperlink>
    </w:p>
    <w:p w14:paraId="5F84D498" w14:textId="77777777" w:rsidR="002442DA" w:rsidRDefault="003B7575" w:rsidP="003B7575">
      <w:pPr>
        <w:spacing w:after="180" w:line="300" w:lineRule="auto"/>
        <w:jc w:val="both"/>
      </w:pPr>
      <w:r>
        <w:t xml:space="preserve">Merino, G., </w:t>
      </w:r>
      <w:proofErr w:type="spellStart"/>
      <w:r>
        <w:t>Barange</w:t>
      </w:r>
      <w:proofErr w:type="spellEnd"/>
      <w:r>
        <w:t xml:space="preserve">, M., Blanchard, J. L., Harle, J., Holmes, R., Allen, I., Allison, E. H., </w:t>
      </w:r>
      <w:proofErr w:type="spellStart"/>
      <w:r>
        <w:t>Badjeck</w:t>
      </w:r>
      <w:proofErr w:type="spellEnd"/>
      <w:r>
        <w:t xml:space="preserve">, M. C., </w:t>
      </w:r>
      <w:proofErr w:type="spellStart"/>
      <w:r>
        <w:t>Dulvy</w:t>
      </w:r>
      <w:proofErr w:type="spellEnd"/>
      <w:r>
        <w:t xml:space="preserve">, N. K., Holt, J., Jennings, S., Mullon, C., &amp; Rodwell, L. D. (2012). Can marine fisheries and aquaculture meet fish demand from a growing human population in a changing climate? Global Environmental Change, 22(4), 795–806. </w:t>
      </w:r>
      <w:hyperlink r:id="rId34" w:history="1">
        <w:r w:rsidRPr="003B7575">
          <w:rPr>
            <w:color w:val="0563C1"/>
            <w:u w:val="single"/>
          </w:rPr>
          <w:t>https://doi.org/10.1016/j.gloenvcha.2012.03.003</w:t>
        </w:r>
      </w:hyperlink>
    </w:p>
    <w:p w14:paraId="05DCBD6A" w14:textId="77777777" w:rsidR="002442DA" w:rsidRDefault="003B7575" w:rsidP="003B7575">
      <w:pPr>
        <w:spacing w:after="180" w:line="300" w:lineRule="auto"/>
        <w:jc w:val="both"/>
      </w:pPr>
      <w:r>
        <w:lastRenderedPageBreak/>
        <w:t xml:space="preserve">Naylor, R. L., Hardy, R. W., Bureau, D. P., Chiu, A., Elliott, M., Farrell, A. P., Forster, I., Gatlin, D. M., Goldburg, R. J., Hua, K., &amp; Nichols, P. D. (2009). Feeding aquaculture in an era of finite resources. Proceedings of the National Academy of Sciences, 106(36), 15103–15110. </w:t>
      </w:r>
      <w:hyperlink r:id="rId35" w:history="1">
        <w:r w:rsidRPr="003B7575">
          <w:rPr>
            <w:color w:val="0563C1"/>
            <w:u w:val="single"/>
          </w:rPr>
          <w:t>https://doi.org/10.1073/pnas.0905235106</w:t>
        </w:r>
      </w:hyperlink>
    </w:p>
    <w:p w14:paraId="005B3818" w14:textId="77777777" w:rsidR="002442DA" w:rsidRDefault="003B7575" w:rsidP="003B7575">
      <w:pPr>
        <w:spacing w:after="180" w:line="300" w:lineRule="auto"/>
        <w:jc w:val="both"/>
      </w:pPr>
      <w:r>
        <w:t xml:space="preserve">Olsen, Y. (2011). Resources for fish feed in future mariculture. Aquaculture Environment Interactions, 1(3), 187–200. </w:t>
      </w:r>
      <w:hyperlink r:id="rId36" w:history="1">
        <w:r w:rsidRPr="003B7575">
          <w:rPr>
            <w:color w:val="0563C1"/>
            <w:u w:val="single"/>
          </w:rPr>
          <w:t>https://doi.org/10.3354/aei00019</w:t>
        </w:r>
      </w:hyperlink>
    </w:p>
    <w:p w14:paraId="4683A71E" w14:textId="77777777" w:rsidR="002442DA" w:rsidRDefault="003B7575" w:rsidP="003B7575">
      <w:pPr>
        <w:spacing w:after="180" w:line="300" w:lineRule="auto"/>
        <w:jc w:val="both"/>
      </w:pPr>
      <w:r>
        <w:t xml:space="preserve">Ostrom, E. (2009). A general framework for analyzing sustainability of social-ecological systems. Science, 325(5939), 419–422. </w:t>
      </w:r>
      <w:hyperlink r:id="rId37" w:history="1">
        <w:r w:rsidRPr="003B7575">
          <w:rPr>
            <w:color w:val="0563C1"/>
            <w:u w:val="single"/>
          </w:rPr>
          <w:t>https://doi.org/10.1126/science.1172133</w:t>
        </w:r>
      </w:hyperlink>
    </w:p>
    <w:p w14:paraId="43AEFECB" w14:textId="77777777" w:rsidR="002442DA" w:rsidRDefault="003B7575" w:rsidP="003B7575">
      <w:pPr>
        <w:spacing w:after="180" w:line="300" w:lineRule="auto"/>
        <w:jc w:val="both"/>
      </w:pPr>
      <w:r>
        <w:t xml:space="preserve">Pauly, D., Christensen, V., Dalsgaard, J., Froese, R., &amp; Torres, F., Jr. (1998). Fishing down marine food webs. Science, 279(5352), 860–863. </w:t>
      </w:r>
      <w:hyperlink r:id="rId38" w:history="1">
        <w:r w:rsidRPr="003B7575">
          <w:rPr>
            <w:color w:val="0563C1"/>
            <w:u w:val="single"/>
          </w:rPr>
          <w:t>https://doi.org/10.1126/science.279.5352.860</w:t>
        </w:r>
      </w:hyperlink>
    </w:p>
    <w:p w14:paraId="2B719241" w14:textId="77777777" w:rsidR="002442DA" w:rsidRDefault="003B7575" w:rsidP="003B7575">
      <w:pPr>
        <w:spacing w:after="180" w:line="300" w:lineRule="auto"/>
        <w:jc w:val="both"/>
      </w:pPr>
      <w:r>
        <w:t xml:space="preserve">Pauly, D., &amp; Zeller, D. (2016). Catch reconstructions reveal that global marine fisheries catches are higher than reported and declining. Nature Communications, 7, 10244. </w:t>
      </w:r>
      <w:hyperlink r:id="rId39" w:history="1">
        <w:r w:rsidRPr="003B7575">
          <w:rPr>
            <w:color w:val="0563C1"/>
            <w:u w:val="single"/>
          </w:rPr>
          <w:t>https://doi.org/10.1038/ncomms10244</w:t>
        </w:r>
      </w:hyperlink>
    </w:p>
    <w:p w14:paraId="3F049FA8" w14:textId="77777777" w:rsidR="002442DA" w:rsidRDefault="003B7575" w:rsidP="003B7575">
      <w:pPr>
        <w:spacing w:after="180" w:line="300" w:lineRule="auto"/>
        <w:jc w:val="both"/>
      </w:pPr>
      <w:proofErr w:type="spellStart"/>
      <w:r>
        <w:t>Pikitch</w:t>
      </w:r>
      <w:proofErr w:type="spellEnd"/>
      <w:r>
        <w:t xml:space="preserve">, E. K., Santora, C., Babcock, E. A., Bakun, A., Bonfil, R., Conover, D. O., Dayton, P., Doukakis, P., Fluharty, D., Heneman, B., Houde, E. D., Link, J., Livingston, P. A., Mangel, M., McAllister, M. K., Pope, J., &amp; Sainsbury, K. J. (2004). Ecosystem-based fishery management. Science, 305(5682), 346–347. </w:t>
      </w:r>
      <w:hyperlink r:id="rId40" w:history="1">
        <w:r w:rsidRPr="003B7575">
          <w:rPr>
            <w:color w:val="0563C1"/>
            <w:u w:val="single"/>
          </w:rPr>
          <w:t>https://doi.org/10.1126/science.1098222</w:t>
        </w:r>
      </w:hyperlink>
    </w:p>
    <w:p w14:paraId="2F6DB3EB" w14:textId="77777777" w:rsidR="002442DA" w:rsidRDefault="003B7575" w:rsidP="003B7575">
      <w:pPr>
        <w:spacing w:after="180" w:line="300" w:lineRule="auto"/>
        <w:jc w:val="both"/>
      </w:pPr>
      <w:r>
        <w:t xml:space="preserve">Pitcher, T. J., &amp; Cheung, W. W. L. (2013). Fisheries: Hope or despair? Marine Pollution Bulletin, 74(2), 506–516. </w:t>
      </w:r>
      <w:hyperlink r:id="rId41" w:history="1">
        <w:r w:rsidRPr="003B7575">
          <w:rPr>
            <w:color w:val="0563C1"/>
            <w:u w:val="single"/>
          </w:rPr>
          <w:t>https://doi.org/10.1016/j.marpolbul.2013.05.045</w:t>
        </w:r>
      </w:hyperlink>
    </w:p>
    <w:p w14:paraId="1E9C0794" w14:textId="77777777" w:rsidR="002442DA" w:rsidRDefault="003B7575" w:rsidP="003B7575">
      <w:pPr>
        <w:spacing w:after="180" w:line="300" w:lineRule="auto"/>
        <w:jc w:val="both"/>
      </w:pPr>
      <w:r>
        <w:t xml:space="preserve">Troell, M., Joyce, A., Chopin, T., </w:t>
      </w:r>
      <w:proofErr w:type="spellStart"/>
      <w:r>
        <w:t>Neori</w:t>
      </w:r>
      <w:proofErr w:type="spellEnd"/>
      <w:r>
        <w:t xml:space="preserve">, A., Buschmann, A. H., &amp; Fang, J.-G. (2009). Ecological engineering in aquaculture – Potential for integrated multi-trophic aquaculture (IMTA) in marine offshore systems. Aquaculture, 297(1–4), 1–9. </w:t>
      </w:r>
      <w:hyperlink r:id="rId42" w:history="1">
        <w:r w:rsidRPr="003B7575">
          <w:rPr>
            <w:color w:val="0563C1"/>
            <w:u w:val="single"/>
          </w:rPr>
          <w:t>https://doi.org/10.1016/j.aquaculture.2009.09.010</w:t>
        </w:r>
      </w:hyperlink>
    </w:p>
    <w:p w14:paraId="62DB7DFF" w14:textId="77777777" w:rsidR="002442DA" w:rsidRDefault="003B7575" w:rsidP="003B7575">
      <w:pPr>
        <w:spacing w:after="180" w:line="300" w:lineRule="auto"/>
        <w:jc w:val="both"/>
      </w:pPr>
      <w:r>
        <w:t xml:space="preserve">Troell, M., Naylor, R. L., Metian, M., Beveridge, M., </w:t>
      </w:r>
      <w:proofErr w:type="spellStart"/>
      <w:r>
        <w:t>Tyedmers</w:t>
      </w:r>
      <w:proofErr w:type="spellEnd"/>
      <w:r>
        <w:t xml:space="preserve">, P. H., Folke, C., Arrow, K., Barrett, S., Crépin, A.-S., Ehrlich, P. R., Gren, Å., Kautsky, N., Levin, S. A., Lubchenco, J., Mooney, H. A., Peterson, L. R., Pfister, C., &amp; Deutsch, L. (2014). Does aquaculture add resilience to the global food system? Proceedings of the National Academy of Sciences, 111(37), 13257–13263. </w:t>
      </w:r>
      <w:hyperlink r:id="rId43" w:history="1">
        <w:r w:rsidRPr="003B7575">
          <w:rPr>
            <w:color w:val="0563C1"/>
            <w:u w:val="single"/>
          </w:rPr>
          <w:t>https://doi.org/10.1073/pnas.1404067111</w:t>
        </w:r>
      </w:hyperlink>
    </w:p>
    <w:sectPr w:rsidR="002442DA" w:rsidSect="002442DA">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24D92" w14:textId="77777777" w:rsidR="009D4462" w:rsidRDefault="009D4462" w:rsidP="006477CE">
      <w:r>
        <w:separator/>
      </w:r>
    </w:p>
  </w:endnote>
  <w:endnote w:type="continuationSeparator" w:id="0">
    <w:p w14:paraId="0E424086" w14:textId="77777777" w:rsidR="009D4462" w:rsidRDefault="009D4462" w:rsidP="0064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89DB7" w14:textId="77777777" w:rsidR="006477CE" w:rsidRDefault="00647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DF90D" w14:textId="77777777" w:rsidR="006477CE" w:rsidRDefault="006477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68C47" w14:textId="77777777" w:rsidR="006477CE" w:rsidRDefault="00647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D1412" w14:textId="77777777" w:rsidR="009D4462" w:rsidRDefault="009D4462" w:rsidP="006477CE">
      <w:r>
        <w:separator/>
      </w:r>
    </w:p>
  </w:footnote>
  <w:footnote w:type="continuationSeparator" w:id="0">
    <w:p w14:paraId="5F5542E8" w14:textId="77777777" w:rsidR="009D4462" w:rsidRDefault="009D4462" w:rsidP="00647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452A8" w14:textId="2433EF22" w:rsidR="006477CE" w:rsidRDefault="006477CE">
    <w:pPr>
      <w:pStyle w:val="Header"/>
    </w:pPr>
    <w:r>
      <w:rPr>
        <w:noProof/>
      </w:rPr>
      <w:pict w14:anchorId="2810B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22861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A07F6" w14:textId="3852E2FC" w:rsidR="006477CE" w:rsidRDefault="006477CE">
    <w:pPr>
      <w:pStyle w:val="Header"/>
    </w:pPr>
    <w:r>
      <w:rPr>
        <w:noProof/>
      </w:rPr>
      <w:pict w14:anchorId="15F6C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22861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D3BF1" w14:textId="5EA841E0" w:rsidR="006477CE" w:rsidRDefault="006477CE">
    <w:pPr>
      <w:pStyle w:val="Header"/>
    </w:pPr>
    <w:r>
      <w:rPr>
        <w:noProof/>
      </w:rPr>
      <w:pict w14:anchorId="292A8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22861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226A89"/>
    <w:multiLevelType w:val="hybridMultilevel"/>
    <w:tmpl w:val="B9CEA4E6"/>
    <w:lvl w:ilvl="0" w:tplc="81E0CD1C">
      <w:start w:val="1"/>
      <w:numFmt w:val="bullet"/>
      <w:lvlText w:val="●"/>
      <w:lvlJc w:val="left"/>
      <w:pPr>
        <w:ind w:left="720" w:hanging="360"/>
      </w:pPr>
    </w:lvl>
    <w:lvl w:ilvl="1" w:tplc="427E3080">
      <w:start w:val="1"/>
      <w:numFmt w:val="bullet"/>
      <w:lvlText w:val="○"/>
      <w:lvlJc w:val="left"/>
      <w:pPr>
        <w:ind w:left="1440" w:hanging="360"/>
      </w:pPr>
    </w:lvl>
    <w:lvl w:ilvl="2" w:tplc="0590AD6C">
      <w:start w:val="1"/>
      <w:numFmt w:val="bullet"/>
      <w:lvlText w:val="■"/>
      <w:lvlJc w:val="left"/>
      <w:pPr>
        <w:ind w:left="2160" w:hanging="360"/>
      </w:pPr>
    </w:lvl>
    <w:lvl w:ilvl="3" w:tplc="962EC644">
      <w:start w:val="1"/>
      <w:numFmt w:val="bullet"/>
      <w:lvlText w:val="●"/>
      <w:lvlJc w:val="left"/>
      <w:pPr>
        <w:ind w:left="2880" w:hanging="360"/>
      </w:pPr>
    </w:lvl>
    <w:lvl w:ilvl="4" w:tplc="A85452AC">
      <w:start w:val="1"/>
      <w:numFmt w:val="bullet"/>
      <w:lvlText w:val="○"/>
      <w:lvlJc w:val="left"/>
      <w:pPr>
        <w:ind w:left="3600" w:hanging="360"/>
      </w:pPr>
    </w:lvl>
    <w:lvl w:ilvl="5" w:tplc="EFB8FC12">
      <w:start w:val="1"/>
      <w:numFmt w:val="bullet"/>
      <w:lvlText w:val="■"/>
      <w:lvlJc w:val="left"/>
      <w:pPr>
        <w:ind w:left="4320" w:hanging="360"/>
      </w:pPr>
    </w:lvl>
    <w:lvl w:ilvl="6" w:tplc="D1787544">
      <w:start w:val="1"/>
      <w:numFmt w:val="bullet"/>
      <w:lvlText w:val="●"/>
      <w:lvlJc w:val="left"/>
      <w:pPr>
        <w:ind w:left="5040" w:hanging="360"/>
      </w:pPr>
    </w:lvl>
    <w:lvl w:ilvl="7" w:tplc="3F343BA6">
      <w:start w:val="1"/>
      <w:numFmt w:val="bullet"/>
      <w:lvlText w:val="●"/>
      <w:lvlJc w:val="left"/>
      <w:pPr>
        <w:ind w:left="5760" w:hanging="360"/>
      </w:pPr>
    </w:lvl>
    <w:lvl w:ilvl="8" w:tplc="C342684A">
      <w:start w:val="1"/>
      <w:numFmt w:val="bullet"/>
      <w:lvlText w:val="●"/>
      <w:lvlJc w:val="left"/>
      <w:pPr>
        <w:ind w:left="6480" w:hanging="360"/>
      </w:pPr>
    </w:lvl>
  </w:abstractNum>
  <w:abstractNum w:abstractNumId="1" w15:restartNumberingAfterBreak="0">
    <w:nsid w:val="6BE61236"/>
    <w:multiLevelType w:val="hybridMultilevel"/>
    <w:tmpl w:val="91B44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42DA"/>
    <w:rsid w:val="00140823"/>
    <w:rsid w:val="002442DA"/>
    <w:rsid w:val="002D31BA"/>
    <w:rsid w:val="003B7575"/>
    <w:rsid w:val="006477CE"/>
    <w:rsid w:val="00866A50"/>
    <w:rsid w:val="009D4462"/>
    <w:rsid w:val="00C31891"/>
    <w:rsid w:val="00DB4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AC01C5"/>
  <w15:docId w15:val="{833978B3-A463-42D6-A7D3-BC5CD5EF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2442DA"/>
    <w:pPr>
      <w:spacing w:before="440" w:after="200"/>
      <w:outlineLvl w:val="0"/>
    </w:pPr>
    <w:rPr>
      <w:b/>
      <w:bCs/>
      <w:color w:val="000000"/>
      <w:sz w:val="28"/>
      <w:szCs w:val="28"/>
    </w:rPr>
  </w:style>
  <w:style w:type="paragraph" w:styleId="Heading2">
    <w:name w:val="heading 2"/>
    <w:qFormat/>
    <w:rsid w:val="002442DA"/>
    <w:pPr>
      <w:spacing w:before="320" w:after="160"/>
      <w:outlineLvl w:val="1"/>
    </w:pPr>
    <w:rPr>
      <w:b/>
      <w:bCs/>
      <w:i/>
      <w:iCs/>
      <w:color w:val="000000"/>
    </w:rPr>
  </w:style>
  <w:style w:type="paragraph" w:styleId="Heading3">
    <w:name w:val="heading 3"/>
    <w:qFormat/>
    <w:rsid w:val="002442DA"/>
    <w:pPr>
      <w:outlineLvl w:val="2"/>
    </w:pPr>
    <w:rPr>
      <w:color w:val="1F4D78"/>
    </w:rPr>
  </w:style>
  <w:style w:type="paragraph" w:styleId="Heading4">
    <w:name w:val="heading 4"/>
    <w:qFormat/>
    <w:rsid w:val="002442DA"/>
    <w:pPr>
      <w:outlineLvl w:val="3"/>
    </w:pPr>
    <w:rPr>
      <w:i/>
      <w:iCs/>
      <w:color w:val="2E74B5"/>
    </w:rPr>
  </w:style>
  <w:style w:type="paragraph" w:styleId="Heading5">
    <w:name w:val="heading 5"/>
    <w:qFormat/>
    <w:rsid w:val="002442DA"/>
    <w:pPr>
      <w:outlineLvl w:val="4"/>
    </w:pPr>
    <w:rPr>
      <w:color w:val="2E74B5"/>
    </w:rPr>
  </w:style>
  <w:style w:type="paragraph" w:styleId="Heading6">
    <w:name w:val="heading 6"/>
    <w:qFormat/>
    <w:rsid w:val="002442DA"/>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2442DA"/>
    <w:rPr>
      <w:sz w:val="56"/>
      <w:szCs w:val="56"/>
    </w:rPr>
  </w:style>
  <w:style w:type="paragraph" w:customStyle="1" w:styleId="Strong1">
    <w:name w:val="Strong1"/>
    <w:qFormat/>
    <w:rsid w:val="002442DA"/>
    <w:rPr>
      <w:b/>
      <w:bCs/>
    </w:rPr>
  </w:style>
  <w:style w:type="paragraph" w:styleId="ListParagraph">
    <w:name w:val="List Paragraph"/>
    <w:qFormat/>
    <w:rsid w:val="002442DA"/>
  </w:style>
  <w:style w:type="character" w:styleId="Hyperlink">
    <w:name w:val="Hyperlink"/>
    <w:uiPriority w:val="99"/>
    <w:unhideWhenUsed/>
    <w:rsid w:val="002442DA"/>
    <w:rPr>
      <w:color w:val="0563C1"/>
      <w:u w:val="single"/>
    </w:rPr>
  </w:style>
  <w:style w:type="character" w:styleId="FootnoteReference">
    <w:name w:val="footnote reference"/>
    <w:uiPriority w:val="99"/>
    <w:semiHidden/>
    <w:unhideWhenUsed/>
    <w:rsid w:val="002442DA"/>
    <w:rPr>
      <w:vertAlign w:val="superscript"/>
    </w:rPr>
  </w:style>
  <w:style w:type="paragraph" w:styleId="FootnoteText">
    <w:name w:val="footnote text"/>
    <w:link w:val="FootnoteTextChar"/>
    <w:uiPriority w:val="99"/>
    <w:semiHidden/>
    <w:unhideWhenUsed/>
    <w:rsid w:val="002442DA"/>
    <w:rPr>
      <w:sz w:val="20"/>
      <w:szCs w:val="20"/>
    </w:rPr>
  </w:style>
  <w:style w:type="character" w:customStyle="1" w:styleId="FootnoteTextChar">
    <w:name w:val="Footnote Text Char"/>
    <w:link w:val="FootnoteText"/>
    <w:uiPriority w:val="99"/>
    <w:semiHidden/>
    <w:unhideWhenUsed/>
    <w:rsid w:val="002442DA"/>
    <w:rPr>
      <w:sz w:val="20"/>
      <w:szCs w:val="20"/>
    </w:rPr>
  </w:style>
  <w:style w:type="paragraph" w:styleId="Header">
    <w:name w:val="header"/>
    <w:basedOn w:val="Normal"/>
    <w:link w:val="HeaderChar"/>
    <w:uiPriority w:val="99"/>
    <w:unhideWhenUsed/>
    <w:rsid w:val="006477CE"/>
    <w:pPr>
      <w:tabs>
        <w:tab w:val="center" w:pos="4680"/>
        <w:tab w:val="right" w:pos="9360"/>
      </w:tabs>
    </w:pPr>
  </w:style>
  <w:style w:type="character" w:customStyle="1" w:styleId="HeaderChar">
    <w:name w:val="Header Char"/>
    <w:basedOn w:val="DefaultParagraphFont"/>
    <w:link w:val="Header"/>
    <w:uiPriority w:val="99"/>
    <w:rsid w:val="006477CE"/>
  </w:style>
  <w:style w:type="paragraph" w:styleId="Footer">
    <w:name w:val="footer"/>
    <w:basedOn w:val="Normal"/>
    <w:link w:val="FooterChar"/>
    <w:uiPriority w:val="99"/>
    <w:unhideWhenUsed/>
    <w:rsid w:val="006477CE"/>
    <w:pPr>
      <w:tabs>
        <w:tab w:val="center" w:pos="4680"/>
        <w:tab w:val="right" w:pos="9360"/>
      </w:tabs>
    </w:pPr>
  </w:style>
  <w:style w:type="character" w:customStyle="1" w:styleId="FooterChar">
    <w:name w:val="Footer Char"/>
    <w:basedOn w:val="DefaultParagraphFont"/>
    <w:link w:val="Footer"/>
    <w:uiPriority w:val="99"/>
    <w:rsid w:val="00647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1462-2920.2006.01054.x" TargetMode="External"/><Relationship Id="rId18" Type="http://schemas.openxmlformats.org/officeDocument/2006/relationships/hyperlink" Target="https://doi.org/10.1126/science.aau1758" TargetMode="External"/><Relationship Id="rId26" Type="http://schemas.openxmlformats.org/officeDocument/2006/relationships/hyperlink" Target="https://doi.org/10.1016/j.anifeedsci.2015.03.001" TargetMode="External"/><Relationship Id="rId39" Type="http://schemas.openxmlformats.org/officeDocument/2006/relationships/hyperlink" Target="https://doi.org/10.1038/ncomms10244" TargetMode="External"/><Relationship Id="rId21" Type="http://schemas.openxmlformats.org/officeDocument/2006/relationships/hyperlink" Target="https://doi.org/10.1038/s41559-017-0257-9" TargetMode="External"/><Relationship Id="rId34" Type="http://schemas.openxmlformats.org/officeDocument/2006/relationships/hyperlink" Target="https://doi.org/10.1016/j.gloenvcha.2012.03.003" TargetMode="External"/><Relationship Id="rId42" Type="http://schemas.openxmlformats.org/officeDocument/2006/relationships/hyperlink" Target="https://doi.org/10.1016/j.aquaculture.2009.09.010"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s://doi.org/10.1016/j.worlddev.2015.11.007" TargetMode="External"/><Relationship Id="rId2" Type="http://schemas.openxmlformats.org/officeDocument/2006/relationships/styles" Target="styles.xml"/><Relationship Id="rId16" Type="http://schemas.openxmlformats.org/officeDocument/2006/relationships/hyperlink" Target="https://doi.org/10.3389/fmars.2017.00100" TargetMode="External"/><Relationship Id="rId29" Type="http://schemas.openxmlformats.org/officeDocument/2006/relationships/hyperlink" Target="https://doi.org/10.1080/13657305.2015.994240" TargetMode="External"/><Relationship Id="rId11" Type="http://schemas.openxmlformats.org/officeDocument/2006/relationships/hyperlink" Target="https://doi.org/10.1016/j.ocecoaman.2009.03.002" TargetMode="External"/><Relationship Id="rId24" Type="http://schemas.openxmlformats.org/officeDocument/2006/relationships/hyperlink" Target="https://doi.org/10.1038/534317a" TargetMode="External"/><Relationship Id="rId32" Type="http://schemas.openxmlformats.org/officeDocument/2006/relationships/hyperlink" Target="https://doi.org/10.3354/meps08029" TargetMode="External"/><Relationship Id="rId37" Type="http://schemas.openxmlformats.org/officeDocument/2006/relationships/hyperlink" Target="https://doi.org/10.1126/science.1172133" TargetMode="External"/><Relationship Id="rId40" Type="http://schemas.openxmlformats.org/officeDocument/2006/relationships/hyperlink" Target="https://doi.org/10.1126/science.1098222"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73/pnas.1520420113" TargetMode="External"/><Relationship Id="rId23" Type="http://schemas.openxmlformats.org/officeDocument/2006/relationships/hyperlink" Target="https://doi.org/10.1016/j.aquaculture.2012.04.008" TargetMode="External"/><Relationship Id="rId28" Type="http://schemas.openxmlformats.org/officeDocument/2006/relationships/hyperlink" Target="https://doi.org/10.1146/annurev-environ-021111-161531" TargetMode="External"/><Relationship Id="rId36" Type="http://schemas.openxmlformats.org/officeDocument/2006/relationships/hyperlink" Target="https://doi.org/10.3354/aei00019" TargetMode="External"/><Relationship Id="rId49" Type="http://schemas.openxmlformats.org/officeDocument/2006/relationships/footer" Target="footer3.xml"/><Relationship Id="rId10" Type="http://schemas.openxmlformats.org/officeDocument/2006/relationships/hyperlink" Target="https://doi.org/10.1073/pnas.0702059104" TargetMode="External"/><Relationship Id="rId19" Type="http://schemas.openxmlformats.org/officeDocument/2006/relationships/hyperlink" Target="https://doi.org/10.1038/s41893-018-0163-2" TargetMode="External"/><Relationship Id="rId31" Type="http://schemas.openxmlformats.org/officeDocument/2006/relationships/hyperlink" Target="https://doi.org/10.1126/science.aao5646"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38/s41893-019-0404-1" TargetMode="External"/><Relationship Id="rId14" Type="http://schemas.openxmlformats.org/officeDocument/2006/relationships/hyperlink" Target="https://doi.org/10.1111/j.1467-2979.2008.00315.x" TargetMode="External"/><Relationship Id="rId22" Type="http://schemas.openxmlformats.org/officeDocument/2006/relationships/hyperlink" Target="https://doi.org/10.1038/s41586-021-03889-2" TargetMode="External"/><Relationship Id="rId27" Type="http://schemas.openxmlformats.org/officeDocument/2006/relationships/hyperlink" Target="https://doi.org/10.1093/icesjms/fsu034" TargetMode="External"/><Relationship Id="rId30" Type="http://schemas.openxmlformats.org/officeDocument/2006/relationships/hyperlink" Target="https://doi.org/10.1111/gcb.12179" TargetMode="External"/><Relationship Id="rId35" Type="http://schemas.openxmlformats.org/officeDocument/2006/relationships/hyperlink" Target="https://doi.org/10.1073/pnas.0905235106" TargetMode="External"/><Relationship Id="rId43" Type="http://schemas.openxmlformats.org/officeDocument/2006/relationships/hyperlink" Target="https://doi.org/10.1073/pnas.1404067111" TargetMode="External"/><Relationship Id="rId48" Type="http://schemas.openxmlformats.org/officeDocument/2006/relationships/header" Target="header3.xml"/><Relationship Id="rId8" Type="http://schemas.openxmlformats.org/officeDocument/2006/relationships/hyperlink" Target="https://doi.org/10.1007/s12571-015-0427-z"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1126/science.1237314" TargetMode="External"/><Relationship Id="rId17" Type="http://schemas.openxmlformats.org/officeDocument/2006/relationships/hyperlink" Target="https://doi.org/10.1038/nature13022" TargetMode="External"/><Relationship Id="rId25" Type="http://schemas.openxmlformats.org/officeDocument/2006/relationships/hyperlink" Target="https://doi.org/10.1126/science.1149345" TargetMode="External"/><Relationship Id="rId33" Type="http://schemas.openxmlformats.org/officeDocument/2006/relationships/hyperlink" Target="https://doi.org/10.1016/j.aquaeng.2010.09.002" TargetMode="External"/><Relationship Id="rId38" Type="http://schemas.openxmlformats.org/officeDocument/2006/relationships/hyperlink" Target="https://doi.org/10.1126/science.279.5352.860" TargetMode="External"/><Relationship Id="rId46" Type="http://schemas.openxmlformats.org/officeDocument/2006/relationships/footer" Target="footer1.xml"/><Relationship Id="rId20" Type="http://schemas.openxmlformats.org/officeDocument/2006/relationships/hyperlink" Target="https://doi.org/10.1073/pnas.1801692115" TargetMode="External"/><Relationship Id="rId41" Type="http://schemas.openxmlformats.org/officeDocument/2006/relationships/hyperlink" Target="https://doi.org/10.1016/j.marpolbul.2013.05.045"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24</Pages>
  <Words>9178</Words>
  <Characters>52315</Characters>
  <Application>Microsoft Office Word</Application>
  <DocSecurity>0</DocSecurity>
  <Lines>435</Lines>
  <Paragraphs>122</Paragraphs>
  <ScaleCrop>false</ScaleCrop>
  <Company>HP</Company>
  <LinksUpToDate>false</LinksUpToDate>
  <CharactersWithSpaces>61371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14</cp:revision>
  <dcterms:created xsi:type="dcterms:W3CDTF">2026-03-10T18:21:00Z</dcterms:created>
  <dcterms:modified xsi:type="dcterms:W3CDTF">2026-03-11T13:10:00Z</dcterms:modified>
</cp:coreProperties>
</file>