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D2E1" w14:textId="1CDFEB29" w:rsidR="00867E80" w:rsidRPr="00867E80" w:rsidRDefault="00867E80" w:rsidP="00417DFC">
      <w:pPr>
        <w:pStyle w:val="Heading1"/>
        <w:rPr>
          <w:u w:val="single"/>
        </w:rPr>
      </w:pPr>
      <w:bookmarkStart w:id="0" w:name="_GoBack"/>
      <w:bookmarkEnd w:id="0"/>
      <w:r w:rsidRPr="00867E80">
        <w:rPr>
          <w:u w:val="single"/>
        </w:rPr>
        <w:t>Review Article</w:t>
      </w:r>
    </w:p>
    <w:p w14:paraId="483FB0ED" w14:textId="7D1C5293" w:rsidR="00A34E95" w:rsidRDefault="00417DFC" w:rsidP="00417DFC">
      <w:pPr>
        <w:pStyle w:val="Heading1"/>
      </w:pPr>
      <w:r>
        <w:t>Impact of Climate Change on M</w:t>
      </w:r>
      <w:r w:rsidR="00A3760B">
        <w:t>uga Silk Production in Assam: A</w:t>
      </w:r>
      <w:r w:rsidR="00D82C22">
        <w:t xml:space="preserve"> </w:t>
      </w:r>
      <w:r>
        <w:t>Review</w:t>
      </w:r>
    </w:p>
    <w:p w14:paraId="4E735308" w14:textId="77777777" w:rsidR="00417DFC" w:rsidRDefault="00417DFC" w:rsidP="00417DFC">
      <w:pPr>
        <w:pStyle w:val="Heading2"/>
      </w:pPr>
      <w:r>
        <w:t>Abstract</w:t>
      </w:r>
    </w:p>
    <w:p w14:paraId="39453911" w14:textId="77777777" w:rsidR="00417DFC" w:rsidRDefault="00417DFC" w:rsidP="00417DFC">
      <w:pPr>
        <w:pStyle w:val="NormalWeb"/>
      </w:pPr>
      <w:r>
        <w:t xml:space="preserve">Muga silk production in Assam is a distinctive, place-based agro-ecological livelihood system reliant on the semi-domesticated moth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and a narrow set of primary host plants, notably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w:t>
      </w:r>
      <w:proofErr w:type="spellStart"/>
      <w:r>
        <w:t>som</w:t>
      </w:r>
      <w:proofErr w:type="spellEnd"/>
      <w:r>
        <w:t xml:space="preserve">) and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w:t>
      </w:r>
      <w:proofErr w:type="spellStart"/>
      <w:r>
        <w:t>soalu</w:t>
      </w:r>
      <w:proofErr w:type="spellEnd"/>
      <w:r>
        <w:t xml:space="preserve">). Because rearing is largely outdoor and aligned to seasonal brood cycles, </w:t>
      </w:r>
      <w:proofErr w:type="spellStart"/>
      <w:r>
        <w:t>muga</w:t>
      </w:r>
      <w:proofErr w:type="spellEnd"/>
      <w:r>
        <w:t xml:space="preserve"> sericulture is unusually exposed to climate variability and to longer-term climatic shifts that operate through temperature regimes, rainfall timing, humidity, and the frequency of extremes. This review </w:t>
      </w:r>
      <w:proofErr w:type="spellStart"/>
      <w:r>
        <w:t>synthesises</w:t>
      </w:r>
      <w:proofErr w:type="spellEnd"/>
      <w:r>
        <w:t xml:space="preserve"> evidence on how observed and projected climate change across India and the broader monsoon domain can influence </w:t>
      </w:r>
      <w:proofErr w:type="spellStart"/>
      <w:r>
        <w:t>muga</w:t>
      </w:r>
      <w:proofErr w:type="spellEnd"/>
      <w:r>
        <w:t xml:space="preserve"> silk production pathways in Assam, including host-plant physiology and leaf quality, larval survival and development, disease dynamics, cocoon traits, and spatial suitability for silkworm–host co-occurrence. We integrate findings from studies on North-East Indian climate trends, monsoon variability, extreme precipitation and hotspot emergence, and regional climate model projections with </w:t>
      </w:r>
      <w:proofErr w:type="spellStart"/>
      <w:r>
        <w:t>muga</w:t>
      </w:r>
      <w:proofErr w:type="spellEnd"/>
      <w:r>
        <w:t xml:space="preserve">-specific work on host-plant diversity and stress tolerance, cocoon quality variation, pathogen identification, and climate-space distribution modelling. The synthesis indicates that climate change risks for </w:t>
      </w:r>
      <w:proofErr w:type="spellStart"/>
      <w:r>
        <w:t>muga</w:t>
      </w:r>
      <w:proofErr w:type="spellEnd"/>
      <w:r>
        <w:t xml:space="preserve"> sericulture are unlikely to manifest as a single linear decline; rather, risks will be episodic and season-specific, driven by shifts in brood-wise thermal and moisture stress, increased probability of high-impact rainfall extremes, and altered suitability overlaps between silkworm and host plants. Adaptation therefore requires coupled interventions across plantation management, brood scheduling and risk-buffering, disease surveillance, and climate-informed spatial planning.</w:t>
      </w:r>
    </w:p>
    <w:p w14:paraId="2FAB0EE1" w14:textId="77777777" w:rsidR="00417DFC" w:rsidRDefault="00417DFC" w:rsidP="00417DFC">
      <w:pPr>
        <w:pStyle w:val="Heading2"/>
      </w:pPr>
      <w:r>
        <w:t>Keywords</w:t>
      </w:r>
    </w:p>
    <w:p w14:paraId="50668F13" w14:textId="77777777" w:rsidR="00417DFC" w:rsidRDefault="00417DFC" w:rsidP="00417DFC">
      <w:pPr>
        <w:pStyle w:val="NormalWeb"/>
      </w:pPr>
      <w:proofErr w:type="spellStart"/>
      <w:r>
        <w:t>Muga</w:t>
      </w:r>
      <w:proofErr w:type="spellEnd"/>
      <w:r>
        <w:t xml:space="preserve"> silk;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Assam; climate variability; extreme precipitation; host plants;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w:t>
      </w:r>
      <w:proofErr w:type="spellStart"/>
      <w:r>
        <w:rPr>
          <w:rStyle w:val="Emphasis"/>
        </w:rPr>
        <w:t>Litsea</w:t>
      </w:r>
      <w:proofErr w:type="spellEnd"/>
      <w:r>
        <w:rPr>
          <w:rStyle w:val="Emphasis"/>
        </w:rPr>
        <w:t xml:space="preserve"> </w:t>
      </w:r>
      <w:proofErr w:type="spellStart"/>
      <w:r>
        <w:rPr>
          <w:rStyle w:val="Emphasis"/>
        </w:rPr>
        <w:t>monopetala</w:t>
      </w:r>
      <w:proofErr w:type="spellEnd"/>
      <w:r>
        <w:t>; disease ecology; species distribution modelling</w:t>
      </w:r>
    </w:p>
    <w:p w14:paraId="098BB4BB" w14:textId="77777777" w:rsidR="003A6513" w:rsidRPr="003A6513" w:rsidRDefault="003A6513" w:rsidP="003A6513">
      <w:pPr>
        <w:spacing w:before="100" w:beforeAutospacing="1" w:after="100" w:afterAutospacing="1" w:line="240" w:lineRule="auto"/>
        <w:ind w:left="0" w:right="0" w:firstLine="0"/>
        <w:jc w:val="left"/>
        <w:outlineLvl w:val="1"/>
        <w:rPr>
          <w:b/>
          <w:bCs/>
          <w:color w:val="auto"/>
          <w:kern w:val="0"/>
          <w:sz w:val="36"/>
          <w:szCs w:val="36"/>
          <w:lang w:val="en-US" w:eastAsia="en-US"/>
        </w:rPr>
      </w:pPr>
      <w:r w:rsidRPr="003A6513">
        <w:rPr>
          <w:b/>
          <w:bCs/>
          <w:color w:val="auto"/>
          <w:kern w:val="0"/>
          <w:sz w:val="36"/>
          <w:szCs w:val="36"/>
          <w:lang w:val="en-US" w:eastAsia="en-US"/>
        </w:rPr>
        <w:t>1. Introduction</w:t>
      </w:r>
    </w:p>
    <w:p w14:paraId="4FA121D4"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Muga silk, produced by the endemic golden </w:t>
      </w:r>
      <w:proofErr w:type="spellStart"/>
      <w:r w:rsidRPr="003A6513">
        <w:rPr>
          <w:color w:val="auto"/>
          <w:kern w:val="0"/>
          <w:lang w:val="en-US" w:eastAsia="en-US"/>
        </w:rPr>
        <w:t>silkmoth</w:t>
      </w:r>
      <w:proofErr w:type="spellEnd"/>
      <w:r w:rsidRPr="003A6513">
        <w:rPr>
          <w:color w:val="auto"/>
          <w:kern w:val="0"/>
          <w:lang w:val="en-US" w:eastAsia="en-US"/>
        </w:rPr>
        <w:t xml:space="preserve"> </w:t>
      </w:r>
      <w:proofErr w:type="spellStart"/>
      <w:r w:rsidRPr="003A6513">
        <w:rPr>
          <w:i/>
          <w:iCs/>
          <w:color w:val="auto"/>
          <w:kern w:val="0"/>
          <w:lang w:val="en-US" w:eastAsia="en-US"/>
        </w:rPr>
        <w:t>Antheraea</w:t>
      </w:r>
      <w:proofErr w:type="spellEnd"/>
      <w:r w:rsidRPr="003A6513">
        <w:rPr>
          <w:i/>
          <w:iCs/>
          <w:color w:val="auto"/>
          <w:kern w:val="0"/>
          <w:lang w:val="en-US" w:eastAsia="en-US"/>
        </w:rPr>
        <w:t xml:space="preserve"> </w:t>
      </w:r>
      <w:proofErr w:type="spellStart"/>
      <w:r w:rsidRPr="003A6513">
        <w:rPr>
          <w:i/>
          <w:iCs/>
          <w:color w:val="auto"/>
          <w:kern w:val="0"/>
          <w:lang w:val="en-US" w:eastAsia="en-US"/>
        </w:rPr>
        <w:t>assamensis</w:t>
      </w:r>
      <w:proofErr w:type="spellEnd"/>
      <w:r w:rsidRPr="003A6513">
        <w:rPr>
          <w:color w:val="auto"/>
          <w:kern w:val="0"/>
          <w:lang w:val="en-US" w:eastAsia="en-US"/>
        </w:rPr>
        <w:t xml:space="preserve">, represents a rare intersection of biodiversity, heritage, and livelihood in Assam and adjoining parts of North-East India. Its value lies not only in the </w:t>
      </w:r>
      <w:proofErr w:type="spellStart"/>
      <w:r w:rsidRPr="003A6513">
        <w:rPr>
          <w:color w:val="auto"/>
          <w:kern w:val="0"/>
          <w:lang w:val="en-US" w:eastAsia="en-US"/>
        </w:rPr>
        <w:t>fibre’s</w:t>
      </w:r>
      <w:proofErr w:type="spellEnd"/>
      <w:r w:rsidRPr="003A6513">
        <w:rPr>
          <w:color w:val="auto"/>
          <w:kern w:val="0"/>
          <w:lang w:val="en-US" w:eastAsia="en-US"/>
        </w:rPr>
        <w:t xml:space="preserve"> natural </w:t>
      </w:r>
      <w:proofErr w:type="spellStart"/>
      <w:r w:rsidRPr="003A6513">
        <w:rPr>
          <w:color w:val="auto"/>
          <w:kern w:val="0"/>
          <w:lang w:val="en-US" w:eastAsia="en-US"/>
        </w:rPr>
        <w:t>lustre</w:t>
      </w:r>
      <w:proofErr w:type="spellEnd"/>
      <w:r w:rsidRPr="003A6513">
        <w:rPr>
          <w:color w:val="auto"/>
          <w:kern w:val="0"/>
          <w:lang w:val="en-US" w:eastAsia="en-US"/>
        </w:rPr>
        <w:t xml:space="preserve"> and durability, but also in the place-specific production ecology that has evolved around outdoor rearing, host-plant management, and brood scheduling in a monsoon-dominated climate. Unlike tightly controlled indoor sericulture, </w:t>
      </w:r>
      <w:proofErr w:type="spellStart"/>
      <w:r w:rsidRPr="003A6513">
        <w:rPr>
          <w:color w:val="auto"/>
          <w:kern w:val="0"/>
          <w:lang w:val="en-US" w:eastAsia="en-US"/>
        </w:rPr>
        <w:t>muga</w:t>
      </w:r>
      <w:proofErr w:type="spellEnd"/>
      <w:r w:rsidRPr="003A6513">
        <w:rPr>
          <w:color w:val="auto"/>
          <w:kern w:val="0"/>
          <w:lang w:val="en-US" w:eastAsia="en-US"/>
        </w:rPr>
        <w:t xml:space="preserve"> production remains strongly coupled to ambient weather because rearing is commonly conducted in open conditions, with the insect’s development, feeding </w:t>
      </w:r>
      <w:proofErr w:type="spellStart"/>
      <w:r w:rsidRPr="003A6513">
        <w:rPr>
          <w:color w:val="auto"/>
          <w:kern w:val="0"/>
          <w:lang w:val="en-US" w:eastAsia="en-US"/>
        </w:rPr>
        <w:t>behaviour</w:t>
      </w:r>
      <w:proofErr w:type="spellEnd"/>
      <w:r w:rsidRPr="003A6513">
        <w:rPr>
          <w:color w:val="auto"/>
          <w:kern w:val="0"/>
          <w:lang w:val="en-US" w:eastAsia="en-US"/>
        </w:rPr>
        <w:t xml:space="preserve">, and cocooning stages exposed to seasonally varying temperature, humidity, and rainfall. Foundational accounts of </w:t>
      </w:r>
      <w:proofErr w:type="spellStart"/>
      <w:r w:rsidRPr="003A6513">
        <w:rPr>
          <w:color w:val="auto"/>
          <w:kern w:val="0"/>
          <w:lang w:val="en-US" w:eastAsia="en-US"/>
        </w:rPr>
        <w:t>muga</w:t>
      </w:r>
      <w:proofErr w:type="spellEnd"/>
      <w:r w:rsidRPr="003A6513">
        <w:rPr>
          <w:color w:val="auto"/>
          <w:kern w:val="0"/>
          <w:lang w:val="en-US" w:eastAsia="en-US"/>
        </w:rPr>
        <w:t xml:space="preserve"> distribution, biology, and breeding </w:t>
      </w:r>
      <w:proofErr w:type="spellStart"/>
      <w:r w:rsidRPr="003A6513">
        <w:rPr>
          <w:color w:val="auto"/>
          <w:kern w:val="0"/>
          <w:lang w:val="en-US" w:eastAsia="en-US"/>
        </w:rPr>
        <w:lastRenderedPageBreak/>
        <w:t>emphasise</w:t>
      </w:r>
      <w:proofErr w:type="spellEnd"/>
      <w:r w:rsidRPr="003A6513">
        <w:rPr>
          <w:color w:val="auto"/>
          <w:kern w:val="0"/>
          <w:lang w:val="en-US" w:eastAsia="en-US"/>
        </w:rPr>
        <w:t xml:space="preserve"> that rearing success is shaped by ecological context and field-level stressors, including pests and disease, making the system inherently sensitive to environmental variability (</w:t>
      </w:r>
      <w:proofErr w:type="spellStart"/>
      <w:r w:rsidRPr="003A6513">
        <w:rPr>
          <w:color w:val="auto"/>
          <w:kern w:val="0"/>
          <w:lang w:val="en-US" w:eastAsia="en-US"/>
        </w:rPr>
        <w:t>Tikader</w:t>
      </w:r>
      <w:proofErr w:type="spellEnd"/>
      <w:r w:rsidRPr="003A6513">
        <w:rPr>
          <w:color w:val="auto"/>
          <w:kern w:val="0"/>
          <w:lang w:val="en-US" w:eastAsia="en-US"/>
        </w:rPr>
        <w:t xml:space="preserve"> et al., 2013). This sensitivity becomes more consequential under climate change, which is expected to alter not only mean conditions but also the frequency, timing, and intensity of weather extremes that directly affect outdoor rearing operations.</w:t>
      </w:r>
    </w:p>
    <w:p w14:paraId="739BAF2F"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Climate change risk for </w:t>
      </w:r>
      <w:proofErr w:type="spellStart"/>
      <w:r w:rsidRPr="003A6513">
        <w:rPr>
          <w:color w:val="auto"/>
          <w:kern w:val="0"/>
          <w:lang w:val="en-US" w:eastAsia="en-US"/>
        </w:rPr>
        <w:t>muga</w:t>
      </w:r>
      <w:proofErr w:type="spellEnd"/>
      <w:r w:rsidRPr="003A6513">
        <w:rPr>
          <w:color w:val="auto"/>
          <w:kern w:val="0"/>
          <w:lang w:val="en-US" w:eastAsia="en-US"/>
        </w:rPr>
        <w:t xml:space="preserve"> silk production is best understood through the notion of synchrony. Productive outcomes depend on synchrony between (</w:t>
      </w:r>
      <w:proofErr w:type="spellStart"/>
      <w:r w:rsidRPr="003A6513">
        <w:rPr>
          <w:color w:val="auto"/>
          <w:kern w:val="0"/>
          <w:lang w:val="en-US" w:eastAsia="en-US"/>
        </w:rPr>
        <w:t>i</w:t>
      </w:r>
      <w:proofErr w:type="spellEnd"/>
      <w:r w:rsidRPr="003A6513">
        <w:rPr>
          <w:color w:val="auto"/>
          <w:kern w:val="0"/>
          <w:lang w:val="en-US" w:eastAsia="en-US"/>
        </w:rPr>
        <w:t xml:space="preserve">) the seasonal availability and nutritional quality of host-plant leaves, (ii) the developmental timing of the silkworm across broods, and (iii) weather windows that allow sustained feeding and successful cocoon formation. Disruptions to any of these components can cascade through the system. Reviews of </w:t>
      </w:r>
      <w:proofErr w:type="spellStart"/>
      <w:r w:rsidRPr="003A6513">
        <w:rPr>
          <w:color w:val="auto"/>
          <w:kern w:val="0"/>
          <w:lang w:val="en-US" w:eastAsia="en-US"/>
        </w:rPr>
        <w:t>muga</w:t>
      </w:r>
      <w:proofErr w:type="spellEnd"/>
      <w:r w:rsidRPr="003A6513">
        <w:rPr>
          <w:color w:val="auto"/>
          <w:kern w:val="0"/>
          <w:lang w:val="en-US" w:eastAsia="en-US"/>
        </w:rPr>
        <w:t xml:space="preserve"> food plants highlight that, while the silkworm may </w:t>
      </w:r>
      <w:proofErr w:type="spellStart"/>
      <w:r w:rsidRPr="003A6513">
        <w:rPr>
          <w:color w:val="auto"/>
          <w:kern w:val="0"/>
          <w:lang w:val="en-US" w:eastAsia="en-US"/>
        </w:rPr>
        <w:t>utilise</w:t>
      </w:r>
      <w:proofErr w:type="spellEnd"/>
      <w:r w:rsidRPr="003A6513">
        <w:rPr>
          <w:color w:val="auto"/>
          <w:kern w:val="0"/>
          <w:lang w:val="en-US" w:eastAsia="en-US"/>
        </w:rPr>
        <w:t xml:space="preserve"> multiple hosts, commercial performance often relies heavily on a limited set of key food plants; consequently, the stability of host-plant growth and leaf quality is central to production reliability (Devi et al., 2021). Environmental stress that alters leaf biochemistry, water status, and tolerance traits can therefore translate into reduced larval performance and poorer cocoon traits. In this context, evidence that the primary host plant </w:t>
      </w:r>
      <w:proofErr w:type="spellStart"/>
      <w:r w:rsidRPr="003A6513">
        <w:rPr>
          <w:i/>
          <w:iCs/>
          <w:color w:val="auto"/>
          <w:kern w:val="0"/>
          <w:lang w:val="en-US" w:eastAsia="en-US"/>
        </w:rPr>
        <w:t>Persea</w:t>
      </w:r>
      <w:proofErr w:type="spellEnd"/>
      <w:r w:rsidRPr="003A6513">
        <w:rPr>
          <w:i/>
          <w:iCs/>
          <w:color w:val="auto"/>
          <w:kern w:val="0"/>
          <w:lang w:val="en-US" w:eastAsia="en-US"/>
        </w:rPr>
        <w:t xml:space="preserve"> </w:t>
      </w:r>
      <w:proofErr w:type="spellStart"/>
      <w:r w:rsidRPr="003A6513">
        <w:rPr>
          <w:i/>
          <w:iCs/>
          <w:color w:val="auto"/>
          <w:kern w:val="0"/>
          <w:lang w:val="en-US" w:eastAsia="en-US"/>
        </w:rPr>
        <w:t>bombycina</w:t>
      </w:r>
      <w:proofErr w:type="spellEnd"/>
      <w:r w:rsidRPr="003A6513">
        <w:rPr>
          <w:color w:val="auto"/>
          <w:kern w:val="0"/>
          <w:lang w:val="en-US" w:eastAsia="en-US"/>
        </w:rPr>
        <w:t xml:space="preserve"> shows measurable physiological variation under environmental stress underscores why plantation resilience and microclimate buffering are increasingly important for sustaining the resource base on which repeated brood cycles depend (</w:t>
      </w:r>
      <w:proofErr w:type="spellStart"/>
      <w:r w:rsidRPr="003A6513">
        <w:rPr>
          <w:color w:val="auto"/>
          <w:kern w:val="0"/>
          <w:lang w:val="en-US" w:eastAsia="en-US"/>
        </w:rPr>
        <w:t>Jigyasu</w:t>
      </w:r>
      <w:proofErr w:type="spellEnd"/>
      <w:r w:rsidRPr="003A6513">
        <w:rPr>
          <w:color w:val="auto"/>
          <w:kern w:val="0"/>
          <w:lang w:val="en-US" w:eastAsia="en-US"/>
        </w:rPr>
        <w:t xml:space="preserve"> et al., 2023).</w:t>
      </w:r>
    </w:p>
    <w:p w14:paraId="369C90DE"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Assam’s </w:t>
      </w:r>
      <w:proofErr w:type="spellStart"/>
      <w:r w:rsidRPr="003A6513">
        <w:rPr>
          <w:color w:val="auto"/>
          <w:kern w:val="0"/>
          <w:lang w:val="en-US" w:eastAsia="en-US"/>
        </w:rPr>
        <w:t>muga</w:t>
      </w:r>
      <w:proofErr w:type="spellEnd"/>
      <w:r w:rsidRPr="003A6513">
        <w:rPr>
          <w:color w:val="auto"/>
          <w:kern w:val="0"/>
          <w:lang w:val="en-US" w:eastAsia="en-US"/>
        </w:rPr>
        <w:t xml:space="preserve"> sector is embedded within a regional climate system </w:t>
      </w:r>
      <w:proofErr w:type="spellStart"/>
      <w:r w:rsidRPr="003A6513">
        <w:rPr>
          <w:color w:val="auto"/>
          <w:kern w:val="0"/>
          <w:lang w:val="en-US" w:eastAsia="en-US"/>
        </w:rPr>
        <w:t>characterised</w:t>
      </w:r>
      <w:proofErr w:type="spellEnd"/>
      <w:r w:rsidRPr="003A6513">
        <w:rPr>
          <w:color w:val="auto"/>
          <w:kern w:val="0"/>
          <w:lang w:val="en-US" w:eastAsia="en-US"/>
        </w:rPr>
        <w:t xml:space="preserve"> by strong seasonality and high interannual variability. Observational analyses indicate that North-East India has experienced notable temperature changes alongside spatially heterogeneous rainfall </w:t>
      </w:r>
      <w:proofErr w:type="spellStart"/>
      <w:r w:rsidRPr="003A6513">
        <w:rPr>
          <w:color w:val="auto"/>
          <w:kern w:val="0"/>
          <w:lang w:val="en-US" w:eastAsia="en-US"/>
        </w:rPr>
        <w:t>behaviour</w:t>
      </w:r>
      <w:proofErr w:type="spellEnd"/>
      <w:r w:rsidRPr="003A6513">
        <w:rPr>
          <w:color w:val="auto"/>
          <w:kern w:val="0"/>
          <w:lang w:val="en-US" w:eastAsia="en-US"/>
        </w:rPr>
        <w:t xml:space="preserve">, implying that warming trends may already be modifying the background conditions for agriculture and climate-sensitive livelihoods (Jain et al., 2013). Long-term analyses of rainfall trends across India further demonstrate that precipitation change is often expressed as regional and seasonal redistribution rather than uniform shifts in annual totals, a point that matters for </w:t>
      </w:r>
      <w:proofErr w:type="spellStart"/>
      <w:r w:rsidRPr="003A6513">
        <w:rPr>
          <w:color w:val="auto"/>
          <w:kern w:val="0"/>
          <w:lang w:val="en-US" w:eastAsia="en-US"/>
        </w:rPr>
        <w:t>muga</w:t>
      </w:r>
      <w:proofErr w:type="spellEnd"/>
      <w:r w:rsidRPr="003A6513">
        <w:rPr>
          <w:color w:val="auto"/>
          <w:kern w:val="0"/>
          <w:lang w:val="en-US" w:eastAsia="en-US"/>
        </w:rPr>
        <w:t xml:space="preserve"> because brood calendars hinge on specific seasonal windows rather than on yearly averages (Kumar et al., 2010). Beyond means, the increasing prominence of extremes is particularly relevant for an outdoor system. Evidence linking anthropogenic warming to increases in extreme precipitation events over India suggests that high-impact rainfall episodes—capable of interrupting feeding, prolonging leaf wetness, and damaging host-plant stands—may become a more frequent cause of acute production loss (Mukherjee et al., 2018). Complementary multi-model assessments identify precipitation-based climate change hotspots across India and indicate that parts of the North-East can emerge as regions of heightened change in precipitation characteristics, reinforcing the need to plan for greater volatility rather than only gradual change (Sarkar et al., 2023).</w:t>
      </w:r>
    </w:p>
    <w:p w14:paraId="2F6E529E"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Projections specific to North-East India strengthen the rationale for climate-informed risk management. Regional climate modelling indicates warming and associated changes in precipitation characteristics, suggesting that historically reliable rearing conditions may be altered in magnitude, timing, or persistence (Dash et al., 2012). Although uncertainty remains regarding local detail, these projections imply that even modest shifts in temperature and humidity regimes could affect brood-wise survival and cocooning success by altering developmental rates and stress thresholds. At the same time, large-scale drivers of monsoon variability provide a mechanism through which year-to-year fluctuations may intensify or shift, affecting the predictability of conditions that </w:t>
      </w:r>
      <w:proofErr w:type="spellStart"/>
      <w:r w:rsidRPr="003A6513">
        <w:rPr>
          <w:color w:val="auto"/>
          <w:kern w:val="0"/>
          <w:lang w:val="en-US" w:eastAsia="en-US"/>
        </w:rPr>
        <w:t>rearers</w:t>
      </w:r>
      <w:proofErr w:type="spellEnd"/>
      <w:r w:rsidRPr="003A6513">
        <w:rPr>
          <w:color w:val="auto"/>
          <w:kern w:val="0"/>
          <w:lang w:val="en-US" w:eastAsia="en-US"/>
        </w:rPr>
        <w:t xml:space="preserve"> depend upon. A prominent pattern of year-to-year variability in Indian summer monsoon rainfall has been documented, </w:t>
      </w:r>
      <w:proofErr w:type="spellStart"/>
      <w:r w:rsidRPr="003A6513">
        <w:rPr>
          <w:color w:val="auto"/>
          <w:kern w:val="0"/>
          <w:lang w:val="en-US" w:eastAsia="en-US"/>
        </w:rPr>
        <w:t>emphasising</w:t>
      </w:r>
      <w:proofErr w:type="spellEnd"/>
      <w:r w:rsidRPr="003A6513">
        <w:rPr>
          <w:color w:val="auto"/>
          <w:kern w:val="0"/>
          <w:lang w:val="en-US" w:eastAsia="en-US"/>
        </w:rPr>
        <w:t xml:space="preserve"> that variability has structured features rather than being purely random noise </w:t>
      </w:r>
      <w:r w:rsidRPr="003A6513">
        <w:rPr>
          <w:color w:val="auto"/>
          <w:kern w:val="0"/>
          <w:lang w:val="en-US" w:eastAsia="en-US"/>
        </w:rPr>
        <w:lastRenderedPageBreak/>
        <w:t>(Mishra et al., 2012). Variability is also shaped by teleconnections; evidence of changes in the relationship between ENSO and northeast monsoon rainfall illustrates that climate linkages can strengthen over time, potentially altering seasonal risk profiles in ways that complicate reliance on historical experience (Kumar et al., 2007). Multi-model work on precipitation projection under higher warming scenarios further illustrates that seasonal precipitation can be modulated by circulation changes, reinforcing the importance of anticipating shifts in the seasonal sequencing of wet and dry spells that can affect outdoor production systems (Tiwari et al., 2023).</w:t>
      </w:r>
    </w:p>
    <w:p w14:paraId="36643331" w14:textId="4B962D62"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Muga-specific biological constraints can amplify climate vulnerability. Disease is a major production limiter in outdoor rearing, and climate conditions can influence pathogen persistence and host susceptibility. Molecular identification of microsporidian infection causing </w:t>
      </w:r>
      <w:proofErr w:type="spellStart"/>
      <w:r w:rsidRPr="003A6513">
        <w:rPr>
          <w:color w:val="auto"/>
          <w:kern w:val="0"/>
          <w:lang w:val="en-US" w:eastAsia="en-US"/>
        </w:rPr>
        <w:t>nosemosis</w:t>
      </w:r>
      <w:proofErr w:type="spellEnd"/>
      <w:r w:rsidRPr="003A6513">
        <w:rPr>
          <w:color w:val="auto"/>
          <w:kern w:val="0"/>
          <w:lang w:val="en-US" w:eastAsia="en-US"/>
        </w:rPr>
        <w:t xml:space="preserve"> in </w:t>
      </w:r>
      <w:proofErr w:type="spellStart"/>
      <w:r w:rsidRPr="003A6513">
        <w:rPr>
          <w:color w:val="auto"/>
          <w:kern w:val="0"/>
          <w:lang w:val="en-US" w:eastAsia="en-US"/>
        </w:rPr>
        <w:t>muga</w:t>
      </w:r>
      <w:proofErr w:type="spellEnd"/>
      <w:r w:rsidRPr="003A6513">
        <w:rPr>
          <w:color w:val="auto"/>
          <w:kern w:val="0"/>
          <w:lang w:val="en-US" w:eastAsia="en-US"/>
        </w:rPr>
        <w:t xml:space="preserve">, together with demonstrated impacts on cocoon and silk traits, highlights disease as a central pathway through which climate variability can translate into yield and quality loss, particularly during prolonged wetness and high humidity phases (Subrahmanyam et al., 2019). At the same time, cocoon traits show meaningful variability across populations, and environmental conditions interact with stock characteristics to determine economic outcomes. </w:t>
      </w:r>
      <w:proofErr w:type="spellStart"/>
      <w:r w:rsidRPr="003A6513">
        <w:rPr>
          <w:color w:val="auto"/>
          <w:kern w:val="0"/>
          <w:lang w:val="en-US" w:eastAsia="en-US"/>
        </w:rPr>
        <w:t>Characterisation</w:t>
      </w:r>
      <w:proofErr w:type="spellEnd"/>
      <w:r w:rsidRPr="003A6513">
        <w:rPr>
          <w:color w:val="auto"/>
          <w:kern w:val="0"/>
          <w:lang w:val="en-US" w:eastAsia="en-US"/>
        </w:rPr>
        <w:t xml:space="preserve"> of cocoons from different populations underscores that shell ratio, cocoon weight, and </w:t>
      </w:r>
      <w:proofErr w:type="spellStart"/>
      <w:r w:rsidRPr="003A6513">
        <w:rPr>
          <w:color w:val="auto"/>
          <w:kern w:val="0"/>
          <w:lang w:val="en-US" w:eastAsia="en-US"/>
        </w:rPr>
        <w:t>fibre</w:t>
      </w:r>
      <w:proofErr w:type="spellEnd"/>
      <w:r w:rsidRPr="003A6513">
        <w:rPr>
          <w:color w:val="auto"/>
          <w:kern w:val="0"/>
          <w:lang w:val="en-US" w:eastAsia="en-US"/>
        </w:rPr>
        <w:t xml:space="preserve"> properties can differ across stocks, indicating both vulnerability and opportunity: vulnerability because climate stress may disproportionately affect certain stocks, and opportunity because adaptive selection and management may exploit more resilient traits (Kalita &amp; Dutta, 2020). Evidence of genetic diversity and population structure in </w:t>
      </w:r>
      <w:r w:rsidRPr="003A6513">
        <w:rPr>
          <w:i/>
          <w:iCs/>
          <w:color w:val="auto"/>
          <w:kern w:val="0"/>
          <w:lang w:val="en-US" w:eastAsia="en-US"/>
        </w:rPr>
        <w:t xml:space="preserve">A. </w:t>
      </w:r>
      <w:proofErr w:type="spellStart"/>
      <w:r w:rsidRPr="003A6513">
        <w:rPr>
          <w:i/>
          <w:iCs/>
          <w:color w:val="auto"/>
          <w:kern w:val="0"/>
          <w:lang w:val="en-US" w:eastAsia="en-US"/>
        </w:rPr>
        <w:t>assamensis</w:t>
      </w:r>
      <w:proofErr w:type="spellEnd"/>
      <w:r w:rsidRPr="003A6513">
        <w:rPr>
          <w:color w:val="auto"/>
          <w:kern w:val="0"/>
          <w:lang w:val="en-US" w:eastAsia="en-US"/>
        </w:rPr>
        <w:t xml:space="preserve"> further </w:t>
      </w:r>
      <w:r w:rsidR="00CF6BBB" w:rsidRPr="00CF6BBB">
        <w:rPr>
          <w:color w:val="auto"/>
          <w:kern w:val="0"/>
          <w:lang w:val="en-US" w:eastAsia="en-US"/>
        </w:rPr>
        <w:t>HOMEO</w:t>
      </w:r>
      <w:r w:rsidR="00CF6BBB" w:rsidRPr="00CF6BBB">
        <w:t xml:space="preserve"> </w:t>
      </w:r>
      <w:r w:rsidR="00CF6BBB" w:rsidRPr="00CF6BBB">
        <w:rPr>
          <w:color w:val="auto"/>
          <w:kern w:val="0"/>
          <w:lang w:val="en-US" w:eastAsia="en-US"/>
        </w:rPr>
        <w:t xml:space="preserve">YOJNA </w:t>
      </w:r>
      <w:r w:rsidRPr="003A6513">
        <w:rPr>
          <w:color w:val="auto"/>
          <w:kern w:val="0"/>
          <w:lang w:val="en-US" w:eastAsia="en-US"/>
        </w:rPr>
        <w:t xml:space="preserve">orts the view that conserving and </w:t>
      </w:r>
      <w:proofErr w:type="spellStart"/>
      <w:r w:rsidRPr="003A6513">
        <w:rPr>
          <w:color w:val="auto"/>
          <w:kern w:val="0"/>
          <w:lang w:val="en-US" w:eastAsia="en-US"/>
        </w:rPr>
        <w:t>mobilising</w:t>
      </w:r>
      <w:proofErr w:type="spellEnd"/>
      <w:r w:rsidRPr="003A6513">
        <w:rPr>
          <w:color w:val="auto"/>
          <w:kern w:val="0"/>
          <w:lang w:val="en-US" w:eastAsia="en-US"/>
        </w:rPr>
        <w:t xml:space="preserve"> genetic resources may be critical for long-term resilience, including potential tolerance to climatic stressors and disease (Arunkumar et al., 2012).</w:t>
      </w:r>
    </w:p>
    <w:p w14:paraId="3D0CB6B1"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In recent years, modelling approaches have begun to connect these biological sensitivities to climate space, enabling more explicit discussion of where </w:t>
      </w:r>
      <w:proofErr w:type="spellStart"/>
      <w:r w:rsidRPr="003A6513">
        <w:rPr>
          <w:color w:val="auto"/>
          <w:kern w:val="0"/>
          <w:lang w:val="en-US" w:eastAsia="en-US"/>
        </w:rPr>
        <w:t>muga</w:t>
      </w:r>
      <w:proofErr w:type="spellEnd"/>
      <w:r w:rsidRPr="003A6513">
        <w:rPr>
          <w:color w:val="auto"/>
          <w:kern w:val="0"/>
          <w:lang w:val="en-US" w:eastAsia="en-US"/>
        </w:rPr>
        <w:t xml:space="preserve"> production may remain viable under changing conditions. Ensemble distribution modelling of </w:t>
      </w:r>
      <w:r w:rsidRPr="003A6513">
        <w:rPr>
          <w:i/>
          <w:iCs/>
          <w:color w:val="auto"/>
          <w:kern w:val="0"/>
          <w:lang w:val="en-US" w:eastAsia="en-US"/>
        </w:rPr>
        <w:t xml:space="preserve">A. </w:t>
      </w:r>
      <w:proofErr w:type="spellStart"/>
      <w:r w:rsidRPr="003A6513">
        <w:rPr>
          <w:i/>
          <w:iCs/>
          <w:color w:val="auto"/>
          <w:kern w:val="0"/>
          <w:lang w:val="en-US" w:eastAsia="en-US"/>
        </w:rPr>
        <w:t>assamensis</w:t>
      </w:r>
      <w:proofErr w:type="spellEnd"/>
      <w:r w:rsidRPr="003A6513">
        <w:rPr>
          <w:color w:val="auto"/>
          <w:kern w:val="0"/>
          <w:lang w:val="en-US" w:eastAsia="en-US"/>
        </w:rPr>
        <w:t xml:space="preserve"> and its primary host plant </w:t>
      </w:r>
      <w:proofErr w:type="spellStart"/>
      <w:r w:rsidRPr="003A6513">
        <w:rPr>
          <w:i/>
          <w:iCs/>
          <w:color w:val="auto"/>
          <w:kern w:val="0"/>
          <w:lang w:val="en-US" w:eastAsia="en-US"/>
        </w:rPr>
        <w:t>Litsea</w:t>
      </w:r>
      <w:proofErr w:type="spellEnd"/>
      <w:r w:rsidRPr="003A6513">
        <w:rPr>
          <w:i/>
          <w:iCs/>
          <w:color w:val="auto"/>
          <w:kern w:val="0"/>
          <w:lang w:val="en-US" w:eastAsia="en-US"/>
        </w:rPr>
        <w:t xml:space="preserve"> </w:t>
      </w:r>
      <w:proofErr w:type="spellStart"/>
      <w:r w:rsidRPr="003A6513">
        <w:rPr>
          <w:i/>
          <w:iCs/>
          <w:color w:val="auto"/>
          <w:kern w:val="0"/>
          <w:lang w:val="en-US" w:eastAsia="en-US"/>
        </w:rPr>
        <w:t>monopetala</w:t>
      </w:r>
      <w:proofErr w:type="spellEnd"/>
      <w:r w:rsidRPr="003A6513">
        <w:rPr>
          <w:color w:val="auto"/>
          <w:kern w:val="0"/>
          <w:lang w:val="en-US" w:eastAsia="en-US"/>
        </w:rPr>
        <w:t xml:space="preserve"> indicates that climate-driven changes can alter the overlap of suitable conditions for both silkworm and host, implying that climate change may influence not only productivity within current zones but also the geography of viable production landscapes (Sarma et al., 2025). Such work does not replace field-level management, yet it provides a valuable planning lens: it </w:t>
      </w:r>
      <w:proofErr w:type="spellStart"/>
      <w:r w:rsidRPr="003A6513">
        <w:rPr>
          <w:color w:val="auto"/>
          <w:kern w:val="0"/>
          <w:lang w:val="en-US" w:eastAsia="en-US"/>
        </w:rPr>
        <w:t>emphasises</w:t>
      </w:r>
      <w:proofErr w:type="spellEnd"/>
      <w:r w:rsidRPr="003A6513">
        <w:rPr>
          <w:color w:val="auto"/>
          <w:kern w:val="0"/>
          <w:lang w:val="en-US" w:eastAsia="en-US"/>
        </w:rPr>
        <w:t xml:space="preserve"> that the </w:t>
      </w:r>
      <w:proofErr w:type="spellStart"/>
      <w:r w:rsidRPr="003A6513">
        <w:rPr>
          <w:color w:val="auto"/>
          <w:kern w:val="0"/>
          <w:lang w:val="en-US" w:eastAsia="en-US"/>
        </w:rPr>
        <w:t>muga</w:t>
      </w:r>
      <w:proofErr w:type="spellEnd"/>
      <w:r w:rsidRPr="003A6513">
        <w:rPr>
          <w:color w:val="auto"/>
          <w:kern w:val="0"/>
          <w:lang w:val="en-US" w:eastAsia="en-US"/>
        </w:rPr>
        <w:t xml:space="preserve"> system’s vulnerability is jointly determined by insect ecology, host-plant distribution, and regional climate dynamics. Taken together, the evidence base suggests that climate change impacts are likely to be episodic and brood-specific, shaped by shifts in seasonal thresholds, the emergence of more disruptive extremes, and changing disease and host-plant stress landscapes. This review therefore treats </w:t>
      </w:r>
      <w:proofErr w:type="spellStart"/>
      <w:r w:rsidRPr="003A6513">
        <w:rPr>
          <w:color w:val="auto"/>
          <w:kern w:val="0"/>
          <w:lang w:val="en-US" w:eastAsia="en-US"/>
        </w:rPr>
        <w:t>muga</w:t>
      </w:r>
      <w:proofErr w:type="spellEnd"/>
      <w:r w:rsidRPr="003A6513">
        <w:rPr>
          <w:color w:val="auto"/>
          <w:kern w:val="0"/>
          <w:lang w:val="en-US" w:eastAsia="en-US"/>
        </w:rPr>
        <w:t xml:space="preserve"> sericulture as a coupled eco-climatic system and </w:t>
      </w:r>
      <w:proofErr w:type="spellStart"/>
      <w:r w:rsidRPr="003A6513">
        <w:rPr>
          <w:color w:val="auto"/>
          <w:kern w:val="0"/>
          <w:lang w:val="en-US" w:eastAsia="en-US"/>
        </w:rPr>
        <w:t>synthesises</w:t>
      </w:r>
      <w:proofErr w:type="spellEnd"/>
      <w:r w:rsidRPr="003A6513">
        <w:rPr>
          <w:color w:val="auto"/>
          <w:kern w:val="0"/>
          <w:lang w:val="en-US" w:eastAsia="en-US"/>
        </w:rPr>
        <w:t xml:space="preserve"> the literature needed to understand its risks and adaptation options.</w:t>
      </w:r>
    </w:p>
    <w:p w14:paraId="2BC9809D" w14:textId="77777777" w:rsidR="003A6513" w:rsidRPr="003A6513" w:rsidRDefault="003A6513" w:rsidP="003A6513">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6513">
        <w:rPr>
          <w:b/>
          <w:bCs/>
          <w:color w:val="auto"/>
          <w:kern w:val="0"/>
          <w:sz w:val="27"/>
          <w:szCs w:val="27"/>
          <w:lang w:val="en-US" w:eastAsia="en-US"/>
        </w:rPr>
        <w:t>1.1 Scope and objective</w:t>
      </w:r>
    </w:p>
    <w:p w14:paraId="6C57D87B"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This review examines how climate change and climate variability can influence </w:t>
      </w:r>
      <w:proofErr w:type="spellStart"/>
      <w:r w:rsidRPr="003A6513">
        <w:rPr>
          <w:color w:val="auto"/>
          <w:kern w:val="0"/>
          <w:lang w:val="en-US" w:eastAsia="en-US"/>
        </w:rPr>
        <w:t>muga</w:t>
      </w:r>
      <w:proofErr w:type="spellEnd"/>
      <w:r w:rsidRPr="003A6513">
        <w:rPr>
          <w:color w:val="auto"/>
          <w:kern w:val="0"/>
          <w:lang w:val="en-US" w:eastAsia="en-US"/>
        </w:rPr>
        <w:t xml:space="preserve"> silk production in Assam by </w:t>
      </w:r>
      <w:proofErr w:type="spellStart"/>
      <w:r w:rsidRPr="003A6513">
        <w:rPr>
          <w:color w:val="auto"/>
          <w:kern w:val="0"/>
          <w:lang w:val="en-US" w:eastAsia="en-US"/>
        </w:rPr>
        <w:t>synthesising</w:t>
      </w:r>
      <w:proofErr w:type="spellEnd"/>
      <w:r w:rsidRPr="003A6513">
        <w:rPr>
          <w:color w:val="auto"/>
          <w:kern w:val="0"/>
          <w:lang w:val="en-US" w:eastAsia="en-US"/>
        </w:rPr>
        <w:t xml:space="preserve"> evidence on regional climate trends and projections, monsoon variability and extremes, and </w:t>
      </w:r>
      <w:proofErr w:type="spellStart"/>
      <w:r w:rsidRPr="003A6513">
        <w:rPr>
          <w:color w:val="auto"/>
          <w:kern w:val="0"/>
          <w:lang w:val="en-US" w:eastAsia="en-US"/>
        </w:rPr>
        <w:t>muga</w:t>
      </w:r>
      <w:proofErr w:type="spellEnd"/>
      <w:r w:rsidRPr="003A6513">
        <w:rPr>
          <w:color w:val="auto"/>
          <w:kern w:val="0"/>
          <w:lang w:val="en-US" w:eastAsia="en-US"/>
        </w:rPr>
        <w:t xml:space="preserve">-specific studies on host plants, disease constraints, cocoon traits, genetic resources, and climate-space suitability. The objectives are to map the main climate-sensitive components of the </w:t>
      </w:r>
      <w:proofErr w:type="spellStart"/>
      <w:r w:rsidRPr="003A6513">
        <w:rPr>
          <w:color w:val="auto"/>
          <w:kern w:val="0"/>
          <w:lang w:val="en-US" w:eastAsia="en-US"/>
        </w:rPr>
        <w:t>muga</w:t>
      </w:r>
      <w:proofErr w:type="spellEnd"/>
      <w:r w:rsidRPr="003A6513">
        <w:rPr>
          <w:color w:val="auto"/>
          <w:kern w:val="0"/>
          <w:lang w:val="en-US" w:eastAsia="en-US"/>
        </w:rPr>
        <w:t xml:space="preserve"> production system, evaluate plausible mechanisms linking climatic shifts to yield and quality outcomes, assess emerging </w:t>
      </w:r>
      <w:r w:rsidRPr="003A6513">
        <w:rPr>
          <w:color w:val="auto"/>
          <w:kern w:val="0"/>
          <w:lang w:val="en-US" w:eastAsia="en-US"/>
        </w:rPr>
        <w:lastRenderedPageBreak/>
        <w:t xml:space="preserve">evidence on geographic suitability change for silkworm–host overlap, and identify adaptation priorities and research gaps relevant to sustaining </w:t>
      </w:r>
      <w:proofErr w:type="spellStart"/>
      <w:r w:rsidRPr="003A6513">
        <w:rPr>
          <w:color w:val="auto"/>
          <w:kern w:val="0"/>
          <w:lang w:val="en-US" w:eastAsia="en-US"/>
        </w:rPr>
        <w:t>muga</w:t>
      </w:r>
      <w:proofErr w:type="spellEnd"/>
      <w:r w:rsidRPr="003A6513">
        <w:rPr>
          <w:color w:val="auto"/>
          <w:kern w:val="0"/>
          <w:lang w:val="en-US" w:eastAsia="en-US"/>
        </w:rPr>
        <w:t xml:space="preserve"> sericulture under a changing climate.</w:t>
      </w:r>
    </w:p>
    <w:p w14:paraId="0118D189" w14:textId="77777777" w:rsidR="00417DFC" w:rsidRDefault="00417DFC" w:rsidP="00417DFC">
      <w:pPr>
        <w:pStyle w:val="Heading2"/>
      </w:pPr>
      <w:r>
        <w:t>2. Methods for literature selection</w:t>
      </w:r>
    </w:p>
    <w:p w14:paraId="302B2925" w14:textId="77777777" w:rsidR="00417DFC" w:rsidRDefault="00417DFC" w:rsidP="00417DFC">
      <w:pPr>
        <w:pStyle w:val="NormalWeb"/>
      </w:pPr>
      <w:r>
        <w:t>A structured literature search</w:t>
      </w:r>
      <w:r w:rsidR="00D82C22">
        <w:t xml:space="preserve"> (PRISMA-2020)</w:t>
      </w:r>
      <w:r>
        <w:t xml:space="preserve"> was conducted across Web of Science, Scopus, Google Scholar, and PubMed for publications dated January 2000 through January 2026. Search strings combined </w:t>
      </w:r>
      <w:proofErr w:type="spellStart"/>
      <w:r>
        <w:t>muga</w:t>
      </w:r>
      <w:proofErr w:type="spellEnd"/>
      <w:r>
        <w:t xml:space="preserve"> sericulture terms and climate terms, including variants of: “</w:t>
      </w:r>
      <w:proofErr w:type="spellStart"/>
      <w:r>
        <w:t>muga</w:t>
      </w:r>
      <w:proofErr w:type="spellEnd"/>
      <w:r>
        <w:t>” OR “</w:t>
      </w:r>
      <w:proofErr w:type="spellStart"/>
      <w:r>
        <w:rPr>
          <w:rStyle w:val="Emphasis"/>
        </w:rPr>
        <w:t>Antheraea</w:t>
      </w:r>
      <w:proofErr w:type="spellEnd"/>
      <w:r>
        <w:rPr>
          <w:rStyle w:val="Emphasis"/>
        </w:rPr>
        <w:t xml:space="preserve"> </w:t>
      </w:r>
      <w:proofErr w:type="spellStart"/>
      <w:r>
        <w:rPr>
          <w:rStyle w:val="Emphasis"/>
        </w:rPr>
        <w:t>assamensis</w:t>
      </w:r>
      <w:proofErr w:type="spellEnd"/>
      <w:r>
        <w:t>” OR “</w:t>
      </w:r>
      <w:proofErr w:type="spellStart"/>
      <w:r>
        <w:rPr>
          <w:rStyle w:val="Emphasis"/>
        </w:rPr>
        <w:t>Persea</w:t>
      </w:r>
      <w:proofErr w:type="spellEnd"/>
      <w:r>
        <w:rPr>
          <w:rStyle w:val="Emphasis"/>
        </w:rPr>
        <w:t xml:space="preserve"> </w:t>
      </w:r>
      <w:proofErr w:type="spellStart"/>
      <w:r>
        <w:rPr>
          <w:rStyle w:val="Emphasis"/>
        </w:rPr>
        <w:t>bombycina</w:t>
      </w:r>
      <w:proofErr w:type="spellEnd"/>
      <w:r>
        <w:t>” OR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AND “climate change” OR “temperature” OR “rainfall” OR “monsoon” OR “extreme precipitation” OR “disease” OR “microsporidia” OR “distribution model”. Inclusion criteria were peer-reviewed journal articles (and, where necessary for system context, highly cited scholarly sources) that provided empirical evidence, modelling results, or rigorous syntheses relevant to climate–sericulture linkages or the </w:t>
      </w:r>
      <w:proofErr w:type="spellStart"/>
      <w:r>
        <w:t>muga</w:t>
      </w:r>
      <w:proofErr w:type="spellEnd"/>
      <w:r>
        <w:t xml:space="preserve"> production ecology. Exclusion criteria included non-scholarly reports lacking stable bibliographic metadata, sources without verifiable DOI metadata, and items whose content did not materially address the climate sensitivity of </w:t>
      </w:r>
      <w:proofErr w:type="spellStart"/>
      <w:r>
        <w:t>muga</w:t>
      </w:r>
      <w:proofErr w:type="spellEnd"/>
      <w:r>
        <w:t xml:space="preserve"> production pathways. From the eligible pool, priority was given to studies directly addressing North-East Indian climate trends and projections and to </w:t>
      </w:r>
      <w:proofErr w:type="spellStart"/>
      <w:r>
        <w:t>muga</w:t>
      </w:r>
      <w:proofErr w:type="spellEnd"/>
      <w:r>
        <w:t>-specific studies on host plants, disease, cocoon traits, and spatial suitability. Figure 1 explains stratified methods of literature selection.</w:t>
      </w:r>
    </w:p>
    <w:p w14:paraId="02D64903" w14:textId="77777777" w:rsidR="00417DFC" w:rsidRDefault="00B74CD5" w:rsidP="00417DFC">
      <w:pPr>
        <w:spacing w:after="0" w:line="240" w:lineRule="auto"/>
      </w:pPr>
      <w:r>
        <w:rPr>
          <w:noProof/>
          <w:lang w:val="en-AU"/>
        </w:rPr>
        <w:pict w14:anchorId="594F705D">
          <v:rect id="Rectangle 2" o:spid="_x0000_s1027" style="position:absolute;left:0;text-align:left;margin-left:239.35pt;margin-top:6.05pt;width:148.6pt;height:97.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49CF3960"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DD8FC0E"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sidR="00D82C22">
                    <w:rPr>
                      <w:rFonts w:ascii="Arial" w:hAnsi="Arial" w:cs="Arial"/>
                      <w:color w:val="000000" w:themeColor="text1"/>
                      <w:sz w:val="18"/>
                      <w:szCs w:val="20"/>
                    </w:rPr>
                    <w:t>98</w:t>
                  </w:r>
                  <w:r>
                    <w:rPr>
                      <w:rFonts w:ascii="Arial" w:hAnsi="Arial" w:cs="Arial"/>
                      <w:color w:val="000000" w:themeColor="text1"/>
                      <w:sz w:val="18"/>
                      <w:szCs w:val="20"/>
                    </w:rPr>
                    <w:t>)</w:t>
                  </w:r>
                </w:p>
                <w:p w14:paraId="784A794D"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(n = 6</w:t>
                  </w:r>
                  <w:r w:rsidR="00D82C22">
                    <w:rPr>
                      <w:rFonts w:ascii="Arial" w:hAnsi="Arial" w:cs="Arial"/>
                      <w:color w:val="000000" w:themeColor="text1"/>
                      <w:sz w:val="18"/>
                      <w:szCs w:val="20"/>
                    </w:rPr>
                    <w:t>2</w:t>
                  </w:r>
                  <w:r>
                    <w:rPr>
                      <w:rFonts w:ascii="Arial" w:hAnsi="Arial" w:cs="Arial"/>
                      <w:color w:val="000000" w:themeColor="text1"/>
                      <w:sz w:val="18"/>
                      <w:szCs w:val="20"/>
                    </w:rPr>
                    <w:t>)</w:t>
                  </w:r>
                </w:p>
              </w:txbxContent>
            </v:textbox>
          </v:rect>
        </w:pict>
      </w:r>
      <w:r>
        <w:rPr>
          <w:noProof/>
          <w:lang w:val="en-AU"/>
        </w:rPr>
        <w:pict w14:anchorId="57968BD5">
          <v:rect id="Rectangle 1" o:spid="_x0000_s1026" style="position:absolute;left:0;text-align:left;margin-left:44.05pt;margin-top:6.05pt;width:148.6pt;height:97.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4D39283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C93EE5"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w:t>
                  </w:r>
                  <w:r w:rsidR="00D82C22">
                    <w:rPr>
                      <w:rFonts w:ascii="Arial" w:hAnsi="Arial" w:cs="Arial"/>
                      <w:color w:val="000000" w:themeColor="text1"/>
                      <w:sz w:val="18"/>
                      <w:szCs w:val="20"/>
                    </w:rPr>
                    <w:t>07</w:t>
                  </w:r>
                  <w:r>
                    <w:rPr>
                      <w:rFonts w:ascii="Arial" w:hAnsi="Arial" w:cs="Arial"/>
                      <w:color w:val="000000" w:themeColor="text1"/>
                      <w:sz w:val="18"/>
                      <w:szCs w:val="20"/>
                    </w:rPr>
                    <w:t>)</w:t>
                  </w:r>
                </w:p>
              </w:txbxContent>
            </v:textbox>
          </v:rect>
        </w:pict>
      </w:r>
    </w:p>
    <w:p w14:paraId="71BBAB87" w14:textId="77777777" w:rsidR="00417DFC" w:rsidRDefault="00417DFC" w:rsidP="00417DFC">
      <w:pPr>
        <w:spacing w:after="0" w:line="240" w:lineRule="auto"/>
      </w:pPr>
    </w:p>
    <w:p w14:paraId="47B03B6A" w14:textId="77777777" w:rsidR="00417DFC" w:rsidRDefault="00417DFC" w:rsidP="00417DFC">
      <w:pPr>
        <w:spacing w:after="0" w:line="240" w:lineRule="auto"/>
      </w:pPr>
    </w:p>
    <w:p w14:paraId="4EE430E4" w14:textId="77777777" w:rsidR="00417DFC" w:rsidRDefault="00417DFC" w:rsidP="00417DFC">
      <w:pPr>
        <w:spacing w:after="0" w:line="240" w:lineRule="auto"/>
      </w:pPr>
    </w:p>
    <w:p w14:paraId="23347D70" w14:textId="77777777" w:rsidR="00417DFC" w:rsidRDefault="00B74CD5" w:rsidP="00417DFC">
      <w:pPr>
        <w:spacing w:after="0" w:line="240" w:lineRule="auto"/>
      </w:pPr>
      <w:r>
        <w:rPr>
          <w:noProof/>
          <w:lang w:val="en-AU"/>
        </w:rPr>
        <w:pict w14:anchorId="457F415F">
          <v:shapetype id="_x0000_t32" coordsize="21600,21600" o:spt="32" o:oned="t" path="m,l21600,21600e" filled="f">
            <v:path arrowok="t" fillok="f" o:connecttype="none"/>
            <o:lock v:ext="edit" shapetype="t"/>
          </v:shapetype>
          <v:shape id="Straight Arrow Connector 14" o:spid="_x0000_s1035" type="#_x0000_t32" style="position:absolute;left:0;text-align:left;margin-left:193.25pt;margin-top:.75pt;width:44.3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14:paraId="2FBCE6AA" w14:textId="77777777" w:rsidR="00417DFC" w:rsidRDefault="00417DFC" w:rsidP="00417DFC">
      <w:pPr>
        <w:spacing w:after="0" w:line="240" w:lineRule="auto"/>
      </w:pPr>
    </w:p>
    <w:p w14:paraId="7CE9CB57" w14:textId="77777777" w:rsidR="00417DFC" w:rsidRDefault="00417DFC" w:rsidP="00417DFC">
      <w:pPr>
        <w:spacing w:after="0" w:line="240" w:lineRule="auto"/>
      </w:pPr>
    </w:p>
    <w:p w14:paraId="302AC2AA" w14:textId="77777777" w:rsidR="00417DFC" w:rsidRDefault="00B74CD5" w:rsidP="00417DFC">
      <w:pPr>
        <w:spacing w:after="0" w:line="240" w:lineRule="auto"/>
      </w:pPr>
      <w:r>
        <w:rPr>
          <w:noProof/>
          <w:lang w:val="en-AU"/>
        </w:rPr>
        <w:pict w14:anchorId="3DFBAEEE">
          <v:shape id="Straight Arrow Connector 27" o:spid="_x0000_s1039" type="#_x0000_t32" style="position:absolute;left:0;text-align:left;margin-left:110.25pt;margin-top:10.15pt;width:0;height:22.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14:paraId="737AC98C" w14:textId="77777777" w:rsidR="00417DFC" w:rsidRDefault="00417DFC" w:rsidP="00417DFC">
      <w:pPr>
        <w:spacing w:after="0" w:line="240" w:lineRule="auto"/>
      </w:pPr>
    </w:p>
    <w:p w14:paraId="4892FF3D" w14:textId="77777777" w:rsidR="00417DFC" w:rsidRDefault="00B74CD5" w:rsidP="00417DFC">
      <w:pPr>
        <w:spacing w:after="0" w:line="240" w:lineRule="auto"/>
      </w:pPr>
      <w:r>
        <w:rPr>
          <w:noProof/>
          <w:lang w:val="en-AU"/>
        </w:rPr>
        <w:pict w14:anchorId="7B72BCFE">
          <v:shape id="Straight Arrow Connector 15" o:spid="_x0000_s1036" type="#_x0000_t32" style="position:absolute;left:0;text-align:left;margin-left:193.2pt;margin-top:25.85pt;width:44.3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AU"/>
        </w:rPr>
        <w:pict w14:anchorId="7BC968FC">
          <v:rect id="Rectangle 3" o:spid="_x0000_s1028" style="position:absolute;left:0;text-align:left;margin-left:44.05pt;margin-top:5.9pt;width:148.6pt;height:41.4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2EF638A3"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6E7892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r w:rsidR="00D82C22">
                    <w:rPr>
                      <w:rFonts w:ascii="Arial" w:hAnsi="Arial" w:cs="Arial"/>
                      <w:color w:val="000000" w:themeColor="text1"/>
                      <w:sz w:val="18"/>
                      <w:szCs w:val="20"/>
                    </w:rPr>
                    <w:t>47</w:t>
                  </w:r>
                  <w:r>
                    <w:rPr>
                      <w:rFonts w:ascii="Arial" w:hAnsi="Arial" w:cs="Arial"/>
                      <w:color w:val="000000" w:themeColor="text1"/>
                      <w:sz w:val="18"/>
                      <w:szCs w:val="20"/>
                    </w:rPr>
                    <w:t>)</w:t>
                  </w:r>
                </w:p>
              </w:txbxContent>
            </v:textbox>
          </v:rect>
        </w:pict>
      </w:r>
      <w:r>
        <w:rPr>
          <w:noProof/>
          <w:lang w:val="en-AU"/>
        </w:rPr>
        <w:pict w14:anchorId="78CD908B">
          <v:rect id="Rectangle 4" o:spid="_x0000_s1029" style="position:absolute;left:0;text-align:left;margin-left:240pt;margin-top:5.9pt;width:148.6pt;height:41.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1B3EFCCC"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A74CBB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D82C22">
                    <w:rPr>
                      <w:rFonts w:ascii="Arial" w:hAnsi="Arial" w:cs="Arial"/>
                      <w:color w:val="000000" w:themeColor="text1"/>
                      <w:sz w:val="18"/>
                      <w:szCs w:val="20"/>
                    </w:rPr>
                    <w:t>78</w:t>
                  </w:r>
                  <w:r>
                    <w:rPr>
                      <w:rFonts w:ascii="Arial" w:hAnsi="Arial" w:cs="Arial"/>
                      <w:color w:val="000000" w:themeColor="text1"/>
                      <w:sz w:val="18"/>
                      <w:szCs w:val="20"/>
                    </w:rPr>
                    <w:t>)</w:t>
                  </w:r>
                </w:p>
              </w:txbxContent>
            </v:textbox>
          </v:rect>
        </w:pict>
      </w:r>
    </w:p>
    <w:p w14:paraId="4A5698E8" w14:textId="77777777" w:rsidR="00417DFC" w:rsidRDefault="00417DFC" w:rsidP="00417DFC">
      <w:pPr>
        <w:spacing w:after="0" w:line="240" w:lineRule="auto"/>
      </w:pPr>
    </w:p>
    <w:p w14:paraId="7734DCA3" w14:textId="77777777" w:rsidR="00417DFC" w:rsidRDefault="00417DFC" w:rsidP="00417DFC">
      <w:pPr>
        <w:spacing w:after="0" w:line="240" w:lineRule="auto"/>
      </w:pPr>
    </w:p>
    <w:p w14:paraId="420149AF" w14:textId="77777777" w:rsidR="00417DFC" w:rsidRDefault="00B74CD5" w:rsidP="00417DFC">
      <w:pPr>
        <w:spacing w:after="0" w:line="240" w:lineRule="auto"/>
      </w:pPr>
      <w:r>
        <w:rPr>
          <w:noProof/>
          <w:lang w:val="en-AU"/>
        </w:rPr>
        <w:pict w14:anchorId="012F0E39">
          <v:shape id="Straight Arrow Connector 35" o:spid="_x0000_s1040" type="#_x0000_t32" style="position:absolute;left:0;text-align:left;margin-left:110.25pt;margin-top:7.85pt;width:0;height:22.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14:paraId="46748AC7" w14:textId="77777777" w:rsidR="00417DFC" w:rsidRDefault="00417DFC" w:rsidP="00417DFC">
      <w:pPr>
        <w:spacing w:after="0" w:line="240" w:lineRule="auto"/>
      </w:pPr>
    </w:p>
    <w:p w14:paraId="7FFCC3B7" w14:textId="77777777" w:rsidR="00417DFC" w:rsidRDefault="00B74CD5" w:rsidP="00417DFC">
      <w:pPr>
        <w:spacing w:after="0" w:line="240" w:lineRule="auto"/>
      </w:pPr>
      <w:r>
        <w:rPr>
          <w:noProof/>
          <w:lang w:val="en-AU"/>
        </w:rPr>
        <w:pict w14:anchorId="05415F93">
          <v:rect id="Rectangle 5" o:spid="_x0000_s1030" style="position:absolute;left:0;text-align:left;margin-left:44.15pt;margin-top:3.75pt;width:148.6pt;height:41.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4DBE962D"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39413B7"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69</w:t>
                  </w:r>
                  <w:r>
                    <w:rPr>
                      <w:rFonts w:ascii="Arial" w:hAnsi="Arial" w:cs="Arial"/>
                      <w:color w:val="000000" w:themeColor="text1"/>
                      <w:sz w:val="18"/>
                      <w:szCs w:val="20"/>
                    </w:rPr>
                    <w:t>)</w:t>
                  </w:r>
                </w:p>
              </w:txbxContent>
            </v:textbox>
          </v:rect>
        </w:pict>
      </w:r>
      <w:r>
        <w:rPr>
          <w:noProof/>
          <w:lang w:val="en-AU"/>
        </w:rPr>
        <w:pict w14:anchorId="37FC4D17">
          <v:shape id="Straight Arrow Connector 16" o:spid="_x0000_s1037" type="#_x0000_t32" style="position:absolute;left:0;text-align:left;margin-left:193.95pt;margin-top:25.25pt;width:44.3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r>
        <w:rPr>
          <w:noProof/>
          <w:lang w:val="en-AU"/>
        </w:rPr>
        <w:pict w14:anchorId="652643A7">
          <v:rect id="Rectangle 6" o:spid="_x0000_s1031" style="position:absolute;left:0;text-align:left;margin-left:240.1pt;margin-top:5.25pt;width:148.6pt;height:41.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6037C22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620D3D9"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12</w:t>
                  </w:r>
                  <w:r>
                    <w:rPr>
                      <w:rFonts w:ascii="Arial" w:hAnsi="Arial" w:cs="Arial"/>
                      <w:color w:val="000000" w:themeColor="text1"/>
                      <w:sz w:val="18"/>
                      <w:szCs w:val="20"/>
                    </w:rPr>
                    <w:t>)</w:t>
                  </w:r>
                </w:p>
              </w:txbxContent>
            </v:textbox>
          </v:rect>
        </w:pict>
      </w:r>
    </w:p>
    <w:p w14:paraId="1EED3201" w14:textId="77777777" w:rsidR="00417DFC" w:rsidRDefault="00417DFC" w:rsidP="00417DFC">
      <w:pPr>
        <w:spacing w:after="0" w:line="240" w:lineRule="auto"/>
      </w:pPr>
    </w:p>
    <w:p w14:paraId="0CA400D8" w14:textId="77777777" w:rsidR="00417DFC" w:rsidRDefault="00417DFC" w:rsidP="00417DFC">
      <w:pPr>
        <w:spacing w:after="0" w:line="240" w:lineRule="auto"/>
      </w:pPr>
    </w:p>
    <w:p w14:paraId="0AC125F4" w14:textId="77777777" w:rsidR="00417DFC" w:rsidRDefault="00B74CD5" w:rsidP="00417DFC">
      <w:pPr>
        <w:spacing w:after="0" w:line="240" w:lineRule="auto"/>
      </w:pPr>
      <w:r>
        <w:rPr>
          <w:noProof/>
          <w:lang w:val="en-AU"/>
        </w:rPr>
        <w:pict w14:anchorId="07FE4586">
          <v:shape id="Straight Arrow Connector 36" o:spid="_x0000_s1041" type="#_x0000_t32" style="position:absolute;left:0;text-align:left;margin-left:111pt;margin-top:4.45pt;width:0;height:22.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14:paraId="2ED9C00F" w14:textId="77777777" w:rsidR="00417DFC" w:rsidRDefault="00417DFC" w:rsidP="00417DFC">
      <w:pPr>
        <w:spacing w:after="0" w:line="240" w:lineRule="auto"/>
      </w:pPr>
    </w:p>
    <w:p w14:paraId="72A9BEB0" w14:textId="77777777" w:rsidR="00417DFC" w:rsidRDefault="00B74CD5" w:rsidP="00417DFC">
      <w:pPr>
        <w:spacing w:after="0" w:line="240" w:lineRule="auto"/>
      </w:pPr>
      <w:r>
        <w:rPr>
          <w:noProof/>
          <w:lang w:val="en-AU"/>
        </w:rPr>
        <w:pict w14:anchorId="40BDCFB7">
          <v:rect id="Rectangle 9" o:spid="_x0000_s1033" style="position:absolute;left:0;text-align:left;margin-left:240.75pt;margin-top:.85pt;width:213.8pt;height:98.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00A397D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F046A46"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Not directly relevant to </w:t>
                  </w:r>
                  <w:proofErr w:type="spellStart"/>
                  <w:r w:rsidRPr="00814804">
                    <w:rPr>
                      <w:rFonts w:ascii="Arial" w:hAnsi="Arial" w:cs="Arial"/>
                      <w:color w:val="000000" w:themeColor="text1"/>
                      <w:sz w:val="18"/>
                      <w:szCs w:val="20"/>
                    </w:rPr>
                    <w:t>muga</w:t>
                  </w:r>
                  <w:proofErr w:type="spellEnd"/>
                  <w:r w:rsidRPr="00814804">
                    <w:rPr>
                      <w:rFonts w:ascii="Arial" w:hAnsi="Arial" w:cs="Arial"/>
                      <w:color w:val="000000" w:themeColor="text1"/>
                      <w:sz w:val="18"/>
                      <w:szCs w:val="20"/>
                    </w:rPr>
                    <w:t xml:space="preserve">/Assam/Northeast India (n = </w:t>
                  </w:r>
                  <w:r w:rsidR="00D82C22">
                    <w:rPr>
                      <w:rFonts w:ascii="Arial" w:hAnsi="Arial" w:cs="Arial"/>
                      <w:color w:val="000000" w:themeColor="text1"/>
                      <w:sz w:val="18"/>
                      <w:szCs w:val="20"/>
                    </w:rPr>
                    <w:t>18</w:t>
                  </w:r>
                  <w:r w:rsidRPr="00814804">
                    <w:rPr>
                      <w:rFonts w:ascii="Arial" w:hAnsi="Arial" w:cs="Arial"/>
                      <w:color w:val="000000" w:themeColor="text1"/>
                      <w:sz w:val="18"/>
                      <w:szCs w:val="20"/>
                    </w:rPr>
                    <w:t>)</w:t>
                  </w:r>
                </w:p>
                <w:p w14:paraId="076DB323"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No explicit climate exposure–impact linkage (n = </w:t>
                  </w:r>
                  <w:r w:rsidR="00D82C22">
                    <w:rPr>
                      <w:rFonts w:ascii="Arial" w:hAnsi="Arial" w:cs="Arial"/>
                      <w:color w:val="000000" w:themeColor="text1"/>
                      <w:sz w:val="18"/>
                      <w:szCs w:val="20"/>
                    </w:rPr>
                    <w:t>11</w:t>
                  </w:r>
                  <w:r w:rsidRPr="00814804">
                    <w:rPr>
                      <w:rFonts w:ascii="Arial" w:hAnsi="Arial" w:cs="Arial"/>
                      <w:color w:val="000000" w:themeColor="text1"/>
                      <w:sz w:val="18"/>
                      <w:szCs w:val="20"/>
                    </w:rPr>
                    <w:t>)</w:t>
                  </w:r>
                </w:p>
                <w:p w14:paraId="167DEB12" w14:textId="77777777" w:rsidR="00417DFC" w:rsidRPr="00560609"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Reason 3: Not peer-reviewed / insufficient methods or unverifiable metadata/DOI (n = 7)</w:t>
                  </w:r>
                  <w:r w:rsidR="00417DFC">
                    <w:rPr>
                      <w:rFonts w:ascii="Arial" w:hAnsi="Arial" w:cs="Arial"/>
                      <w:color w:val="000000" w:themeColor="text1"/>
                      <w:sz w:val="18"/>
                      <w:szCs w:val="20"/>
                    </w:rPr>
                    <w:t>.</w:t>
                  </w:r>
                </w:p>
              </w:txbxContent>
            </v:textbox>
          </v:rect>
        </w:pict>
      </w:r>
      <w:r>
        <w:rPr>
          <w:noProof/>
          <w:lang w:val="en-AU"/>
        </w:rPr>
        <w:pict w14:anchorId="4CD6757F">
          <v:shape id="Straight Arrow Connector 17" o:spid="_x0000_s1038" type="#_x0000_t32" style="position:absolute;left:0;text-align:left;margin-left:195pt;margin-top:23.2pt;width:44.3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AU"/>
        </w:rPr>
        <w:pict w14:anchorId="5A66770E">
          <v:rect id="Rectangle 8" o:spid="_x0000_s1032" style="position:absolute;left:0;text-align:left;margin-left:44.25pt;margin-top:1.05pt;width:148.6pt;height:41.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D6C68F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035373"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57</w:t>
                  </w:r>
                  <w:r>
                    <w:rPr>
                      <w:rFonts w:ascii="Arial" w:hAnsi="Arial" w:cs="Arial"/>
                      <w:color w:val="000000" w:themeColor="text1"/>
                      <w:sz w:val="18"/>
                      <w:szCs w:val="20"/>
                    </w:rPr>
                    <w:t>)</w:t>
                  </w:r>
                </w:p>
              </w:txbxContent>
            </v:textbox>
          </v:rect>
        </w:pict>
      </w:r>
    </w:p>
    <w:p w14:paraId="75054B76" w14:textId="77777777" w:rsidR="00417DFC" w:rsidRDefault="00417DFC" w:rsidP="00417DFC">
      <w:pPr>
        <w:spacing w:after="0" w:line="240" w:lineRule="auto"/>
      </w:pPr>
    </w:p>
    <w:p w14:paraId="672CF2DD" w14:textId="77777777" w:rsidR="00417DFC" w:rsidRDefault="00417DFC" w:rsidP="00417DFC">
      <w:pPr>
        <w:spacing w:after="0" w:line="240" w:lineRule="auto"/>
      </w:pPr>
    </w:p>
    <w:p w14:paraId="426DF202" w14:textId="77777777" w:rsidR="00417DFC" w:rsidRDefault="00B74CD5" w:rsidP="00417DFC">
      <w:pPr>
        <w:spacing w:after="0" w:line="240" w:lineRule="auto"/>
      </w:pPr>
      <w:r>
        <w:rPr>
          <w:noProof/>
          <w:lang w:val="en-AU"/>
        </w:rPr>
        <w:pict w14:anchorId="27F23FD6">
          <v:shape id="Straight Arrow Connector 19" o:spid="_x0000_s1042" type="#_x0000_t32" style="position:absolute;left:0;text-align:left;margin-left:110.3pt;margin-top:2.35pt;width:0;height:5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14:paraId="0EEA1BE2" w14:textId="77777777" w:rsidR="00417DFC" w:rsidRDefault="00417DFC" w:rsidP="00417DFC">
      <w:pPr>
        <w:spacing w:after="0" w:line="240" w:lineRule="auto"/>
      </w:pPr>
    </w:p>
    <w:p w14:paraId="463C68D2" w14:textId="77777777" w:rsidR="00417DFC" w:rsidRDefault="00417DFC" w:rsidP="00417DFC">
      <w:pPr>
        <w:spacing w:after="0" w:line="240" w:lineRule="auto"/>
      </w:pPr>
    </w:p>
    <w:p w14:paraId="168E1137" w14:textId="77777777" w:rsidR="00417DFC" w:rsidRDefault="00417DFC" w:rsidP="00417DFC">
      <w:pPr>
        <w:spacing w:after="0" w:line="240" w:lineRule="auto"/>
      </w:pPr>
    </w:p>
    <w:p w14:paraId="6337250C" w14:textId="77777777" w:rsidR="00417DFC" w:rsidRDefault="00B74CD5" w:rsidP="00417DFC">
      <w:pPr>
        <w:spacing w:after="0" w:line="240" w:lineRule="auto"/>
      </w:pPr>
      <w:r>
        <w:rPr>
          <w:noProof/>
          <w:lang w:val="en-AU"/>
        </w:rPr>
        <w:pict w14:anchorId="1387AFDD">
          <v:rect id="Rectangle 13" o:spid="_x0000_s1034" style="position:absolute;left:0;text-align:left;margin-left:42.55pt;margin-top:8.7pt;width:148.6pt;height:36.1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5966FE57" w14:textId="77777777" w:rsidR="00417DFC"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Report/Studies included in review</w:t>
                  </w:r>
                  <w:r w:rsidR="00D82C22">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D82C22">
                    <w:rPr>
                      <w:rFonts w:ascii="Arial" w:hAnsi="Arial" w:cs="Arial"/>
                      <w:color w:val="000000" w:themeColor="text1"/>
                      <w:sz w:val="18"/>
                      <w:szCs w:val="20"/>
                    </w:rPr>
                    <w:t>21</w:t>
                  </w:r>
                  <w:r>
                    <w:rPr>
                      <w:rFonts w:ascii="Arial" w:hAnsi="Arial" w:cs="Arial"/>
                      <w:color w:val="000000" w:themeColor="text1"/>
                      <w:sz w:val="18"/>
                      <w:szCs w:val="20"/>
                    </w:rPr>
                    <w:t>)</w:t>
                  </w:r>
                </w:p>
              </w:txbxContent>
            </v:textbox>
          </v:rect>
        </w:pict>
      </w:r>
    </w:p>
    <w:p w14:paraId="559534CB" w14:textId="77777777" w:rsidR="00417DFC" w:rsidRDefault="00417DFC" w:rsidP="00417DFC">
      <w:pPr>
        <w:spacing w:after="0" w:line="240" w:lineRule="auto"/>
      </w:pPr>
    </w:p>
    <w:p w14:paraId="58173E1D" w14:textId="77777777" w:rsidR="00417DFC" w:rsidRDefault="00417DFC" w:rsidP="00417DFC">
      <w:pPr>
        <w:spacing w:after="0" w:line="240" w:lineRule="auto"/>
      </w:pPr>
    </w:p>
    <w:p w14:paraId="0EB6CDBB" w14:textId="77777777" w:rsidR="00417DFC" w:rsidRDefault="00417DFC" w:rsidP="00417DFC">
      <w:pPr>
        <w:spacing w:after="0" w:line="240" w:lineRule="auto"/>
      </w:pPr>
    </w:p>
    <w:p w14:paraId="15FF47B1" w14:textId="77777777" w:rsidR="00417DFC" w:rsidRDefault="00417DFC" w:rsidP="00417DFC">
      <w:pPr>
        <w:pStyle w:val="NormalWeb"/>
        <w:jc w:val="center"/>
      </w:pPr>
      <w:r>
        <w:t>Figure 1</w:t>
      </w:r>
      <w:r w:rsidR="00814804">
        <w:t>: S</w:t>
      </w:r>
      <w:r>
        <w:t>tratified methods of literature selection</w:t>
      </w:r>
    </w:p>
    <w:p w14:paraId="7D6E1316" w14:textId="77777777" w:rsidR="00417DFC" w:rsidRDefault="00417DFC" w:rsidP="00417DFC"/>
    <w:p w14:paraId="02DF1F45"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3. The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silk production system in Assam</w:t>
      </w:r>
    </w:p>
    <w:p w14:paraId="44BF395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Muga silk production in Assam is best understood as a coupled socio-ecological system in which insect biology, host-plant ecophysiology, and human management are </w:t>
      </w:r>
      <w:proofErr w:type="spellStart"/>
      <w:r w:rsidRPr="00586265">
        <w:rPr>
          <w:color w:val="auto"/>
          <w:kern w:val="0"/>
          <w:lang w:val="en-US" w:eastAsia="en-US"/>
        </w:rPr>
        <w:t>co-ordinated</w:t>
      </w:r>
      <w:proofErr w:type="spellEnd"/>
      <w:r w:rsidRPr="00586265">
        <w:rPr>
          <w:color w:val="auto"/>
          <w:kern w:val="0"/>
          <w:lang w:val="en-US" w:eastAsia="en-US"/>
        </w:rPr>
        <w:t xml:space="preserve"> around seasonal weather windows. The principal producer, the </w:t>
      </w:r>
      <w:proofErr w:type="spellStart"/>
      <w:r w:rsidRPr="00586265">
        <w:rPr>
          <w:color w:val="auto"/>
          <w:kern w:val="0"/>
          <w:lang w:val="en-US" w:eastAsia="en-US"/>
        </w:rPr>
        <w:t>muga</w:t>
      </w:r>
      <w:proofErr w:type="spellEnd"/>
      <w:r w:rsidRPr="00586265">
        <w:rPr>
          <w:color w:val="auto"/>
          <w:kern w:val="0"/>
          <w:lang w:val="en-US" w:eastAsia="en-US"/>
        </w:rPr>
        <w:t xml:space="preserve"> </w:t>
      </w:r>
      <w:proofErr w:type="spellStart"/>
      <w:r w:rsidRPr="00586265">
        <w:rPr>
          <w:color w:val="auto"/>
          <w:kern w:val="0"/>
          <w:lang w:val="en-US" w:eastAsia="en-US"/>
        </w:rPr>
        <w:t>silkmoth</w:t>
      </w:r>
      <w:proofErr w:type="spellEnd"/>
      <w:r w:rsidRPr="00586265">
        <w:rPr>
          <w:color w:val="auto"/>
          <w:kern w:val="0"/>
          <w:lang w:val="en-US" w:eastAsia="en-US"/>
        </w:rPr>
        <w:t xml:space="preserve"> </w:t>
      </w:r>
      <w:proofErr w:type="spellStart"/>
      <w:r w:rsidRPr="00586265">
        <w:rPr>
          <w:i/>
          <w:iCs/>
          <w:color w:val="auto"/>
          <w:kern w:val="0"/>
          <w:lang w:val="en-US" w:eastAsia="en-US"/>
        </w:rPr>
        <w:t>Antheraea</w:t>
      </w:r>
      <w:proofErr w:type="spellEnd"/>
      <w:r w:rsidRPr="00586265">
        <w:rPr>
          <w:i/>
          <w:iCs/>
          <w:color w:val="auto"/>
          <w:kern w:val="0"/>
          <w:lang w:val="en-US" w:eastAsia="en-US"/>
        </w:rPr>
        <w:t xml:space="preserve"> </w:t>
      </w:r>
      <w:proofErr w:type="spellStart"/>
      <w:r w:rsidRPr="00586265">
        <w:rPr>
          <w:i/>
          <w:iCs/>
          <w:color w:val="auto"/>
          <w:kern w:val="0"/>
          <w:lang w:val="en-US" w:eastAsia="en-US"/>
        </w:rPr>
        <w:t>assamensis</w:t>
      </w:r>
      <w:proofErr w:type="spellEnd"/>
      <w:r w:rsidRPr="00586265">
        <w:rPr>
          <w:color w:val="auto"/>
          <w:kern w:val="0"/>
          <w:lang w:val="en-US" w:eastAsia="en-US"/>
        </w:rPr>
        <w:t xml:space="preserve">, is semi-domesticated and typically reared under outdoor conditions, which distinguishes the system from many mulberry-based, indoor sericulture models. This outdoor reliance means that farm-level decisions—such as brood timing, selection of rearing sites within plantations, and leaf harvest practices—are inseparable from ambient temperature, humidity, rainfall, and microclimatic variation. Foundational accounts of the </w:t>
      </w:r>
      <w:proofErr w:type="spellStart"/>
      <w:r w:rsidRPr="00586265">
        <w:rPr>
          <w:color w:val="auto"/>
          <w:kern w:val="0"/>
          <w:lang w:val="en-US" w:eastAsia="en-US"/>
        </w:rPr>
        <w:t>muga</w:t>
      </w:r>
      <w:proofErr w:type="spellEnd"/>
      <w:r w:rsidRPr="00586265">
        <w:rPr>
          <w:color w:val="auto"/>
          <w:kern w:val="0"/>
          <w:lang w:val="en-US" w:eastAsia="en-US"/>
        </w:rPr>
        <w:t xml:space="preserve"> silkworm’s distribution, biology, and breeding </w:t>
      </w:r>
      <w:proofErr w:type="spellStart"/>
      <w:r w:rsidRPr="00586265">
        <w:rPr>
          <w:color w:val="auto"/>
          <w:kern w:val="0"/>
          <w:lang w:val="en-US" w:eastAsia="en-US"/>
        </w:rPr>
        <w:t>emphasise</w:t>
      </w:r>
      <w:proofErr w:type="spellEnd"/>
      <w:r w:rsidRPr="00586265">
        <w:rPr>
          <w:color w:val="auto"/>
          <w:kern w:val="0"/>
          <w:lang w:val="en-US" w:eastAsia="en-US"/>
        </w:rPr>
        <w:t xml:space="preserve"> that field exposure to fluctuating environmental conditions, together with pests and diseases, strongly shapes survivorship and cocooning success, making the production system inherently sensitive to climatic variability (</w:t>
      </w:r>
      <w:proofErr w:type="spellStart"/>
      <w:r w:rsidRPr="00586265">
        <w:rPr>
          <w:color w:val="auto"/>
          <w:kern w:val="0"/>
          <w:lang w:val="en-US" w:eastAsia="en-US"/>
        </w:rPr>
        <w:t>Tikader</w:t>
      </w:r>
      <w:proofErr w:type="spellEnd"/>
      <w:r w:rsidRPr="00586265">
        <w:rPr>
          <w:color w:val="auto"/>
          <w:kern w:val="0"/>
          <w:lang w:val="en-US" w:eastAsia="en-US"/>
        </w:rPr>
        <w:t xml:space="preserve"> et al., 2013). In Assam, this sensitivity is amplified by the monsoon-dominated climate, where short periods of persistent rainfall, high humidity, or sudden storms can interrupt feeding and cocoon formation, while intermittent dry-hot spells can stress host plants and reduce leaf palatability.</w:t>
      </w:r>
    </w:p>
    <w:p w14:paraId="7706821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defining feature of the </w:t>
      </w:r>
      <w:proofErr w:type="spellStart"/>
      <w:r w:rsidRPr="00586265">
        <w:rPr>
          <w:color w:val="auto"/>
          <w:kern w:val="0"/>
          <w:lang w:val="en-US" w:eastAsia="en-US"/>
        </w:rPr>
        <w:t>muga</w:t>
      </w:r>
      <w:proofErr w:type="spellEnd"/>
      <w:r w:rsidRPr="00586265">
        <w:rPr>
          <w:color w:val="auto"/>
          <w:kern w:val="0"/>
          <w:lang w:val="en-US" w:eastAsia="en-US"/>
        </w:rPr>
        <w:t xml:space="preserve"> system is that productivity depends on synchrony across multiple components. The silkworm must encounter abundant, nutritionally suitable leaves at the right developmental stages, and the environment must remain sufficiently </w:t>
      </w:r>
      <w:proofErr w:type="spellStart"/>
      <w:r w:rsidRPr="00586265">
        <w:rPr>
          <w:color w:val="auto"/>
          <w:kern w:val="0"/>
          <w:lang w:val="en-US" w:eastAsia="en-US"/>
        </w:rPr>
        <w:t>favourable</w:t>
      </w:r>
      <w:proofErr w:type="spellEnd"/>
      <w:r w:rsidRPr="00586265">
        <w:rPr>
          <w:color w:val="auto"/>
          <w:kern w:val="0"/>
          <w:lang w:val="en-US" w:eastAsia="en-US"/>
        </w:rPr>
        <w:t xml:space="preserve"> for feeding, </w:t>
      </w:r>
      <w:proofErr w:type="spellStart"/>
      <w:r w:rsidRPr="00586265">
        <w:rPr>
          <w:color w:val="auto"/>
          <w:kern w:val="0"/>
          <w:lang w:val="en-US" w:eastAsia="en-US"/>
        </w:rPr>
        <w:t>moulting</w:t>
      </w:r>
      <w:proofErr w:type="spellEnd"/>
      <w:r w:rsidRPr="00586265">
        <w:rPr>
          <w:color w:val="auto"/>
          <w:kern w:val="0"/>
          <w:lang w:val="en-US" w:eastAsia="en-US"/>
        </w:rPr>
        <w:t>, and spinning. When this synchrony fails—because host leaves are too mature or water-stressed, because prolonged wetness limits feeding time, or because disease pressure escalates—cocoon yield and quality can decline sharply. Thus, the “production system” is not merely the insect, but the interaction among host plants, seasonal brood calendars, plantation management, and local ecological stressors, including pathogens and natural enemies. While many of these interactions are embedded in traditional knowledge and practice, the scientific literature makes clear that each step has identifiable biological and physiological sensitivities that can be leveraged for improved management and resilience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4FB97689"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3.1 Host plants, nutrition, and landscape management</w:t>
      </w:r>
    </w:p>
    <w:p w14:paraId="19053904"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Host-plant resources anchor the </w:t>
      </w:r>
      <w:proofErr w:type="spellStart"/>
      <w:r w:rsidRPr="00586265">
        <w:rPr>
          <w:color w:val="auto"/>
          <w:kern w:val="0"/>
          <w:lang w:val="en-US" w:eastAsia="en-US"/>
        </w:rPr>
        <w:t>muga</w:t>
      </w:r>
      <w:proofErr w:type="spellEnd"/>
      <w:r w:rsidRPr="00586265">
        <w:rPr>
          <w:color w:val="auto"/>
          <w:kern w:val="0"/>
          <w:lang w:val="en-US" w:eastAsia="en-US"/>
        </w:rPr>
        <w:t xml:space="preserve"> production system. Although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can </w:t>
      </w:r>
      <w:proofErr w:type="spellStart"/>
      <w:r w:rsidRPr="00586265">
        <w:rPr>
          <w:color w:val="auto"/>
          <w:kern w:val="0"/>
          <w:lang w:val="en-US" w:eastAsia="en-US"/>
        </w:rPr>
        <w:t>utilise</w:t>
      </w:r>
      <w:proofErr w:type="spellEnd"/>
      <w:r w:rsidRPr="00586265">
        <w:rPr>
          <w:color w:val="auto"/>
          <w:kern w:val="0"/>
          <w:lang w:val="en-US" w:eastAsia="en-US"/>
        </w:rPr>
        <w:t xml:space="preserve"> a range of plants, commercial production depends heavily on a limited set of principal hosts, and this reliance makes host-plant health and leaf quality central determinants of rearing success. A synthesis of food-plant diversity and nutritional aspects highlights that distribution and availability of suitable host plants, along with their nutritive profiles, shape larval growth and cocoon traits, implying that constraints on the host-plant base translate directly into production instability (Devi et al., 2021). In practice, this means that the plantation landscape—tree density, age structure, canopy condition, soil moisture retention, and local shade regimes—functions as a productivity driver. The production system therefore includes </w:t>
      </w:r>
      <w:r w:rsidRPr="00586265">
        <w:rPr>
          <w:color w:val="auto"/>
          <w:kern w:val="0"/>
          <w:lang w:val="en-US" w:eastAsia="en-US"/>
        </w:rPr>
        <w:lastRenderedPageBreak/>
        <w:t xml:space="preserve">not only the act of rearing but also long-term host-plant establishment and maintenance, because stable leaf supply across multiple broods depends on sustained plant </w:t>
      </w:r>
      <w:proofErr w:type="spellStart"/>
      <w:r w:rsidRPr="00586265">
        <w:rPr>
          <w:color w:val="auto"/>
          <w:kern w:val="0"/>
          <w:lang w:val="en-US" w:eastAsia="en-US"/>
        </w:rPr>
        <w:t>vigour</w:t>
      </w:r>
      <w:proofErr w:type="spellEnd"/>
      <w:r w:rsidRPr="00586265">
        <w:rPr>
          <w:color w:val="auto"/>
          <w:kern w:val="0"/>
          <w:lang w:val="en-US" w:eastAsia="en-US"/>
        </w:rPr>
        <w:t>.</w:t>
      </w:r>
    </w:p>
    <w:p w14:paraId="786920B9"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Environmental stress can alter host-plant physiology in ways that matter for larval feeding. Evidence from physiological assessment of </w:t>
      </w:r>
      <w:proofErr w:type="spellStart"/>
      <w:r w:rsidRPr="00586265">
        <w:rPr>
          <w:i/>
          <w:iCs/>
          <w:color w:val="auto"/>
          <w:kern w:val="0"/>
          <w:lang w:val="en-US" w:eastAsia="en-US"/>
        </w:rPr>
        <w:t>Persea</w:t>
      </w:r>
      <w:proofErr w:type="spellEnd"/>
      <w:r w:rsidRPr="00586265">
        <w:rPr>
          <w:i/>
          <w:iCs/>
          <w:color w:val="auto"/>
          <w:kern w:val="0"/>
          <w:lang w:val="en-US" w:eastAsia="en-US"/>
        </w:rPr>
        <w:t xml:space="preserve"> </w:t>
      </w:r>
      <w:proofErr w:type="spellStart"/>
      <w:r w:rsidRPr="00586265">
        <w:rPr>
          <w:i/>
          <w:iCs/>
          <w:color w:val="auto"/>
          <w:kern w:val="0"/>
          <w:lang w:val="en-US" w:eastAsia="en-US"/>
        </w:rPr>
        <w:t>bombycina</w:t>
      </w:r>
      <w:proofErr w:type="spellEnd"/>
      <w:r w:rsidRPr="00586265">
        <w:rPr>
          <w:color w:val="auto"/>
          <w:kern w:val="0"/>
          <w:lang w:val="en-US" w:eastAsia="en-US"/>
        </w:rPr>
        <w:t xml:space="preserve"> under environmental stress shows that biochemical and water-related traits can vary with site conditions and season, underscoring that leaf quality is not static and that stress can shift the plant’s functional state (</w:t>
      </w:r>
      <w:proofErr w:type="spellStart"/>
      <w:r w:rsidRPr="00586265">
        <w:rPr>
          <w:color w:val="auto"/>
          <w:kern w:val="0"/>
          <w:lang w:val="en-US" w:eastAsia="en-US"/>
        </w:rPr>
        <w:t>Jigyasu</w:t>
      </w:r>
      <w:proofErr w:type="spellEnd"/>
      <w:r w:rsidRPr="00586265">
        <w:rPr>
          <w:color w:val="auto"/>
          <w:kern w:val="0"/>
          <w:lang w:val="en-US" w:eastAsia="en-US"/>
        </w:rPr>
        <w:t xml:space="preserve"> et al., 2023). For </w:t>
      </w:r>
      <w:proofErr w:type="spellStart"/>
      <w:r w:rsidRPr="00586265">
        <w:rPr>
          <w:color w:val="auto"/>
          <w:kern w:val="0"/>
          <w:lang w:val="en-US" w:eastAsia="en-US"/>
        </w:rPr>
        <w:t>muga</w:t>
      </w:r>
      <w:proofErr w:type="spellEnd"/>
      <w:r w:rsidRPr="00586265">
        <w:rPr>
          <w:color w:val="auto"/>
          <w:kern w:val="0"/>
          <w:lang w:val="en-US" w:eastAsia="en-US"/>
        </w:rPr>
        <w:t xml:space="preserve"> </w:t>
      </w:r>
      <w:proofErr w:type="spellStart"/>
      <w:r w:rsidRPr="00586265">
        <w:rPr>
          <w:color w:val="auto"/>
          <w:kern w:val="0"/>
          <w:lang w:val="en-US" w:eastAsia="en-US"/>
        </w:rPr>
        <w:t>rearers</w:t>
      </w:r>
      <w:proofErr w:type="spellEnd"/>
      <w:r w:rsidRPr="00586265">
        <w:rPr>
          <w:color w:val="auto"/>
          <w:kern w:val="0"/>
          <w:lang w:val="en-US" w:eastAsia="en-US"/>
        </w:rPr>
        <w:t xml:space="preserve">, the practical implication is that plantation management must aim to </w:t>
      </w:r>
      <w:proofErr w:type="spellStart"/>
      <w:r w:rsidRPr="00586265">
        <w:rPr>
          <w:color w:val="auto"/>
          <w:kern w:val="0"/>
          <w:lang w:val="en-US" w:eastAsia="en-US"/>
        </w:rPr>
        <w:t>minimise</w:t>
      </w:r>
      <w:proofErr w:type="spellEnd"/>
      <w:r w:rsidRPr="00586265">
        <w:rPr>
          <w:color w:val="auto"/>
          <w:kern w:val="0"/>
          <w:lang w:val="en-US" w:eastAsia="en-US"/>
        </w:rPr>
        <w:t xml:space="preserve"> host stress—through appropriate site selection, protection of root zones, and reduction of cumulative stressors—so that leaf resources remain tender and nutritionally adequate during key larval stages. Because </w:t>
      </w:r>
      <w:proofErr w:type="spellStart"/>
      <w:r w:rsidRPr="00586265">
        <w:rPr>
          <w:color w:val="auto"/>
          <w:kern w:val="0"/>
          <w:lang w:val="en-US" w:eastAsia="en-US"/>
        </w:rPr>
        <w:t>muga</w:t>
      </w:r>
      <w:proofErr w:type="spellEnd"/>
      <w:r w:rsidRPr="00586265">
        <w:rPr>
          <w:color w:val="auto"/>
          <w:kern w:val="0"/>
          <w:lang w:val="en-US" w:eastAsia="en-US"/>
        </w:rPr>
        <w:t xml:space="preserve"> production is recurrent and brood-based, small declines in leaf quality can accumulate into substantial annual losses when repeated across multiple rearing cycles.</w:t>
      </w:r>
    </w:p>
    <w:p w14:paraId="741943FA"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3.2 Cocoon traits, stock variation, and production outcomes</w:t>
      </w:r>
    </w:p>
    <w:p w14:paraId="0851C7E2"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Cocoon and </w:t>
      </w:r>
      <w:proofErr w:type="spellStart"/>
      <w:r w:rsidRPr="00586265">
        <w:rPr>
          <w:color w:val="auto"/>
          <w:kern w:val="0"/>
          <w:lang w:val="en-US" w:eastAsia="en-US"/>
        </w:rPr>
        <w:t>fibre</w:t>
      </w:r>
      <w:proofErr w:type="spellEnd"/>
      <w:r w:rsidRPr="00586265">
        <w:rPr>
          <w:color w:val="auto"/>
          <w:kern w:val="0"/>
          <w:lang w:val="en-US" w:eastAsia="en-US"/>
        </w:rPr>
        <w:t xml:space="preserve"> traits represent the final economic expression of the production system and reflect both biological potential and environmental conditions. Empirical </w:t>
      </w:r>
      <w:proofErr w:type="spellStart"/>
      <w:r w:rsidRPr="00586265">
        <w:rPr>
          <w:color w:val="auto"/>
          <w:kern w:val="0"/>
          <w:lang w:val="en-US" w:eastAsia="en-US"/>
        </w:rPr>
        <w:t>characterisation</w:t>
      </w:r>
      <w:proofErr w:type="spellEnd"/>
      <w:r w:rsidRPr="00586265">
        <w:rPr>
          <w:color w:val="auto"/>
          <w:kern w:val="0"/>
          <w:lang w:val="en-US" w:eastAsia="en-US"/>
        </w:rPr>
        <w:t xml:space="preserve"> across different populations of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demonstrates that cocoon parameters such as cocoon weight, shell weight, shell ratio, and </w:t>
      </w:r>
      <w:proofErr w:type="spellStart"/>
      <w:r w:rsidRPr="00586265">
        <w:rPr>
          <w:color w:val="auto"/>
          <w:kern w:val="0"/>
          <w:lang w:val="en-US" w:eastAsia="en-US"/>
        </w:rPr>
        <w:t>fibre</w:t>
      </w:r>
      <w:proofErr w:type="spellEnd"/>
      <w:r w:rsidRPr="00586265">
        <w:rPr>
          <w:color w:val="auto"/>
          <w:kern w:val="0"/>
          <w:lang w:val="en-US" w:eastAsia="en-US"/>
        </w:rPr>
        <w:t xml:space="preserve">-related attributes can differ among stocks, indicating that local populations and management contexts leave an imprint on economically important traits (Kalita &amp; Dutta, 2020). This variability matters because it suggests that the production system is not uniform even within Assam; rather, outcomes depend on how particular stocks respond to local host-plant conditions and seasonal weather regimes. It also implies a pathway for resilience: where certain stocks maintain acceptable cocoon traits across a wider range of conditions, they may be better suited for climates </w:t>
      </w:r>
      <w:proofErr w:type="spellStart"/>
      <w:r w:rsidRPr="00586265">
        <w:rPr>
          <w:color w:val="auto"/>
          <w:kern w:val="0"/>
          <w:lang w:val="en-US" w:eastAsia="en-US"/>
        </w:rPr>
        <w:t>characterised</w:t>
      </w:r>
      <w:proofErr w:type="spellEnd"/>
      <w:r w:rsidRPr="00586265">
        <w:rPr>
          <w:color w:val="auto"/>
          <w:kern w:val="0"/>
          <w:lang w:val="en-US" w:eastAsia="en-US"/>
        </w:rPr>
        <w:t xml:space="preserve"> by higher variability.</w:t>
      </w:r>
    </w:p>
    <w:p w14:paraId="446DD888"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The same evidence base also highlights trade-offs that are relevant for system design. For instance, some populations may exhibit </w:t>
      </w:r>
      <w:proofErr w:type="spellStart"/>
      <w:r w:rsidRPr="00586265">
        <w:rPr>
          <w:color w:val="auto"/>
          <w:kern w:val="0"/>
          <w:lang w:val="en-US" w:eastAsia="en-US"/>
        </w:rPr>
        <w:t>favourable</w:t>
      </w:r>
      <w:proofErr w:type="spellEnd"/>
      <w:r w:rsidRPr="00586265">
        <w:rPr>
          <w:color w:val="auto"/>
          <w:kern w:val="0"/>
          <w:lang w:val="en-US" w:eastAsia="en-US"/>
        </w:rPr>
        <w:t xml:space="preserve"> filament properties yet present practical constraints for reeling or processing, which can limit their adoption despite biological advantages (Kalita &amp; Dutta, 2020). Therefore, the production system must be evaluated not only in terms of cocoon yield but also in terms of downstream usability, which is shaped by cocoon structure and </w:t>
      </w:r>
      <w:proofErr w:type="spellStart"/>
      <w:r w:rsidRPr="00586265">
        <w:rPr>
          <w:color w:val="auto"/>
          <w:kern w:val="0"/>
          <w:lang w:val="en-US" w:eastAsia="en-US"/>
        </w:rPr>
        <w:t>fibre</w:t>
      </w:r>
      <w:proofErr w:type="spellEnd"/>
      <w:r w:rsidRPr="00586265">
        <w:rPr>
          <w:color w:val="auto"/>
          <w:kern w:val="0"/>
          <w:lang w:val="en-US" w:eastAsia="en-US"/>
        </w:rPr>
        <w:t xml:space="preserve"> </w:t>
      </w:r>
      <w:proofErr w:type="spellStart"/>
      <w:r w:rsidRPr="00586265">
        <w:rPr>
          <w:color w:val="auto"/>
          <w:kern w:val="0"/>
          <w:lang w:val="en-US" w:eastAsia="en-US"/>
        </w:rPr>
        <w:t>behaviour</w:t>
      </w:r>
      <w:proofErr w:type="spellEnd"/>
      <w:r w:rsidRPr="00586265">
        <w:rPr>
          <w:color w:val="auto"/>
          <w:kern w:val="0"/>
          <w:lang w:val="en-US" w:eastAsia="en-US"/>
        </w:rPr>
        <w:t xml:space="preserve">. In a climate-sensitive context, such trade-offs become more prominent because management interventions may </w:t>
      </w:r>
      <w:proofErr w:type="spellStart"/>
      <w:r w:rsidRPr="00586265">
        <w:rPr>
          <w:color w:val="auto"/>
          <w:kern w:val="0"/>
          <w:lang w:val="en-US" w:eastAsia="en-US"/>
        </w:rPr>
        <w:t>prioritise</w:t>
      </w:r>
      <w:proofErr w:type="spellEnd"/>
      <w:r w:rsidRPr="00586265">
        <w:rPr>
          <w:color w:val="auto"/>
          <w:kern w:val="0"/>
          <w:lang w:val="en-US" w:eastAsia="en-US"/>
        </w:rPr>
        <w:t xml:space="preserve"> stability and robustness over peak performance in ideal conditions.</w:t>
      </w:r>
    </w:p>
    <w:p w14:paraId="4518B26C"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3.3 Disease constraints and their systemic role</w:t>
      </w:r>
    </w:p>
    <w:p w14:paraId="5F81AAF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Disease is not an ancillary concern in </w:t>
      </w:r>
      <w:proofErr w:type="spellStart"/>
      <w:r w:rsidRPr="00586265">
        <w:rPr>
          <w:color w:val="auto"/>
          <w:kern w:val="0"/>
          <w:lang w:val="en-US" w:eastAsia="en-US"/>
        </w:rPr>
        <w:t>muga</w:t>
      </w:r>
      <w:proofErr w:type="spellEnd"/>
      <w:r w:rsidRPr="00586265">
        <w:rPr>
          <w:color w:val="auto"/>
          <w:kern w:val="0"/>
          <w:lang w:val="en-US" w:eastAsia="en-US"/>
        </w:rPr>
        <w:t xml:space="preserve"> sericulture; it is a system-level determinant that interacts with outdoor rearing conditions, host-plant microclimates, and husbandry practices. Molecular identification and isolation of microsporidian pathogens associated with </w:t>
      </w:r>
      <w:proofErr w:type="spellStart"/>
      <w:r w:rsidRPr="00586265">
        <w:rPr>
          <w:color w:val="auto"/>
          <w:kern w:val="0"/>
          <w:lang w:val="en-US" w:eastAsia="en-US"/>
        </w:rPr>
        <w:t>nosemosis</w:t>
      </w:r>
      <w:proofErr w:type="spellEnd"/>
      <w:r w:rsidRPr="00586265">
        <w:rPr>
          <w:color w:val="auto"/>
          <w:kern w:val="0"/>
          <w:lang w:val="en-US" w:eastAsia="en-US"/>
        </w:rPr>
        <w:t xml:space="preserve"> in </w:t>
      </w:r>
      <w:proofErr w:type="spellStart"/>
      <w:r w:rsidRPr="00586265">
        <w:rPr>
          <w:color w:val="auto"/>
          <w:kern w:val="0"/>
          <w:lang w:val="en-US" w:eastAsia="en-US"/>
        </w:rPr>
        <w:t>muga</w:t>
      </w:r>
      <w:proofErr w:type="spellEnd"/>
      <w:r w:rsidRPr="00586265">
        <w:rPr>
          <w:color w:val="auto"/>
          <w:kern w:val="0"/>
          <w:lang w:val="en-US" w:eastAsia="en-US"/>
        </w:rPr>
        <w:t xml:space="preserve">, alongside documented negative impacts on cocoon and silk traits, demonstrate that infection can significantly reduce key production parameters, directly lowering yield and quality (Subrahmanyam et al., 2019). Because outdoor rearing exposes larvae and rearing surfaces to fluctuating humidity and rainfall, the conditions that </w:t>
      </w:r>
      <w:proofErr w:type="spellStart"/>
      <w:r w:rsidRPr="00586265">
        <w:rPr>
          <w:color w:val="auto"/>
          <w:kern w:val="0"/>
          <w:lang w:val="en-US" w:eastAsia="en-US"/>
        </w:rPr>
        <w:t>favour</w:t>
      </w:r>
      <w:proofErr w:type="spellEnd"/>
      <w:r w:rsidRPr="00586265">
        <w:rPr>
          <w:color w:val="auto"/>
          <w:kern w:val="0"/>
          <w:lang w:val="en-US" w:eastAsia="en-US"/>
        </w:rPr>
        <w:t xml:space="preserve"> disease persistence and transmission may occur frequently during monsoon phases. This makes hygiene practices, early detection, and the timing of rearing operations critical components of the production system rather than optional add-ons.</w:t>
      </w:r>
    </w:p>
    <w:p w14:paraId="0C893F8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lastRenderedPageBreak/>
        <w:t xml:space="preserve">Importantly, disease impacts cannot be treated independently of host-plant management. Stressed host plants can yield poorer leaves, reducing larval fitness and potentially increasing susceptibility to infection, while wet leaves and prolonged surface moisture can create </w:t>
      </w:r>
      <w:proofErr w:type="spellStart"/>
      <w:r w:rsidRPr="00586265">
        <w:rPr>
          <w:color w:val="auto"/>
          <w:kern w:val="0"/>
          <w:lang w:val="en-US" w:eastAsia="en-US"/>
        </w:rPr>
        <w:t>favourable</w:t>
      </w:r>
      <w:proofErr w:type="spellEnd"/>
      <w:r w:rsidRPr="00586265">
        <w:rPr>
          <w:color w:val="auto"/>
          <w:kern w:val="0"/>
          <w:lang w:val="en-US" w:eastAsia="en-US"/>
        </w:rPr>
        <w:t xml:space="preserve"> microenvironments for pathogen spread. In this way, plantation microclimate, leaf handling, and brood timing collectively shape disease risk. The production system therefore benefits from an integrated perspective in which host-plant health, rearing conditions, and disease surveillance are managed as a single risk portfolio. This system framing aligns with the broader biological understanding that </w:t>
      </w:r>
      <w:proofErr w:type="spellStart"/>
      <w:r w:rsidRPr="00586265">
        <w:rPr>
          <w:color w:val="auto"/>
          <w:kern w:val="0"/>
          <w:lang w:val="en-US" w:eastAsia="en-US"/>
        </w:rPr>
        <w:t>muga</w:t>
      </w:r>
      <w:proofErr w:type="spellEnd"/>
      <w:r w:rsidRPr="00586265">
        <w:rPr>
          <w:color w:val="auto"/>
          <w:kern w:val="0"/>
          <w:lang w:val="en-US" w:eastAsia="en-US"/>
        </w:rPr>
        <w:t xml:space="preserve"> sericulture is shaped by field exposure to environmental fluctuations and biotic pressures (</w:t>
      </w:r>
      <w:proofErr w:type="spellStart"/>
      <w:r w:rsidRPr="00586265">
        <w:rPr>
          <w:color w:val="auto"/>
          <w:kern w:val="0"/>
          <w:lang w:val="en-US" w:eastAsia="en-US"/>
        </w:rPr>
        <w:t>Tikader</w:t>
      </w:r>
      <w:proofErr w:type="spellEnd"/>
      <w:r w:rsidRPr="00586265">
        <w:rPr>
          <w:color w:val="auto"/>
          <w:kern w:val="0"/>
          <w:lang w:val="en-US" w:eastAsia="en-US"/>
        </w:rPr>
        <w:t xml:space="preserve"> et al., 2013), and that stable production requires </w:t>
      </w:r>
      <w:proofErr w:type="spellStart"/>
      <w:r w:rsidRPr="00586265">
        <w:rPr>
          <w:color w:val="auto"/>
          <w:kern w:val="0"/>
          <w:lang w:val="en-US" w:eastAsia="en-US"/>
        </w:rPr>
        <w:t>co-ordinated</w:t>
      </w:r>
      <w:proofErr w:type="spellEnd"/>
      <w:r w:rsidRPr="00586265">
        <w:rPr>
          <w:color w:val="auto"/>
          <w:kern w:val="0"/>
          <w:lang w:val="en-US" w:eastAsia="en-US"/>
        </w:rPr>
        <w:t xml:space="preserve"> management across the plantation–rearing interface.</w:t>
      </w:r>
    </w:p>
    <w:p w14:paraId="0857819B" w14:textId="77777777" w:rsidR="00586265" w:rsidRDefault="00586265" w:rsidP="00417DFC">
      <w:pPr>
        <w:pStyle w:val="Heading2"/>
      </w:pPr>
    </w:p>
    <w:p w14:paraId="2013BD13"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4. Climate change signals relevant to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sericulture in Assam</w:t>
      </w:r>
    </w:p>
    <w:p w14:paraId="30494A5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Climate change risk for </w:t>
      </w:r>
      <w:proofErr w:type="spellStart"/>
      <w:r w:rsidRPr="00586265">
        <w:rPr>
          <w:color w:val="auto"/>
          <w:kern w:val="0"/>
          <w:lang w:val="en-US" w:eastAsia="en-US"/>
        </w:rPr>
        <w:t>muga</w:t>
      </w:r>
      <w:proofErr w:type="spellEnd"/>
      <w:r w:rsidRPr="00586265">
        <w:rPr>
          <w:color w:val="auto"/>
          <w:kern w:val="0"/>
          <w:lang w:val="en-US" w:eastAsia="en-US"/>
        </w:rPr>
        <w:t xml:space="preserve"> sericulture arises from a combination of gradual shifts in mean conditions and changes in variability and extremes. For an outdoor, brood-based production system, the most consequential signals are often seasonal and event-based rather than annual averages. The </w:t>
      </w:r>
      <w:proofErr w:type="spellStart"/>
      <w:r w:rsidRPr="00586265">
        <w:rPr>
          <w:color w:val="auto"/>
          <w:kern w:val="0"/>
          <w:lang w:val="en-US" w:eastAsia="en-US"/>
        </w:rPr>
        <w:t>muga</w:t>
      </w:r>
      <w:proofErr w:type="spellEnd"/>
      <w:r w:rsidRPr="00586265">
        <w:rPr>
          <w:color w:val="auto"/>
          <w:kern w:val="0"/>
          <w:lang w:val="en-US" w:eastAsia="en-US"/>
        </w:rPr>
        <w:t xml:space="preserve"> landscape in Assam sits within a monsoon-dominated climate regime </w:t>
      </w:r>
      <w:proofErr w:type="spellStart"/>
      <w:r w:rsidRPr="00586265">
        <w:rPr>
          <w:color w:val="auto"/>
          <w:kern w:val="0"/>
          <w:lang w:val="en-US" w:eastAsia="en-US"/>
        </w:rPr>
        <w:t>characterised</w:t>
      </w:r>
      <w:proofErr w:type="spellEnd"/>
      <w:r w:rsidRPr="00586265">
        <w:rPr>
          <w:color w:val="auto"/>
          <w:kern w:val="0"/>
          <w:lang w:val="en-US" w:eastAsia="en-US"/>
        </w:rPr>
        <w:t xml:space="preserve"> by strong seasonality, high humidity, and marked year-to-year fluctuations in rainfall and temperature. In this setting, even small shifts in seasonal timing, the persistence of wet spells, or the frequency of heavy rainfall events can disrupt feeding windows, prolong leaf wetness, and affect both host-plant physiology and silkworm health. Accordingly, interpreting climate change for </w:t>
      </w:r>
      <w:proofErr w:type="spellStart"/>
      <w:r w:rsidRPr="00586265">
        <w:rPr>
          <w:color w:val="auto"/>
          <w:kern w:val="0"/>
          <w:lang w:val="en-US" w:eastAsia="en-US"/>
        </w:rPr>
        <w:t>muga</w:t>
      </w:r>
      <w:proofErr w:type="spellEnd"/>
      <w:r w:rsidRPr="00586265">
        <w:rPr>
          <w:color w:val="auto"/>
          <w:kern w:val="0"/>
          <w:lang w:val="en-US" w:eastAsia="en-US"/>
        </w:rPr>
        <w:t xml:space="preserve"> requires attention to (</w:t>
      </w:r>
      <w:proofErr w:type="spellStart"/>
      <w:r w:rsidRPr="00586265">
        <w:rPr>
          <w:color w:val="auto"/>
          <w:kern w:val="0"/>
          <w:lang w:val="en-US" w:eastAsia="en-US"/>
        </w:rPr>
        <w:t>i</w:t>
      </w:r>
      <w:proofErr w:type="spellEnd"/>
      <w:r w:rsidRPr="00586265">
        <w:rPr>
          <w:color w:val="auto"/>
          <w:kern w:val="0"/>
          <w:lang w:val="en-US" w:eastAsia="en-US"/>
        </w:rPr>
        <w:t>) observed trends in temperature and precipitation, (ii) the structure of monsoon variability and its teleconnections, (iii) changes in extremes, and (iv) projected future changes that may alter the reliability of rearing windows.</w:t>
      </w:r>
    </w:p>
    <w:p w14:paraId="06B677B4"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 xml:space="preserve">4.1 Observed temperature and rainfall </w:t>
      </w:r>
      <w:proofErr w:type="spellStart"/>
      <w:r w:rsidRPr="00586265">
        <w:rPr>
          <w:b/>
          <w:bCs/>
          <w:color w:val="auto"/>
          <w:kern w:val="0"/>
          <w:sz w:val="27"/>
          <w:szCs w:val="27"/>
          <w:lang w:val="en-US" w:eastAsia="en-US"/>
        </w:rPr>
        <w:t>behaviour</w:t>
      </w:r>
      <w:proofErr w:type="spellEnd"/>
      <w:r w:rsidRPr="00586265">
        <w:rPr>
          <w:b/>
          <w:bCs/>
          <w:color w:val="auto"/>
          <w:kern w:val="0"/>
          <w:sz w:val="27"/>
          <w:szCs w:val="27"/>
          <w:lang w:val="en-US" w:eastAsia="en-US"/>
        </w:rPr>
        <w:t xml:space="preserve"> in North-East India</w:t>
      </w:r>
    </w:p>
    <w:p w14:paraId="211AE46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Observational assessments of climate records in North-East India provide an essential baseline for understanding how the environmental envelope for </w:t>
      </w:r>
      <w:proofErr w:type="spellStart"/>
      <w:r w:rsidRPr="00586265">
        <w:rPr>
          <w:color w:val="auto"/>
          <w:kern w:val="0"/>
          <w:lang w:val="en-US" w:eastAsia="en-US"/>
        </w:rPr>
        <w:t>muga</w:t>
      </w:r>
      <w:proofErr w:type="spellEnd"/>
      <w:r w:rsidRPr="00586265">
        <w:rPr>
          <w:color w:val="auto"/>
          <w:kern w:val="0"/>
          <w:lang w:val="en-US" w:eastAsia="en-US"/>
        </w:rPr>
        <w:t xml:space="preserve"> sericulture may already be shifting. Evidence indicates that temperature changes are clearly detectable across the region, while rainfall trends are more heterogeneous and spatially variable (Jain et al., 2013). For </w:t>
      </w:r>
      <w:proofErr w:type="spellStart"/>
      <w:r w:rsidRPr="00586265">
        <w:rPr>
          <w:color w:val="auto"/>
          <w:kern w:val="0"/>
          <w:lang w:val="en-US" w:eastAsia="en-US"/>
        </w:rPr>
        <w:t>muga</w:t>
      </w:r>
      <w:proofErr w:type="spellEnd"/>
      <w:r w:rsidRPr="00586265">
        <w:rPr>
          <w:color w:val="auto"/>
          <w:kern w:val="0"/>
          <w:lang w:val="en-US" w:eastAsia="en-US"/>
        </w:rPr>
        <w:t xml:space="preserve"> production, this asymmetry matters because warming can influence multiple points in the production system even when rainfall trends are not uniform. Higher temperatures can modify larval development rates, affect the duration of instars, and alter the balance between growth and stress responses in outdoor rearing. Warming may also affect host-plant phenology, shifting the timing and quality of leaf flush in ways that can </w:t>
      </w:r>
      <w:proofErr w:type="spellStart"/>
      <w:r w:rsidRPr="00586265">
        <w:rPr>
          <w:color w:val="auto"/>
          <w:kern w:val="0"/>
          <w:lang w:val="en-US" w:eastAsia="en-US"/>
        </w:rPr>
        <w:t>desynchronise</w:t>
      </w:r>
      <w:proofErr w:type="spellEnd"/>
      <w:r w:rsidRPr="00586265">
        <w:rPr>
          <w:color w:val="auto"/>
          <w:kern w:val="0"/>
          <w:lang w:val="en-US" w:eastAsia="en-US"/>
        </w:rPr>
        <w:t xml:space="preserve"> optimal feeding stages from traditional brood calendars.</w:t>
      </w:r>
    </w:p>
    <w:p w14:paraId="1FB9C74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Long-term rainfall analyses across India </w:t>
      </w:r>
      <w:proofErr w:type="spellStart"/>
      <w:r w:rsidRPr="00586265">
        <w:rPr>
          <w:color w:val="auto"/>
          <w:kern w:val="0"/>
          <w:lang w:val="en-US" w:eastAsia="en-US"/>
        </w:rPr>
        <w:t>emphasise</w:t>
      </w:r>
      <w:proofErr w:type="spellEnd"/>
      <w:r w:rsidRPr="00586265">
        <w:rPr>
          <w:color w:val="auto"/>
          <w:kern w:val="0"/>
          <w:lang w:val="en-US" w:eastAsia="en-US"/>
        </w:rPr>
        <w:t xml:space="preserve"> that precipitation change is frequently expressed through redistribution across seasons and regions rather than through simple monotonic trends in annual totals (Kumar et al., 2010). This is particularly relevant for Assam, where rearing outcomes depend on brood-specific windows. A modest shift in the timing of wet spells or the persistence of rainy days can be more damaging than a comparable change in annual rainfall totals, because wet leaves reduce effective feeding time, increase </w:t>
      </w:r>
      <w:r w:rsidRPr="00586265">
        <w:rPr>
          <w:color w:val="auto"/>
          <w:kern w:val="0"/>
          <w:lang w:val="en-US" w:eastAsia="en-US"/>
        </w:rPr>
        <w:lastRenderedPageBreak/>
        <w:t>the likelihood of microbial growth on foliage, and complicate cocooning and post-harvest handling. Therefore, from a sericulture perspective, rainfall “character” (frequency, intensity, persistence, and seasonality) can be more important than total accumulation.</w:t>
      </w:r>
    </w:p>
    <w:p w14:paraId="351E7936"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4.2 Monsoon variability, structured year-to-year fluctuations, and predictability</w:t>
      </w:r>
    </w:p>
    <w:p w14:paraId="6D1CC99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Year-to-year variability in the Indian monsoon is not simply random noise; it exhibits structured patterns and modes that shape the distribution of rainfall across regions and seasons. A documented prominent pattern of interannual variability in Indian summer monsoon rainfall highlights that large-scale circulation features </w:t>
      </w:r>
      <w:proofErr w:type="spellStart"/>
      <w:r w:rsidRPr="00586265">
        <w:rPr>
          <w:color w:val="auto"/>
          <w:kern w:val="0"/>
          <w:lang w:val="en-US" w:eastAsia="en-US"/>
        </w:rPr>
        <w:t>organise</w:t>
      </w:r>
      <w:proofErr w:type="spellEnd"/>
      <w:r w:rsidRPr="00586265">
        <w:rPr>
          <w:color w:val="auto"/>
          <w:kern w:val="0"/>
          <w:lang w:val="en-US" w:eastAsia="en-US"/>
        </w:rPr>
        <w:t xml:space="preserve"> rainfall anomalies and can influence the intensity and timing of monsoon </w:t>
      </w:r>
      <w:proofErr w:type="spellStart"/>
      <w:r w:rsidRPr="00586265">
        <w:rPr>
          <w:color w:val="auto"/>
          <w:kern w:val="0"/>
          <w:lang w:val="en-US" w:eastAsia="en-US"/>
        </w:rPr>
        <w:t>behaviour</w:t>
      </w:r>
      <w:proofErr w:type="spellEnd"/>
      <w:r w:rsidRPr="00586265">
        <w:rPr>
          <w:color w:val="auto"/>
          <w:kern w:val="0"/>
          <w:lang w:val="en-US" w:eastAsia="en-US"/>
        </w:rPr>
        <w:t xml:space="preserve"> (Mishra et al., 2012). For Assam and the broader North-East, such variability can translate into shifts in the onset and retreat of wet conditions, changes in the likelihood of prolonged wet spells, and altered sequencing of wet and dry periods within a season. In an outdoor system, this creates operational risk: rearing activities that are normally safe within a typical seasonal pattern may become riskier when intra-seasonal variability increases.</w:t>
      </w:r>
    </w:p>
    <w:p w14:paraId="046F39F8"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Teleconnections further complicate the risk landscape because they can change over time, altering the predictability of seasonal rainfall. Evidence that the relationship between ENSO and northeast monsoon rainfall has strengthened in recent decades illustrates that climate linkages can evolve and that seasonal rainfall </w:t>
      </w:r>
      <w:proofErr w:type="spellStart"/>
      <w:r w:rsidRPr="00586265">
        <w:rPr>
          <w:color w:val="auto"/>
          <w:kern w:val="0"/>
          <w:lang w:val="en-US" w:eastAsia="en-US"/>
        </w:rPr>
        <w:t>behaviour</w:t>
      </w:r>
      <w:proofErr w:type="spellEnd"/>
      <w:r w:rsidRPr="00586265">
        <w:rPr>
          <w:color w:val="auto"/>
          <w:kern w:val="0"/>
          <w:lang w:val="en-US" w:eastAsia="en-US"/>
        </w:rPr>
        <w:t xml:space="preserve"> may become more tightly coupled to large-scale ocean–atmosphere conditions (Kumar et al., 2007). While northeast monsoon dynamics are most directly relevant to southern peninsular India, the broader implication for </w:t>
      </w:r>
      <w:proofErr w:type="spellStart"/>
      <w:r w:rsidRPr="00586265">
        <w:rPr>
          <w:color w:val="auto"/>
          <w:kern w:val="0"/>
          <w:lang w:val="en-US" w:eastAsia="en-US"/>
        </w:rPr>
        <w:t>muga</w:t>
      </w:r>
      <w:proofErr w:type="spellEnd"/>
      <w:r w:rsidRPr="00586265">
        <w:rPr>
          <w:color w:val="auto"/>
          <w:kern w:val="0"/>
          <w:lang w:val="en-US" w:eastAsia="en-US"/>
        </w:rPr>
        <w:t xml:space="preserve"> sericulture is that evolving teleconnections and circulation regimes can shift the timing and reliability of rainfall seasons in ways that producers may not easily anticipate using historical experience alone. This strengthens the case for integrating climate information into brood planning, particularly when multiple broods are spread across the year and each brood intersects different segments of the regional seasonal cycle.</w:t>
      </w:r>
    </w:p>
    <w:p w14:paraId="3A0F9FE8"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4.3 Extreme precipitation as a dominant disruption pathway</w:t>
      </w:r>
    </w:p>
    <w:p w14:paraId="047665B2"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For outdoor sericulture, extremes often represent the most immediate cause of large losses. Heavy rainfall events can physically damage host plantations, knock larvae from foliage, interrupt feeding, and create persistently wet microclimates that </w:t>
      </w:r>
      <w:proofErr w:type="spellStart"/>
      <w:r w:rsidRPr="00586265">
        <w:rPr>
          <w:color w:val="auto"/>
          <w:kern w:val="0"/>
          <w:lang w:val="en-US" w:eastAsia="en-US"/>
        </w:rPr>
        <w:t>favour</w:t>
      </w:r>
      <w:proofErr w:type="spellEnd"/>
      <w:r w:rsidRPr="00586265">
        <w:rPr>
          <w:color w:val="auto"/>
          <w:kern w:val="0"/>
          <w:lang w:val="en-US" w:eastAsia="en-US"/>
        </w:rPr>
        <w:t xml:space="preserve"> disease emergence and spread. Evidence indicates that extreme precipitation events have increased over India in association with anthropogenic warming, suggesting that high-impact rainfall episodes may become more frequent or more intense (Mukherjee et al., 2018). In Assam, where high humidity and heavy rainfall are already common, a marginal increase in extreme event likelihood can disproportionately affect </w:t>
      </w:r>
      <w:proofErr w:type="spellStart"/>
      <w:r w:rsidRPr="00586265">
        <w:rPr>
          <w:color w:val="auto"/>
          <w:kern w:val="0"/>
          <w:lang w:val="en-US" w:eastAsia="en-US"/>
        </w:rPr>
        <w:t>muga</w:t>
      </w:r>
      <w:proofErr w:type="spellEnd"/>
      <w:r w:rsidRPr="00586265">
        <w:rPr>
          <w:color w:val="auto"/>
          <w:kern w:val="0"/>
          <w:lang w:val="en-US" w:eastAsia="en-US"/>
        </w:rPr>
        <w:t xml:space="preserve"> production by increasing the frequency of “failed windows” during which rearing becomes impractical or biologically risky.</w:t>
      </w:r>
    </w:p>
    <w:p w14:paraId="4D280C0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Hotspot-oriented analyses help interpret how precipitation characteristics may change across the country under future climate scenarios. A precipitation-based climate change hotspot assessment using a multi-model framework identifies regions where precipitation shifts and extremes are projected to be particularly pronounced, and it indicates that parts of the North-East can emerge as areas of notable change (Sarkar et al., 2023). For </w:t>
      </w:r>
      <w:proofErr w:type="spellStart"/>
      <w:r w:rsidRPr="00586265">
        <w:rPr>
          <w:color w:val="auto"/>
          <w:kern w:val="0"/>
          <w:lang w:val="en-US" w:eastAsia="en-US"/>
        </w:rPr>
        <w:t>muga</w:t>
      </w:r>
      <w:proofErr w:type="spellEnd"/>
      <w:r w:rsidRPr="00586265">
        <w:rPr>
          <w:color w:val="auto"/>
          <w:kern w:val="0"/>
          <w:lang w:val="en-US" w:eastAsia="en-US"/>
        </w:rPr>
        <w:t xml:space="preserve"> sericulture, the key implication is that risk may not rise uniformly; rather, certain micro-regions may experience a sharper increase in disruptive rainfall </w:t>
      </w:r>
      <w:proofErr w:type="spellStart"/>
      <w:r w:rsidRPr="00586265">
        <w:rPr>
          <w:color w:val="auto"/>
          <w:kern w:val="0"/>
          <w:lang w:val="en-US" w:eastAsia="en-US"/>
        </w:rPr>
        <w:t>behaviour</w:t>
      </w:r>
      <w:proofErr w:type="spellEnd"/>
      <w:r w:rsidRPr="00586265">
        <w:rPr>
          <w:color w:val="auto"/>
          <w:kern w:val="0"/>
          <w:lang w:val="en-US" w:eastAsia="en-US"/>
        </w:rPr>
        <w:t xml:space="preserve"> than others, influencing where plantation investments remain viable and where additional protective measures become </w:t>
      </w:r>
      <w:r w:rsidRPr="00586265">
        <w:rPr>
          <w:color w:val="auto"/>
          <w:kern w:val="0"/>
          <w:lang w:val="en-US" w:eastAsia="en-US"/>
        </w:rPr>
        <w:lastRenderedPageBreak/>
        <w:t>necessary. Such evidence also supports a focus on buffering and preparedness—reducing exposure during high-risk periods, strengthening plantation resilience to waterlogging and wind, and improving post-harvest handling strategies to prevent loss during extended wet conditions.</w:t>
      </w:r>
    </w:p>
    <w:p w14:paraId="1462EC8C"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4.4 Projections for North-East India and seasonal shifts in the rearing envelope</w:t>
      </w:r>
    </w:p>
    <w:p w14:paraId="32197593"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Projections from regional climate modelling provide a forward-looking view of how the climatic envelope for </w:t>
      </w:r>
      <w:proofErr w:type="spellStart"/>
      <w:r w:rsidRPr="00586265">
        <w:rPr>
          <w:color w:val="auto"/>
          <w:kern w:val="0"/>
          <w:lang w:val="en-US" w:eastAsia="en-US"/>
        </w:rPr>
        <w:t>muga</w:t>
      </w:r>
      <w:proofErr w:type="spellEnd"/>
      <w:r w:rsidRPr="00586265">
        <w:rPr>
          <w:color w:val="auto"/>
          <w:kern w:val="0"/>
          <w:lang w:val="en-US" w:eastAsia="en-US"/>
        </w:rPr>
        <w:t xml:space="preserve"> sericulture may evolve. Regional assessments for North-East India suggest warming and associated changes in precipitation characteristics under future scenarios, implying that historically familiar rearing conditions may shift in intensity and timing (Dash et al., 2012). For </w:t>
      </w:r>
      <w:proofErr w:type="spellStart"/>
      <w:r w:rsidRPr="00586265">
        <w:rPr>
          <w:color w:val="auto"/>
          <w:kern w:val="0"/>
          <w:lang w:val="en-US" w:eastAsia="en-US"/>
        </w:rPr>
        <w:t>muga</w:t>
      </w:r>
      <w:proofErr w:type="spellEnd"/>
      <w:r w:rsidRPr="00586265">
        <w:rPr>
          <w:color w:val="auto"/>
          <w:kern w:val="0"/>
          <w:lang w:val="en-US" w:eastAsia="en-US"/>
        </w:rPr>
        <w:t xml:space="preserve"> production, rising temperatures can create new stress risks during already warm, humid months, but may also alter the balance of suitability across broods. In practical terms, the “best” brood seasons under historical conditions may no longer remain best, while previously marginal periods may become more viable or may become riskier depending on how temperature and rainfall co-evolve.</w:t>
      </w:r>
    </w:p>
    <w:p w14:paraId="15C06385"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Seasonal precipitation projections under higher warming scenarios further illustrate that rainfall regimes can be modulated by circulation changes and that the seasonal structure of precipitation can shift, not only its mean magnitude (Tiwari et al., 2023). The broader lesson for Assam’s </w:t>
      </w:r>
      <w:proofErr w:type="spellStart"/>
      <w:r w:rsidRPr="00586265">
        <w:rPr>
          <w:color w:val="auto"/>
          <w:kern w:val="0"/>
          <w:lang w:val="en-US" w:eastAsia="en-US"/>
        </w:rPr>
        <w:t>muga</w:t>
      </w:r>
      <w:proofErr w:type="spellEnd"/>
      <w:r w:rsidRPr="00586265">
        <w:rPr>
          <w:color w:val="auto"/>
          <w:kern w:val="0"/>
          <w:lang w:val="en-US" w:eastAsia="en-US"/>
        </w:rPr>
        <w:t xml:space="preserve"> system is that adaptation planning should remain seasonal and brood-specific. Producers and planners should anticipate that risk may increase via compound conditions such as warm, humid spells coinciding with persistent wetness, which can simultaneously reduce feeding time and elevate disease pressure. Conversely, more frequent warm nights could alter larval metabolic costs and host-plant water relations, changing growth and cocooning outcomes in ways that may vary by stock and locality.</w:t>
      </w:r>
    </w:p>
    <w:p w14:paraId="10B694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Overall, the climate signals most relevant to </w:t>
      </w:r>
      <w:proofErr w:type="spellStart"/>
      <w:r w:rsidRPr="00586265">
        <w:rPr>
          <w:color w:val="auto"/>
          <w:kern w:val="0"/>
          <w:lang w:val="en-US" w:eastAsia="en-US"/>
        </w:rPr>
        <w:t>muga</w:t>
      </w:r>
      <w:proofErr w:type="spellEnd"/>
      <w:r w:rsidRPr="00586265">
        <w:rPr>
          <w:color w:val="auto"/>
          <w:kern w:val="0"/>
          <w:lang w:val="en-US" w:eastAsia="en-US"/>
        </w:rPr>
        <w:t xml:space="preserve"> sericulture in Assam are those that influence the reliability of weather windows for outdoor rearing and the stability of host-plant leaf resources across multiple broods. Observed warming and variable rainfall </w:t>
      </w:r>
      <w:proofErr w:type="spellStart"/>
      <w:r w:rsidRPr="00586265">
        <w:rPr>
          <w:color w:val="auto"/>
          <w:kern w:val="0"/>
          <w:lang w:val="en-US" w:eastAsia="en-US"/>
        </w:rPr>
        <w:t>behaviour</w:t>
      </w:r>
      <w:proofErr w:type="spellEnd"/>
      <w:r w:rsidRPr="00586265">
        <w:rPr>
          <w:color w:val="auto"/>
          <w:kern w:val="0"/>
          <w:lang w:val="en-US" w:eastAsia="en-US"/>
        </w:rPr>
        <w:t xml:space="preserve"> (Jain et al., 2013; Kumar et al., 2010), structured monsoon variability and evolving teleconnections (Mishra et al., 2012; Kumar et al., 2007), evidence of increasing extremes (Mukherjee et al., 2018), hotspot emergence (Sarkar et al., 2023), and regional projections (Dash et al., 2012; Tiwari et al., 2023) together support the conclusion that climate change is likely to increase the volatility of </w:t>
      </w:r>
      <w:proofErr w:type="spellStart"/>
      <w:r w:rsidRPr="00586265">
        <w:rPr>
          <w:color w:val="auto"/>
          <w:kern w:val="0"/>
          <w:lang w:val="en-US" w:eastAsia="en-US"/>
        </w:rPr>
        <w:t>muga</w:t>
      </w:r>
      <w:proofErr w:type="spellEnd"/>
      <w:r w:rsidRPr="00586265">
        <w:rPr>
          <w:color w:val="auto"/>
          <w:kern w:val="0"/>
          <w:lang w:val="en-US" w:eastAsia="en-US"/>
        </w:rPr>
        <w:t xml:space="preserve"> production more than it changes any single average condition. This reinforces the need to interpret climate change through brood calendars, operational risk windows, and plantation microclimates rather than through annual means alone.</w:t>
      </w:r>
    </w:p>
    <w:p w14:paraId="47587DB2" w14:textId="77777777" w:rsidR="00417DFC" w:rsidRDefault="00417DFC" w:rsidP="00417DFC"/>
    <w:p w14:paraId="28DAEA43"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5. Pathways through which climate change can affect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silk production</w:t>
      </w:r>
    </w:p>
    <w:p w14:paraId="7159C29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Climate change can influence </w:t>
      </w:r>
      <w:proofErr w:type="spellStart"/>
      <w:r w:rsidRPr="00586265">
        <w:rPr>
          <w:color w:val="auto"/>
          <w:kern w:val="0"/>
          <w:lang w:val="en-US" w:eastAsia="en-US"/>
        </w:rPr>
        <w:t>muga</w:t>
      </w:r>
      <w:proofErr w:type="spellEnd"/>
      <w:r w:rsidRPr="00586265">
        <w:rPr>
          <w:color w:val="auto"/>
          <w:kern w:val="0"/>
          <w:lang w:val="en-US" w:eastAsia="en-US"/>
        </w:rPr>
        <w:t xml:space="preserve"> silk production through a set of interacting pathways rather than a single, linear mechanism. Because </w:t>
      </w:r>
      <w:proofErr w:type="spellStart"/>
      <w:r w:rsidRPr="00586265">
        <w:rPr>
          <w:color w:val="auto"/>
          <w:kern w:val="0"/>
          <w:lang w:val="en-US" w:eastAsia="en-US"/>
        </w:rPr>
        <w:t>muga</w:t>
      </w:r>
      <w:proofErr w:type="spellEnd"/>
      <w:r w:rsidRPr="00586265">
        <w:rPr>
          <w:color w:val="auto"/>
          <w:kern w:val="0"/>
          <w:lang w:val="en-US" w:eastAsia="en-US"/>
        </w:rPr>
        <w:t xml:space="preserve"> sericulture in Assam is largely an outdoor enterprise, climatic signals are transmitted simultaneously through the silkworm’s </w:t>
      </w:r>
      <w:r w:rsidRPr="00586265">
        <w:rPr>
          <w:color w:val="auto"/>
          <w:kern w:val="0"/>
          <w:lang w:val="en-US" w:eastAsia="en-US"/>
        </w:rPr>
        <w:lastRenderedPageBreak/>
        <w:t xml:space="preserve">physiology, the host plants’ phenology and leaf quality, and the wider plantation microenvironment that governs disease pressure and operational feasibility. The system is therefore best </w:t>
      </w:r>
      <w:proofErr w:type="spellStart"/>
      <w:r w:rsidRPr="00586265">
        <w:rPr>
          <w:color w:val="auto"/>
          <w:kern w:val="0"/>
          <w:lang w:val="en-US" w:eastAsia="en-US"/>
        </w:rPr>
        <w:t>conceptualised</w:t>
      </w:r>
      <w:proofErr w:type="spellEnd"/>
      <w:r w:rsidRPr="00586265">
        <w:rPr>
          <w:color w:val="auto"/>
          <w:kern w:val="0"/>
          <w:lang w:val="en-US" w:eastAsia="en-US"/>
        </w:rPr>
        <w:t xml:space="preserve"> as an eco-climatic production complex in which weather and climate shape not only mean performance but also the frequency of brood failures and the consistency of cocoon traits. Foundational accounts of </w:t>
      </w:r>
      <w:proofErr w:type="spellStart"/>
      <w:r w:rsidRPr="00586265">
        <w:rPr>
          <w:i/>
          <w:iCs/>
          <w:color w:val="auto"/>
          <w:kern w:val="0"/>
          <w:lang w:val="en-US" w:eastAsia="en-US"/>
        </w:rPr>
        <w:t>Antheraea</w:t>
      </w:r>
      <w:proofErr w:type="spellEnd"/>
      <w:r w:rsidRPr="00586265">
        <w:rPr>
          <w:i/>
          <w:iCs/>
          <w:color w:val="auto"/>
          <w:kern w:val="0"/>
          <w:lang w:val="en-US" w:eastAsia="en-US"/>
        </w:rPr>
        <w:t xml:space="preserve"> </w:t>
      </w:r>
      <w:proofErr w:type="spellStart"/>
      <w:r w:rsidRPr="00586265">
        <w:rPr>
          <w:i/>
          <w:iCs/>
          <w:color w:val="auto"/>
          <w:kern w:val="0"/>
          <w:lang w:val="en-US" w:eastAsia="en-US"/>
        </w:rPr>
        <w:t>assamensis</w:t>
      </w:r>
      <w:proofErr w:type="spellEnd"/>
      <w:r w:rsidRPr="00586265">
        <w:rPr>
          <w:color w:val="auto"/>
          <w:kern w:val="0"/>
          <w:lang w:val="en-US" w:eastAsia="en-US"/>
        </w:rPr>
        <w:t xml:space="preserve"> </w:t>
      </w:r>
      <w:proofErr w:type="spellStart"/>
      <w:r w:rsidRPr="00586265">
        <w:rPr>
          <w:color w:val="auto"/>
          <w:kern w:val="0"/>
          <w:lang w:val="en-US" w:eastAsia="en-US"/>
        </w:rPr>
        <w:t>emphasise</w:t>
      </w:r>
      <w:proofErr w:type="spellEnd"/>
      <w:r w:rsidRPr="00586265">
        <w:rPr>
          <w:color w:val="auto"/>
          <w:kern w:val="0"/>
          <w:lang w:val="en-US" w:eastAsia="en-US"/>
        </w:rPr>
        <w:t xml:space="preserve"> that the species is reared under field conditions where environmental fluctuations, pests, and diseases become integral determinants of survivorship and cocooning success, making climate sensitivity intrinsic to the production model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1B8AE1D1"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5.1 Host-plant mediated nutrition and phenology mismatch</w:t>
      </w:r>
    </w:p>
    <w:p w14:paraId="3A05C3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primary pathway is indirect, operating via the host plants that supply larval nutrition. Although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can </w:t>
      </w:r>
      <w:proofErr w:type="spellStart"/>
      <w:r w:rsidRPr="00586265">
        <w:rPr>
          <w:color w:val="auto"/>
          <w:kern w:val="0"/>
          <w:lang w:val="en-US" w:eastAsia="en-US"/>
        </w:rPr>
        <w:t>utilise</w:t>
      </w:r>
      <w:proofErr w:type="spellEnd"/>
      <w:r w:rsidRPr="00586265">
        <w:rPr>
          <w:color w:val="auto"/>
          <w:kern w:val="0"/>
          <w:lang w:val="en-US" w:eastAsia="en-US"/>
        </w:rPr>
        <w:t xml:space="preserve"> multiple food plants, commercial production in practice relies heavily on a narrow set of key hosts, and the system’s stability depends on the availability of abundant, tender leaves at the appropriate times (Devi et al., 2021). Climate change can disrupt this by shifting host-plant phenology, altering the timing and duration of leaf flush, and changing the proportion of leaves that remain in a nutritionally </w:t>
      </w:r>
      <w:proofErr w:type="spellStart"/>
      <w:r w:rsidRPr="00586265">
        <w:rPr>
          <w:color w:val="auto"/>
          <w:kern w:val="0"/>
          <w:lang w:val="en-US" w:eastAsia="en-US"/>
        </w:rPr>
        <w:t>favourable</w:t>
      </w:r>
      <w:proofErr w:type="spellEnd"/>
      <w:r w:rsidRPr="00586265">
        <w:rPr>
          <w:color w:val="auto"/>
          <w:kern w:val="0"/>
          <w:lang w:val="en-US" w:eastAsia="en-US"/>
        </w:rPr>
        <w:t xml:space="preserve"> state during the critical larval feeding period. If warming or altered rainfall timing advances leaf maturation or reduces the persistence of tender foliage, larvae may be forced onto tougher or nutritionally poorer leaves, lowering feeding efficiency and reducing the energy reserves available for silk production. This creates a “phenology mismatch” risk: even if the silkworm develops normally, the quality of its food may not align with its needs during specific instars, reducing cocoon weight and shell ratio.</w:t>
      </w:r>
    </w:p>
    <w:p w14:paraId="0A16BA0F"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Host-plant physiology also mediates climate impacts through stress responses that affect leaf chemistry and water status. Evidence that </w:t>
      </w:r>
      <w:proofErr w:type="spellStart"/>
      <w:r w:rsidRPr="00586265">
        <w:rPr>
          <w:i/>
          <w:iCs/>
          <w:color w:val="auto"/>
          <w:kern w:val="0"/>
          <w:lang w:val="en-US" w:eastAsia="en-US"/>
        </w:rPr>
        <w:t>Persea</w:t>
      </w:r>
      <w:proofErr w:type="spellEnd"/>
      <w:r w:rsidRPr="00586265">
        <w:rPr>
          <w:i/>
          <w:iCs/>
          <w:color w:val="auto"/>
          <w:kern w:val="0"/>
          <w:lang w:val="en-US" w:eastAsia="en-US"/>
        </w:rPr>
        <w:t xml:space="preserve"> </w:t>
      </w:r>
      <w:proofErr w:type="spellStart"/>
      <w:r w:rsidRPr="00586265">
        <w:rPr>
          <w:i/>
          <w:iCs/>
          <w:color w:val="auto"/>
          <w:kern w:val="0"/>
          <w:lang w:val="en-US" w:eastAsia="en-US"/>
        </w:rPr>
        <w:t>bombycina</w:t>
      </w:r>
      <w:proofErr w:type="spellEnd"/>
      <w:r w:rsidRPr="00586265">
        <w:rPr>
          <w:color w:val="auto"/>
          <w:kern w:val="0"/>
          <w:lang w:val="en-US" w:eastAsia="en-US"/>
        </w:rPr>
        <w:t xml:space="preserve"> exhibits measurable variation in stress-related biochemical parameters and tolerance traits under environmental pressures indicates that leaf quality is dynamic and sensitive to changing conditions (</w:t>
      </w:r>
      <w:proofErr w:type="spellStart"/>
      <w:r w:rsidRPr="00586265">
        <w:rPr>
          <w:color w:val="auto"/>
          <w:kern w:val="0"/>
          <w:lang w:val="en-US" w:eastAsia="en-US"/>
        </w:rPr>
        <w:t>Jigyasu</w:t>
      </w:r>
      <w:proofErr w:type="spellEnd"/>
      <w:r w:rsidRPr="00586265">
        <w:rPr>
          <w:color w:val="auto"/>
          <w:kern w:val="0"/>
          <w:lang w:val="en-US" w:eastAsia="en-US"/>
        </w:rPr>
        <w:t xml:space="preserve"> et al., 2023). Under warmer or more variable regimes, leaf water relations and stress metabolites may shift in ways that influence palatability, digestibility, and nutrient assimilation, with downstream effects on larval growth and cocoon formation. Because </w:t>
      </w:r>
      <w:proofErr w:type="spellStart"/>
      <w:r w:rsidRPr="00586265">
        <w:rPr>
          <w:color w:val="auto"/>
          <w:kern w:val="0"/>
          <w:lang w:val="en-US" w:eastAsia="en-US"/>
        </w:rPr>
        <w:t>muga</w:t>
      </w:r>
      <w:proofErr w:type="spellEnd"/>
      <w:r w:rsidRPr="00586265">
        <w:rPr>
          <w:color w:val="auto"/>
          <w:kern w:val="0"/>
          <w:lang w:val="en-US" w:eastAsia="en-US"/>
        </w:rPr>
        <w:t xml:space="preserve"> rearing spans multiple broods, even modest declines in host performance can accumulate across the production year, amplifying the effect of incremental climate stress into substantial reductions in annual output.</w:t>
      </w:r>
    </w:p>
    <w:p w14:paraId="24EC89DF"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5.2 Direct effects on silkworm development, survival, and cocooning</w:t>
      </w:r>
    </w:p>
    <w:p w14:paraId="2172013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second pathway is direct, operating through the silkworm’s exposure to ambient temperature and humidity. In outdoor systems, larval development, </w:t>
      </w:r>
      <w:proofErr w:type="spellStart"/>
      <w:r w:rsidRPr="00586265">
        <w:rPr>
          <w:color w:val="auto"/>
          <w:kern w:val="0"/>
          <w:lang w:val="en-US" w:eastAsia="en-US"/>
        </w:rPr>
        <w:t>moulting</w:t>
      </w:r>
      <w:proofErr w:type="spellEnd"/>
      <w:r w:rsidRPr="00586265">
        <w:rPr>
          <w:color w:val="auto"/>
          <w:kern w:val="0"/>
          <w:lang w:val="en-US" w:eastAsia="en-US"/>
        </w:rPr>
        <w:t xml:space="preserve"> success, and spinning </w:t>
      </w:r>
      <w:proofErr w:type="spellStart"/>
      <w:r w:rsidRPr="00586265">
        <w:rPr>
          <w:color w:val="auto"/>
          <w:kern w:val="0"/>
          <w:lang w:val="en-US" w:eastAsia="en-US"/>
        </w:rPr>
        <w:t>behaviour</w:t>
      </w:r>
      <w:proofErr w:type="spellEnd"/>
      <w:r w:rsidRPr="00586265">
        <w:rPr>
          <w:color w:val="auto"/>
          <w:kern w:val="0"/>
          <w:lang w:val="en-US" w:eastAsia="en-US"/>
        </w:rPr>
        <w:t xml:space="preserve"> occur under fluctuating microclimates that can be pushed beyond </w:t>
      </w:r>
      <w:proofErr w:type="spellStart"/>
      <w:r w:rsidRPr="00586265">
        <w:rPr>
          <w:color w:val="auto"/>
          <w:kern w:val="0"/>
          <w:lang w:val="en-US" w:eastAsia="en-US"/>
        </w:rPr>
        <w:t>favourable</w:t>
      </w:r>
      <w:proofErr w:type="spellEnd"/>
      <w:r w:rsidRPr="00586265">
        <w:rPr>
          <w:color w:val="auto"/>
          <w:kern w:val="0"/>
          <w:lang w:val="en-US" w:eastAsia="en-US"/>
        </w:rPr>
        <w:t xml:space="preserve"> ranges during heat spikes, prolonged wetness, or abrupt weather transitions. Higher temperatures can accelerate development and potentially compress larval stages, which may reduce the time available for feeding and biomass accumulation if host leaves are not correspondingly abundant and tender. Conversely, periods of </w:t>
      </w:r>
      <w:proofErr w:type="spellStart"/>
      <w:r w:rsidRPr="00586265">
        <w:rPr>
          <w:color w:val="auto"/>
          <w:kern w:val="0"/>
          <w:lang w:val="en-US" w:eastAsia="en-US"/>
        </w:rPr>
        <w:t>unfavourable</w:t>
      </w:r>
      <w:proofErr w:type="spellEnd"/>
      <w:r w:rsidRPr="00586265">
        <w:rPr>
          <w:color w:val="auto"/>
          <w:kern w:val="0"/>
          <w:lang w:val="en-US" w:eastAsia="en-US"/>
        </w:rPr>
        <w:t xml:space="preserve"> humidity or persistent rainfall can limit active feeding time and increase physiological stress, thereby increasing mortality or weakening larvae such that cocoon formation is compromised. The biological framing offered in </w:t>
      </w:r>
      <w:proofErr w:type="spellStart"/>
      <w:r w:rsidRPr="00586265">
        <w:rPr>
          <w:color w:val="auto"/>
          <w:kern w:val="0"/>
          <w:lang w:val="en-US" w:eastAsia="en-US"/>
        </w:rPr>
        <w:t>muga</w:t>
      </w:r>
      <w:proofErr w:type="spellEnd"/>
      <w:r w:rsidRPr="00586265">
        <w:rPr>
          <w:color w:val="auto"/>
          <w:kern w:val="0"/>
          <w:lang w:val="en-US" w:eastAsia="en-US"/>
        </w:rPr>
        <w:t xml:space="preserve"> overviews underscores that field exposure to environmental variability is a defining feature of the species’ production ecology, implying that climate change can manifest as increased volatility in survivorship and cocooning success rather than as a uniform shift in average yields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2DA630BE"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lastRenderedPageBreak/>
        <w:t>5.3 Disease ecology and climate-amplified infection risk</w:t>
      </w:r>
    </w:p>
    <w:p w14:paraId="5BA8A99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third pathway is disease amplification. Outdoor rearing increases the likelihood that climatic conditions will periodically </w:t>
      </w:r>
      <w:proofErr w:type="spellStart"/>
      <w:r w:rsidRPr="00586265">
        <w:rPr>
          <w:color w:val="auto"/>
          <w:kern w:val="0"/>
          <w:lang w:val="en-US" w:eastAsia="en-US"/>
        </w:rPr>
        <w:t>favour</w:t>
      </w:r>
      <w:proofErr w:type="spellEnd"/>
      <w:r w:rsidRPr="00586265">
        <w:rPr>
          <w:color w:val="auto"/>
          <w:kern w:val="0"/>
          <w:lang w:val="en-US" w:eastAsia="en-US"/>
        </w:rPr>
        <w:t xml:space="preserve"> pathogen persistence and transmission, particularly when high humidity and leaf wetness are prolonged. Microsporidian infection causing </w:t>
      </w:r>
      <w:proofErr w:type="spellStart"/>
      <w:r w:rsidRPr="00586265">
        <w:rPr>
          <w:color w:val="auto"/>
          <w:kern w:val="0"/>
          <w:lang w:val="en-US" w:eastAsia="en-US"/>
        </w:rPr>
        <w:t>nosemosis</w:t>
      </w:r>
      <w:proofErr w:type="spellEnd"/>
      <w:r w:rsidRPr="00586265">
        <w:rPr>
          <w:color w:val="auto"/>
          <w:kern w:val="0"/>
          <w:lang w:val="en-US" w:eastAsia="en-US"/>
        </w:rPr>
        <w:t xml:space="preserve"> in </w:t>
      </w:r>
      <w:proofErr w:type="spellStart"/>
      <w:r w:rsidRPr="00586265">
        <w:rPr>
          <w:color w:val="auto"/>
          <w:kern w:val="0"/>
          <w:lang w:val="en-US" w:eastAsia="en-US"/>
        </w:rPr>
        <w:t>muga</w:t>
      </w:r>
      <w:proofErr w:type="spellEnd"/>
      <w:r w:rsidRPr="00586265">
        <w:rPr>
          <w:color w:val="auto"/>
          <w:kern w:val="0"/>
          <w:lang w:val="en-US" w:eastAsia="en-US"/>
        </w:rPr>
        <w:t xml:space="preserve"> has been molecularly identified and is associated with significant reductions in cocoon and silk traits, including cocoon and pupal weight and silk ratio, directly undermining production quantity and quality (Subrahmanyam et al., 2019). Climate change can plausibly intensify this pathway by increasing the frequency of wet spells and humid microclimates that support pathogen survival on foliage and rearing surfaces, while simultaneously stressing larvae and reducing immune competence. The key practical implication is that disease should be treated as a climate-sensitive constraint: adverse weather does not only cause direct loss, but can also raise the baseline probability of infection-driven declines in cocoon traits.</w:t>
      </w:r>
    </w:p>
    <w:p w14:paraId="707FB58A"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5.4 Environmental imprinting on cocoon traits and stock-specific sensitivity</w:t>
      </w:r>
    </w:p>
    <w:p w14:paraId="6E64503D"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fourth pathway concerns how climate interacts with stock variation to shape cocoon quality. Cocoon </w:t>
      </w:r>
      <w:proofErr w:type="spellStart"/>
      <w:r w:rsidRPr="00586265">
        <w:rPr>
          <w:color w:val="auto"/>
          <w:kern w:val="0"/>
          <w:lang w:val="en-US" w:eastAsia="en-US"/>
        </w:rPr>
        <w:t>characterisation</w:t>
      </w:r>
      <w:proofErr w:type="spellEnd"/>
      <w:r w:rsidRPr="00586265">
        <w:rPr>
          <w:color w:val="auto"/>
          <w:kern w:val="0"/>
          <w:lang w:val="en-US" w:eastAsia="en-US"/>
        </w:rPr>
        <w:t xml:space="preserve"> across different populations of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shows that economically important parameters vary among populations, indicating that genetic background and local conditions jointly influence outcomes such as cocoon weight, shell ratio, and </w:t>
      </w:r>
      <w:proofErr w:type="spellStart"/>
      <w:r w:rsidRPr="00586265">
        <w:rPr>
          <w:color w:val="auto"/>
          <w:kern w:val="0"/>
          <w:lang w:val="en-US" w:eastAsia="en-US"/>
        </w:rPr>
        <w:t>fibre</w:t>
      </w:r>
      <w:proofErr w:type="spellEnd"/>
      <w:r w:rsidRPr="00586265">
        <w:rPr>
          <w:color w:val="auto"/>
          <w:kern w:val="0"/>
          <w:lang w:val="en-US" w:eastAsia="en-US"/>
        </w:rPr>
        <w:t xml:space="preserve"> performance (</w:t>
      </w:r>
      <w:proofErr w:type="spellStart"/>
      <w:r w:rsidRPr="00586265">
        <w:rPr>
          <w:color w:val="auto"/>
          <w:kern w:val="0"/>
          <w:lang w:val="en-US" w:eastAsia="en-US"/>
        </w:rPr>
        <w:t>Kalita</w:t>
      </w:r>
      <w:proofErr w:type="spellEnd"/>
      <w:r w:rsidRPr="00586265">
        <w:rPr>
          <w:color w:val="auto"/>
          <w:kern w:val="0"/>
          <w:lang w:val="en-US" w:eastAsia="en-US"/>
        </w:rPr>
        <w:t xml:space="preserve"> &amp; Dutta, 2020). Under climate change, this implies that some stocks may be more vulnerable to particular stress combinations (for example, warm–humid conditions during late larval stages), while others may retain acceptable cocoon traits across a wider range of conditions. The production consequence is that climate change may not simply reduce output; it may re-rank the relative performance of stocks and locations, making robustness and consistency increasingly valuable selection targets. At the same time, cocoon traits also have processing implications, and the feasibility of adopting certain stocks can be constrained by reeling and handling properties, meaning that climate-resilient choices must remain compatible with downstream value-chain requirements (Kalita &amp; Dutta, 2020).</w:t>
      </w:r>
    </w:p>
    <w:p w14:paraId="19671D96"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5.5 Spatial suitability shifts and silkworm–host overlap</w:t>
      </w:r>
    </w:p>
    <w:p w14:paraId="23E6CCD9"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fifth pathway is geographic, operating through climate-driven changes in the overlap between suitable conditions for the silkworm and its primary host plants. Ensemble distribution modelling that jointly considers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and the principal host </w:t>
      </w:r>
      <w:proofErr w:type="spellStart"/>
      <w:r w:rsidRPr="00586265">
        <w:rPr>
          <w:i/>
          <w:iCs/>
          <w:color w:val="auto"/>
          <w:kern w:val="0"/>
          <w:lang w:val="en-US" w:eastAsia="en-US"/>
        </w:rPr>
        <w:t>Litsea</w:t>
      </w:r>
      <w:proofErr w:type="spellEnd"/>
      <w:r w:rsidRPr="00586265">
        <w:rPr>
          <w:i/>
          <w:iCs/>
          <w:color w:val="auto"/>
          <w:kern w:val="0"/>
          <w:lang w:val="en-US" w:eastAsia="en-US"/>
        </w:rPr>
        <w:t xml:space="preserve"> </w:t>
      </w:r>
      <w:proofErr w:type="spellStart"/>
      <w:r w:rsidRPr="00586265">
        <w:rPr>
          <w:i/>
          <w:iCs/>
          <w:color w:val="auto"/>
          <w:kern w:val="0"/>
          <w:lang w:val="en-US" w:eastAsia="en-US"/>
        </w:rPr>
        <w:t>monopetala</w:t>
      </w:r>
      <w:proofErr w:type="spellEnd"/>
      <w:r w:rsidRPr="00586265">
        <w:rPr>
          <w:color w:val="auto"/>
          <w:kern w:val="0"/>
          <w:lang w:val="en-US" w:eastAsia="en-US"/>
        </w:rPr>
        <w:t xml:space="preserve"> in defined climate space suggests that future climate change can modify where suitable overlap occurs, implying potential shifts in viable production landscapes (Sarma et al., 2025). This matters because </w:t>
      </w:r>
      <w:proofErr w:type="spellStart"/>
      <w:r w:rsidRPr="00586265">
        <w:rPr>
          <w:color w:val="auto"/>
          <w:kern w:val="0"/>
          <w:lang w:val="en-US" w:eastAsia="en-US"/>
        </w:rPr>
        <w:t>muga</w:t>
      </w:r>
      <w:proofErr w:type="spellEnd"/>
      <w:r w:rsidRPr="00586265">
        <w:rPr>
          <w:color w:val="auto"/>
          <w:kern w:val="0"/>
          <w:lang w:val="en-US" w:eastAsia="en-US"/>
        </w:rPr>
        <w:t xml:space="preserve"> sericulture depends on co-location: even if the insect can survive, production viability declines if host plants become stressed or less suitable, or if suitable conditions for silkworm development drift away from the current host-plant distribution. In operational terms, spatial suitability change can influence where plantation investments are likely to remain productive and where assisted regeneration or diversification of host resources might be warranted.</w:t>
      </w:r>
    </w:p>
    <w:p w14:paraId="684D74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Overall, these pathways are tightly coupled. Host-plant stress can weaken larval nutrition and increase susceptibility to disease; wet spells can simultaneously reduce feeding time and promote pathogen transmission; and spatial shifts can change which micro-regions experience these compound risks most frequently. A </w:t>
      </w:r>
      <w:proofErr w:type="gramStart"/>
      <w:r w:rsidRPr="00586265">
        <w:rPr>
          <w:color w:val="auto"/>
          <w:kern w:val="0"/>
          <w:lang w:val="en-US" w:eastAsia="en-US"/>
        </w:rPr>
        <w:t>pathways</w:t>
      </w:r>
      <w:proofErr w:type="gramEnd"/>
      <w:r w:rsidRPr="00586265">
        <w:rPr>
          <w:color w:val="auto"/>
          <w:kern w:val="0"/>
          <w:lang w:val="en-US" w:eastAsia="en-US"/>
        </w:rPr>
        <w:t xml:space="preserve"> framing therefore points towards adaptation strategies that address the system as an integrated whole—supporting </w:t>
      </w:r>
      <w:r w:rsidRPr="00586265">
        <w:rPr>
          <w:color w:val="auto"/>
          <w:kern w:val="0"/>
          <w:lang w:val="en-US" w:eastAsia="en-US"/>
        </w:rPr>
        <w:lastRenderedPageBreak/>
        <w:t>host-plant resilience, managing brood-wise weather risk, strengthening disease surveillance, and using climate-space evidence to guide longer-term spatial planning—rather than attempting single-point fixes.</w:t>
      </w:r>
    </w:p>
    <w:p w14:paraId="7E6815AA" w14:textId="77777777" w:rsidR="00417DFC" w:rsidRDefault="00417DFC" w:rsidP="00417DFC"/>
    <w:p w14:paraId="7A1409A6" w14:textId="77777777" w:rsidR="003C3BB0" w:rsidRPr="00D82C22" w:rsidRDefault="003C3BB0" w:rsidP="00D82C22">
      <w:pPr>
        <w:pStyle w:val="Heading2"/>
      </w:pPr>
      <w:r w:rsidRPr="003C3BB0">
        <w:t xml:space="preserve">6. Adaptation options and governance priorities for Assam’s </w:t>
      </w:r>
      <w:proofErr w:type="spellStart"/>
      <w:r w:rsidRPr="003C3BB0">
        <w:t>muga</w:t>
      </w:r>
      <w:proofErr w:type="spellEnd"/>
      <w:r w:rsidRPr="003C3BB0">
        <w:t xml:space="preserve"> sector </w:t>
      </w:r>
    </w:p>
    <w:p w14:paraId="6DC31EE9"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6.1 Climate-smart host-plant management</w:t>
      </w:r>
    </w:p>
    <w:p w14:paraId="7185C95A"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t xml:space="preserve">Effective adaptation for </w:t>
      </w:r>
      <w:proofErr w:type="spellStart"/>
      <w:r w:rsidRPr="003C3BB0">
        <w:rPr>
          <w:color w:val="auto"/>
          <w:kern w:val="0"/>
          <w:lang w:val="en-US" w:eastAsia="en-US"/>
        </w:rPr>
        <w:t>muga</w:t>
      </w:r>
      <w:proofErr w:type="spellEnd"/>
      <w:r w:rsidRPr="003C3BB0">
        <w:rPr>
          <w:color w:val="auto"/>
          <w:kern w:val="0"/>
          <w:lang w:val="en-US" w:eastAsia="en-US"/>
        </w:rPr>
        <w:t xml:space="preserve"> sericulture must be multi-layered because climate impacts operate simultaneously across host-plant condition, silkworm developmental performance, disease pressure, and value-chain logistics. A first priority is to strengthen host-plant resilience through plantation and landscape management that buffers thermal and moisture extremes, because host-plant diversity, distribution, and leaf nutritional quality fundamentally constrain rearing success (Devi et al., 2021). Where multiple environmental stressors co-occur, routine monitoring of host-plant physiological indicators can support site-appropriate protective actions and more climate-tolerant plantation choices, given evidence that stress conditions can measurably alter key biochemical traits in </w:t>
      </w:r>
      <w:proofErr w:type="spellStart"/>
      <w:r w:rsidRPr="003C3BB0">
        <w:rPr>
          <w:i/>
          <w:iCs/>
          <w:color w:val="auto"/>
          <w:kern w:val="0"/>
          <w:lang w:val="en-US" w:eastAsia="en-US"/>
        </w:rPr>
        <w:t>Persea</w:t>
      </w:r>
      <w:proofErr w:type="spellEnd"/>
      <w:r w:rsidRPr="003C3BB0">
        <w:rPr>
          <w:i/>
          <w:iCs/>
          <w:color w:val="auto"/>
          <w:kern w:val="0"/>
          <w:lang w:val="en-US" w:eastAsia="en-US"/>
        </w:rPr>
        <w:t xml:space="preserve"> </w:t>
      </w:r>
      <w:proofErr w:type="spellStart"/>
      <w:r w:rsidRPr="003C3BB0">
        <w:rPr>
          <w:i/>
          <w:iCs/>
          <w:color w:val="auto"/>
          <w:kern w:val="0"/>
          <w:lang w:val="en-US" w:eastAsia="en-US"/>
        </w:rPr>
        <w:t>bombycina</w:t>
      </w:r>
      <w:proofErr w:type="spellEnd"/>
      <w:r w:rsidRPr="003C3BB0">
        <w:rPr>
          <w:color w:val="auto"/>
          <w:kern w:val="0"/>
          <w:lang w:val="en-US" w:eastAsia="en-US"/>
        </w:rPr>
        <w:t xml:space="preserve"> with implications for the </w:t>
      </w:r>
      <w:proofErr w:type="spellStart"/>
      <w:r w:rsidRPr="003C3BB0">
        <w:rPr>
          <w:color w:val="auto"/>
          <w:kern w:val="0"/>
          <w:lang w:val="en-US" w:eastAsia="en-US"/>
        </w:rPr>
        <w:t>muga</w:t>
      </w:r>
      <w:proofErr w:type="spellEnd"/>
      <w:r w:rsidRPr="003C3BB0">
        <w:rPr>
          <w:color w:val="auto"/>
          <w:kern w:val="0"/>
          <w:lang w:val="en-US" w:eastAsia="en-US"/>
        </w:rPr>
        <w:t xml:space="preserve"> production resource base (</w:t>
      </w:r>
      <w:proofErr w:type="spellStart"/>
      <w:r w:rsidRPr="003C3BB0">
        <w:rPr>
          <w:color w:val="auto"/>
          <w:kern w:val="0"/>
          <w:lang w:val="en-US" w:eastAsia="en-US"/>
        </w:rPr>
        <w:t>Jigyasu</w:t>
      </w:r>
      <w:proofErr w:type="spellEnd"/>
      <w:r w:rsidRPr="003C3BB0">
        <w:rPr>
          <w:color w:val="auto"/>
          <w:kern w:val="0"/>
          <w:lang w:val="en-US" w:eastAsia="en-US"/>
        </w:rPr>
        <w:t xml:space="preserve"> et al., 2023). Because </w:t>
      </w:r>
      <w:proofErr w:type="spellStart"/>
      <w:r w:rsidRPr="003C3BB0">
        <w:rPr>
          <w:color w:val="auto"/>
          <w:kern w:val="0"/>
          <w:lang w:val="en-US" w:eastAsia="en-US"/>
        </w:rPr>
        <w:t>som</w:t>
      </w:r>
      <w:proofErr w:type="spellEnd"/>
      <w:r w:rsidRPr="003C3BB0">
        <w:rPr>
          <w:color w:val="auto"/>
          <w:kern w:val="0"/>
          <w:lang w:val="en-US" w:eastAsia="en-US"/>
        </w:rPr>
        <w:t xml:space="preserve"> and </w:t>
      </w:r>
      <w:proofErr w:type="spellStart"/>
      <w:r w:rsidRPr="003C3BB0">
        <w:rPr>
          <w:color w:val="auto"/>
          <w:kern w:val="0"/>
          <w:lang w:val="en-US" w:eastAsia="en-US"/>
        </w:rPr>
        <w:t>soalu</w:t>
      </w:r>
      <w:proofErr w:type="spellEnd"/>
      <w:r w:rsidRPr="003C3BB0">
        <w:rPr>
          <w:color w:val="auto"/>
          <w:kern w:val="0"/>
          <w:lang w:val="en-US" w:eastAsia="en-US"/>
        </w:rPr>
        <w:t xml:space="preserve"> are perennial trees, increasing frequency and severity of drought and heat stress can elevate host-plant decline and mortality risk, thereby weakening the leaf resource base needed for repeated brood cycles (Allen et al., 2010).</w:t>
      </w:r>
    </w:p>
    <w:p w14:paraId="348A7383"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6.2 Brood-wise climate risk calendars and operational flexibility</w:t>
      </w:r>
    </w:p>
    <w:p w14:paraId="3E7E3F22"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t xml:space="preserve">A second priority is to </w:t>
      </w:r>
      <w:proofErr w:type="spellStart"/>
      <w:r w:rsidRPr="003C3BB0">
        <w:rPr>
          <w:color w:val="auto"/>
          <w:kern w:val="0"/>
          <w:lang w:val="en-US" w:eastAsia="en-US"/>
        </w:rPr>
        <w:t>operationalise</w:t>
      </w:r>
      <w:proofErr w:type="spellEnd"/>
      <w:r w:rsidRPr="003C3BB0">
        <w:rPr>
          <w:color w:val="auto"/>
          <w:kern w:val="0"/>
          <w:lang w:val="en-US" w:eastAsia="en-US"/>
        </w:rPr>
        <w:t xml:space="preserve"> brood-scale climate-risk calendars using actionable weather and seasonal information. Observational analyses indicate warming signals across North-East India and non-uniform rainfall variability (Jain et al., 2013), while regional projections suggest that future temperature and precipitation characteristics may continue to shift in ways that could reconfigure historically reliable rearing windows (Dash et al., 2012). Recent evidence from a North-East India </w:t>
      </w:r>
      <w:proofErr w:type="spellStart"/>
      <w:r w:rsidRPr="003C3BB0">
        <w:rPr>
          <w:color w:val="auto"/>
          <w:kern w:val="0"/>
          <w:lang w:val="en-US" w:eastAsia="en-US"/>
        </w:rPr>
        <w:t>grainage</w:t>
      </w:r>
      <w:proofErr w:type="spellEnd"/>
      <w:r w:rsidRPr="003C3BB0">
        <w:rPr>
          <w:color w:val="auto"/>
          <w:kern w:val="0"/>
          <w:lang w:val="en-US" w:eastAsia="en-US"/>
        </w:rPr>
        <w:t xml:space="preserve"> study also reports that adverse seasonal conditions (including high temperature and heavy rainfall with disease/pest pressure, or prolonged cool conditions with fungal infestation) can depress overall </w:t>
      </w:r>
      <w:proofErr w:type="spellStart"/>
      <w:r w:rsidRPr="003C3BB0">
        <w:rPr>
          <w:color w:val="auto"/>
          <w:kern w:val="0"/>
          <w:lang w:val="en-US" w:eastAsia="en-US"/>
        </w:rPr>
        <w:t>muga</w:t>
      </w:r>
      <w:proofErr w:type="spellEnd"/>
      <w:r w:rsidRPr="003C3BB0">
        <w:rPr>
          <w:color w:val="auto"/>
          <w:kern w:val="0"/>
          <w:lang w:val="en-US" w:eastAsia="en-US"/>
        </w:rPr>
        <w:t xml:space="preserve"> productivity to roughly 10–20% in vulnerable seasons, underscoring the need for climate-responsive brood planning and risk buffering in outdoor systems (Kumar et al., 2025). Evidence from India-focused sub-seasonal to seasonal prediction research indicates that skilful multi-week forecasts of dry and wet extremes can support “ready–set–go” early warning frameworks, which are directly transferable to brood scheduling and temporary suspension decisions in outdoor sericulture (Malik &amp; Mishra, 2024). These findings do not imply abandoning established brood knowledge; rather, they support contingency decision rules for delayed rainfall onset, unseasonal warm–humid spells, and persistent wetness that increases operational and biological risk, thereby reducing avoidable losses in outdoor rearing systems.</w:t>
      </w:r>
    </w:p>
    <w:p w14:paraId="0C48CD54"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6.3 Disease surveillance, diagnostics, and climate-sensitive seed governance</w:t>
      </w:r>
    </w:p>
    <w:p w14:paraId="5FF9B80D"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lastRenderedPageBreak/>
        <w:t xml:space="preserve">A third priority is disease surveillance and rapid response capacity. Microsporidian infection has demonstrated quantifiable impacts on cocoon and silk traits in </w:t>
      </w:r>
      <w:proofErr w:type="spellStart"/>
      <w:r w:rsidRPr="003C3BB0">
        <w:rPr>
          <w:i/>
          <w:iCs/>
          <w:color w:val="auto"/>
          <w:kern w:val="0"/>
          <w:lang w:val="en-US" w:eastAsia="en-US"/>
        </w:rPr>
        <w:t>Antheraea</w:t>
      </w:r>
      <w:proofErr w:type="spellEnd"/>
      <w:r w:rsidRPr="003C3BB0">
        <w:rPr>
          <w:i/>
          <w:iCs/>
          <w:color w:val="auto"/>
          <w:kern w:val="0"/>
          <w:lang w:val="en-US" w:eastAsia="en-US"/>
        </w:rPr>
        <w:t xml:space="preserve"> </w:t>
      </w:r>
      <w:proofErr w:type="spellStart"/>
      <w:r w:rsidRPr="003C3BB0">
        <w:rPr>
          <w:i/>
          <w:iCs/>
          <w:color w:val="auto"/>
          <w:kern w:val="0"/>
          <w:lang w:val="en-US" w:eastAsia="en-US"/>
        </w:rPr>
        <w:t>assamensis</w:t>
      </w:r>
      <w:proofErr w:type="spellEnd"/>
      <w:r w:rsidRPr="003C3BB0">
        <w:rPr>
          <w:color w:val="auto"/>
          <w:kern w:val="0"/>
          <w:lang w:val="en-US" w:eastAsia="en-US"/>
        </w:rPr>
        <w:t xml:space="preserve">, implying that strengthened diagnostics, hygiene, and preventive management are direct adaptation actions under climate variability (Subrahmanyam et al., 2019). Integrating disease monitoring with weather triggers (for example, extended leaf wetness periods) is particularly relevant for outdoor systems where microclimatic humidity can shift quickly during monsoon phases. A recent </w:t>
      </w:r>
      <w:proofErr w:type="spellStart"/>
      <w:r w:rsidRPr="003C3BB0">
        <w:rPr>
          <w:color w:val="auto"/>
          <w:kern w:val="0"/>
          <w:lang w:val="en-US" w:eastAsia="en-US"/>
        </w:rPr>
        <w:t>muga</w:t>
      </w:r>
      <w:proofErr w:type="spellEnd"/>
      <w:r w:rsidRPr="003C3BB0">
        <w:rPr>
          <w:color w:val="auto"/>
          <w:kern w:val="0"/>
          <w:lang w:val="en-US" w:eastAsia="en-US"/>
        </w:rPr>
        <w:t xml:space="preserve">-specific synthesis of reproductive biology and seed technology notes that reproductive efficiency in </w:t>
      </w:r>
      <w:r w:rsidRPr="003C3BB0">
        <w:rPr>
          <w:i/>
          <w:iCs/>
          <w:color w:val="auto"/>
          <w:kern w:val="0"/>
          <w:lang w:val="en-US" w:eastAsia="en-US"/>
        </w:rPr>
        <w:t xml:space="preserve">A. </w:t>
      </w:r>
      <w:proofErr w:type="spellStart"/>
      <w:r w:rsidRPr="003C3BB0">
        <w:rPr>
          <w:i/>
          <w:iCs/>
          <w:color w:val="auto"/>
          <w:kern w:val="0"/>
          <w:lang w:val="en-US" w:eastAsia="en-US"/>
        </w:rPr>
        <w:t>assamensis</w:t>
      </w:r>
      <w:proofErr w:type="spellEnd"/>
      <w:r w:rsidRPr="003C3BB0">
        <w:rPr>
          <w:color w:val="auto"/>
          <w:kern w:val="0"/>
          <w:lang w:val="en-US" w:eastAsia="en-US"/>
        </w:rPr>
        <w:t xml:space="preserve"> is climatically sensitive and that </w:t>
      </w:r>
      <w:proofErr w:type="spellStart"/>
      <w:r w:rsidRPr="003C3BB0">
        <w:rPr>
          <w:color w:val="auto"/>
          <w:kern w:val="0"/>
          <w:lang w:val="en-US" w:eastAsia="en-US"/>
        </w:rPr>
        <w:t>stabilising</w:t>
      </w:r>
      <w:proofErr w:type="spellEnd"/>
      <w:r w:rsidRPr="003C3BB0">
        <w:rPr>
          <w:color w:val="auto"/>
          <w:kern w:val="0"/>
          <w:lang w:val="en-US" w:eastAsia="en-US"/>
        </w:rPr>
        <w:t xml:space="preserve"> </w:t>
      </w:r>
      <w:proofErr w:type="spellStart"/>
      <w:r w:rsidRPr="003C3BB0">
        <w:rPr>
          <w:color w:val="auto"/>
          <w:kern w:val="0"/>
          <w:lang w:val="en-US" w:eastAsia="en-US"/>
        </w:rPr>
        <w:t>grainage</w:t>
      </w:r>
      <w:proofErr w:type="spellEnd"/>
      <w:r w:rsidRPr="003C3BB0">
        <w:rPr>
          <w:color w:val="auto"/>
          <w:kern w:val="0"/>
          <w:lang w:val="en-US" w:eastAsia="en-US"/>
        </w:rPr>
        <w:t xml:space="preserve"> practices is central to sustaining production under increasingly variable seasonal conditions (Nath et al., 2025). More broadly, warming can amplify insect pest impacts via temperature-linked increases in insect metabolism and (in many regions) population growth, implying that strengthened pest surveillance around host plantations should be treated as a preventive adaptation in </w:t>
      </w:r>
      <w:proofErr w:type="spellStart"/>
      <w:r w:rsidRPr="003C3BB0">
        <w:rPr>
          <w:color w:val="auto"/>
          <w:kern w:val="0"/>
          <w:lang w:val="en-US" w:eastAsia="en-US"/>
        </w:rPr>
        <w:t>muga</w:t>
      </w:r>
      <w:proofErr w:type="spellEnd"/>
      <w:r w:rsidRPr="003C3BB0">
        <w:rPr>
          <w:color w:val="auto"/>
          <w:kern w:val="0"/>
          <w:lang w:val="en-US" w:eastAsia="en-US"/>
        </w:rPr>
        <w:t xml:space="preserve"> landscapes (Deutsch et al., 2018).</w:t>
      </w:r>
    </w:p>
    <w:p w14:paraId="0A16AED5"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6.4 Spatial planning guided by suitability overlap and extremes risk</w:t>
      </w:r>
    </w:p>
    <w:p w14:paraId="233DC845" w14:textId="77777777" w:rsidR="003C3BB0" w:rsidRPr="003C3BB0" w:rsidRDefault="003C3BB0" w:rsidP="003A6513">
      <w:pPr>
        <w:pStyle w:val="NormalWeb"/>
      </w:pPr>
      <w:r w:rsidRPr="003C3BB0">
        <w:t xml:space="preserve">A fourth priority is spatial planning guided by evidence on where silkworm–host suitability overlaps may persist or change. Climate-space modelling of </w:t>
      </w:r>
      <w:r w:rsidRPr="003C3BB0">
        <w:rPr>
          <w:i/>
          <w:iCs/>
        </w:rPr>
        <w:t xml:space="preserve">A. </w:t>
      </w:r>
      <w:proofErr w:type="spellStart"/>
      <w:r w:rsidRPr="003C3BB0">
        <w:rPr>
          <w:i/>
          <w:iCs/>
        </w:rPr>
        <w:t>assamensis</w:t>
      </w:r>
      <w:proofErr w:type="spellEnd"/>
      <w:r w:rsidRPr="003C3BB0">
        <w:t xml:space="preserve"> and its primary host </w:t>
      </w:r>
      <w:proofErr w:type="spellStart"/>
      <w:r w:rsidRPr="003C3BB0">
        <w:rPr>
          <w:i/>
          <w:iCs/>
        </w:rPr>
        <w:t>Litsea</w:t>
      </w:r>
      <w:proofErr w:type="spellEnd"/>
      <w:r w:rsidRPr="003C3BB0">
        <w:rPr>
          <w:i/>
          <w:iCs/>
        </w:rPr>
        <w:t xml:space="preserve"> </w:t>
      </w:r>
      <w:proofErr w:type="spellStart"/>
      <w:r w:rsidRPr="003C3BB0">
        <w:rPr>
          <w:i/>
          <w:iCs/>
        </w:rPr>
        <w:t>monopetala</w:t>
      </w:r>
      <w:proofErr w:type="spellEnd"/>
      <w:r w:rsidRPr="003C3BB0">
        <w:t xml:space="preserve"> indicates that overlap suitability can change materially under future climatic conditions, supporting climate-informed plantation investment, conservation </w:t>
      </w:r>
      <w:proofErr w:type="spellStart"/>
      <w:r w:rsidRPr="003C3BB0">
        <w:t>prioritisation</w:t>
      </w:r>
      <w:proofErr w:type="spellEnd"/>
      <w:r w:rsidRPr="003C3BB0">
        <w:t>, and assisted regeneration strategies (Sarma et al., 2025</w:t>
      </w:r>
      <w:r w:rsidR="003A6513">
        <w:t xml:space="preserve">; </w:t>
      </w:r>
      <w:r w:rsidR="003A6513" w:rsidRPr="003C3BB0">
        <w:t>Singh</w:t>
      </w:r>
      <w:r w:rsidR="003A6513">
        <w:t xml:space="preserve"> et al., </w:t>
      </w:r>
      <w:r w:rsidR="003A6513" w:rsidRPr="003C3BB0">
        <w:t>2024</w:t>
      </w:r>
      <w:r w:rsidRPr="003C3BB0">
        <w:t>). Because precipitation-based hotspot analyses also indicate that parts of India, including the North-East, may experience pronounced changes in precipitation characteristics and extremes (Sarkar et al., 2023), and because extreme precipitation has been shown to be increasing at the national scale (Mukherjee et al., 2018), adaptation strategies should explicitly address disruption risks from heavy rainfall events, waterlogging, and flood-associated plantation damage alongside gradual warming. Long-term observational evidence has documented an increasing trend in the frequency and magnitude of extreme rain events over India, reinforcing that disruption risk from short-duration heavy rainfall is a persistent hazard likely to compound with more recent extremes in a warming climate (Goswami et al., 2006).</w:t>
      </w:r>
    </w:p>
    <w:p w14:paraId="1438BCF6" w14:textId="77777777" w:rsidR="00417DFC" w:rsidRDefault="00417DFC" w:rsidP="00417DFC"/>
    <w:p w14:paraId="5FB5DE31" w14:textId="77777777" w:rsidR="00417DFC" w:rsidRDefault="00417DFC" w:rsidP="00417DFC">
      <w:pPr>
        <w:pStyle w:val="Heading2"/>
      </w:pPr>
      <w:r>
        <w:t>7. Research gaps and future directions</w:t>
      </w:r>
    </w:p>
    <w:p w14:paraId="5F19D9D0" w14:textId="77777777" w:rsidR="00417DFC" w:rsidRDefault="00417DFC" w:rsidP="00417DFC">
      <w:pPr>
        <w:pStyle w:val="NormalWeb"/>
      </w:pPr>
      <w:r>
        <w:t xml:space="preserve">Despite a growing base of climate and </w:t>
      </w:r>
      <w:proofErr w:type="spellStart"/>
      <w:r>
        <w:t>muga</w:t>
      </w:r>
      <w:proofErr w:type="spellEnd"/>
      <w:r>
        <w:t>-specific studies, important gaps remain. First, there is limited brood-resolved quantitative evidence linking specific weather anomalies to cocoon yield and quality outcomes in Assam at scales that would support robust early warning and decision support. Existing climate studies provide regional signals and projections (Jain et al., 2013; Dash et al., 2012), but their translation into brood-wise thresholds and operational guidance requires integrated field datasets that pair rearing outcomes with microclimate observations.</w:t>
      </w:r>
    </w:p>
    <w:p w14:paraId="7DC5DC7F" w14:textId="77777777" w:rsidR="00417DFC" w:rsidRDefault="00417DFC" w:rsidP="00417DFC">
      <w:pPr>
        <w:pStyle w:val="NormalWeb"/>
      </w:pPr>
      <w:r>
        <w:t>Secondly, the interaction between host-plant physiological stress responses and larval nutritional outcomes needs greater mechanistic clarity. Host plant studies show that biochemical traits vary with stress and season (</w:t>
      </w:r>
      <w:proofErr w:type="spellStart"/>
      <w:r>
        <w:t>Jigyasu</w:t>
      </w:r>
      <w:proofErr w:type="spellEnd"/>
      <w:r>
        <w:t xml:space="preserve"> et al., 2023), but there is a need for integrative experiments that link leaf trait shifts to larval growth trajectories and cocoon traits across different stocks.</w:t>
      </w:r>
    </w:p>
    <w:p w14:paraId="2AA8EF78" w14:textId="77777777" w:rsidR="00417DFC" w:rsidRDefault="00417DFC" w:rsidP="00417DFC">
      <w:pPr>
        <w:pStyle w:val="NormalWeb"/>
      </w:pPr>
      <w:r>
        <w:lastRenderedPageBreak/>
        <w:t xml:space="preserve">Thirdly, disease ecology under changing climate deserves deeper attention. While pathogen identification and quantified impacts on cocoon traits are clear (Subrahmanyam et al., 2019), the climate sensitivity of transmission dynamics in the </w:t>
      </w:r>
      <w:proofErr w:type="spellStart"/>
      <w:r>
        <w:t>muga</w:t>
      </w:r>
      <w:proofErr w:type="spellEnd"/>
      <w:r>
        <w:t xml:space="preserve"> landscape remains under-</w:t>
      </w:r>
      <w:proofErr w:type="spellStart"/>
      <w:r>
        <w:t>characterised</w:t>
      </w:r>
      <w:proofErr w:type="spellEnd"/>
      <w:r>
        <w:t>. This includes the roles of humidity regimes, rainfall extremes, and temperature stress in modulating host immunity and pathogen persistence.</w:t>
      </w:r>
    </w:p>
    <w:p w14:paraId="2DF7A7D6" w14:textId="77777777" w:rsidR="00417DFC" w:rsidRDefault="00417DFC" w:rsidP="00417DFC">
      <w:pPr>
        <w:pStyle w:val="NormalWeb"/>
      </w:pPr>
      <w:r>
        <w:t>Fourthly, spatial suitability modelling is a promising direction but requires continued refinement and local validation. Climate-space modelling demonstrates potential changes in suitability overlap for silkworm and host plants (Sarma et al., 2025), yet translating these projections into adaptation decisions will require high-resolution ground truthing, explicit treatment of land use change, and socio-economic feasibility assessment. Similarly, precipitation hotspot mapping suggests heightened future risk in parts of the North-East (Sarkar et al., 2023), but implications for plantation survival, flood damage, and operational disruption require sector-specific impact modelling.</w:t>
      </w:r>
    </w:p>
    <w:p w14:paraId="10EE7D09" w14:textId="77777777" w:rsidR="00417DFC" w:rsidRDefault="00417DFC" w:rsidP="00417DFC">
      <w:pPr>
        <w:pStyle w:val="NormalWeb"/>
      </w:pPr>
      <w:r>
        <w:t>Finally, governance and policy research remains essential. Climate change will likely interact with market dynamics, land use pressures, and livelihood diversification. Understanding how producer households manage risk across broods and how institutional support mechanisms can be strengthened is crucial for designing equitable adaptation pathways.</w:t>
      </w:r>
    </w:p>
    <w:p w14:paraId="283F6FE7" w14:textId="77777777" w:rsidR="00417DFC" w:rsidRDefault="00417DFC" w:rsidP="00417DFC"/>
    <w:p w14:paraId="24B4BC26" w14:textId="77777777" w:rsidR="00417DFC" w:rsidRDefault="00417DFC" w:rsidP="00417DFC">
      <w:pPr>
        <w:pStyle w:val="Heading2"/>
      </w:pPr>
      <w:r>
        <w:t>8. Conclusions</w:t>
      </w:r>
    </w:p>
    <w:p w14:paraId="44A2BF5E" w14:textId="77777777" w:rsidR="00417DFC" w:rsidRDefault="00417DFC" w:rsidP="00417DFC">
      <w:pPr>
        <w:pStyle w:val="NormalWeb"/>
      </w:pPr>
      <w:r>
        <w:t xml:space="preserve">Climate change poses a complex and seasonally differentiated risk to </w:t>
      </w:r>
      <w:proofErr w:type="spellStart"/>
      <w:r>
        <w:t>muga</w:t>
      </w:r>
      <w:proofErr w:type="spellEnd"/>
      <w:r>
        <w:t xml:space="preserve"> silk production in Assam because the system is fundamentally outdoor, host-plant dependent, and disease constrained. Evidence indicates warming trends and changing rainfall characteristics relevant to North-East India, alongside increasing precipitation extremes and emerging hotspot regions that may amplify disruption. In </w:t>
      </w:r>
      <w:proofErr w:type="spellStart"/>
      <w:r>
        <w:t>muga</w:t>
      </w:r>
      <w:proofErr w:type="spellEnd"/>
      <w:r>
        <w:t xml:space="preserve">-specific terms, climate risks </w:t>
      </w:r>
      <w:proofErr w:type="spellStart"/>
      <w:r>
        <w:t>materialise</w:t>
      </w:r>
      <w:proofErr w:type="spellEnd"/>
      <w:r>
        <w:t xml:space="preserve"> through host-plant leaf quality and availability, altered brood-wise development conditions, disease pressures that reduce key silk traits, and climate-driven shifts in spatial suitability overlap between silkworm and primary host plants. Adaptation is therefore best framed as a coupled strategy spanning host-plant resilience, brood-scale climate risk management, strengthened disease surveillance, and climate-informed spatial planning. Sustaining </w:t>
      </w:r>
      <w:proofErr w:type="spellStart"/>
      <w:r>
        <w:t>muga</w:t>
      </w:r>
      <w:proofErr w:type="spellEnd"/>
      <w:r>
        <w:t xml:space="preserve"> sericulture under climate change will depend on integrating climate science with local production knowledge, while building institutional capacity to manage both gradual shifts and high-impact extremes.</w:t>
      </w:r>
    </w:p>
    <w:p w14:paraId="32945084" w14:textId="77777777" w:rsidR="00417DFC" w:rsidRDefault="00417DFC" w:rsidP="00417DFC">
      <w:pPr>
        <w:pStyle w:val="Heading2"/>
      </w:pPr>
      <w:r>
        <w:t>9. Limitations</w:t>
      </w:r>
    </w:p>
    <w:p w14:paraId="7EE1A9D9" w14:textId="77777777" w:rsidR="00417DFC" w:rsidRDefault="00417DFC" w:rsidP="00417DFC">
      <w:pPr>
        <w:pStyle w:val="NormalWeb"/>
      </w:pPr>
      <w:r>
        <w:t xml:space="preserve">This review is constrained by the uneven distribution of empirical studies that directly quantify climate–yield relationships for </w:t>
      </w:r>
      <w:proofErr w:type="spellStart"/>
      <w:r>
        <w:t>muga</w:t>
      </w:r>
      <w:proofErr w:type="spellEnd"/>
      <w:r>
        <w:t xml:space="preserve"> silk production at fine temporal resolution across broods and locations in Assam. Several climate studies provide strong regional signals, but translating these into operational thresholds requires additional local datasets. Some </w:t>
      </w:r>
      <w:proofErr w:type="spellStart"/>
      <w:r>
        <w:t>muga</w:t>
      </w:r>
      <w:proofErr w:type="spellEnd"/>
      <w:r>
        <w:t xml:space="preserve">-specific studies </w:t>
      </w:r>
      <w:proofErr w:type="spellStart"/>
      <w:r>
        <w:t>emphasise</w:t>
      </w:r>
      <w:proofErr w:type="spellEnd"/>
      <w:r>
        <w:t xml:space="preserve"> biological, host-plant, or disease factors without explicit climate attribution, which limits definitive causal inference about climate change impacts. Finally, projection-based evidence depends on model structure and scenario assumptions, and therefore should be interpreted as plausible futures rather than deterministic outcomes.</w:t>
      </w:r>
    </w:p>
    <w:p w14:paraId="76D30D3B" w14:textId="77777777" w:rsidR="00867E80" w:rsidRDefault="00867E80" w:rsidP="00417DFC">
      <w:pPr>
        <w:pStyle w:val="NormalWeb"/>
      </w:pPr>
    </w:p>
    <w:p w14:paraId="3FD0C93B" w14:textId="77777777" w:rsidR="00867E80" w:rsidRPr="00867E80" w:rsidRDefault="00867E80" w:rsidP="00867E80">
      <w:pPr>
        <w:spacing w:after="200" w:line="276" w:lineRule="auto"/>
        <w:ind w:left="0" w:right="0" w:firstLine="0"/>
        <w:jc w:val="left"/>
        <w:rPr>
          <w:rFonts w:ascii="Arial" w:hAnsi="Arial" w:cs="Arial"/>
          <w:b/>
          <w:bCs/>
          <w:color w:val="auto"/>
          <w:kern w:val="0"/>
          <w:sz w:val="22"/>
          <w:szCs w:val="22"/>
          <w:lang w:val="en-GB" w:eastAsia="en-GB"/>
        </w:rPr>
      </w:pPr>
      <w:r w:rsidRPr="00867E80">
        <w:rPr>
          <w:rFonts w:ascii="Arial" w:hAnsi="Arial" w:cs="Arial"/>
          <w:b/>
          <w:bCs/>
          <w:color w:val="auto"/>
          <w:kern w:val="0"/>
          <w:sz w:val="22"/>
          <w:szCs w:val="22"/>
          <w:lang w:val="en-GB" w:eastAsia="en-GB"/>
        </w:rPr>
        <w:t>COMPETING INTERESTS DISCLAIMER:</w:t>
      </w:r>
    </w:p>
    <w:p w14:paraId="47C4C45C" w14:textId="77777777" w:rsidR="00867E80" w:rsidRPr="00867E80" w:rsidRDefault="00867E80" w:rsidP="00867E80">
      <w:pPr>
        <w:spacing w:after="200" w:line="276" w:lineRule="auto"/>
        <w:ind w:left="0" w:right="0" w:firstLine="0"/>
        <w:jc w:val="left"/>
        <w:rPr>
          <w:rFonts w:ascii="Calibri" w:hAnsi="Calibri"/>
          <w:color w:val="auto"/>
          <w:kern w:val="0"/>
          <w:sz w:val="22"/>
          <w:szCs w:val="22"/>
          <w:lang w:val="en-GB" w:eastAsia="en-GB"/>
        </w:rPr>
      </w:pPr>
      <w:r w:rsidRPr="00867E80">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EDF53DF" w14:textId="77777777" w:rsidR="00867E80" w:rsidRDefault="00867E80" w:rsidP="00417DFC">
      <w:pPr>
        <w:pStyle w:val="NormalWeb"/>
      </w:pPr>
    </w:p>
    <w:p w14:paraId="09992BDB" w14:textId="77777777" w:rsidR="00417DFC" w:rsidRDefault="00417DFC" w:rsidP="00417DFC">
      <w:pPr>
        <w:pStyle w:val="Heading2"/>
      </w:pPr>
      <w:r>
        <w:t xml:space="preserve">References </w:t>
      </w:r>
    </w:p>
    <w:p w14:paraId="54341712" w14:textId="77777777" w:rsidR="003A6513" w:rsidRDefault="003A6513" w:rsidP="00586265">
      <w:pPr>
        <w:pStyle w:val="NormalWeb"/>
      </w:pPr>
      <w:r w:rsidRPr="003C3BB0">
        <w:t xml:space="preserve">Allen, C. D., </w:t>
      </w:r>
      <w:proofErr w:type="spellStart"/>
      <w:r w:rsidRPr="003C3BB0">
        <w:t>Macalady</w:t>
      </w:r>
      <w:proofErr w:type="spellEnd"/>
      <w:r w:rsidRPr="003C3BB0">
        <w:t xml:space="preserve">, A. K., </w:t>
      </w:r>
      <w:proofErr w:type="spellStart"/>
      <w:r w:rsidRPr="003C3BB0">
        <w:t>Chenchouni</w:t>
      </w:r>
      <w:proofErr w:type="spellEnd"/>
      <w:r w:rsidRPr="003C3BB0">
        <w:t xml:space="preserve">, H., Bachelet, D., McDowell, N., </w:t>
      </w:r>
      <w:proofErr w:type="spellStart"/>
      <w:r w:rsidRPr="003C3BB0">
        <w:t>Vennetier</w:t>
      </w:r>
      <w:proofErr w:type="spellEnd"/>
      <w:r w:rsidRPr="003C3BB0">
        <w:t>, M., ... &amp; Cobb, N. (2010). A global overview of drought and heat-induced tree mortality reveals emerging climate change risks for forests. Forest ecology and management, 259(4), 660-684.</w:t>
      </w:r>
      <w:r>
        <w:t xml:space="preserve"> </w:t>
      </w:r>
      <w:hyperlink r:id="rId8" w:history="1">
        <w:r w:rsidR="00D82C22" w:rsidRPr="00B23F2C">
          <w:rPr>
            <w:rStyle w:val="Hyperlink"/>
          </w:rPr>
          <w:t>https://doi.org/10.1016/j.foreco.2009.09.001</w:t>
        </w:r>
      </w:hyperlink>
      <w:r w:rsidR="00D82C22">
        <w:t xml:space="preserve"> </w:t>
      </w:r>
      <w:r>
        <w:t xml:space="preserve"> </w:t>
      </w:r>
    </w:p>
    <w:p w14:paraId="6D65F550" w14:textId="77777777" w:rsidR="003A6513" w:rsidRDefault="003A6513" w:rsidP="00586265">
      <w:pPr>
        <w:pStyle w:val="NormalWeb"/>
      </w:pPr>
      <w:r>
        <w:t xml:space="preserve">Dash, S. K., Sharma, N., Pattnayak, K. C., Gao, X. J., &amp; Shi, Y. (2012). Temperature and precipitation changes in the north-east India and their future projections. </w:t>
      </w:r>
      <w:r>
        <w:rPr>
          <w:rStyle w:val="Emphasis"/>
        </w:rPr>
        <w:t>Global and Planetary Change, 98–99</w:t>
      </w:r>
      <w:r>
        <w:t xml:space="preserve">, 31–44. </w:t>
      </w:r>
      <w:hyperlink r:id="rId9" w:history="1">
        <w:r w:rsidR="00D82C22" w:rsidRPr="00B23F2C">
          <w:rPr>
            <w:rStyle w:val="Hyperlink"/>
          </w:rPr>
          <w:t>https://doi.org/10.1016/j.gloplacha.2012.07.006</w:t>
        </w:r>
      </w:hyperlink>
      <w:r w:rsidR="00D82C22">
        <w:t xml:space="preserve"> </w:t>
      </w:r>
    </w:p>
    <w:p w14:paraId="7B80EDDA" w14:textId="77777777" w:rsidR="003A6513" w:rsidRDefault="003A6513" w:rsidP="00586265">
      <w:pPr>
        <w:pStyle w:val="NormalWeb"/>
      </w:pPr>
      <w:r>
        <w:t xml:space="preserve">Deutsch, C. A., Tewksbury, J. J., </w:t>
      </w:r>
      <w:proofErr w:type="spellStart"/>
      <w:r>
        <w:t>Tigchelaar</w:t>
      </w:r>
      <w:proofErr w:type="spellEnd"/>
      <w:r>
        <w:t xml:space="preserve">, M., Battisti, D. S., Merrill, S. C., Huey, R. B., &amp; Naylor, R. L. (2018). Increase in crop losses to insect pests in a warming climate. </w:t>
      </w:r>
      <w:r>
        <w:rPr>
          <w:rStyle w:val="Emphasis"/>
        </w:rPr>
        <w:t>Science, 361</w:t>
      </w:r>
      <w:r>
        <w:t xml:space="preserve">(6405), 916–919. </w:t>
      </w:r>
      <w:hyperlink r:id="rId10" w:tgtFrame="_new" w:history="1">
        <w:r>
          <w:rPr>
            <w:rStyle w:val="Hyperlink"/>
          </w:rPr>
          <w:t>https://doi.org/10.1126/science.aat3466</w:t>
        </w:r>
      </w:hyperlink>
      <w:r>
        <w:t xml:space="preserve"> </w:t>
      </w:r>
    </w:p>
    <w:p w14:paraId="1C31C4B3" w14:textId="77777777" w:rsidR="003A6513" w:rsidRDefault="003A6513" w:rsidP="00586265">
      <w:pPr>
        <w:pStyle w:val="NormalWeb"/>
      </w:pPr>
      <w:r>
        <w:t xml:space="preserve">Devi, B., Chutia, M., &amp; Bhattacharyya, N. (2021). Food plant diversity, distribution, and nutritional aspects of the endemic golden silk producing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 a review. </w:t>
      </w:r>
      <w:proofErr w:type="spellStart"/>
      <w:r>
        <w:rPr>
          <w:rStyle w:val="Emphasis"/>
        </w:rPr>
        <w:t>Entomologia</w:t>
      </w:r>
      <w:proofErr w:type="spellEnd"/>
      <w:r>
        <w:rPr>
          <w:rStyle w:val="Emphasis"/>
        </w:rPr>
        <w:t xml:space="preserve"> </w:t>
      </w:r>
      <w:proofErr w:type="spellStart"/>
      <w:r>
        <w:rPr>
          <w:rStyle w:val="Emphasis"/>
        </w:rPr>
        <w:t>Experimentalis</w:t>
      </w:r>
      <w:proofErr w:type="spellEnd"/>
      <w:r>
        <w:rPr>
          <w:rStyle w:val="Emphasis"/>
        </w:rPr>
        <w:t xml:space="preserve"> et </w:t>
      </w:r>
      <w:proofErr w:type="spellStart"/>
      <w:r>
        <w:rPr>
          <w:rStyle w:val="Emphasis"/>
        </w:rPr>
        <w:t>Applicata</w:t>
      </w:r>
      <w:proofErr w:type="spellEnd"/>
      <w:r>
        <w:rPr>
          <w:rStyle w:val="Emphasis"/>
        </w:rPr>
        <w:t>, 169</w:t>
      </w:r>
      <w:r>
        <w:t xml:space="preserve">(3), 237–248. </w:t>
      </w:r>
      <w:hyperlink r:id="rId11" w:history="1">
        <w:r w:rsidR="00D82C22" w:rsidRPr="00B23F2C">
          <w:rPr>
            <w:rStyle w:val="Hyperlink"/>
          </w:rPr>
          <w:t>https://doi.org/10.1111/eea.13021</w:t>
        </w:r>
      </w:hyperlink>
      <w:r w:rsidR="00D82C22">
        <w:t xml:space="preserve"> </w:t>
      </w:r>
    </w:p>
    <w:p w14:paraId="3C53CE49" w14:textId="77777777" w:rsidR="003A6513" w:rsidRDefault="003A6513" w:rsidP="00586265">
      <w:pPr>
        <w:pStyle w:val="NormalWeb"/>
      </w:pPr>
      <w:r>
        <w:t xml:space="preserve">Goswami, B. N., Venugopal, V., Sengupta, D., </w:t>
      </w:r>
      <w:proofErr w:type="spellStart"/>
      <w:r>
        <w:t>Madhusoodanan</w:t>
      </w:r>
      <w:proofErr w:type="spellEnd"/>
      <w:r>
        <w:t xml:space="preserve">, M. S., &amp; Xavier, P. K. (2006). Increasing trend of extreme rain events over India in a warming environment. </w:t>
      </w:r>
      <w:r>
        <w:rPr>
          <w:rStyle w:val="Emphasis"/>
        </w:rPr>
        <w:t>Science, 314</w:t>
      </w:r>
      <w:r>
        <w:t xml:space="preserve">(5804), 1442–1445. </w:t>
      </w:r>
      <w:hyperlink r:id="rId12" w:tgtFrame="_new" w:history="1">
        <w:r>
          <w:rPr>
            <w:rStyle w:val="Hyperlink"/>
          </w:rPr>
          <w:t>https://doi.org/10.1126/science.1132027</w:t>
        </w:r>
      </w:hyperlink>
      <w:r>
        <w:t xml:space="preserve"> </w:t>
      </w:r>
    </w:p>
    <w:p w14:paraId="761D9664" w14:textId="77777777" w:rsidR="003A6513" w:rsidRDefault="003A6513" w:rsidP="00586265">
      <w:pPr>
        <w:pStyle w:val="NormalWeb"/>
      </w:pPr>
      <w:r>
        <w:t xml:space="preserve">Jain, S. K., Kumar, V., &amp; </w:t>
      </w:r>
      <w:proofErr w:type="spellStart"/>
      <w:r>
        <w:t>Saharia</w:t>
      </w:r>
      <w:proofErr w:type="spellEnd"/>
      <w:r>
        <w:t xml:space="preserve">, M. (2013). Analysis of rainfall and temperature trends in northeast India. </w:t>
      </w:r>
      <w:r>
        <w:rPr>
          <w:rStyle w:val="Emphasis"/>
        </w:rPr>
        <w:t>International Journal of Climatology, 33</w:t>
      </w:r>
      <w:r>
        <w:t xml:space="preserve">, 968–978. </w:t>
      </w:r>
      <w:hyperlink r:id="rId13" w:tgtFrame="_new" w:history="1">
        <w:r>
          <w:rPr>
            <w:rStyle w:val="Hyperlink"/>
          </w:rPr>
          <w:t>https://doi.org/10.1002/joc.3483</w:t>
        </w:r>
      </w:hyperlink>
    </w:p>
    <w:p w14:paraId="681F6C4B" w14:textId="77777777" w:rsidR="003A6513" w:rsidRDefault="003A6513" w:rsidP="00586265">
      <w:pPr>
        <w:pStyle w:val="NormalWeb"/>
      </w:pPr>
      <w:r>
        <w:t xml:space="preserve">Jigyasu, D. K., Kumar, A., Shabnam, A. A., Begum, R., Singh, S., </w:t>
      </w:r>
      <w:proofErr w:type="spellStart"/>
      <w:r>
        <w:t>Malyan</w:t>
      </w:r>
      <w:proofErr w:type="spellEnd"/>
      <w:r>
        <w:t xml:space="preserve">, S. K., Neog, K., &amp; Vijayakumari, K. M. (2023). Air pollution tolerance index of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Primary food plant of endemic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w:t>
      </w:r>
      <w:proofErr w:type="spellStart"/>
      <w:r>
        <w:rPr>
          <w:rStyle w:val="Emphasis"/>
        </w:rPr>
        <w:t>Heliyon</w:t>
      </w:r>
      <w:proofErr w:type="spellEnd"/>
      <w:r>
        <w:rPr>
          <w:rStyle w:val="Emphasis"/>
        </w:rPr>
        <w:t>, 9</w:t>
      </w:r>
      <w:r>
        <w:t xml:space="preserve">(11), e21184. </w:t>
      </w:r>
      <w:hyperlink r:id="rId14" w:history="1">
        <w:r w:rsidRPr="00B23F2C">
          <w:rPr>
            <w:rStyle w:val="Hyperlink"/>
          </w:rPr>
          <w:t>https://doi.org/10.1016/j.heliyon.2023.e21184</w:t>
        </w:r>
      </w:hyperlink>
    </w:p>
    <w:p w14:paraId="188A5DBA" w14:textId="77777777" w:rsidR="003A6513" w:rsidRDefault="003A6513" w:rsidP="00586265">
      <w:pPr>
        <w:pStyle w:val="NormalWeb"/>
      </w:pPr>
      <w:r>
        <w:t xml:space="preserve">Kalita, T., &amp; Dutta, K. (2020). </w:t>
      </w:r>
      <w:proofErr w:type="spellStart"/>
      <w:r>
        <w:t>Characterisation</w:t>
      </w:r>
      <w:proofErr w:type="spellEnd"/>
      <w:r>
        <w:t xml:space="preserve"> of cocoon of different population of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(Lepidoptera: </w:t>
      </w:r>
      <w:proofErr w:type="spellStart"/>
      <w:r>
        <w:t>Saturniidae</w:t>
      </w:r>
      <w:proofErr w:type="spellEnd"/>
      <w:r>
        <w:t xml:space="preserve">). </w:t>
      </w:r>
      <w:r>
        <w:rPr>
          <w:rStyle w:val="Emphasis"/>
        </w:rPr>
        <w:t>Oriental Insects</w:t>
      </w:r>
      <w:r>
        <w:t xml:space="preserve">. Advance online publication. </w:t>
      </w:r>
      <w:hyperlink r:id="rId15" w:history="1">
        <w:r w:rsidR="00D82C22" w:rsidRPr="00B23F2C">
          <w:rPr>
            <w:rStyle w:val="Hyperlink"/>
          </w:rPr>
          <w:t>https://doi.org/10.1080/00305316.2020.1727376</w:t>
        </w:r>
      </w:hyperlink>
      <w:r w:rsidR="00D82C22">
        <w:t xml:space="preserve"> </w:t>
      </w:r>
    </w:p>
    <w:p w14:paraId="0F3A724E" w14:textId="77777777" w:rsidR="003A6513" w:rsidRDefault="003A6513" w:rsidP="00586265">
      <w:pPr>
        <w:pStyle w:val="NormalWeb"/>
      </w:pPr>
      <w:r>
        <w:lastRenderedPageBreak/>
        <w:t xml:space="preserve">Kumar, P., Rupa Kumar, K., Rajeevan, M., &amp; Sahai, A. K. (2007). On the recent strengthening of the relationship between ENSO and northeast monsoon rainfall over South Asia. </w:t>
      </w:r>
      <w:r>
        <w:rPr>
          <w:rStyle w:val="Emphasis"/>
        </w:rPr>
        <w:t>Climate Dynamics, 28</w:t>
      </w:r>
      <w:r>
        <w:t xml:space="preserve">, 649–660. </w:t>
      </w:r>
      <w:hyperlink r:id="rId16" w:history="1">
        <w:r w:rsidR="00D82C22" w:rsidRPr="00B23F2C">
          <w:rPr>
            <w:rStyle w:val="Hyperlink"/>
          </w:rPr>
          <w:t>https://doi.org/10.1007/s00382-006-0210-0</w:t>
        </w:r>
      </w:hyperlink>
      <w:r w:rsidR="00D82C22">
        <w:t xml:space="preserve"> </w:t>
      </w:r>
    </w:p>
    <w:p w14:paraId="503FC39F" w14:textId="77777777" w:rsidR="003A6513" w:rsidRDefault="003A6513" w:rsidP="00586265">
      <w:pPr>
        <w:pStyle w:val="NormalWeb"/>
      </w:pPr>
      <w:r>
        <w:t xml:space="preserve">Kumar, V., Jain, S. K., &amp; Singh, Y. (2010). Analysis of long-term rainfall trends in India. </w:t>
      </w:r>
      <w:r>
        <w:rPr>
          <w:rStyle w:val="Emphasis"/>
        </w:rPr>
        <w:t>Hydrological Sciences Journal, 55</w:t>
      </w:r>
      <w:r>
        <w:t xml:space="preserve">(4), 484–496. </w:t>
      </w:r>
      <w:hyperlink r:id="rId17" w:history="1">
        <w:r w:rsidR="00D82C22" w:rsidRPr="00B23F2C">
          <w:rPr>
            <w:rStyle w:val="Hyperlink"/>
          </w:rPr>
          <w:t>https://doi.org/10.1080/02626667.2010.481373</w:t>
        </w:r>
      </w:hyperlink>
      <w:r w:rsidR="00D82C22">
        <w:t xml:space="preserve"> </w:t>
      </w:r>
    </w:p>
    <w:p w14:paraId="394087D3" w14:textId="77777777" w:rsidR="003A6513" w:rsidRDefault="003A6513" w:rsidP="00586265">
      <w:pPr>
        <w:pStyle w:val="NormalWeb"/>
      </w:pPr>
      <w:r>
        <w:t xml:space="preserve">Kumar, V., Singh, A., Majumdar, M., Kumar, N., &amp; Bhatia, N. K. (2025). Impact of seasonal variations on economic </w:t>
      </w:r>
      <w:proofErr w:type="spellStart"/>
      <w:r>
        <w:t>grainage</w:t>
      </w:r>
      <w:proofErr w:type="spellEnd"/>
      <w:r>
        <w:t xml:space="preserve"> traits of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in Garo Hills, India. </w:t>
      </w:r>
      <w:r>
        <w:rPr>
          <w:rStyle w:val="Emphasis"/>
        </w:rPr>
        <w:t>Archives of Current Research International, 25</w:t>
      </w:r>
      <w:r>
        <w:t xml:space="preserve">(4), 164–169. </w:t>
      </w:r>
      <w:hyperlink r:id="rId18" w:tgtFrame="_new" w:history="1">
        <w:r>
          <w:rPr>
            <w:rStyle w:val="Hyperlink"/>
          </w:rPr>
          <w:t>https://doi.org/10.9734/acri/2025/v25i41146</w:t>
        </w:r>
      </w:hyperlink>
      <w:r>
        <w:t xml:space="preserve"> </w:t>
      </w:r>
    </w:p>
    <w:p w14:paraId="7BA7740E" w14:textId="77777777" w:rsidR="003A6513" w:rsidRDefault="003A6513" w:rsidP="00586265">
      <w:pPr>
        <w:pStyle w:val="NormalWeb"/>
      </w:pPr>
      <w:r>
        <w:t xml:space="preserve">Malik, I., &amp; Mishra, V. (2024). Sub-seasonal to seasonal (S2S) prediction of dry and wet extremes for climate adaptation in India. </w:t>
      </w:r>
      <w:r>
        <w:rPr>
          <w:rStyle w:val="Emphasis"/>
        </w:rPr>
        <w:t>Climate Services, 34</w:t>
      </w:r>
      <w:r>
        <w:t xml:space="preserve">, 100457. </w:t>
      </w:r>
      <w:hyperlink r:id="rId19" w:history="1">
        <w:r w:rsidR="00D82C22" w:rsidRPr="00B23F2C">
          <w:rPr>
            <w:rStyle w:val="Hyperlink"/>
          </w:rPr>
          <w:t>https://doi.org/10.1016/j.cliser.2024.100457</w:t>
        </w:r>
      </w:hyperlink>
      <w:r w:rsidR="00D82C22">
        <w:t xml:space="preserve"> </w:t>
      </w:r>
    </w:p>
    <w:p w14:paraId="621C2516" w14:textId="77777777" w:rsidR="003A6513" w:rsidRDefault="003A6513" w:rsidP="00586265">
      <w:pPr>
        <w:pStyle w:val="NormalWeb"/>
      </w:pPr>
      <w:r>
        <w:t xml:space="preserve">Mishra, V., Smoliak, B. V., Lettenmaier, D. P., &amp; Wallace, J. M. (2012). A prominent pattern of year-to-year variability in Indian summer monsoon rainfall. </w:t>
      </w:r>
      <w:r>
        <w:rPr>
          <w:rStyle w:val="Emphasis"/>
        </w:rPr>
        <w:t>Proceedings of the National Academy of Sciences, 109</w:t>
      </w:r>
      <w:r>
        <w:t xml:space="preserve">(19), 7213–7217. </w:t>
      </w:r>
      <w:hyperlink r:id="rId20" w:history="1">
        <w:r w:rsidR="00D82C22" w:rsidRPr="00B23F2C">
          <w:rPr>
            <w:rStyle w:val="Hyperlink"/>
          </w:rPr>
          <w:t>https://doi.org/10.1073/pnas.1119150109</w:t>
        </w:r>
      </w:hyperlink>
      <w:r w:rsidR="00D82C22">
        <w:t xml:space="preserve"> </w:t>
      </w:r>
    </w:p>
    <w:p w14:paraId="6CC79B53" w14:textId="77777777" w:rsidR="003A6513" w:rsidRDefault="003A6513" w:rsidP="00586265">
      <w:pPr>
        <w:pStyle w:val="NormalWeb"/>
      </w:pPr>
      <w:r>
        <w:t xml:space="preserve">Mukherjee, S., Aadhar, S., Stone, D., &amp; Mishra, V. (2018). Increase in extreme precipitation events under anthropogenic warming in India. </w:t>
      </w:r>
      <w:r>
        <w:rPr>
          <w:rStyle w:val="Emphasis"/>
        </w:rPr>
        <w:t>Weather and Climate Extremes, 20</w:t>
      </w:r>
      <w:r>
        <w:t xml:space="preserve">, 45–53. </w:t>
      </w:r>
      <w:hyperlink r:id="rId21" w:history="1">
        <w:r w:rsidR="00D82C22" w:rsidRPr="00B23F2C">
          <w:rPr>
            <w:rStyle w:val="Hyperlink"/>
          </w:rPr>
          <w:t>https://doi.org/10.1016/j.wace.2018.03.005</w:t>
        </w:r>
      </w:hyperlink>
      <w:r w:rsidR="00D82C22">
        <w:t xml:space="preserve"> </w:t>
      </w:r>
    </w:p>
    <w:p w14:paraId="409EB34B" w14:textId="77777777" w:rsidR="003A6513" w:rsidRDefault="003A6513" w:rsidP="00586265">
      <w:pPr>
        <w:pStyle w:val="NormalWeb"/>
      </w:pPr>
      <w:r>
        <w:t xml:space="preserve">Nath, I., Dutta, P. L., Purad, B. S., Ganesh, O., Mallikarjun, &amp; </w:t>
      </w:r>
      <w:proofErr w:type="spellStart"/>
      <w:r>
        <w:t>Venkatareddy</w:t>
      </w:r>
      <w:proofErr w:type="spellEnd"/>
      <w:r>
        <w:t xml:space="preserve">, L. R. (2025). </w:t>
      </w:r>
      <w:r>
        <w:rPr>
          <w:rStyle w:val="Emphasis"/>
        </w:rPr>
        <w:t xml:space="preserve">Integrative review of reproductive biology in the </w:t>
      </w:r>
      <w:proofErr w:type="spellStart"/>
      <w:r>
        <w:rPr>
          <w:rStyle w:val="Emphasis"/>
        </w:rPr>
        <w:t>muga</w:t>
      </w:r>
      <w:proofErr w:type="spellEnd"/>
      <w:r>
        <w:rPr>
          <w:rStyle w:val="Emphasis"/>
        </w:rP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rPr>
          <w:rStyle w:val="Emphasis"/>
        </w:rPr>
        <w:t>): Anatomy, endocrinology, seasonality and seed technology</w:t>
      </w:r>
      <w:r>
        <w:t xml:space="preserve">. </w:t>
      </w:r>
      <w:r w:rsidRPr="006C7C9D">
        <w:rPr>
          <w:rStyle w:val="Strong"/>
          <w:b w:val="0"/>
        </w:rPr>
        <w:t>Uttar Pradesh Journal of Zoology, 46</w:t>
      </w:r>
      <w:r>
        <w:t xml:space="preserve">(16), 213–227. </w:t>
      </w:r>
      <w:hyperlink r:id="rId22" w:tgtFrame="_new" w:history="1">
        <w:r>
          <w:rPr>
            <w:rStyle w:val="Hyperlink"/>
          </w:rPr>
          <w:t>https://doi.org/10.56557/upjoz/2025/v46i165191</w:t>
        </w:r>
      </w:hyperlink>
      <w:r>
        <w:t xml:space="preserve"> </w:t>
      </w:r>
    </w:p>
    <w:p w14:paraId="23510CB4" w14:textId="77777777" w:rsidR="003A6513" w:rsidRDefault="003A6513" w:rsidP="00586265">
      <w:pPr>
        <w:pStyle w:val="NormalWeb"/>
      </w:pPr>
      <w:r>
        <w:t xml:space="preserve">Sarkar, S., Maity, S. S., &amp; Maity, R. (2023). Precipitation-based climate change hotspots across India through a multi-model assessment from CMIP6. </w:t>
      </w:r>
      <w:r>
        <w:rPr>
          <w:rStyle w:val="Emphasis"/>
        </w:rPr>
        <w:t>Journal of Hydrology, 623</w:t>
      </w:r>
      <w:r>
        <w:t xml:space="preserve">, 129805. </w:t>
      </w:r>
      <w:hyperlink r:id="rId23" w:history="1">
        <w:r w:rsidR="00D82C22" w:rsidRPr="00B23F2C">
          <w:rPr>
            <w:rStyle w:val="Hyperlink"/>
          </w:rPr>
          <w:t>https://doi.org/10.1016/j.jhydrol.2023.129805</w:t>
        </w:r>
      </w:hyperlink>
      <w:r w:rsidR="00D82C22">
        <w:t xml:space="preserve"> </w:t>
      </w:r>
    </w:p>
    <w:p w14:paraId="776121AA" w14:textId="77777777" w:rsidR="003A6513" w:rsidRDefault="003A6513" w:rsidP="00586265">
      <w:pPr>
        <w:pStyle w:val="NormalWeb"/>
      </w:pPr>
      <w:r>
        <w:t xml:space="preserve">Sarma, K., Chetry, V., Bawri, A., Borah, K. J., </w:t>
      </w:r>
      <w:proofErr w:type="spellStart"/>
      <w:r>
        <w:t>Khanikor</w:t>
      </w:r>
      <w:proofErr w:type="spellEnd"/>
      <w:r>
        <w:t xml:space="preserve">, B., Kalita, T., Mech, B., Saikia, M. K., &amp; Das, M. (2025). Ensemble distribution model of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and its primary host plant </w:t>
      </w:r>
      <w:proofErr w:type="spellStart"/>
      <w:r>
        <w:t>soalu</w:t>
      </w:r>
      <w:proofErr w:type="spellEnd"/>
      <w:r>
        <w:t xml:space="preserve">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in defined climate space. </w:t>
      </w:r>
      <w:r>
        <w:rPr>
          <w:rStyle w:val="Emphasis"/>
        </w:rPr>
        <w:t>Scientific Reports, 15</w:t>
      </w:r>
      <w:r>
        <w:t xml:space="preserve">, 22080. </w:t>
      </w:r>
      <w:hyperlink r:id="rId24" w:history="1">
        <w:r w:rsidR="00D82C22" w:rsidRPr="00B23F2C">
          <w:rPr>
            <w:rStyle w:val="Hyperlink"/>
          </w:rPr>
          <w:t>https://doi.org/10.1038/s41598-025-05987-x</w:t>
        </w:r>
      </w:hyperlink>
      <w:r w:rsidR="00D82C22">
        <w:t xml:space="preserve"> </w:t>
      </w:r>
    </w:p>
    <w:p w14:paraId="64557383" w14:textId="77777777" w:rsidR="003A6513" w:rsidRDefault="003A6513" w:rsidP="00586265">
      <w:pPr>
        <w:pStyle w:val="NormalWeb"/>
      </w:pPr>
      <w:r w:rsidRPr="003C3BB0">
        <w:t xml:space="preserve">Singh, A., Kumar, V., Majumdar, M., Guha, L., &amp; Neog, K. (2024). A comprehensive review of insect pest management in </w:t>
      </w:r>
      <w:proofErr w:type="spellStart"/>
      <w:r w:rsidRPr="003C3BB0">
        <w:t>muga</w:t>
      </w:r>
      <w:proofErr w:type="spellEnd"/>
      <w:r w:rsidRPr="003C3BB0">
        <w:t xml:space="preserve"> silkworm (</w:t>
      </w:r>
      <w:proofErr w:type="spellStart"/>
      <w:r w:rsidRPr="003C3BB0">
        <w:t>Antheraea</w:t>
      </w:r>
      <w:proofErr w:type="spellEnd"/>
      <w:r w:rsidRPr="003C3BB0">
        <w:t xml:space="preserve"> </w:t>
      </w:r>
      <w:proofErr w:type="spellStart"/>
      <w:r w:rsidRPr="003C3BB0">
        <w:t>assamensis</w:t>
      </w:r>
      <w:proofErr w:type="spellEnd"/>
      <w:r w:rsidRPr="003C3BB0">
        <w:t xml:space="preserve"> Helfer): Current scenario and future prospects. Journal of Experimental Agriculture International, 46(5), 47-55.</w:t>
      </w:r>
      <w:r>
        <w:t xml:space="preserve"> </w:t>
      </w:r>
      <w:hyperlink r:id="rId25" w:history="1">
        <w:r w:rsidRPr="00B23F2C">
          <w:rPr>
            <w:rStyle w:val="Hyperlink"/>
          </w:rPr>
          <w:t>https://doi.org/10.9734/jeai/2024/v46i52355</w:t>
        </w:r>
      </w:hyperlink>
      <w:r>
        <w:t xml:space="preserve"> </w:t>
      </w:r>
    </w:p>
    <w:p w14:paraId="3D3D5310" w14:textId="77777777" w:rsidR="003A6513" w:rsidRDefault="003A6513" w:rsidP="00586265">
      <w:pPr>
        <w:pStyle w:val="NormalWeb"/>
      </w:pPr>
      <w:r>
        <w:t xml:space="preserve">Subrahmanyam, G., </w:t>
      </w:r>
      <w:proofErr w:type="spellStart"/>
      <w:r>
        <w:t>Esvaran</w:t>
      </w:r>
      <w:proofErr w:type="spellEnd"/>
      <w:r>
        <w:t xml:space="preserve">, V. G., </w:t>
      </w:r>
      <w:proofErr w:type="spellStart"/>
      <w:r>
        <w:t>Ponnuvel</w:t>
      </w:r>
      <w:proofErr w:type="spellEnd"/>
      <w:r>
        <w:t xml:space="preserve">, K. M., Hassan, W., Chutia, M., &amp; Das, R. (2019). Isolation and molecular identification of microsporidian pathogen causing </w:t>
      </w:r>
      <w:proofErr w:type="spellStart"/>
      <w:r>
        <w:t>nosemosis</w:t>
      </w:r>
      <w:proofErr w:type="spellEnd"/>
      <w:r>
        <w:t xml:space="preserve"> in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Helfer (Lepidoptera: </w:t>
      </w:r>
      <w:proofErr w:type="spellStart"/>
      <w:r>
        <w:t>Saturniidae</w:t>
      </w:r>
      <w:proofErr w:type="spellEnd"/>
      <w:r>
        <w:t xml:space="preserve">). </w:t>
      </w:r>
      <w:r>
        <w:rPr>
          <w:rStyle w:val="Emphasis"/>
        </w:rPr>
        <w:t>Indian Journal of Microbiology, 59</w:t>
      </w:r>
      <w:r>
        <w:t xml:space="preserve">, 525–529. </w:t>
      </w:r>
      <w:hyperlink r:id="rId26" w:history="1">
        <w:r w:rsidR="00D82C22" w:rsidRPr="00B23F2C">
          <w:rPr>
            <w:rStyle w:val="Hyperlink"/>
          </w:rPr>
          <w:t>https://doi.org/10.1007/s12088-019-00822-0</w:t>
        </w:r>
      </w:hyperlink>
      <w:r w:rsidR="00D82C22">
        <w:t xml:space="preserve"> </w:t>
      </w:r>
    </w:p>
    <w:p w14:paraId="74A86AEB" w14:textId="77777777" w:rsidR="003A6513" w:rsidRDefault="003A6513" w:rsidP="00586265">
      <w:pPr>
        <w:pStyle w:val="NormalWeb"/>
      </w:pPr>
      <w:proofErr w:type="spellStart"/>
      <w:r>
        <w:lastRenderedPageBreak/>
        <w:t>Tikader</w:t>
      </w:r>
      <w:proofErr w:type="spellEnd"/>
      <w:r>
        <w:t xml:space="preserve">, A., Vijayan, K., &amp; </w:t>
      </w:r>
      <w:proofErr w:type="spellStart"/>
      <w:r>
        <w:t>Saratchandra</w:t>
      </w:r>
      <w:proofErr w:type="spellEnd"/>
      <w:r>
        <w:t xml:space="preserve">, B. (2013).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(Lepidoptera: </w:t>
      </w:r>
      <w:proofErr w:type="spellStart"/>
      <w:r>
        <w:t>Saturniidae</w:t>
      </w:r>
      <w:proofErr w:type="spellEnd"/>
      <w:r>
        <w:t xml:space="preserve">) – an overview of distribution, biology and breeding. </w:t>
      </w:r>
      <w:r>
        <w:rPr>
          <w:rStyle w:val="Emphasis"/>
        </w:rPr>
        <w:t>European Journal of Entomology, 110</w:t>
      </w:r>
      <w:r>
        <w:t xml:space="preserve">(2), 293–300. </w:t>
      </w:r>
      <w:hyperlink r:id="rId27" w:history="1">
        <w:r w:rsidR="00D82C22" w:rsidRPr="00B23F2C">
          <w:rPr>
            <w:rStyle w:val="Hyperlink"/>
          </w:rPr>
          <w:t>https://doi.org/10.14411/eje.2013.096</w:t>
        </w:r>
      </w:hyperlink>
      <w:r w:rsidR="00D82C22">
        <w:t xml:space="preserve"> </w:t>
      </w:r>
    </w:p>
    <w:p w14:paraId="7C1ABEF7" w14:textId="77777777" w:rsidR="003A6513" w:rsidRDefault="003A6513" w:rsidP="00586265">
      <w:pPr>
        <w:pStyle w:val="NormalWeb"/>
      </w:pPr>
      <w:r>
        <w:t xml:space="preserve">Tiwari, R., Mishra, A. K., Rai, S., &amp; Pandey, L. K. (2023). Evaluation and projection of northeast monsoon precipitation over India under higher warming scenario: A </w:t>
      </w:r>
      <w:proofErr w:type="spellStart"/>
      <w:r>
        <w:t>multimodel</w:t>
      </w:r>
      <w:proofErr w:type="spellEnd"/>
      <w:r>
        <w:t xml:space="preserve"> assessment of CMIP6. </w:t>
      </w:r>
      <w:r>
        <w:rPr>
          <w:rStyle w:val="Emphasis"/>
        </w:rPr>
        <w:t>Theoretical and Applied Climatology, 151</w:t>
      </w:r>
      <w:r>
        <w:t xml:space="preserve">, 859–870. </w:t>
      </w:r>
      <w:hyperlink r:id="rId28" w:history="1">
        <w:r w:rsidRPr="00B23F2C">
          <w:rPr>
            <w:rStyle w:val="Hyperlink"/>
          </w:rPr>
          <w:t>https://doi.org/10.1007/s00704-022-04299-8</w:t>
        </w:r>
      </w:hyperlink>
    </w:p>
    <w:p w14:paraId="291D04D7" w14:textId="77777777" w:rsidR="00417DFC" w:rsidRPr="002525A8" w:rsidRDefault="00417DFC" w:rsidP="002525A8"/>
    <w:sectPr w:rsidR="00417DFC" w:rsidRPr="002525A8" w:rsidSect="00CB6EB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35982" w14:textId="77777777" w:rsidR="00B74CD5" w:rsidRDefault="00B74CD5" w:rsidP="00EA54A2">
      <w:pPr>
        <w:spacing w:after="0" w:line="240" w:lineRule="auto"/>
      </w:pPr>
      <w:r>
        <w:separator/>
      </w:r>
    </w:p>
  </w:endnote>
  <w:endnote w:type="continuationSeparator" w:id="0">
    <w:p w14:paraId="410EED5C" w14:textId="77777777" w:rsidR="00B74CD5" w:rsidRDefault="00B74CD5" w:rsidP="00EA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FC8E" w14:textId="77777777" w:rsidR="00EA54A2" w:rsidRDefault="00EA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AC5B" w14:textId="77777777" w:rsidR="00EA54A2" w:rsidRDefault="00EA5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8E53" w14:textId="77777777" w:rsidR="00EA54A2" w:rsidRDefault="00EA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C667" w14:textId="77777777" w:rsidR="00B74CD5" w:rsidRDefault="00B74CD5" w:rsidP="00EA54A2">
      <w:pPr>
        <w:spacing w:after="0" w:line="240" w:lineRule="auto"/>
      </w:pPr>
      <w:r>
        <w:separator/>
      </w:r>
    </w:p>
  </w:footnote>
  <w:footnote w:type="continuationSeparator" w:id="0">
    <w:p w14:paraId="77F2E05A" w14:textId="77777777" w:rsidR="00B74CD5" w:rsidRDefault="00B74CD5" w:rsidP="00EA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442D" w14:textId="05AF47FF" w:rsidR="00EA54A2" w:rsidRDefault="00EA54A2">
    <w:pPr>
      <w:pStyle w:val="Header"/>
    </w:pPr>
    <w:r>
      <w:rPr>
        <w:noProof/>
      </w:rPr>
      <w:pict w14:anchorId="2C45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4"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F0F5" w14:textId="77FAB152" w:rsidR="00EA54A2" w:rsidRDefault="00EA54A2">
    <w:pPr>
      <w:pStyle w:val="Header"/>
    </w:pPr>
    <w:r>
      <w:rPr>
        <w:noProof/>
      </w:rPr>
      <w:pict w14:anchorId="1FB1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5"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05F4" w14:textId="4828875B" w:rsidR="00EA54A2" w:rsidRDefault="00EA54A2">
    <w:pPr>
      <w:pStyle w:val="Header"/>
    </w:pPr>
    <w:r>
      <w:rPr>
        <w:noProof/>
      </w:rPr>
      <w:pict w14:anchorId="7C363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3"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3"/>
  </w:num>
  <w:num w:numId="5">
    <w:abstractNumId w:val="0"/>
  </w:num>
  <w:num w:numId="6">
    <w:abstractNumId w:val="16"/>
  </w:num>
  <w:num w:numId="7">
    <w:abstractNumId w:val="5"/>
  </w:num>
  <w:num w:numId="8">
    <w:abstractNumId w:val="4"/>
  </w:num>
  <w:num w:numId="9">
    <w:abstractNumId w:val="20"/>
  </w:num>
  <w:num w:numId="10">
    <w:abstractNumId w:val="7"/>
  </w:num>
  <w:num w:numId="11">
    <w:abstractNumId w:val="8"/>
  </w:num>
  <w:num w:numId="12">
    <w:abstractNumId w:val="18"/>
  </w:num>
  <w:num w:numId="13">
    <w:abstractNumId w:val="12"/>
  </w:num>
  <w:num w:numId="14">
    <w:abstractNumId w:val="2"/>
  </w:num>
  <w:num w:numId="15">
    <w:abstractNumId w:val="22"/>
  </w:num>
  <w:num w:numId="16">
    <w:abstractNumId w:val="14"/>
  </w:num>
  <w:num w:numId="17">
    <w:abstractNumId w:val="6"/>
  </w:num>
  <w:num w:numId="18">
    <w:abstractNumId w:val="17"/>
  </w:num>
  <w:num w:numId="19">
    <w:abstractNumId w:val="9"/>
  </w:num>
  <w:num w:numId="20">
    <w:abstractNumId w:val="10"/>
  </w:num>
  <w:num w:numId="21">
    <w:abstractNumId w:val="21"/>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2EFB"/>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0247"/>
    <w:rsid w:val="006B57D5"/>
    <w:rsid w:val="006B66BC"/>
    <w:rsid w:val="006C7C9D"/>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5A4C"/>
    <w:rsid w:val="00856AFD"/>
    <w:rsid w:val="008605AC"/>
    <w:rsid w:val="00867E80"/>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74CD5"/>
    <w:rsid w:val="00B8003F"/>
    <w:rsid w:val="00B81562"/>
    <w:rsid w:val="00B84C19"/>
    <w:rsid w:val="00B928B4"/>
    <w:rsid w:val="00BA248E"/>
    <w:rsid w:val="00BA3C57"/>
    <w:rsid w:val="00BB0BE1"/>
    <w:rsid w:val="00BB4C3B"/>
    <w:rsid w:val="00BB6828"/>
    <w:rsid w:val="00BB7829"/>
    <w:rsid w:val="00BC15EB"/>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CF6BBB"/>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54A2"/>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5"/>
        <o:r id="V:Rule2" type="connector" idref="#Straight Arrow Connector 27"/>
        <o:r id="V:Rule3" type="connector" idref="#Straight Arrow Connector 36"/>
        <o:r id="V:Rule4" type="connector" idref="#Straight Arrow Connector 19"/>
        <o:r id="V:Rule5" type="connector" idref="#Straight Arrow Connector 17"/>
        <o:r id="V:Rule6" type="connector" idref="#Straight Arrow Connector 35"/>
        <o:r id="V:Rule7" type="connector" idref="#Straight Arrow Connector 14"/>
        <o:r id="V:Rule8" type="connector" idref="#Straight Arrow Connector 16"/>
      </o:rules>
    </o:shapelayout>
  </w:shapeDefaults>
  <w:decimalSymbol w:val="."/>
  <w:listSeparator w:val=","/>
  <w14:docId w14:val="09B82A39"/>
  <w15:docId w15:val="{B11A565F-4DFD-4F62-9A33-1AD790D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EA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A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A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A2"/>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oc.3483" TargetMode="External"/><Relationship Id="rId18" Type="http://schemas.openxmlformats.org/officeDocument/2006/relationships/hyperlink" Target="https://doi.org/10.9734/acri/2025/v25i41146?utm_source=chatgpt.com" TargetMode="External"/><Relationship Id="rId26" Type="http://schemas.openxmlformats.org/officeDocument/2006/relationships/hyperlink" Target="https://doi.org/10.1007/s12088-019-00822-0" TargetMode="External"/><Relationship Id="rId3" Type="http://schemas.openxmlformats.org/officeDocument/2006/relationships/styles" Target="styles.xml"/><Relationship Id="rId21" Type="http://schemas.openxmlformats.org/officeDocument/2006/relationships/hyperlink" Target="https://doi.org/10.1016/j.wace.2018.03.00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26/science.1132027" TargetMode="External"/><Relationship Id="rId17" Type="http://schemas.openxmlformats.org/officeDocument/2006/relationships/hyperlink" Target="https://doi.org/10.1080/02626667.2010.481373" TargetMode="External"/><Relationship Id="rId25" Type="http://schemas.openxmlformats.org/officeDocument/2006/relationships/hyperlink" Target="https://doi.org/10.9734/jeai/2024/v46i5235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s00382-006-0210-0" TargetMode="External"/><Relationship Id="rId20" Type="http://schemas.openxmlformats.org/officeDocument/2006/relationships/hyperlink" Target="https://doi.org/10.1073/pnas.111915010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eea.13021" TargetMode="External"/><Relationship Id="rId24" Type="http://schemas.openxmlformats.org/officeDocument/2006/relationships/hyperlink" Target="https://doi.org/10.1038/s41598-025-05987-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0305316.2020.1727376" TargetMode="External"/><Relationship Id="rId23" Type="http://schemas.openxmlformats.org/officeDocument/2006/relationships/hyperlink" Target="https://doi.org/10.1016/j.jhydrol.2023.129805" TargetMode="External"/><Relationship Id="rId28" Type="http://schemas.openxmlformats.org/officeDocument/2006/relationships/hyperlink" Target="https://doi.org/10.1007/s00704-022-04299-8" TargetMode="External"/><Relationship Id="rId36" Type="http://schemas.openxmlformats.org/officeDocument/2006/relationships/theme" Target="theme/theme1.xml"/><Relationship Id="rId10" Type="http://schemas.openxmlformats.org/officeDocument/2006/relationships/hyperlink" Target="https://doi.org/10.1126/science.aat3466?utm_source=chatgpt.com" TargetMode="External"/><Relationship Id="rId19" Type="http://schemas.openxmlformats.org/officeDocument/2006/relationships/hyperlink" Target="https://doi.org/10.1016/j.cliser.2024.10045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gloplacha.2012.07.006" TargetMode="External"/><Relationship Id="rId14" Type="http://schemas.openxmlformats.org/officeDocument/2006/relationships/hyperlink" Target="https://doi.org/10.1016/j.heliyon.2023.e21184" TargetMode="External"/><Relationship Id="rId22" Type="http://schemas.openxmlformats.org/officeDocument/2006/relationships/hyperlink" Target="https://doi.org/10.56557/upjoz/2025/v46i165191?utm_source=chatgpt.com" TargetMode="External"/><Relationship Id="rId27" Type="http://schemas.openxmlformats.org/officeDocument/2006/relationships/hyperlink" Target="https://doi.org/10.14411/eje.2013.09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j.foreco.2009.0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4824A-909D-4BFF-A4BC-9307F926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12410</TotalTime>
  <Pages>17</Pages>
  <Words>8148</Words>
  <Characters>46446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157</cp:revision>
  <cp:lastPrinted>2025-12-13T07:14:00Z</cp:lastPrinted>
  <dcterms:created xsi:type="dcterms:W3CDTF">2025-09-24T12:44:00Z</dcterms:created>
  <dcterms:modified xsi:type="dcterms:W3CDTF">2026-03-02T10:30:00Z</dcterms:modified>
</cp:coreProperties>
</file>