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31B65" w14:textId="77777777" w:rsidR="001D72B1" w:rsidRPr="00622996" w:rsidRDefault="00622996" w:rsidP="00622996">
      <w:pPr>
        <w:spacing w:before="100" w:beforeAutospacing="1" w:after="100" w:afterAutospacing="1" w:line="360" w:lineRule="auto"/>
        <w:jc w:val="center"/>
        <w:outlineLvl w:val="1"/>
        <w:rPr>
          <w:rFonts w:ascii="Times New Roman" w:eastAsia="Times New Roman" w:hAnsi="Times New Roman" w:cs="Times New Roman"/>
          <w:b/>
          <w:bCs/>
          <w:sz w:val="24"/>
          <w:szCs w:val="24"/>
          <w:u w:val="single"/>
        </w:rPr>
      </w:pPr>
      <w:r w:rsidRPr="00622996">
        <w:rPr>
          <w:rFonts w:ascii="Times New Roman" w:eastAsia="Times New Roman" w:hAnsi="Times New Roman" w:cs="Times New Roman"/>
          <w:b/>
          <w:bCs/>
          <w:sz w:val="24"/>
          <w:szCs w:val="24"/>
          <w:u w:val="single"/>
        </w:rPr>
        <w:t>KNOWLEDGE, APTITUDE AND PRACTICE OF ANTIMICROBIAL RESISTANCE IN COMMUNITY PHARMACY</w:t>
      </w:r>
    </w:p>
    <w:p w14:paraId="22011B16" w14:textId="669D50EB" w:rsidR="00390891" w:rsidRDefault="00390891" w:rsidP="00622996">
      <w:pPr>
        <w:pStyle w:val="Heading2"/>
        <w:spacing w:line="360" w:lineRule="auto"/>
        <w:jc w:val="both"/>
        <w:rPr>
          <w:rStyle w:val="Strong"/>
          <w:bCs/>
          <w:sz w:val="24"/>
          <w:szCs w:val="24"/>
        </w:rPr>
      </w:pPr>
    </w:p>
    <w:p w14:paraId="3C3637FD" w14:textId="77777777" w:rsidR="003B674B" w:rsidRDefault="003B674B" w:rsidP="00622996">
      <w:pPr>
        <w:pStyle w:val="Heading2"/>
        <w:spacing w:line="360" w:lineRule="auto"/>
        <w:jc w:val="both"/>
        <w:rPr>
          <w:rStyle w:val="Strong"/>
          <w:b/>
          <w:bCs/>
          <w:sz w:val="24"/>
          <w:szCs w:val="24"/>
          <w:u w:val="single"/>
        </w:rPr>
      </w:pPr>
    </w:p>
    <w:p w14:paraId="1F78D92F" w14:textId="77777777" w:rsidR="001D72B1" w:rsidRPr="00622996" w:rsidRDefault="00622996" w:rsidP="00622996">
      <w:pPr>
        <w:pStyle w:val="Heading2"/>
        <w:spacing w:line="360" w:lineRule="auto"/>
        <w:jc w:val="both"/>
        <w:rPr>
          <w:sz w:val="24"/>
          <w:szCs w:val="24"/>
          <w:u w:val="single"/>
        </w:rPr>
      </w:pPr>
      <w:r w:rsidRPr="00622996">
        <w:rPr>
          <w:rStyle w:val="Strong"/>
          <w:b/>
          <w:bCs/>
          <w:sz w:val="24"/>
          <w:szCs w:val="24"/>
          <w:u w:val="single"/>
        </w:rPr>
        <w:t>ABSTRACT</w:t>
      </w:r>
    </w:p>
    <w:p w14:paraId="7A30B0C5" w14:textId="77777777" w:rsidR="00622996" w:rsidRDefault="001D72B1" w:rsidP="00622996">
      <w:pPr>
        <w:pStyle w:val="NormalWeb"/>
        <w:spacing w:line="360" w:lineRule="auto"/>
        <w:jc w:val="both"/>
      </w:pPr>
      <w:r w:rsidRPr="00622996">
        <w:rPr>
          <w:rStyle w:val="Strong"/>
        </w:rPr>
        <w:t>Background:</w:t>
      </w:r>
      <w:r w:rsidRPr="00622996">
        <w:t xml:space="preserve"> Antimicrobial resistance (AMR) is a growing global public health threat, with community pharmacies playing a crucial role in antibiotic use.</w:t>
      </w:r>
      <w:r w:rsidR="00622996">
        <w:t xml:space="preserve"> </w:t>
      </w:r>
      <w:r w:rsidRPr="00622996">
        <w:t>This study assessed the knowledge, attitude, and practice (KAP) regarding AMR among community pharmacists.</w:t>
      </w:r>
    </w:p>
    <w:p w14:paraId="38FA6775" w14:textId="77777777" w:rsidR="00622996" w:rsidRDefault="001D72B1" w:rsidP="00622996">
      <w:pPr>
        <w:pStyle w:val="NormalWeb"/>
        <w:spacing w:line="360" w:lineRule="auto"/>
        <w:jc w:val="both"/>
      </w:pPr>
      <w:r w:rsidRPr="00622996">
        <w:rPr>
          <w:rStyle w:val="Strong"/>
        </w:rPr>
        <w:t>Methods:</w:t>
      </w:r>
      <w:r w:rsidRPr="00622996">
        <w:t xml:space="preserve"> A cross-sectional questionnaire-based study was conducted among community pharmacists. Data on demographics, knowledge, attitudes, and dispensing practices related to antibiotics were collected and analyzed using descriptive statistics, mean scores, and correlation analysis.</w:t>
      </w:r>
    </w:p>
    <w:p w14:paraId="795FD0F0" w14:textId="77777777" w:rsidR="00622996" w:rsidRDefault="001D72B1" w:rsidP="00622996">
      <w:pPr>
        <w:pStyle w:val="NormalWeb"/>
        <w:spacing w:line="360" w:lineRule="auto"/>
        <w:jc w:val="both"/>
      </w:pPr>
      <w:r w:rsidRPr="00622996">
        <w:rPr>
          <w:rStyle w:val="Strong"/>
        </w:rPr>
        <w:t>Results:</w:t>
      </w:r>
      <w:r w:rsidRPr="00622996">
        <w:t xml:space="preserve"> Pharmacists demonstrated moderate knowledge of AMR, with gaps in awareness of national guidelines. Attitudes toward rational antibiotic use were largely positive; however, inappropriate practices such as dispensing antibiotics without prescription were common. A positive correlation was observed between knowledge, attitude, and practice scores.</w:t>
      </w:r>
    </w:p>
    <w:p w14:paraId="6BDF746E" w14:textId="77777777" w:rsidR="001D72B1" w:rsidRPr="00622996" w:rsidRDefault="001D72B1" w:rsidP="00622996">
      <w:pPr>
        <w:pStyle w:val="NormalWeb"/>
        <w:spacing w:line="360" w:lineRule="auto"/>
        <w:jc w:val="both"/>
      </w:pPr>
      <w:r w:rsidRPr="00622996">
        <w:rPr>
          <w:rStyle w:val="Strong"/>
        </w:rPr>
        <w:t>Conclusion:</w:t>
      </w:r>
      <w:r w:rsidRPr="00622996">
        <w:t xml:space="preserve"> Despite reasonable awareness and favorable attitudes, suboptimal dispensing practices persist, highlighting the need for stronger regulatory enforcement, continuous professional education, and antimicrobial stewardship initiatives in community pharmacy settings.</w:t>
      </w:r>
    </w:p>
    <w:p w14:paraId="768299DE" w14:textId="77777777" w:rsidR="001D72B1" w:rsidRPr="00622996" w:rsidRDefault="001D72B1" w:rsidP="00622996">
      <w:pPr>
        <w:pStyle w:val="Heading3"/>
        <w:spacing w:line="360" w:lineRule="auto"/>
        <w:jc w:val="both"/>
        <w:rPr>
          <w:b w:val="0"/>
          <w:sz w:val="24"/>
          <w:szCs w:val="24"/>
        </w:rPr>
      </w:pPr>
      <w:r w:rsidRPr="00622996">
        <w:rPr>
          <w:rStyle w:val="Strong"/>
          <w:b/>
          <w:bCs/>
          <w:sz w:val="24"/>
          <w:szCs w:val="24"/>
        </w:rPr>
        <w:t>Keywords</w:t>
      </w:r>
      <w:r w:rsidR="00622996">
        <w:rPr>
          <w:rStyle w:val="Strong"/>
          <w:b/>
          <w:bCs/>
          <w:sz w:val="24"/>
          <w:szCs w:val="24"/>
        </w:rPr>
        <w:t xml:space="preserve"> </w:t>
      </w:r>
      <w:r w:rsidR="00622996" w:rsidRPr="00622996">
        <w:rPr>
          <w:rStyle w:val="Strong"/>
          <w:b/>
          <w:bCs/>
          <w:sz w:val="24"/>
          <w:szCs w:val="24"/>
        </w:rPr>
        <w:t xml:space="preserve">: </w:t>
      </w:r>
      <w:r w:rsidRPr="00622996">
        <w:rPr>
          <w:b w:val="0"/>
          <w:sz w:val="24"/>
          <w:szCs w:val="24"/>
        </w:rPr>
        <w:t>Antimicrobial resistance; Community pharmacy; Knowledge, attitude and practice; Antibiotic dispensing; Antimicrobial stewardship</w:t>
      </w:r>
    </w:p>
    <w:p w14:paraId="0B55C7DF" w14:textId="77777777" w:rsidR="001D72B1" w:rsidRPr="00622996" w:rsidRDefault="001D72B1" w:rsidP="00622996">
      <w:pPr>
        <w:spacing w:before="100" w:beforeAutospacing="1" w:after="100" w:afterAutospacing="1" w:line="360" w:lineRule="auto"/>
        <w:jc w:val="both"/>
        <w:outlineLvl w:val="1"/>
        <w:rPr>
          <w:rFonts w:ascii="Times New Roman" w:eastAsia="Times New Roman" w:hAnsi="Times New Roman" w:cs="Times New Roman"/>
          <w:b/>
          <w:bCs/>
          <w:sz w:val="24"/>
          <w:szCs w:val="24"/>
          <w:u w:val="single"/>
        </w:rPr>
      </w:pPr>
      <w:r w:rsidRPr="00622996">
        <w:rPr>
          <w:rFonts w:ascii="Times New Roman" w:eastAsia="Times New Roman" w:hAnsi="Times New Roman" w:cs="Times New Roman"/>
          <w:b/>
          <w:bCs/>
          <w:sz w:val="24"/>
          <w:szCs w:val="24"/>
          <w:u w:val="single"/>
        </w:rPr>
        <w:t xml:space="preserve"> </w:t>
      </w:r>
    </w:p>
    <w:p w14:paraId="74E170FA" w14:textId="77777777" w:rsidR="001D72B1" w:rsidRPr="00622996" w:rsidRDefault="001D72B1" w:rsidP="001D72B1">
      <w:pPr>
        <w:spacing w:before="100" w:beforeAutospacing="1" w:after="100" w:afterAutospacing="1" w:line="360" w:lineRule="auto"/>
        <w:jc w:val="both"/>
        <w:outlineLvl w:val="1"/>
        <w:rPr>
          <w:rFonts w:ascii="Times New Roman" w:eastAsia="Times New Roman" w:hAnsi="Times New Roman" w:cs="Times New Roman"/>
          <w:b/>
          <w:bCs/>
          <w:sz w:val="24"/>
          <w:szCs w:val="24"/>
          <w:u w:val="single"/>
        </w:rPr>
      </w:pPr>
    </w:p>
    <w:p w14:paraId="07B82527" w14:textId="77777777" w:rsidR="001D72B1" w:rsidRPr="00622996" w:rsidRDefault="001D72B1" w:rsidP="001D72B1">
      <w:pPr>
        <w:spacing w:before="100" w:beforeAutospacing="1" w:after="100" w:afterAutospacing="1" w:line="360" w:lineRule="auto"/>
        <w:jc w:val="both"/>
        <w:outlineLvl w:val="1"/>
        <w:rPr>
          <w:rFonts w:ascii="Times New Roman" w:eastAsia="Times New Roman" w:hAnsi="Times New Roman" w:cs="Times New Roman"/>
          <w:b/>
          <w:bCs/>
          <w:sz w:val="24"/>
          <w:szCs w:val="24"/>
          <w:u w:val="single"/>
        </w:rPr>
      </w:pPr>
    </w:p>
    <w:p w14:paraId="3E76063C" w14:textId="77777777" w:rsidR="001D72B1" w:rsidRPr="00622996" w:rsidRDefault="001D72B1" w:rsidP="001D72B1">
      <w:pPr>
        <w:spacing w:before="100" w:beforeAutospacing="1" w:after="100" w:afterAutospacing="1" w:line="360" w:lineRule="auto"/>
        <w:jc w:val="both"/>
        <w:outlineLvl w:val="1"/>
        <w:rPr>
          <w:rFonts w:ascii="Times New Roman" w:eastAsia="Times New Roman" w:hAnsi="Times New Roman" w:cs="Times New Roman"/>
          <w:b/>
          <w:bCs/>
          <w:sz w:val="24"/>
          <w:szCs w:val="24"/>
          <w:u w:val="single"/>
        </w:rPr>
      </w:pPr>
    </w:p>
    <w:p w14:paraId="50DA070F" w14:textId="77777777" w:rsidR="001D72B1" w:rsidRPr="00622996" w:rsidRDefault="001D72B1" w:rsidP="001D72B1">
      <w:pPr>
        <w:spacing w:before="100" w:beforeAutospacing="1" w:after="100" w:afterAutospacing="1" w:line="360" w:lineRule="auto"/>
        <w:jc w:val="both"/>
        <w:outlineLvl w:val="1"/>
        <w:rPr>
          <w:rFonts w:ascii="Times New Roman" w:eastAsia="Times New Roman" w:hAnsi="Times New Roman" w:cs="Times New Roman"/>
          <w:b/>
          <w:bCs/>
          <w:sz w:val="24"/>
          <w:szCs w:val="24"/>
          <w:u w:val="single"/>
        </w:rPr>
      </w:pPr>
    </w:p>
    <w:p w14:paraId="574DAD6E" w14:textId="77777777" w:rsidR="001D72B1" w:rsidRPr="00622996" w:rsidRDefault="001D72B1" w:rsidP="001D72B1">
      <w:pPr>
        <w:spacing w:before="100" w:beforeAutospacing="1" w:after="100" w:afterAutospacing="1" w:line="360" w:lineRule="auto"/>
        <w:jc w:val="both"/>
        <w:outlineLvl w:val="1"/>
        <w:rPr>
          <w:rFonts w:ascii="Times New Roman" w:eastAsia="Times New Roman" w:hAnsi="Times New Roman" w:cs="Times New Roman"/>
          <w:b/>
          <w:bCs/>
          <w:sz w:val="24"/>
          <w:szCs w:val="24"/>
          <w:u w:val="single"/>
        </w:rPr>
      </w:pPr>
    </w:p>
    <w:p w14:paraId="5A032CC7" w14:textId="77777777" w:rsidR="00DD5E78" w:rsidRPr="00622996" w:rsidRDefault="00DD5E78" w:rsidP="001D72B1">
      <w:pPr>
        <w:spacing w:before="100" w:beforeAutospacing="1" w:after="100" w:afterAutospacing="1" w:line="360" w:lineRule="auto"/>
        <w:jc w:val="both"/>
        <w:outlineLvl w:val="1"/>
        <w:rPr>
          <w:rFonts w:ascii="Times New Roman" w:eastAsia="Times New Roman" w:hAnsi="Times New Roman" w:cs="Times New Roman"/>
          <w:b/>
          <w:bCs/>
          <w:sz w:val="24"/>
          <w:szCs w:val="24"/>
          <w:u w:val="single"/>
        </w:rPr>
      </w:pPr>
      <w:r w:rsidRPr="00622996">
        <w:rPr>
          <w:rFonts w:ascii="Times New Roman" w:eastAsia="Times New Roman" w:hAnsi="Times New Roman" w:cs="Times New Roman"/>
          <w:b/>
          <w:bCs/>
          <w:sz w:val="24"/>
          <w:szCs w:val="24"/>
          <w:u w:val="single"/>
        </w:rPr>
        <w:t>INTRODUCTION</w:t>
      </w:r>
    </w:p>
    <w:p w14:paraId="46D9A3A3" w14:textId="77777777" w:rsidR="001D72B1" w:rsidRPr="00622996" w:rsidRDefault="001D72B1" w:rsidP="001D72B1">
      <w:pPr>
        <w:spacing w:before="100" w:beforeAutospacing="1" w:after="100" w:afterAutospacing="1" w:line="360" w:lineRule="auto"/>
        <w:jc w:val="both"/>
        <w:outlineLvl w:val="1"/>
        <w:rPr>
          <w:rFonts w:ascii="Times New Roman" w:eastAsia="Times New Roman" w:hAnsi="Times New Roman" w:cs="Times New Roman"/>
          <w:bCs/>
          <w:sz w:val="24"/>
          <w:szCs w:val="24"/>
          <w:vertAlign w:val="superscript"/>
        </w:rPr>
      </w:pPr>
      <w:r w:rsidRPr="00622996">
        <w:rPr>
          <w:rFonts w:ascii="Times New Roman" w:eastAsia="Times New Roman" w:hAnsi="Times New Roman" w:cs="Times New Roman"/>
          <w:bCs/>
          <w:sz w:val="24"/>
          <w:szCs w:val="24"/>
        </w:rPr>
        <w:t>Antimicrobial resistance (AMR) has become one of the most critical public health problems which affects people across the globe. Infections become more difficult to treat because bacteria develop resistance against antibiotics which results in longer sick periods and more severe health problems and increased mortality rates. The main factors which contribute to this situation are people who misuse antibiotics and use them excessively while taking them without medical need and using incorrect amounts and stopping their treatment early. Many low- and middle-income countries experience an increase in resistance because people can obtain antibiotics without needing a prescription. The rise of resistant infections leads to fewer treatment choices which increases healthcare expenses that create a major burden on patients and medical systems and society.</w:t>
      </w:r>
      <w:r w:rsidR="00DD5E78" w:rsidRPr="00622996">
        <w:rPr>
          <w:rFonts w:ascii="Times New Roman" w:eastAsia="Times New Roman" w:hAnsi="Times New Roman" w:cs="Times New Roman"/>
          <w:bCs/>
          <w:sz w:val="24"/>
          <w:szCs w:val="24"/>
          <w:vertAlign w:val="superscript"/>
        </w:rPr>
        <w:t>[1,2]</w:t>
      </w:r>
    </w:p>
    <w:p w14:paraId="266779C9" w14:textId="77777777" w:rsidR="001D72B1" w:rsidRPr="00622996" w:rsidRDefault="001D72B1" w:rsidP="001D72B1">
      <w:pPr>
        <w:spacing w:before="100" w:beforeAutospacing="1" w:after="100" w:afterAutospacing="1" w:line="360" w:lineRule="auto"/>
        <w:jc w:val="both"/>
        <w:outlineLvl w:val="1"/>
        <w:rPr>
          <w:rFonts w:ascii="Times New Roman" w:eastAsia="Times New Roman" w:hAnsi="Times New Roman" w:cs="Times New Roman"/>
          <w:bCs/>
          <w:sz w:val="24"/>
          <w:szCs w:val="24"/>
          <w:vertAlign w:val="superscript"/>
        </w:rPr>
      </w:pPr>
      <w:r w:rsidRPr="00622996">
        <w:rPr>
          <w:rFonts w:ascii="Times New Roman" w:eastAsia="Times New Roman" w:hAnsi="Times New Roman" w:cs="Times New Roman"/>
          <w:bCs/>
          <w:sz w:val="24"/>
          <w:szCs w:val="24"/>
        </w:rPr>
        <w:t>Community pharmacies serve as essential components that support antibiotic usage across all primary healthcare facilities. The majority of people view community pharmacists as their primary and most reachable healthcare contact. Pharmacists provide medication guidance to patients while they dispense antibiotics and other medicines which patients request without a prescription.</w:t>
      </w:r>
      <w:r w:rsidR="00DD5E78" w:rsidRPr="00622996">
        <w:rPr>
          <w:rFonts w:ascii="Times New Roman" w:eastAsia="Times New Roman" w:hAnsi="Times New Roman" w:cs="Times New Roman"/>
          <w:bCs/>
          <w:sz w:val="24"/>
          <w:szCs w:val="24"/>
          <w:vertAlign w:val="superscript"/>
        </w:rPr>
        <w:t>[3]</w:t>
      </w:r>
      <w:r w:rsidRPr="00622996">
        <w:rPr>
          <w:rFonts w:ascii="Times New Roman" w:eastAsia="Times New Roman" w:hAnsi="Times New Roman" w:cs="Times New Roman"/>
          <w:bCs/>
          <w:sz w:val="24"/>
          <w:szCs w:val="24"/>
        </w:rPr>
        <w:t xml:space="preserve"> The actual working conditions in community settings lead to professional healthcare practitioners making different choices than their training. Their actions directly affect how antibiotics are used in the community making them key stakeholders in efforts to control antimicrobial resistance. The evaluation of pharmacist perceptions regarding AMR requires research because their daily work activities exhibit direct connections to their understanding of AMR.</w:t>
      </w:r>
      <w:r w:rsidR="00DD5E78" w:rsidRPr="00622996">
        <w:rPr>
          <w:rFonts w:ascii="Times New Roman" w:eastAsia="Times New Roman" w:hAnsi="Times New Roman" w:cs="Times New Roman"/>
          <w:bCs/>
          <w:sz w:val="24"/>
          <w:szCs w:val="24"/>
          <w:vertAlign w:val="superscript"/>
        </w:rPr>
        <w:t>[4,5]</w:t>
      </w:r>
    </w:p>
    <w:p w14:paraId="6AB7D821" w14:textId="77777777" w:rsidR="001D72B1" w:rsidRPr="00622996" w:rsidRDefault="00DD5E78" w:rsidP="001D72B1">
      <w:pPr>
        <w:spacing w:before="100" w:beforeAutospacing="1" w:after="100" w:afterAutospacing="1" w:line="360" w:lineRule="auto"/>
        <w:jc w:val="both"/>
        <w:outlineLvl w:val="1"/>
        <w:rPr>
          <w:rFonts w:ascii="Times New Roman" w:eastAsia="Times New Roman" w:hAnsi="Times New Roman" w:cs="Times New Roman"/>
          <w:bCs/>
          <w:sz w:val="24"/>
          <w:szCs w:val="24"/>
          <w:vertAlign w:val="superscript"/>
        </w:rPr>
      </w:pPr>
      <w:r w:rsidRPr="00622996">
        <w:rPr>
          <w:rFonts w:ascii="Times New Roman" w:eastAsia="Times New Roman" w:hAnsi="Times New Roman" w:cs="Times New Roman"/>
          <w:bCs/>
          <w:sz w:val="24"/>
          <w:szCs w:val="24"/>
        </w:rPr>
        <w:lastRenderedPageBreak/>
        <w:t>Healthcare professionals use KAP studies to examine their health-related thinking and behavior patterns. Knowledge refers to awareness and understanding of AMR, attitude reflects beliefs and sense of responsibility, and practice represents actual behavior in dispensing antibiotics. Healthcare providers who possess strong knowledge and exhibit positive attitudes toward their work face difficulties in their practice because of external factors that include insufficient regulations and patient demands and absence of oversight.</w:t>
      </w:r>
      <w:r w:rsidRPr="00622996">
        <w:rPr>
          <w:rFonts w:ascii="Times New Roman" w:eastAsia="Times New Roman" w:hAnsi="Times New Roman" w:cs="Times New Roman"/>
          <w:bCs/>
          <w:sz w:val="24"/>
          <w:szCs w:val="24"/>
          <w:vertAlign w:val="superscript"/>
        </w:rPr>
        <w:t>[6,7]</w:t>
      </w:r>
      <w:r w:rsidRPr="00622996">
        <w:rPr>
          <w:rFonts w:ascii="Times New Roman" w:eastAsia="Times New Roman" w:hAnsi="Times New Roman" w:cs="Times New Roman"/>
          <w:bCs/>
          <w:sz w:val="24"/>
          <w:szCs w:val="24"/>
        </w:rPr>
        <w:t xml:space="preserve"> The evaluation of these three elements together enables the discovery of existing gaps between what people know and what they actually do, which proves essential for creating successful intervention strategies.</w:t>
      </w:r>
      <w:r w:rsidRPr="00622996">
        <w:rPr>
          <w:rFonts w:ascii="Times New Roman" w:eastAsia="Times New Roman" w:hAnsi="Times New Roman" w:cs="Times New Roman"/>
          <w:bCs/>
          <w:sz w:val="24"/>
          <w:szCs w:val="24"/>
          <w:vertAlign w:val="superscript"/>
        </w:rPr>
        <w:t>[8]</w:t>
      </w:r>
    </w:p>
    <w:p w14:paraId="29EB481A" w14:textId="77777777" w:rsidR="00DD5E78" w:rsidRPr="00622996" w:rsidRDefault="00DD5E78" w:rsidP="001D72B1">
      <w:pPr>
        <w:spacing w:before="100" w:beforeAutospacing="1" w:after="100" w:afterAutospacing="1" w:line="360" w:lineRule="auto"/>
        <w:jc w:val="both"/>
        <w:outlineLvl w:val="1"/>
        <w:rPr>
          <w:rFonts w:ascii="Times New Roman" w:eastAsia="Times New Roman" w:hAnsi="Times New Roman" w:cs="Times New Roman"/>
          <w:bCs/>
          <w:sz w:val="24"/>
          <w:szCs w:val="24"/>
          <w:vertAlign w:val="superscript"/>
        </w:rPr>
      </w:pPr>
      <w:r w:rsidRPr="00622996">
        <w:rPr>
          <w:rFonts w:ascii="Times New Roman" w:eastAsia="Times New Roman" w:hAnsi="Times New Roman" w:cs="Times New Roman"/>
          <w:bCs/>
          <w:sz w:val="24"/>
          <w:szCs w:val="24"/>
        </w:rPr>
        <w:t>The global and national campaigns for rational antibiotic use face challenges because community pharmacies continue to dispense antibiotics without proper justification. The enforcement of prescription-only regulations in India faces difficulties because both enforcement agencies and the public lack knowledge about antibiotic resistance. The present situation requires an evaluation of existing community practices. The study investigates how community pharmacists understand antimicrobial resistance while their professional practices are studied at the same time. The findings will assist in developing educational programs and creating policy reforms and designing antimicrobial stewardship strategies which aim to decrease harmful antibiotic prescriptions.</w:t>
      </w:r>
      <w:r w:rsidRPr="00622996">
        <w:rPr>
          <w:rFonts w:ascii="Times New Roman" w:eastAsia="Times New Roman" w:hAnsi="Times New Roman" w:cs="Times New Roman"/>
          <w:bCs/>
          <w:sz w:val="24"/>
          <w:szCs w:val="24"/>
          <w:vertAlign w:val="superscript"/>
        </w:rPr>
        <w:t>[9,10]</w:t>
      </w:r>
    </w:p>
    <w:p w14:paraId="4239C651" w14:textId="77777777" w:rsidR="00FB30FB" w:rsidRPr="00FB30FB" w:rsidRDefault="00FB30FB" w:rsidP="001D72B1">
      <w:pPr>
        <w:spacing w:before="100" w:beforeAutospacing="1" w:after="100" w:afterAutospacing="1" w:line="360" w:lineRule="auto"/>
        <w:jc w:val="both"/>
        <w:outlineLvl w:val="1"/>
        <w:rPr>
          <w:rFonts w:ascii="Times New Roman" w:eastAsia="Times New Roman" w:hAnsi="Times New Roman" w:cs="Times New Roman"/>
          <w:b/>
          <w:bCs/>
          <w:sz w:val="24"/>
          <w:szCs w:val="24"/>
          <w:u w:val="single"/>
        </w:rPr>
      </w:pPr>
      <w:r w:rsidRPr="00622996">
        <w:rPr>
          <w:rFonts w:ascii="Times New Roman" w:eastAsia="Times New Roman" w:hAnsi="Times New Roman" w:cs="Times New Roman"/>
          <w:b/>
          <w:bCs/>
          <w:sz w:val="24"/>
          <w:szCs w:val="24"/>
          <w:u w:val="single"/>
        </w:rPr>
        <w:t>Methodology</w:t>
      </w:r>
    </w:p>
    <w:p w14:paraId="3D79E618" w14:textId="77777777" w:rsidR="00FB30FB" w:rsidRPr="00FB30FB" w:rsidRDefault="00FB30FB" w:rsidP="00FB30F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 xml:space="preserve">Study Design : </w:t>
      </w:r>
      <w:r w:rsidRPr="00FB30FB">
        <w:rPr>
          <w:rFonts w:ascii="Times New Roman" w:eastAsia="Times New Roman" w:hAnsi="Times New Roman" w:cs="Times New Roman"/>
          <w:sz w:val="24"/>
          <w:szCs w:val="24"/>
        </w:rPr>
        <w:t xml:space="preserve">A </w:t>
      </w:r>
      <w:r w:rsidRPr="00622996">
        <w:rPr>
          <w:rFonts w:ascii="Times New Roman" w:eastAsia="Times New Roman" w:hAnsi="Times New Roman" w:cs="Times New Roman"/>
          <w:bCs/>
          <w:sz w:val="24"/>
          <w:szCs w:val="24"/>
        </w:rPr>
        <w:t>cross-sectional, questionnaire-based observational study</w:t>
      </w:r>
      <w:r w:rsidRPr="00FB30FB">
        <w:rPr>
          <w:rFonts w:ascii="Times New Roman" w:eastAsia="Times New Roman" w:hAnsi="Times New Roman" w:cs="Times New Roman"/>
          <w:sz w:val="24"/>
          <w:szCs w:val="24"/>
        </w:rPr>
        <w:t xml:space="preserve"> was conducted to assess the </w:t>
      </w:r>
      <w:r w:rsidRPr="00622996">
        <w:rPr>
          <w:rFonts w:ascii="Times New Roman" w:eastAsia="Times New Roman" w:hAnsi="Times New Roman" w:cs="Times New Roman"/>
          <w:bCs/>
          <w:sz w:val="24"/>
          <w:szCs w:val="24"/>
        </w:rPr>
        <w:t>knowledge, attitude, and practice (KAP)</w:t>
      </w:r>
      <w:r w:rsidRPr="00FB30FB">
        <w:rPr>
          <w:rFonts w:ascii="Times New Roman" w:eastAsia="Times New Roman" w:hAnsi="Times New Roman" w:cs="Times New Roman"/>
          <w:sz w:val="24"/>
          <w:szCs w:val="24"/>
        </w:rPr>
        <w:t xml:space="preserve"> regarding antimicrobial resistance (AMR) among community pharmacy professionals. This design was selected to capture current awareness levels and dispensing practices related to antimicrobial use in community pharmacy settings.</w:t>
      </w:r>
    </w:p>
    <w:p w14:paraId="087D0A4D" w14:textId="77777777" w:rsidR="00FB30FB" w:rsidRPr="00FB30FB" w:rsidRDefault="00FB30FB" w:rsidP="00FB30F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 xml:space="preserve">Study Setting : </w:t>
      </w:r>
      <w:r w:rsidRPr="00FB30FB">
        <w:rPr>
          <w:rFonts w:ascii="Times New Roman" w:eastAsia="Times New Roman" w:hAnsi="Times New Roman" w:cs="Times New Roman"/>
          <w:sz w:val="24"/>
          <w:szCs w:val="24"/>
        </w:rPr>
        <w:t xml:space="preserve">The study was carried out in </w:t>
      </w:r>
      <w:r w:rsidRPr="00622996">
        <w:rPr>
          <w:rFonts w:ascii="Times New Roman" w:eastAsia="Times New Roman" w:hAnsi="Times New Roman" w:cs="Times New Roman"/>
          <w:bCs/>
          <w:sz w:val="24"/>
          <w:szCs w:val="24"/>
        </w:rPr>
        <w:t>community (retail) pharmacies</w:t>
      </w:r>
      <w:r w:rsidRPr="00FB30FB">
        <w:rPr>
          <w:rFonts w:ascii="Times New Roman" w:eastAsia="Times New Roman" w:hAnsi="Times New Roman" w:cs="Times New Roman"/>
          <w:sz w:val="24"/>
          <w:szCs w:val="24"/>
        </w:rPr>
        <w:t xml:space="preserve"> located in urban and semi-urban areas of </w:t>
      </w:r>
      <w:r w:rsidRPr="00622996">
        <w:rPr>
          <w:rFonts w:ascii="Times New Roman" w:eastAsia="Times New Roman" w:hAnsi="Times New Roman" w:cs="Times New Roman"/>
          <w:bCs/>
          <w:sz w:val="24"/>
          <w:szCs w:val="24"/>
        </w:rPr>
        <w:t xml:space="preserve">Agra. </w:t>
      </w:r>
      <w:r w:rsidRPr="00FB30FB">
        <w:rPr>
          <w:rFonts w:ascii="Times New Roman" w:eastAsia="Times New Roman" w:hAnsi="Times New Roman" w:cs="Times New Roman"/>
          <w:sz w:val="24"/>
          <w:szCs w:val="24"/>
        </w:rPr>
        <w:t>Community pharmacies play a crucial role in medication access and patient education, making them an important setting for evaluating antimicrobial use and resistance-related practices.</w:t>
      </w:r>
    </w:p>
    <w:p w14:paraId="4000EECF" w14:textId="77777777" w:rsidR="00FB30FB" w:rsidRPr="00FB30FB" w:rsidRDefault="00FB30FB" w:rsidP="00FB30F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lastRenderedPageBreak/>
        <w:t>Study Duration :</w:t>
      </w:r>
      <w:r w:rsidRPr="00FB30FB">
        <w:rPr>
          <w:rFonts w:ascii="Times New Roman" w:eastAsia="Times New Roman" w:hAnsi="Times New Roman" w:cs="Times New Roman"/>
          <w:sz w:val="24"/>
          <w:szCs w:val="24"/>
        </w:rPr>
        <w:t xml:space="preserve">The study was conducted over a period of </w:t>
      </w:r>
      <w:r w:rsidRPr="00622996">
        <w:rPr>
          <w:rFonts w:ascii="Times New Roman" w:eastAsia="Times New Roman" w:hAnsi="Times New Roman" w:cs="Times New Roman"/>
          <w:b/>
          <w:bCs/>
          <w:sz w:val="24"/>
          <w:szCs w:val="24"/>
        </w:rPr>
        <w:t>6 months</w:t>
      </w:r>
      <w:r w:rsidRPr="00FB30FB">
        <w:rPr>
          <w:rFonts w:ascii="Times New Roman" w:eastAsia="Times New Roman" w:hAnsi="Times New Roman" w:cs="Times New Roman"/>
          <w:sz w:val="24"/>
          <w:szCs w:val="24"/>
        </w:rPr>
        <w:t>, including participant recruitment, data collection, and analysis.</w:t>
      </w:r>
    </w:p>
    <w:p w14:paraId="7ED655EF" w14:textId="77777777" w:rsidR="00FB30FB" w:rsidRPr="00FB30FB" w:rsidRDefault="00FB30FB" w:rsidP="00FB30F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Study Population</w:t>
      </w:r>
    </w:p>
    <w:p w14:paraId="7FABB0C0" w14:textId="77777777" w:rsidR="00FB30FB" w:rsidRPr="00FB30FB" w:rsidRDefault="00FB30FB" w:rsidP="00FB30FB">
      <w:p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 xml:space="preserve">The study population consisted of </w:t>
      </w:r>
      <w:r w:rsidRPr="00622996">
        <w:rPr>
          <w:rFonts w:ascii="Times New Roman" w:eastAsia="Times New Roman" w:hAnsi="Times New Roman" w:cs="Times New Roman"/>
          <w:bCs/>
          <w:sz w:val="24"/>
          <w:szCs w:val="24"/>
        </w:rPr>
        <w:t>community pharmacy professionals</w:t>
      </w:r>
      <w:r w:rsidRPr="00FB30FB">
        <w:rPr>
          <w:rFonts w:ascii="Times New Roman" w:eastAsia="Times New Roman" w:hAnsi="Times New Roman" w:cs="Times New Roman"/>
          <w:sz w:val="24"/>
          <w:szCs w:val="24"/>
        </w:rPr>
        <w:t xml:space="preserve"> involved in medication dispensing.</w:t>
      </w:r>
    </w:p>
    <w:p w14:paraId="78A8AA8F" w14:textId="77777777" w:rsidR="00DD5E78" w:rsidRPr="00622996" w:rsidRDefault="00DD5E78" w:rsidP="00FB30FB">
      <w:pPr>
        <w:spacing w:before="100" w:beforeAutospacing="1" w:after="100" w:afterAutospacing="1" w:line="360" w:lineRule="auto"/>
        <w:jc w:val="both"/>
        <w:outlineLvl w:val="3"/>
        <w:rPr>
          <w:rFonts w:ascii="Times New Roman" w:eastAsia="Times New Roman" w:hAnsi="Times New Roman" w:cs="Times New Roman"/>
          <w:b/>
          <w:bCs/>
          <w:sz w:val="24"/>
          <w:szCs w:val="24"/>
        </w:rPr>
      </w:pPr>
    </w:p>
    <w:p w14:paraId="79A4370B" w14:textId="77777777" w:rsidR="00DD5E78" w:rsidRPr="00622996" w:rsidRDefault="00DD5E78" w:rsidP="00FB30FB">
      <w:pPr>
        <w:spacing w:before="100" w:beforeAutospacing="1" w:after="100" w:afterAutospacing="1" w:line="360" w:lineRule="auto"/>
        <w:jc w:val="both"/>
        <w:outlineLvl w:val="3"/>
        <w:rPr>
          <w:rFonts w:ascii="Times New Roman" w:eastAsia="Times New Roman" w:hAnsi="Times New Roman" w:cs="Times New Roman"/>
          <w:b/>
          <w:bCs/>
          <w:sz w:val="24"/>
          <w:szCs w:val="24"/>
        </w:rPr>
      </w:pPr>
    </w:p>
    <w:p w14:paraId="2BE08E05" w14:textId="77777777" w:rsidR="00FB30FB" w:rsidRPr="00FB30FB" w:rsidRDefault="00FB30FB" w:rsidP="00FB30F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Inclusion Criteria</w:t>
      </w:r>
    </w:p>
    <w:p w14:paraId="60B51461" w14:textId="77777777" w:rsidR="00FB30FB" w:rsidRPr="00FB30FB" w:rsidRDefault="00FB30FB" w:rsidP="00FB30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Registered community pharmacists and pharmacy assistants.</w:t>
      </w:r>
    </w:p>
    <w:p w14:paraId="1DDBC0C8" w14:textId="77777777" w:rsidR="00FB30FB" w:rsidRPr="00FB30FB" w:rsidRDefault="00FB30FB" w:rsidP="00FB30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Currently working in a community pharmacy.</w:t>
      </w:r>
    </w:p>
    <w:p w14:paraId="127F6F95" w14:textId="77777777" w:rsidR="00FB30FB" w:rsidRPr="00FB30FB" w:rsidRDefault="00FB30FB" w:rsidP="00FB30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 xml:space="preserve">Minimum of </w:t>
      </w:r>
      <w:r w:rsidRPr="00622996">
        <w:rPr>
          <w:rFonts w:ascii="Times New Roman" w:eastAsia="Times New Roman" w:hAnsi="Times New Roman" w:cs="Times New Roman"/>
          <w:bCs/>
          <w:sz w:val="24"/>
          <w:szCs w:val="24"/>
        </w:rPr>
        <w:t>6 months of professional experience</w:t>
      </w:r>
      <w:r w:rsidRPr="00FB30FB">
        <w:rPr>
          <w:rFonts w:ascii="Times New Roman" w:eastAsia="Times New Roman" w:hAnsi="Times New Roman" w:cs="Times New Roman"/>
          <w:sz w:val="24"/>
          <w:szCs w:val="24"/>
        </w:rPr>
        <w:t>.</w:t>
      </w:r>
    </w:p>
    <w:p w14:paraId="3DE86013" w14:textId="77777777" w:rsidR="00FB30FB" w:rsidRPr="00FB30FB" w:rsidRDefault="00FB30FB" w:rsidP="00FB30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Willingness to participate and provide informed consent.</w:t>
      </w:r>
    </w:p>
    <w:p w14:paraId="16BA948B" w14:textId="77777777" w:rsidR="00FB30FB" w:rsidRPr="00FB30FB" w:rsidRDefault="00FB30FB" w:rsidP="00FB30F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Exclusion Criteria</w:t>
      </w:r>
    </w:p>
    <w:p w14:paraId="0EE15198" w14:textId="77777777" w:rsidR="00FB30FB" w:rsidRPr="00FB30FB" w:rsidRDefault="00FB30FB" w:rsidP="00FB30F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Hospital or clinical pharmacists.</w:t>
      </w:r>
    </w:p>
    <w:p w14:paraId="7503F76D" w14:textId="77777777" w:rsidR="00FB30FB" w:rsidRPr="00FB30FB" w:rsidRDefault="00FB30FB" w:rsidP="00FB30F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Pharmacy students and interns.</w:t>
      </w:r>
    </w:p>
    <w:p w14:paraId="34380E2E" w14:textId="77777777" w:rsidR="00FB30FB" w:rsidRPr="00FB30FB" w:rsidRDefault="00FB30FB" w:rsidP="00FB30F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Individuals not directly involved in dispensing activities.</w:t>
      </w:r>
    </w:p>
    <w:p w14:paraId="6584BEAB" w14:textId="77777777" w:rsidR="00FB30FB" w:rsidRPr="00FB30FB" w:rsidRDefault="00FB30FB" w:rsidP="00FB30F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Participants who declined consent.</w:t>
      </w:r>
    </w:p>
    <w:p w14:paraId="30939CA9" w14:textId="77777777" w:rsidR="00FB30FB" w:rsidRPr="00FB30FB" w:rsidRDefault="00FB30FB" w:rsidP="00FB30F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 xml:space="preserve">Sample Size Determination : </w:t>
      </w:r>
      <w:r w:rsidRPr="00FB30FB">
        <w:rPr>
          <w:rFonts w:ascii="Times New Roman" w:eastAsia="Times New Roman" w:hAnsi="Times New Roman" w:cs="Times New Roman"/>
          <w:sz w:val="24"/>
          <w:szCs w:val="24"/>
        </w:rPr>
        <w:t>The sample size was calculated using the formula for cross-sectional studies:</w:t>
      </w:r>
    </w:p>
    <w:p w14:paraId="29EDC082" w14:textId="77777777" w:rsidR="00FB30FB" w:rsidRPr="00FB30FB" w:rsidRDefault="00FB30FB" w:rsidP="00FB30FB">
      <w:pPr>
        <w:spacing w:after="0" w:line="360" w:lineRule="auto"/>
        <w:jc w:val="both"/>
        <w:rPr>
          <w:rFonts w:ascii="Times New Roman" w:eastAsia="Times New Roman" w:hAnsi="Times New Roman" w:cs="Times New Roman"/>
          <w:sz w:val="24"/>
          <w:szCs w:val="24"/>
        </w:rPr>
      </w:pPr>
      <w:r w:rsidRPr="00622996">
        <w:rPr>
          <w:rFonts w:ascii="Times New Roman" w:eastAsia="Times New Roman" w:hAnsi="Times New Roman" w:cs="Times New Roman"/>
          <w:noProof/>
          <w:sz w:val="24"/>
          <w:szCs w:val="24"/>
        </w:rPr>
        <w:drawing>
          <wp:inline distT="0" distB="0" distL="0" distR="0" wp14:anchorId="2F3CAF96" wp14:editId="4628D7F9">
            <wp:extent cx="1133633" cy="352474"/>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33633" cy="352474"/>
                    </a:xfrm>
                    <a:prstGeom prst="rect">
                      <a:avLst/>
                    </a:prstGeom>
                  </pic:spPr>
                </pic:pic>
              </a:graphicData>
            </a:graphic>
          </wp:inline>
        </w:drawing>
      </w:r>
    </w:p>
    <w:p w14:paraId="20FF0F26" w14:textId="77777777" w:rsidR="00FB30FB" w:rsidRPr="00FB30FB" w:rsidRDefault="00FB30FB" w:rsidP="00FB30FB">
      <w:p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 xml:space="preserve">The calculated sample size was approximately </w:t>
      </w:r>
      <w:r w:rsidRPr="00622996">
        <w:rPr>
          <w:rFonts w:ascii="Times New Roman" w:eastAsia="Times New Roman" w:hAnsi="Times New Roman" w:cs="Times New Roman"/>
          <w:bCs/>
          <w:sz w:val="24"/>
          <w:szCs w:val="24"/>
        </w:rPr>
        <w:t>240 participants</w:t>
      </w:r>
      <w:r w:rsidRPr="00FB30FB">
        <w:rPr>
          <w:rFonts w:ascii="Times New Roman" w:eastAsia="Times New Roman" w:hAnsi="Times New Roman" w:cs="Times New Roman"/>
          <w:sz w:val="24"/>
          <w:szCs w:val="24"/>
        </w:rPr>
        <w:t xml:space="preserve">. To account for non-response, </w:t>
      </w:r>
      <w:r w:rsidRPr="00622996">
        <w:rPr>
          <w:rFonts w:ascii="Times New Roman" w:eastAsia="Times New Roman" w:hAnsi="Times New Roman" w:cs="Times New Roman"/>
          <w:bCs/>
          <w:sz w:val="24"/>
          <w:szCs w:val="24"/>
        </w:rPr>
        <w:t>250 participants</w:t>
      </w:r>
      <w:r w:rsidRPr="00FB30FB">
        <w:rPr>
          <w:rFonts w:ascii="Times New Roman" w:eastAsia="Times New Roman" w:hAnsi="Times New Roman" w:cs="Times New Roman"/>
          <w:sz w:val="24"/>
          <w:szCs w:val="24"/>
        </w:rPr>
        <w:t xml:space="preserve"> were included in the study.</w:t>
      </w:r>
    </w:p>
    <w:p w14:paraId="73F4E910" w14:textId="77777777" w:rsidR="00FB30FB" w:rsidRPr="00FB30FB" w:rsidRDefault="00FB30FB" w:rsidP="00FB30F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lastRenderedPageBreak/>
        <w:t xml:space="preserve">Sampling Technique : </w:t>
      </w:r>
      <w:r w:rsidRPr="00FB30FB">
        <w:rPr>
          <w:rFonts w:ascii="Times New Roman" w:eastAsia="Times New Roman" w:hAnsi="Times New Roman" w:cs="Times New Roman"/>
          <w:sz w:val="24"/>
          <w:szCs w:val="24"/>
        </w:rPr>
        <w:t xml:space="preserve">A </w:t>
      </w:r>
      <w:r w:rsidRPr="00622996">
        <w:rPr>
          <w:rFonts w:ascii="Times New Roman" w:eastAsia="Times New Roman" w:hAnsi="Times New Roman" w:cs="Times New Roman"/>
          <w:bCs/>
          <w:sz w:val="24"/>
          <w:szCs w:val="24"/>
        </w:rPr>
        <w:t>convenience sampling method</w:t>
      </w:r>
      <w:r w:rsidRPr="00FB30FB">
        <w:rPr>
          <w:rFonts w:ascii="Times New Roman" w:eastAsia="Times New Roman" w:hAnsi="Times New Roman" w:cs="Times New Roman"/>
          <w:sz w:val="24"/>
          <w:szCs w:val="24"/>
        </w:rPr>
        <w:t xml:space="preserve"> was employed. Eligible participants were recruited from selected community pharmacies. Only one participant per pharmacy was enrolled to avoid duplication.</w:t>
      </w:r>
    </w:p>
    <w:p w14:paraId="159DF6DD" w14:textId="77777777" w:rsidR="00FB30FB" w:rsidRPr="00FB30FB" w:rsidRDefault="00FB30FB" w:rsidP="00FB30F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 xml:space="preserve">Study Tool (Questionnaire Design) : </w:t>
      </w:r>
      <w:r w:rsidRPr="00FB30FB">
        <w:rPr>
          <w:rFonts w:ascii="Times New Roman" w:eastAsia="Times New Roman" w:hAnsi="Times New Roman" w:cs="Times New Roman"/>
          <w:sz w:val="24"/>
          <w:szCs w:val="24"/>
        </w:rPr>
        <w:t xml:space="preserve">Data were collected using a </w:t>
      </w:r>
      <w:r w:rsidRPr="00622996">
        <w:rPr>
          <w:rFonts w:ascii="Times New Roman" w:eastAsia="Times New Roman" w:hAnsi="Times New Roman" w:cs="Times New Roman"/>
          <w:bCs/>
          <w:sz w:val="24"/>
          <w:szCs w:val="24"/>
        </w:rPr>
        <w:t>structured, self-administered questionnaire</w:t>
      </w:r>
      <w:r w:rsidRPr="00FB30FB">
        <w:rPr>
          <w:rFonts w:ascii="Times New Roman" w:eastAsia="Times New Roman" w:hAnsi="Times New Roman" w:cs="Times New Roman"/>
          <w:sz w:val="24"/>
          <w:szCs w:val="24"/>
        </w:rPr>
        <w:t>, developed based on published literature and guidelines on antimicrobial resistance.</w:t>
      </w:r>
    </w:p>
    <w:p w14:paraId="68142D10" w14:textId="77777777" w:rsidR="00DD5E78" w:rsidRPr="00622996" w:rsidRDefault="00DD5E78" w:rsidP="00FB30FB">
      <w:pPr>
        <w:spacing w:before="100" w:beforeAutospacing="1" w:after="100" w:afterAutospacing="1" w:line="360" w:lineRule="auto"/>
        <w:jc w:val="both"/>
        <w:rPr>
          <w:rFonts w:ascii="Times New Roman" w:eastAsia="Times New Roman" w:hAnsi="Times New Roman" w:cs="Times New Roman"/>
          <w:sz w:val="24"/>
          <w:szCs w:val="24"/>
        </w:rPr>
      </w:pPr>
    </w:p>
    <w:p w14:paraId="6911A22A" w14:textId="77777777" w:rsidR="00DD5E78" w:rsidRPr="00622996" w:rsidRDefault="00DD5E78" w:rsidP="00FB30FB">
      <w:pPr>
        <w:spacing w:before="100" w:beforeAutospacing="1" w:after="100" w:afterAutospacing="1" w:line="360" w:lineRule="auto"/>
        <w:jc w:val="both"/>
        <w:rPr>
          <w:rFonts w:ascii="Times New Roman" w:eastAsia="Times New Roman" w:hAnsi="Times New Roman" w:cs="Times New Roman"/>
          <w:sz w:val="24"/>
          <w:szCs w:val="24"/>
        </w:rPr>
      </w:pPr>
    </w:p>
    <w:p w14:paraId="64871FEA" w14:textId="77777777" w:rsidR="00FB30FB" w:rsidRPr="00FB30FB" w:rsidRDefault="00FB30FB" w:rsidP="00FB30FB">
      <w:p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 xml:space="preserve">The questionnaire comprised </w:t>
      </w:r>
      <w:r w:rsidRPr="00622996">
        <w:rPr>
          <w:rFonts w:ascii="Times New Roman" w:eastAsia="Times New Roman" w:hAnsi="Times New Roman" w:cs="Times New Roman"/>
          <w:b/>
          <w:bCs/>
          <w:sz w:val="24"/>
          <w:szCs w:val="24"/>
        </w:rPr>
        <w:t>four sections</w:t>
      </w:r>
      <w:r w:rsidRPr="00FB30FB">
        <w:rPr>
          <w:rFonts w:ascii="Times New Roman" w:eastAsia="Times New Roman" w:hAnsi="Times New Roman" w:cs="Times New Roman"/>
          <w:sz w:val="24"/>
          <w:szCs w:val="24"/>
        </w:rPr>
        <w:t>:</w:t>
      </w:r>
    </w:p>
    <w:p w14:paraId="2EE03B1C" w14:textId="77777777" w:rsidR="00FB30FB" w:rsidRPr="00FB30FB" w:rsidRDefault="00FB30FB" w:rsidP="00FB30F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Section A: Demographic Details</w:t>
      </w:r>
    </w:p>
    <w:p w14:paraId="6B48789C" w14:textId="77777777" w:rsidR="00FB30FB" w:rsidRPr="00FB30FB" w:rsidRDefault="00FB30FB" w:rsidP="00FB30F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Age</w:t>
      </w:r>
    </w:p>
    <w:p w14:paraId="5647F7E6" w14:textId="77777777" w:rsidR="00FB30FB" w:rsidRPr="00FB30FB" w:rsidRDefault="00FB30FB" w:rsidP="00FB30F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Gender</w:t>
      </w:r>
    </w:p>
    <w:p w14:paraId="21FE1CE1" w14:textId="77777777" w:rsidR="00FB30FB" w:rsidRPr="00FB30FB" w:rsidRDefault="00FB30FB" w:rsidP="00FB30F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Educational qualification</w:t>
      </w:r>
    </w:p>
    <w:p w14:paraId="2CA6B3EA" w14:textId="77777777" w:rsidR="00FB30FB" w:rsidRPr="00FB30FB" w:rsidRDefault="00FB30FB" w:rsidP="00FB30F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Years of experience</w:t>
      </w:r>
    </w:p>
    <w:p w14:paraId="1250D920" w14:textId="77777777" w:rsidR="00FB30FB" w:rsidRPr="00FB30FB" w:rsidRDefault="00FB30FB" w:rsidP="00FB30F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Type of pharmacy</w:t>
      </w:r>
    </w:p>
    <w:p w14:paraId="42A64E2E" w14:textId="77777777" w:rsidR="00FB30FB" w:rsidRPr="00FB30FB" w:rsidRDefault="00FB30FB" w:rsidP="00FB30F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Section B: Knowledge on Antimicrobial Resistance</w:t>
      </w:r>
    </w:p>
    <w:p w14:paraId="01122557" w14:textId="77777777" w:rsidR="00FB30FB" w:rsidRPr="00FB30FB" w:rsidRDefault="00FB30FB" w:rsidP="00FB30FB">
      <w:p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This section assessed participants’ understanding of:</w:t>
      </w:r>
    </w:p>
    <w:p w14:paraId="302F19ED" w14:textId="77777777" w:rsidR="00FB30FB" w:rsidRPr="00FB30FB" w:rsidRDefault="00FB30FB" w:rsidP="00FB30F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Definition and causes of AMR</w:t>
      </w:r>
    </w:p>
    <w:p w14:paraId="1A027018" w14:textId="77777777" w:rsidR="00FB30FB" w:rsidRPr="00FB30FB" w:rsidRDefault="00FB30FB" w:rsidP="00FB30F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Consequences of inappropriate antibiotic use</w:t>
      </w:r>
    </w:p>
    <w:p w14:paraId="6A930346" w14:textId="77777777" w:rsidR="00FB30FB" w:rsidRPr="00FB30FB" w:rsidRDefault="00FB30FB" w:rsidP="00FB30F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Role of pharmacists in AMR prevention</w:t>
      </w:r>
    </w:p>
    <w:p w14:paraId="24F17F9E" w14:textId="77777777" w:rsidR="00FB30FB" w:rsidRPr="00FB30FB" w:rsidRDefault="00FB30FB" w:rsidP="00FB30F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Awareness of antimicrobial stewardship and guidelines</w:t>
      </w:r>
    </w:p>
    <w:p w14:paraId="5FB990D6" w14:textId="77777777" w:rsidR="00FB30FB" w:rsidRPr="00FB30FB" w:rsidRDefault="00FB30FB" w:rsidP="00FB30F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Section C: Attitude Towards AMR</w:t>
      </w:r>
    </w:p>
    <w:p w14:paraId="6CF643AC" w14:textId="77777777" w:rsidR="00FB30FB" w:rsidRPr="00FB30FB" w:rsidRDefault="00FB30FB" w:rsidP="00FB30FB">
      <w:p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 xml:space="preserve">Attitude was assessed using a </w:t>
      </w:r>
      <w:r w:rsidRPr="00622996">
        <w:rPr>
          <w:rFonts w:ascii="Times New Roman" w:eastAsia="Times New Roman" w:hAnsi="Times New Roman" w:cs="Times New Roman"/>
          <w:b/>
          <w:bCs/>
          <w:sz w:val="24"/>
          <w:szCs w:val="24"/>
        </w:rPr>
        <w:t>5-point Likert scale</w:t>
      </w:r>
      <w:r w:rsidRPr="00FB30FB">
        <w:rPr>
          <w:rFonts w:ascii="Times New Roman" w:eastAsia="Times New Roman" w:hAnsi="Times New Roman" w:cs="Times New Roman"/>
          <w:sz w:val="24"/>
          <w:szCs w:val="24"/>
        </w:rPr>
        <w:t xml:space="preserve"> (Strongly agree to Strongly disagree), covering perceptions regarding:</w:t>
      </w:r>
    </w:p>
    <w:p w14:paraId="3E8F06D5" w14:textId="77777777" w:rsidR="00FB30FB" w:rsidRPr="00FB30FB" w:rsidRDefault="00FB30FB" w:rsidP="00FB30F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lastRenderedPageBreak/>
        <w:t>Antibiotic misuse and resistance</w:t>
      </w:r>
    </w:p>
    <w:p w14:paraId="10060235" w14:textId="77777777" w:rsidR="00FB30FB" w:rsidRPr="00FB30FB" w:rsidRDefault="00FB30FB" w:rsidP="00FB30F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Professional responsibility in AMR control</w:t>
      </w:r>
    </w:p>
    <w:p w14:paraId="518F6326" w14:textId="77777777" w:rsidR="00FB30FB" w:rsidRPr="00FB30FB" w:rsidRDefault="00FB30FB" w:rsidP="00FB30F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Need for prescription-only antibiotic dispensing</w:t>
      </w:r>
    </w:p>
    <w:p w14:paraId="04DB95FB" w14:textId="77777777" w:rsidR="00FB30FB" w:rsidRPr="00FB30FB" w:rsidRDefault="00FB30FB" w:rsidP="00FB30F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Importance of patient counseling</w:t>
      </w:r>
    </w:p>
    <w:p w14:paraId="7715643E" w14:textId="77777777" w:rsidR="00FB30FB" w:rsidRPr="00FB30FB" w:rsidRDefault="00FB30FB" w:rsidP="00FB30F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Section D: Practice Related to Antimicrobial Use</w:t>
      </w:r>
    </w:p>
    <w:p w14:paraId="0AB3A938" w14:textId="77777777" w:rsidR="00FB30FB" w:rsidRPr="00FB30FB" w:rsidRDefault="00FB30FB" w:rsidP="00FB30FB">
      <w:p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This section evaluated:</w:t>
      </w:r>
    </w:p>
    <w:p w14:paraId="296F8537" w14:textId="77777777" w:rsidR="00FB30FB" w:rsidRPr="00FB30FB" w:rsidRDefault="00FB30FB" w:rsidP="00FB30F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Frequency of dispensing antibiotics without prescription</w:t>
      </w:r>
    </w:p>
    <w:p w14:paraId="3656477A" w14:textId="77777777" w:rsidR="00FB30FB" w:rsidRPr="00FB30FB" w:rsidRDefault="00FB30FB" w:rsidP="00FB30F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Patient counseling practices</w:t>
      </w:r>
    </w:p>
    <w:p w14:paraId="2700EB83" w14:textId="77777777" w:rsidR="00FB30FB" w:rsidRPr="00FB30FB" w:rsidRDefault="00FB30FB" w:rsidP="00FB30F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Compliance with prescription guidelines</w:t>
      </w:r>
    </w:p>
    <w:p w14:paraId="6957D269" w14:textId="77777777" w:rsidR="00FB30FB" w:rsidRPr="00FB30FB" w:rsidRDefault="00FB30FB" w:rsidP="00FB30F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Documentation and record maintenance</w:t>
      </w:r>
    </w:p>
    <w:p w14:paraId="692FED78" w14:textId="77777777" w:rsidR="00FB30FB" w:rsidRPr="00FB30FB" w:rsidRDefault="00FB30FB" w:rsidP="00FB30F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Referral practices to physicians</w:t>
      </w:r>
    </w:p>
    <w:p w14:paraId="6EB600F0" w14:textId="77777777" w:rsidR="00FB30FB" w:rsidRPr="00FB30FB" w:rsidRDefault="00FB30FB" w:rsidP="00FB30F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Scoring System</w:t>
      </w:r>
    </w:p>
    <w:p w14:paraId="574EEA0D" w14:textId="77777777" w:rsidR="00FB30FB" w:rsidRPr="00FB30FB" w:rsidRDefault="00FB30FB" w:rsidP="00FB30F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22996">
        <w:rPr>
          <w:rFonts w:ascii="Times New Roman" w:eastAsia="Times New Roman" w:hAnsi="Times New Roman" w:cs="Times New Roman"/>
          <w:b/>
          <w:bCs/>
          <w:sz w:val="24"/>
          <w:szCs w:val="24"/>
        </w:rPr>
        <w:t>Knowledge</w:t>
      </w:r>
      <w:r w:rsidRPr="00FB30FB">
        <w:rPr>
          <w:rFonts w:ascii="Times New Roman" w:eastAsia="Times New Roman" w:hAnsi="Times New Roman" w:cs="Times New Roman"/>
          <w:sz w:val="24"/>
          <w:szCs w:val="24"/>
        </w:rPr>
        <w:t>: Correct responses were assigned a score of 1; incorrect or “don’t know” responses were scored as 0.</w:t>
      </w:r>
    </w:p>
    <w:p w14:paraId="0975E019" w14:textId="77777777" w:rsidR="00FB30FB" w:rsidRPr="00FB30FB" w:rsidRDefault="00FB30FB" w:rsidP="00FB30F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22996">
        <w:rPr>
          <w:rFonts w:ascii="Times New Roman" w:eastAsia="Times New Roman" w:hAnsi="Times New Roman" w:cs="Times New Roman"/>
          <w:b/>
          <w:bCs/>
          <w:sz w:val="24"/>
          <w:szCs w:val="24"/>
        </w:rPr>
        <w:t>Attitude</w:t>
      </w:r>
      <w:r w:rsidRPr="00FB30FB">
        <w:rPr>
          <w:rFonts w:ascii="Times New Roman" w:eastAsia="Times New Roman" w:hAnsi="Times New Roman" w:cs="Times New Roman"/>
          <w:sz w:val="24"/>
          <w:szCs w:val="24"/>
        </w:rPr>
        <w:t>: Likert scale responses were scored from 1 to 5.</w:t>
      </w:r>
    </w:p>
    <w:p w14:paraId="0A22DDBA" w14:textId="77777777" w:rsidR="00FB30FB" w:rsidRPr="00FB30FB" w:rsidRDefault="00FB30FB" w:rsidP="00FB30F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22996">
        <w:rPr>
          <w:rFonts w:ascii="Times New Roman" w:eastAsia="Times New Roman" w:hAnsi="Times New Roman" w:cs="Times New Roman"/>
          <w:b/>
          <w:bCs/>
          <w:sz w:val="24"/>
          <w:szCs w:val="24"/>
        </w:rPr>
        <w:t>Practice</w:t>
      </w:r>
      <w:r w:rsidRPr="00FB30FB">
        <w:rPr>
          <w:rFonts w:ascii="Times New Roman" w:eastAsia="Times New Roman" w:hAnsi="Times New Roman" w:cs="Times New Roman"/>
          <w:sz w:val="24"/>
          <w:szCs w:val="24"/>
        </w:rPr>
        <w:t>: Appropriate practices were assigned higher scores.</w:t>
      </w:r>
    </w:p>
    <w:p w14:paraId="76A0D659" w14:textId="77777777" w:rsidR="00FB30FB" w:rsidRPr="00FB30FB" w:rsidRDefault="00FB30FB" w:rsidP="00FB30FB">
      <w:p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 xml:space="preserve">Based on total scores, participants were categorized into </w:t>
      </w:r>
      <w:r w:rsidRPr="00622996">
        <w:rPr>
          <w:rFonts w:ascii="Times New Roman" w:eastAsia="Times New Roman" w:hAnsi="Times New Roman" w:cs="Times New Roman"/>
          <w:b/>
          <w:bCs/>
          <w:sz w:val="24"/>
          <w:szCs w:val="24"/>
        </w:rPr>
        <w:t>good, moderate, or poor</w:t>
      </w:r>
      <w:r w:rsidRPr="00FB30FB">
        <w:rPr>
          <w:rFonts w:ascii="Times New Roman" w:eastAsia="Times New Roman" w:hAnsi="Times New Roman" w:cs="Times New Roman"/>
          <w:sz w:val="24"/>
          <w:szCs w:val="24"/>
        </w:rPr>
        <w:t xml:space="preserve"> knowledge, attitude, and practice levels using predefined cut-off values.</w:t>
      </w:r>
    </w:p>
    <w:p w14:paraId="134C13DD" w14:textId="77777777" w:rsidR="00FB30FB" w:rsidRPr="00FB30FB" w:rsidRDefault="00FB30FB" w:rsidP="001E13E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Data Collection Procedure</w:t>
      </w:r>
      <w:r w:rsidR="001E13E2" w:rsidRPr="00622996">
        <w:rPr>
          <w:rFonts w:ascii="Times New Roman" w:eastAsia="Times New Roman" w:hAnsi="Times New Roman" w:cs="Times New Roman"/>
          <w:b/>
          <w:bCs/>
          <w:sz w:val="24"/>
          <w:szCs w:val="24"/>
        </w:rPr>
        <w:t xml:space="preserve"> : </w:t>
      </w:r>
      <w:r w:rsidRPr="00FB30FB">
        <w:rPr>
          <w:rFonts w:ascii="Times New Roman" w:eastAsia="Times New Roman" w:hAnsi="Times New Roman" w:cs="Times New Roman"/>
          <w:sz w:val="24"/>
          <w:szCs w:val="24"/>
        </w:rPr>
        <w:t xml:space="preserve">Participants were informed about the objectives of the study, and </w:t>
      </w:r>
      <w:r w:rsidRPr="00622996">
        <w:rPr>
          <w:rFonts w:ascii="Times New Roman" w:eastAsia="Times New Roman" w:hAnsi="Times New Roman" w:cs="Times New Roman"/>
          <w:bCs/>
          <w:sz w:val="24"/>
          <w:szCs w:val="24"/>
        </w:rPr>
        <w:t>written informed consent</w:t>
      </w:r>
      <w:r w:rsidRPr="00FB30FB">
        <w:rPr>
          <w:rFonts w:ascii="Times New Roman" w:eastAsia="Times New Roman" w:hAnsi="Times New Roman" w:cs="Times New Roman"/>
          <w:sz w:val="24"/>
          <w:szCs w:val="24"/>
        </w:rPr>
        <w:t xml:space="preserve"> was obtained prior to data collection. Questionnaires were distributed and collected in person. Confidentiality of responses was strictly maintained, and no personal identifiers were recorded.</w:t>
      </w:r>
    </w:p>
    <w:p w14:paraId="68A2BEC1" w14:textId="77777777" w:rsidR="00FB30FB" w:rsidRPr="00FB30FB" w:rsidRDefault="00FB30FB" w:rsidP="001E13E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Statistical Analysis</w:t>
      </w:r>
      <w:r w:rsidR="001E13E2" w:rsidRPr="00622996">
        <w:rPr>
          <w:rFonts w:ascii="Times New Roman" w:eastAsia="Times New Roman" w:hAnsi="Times New Roman" w:cs="Times New Roman"/>
          <w:b/>
          <w:bCs/>
          <w:sz w:val="24"/>
          <w:szCs w:val="24"/>
        </w:rPr>
        <w:t xml:space="preserve"> : </w:t>
      </w:r>
      <w:r w:rsidRPr="00FB30FB">
        <w:rPr>
          <w:rFonts w:ascii="Times New Roman" w:eastAsia="Times New Roman" w:hAnsi="Times New Roman" w:cs="Times New Roman"/>
          <w:sz w:val="24"/>
          <w:szCs w:val="24"/>
        </w:rPr>
        <w:t xml:space="preserve">Data were entered into </w:t>
      </w:r>
      <w:r w:rsidRPr="00622996">
        <w:rPr>
          <w:rFonts w:ascii="Times New Roman" w:eastAsia="Times New Roman" w:hAnsi="Times New Roman" w:cs="Times New Roman"/>
          <w:bCs/>
          <w:sz w:val="24"/>
          <w:szCs w:val="24"/>
        </w:rPr>
        <w:t>Microsoft Excel</w:t>
      </w:r>
      <w:r w:rsidRPr="00FB30FB">
        <w:rPr>
          <w:rFonts w:ascii="Times New Roman" w:eastAsia="Times New Roman" w:hAnsi="Times New Roman" w:cs="Times New Roman"/>
          <w:sz w:val="24"/>
          <w:szCs w:val="24"/>
        </w:rPr>
        <w:t xml:space="preserve"> and analyzed using </w:t>
      </w:r>
      <w:r w:rsidRPr="00622996">
        <w:rPr>
          <w:rFonts w:ascii="Times New Roman" w:eastAsia="Times New Roman" w:hAnsi="Times New Roman" w:cs="Times New Roman"/>
          <w:bCs/>
          <w:sz w:val="24"/>
          <w:szCs w:val="24"/>
        </w:rPr>
        <w:t xml:space="preserve">SPSS </w:t>
      </w:r>
      <w:r w:rsidR="001620D2" w:rsidRPr="00622996">
        <w:rPr>
          <w:rFonts w:ascii="Times New Roman" w:eastAsia="Times New Roman" w:hAnsi="Times New Roman" w:cs="Times New Roman"/>
          <w:bCs/>
          <w:sz w:val="24"/>
          <w:szCs w:val="24"/>
        </w:rPr>
        <w:t xml:space="preserve">. </w:t>
      </w:r>
      <w:r w:rsidRPr="00FB30FB">
        <w:rPr>
          <w:rFonts w:ascii="Times New Roman" w:eastAsia="Times New Roman" w:hAnsi="Times New Roman" w:cs="Times New Roman"/>
          <w:sz w:val="24"/>
          <w:szCs w:val="24"/>
        </w:rPr>
        <w:t>Descriptive statistics were used to summarize demographic data and KAP responses.</w:t>
      </w:r>
      <w:r w:rsidR="001620D2" w:rsidRPr="00622996">
        <w:rPr>
          <w:rFonts w:ascii="Times New Roman" w:eastAsia="Times New Roman" w:hAnsi="Times New Roman" w:cs="Times New Roman"/>
          <w:sz w:val="24"/>
          <w:szCs w:val="24"/>
        </w:rPr>
        <w:t xml:space="preserve"> </w:t>
      </w:r>
      <w:r w:rsidRPr="00FB30FB">
        <w:rPr>
          <w:rFonts w:ascii="Times New Roman" w:eastAsia="Times New Roman" w:hAnsi="Times New Roman" w:cs="Times New Roman"/>
          <w:sz w:val="24"/>
          <w:szCs w:val="24"/>
        </w:rPr>
        <w:t>Frequencies and percentages were calculated for categorical variables.</w:t>
      </w:r>
      <w:r w:rsidR="001620D2" w:rsidRPr="00622996">
        <w:rPr>
          <w:rFonts w:ascii="Times New Roman" w:eastAsia="Times New Roman" w:hAnsi="Times New Roman" w:cs="Times New Roman"/>
          <w:sz w:val="24"/>
          <w:szCs w:val="24"/>
        </w:rPr>
        <w:t xml:space="preserve"> </w:t>
      </w:r>
      <w:r w:rsidRPr="00FB30FB">
        <w:rPr>
          <w:rFonts w:ascii="Times New Roman" w:eastAsia="Times New Roman" w:hAnsi="Times New Roman" w:cs="Times New Roman"/>
          <w:sz w:val="24"/>
          <w:szCs w:val="24"/>
        </w:rPr>
        <w:t xml:space="preserve">Mean and standard </w:t>
      </w:r>
      <w:r w:rsidRPr="00FB30FB">
        <w:rPr>
          <w:rFonts w:ascii="Times New Roman" w:eastAsia="Times New Roman" w:hAnsi="Times New Roman" w:cs="Times New Roman"/>
          <w:sz w:val="24"/>
          <w:szCs w:val="24"/>
        </w:rPr>
        <w:lastRenderedPageBreak/>
        <w:t>deviation were used for continuous varia</w:t>
      </w:r>
      <w:r w:rsidR="001620D2" w:rsidRPr="00622996">
        <w:rPr>
          <w:rFonts w:ascii="Times New Roman" w:eastAsia="Times New Roman" w:hAnsi="Times New Roman" w:cs="Times New Roman"/>
          <w:sz w:val="24"/>
          <w:szCs w:val="24"/>
        </w:rPr>
        <w:t xml:space="preserve">bles. </w:t>
      </w:r>
      <w:r w:rsidRPr="00FB30FB">
        <w:rPr>
          <w:rFonts w:ascii="Times New Roman" w:eastAsia="Times New Roman" w:hAnsi="Times New Roman" w:cs="Times New Roman"/>
          <w:sz w:val="24"/>
          <w:szCs w:val="24"/>
        </w:rPr>
        <w:t xml:space="preserve">A </w:t>
      </w:r>
      <w:r w:rsidRPr="00622996">
        <w:rPr>
          <w:rFonts w:ascii="Times New Roman" w:eastAsia="Times New Roman" w:hAnsi="Times New Roman" w:cs="Times New Roman"/>
          <w:bCs/>
          <w:sz w:val="24"/>
          <w:szCs w:val="24"/>
        </w:rPr>
        <w:t>p-value &lt; 0.05</w:t>
      </w:r>
      <w:r w:rsidRPr="00FB30FB">
        <w:rPr>
          <w:rFonts w:ascii="Times New Roman" w:eastAsia="Times New Roman" w:hAnsi="Times New Roman" w:cs="Times New Roman"/>
          <w:sz w:val="24"/>
          <w:szCs w:val="24"/>
        </w:rPr>
        <w:t xml:space="preserve"> was considered statistically significant.</w:t>
      </w:r>
    </w:p>
    <w:p w14:paraId="467CD82A" w14:textId="77777777" w:rsidR="001E13E2" w:rsidRPr="00622996" w:rsidRDefault="001E13E2" w:rsidP="00B40E74">
      <w:pPr>
        <w:spacing w:before="100" w:beforeAutospacing="1" w:after="100" w:afterAutospacing="1" w:line="240" w:lineRule="auto"/>
        <w:outlineLvl w:val="1"/>
        <w:rPr>
          <w:rFonts w:ascii="Times New Roman" w:eastAsia="Times New Roman" w:hAnsi="Times New Roman" w:cs="Times New Roman"/>
          <w:b/>
          <w:bCs/>
          <w:sz w:val="24"/>
          <w:szCs w:val="24"/>
          <w:u w:val="single"/>
        </w:rPr>
      </w:pPr>
    </w:p>
    <w:p w14:paraId="3E7DAC3C" w14:textId="77777777" w:rsidR="001E13E2" w:rsidRPr="00622996" w:rsidRDefault="001E13E2" w:rsidP="00B40E74">
      <w:pPr>
        <w:spacing w:before="100" w:beforeAutospacing="1" w:after="100" w:afterAutospacing="1" w:line="240" w:lineRule="auto"/>
        <w:outlineLvl w:val="1"/>
        <w:rPr>
          <w:rFonts w:ascii="Times New Roman" w:eastAsia="Times New Roman" w:hAnsi="Times New Roman" w:cs="Times New Roman"/>
          <w:b/>
          <w:bCs/>
          <w:sz w:val="24"/>
          <w:szCs w:val="24"/>
          <w:u w:val="single"/>
        </w:rPr>
      </w:pPr>
    </w:p>
    <w:p w14:paraId="76453FA1" w14:textId="77777777" w:rsidR="001E13E2" w:rsidRPr="00622996" w:rsidRDefault="001E13E2" w:rsidP="00B40E74">
      <w:pPr>
        <w:spacing w:before="100" w:beforeAutospacing="1" w:after="100" w:afterAutospacing="1" w:line="240" w:lineRule="auto"/>
        <w:outlineLvl w:val="1"/>
        <w:rPr>
          <w:rFonts w:ascii="Times New Roman" w:eastAsia="Times New Roman" w:hAnsi="Times New Roman" w:cs="Times New Roman"/>
          <w:b/>
          <w:bCs/>
          <w:sz w:val="24"/>
          <w:szCs w:val="24"/>
          <w:u w:val="single"/>
        </w:rPr>
      </w:pPr>
    </w:p>
    <w:p w14:paraId="59A6E86A" w14:textId="77777777" w:rsidR="001E13E2" w:rsidRPr="00622996" w:rsidRDefault="001E13E2" w:rsidP="00B40E74">
      <w:pPr>
        <w:spacing w:before="100" w:beforeAutospacing="1" w:after="100" w:afterAutospacing="1" w:line="240" w:lineRule="auto"/>
        <w:outlineLvl w:val="1"/>
        <w:rPr>
          <w:rFonts w:ascii="Times New Roman" w:eastAsia="Times New Roman" w:hAnsi="Times New Roman" w:cs="Times New Roman"/>
          <w:b/>
          <w:bCs/>
          <w:sz w:val="24"/>
          <w:szCs w:val="24"/>
          <w:u w:val="single"/>
        </w:rPr>
      </w:pPr>
    </w:p>
    <w:p w14:paraId="732F1E1F" w14:textId="77777777" w:rsidR="001E13E2" w:rsidRPr="00622996" w:rsidRDefault="001E13E2" w:rsidP="00B40E74">
      <w:pPr>
        <w:spacing w:before="100" w:beforeAutospacing="1" w:after="100" w:afterAutospacing="1" w:line="240" w:lineRule="auto"/>
        <w:outlineLvl w:val="1"/>
        <w:rPr>
          <w:rFonts w:ascii="Times New Roman" w:eastAsia="Times New Roman" w:hAnsi="Times New Roman" w:cs="Times New Roman"/>
          <w:b/>
          <w:bCs/>
          <w:sz w:val="24"/>
          <w:szCs w:val="24"/>
          <w:u w:val="single"/>
        </w:rPr>
      </w:pPr>
    </w:p>
    <w:p w14:paraId="71A36F83" w14:textId="77777777" w:rsidR="001E13E2" w:rsidRPr="00622996" w:rsidRDefault="001E13E2" w:rsidP="00B40E74">
      <w:pPr>
        <w:spacing w:before="100" w:beforeAutospacing="1" w:after="100" w:afterAutospacing="1" w:line="240" w:lineRule="auto"/>
        <w:outlineLvl w:val="1"/>
        <w:rPr>
          <w:rFonts w:ascii="Times New Roman" w:eastAsia="Times New Roman" w:hAnsi="Times New Roman" w:cs="Times New Roman"/>
          <w:b/>
          <w:bCs/>
          <w:sz w:val="24"/>
          <w:szCs w:val="24"/>
          <w:u w:val="single"/>
        </w:rPr>
      </w:pPr>
    </w:p>
    <w:p w14:paraId="25F9F64B" w14:textId="77777777" w:rsidR="00B40E74" w:rsidRPr="00622996"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u w:val="single"/>
        </w:rPr>
      </w:pPr>
      <w:r w:rsidRPr="00622996">
        <w:rPr>
          <w:rFonts w:ascii="Times New Roman" w:eastAsia="Times New Roman" w:hAnsi="Times New Roman" w:cs="Times New Roman"/>
          <w:b/>
          <w:bCs/>
          <w:sz w:val="24"/>
          <w:szCs w:val="24"/>
          <w:u w:val="single"/>
        </w:rPr>
        <w:t>RESULTS</w:t>
      </w:r>
    </w:p>
    <w:p w14:paraId="016A5EE9"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1. Demographic Characteristics of Participants (n = 250)</w:t>
      </w:r>
    </w:p>
    <w:tbl>
      <w:tblPr>
        <w:tblStyle w:val="TableGrid"/>
        <w:tblW w:w="7749" w:type="dxa"/>
        <w:jc w:val="center"/>
        <w:tblLook w:val="04A0" w:firstRow="1" w:lastRow="0" w:firstColumn="1" w:lastColumn="0" w:noHBand="0" w:noVBand="1"/>
      </w:tblPr>
      <w:tblGrid>
        <w:gridCol w:w="2817"/>
        <w:gridCol w:w="2628"/>
        <w:gridCol w:w="1095"/>
        <w:gridCol w:w="1209"/>
      </w:tblGrid>
      <w:tr w:rsidR="00B40E74" w:rsidRPr="00B40E74" w14:paraId="37B26F56" w14:textId="77777777" w:rsidTr="001E13E2">
        <w:trPr>
          <w:trHeight w:val="366"/>
          <w:jc w:val="center"/>
        </w:trPr>
        <w:tc>
          <w:tcPr>
            <w:tcW w:w="0" w:type="auto"/>
            <w:vAlign w:val="center"/>
            <w:hideMark/>
          </w:tcPr>
          <w:p w14:paraId="68C7C4F1"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Variable</w:t>
            </w:r>
          </w:p>
        </w:tc>
        <w:tc>
          <w:tcPr>
            <w:tcW w:w="0" w:type="auto"/>
            <w:vAlign w:val="center"/>
            <w:hideMark/>
          </w:tcPr>
          <w:p w14:paraId="52DB4983"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Category</w:t>
            </w:r>
          </w:p>
        </w:tc>
        <w:tc>
          <w:tcPr>
            <w:tcW w:w="0" w:type="auto"/>
            <w:vAlign w:val="center"/>
            <w:hideMark/>
          </w:tcPr>
          <w:p w14:paraId="41A0047A"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n</w:t>
            </w:r>
          </w:p>
        </w:tc>
        <w:tc>
          <w:tcPr>
            <w:tcW w:w="0" w:type="auto"/>
            <w:vAlign w:val="center"/>
            <w:hideMark/>
          </w:tcPr>
          <w:p w14:paraId="32D886A6"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w:t>
            </w:r>
          </w:p>
        </w:tc>
      </w:tr>
      <w:tr w:rsidR="001E13E2" w:rsidRPr="00622996" w14:paraId="4680A247" w14:textId="77777777" w:rsidTr="001E13E2">
        <w:trPr>
          <w:trHeight w:val="403"/>
          <w:jc w:val="center"/>
        </w:trPr>
        <w:tc>
          <w:tcPr>
            <w:tcW w:w="0" w:type="auto"/>
            <w:vMerge w:val="restart"/>
            <w:vAlign w:val="center"/>
            <w:hideMark/>
          </w:tcPr>
          <w:p w14:paraId="536618B2"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Age</w:t>
            </w:r>
          </w:p>
        </w:tc>
        <w:tc>
          <w:tcPr>
            <w:tcW w:w="0" w:type="auto"/>
            <w:vAlign w:val="center"/>
            <w:hideMark/>
          </w:tcPr>
          <w:p w14:paraId="0ECE586E"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20–30 years</w:t>
            </w:r>
          </w:p>
        </w:tc>
        <w:tc>
          <w:tcPr>
            <w:tcW w:w="0" w:type="auto"/>
            <w:vAlign w:val="center"/>
            <w:hideMark/>
          </w:tcPr>
          <w:p w14:paraId="1D233FCA"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120</w:t>
            </w:r>
          </w:p>
        </w:tc>
        <w:tc>
          <w:tcPr>
            <w:tcW w:w="0" w:type="auto"/>
            <w:vAlign w:val="center"/>
            <w:hideMark/>
          </w:tcPr>
          <w:p w14:paraId="6C52FB53"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48.0</w:t>
            </w:r>
          </w:p>
        </w:tc>
      </w:tr>
      <w:tr w:rsidR="001E13E2" w:rsidRPr="00622996" w14:paraId="17263058" w14:textId="77777777" w:rsidTr="001E13E2">
        <w:trPr>
          <w:trHeight w:val="212"/>
          <w:jc w:val="center"/>
        </w:trPr>
        <w:tc>
          <w:tcPr>
            <w:tcW w:w="0" w:type="auto"/>
            <w:vMerge/>
            <w:vAlign w:val="center"/>
            <w:hideMark/>
          </w:tcPr>
          <w:p w14:paraId="4FDE52D6" w14:textId="77777777" w:rsidR="001E13E2" w:rsidRPr="00B40E74" w:rsidRDefault="001E13E2" w:rsidP="00B40E74">
            <w:pPr>
              <w:jc w:val="center"/>
              <w:rPr>
                <w:rFonts w:ascii="Times New Roman" w:eastAsia="Times New Roman" w:hAnsi="Times New Roman" w:cs="Times New Roman"/>
                <w:sz w:val="24"/>
                <w:szCs w:val="24"/>
              </w:rPr>
            </w:pPr>
          </w:p>
        </w:tc>
        <w:tc>
          <w:tcPr>
            <w:tcW w:w="0" w:type="auto"/>
            <w:vAlign w:val="center"/>
            <w:hideMark/>
          </w:tcPr>
          <w:p w14:paraId="1F1CBBCD"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31–40 years</w:t>
            </w:r>
          </w:p>
        </w:tc>
        <w:tc>
          <w:tcPr>
            <w:tcW w:w="0" w:type="auto"/>
            <w:vAlign w:val="center"/>
            <w:hideMark/>
          </w:tcPr>
          <w:p w14:paraId="2C5D7C11"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80</w:t>
            </w:r>
          </w:p>
        </w:tc>
        <w:tc>
          <w:tcPr>
            <w:tcW w:w="0" w:type="auto"/>
            <w:vAlign w:val="center"/>
            <w:hideMark/>
          </w:tcPr>
          <w:p w14:paraId="196D74CA"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32.0</w:t>
            </w:r>
          </w:p>
        </w:tc>
      </w:tr>
      <w:tr w:rsidR="001E13E2" w:rsidRPr="00622996" w14:paraId="4A3A305A" w14:textId="77777777" w:rsidTr="001E13E2">
        <w:trPr>
          <w:trHeight w:val="212"/>
          <w:jc w:val="center"/>
        </w:trPr>
        <w:tc>
          <w:tcPr>
            <w:tcW w:w="0" w:type="auto"/>
            <w:vMerge/>
            <w:vAlign w:val="center"/>
            <w:hideMark/>
          </w:tcPr>
          <w:p w14:paraId="2F1953F8" w14:textId="77777777" w:rsidR="001E13E2" w:rsidRPr="00B40E74" w:rsidRDefault="001E13E2" w:rsidP="00B40E74">
            <w:pPr>
              <w:jc w:val="center"/>
              <w:rPr>
                <w:rFonts w:ascii="Times New Roman" w:eastAsia="Times New Roman" w:hAnsi="Times New Roman" w:cs="Times New Roman"/>
                <w:sz w:val="24"/>
                <w:szCs w:val="24"/>
              </w:rPr>
            </w:pPr>
          </w:p>
        </w:tc>
        <w:tc>
          <w:tcPr>
            <w:tcW w:w="0" w:type="auto"/>
            <w:vAlign w:val="center"/>
            <w:hideMark/>
          </w:tcPr>
          <w:p w14:paraId="79B72D2D"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41–50 years</w:t>
            </w:r>
          </w:p>
        </w:tc>
        <w:tc>
          <w:tcPr>
            <w:tcW w:w="0" w:type="auto"/>
            <w:vAlign w:val="center"/>
            <w:hideMark/>
          </w:tcPr>
          <w:p w14:paraId="034D209F"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30</w:t>
            </w:r>
          </w:p>
        </w:tc>
        <w:tc>
          <w:tcPr>
            <w:tcW w:w="0" w:type="auto"/>
            <w:vAlign w:val="center"/>
            <w:hideMark/>
          </w:tcPr>
          <w:p w14:paraId="40E91E3F"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12.0</w:t>
            </w:r>
          </w:p>
        </w:tc>
      </w:tr>
      <w:tr w:rsidR="001E13E2" w:rsidRPr="00622996" w14:paraId="325860B1" w14:textId="77777777" w:rsidTr="001E13E2">
        <w:trPr>
          <w:trHeight w:val="212"/>
          <w:jc w:val="center"/>
        </w:trPr>
        <w:tc>
          <w:tcPr>
            <w:tcW w:w="0" w:type="auto"/>
            <w:vMerge/>
            <w:vAlign w:val="center"/>
            <w:hideMark/>
          </w:tcPr>
          <w:p w14:paraId="355DD8E5" w14:textId="77777777" w:rsidR="001E13E2" w:rsidRPr="00B40E74" w:rsidRDefault="001E13E2" w:rsidP="00B40E74">
            <w:pPr>
              <w:jc w:val="center"/>
              <w:rPr>
                <w:rFonts w:ascii="Times New Roman" w:eastAsia="Times New Roman" w:hAnsi="Times New Roman" w:cs="Times New Roman"/>
                <w:sz w:val="24"/>
                <w:szCs w:val="24"/>
              </w:rPr>
            </w:pPr>
          </w:p>
        </w:tc>
        <w:tc>
          <w:tcPr>
            <w:tcW w:w="0" w:type="auto"/>
            <w:vAlign w:val="center"/>
            <w:hideMark/>
          </w:tcPr>
          <w:p w14:paraId="6C5687C1"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&gt;50 years</w:t>
            </w:r>
          </w:p>
        </w:tc>
        <w:tc>
          <w:tcPr>
            <w:tcW w:w="0" w:type="auto"/>
            <w:vAlign w:val="center"/>
            <w:hideMark/>
          </w:tcPr>
          <w:p w14:paraId="4EA2EAA7"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20</w:t>
            </w:r>
          </w:p>
        </w:tc>
        <w:tc>
          <w:tcPr>
            <w:tcW w:w="0" w:type="auto"/>
            <w:vAlign w:val="center"/>
            <w:hideMark/>
          </w:tcPr>
          <w:p w14:paraId="5B10E61A"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8.0</w:t>
            </w:r>
          </w:p>
        </w:tc>
      </w:tr>
      <w:tr w:rsidR="001E13E2" w:rsidRPr="00622996" w14:paraId="21F0CE5B" w14:textId="77777777" w:rsidTr="001E13E2">
        <w:trPr>
          <w:trHeight w:val="403"/>
          <w:jc w:val="center"/>
        </w:trPr>
        <w:tc>
          <w:tcPr>
            <w:tcW w:w="0" w:type="auto"/>
            <w:vMerge w:val="restart"/>
            <w:vAlign w:val="center"/>
            <w:hideMark/>
          </w:tcPr>
          <w:p w14:paraId="038239B3"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Gender</w:t>
            </w:r>
          </w:p>
        </w:tc>
        <w:tc>
          <w:tcPr>
            <w:tcW w:w="0" w:type="auto"/>
            <w:vAlign w:val="center"/>
            <w:hideMark/>
          </w:tcPr>
          <w:p w14:paraId="35EC41DF"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Male</w:t>
            </w:r>
          </w:p>
        </w:tc>
        <w:tc>
          <w:tcPr>
            <w:tcW w:w="0" w:type="auto"/>
            <w:vAlign w:val="center"/>
            <w:hideMark/>
          </w:tcPr>
          <w:p w14:paraId="43A7EA8B"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150</w:t>
            </w:r>
          </w:p>
        </w:tc>
        <w:tc>
          <w:tcPr>
            <w:tcW w:w="0" w:type="auto"/>
            <w:vAlign w:val="center"/>
            <w:hideMark/>
          </w:tcPr>
          <w:p w14:paraId="1BDDAADE"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60.0</w:t>
            </w:r>
          </w:p>
        </w:tc>
      </w:tr>
      <w:tr w:rsidR="001E13E2" w:rsidRPr="00622996" w14:paraId="0F8260FC" w14:textId="77777777" w:rsidTr="001E13E2">
        <w:trPr>
          <w:trHeight w:val="212"/>
          <w:jc w:val="center"/>
        </w:trPr>
        <w:tc>
          <w:tcPr>
            <w:tcW w:w="0" w:type="auto"/>
            <w:vMerge/>
            <w:vAlign w:val="center"/>
            <w:hideMark/>
          </w:tcPr>
          <w:p w14:paraId="2E294C61" w14:textId="77777777" w:rsidR="001E13E2" w:rsidRPr="00B40E74" w:rsidRDefault="001E13E2" w:rsidP="00B40E74">
            <w:pPr>
              <w:jc w:val="center"/>
              <w:rPr>
                <w:rFonts w:ascii="Times New Roman" w:eastAsia="Times New Roman" w:hAnsi="Times New Roman" w:cs="Times New Roman"/>
                <w:sz w:val="24"/>
                <w:szCs w:val="24"/>
              </w:rPr>
            </w:pPr>
          </w:p>
        </w:tc>
        <w:tc>
          <w:tcPr>
            <w:tcW w:w="0" w:type="auto"/>
            <w:vAlign w:val="center"/>
            <w:hideMark/>
          </w:tcPr>
          <w:p w14:paraId="0163FE7B"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Female</w:t>
            </w:r>
          </w:p>
        </w:tc>
        <w:tc>
          <w:tcPr>
            <w:tcW w:w="0" w:type="auto"/>
            <w:vAlign w:val="center"/>
            <w:hideMark/>
          </w:tcPr>
          <w:p w14:paraId="742674F8"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100</w:t>
            </w:r>
          </w:p>
        </w:tc>
        <w:tc>
          <w:tcPr>
            <w:tcW w:w="0" w:type="auto"/>
            <w:vAlign w:val="center"/>
            <w:hideMark/>
          </w:tcPr>
          <w:p w14:paraId="02624875"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40.0</w:t>
            </w:r>
          </w:p>
        </w:tc>
      </w:tr>
      <w:tr w:rsidR="001E13E2" w:rsidRPr="00622996" w14:paraId="4EA2925E" w14:textId="77777777" w:rsidTr="001E13E2">
        <w:trPr>
          <w:trHeight w:val="403"/>
          <w:jc w:val="center"/>
        </w:trPr>
        <w:tc>
          <w:tcPr>
            <w:tcW w:w="0" w:type="auto"/>
            <w:vMerge w:val="restart"/>
            <w:vAlign w:val="center"/>
            <w:hideMark/>
          </w:tcPr>
          <w:p w14:paraId="17CF6B09"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Qualification</w:t>
            </w:r>
          </w:p>
        </w:tc>
        <w:tc>
          <w:tcPr>
            <w:tcW w:w="0" w:type="auto"/>
            <w:vAlign w:val="center"/>
            <w:hideMark/>
          </w:tcPr>
          <w:p w14:paraId="0B49E754"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D.Pharm</w:t>
            </w:r>
          </w:p>
        </w:tc>
        <w:tc>
          <w:tcPr>
            <w:tcW w:w="0" w:type="auto"/>
            <w:vAlign w:val="center"/>
            <w:hideMark/>
          </w:tcPr>
          <w:p w14:paraId="2D3C37B1"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140</w:t>
            </w:r>
          </w:p>
        </w:tc>
        <w:tc>
          <w:tcPr>
            <w:tcW w:w="0" w:type="auto"/>
            <w:vAlign w:val="center"/>
            <w:hideMark/>
          </w:tcPr>
          <w:p w14:paraId="7A314149"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56.0</w:t>
            </w:r>
          </w:p>
        </w:tc>
      </w:tr>
      <w:tr w:rsidR="001E13E2" w:rsidRPr="00622996" w14:paraId="661010D7" w14:textId="77777777" w:rsidTr="001E13E2">
        <w:trPr>
          <w:trHeight w:val="212"/>
          <w:jc w:val="center"/>
        </w:trPr>
        <w:tc>
          <w:tcPr>
            <w:tcW w:w="0" w:type="auto"/>
            <w:vMerge/>
            <w:vAlign w:val="center"/>
            <w:hideMark/>
          </w:tcPr>
          <w:p w14:paraId="4DD5FBEF" w14:textId="77777777" w:rsidR="001E13E2" w:rsidRPr="00B40E74" w:rsidRDefault="001E13E2" w:rsidP="00B40E74">
            <w:pPr>
              <w:jc w:val="center"/>
              <w:rPr>
                <w:rFonts w:ascii="Times New Roman" w:eastAsia="Times New Roman" w:hAnsi="Times New Roman" w:cs="Times New Roman"/>
                <w:sz w:val="24"/>
                <w:szCs w:val="24"/>
              </w:rPr>
            </w:pPr>
          </w:p>
        </w:tc>
        <w:tc>
          <w:tcPr>
            <w:tcW w:w="0" w:type="auto"/>
            <w:vAlign w:val="center"/>
            <w:hideMark/>
          </w:tcPr>
          <w:p w14:paraId="252EED39"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B.Pharm</w:t>
            </w:r>
          </w:p>
        </w:tc>
        <w:tc>
          <w:tcPr>
            <w:tcW w:w="0" w:type="auto"/>
            <w:vAlign w:val="center"/>
            <w:hideMark/>
          </w:tcPr>
          <w:p w14:paraId="144F5EAE"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90</w:t>
            </w:r>
          </w:p>
        </w:tc>
        <w:tc>
          <w:tcPr>
            <w:tcW w:w="0" w:type="auto"/>
            <w:vAlign w:val="center"/>
            <w:hideMark/>
          </w:tcPr>
          <w:p w14:paraId="43EFEAD0"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36.0</w:t>
            </w:r>
          </w:p>
        </w:tc>
      </w:tr>
      <w:tr w:rsidR="001E13E2" w:rsidRPr="00622996" w14:paraId="70F96192" w14:textId="77777777" w:rsidTr="001E13E2">
        <w:trPr>
          <w:trHeight w:val="212"/>
          <w:jc w:val="center"/>
        </w:trPr>
        <w:tc>
          <w:tcPr>
            <w:tcW w:w="0" w:type="auto"/>
            <w:vMerge/>
            <w:vAlign w:val="center"/>
            <w:hideMark/>
          </w:tcPr>
          <w:p w14:paraId="1162FBCC" w14:textId="77777777" w:rsidR="001E13E2" w:rsidRPr="00B40E74" w:rsidRDefault="001E13E2" w:rsidP="00B40E74">
            <w:pPr>
              <w:jc w:val="center"/>
              <w:rPr>
                <w:rFonts w:ascii="Times New Roman" w:eastAsia="Times New Roman" w:hAnsi="Times New Roman" w:cs="Times New Roman"/>
                <w:sz w:val="24"/>
                <w:szCs w:val="24"/>
              </w:rPr>
            </w:pPr>
          </w:p>
        </w:tc>
        <w:tc>
          <w:tcPr>
            <w:tcW w:w="0" w:type="auto"/>
            <w:vAlign w:val="center"/>
            <w:hideMark/>
          </w:tcPr>
          <w:p w14:paraId="1D6285F9"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M.Pharm</w:t>
            </w:r>
          </w:p>
        </w:tc>
        <w:tc>
          <w:tcPr>
            <w:tcW w:w="0" w:type="auto"/>
            <w:vAlign w:val="center"/>
            <w:hideMark/>
          </w:tcPr>
          <w:p w14:paraId="67BA5229"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20</w:t>
            </w:r>
          </w:p>
        </w:tc>
        <w:tc>
          <w:tcPr>
            <w:tcW w:w="0" w:type="auto"/>
            <w:vAlign w:val="center"/>
            <w:hideMark/>
          </w:tcPr>
          <w:p w14:paraId="71EECB47"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8.0</w:t>
            </w:r>
          </w:p>
        </w:tc>
      </w:tr>
      <w:tr w:rsidR="001E13E2" w:rsidRPr="00622996" w14:paraId="44F7380F" w14:textId="77777777" w:rsidTr="001E13E2">
        <w:trPr>
          <w:trHeight w:val="366"/>
          <w:jc w:val="center"/>
        </w:trPr>
        <w:tc>
          <w:tcPr>
            <w:tcW w:w="0" w:type="auto"/>
            <w:vMerge w:val="restart"/>
            <w:vAlign w:val="center"/>
            <w:hideMark/>
          </w:tcPr>
          <w:p w14:paraId="2A2104C4"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Experience</w:t>
            </w:r>
          </w:p>
        </w:tc>
        <w:tc>
          <w:tcPr>
            <w:tcW w:w="0" w:type="auto"/>
            <w:vAlign w:val="center"/>
            <w:hideMark/>
          </w:tcPr>
          <w:p w14:paraId="4FC0AE3E"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&lt;5 years</w:t>
            </w:r>
          </w:p>
        </w:tc>
        <w:tc>
          <w:tcPr>
            <w:tcW w:w="0" w:type="auto"/>
            <w:vAlign w:val="center"/>
            <w:hideMark/>
          </w:tcPr>
          <w:p w14:paraId="2DE94E9A"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110</w:t>
            </w:r>
          </w:p>
        </w:tc>
        <w:tc>
          <w:tcPr>
            <w:tcW w:w="0" w:type="auto"/>
            <w:vAlign w:val="center"/>
            <w:hideMark/>
          </w:tcPr>
          <w:p w14:paraId="6A7927C2"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44.0</w:t>
            </w:r>
          </w:p>
        </w:tc>
      </w:tr>
      <w:tr w:rsidR="001E13E2" w:rsidRPr="00622996" w14:paraId="2BDA3D1C" w14:textId="77777777" w:rsidTr="001E13E2">
        <w:trPr>
          <w:trHeight w:val="212"/>
          <w:jc w:val="center"/>
        </w:trPr>
        <w:tc>
          <w:tcPr>
            <w:tcW w:w="0" w:type="auto"/>
            <w:vMerge/>
            <w:vAlign w:val="center"/>
            <w:hideMark/>
          </w:tcPr>
          <w:p w14:paraId="5B2E7795" w14:textId="77777777" w:rsidR="001E13E2" w:rsidRPr="00B40E74" w:rsidRDefault="001E13E2" w:rsidP="00B40E74">
            <w:pPr>
              <w:jc w:val="center"/>
              <w:rPr>
                <w:rFonts w:ascii="Times New Roman" w:eastAsia="Times New Roman" w:hAnsi="Times New Roman" w:cs="Times New Roman"/>
                <w:sz w:val="24"/>
                <w:szCs w:val="24"/>
              </w:rPr>
            </w:pPr>
          </w:p>
        </w:tc>
        <w:tc>
          <w:tcPr>
            <w:tcW w:w="0" w:type="auto"/>
            <w:vAlign w:val="center"/>
            <w:hideMark/>
          </w:tcPr>
          <w:p w14:paraId="20AE6AB2"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5–10 years</w:t>
            </w:r>
          </w:p>
        </w:tc>
        <w:tc>
          <w:tcPr>
            <w:tcW w:w="0" w:type="auto"/>
            <w:vAlign w:val="center"/>
            <w:hideMark/>
          </w:tcPr>
          <w:p w14:paraId="5E3FE0CA"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90</w:t>
            </w:r>
          </w:p>
        </w:tc>
        <w:tc>
          <w:tcPr>
            <w:tcW w:w="0" w:type="auto"/>
            <w:vAlign w:val="center"/>
            <w:hideMark/>
          </w:tcPr>
          <w:p w14:paraId="539F9314"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36.0</w:t>
            </w:r>
          </w:p>
        </w:tc>
      </w:tr>
      <w:tr w:rsidR="001E13E2" w:rsidRPr="00622996" w14:paraId="492317A2" w14:textId="77777777" w:rsidTr="001E13E2">
        <w:trPr>
          <w:trHeight w:val="212"/>
          <w:jc w:val="center"/>
        </w:trPr>
        <w:tc>
          <w:tcPr>
            <w:tcW w:w="0" w:type="auto"/>
            <w:vMerge/>
            <w:vAlign w:val="center"/>
            <w:hideMark/>
          </w:tcPr>
          <w:p w14:paraId="6E6722A7" w14:textId="77777777" w:rsidR="001E13E2" w:rsidRPr="00B40E74" w:rsidRDefault="001E13E2" w:rsidP="00B40E74">
            <w:pPr>
              <w:jc w:val="center"/>
              <w:rPr>
                <w:rFonts w:ascii="Times New Roman" w:eastAsia="Times New Roman" w:hAnsi="Times New Roman" w:cs="Times New Roman"/>
                <w:sz w:val="24"/>
                <w:szCs w:val="24"/>
              </w:rPr>
            </w:pPr>
          </w:p>
        </w:tc>
        <w:tc>
          <w:tcPr>
            <w:tcW w:w="0" w:type="auto"/>
            <w:vAlign w:val="center"/>
            <w:hideMark/>
          </w:tcPr>
          <w:p w14:paraId="05A94573"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&gt;10 years</w:t>
            </w:r>
          </w:p>
        </w:tc>
        <w:tc>
          <w:tcPr>
            <w:tcW w:w="0" w:type="auto"/>
            <w:vAlign w:val="center"/>
            <w:hideMark/>
          </w:tcPr>
          <w:p w14:paraId="49DA0C17"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50</w:t>
            </w:r>
          </w:p>
        </w:tc>
        <w:tc>
          <w:tcPr>
            <w:tcW w:w="0" w:type="auto"/>
            <w:vAlign w:val="center"/>
            <w:hideMark/>
          </w:tcPr>
          <w:p w14:paraId="4D0EBADA"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20.0</w:t>
            </w:r>
          </w:p>
        </w:tc>
      </w:tr>
    </w:tbl>
    <w:p w14:paraId="624E84E8" w14:textId="77777777" w:rsidR="00B40E74" w:rsidRPr="00622996" w:rsidRDefault="00B40E74" w:rsidP="001E13E2">
      <w:pPr>
        <w:pStyle w:val="NormalWeb"/>
        <w:spacing w:line="360" w:lineRule="auto"/>
        <w:jc w:val="both"/>
      </w:pPr>
      <w:r w:rsidRPr="00622996">
        <w:t>Among 250 community pharmacy professionals, most participants were aged 20–30 years (48%) and male (60%). Diploma holders (56%) predominated, followed by B.Pharm graduates (36%). Nearly 44% had less than five years of experience, indicating a relatively young and early-career workforce in community pharmacy settings.</w:t>
      </w:r>
    </w:p>
    <w:p w14:paraId="794D9710"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2. Responses to Individual Knowledge Questions</w:t>
      </w:r>
    </w:p>
    <w:tbl>
      <w:tblPr>
        <w:tblStyle w:val="TableGrid"/>
        <w:tblW w:w="7078" w:type="dxa"/>
        <w:jc w:val="center"/>
        <w:tblLook w:val="04A0" w:firstRow="1" w:lastRow="0" w:firstColumn="1" w:lastColumn="0" w:noHBand="0" w:noVBand="1"/>
      </w:tblPr>
      <w:tblGrid>
        <w:gridCol w:w="3465"/>
        <w:gridCol w:w="1724"/>
        <w:gridCol w:w="1889"/>
      </w:tblGrid>
      <w:tr w:rsidR="00B40E74" w:rsidRPr="00B40E74" w14:paraId="4F4A995C" w14:textId="77777777" w:rsidTr="001E13E2">
        <w:trPr>
          <w:trHeight w:val="411"/>
          <w:jc w:val="center"/>
        </w:trPr>
        <w:tc>
          <w:tcPr>
            <w:tcW w:w="0" w:type="auto"/>
            <w:vAlign w:val="center"/>
            <w:hideMark/>
          </w:tcPr>
          <w:p w14:paraId="30A93866"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lastRenderedPageBreak/>
              <w:t>Knowledge Item</w:t>
            </w:r>
          </w:p>
        </w:tc>
        <w:tc>
          <w:tcPr>
            <w:tcW w:w="0" w:type="auto"/>
            <w:vAlign w:val="center"/>
            <w:hideMark/>
          </w:tcPr>
          <w:p w14:paraId="66E576FF"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Correct n (%)</w:t>
            </w:r>
          </w:p>
        </w:tc>
        <w:tc>
          <w:tcPr>
            <w:tcW w:w="0" w:type="auto"/>
            <w:vAlign w:val="center"/>
            <w:hideMark/>
          </w:tcPr>
          <w:p w14:paraId="0C12FB97"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Incorrect n (%)</w:t>
            </w:r>
          </w:p>
        </w:tc>
      </w:tr>
      <w:tr w:rsidR="00B40E74" w:rsidRPr="00B40E74" w14:paraId="00DAF074" w14:textId="77777777" w:rsidTr="001E13E2">
        <w:trPr>
          <w:trHeight w:val="374"/>
          <w:jc w:val="center"/>
        </w:trPr>
        <w:tc>
          <w:tcPr>
            <w:tcW w:w="0" w:type="auto"/>
            <w:vAlign w:val="center"/>
            <w:hideMark/>
          </w:tcPr>
          <w:p w14:paraId="7BEA3F87"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Correct AMR definition</w:t>
            </w:r>
          </w:p>
        </w:tc>
        <w:tc>
          <w:tcPr>
            <w:tcW w:w="0" w:type="auto"/>
            <w:vAlign w:val="center"/>
            <w:hideMark/>
          </w:tcPr>
          <w:p w14:paraId="64940777"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120 (48.0)</w:t>
            </w:r>
          </w:p>
        </w:tc>
        <w:tc>
          <w:tcPr>
            <w:tcW w:w="0" w:type="auto"/>
            <w:vAlign w:val="center"/>
            <w:hideMark/>
          </w:tcPr>
          <w:p w14:paraId="1DEF4FF3"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130 (52.0)</w:t>
            </w:r>
          </w:p>
        </w:tc>
      </w:tr>
      <w:tr w:rsidR="00B40E74" w:rsidRPr="00B40E74" w14:paraId="63120C90" w14:textId="77777777" w:rsidTr="001E13E2">
        <w:trPr>
          <w:trHeight w:val="411"/>
          <w:jc w:val="center"/>
        </w:trPr>
        <w:tc>
          <w:tcPr>
            <w:tcW w:w="0" w:type="auto"/>
            <w:vAlign w:val="center"/>
            <w:hideMark/>
          </w:tcPr>
          <w:p w14:paraId="6A47371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Antibiotic overuse causes AMR</w:t>
            </w:r>
          </w:p>
        </w:tc>
        <w:tc>
          <w:tcPr>
            <w:tcW w:w="0" w:type="auto"/>
            <w:vAlign w:val="center"/>
            <w:hideMark/>
          </w:tcPr>
          <w:p w14:paraId="4918E92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165 (66.0)</w:t>
            </w:r>
          </w:p>
        </w:tc>
        <w:tc>
          <w:tcPr>
            <w:tcW w:w="0" w:type="auto"/>
            <w:vAlign w:val="center"/>
            <w:hideMark/>
          </w:tcPr>
          <w:p w14:paraId="5BB5A89A"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85 (34.0)</w:t>
            </w:r>
          </w:p>
        </w:tc>
      </w:tr>
      <w:tr w:rsidR="00B40E74" w:rsidRPr="00B40E74" w14:paraId="108196F9" w14:textId="77777777" w:rsidTr="001E13E2">
        <w:trPr>
          <w:trHeight w:val="374"/>
          <w:jc w:val="center"/>
        </w:trPr>
        <w:tc>
          <w:tcPr>
            <w:tcW w:w="0" w:type="auto"/>
            <w:vAlign w:val="center"/>
            <w:hideMark/>
          </w:tcPr>
          <w:p w14:paraId="4678CA60"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Incomplete course causes AMR</w:t>
            </w:r>
          </w:p>
        </w:tc>
        <w:tc>
          <w:tcPr>
            <w:tcW w:w="0" w:type="auto"/>
            <w:vAlign w:val="center"/>
            <w:hideMark/>
          </w:tcPr>
          <w:p w14:paraId="22F8AB7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170 (68.0)</w:t>
            </w:r>
          </w:p>
        </w:tc>
        <w:tc>
          <w:tcPr>
            <w:tcW w:w="0" w:type="auto"/>
            <w:vAlign w:val="center"/>
            <w:hideMark/>
          </w:tcPr>
          <w:p w14:paraId="38D64E2B"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80 (32.0)</w:t>
            </w:r>
          </w:p>
        </w:tc>
      </w:tr>
      <w:tr w:rsidR="00B40E74" w:rsidRPr="00B40E74" w14:paraId="1BE9D260" w14:textId="77777777" w:rsidTr="001E13E2">
        <w:trPr>
          <w:trHeight w:val="411"/>
          <w:jc w:val="center"/>
        </w:trPr>
        <w:tc>
          <w:tcPr>
            <w:tcW w:w="0" w:type="auto"/>
            <w:vAlign w:val="center"/>
            <w:hideMark/>
          </w:tcPr>
          <w:p w14:paraId="56898FA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AMR increases treatment failure</w:t>
            </w:r>
          </w:p>
        </w:tc>
        <w:tc>
          <w:tcPr>
            <w:tcW w:w="0" w:type="auto"/>
            <w:vAlign w:val="center"/>
            <w:hideMark/>
          </w:tcPr>
          <w:p w14:paraId="765887D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155 (62.0)</w:t>
            </w:r>
          </w:p>
        </w:tc>
        <w:tc>
          <w:tcPr>
            <w:tcW w:w="0" w:type="auto"/>
            <w:vAlign w:val="center"/>
            <w:hideMark/>
          </w:tcPr>
          <w:p w14:paraId="3D5FB68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95 (38.0)</w:t>
            </w:r>
          </w:p>
        </w:tc>
      </w:tr>
      <w:tr w:rsidR="00B40E74" w:rsidRPr="00B40E74" w14:paraId="490813CF" w14:textId="77777777" w:rsidTr="001E13E2">
        <w:trPr>
          <w:trHeight w:val="411"/>
          <w:jc w:val="center"/>
        </w:trPr>
        <w:tc>
          <w:tcPr>
            <w:tcW w:w="0" w:type="auto"/>
            <w:vAlign w:val="center"/>
            <w:hideMark/>
          </w:tcPr>
          <w:p w14:paraId="74388058"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Awareness of AMR guidelines</w:t>
            </w:r>
          </w:p>
        </w:tc>
        <w:tc>
          <w:tcPr>
            <w:tcW w:w="0" w:type="auto"/>
            <w:vAlign w:val="center"/>
            <w:hideMark/>
          </w:tcPr>
          <w:p w14:paraId="36A0972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75 (30.0)</w:t>
            </w:r>
          </w:p>
        </w:tc>
        <w:tc>
          <w:tcPr>
            <w:tcW w:w="0" w:type="auto"/>
            <w:vAlign w:val="center"/>
            <w:hideMark/>
          </w:tcPr>
          <w:p w14:paraId="49D344ED"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175 (70.0)</w:t>
            </w:r>
          </w:p>
        </w:tc>
      </w:tr>
    </w:tbl>
    <w:p w14:paraId="55ECD2A0" w14:textId="77777777" w:rsidR="00B40E74" w:rsidRPr="00622996" w:rsidRDefault="00B40E74" w:rsidP="00B40E74">
      <w:pPr>
        <w:spacing w:after="0" w:line="240" w:lineRule="auto"/>
        <w:rPr>
          <w:rFonts w:ascii="Times New Roman" w:eastAsia="Times New Roman" w:hAnsi="Times New Roman" w:cs="Times New Roman"/>
          <w:sz w:val="24"/>
          <w:szCs w:val="24"/>
        </w:rPr>
      </w:pPr>
    </w:p>
    <w:p w14:paraId="79592993" w14:textId="77777777" w:rsidR="00B40E74" w:rsidRPr="00622996" w:rsidRDefault="00B40E74" w:rsidP="001E13E2">
      <w:pPr>
        <w:pStyle w:val="NormalWeb"/>
        <w:spacing w:line="360" w:lineRule="auto"/>
        <w:jc w:val="both"/>
      </w:pPr>
      <w:r w:rsidRPr="00622996">
        <w:t>Knowledge regarding antimicrobial resistance was variable. While 66% correctly identified antibiotic overuse as a cause of AMR and 68% recognized the impact of incomplete therapy, only 48% correctly defined AMR. Awareness of national AMR guidelines was notably low at 30%, highlighting knowledge gaps.</w:t>
      </w:r>
    </w:p>
    <w:p w14:paraId="6C9CEA5B"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3. Mean Knowledge Scores: Overall and Gender-wise</w:t>
      </w:r>
    </w:p>
    <w:tbl>
      <w:tblPr>
        <w:tblStyle w:val="TableGrid"/>
        <w:tblW w:w="6199" w:type="dxa"/>
        <w:jc w:val="center"/>
        <w:tblLook w:val="04A0" w:firstRow="1" w:lastRow="0" w:firstColumn="1" w:lastColumn="0" w:noHBand="0" w:noVBand="1"/>
      </w:tblPr>
      <w:tblGrid>
        <w:gridCol w:w="1772"/>
        <w:gridCol w:w="2578"/>
        <w:gridCol w:w="1849"/>
      </w:tblGrid>
      <w:tr w:rsidR="00B40E74" w:rsidRPr="00B40E74" w14:paraId="033D5345" w14:textId="77777777" w:rsidTr="001E13E2">
        <w:trPr>
          <w:trHeight w:val="274"/>
          <w:jc w:val="center"/>
        </w:trPr>
        <w:tc>
          <w:tcPr>
            <w:tcW w:w="0" w:type="auto"/>
            <w:vAlign w:val="center"/>
            <w:hideMark/>
          </w:tcPr>
          <w:p w14:paraId="5AD78BEF"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Group</w:t>
            </w:r>
          </w:p>
        </w:tc>
        <w:tc>
          <w:tcPr>
            <w:tcW w:w="0" w:type="auto"/>
            <w:vAlign w:val="center"/>
            <w:hideMark/>
          </w:tcPr>
          <w:p w14:paraId="1A2038CD"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Mean ± SD</w:t>
            </w:r>
          </w:p>
        </w:tc>
        <w:tc>
          <w:tcPr>
            <w:tcW w:w="0" w:type="auto"/>
            <w:vAlign w:val="center"/>
            <w:hideMark/>
          </w:tcPr>
          <w:p w14:paraId="612FD64E"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p-value</w:t>
            </w:r>
          </w:p>
        </w:tc>
      </w:tr>
      <w:tr w:rsidR="00B40E74" w:rsidRPr="00B40E74" w14:paraId="19F55159" w14:textId="77777777" w:rsidTr="001E13E2">
        <w:trPr>
          <w:trHeight w:val="296"/>
          <w:jc w:val="center"/>
        </w:trPr>
        <w:tc>
          <w:tcPr>
            <w:tcW w:w="0" w:type="auto"/>
            <w:vAlign w:val="center"/>
            <w:hideMark/>
          </w:tcPr>
          <w:p w14:paraId="62B024E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Overall</w:t>
            </w:r>
          </w:p>
        </w:tc>
        <w:tc>
          <w:tcPr>
            <w:tcW w:w="0" w:type="auto"/>
            <w:vAlign w:val="center"/>
            <w:hideMark/>
          </w:tcPr>
          <w:p w14:paraId="1A83A907"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3.1 ± 1.2</w:t>
            </w:r>
          </w:p>
        </w:tc>
        <w:tc>
          <w:tcPr>
            <w:tcW w:w="0" w:type="auto"/>
            <w:vAlign w:val="center"/>
            <w:hideMark/>
          </w:tcPr>
          <w:p w14:paraId="47F8417E"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w:t>
            </w:r>
          </w:p>
        </w:tc>
      </w:tr>
      <w:tr w:rsidR="00B40E74" w:rsidRPr="00B40E74" w14:paraId="1F773715" w14:textId="77777777" w:rsidTr="001E13E2">
        <w:trPr>
          <w:trHeight w:val="274"/>
          <w:jc w:val="center"/>
        </w:trPr>
        <w:tc>
          <w:tcPr>
            <w:tcW w:w="0" w:type="auto"/>
            <w:vAlign w:val="center"/>
            <w:hideMark/>
          </w:tcPr>
          <w:p w14:paraId="733E7D40"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Male</w:t>
            </w:r>
          </w:p>
        </w:tc>
        <w:tc>
          <w:tcPr>
            <w:tcW w:w="0" w:type="auto"/>
            <w:vAlign w:val="center"/>
            <w:hideMark/>
          </w:tcPr>
          <w:p w14:paraId="3F57E9C0"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3.3 ± 1.1</w:t>
            </w:r>
          </w:p>
        </w:tc>
        <w:tc>
          <w:tcPr>
            <w:tcW w:w="0" w:type="auto"/>
            <w:vAlign w:val="center"/>
            <w:hideMark/>
          </w:tcPr>
          <w:p w14:paraId="2AAF3B00" w14:textId="77777777" w:rsidR="00B40E74" w:rsidRPr="00B40E74" w:rsidRDefault="00B40E74" w:rsidP="00B40E74">
            <w:pPr>
              <w:jc w:val="center"/>
              <w:rPr>
                <w:rFonts w:ascii="Times New Roman" w:eastAsia="Times New Roman" w:hAnsi="Times New Roman" w:cs="Times New Roman"/>
                <w:sz w:val="24"/>
                <w:szCs w:val="24"/>
              </w:rPr>
            </w:pPr>
          </w:p>
        </w:tc>
      </w:tr>
      <w:tr w:rsidR="00B40E74" w:rsidRPr="00B40E74" w14:paraId="5A7DE4C6" w14:textId="77777777" w:rsidTr="001E13E2">
        <w:trPr>
          <w:trHeight w:val="296"/>
          <w:jc w:val="center"/>
        </w:trPr>
        <w:tc>
          <w:tcPr>
            <w:tcW w:w="0" w:type="auto"/>
            <w:vAlign w:val="center"/>
            <w:hideMark/>
          </w:tcPr>
          <w:p w14:paraId="3B88F06E"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Female</w:t>
            </w:r>
          </w:p>
        </w:tc>
        <w:tc>
          <w:tcPr>
            <w:tcW w:w="0" w:type="auto"/>
            <w:vAlign w:val="center"/>
            <w:hideMark/>
          </w:tcPr>
          <w:p w14:paraId="0F7C709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2.8 ± 1.3</w:t>
            </w:r>
          </w:p>
        </w:tc>
        <w:tc>
          <w:tcPr>
            <w:tcW w:w="0" w:type="auto"/>
            <w:vAlign w:val="center"/>
            <w:hideMark/>
          </w:tcPr>
          <w:p w14:paraId="33F85FBF"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b/>
                <w:bCs/>
                <w:sz w:val="24"/>
                <w:szCs w:val="24"/>
              </w:rPr>
              <w:t>0.021</w:t>
            </w:r>
          </w:p>
        </w:tc>
      </w:tr>
    </w:tbl>
    <w:p w14:paraId="2ABE5739" w14:textId="77777777" w:rsidR="00B40E74" w:rsidRPr="00622996" w:rsidRDefault="00B40E74" w:rsidP="001E13E2">
      <w:pPr>
        <w:pStyle w:val="NormalWeb"/>
        <w:spacing w:line="360" w:lineRule="auto"/>
        <w:jc w:val="both"/>
      </w:pPr>
      <w:r w:rsidRPr="00622996">
        <w:t>The overall mean knowledge score was 3.1 ± 1.2. Male participants demonstrated significantly higher knowledge scores (3.3 ± 1.1) compared to females (2.8 ± 1.3). This gender difference was statistically significant (p = 0.021), suggesting variation in AMR-related awareness between genders.</w:t>
      </w:r>
    </w:p>
    <w:p w14:paraId="6324F0A2"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4. Knowledge Level Distribution</w:t>
      </w:r>
    </w:p>
    <w:tbl>
      <w:tblPr>
        <w:tblStyle w:val="TableGrid"/>
        <w:tblW w:w="6496" w:type="dxa"/>
        <w:jc w:val="center"/>
        <w:tblLook w:val="04A0" w:firstRow="1" w:lastRow="0" w:firstColumn="1" w:lastColumn="0" w:noHBand="0" w:noVBand="1"/>
      </w:tblPr>
      <w:tblGrid>
        <w:gridCol w:w="4032"/>
        <w:gridCol w:w="1171"/>
        <w:gridCol w:w="1293"/>
      </w:tblGrid>
      <w:tr w:rsidR="00B40E74" w:rsidRPr="00B40E74" w14:paraId="24D2D991" w14:textId="77777777" w:rsidTr="001E13E2">
        <w:trPr>
          <w:trHeight w:val="292"/>
          <w:jc w:val="center"/>
        </w:trPr>
        <w:tc>
          <w:tcPr>
            <w:tcW w:w="0" w:type="auto"/>
            <w:vAlign w:val="center"/>
            <w:hideMark/>
          </w:tcPr>
          <w:p w14:paraId="1B306945"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Knowledge Level</w:t>
            </w:r>
          </w:p>
        </w:tc>
        <w:tc>
          <w:tcPr>
            <w:tcW w:w="0" w:type="auto"/>
            <w:vAlign w:val="center"/>
            <w:hideMark/>
          </w:tcPr>
          <w:p w14:paraId="2B433D8E"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n</w:t>
            </w:r>
          </w:p>
        </w:tc>
        <w:tc>
          <w:tcPr>
            <w:tcW w:w="0" w:type="auto"/>
            <w:vAlign w:val="center"/>
            <w:hideMark/>
          </w:tcPr>
          <w:p w14:paraId="4D9D40FC"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w:t>
            </w:r>
          </w:p>
        </w:tc>
      </w:tr>
      <w:tr w:rsidR="00B40E74" w:rsidRPr="00B40E74" w14:paraId="5B62F9B4" w14:textId="77777777" w:rsidTr="001E13E2">
        <w:trPr>
          <w:trHeight w:val="292"/>
          <w:jc w:val="center"/>
        </w:trPr>
        <w:tc>
          <w:tcPr>
            <w:tcW w:w="0" w:type="auto"/>
            <w:vAlign w:val="center"/>
            <w:hideMark/>
          </w:tcPr>
          <w:p w14:paraId="47F1573B"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Good</w:t>
            </w:r>
          </w:p>
        </w:tc>
        <w:tc>
          <w:tcPr>
            <w:tcW w:w="0" w:type="auto"/>
            <w:vAlign w:val="center"/>
            <w:hideMark/>
          </w:tcPr>
          <w:p w14:paraId="10AC5E2F"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95</w:t>
            </w:r>
          </w:p>
        </w:tc>
        <w:tc>
          <w:tcPr>
            <w:tcW w:w="0" w:type="auto"/>
            <w:vAlign w:val="center"/>
            <w:hideMark/>
          </w:tcPr>
          <w:p w14:paraId="3FA5EC3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38.0</w:t>
            </w:r>
          </w:p>
        </w:tc>
      </w:tr>
      <w:tr w:rsidR="00B40E74" w:rsidRPr="00B40E74" w14:paraId="1B627FD1" w14:textId="77777777" w:rsidTr="001E13E2">
        <w:trPr>
          <w:trHeight w:val="316"/>
          <w:jc w:val="center"/>
        </w:trPr>
        <w:tc>
          <w:tcPr>
            <w:tcW w:w="0" w:type="auto"/>
            <w:vAlign w:val="center"/>
            <w:hideMark/>
          </w:tcPr>
          <w:p w14:paraId="7F12496D"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Moderate</w:t>
            </w:r>
          </w:p>
        </w:tc>
        <w:tc>
          <w:tcPr>
            <w:tcW w:w="0" w:type="auto"/>
            <w:vAlign w:val="center"/>
            <w:hideMark/>
          </w:tcPr>
          <w:p w14:paraId="7B97CF08"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105</w:t>
            </w:r>
          </w:p>
        </w:tc>
        <w:tc>
          <w:tcPr>
            <w:tcW w:w="0" w:type="auto"/>
            <w:vAlign w:val="center"/>
            <w:hideMark/>
          </w:tcPr>
          <w:p w14:paraId="09EE709A"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42.0</w:t>
            </w:r>
          </w:p>
        </w:tc>
      </w:tr>
      <w:tr w:rsidR="00B40E74" w:rsidRPr="00B40E74" w14:paraId="43A27B33" w14:textId="77777777" w:rsidTr="001E13E2">
        <w:trPr>
          <w:trHeight w:val="292"/>
          <w:jc w:val="center"/>
        </w:trPr>
        <w:tc>
          <w:tcPr>
            <w:tcW w:w="0" w:type="auto"/>
            <w:vAlign w:val="center"/>
            <w:hideMark/>
          </w:tcPr>
          <w:p w14:paraId="2CCE2D6C"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Poor</w:t>
            </w:r>
          </w:p>
        </w:tc>
        <w:tc>
          <w:tcPr>
            <w:tcW w:w="0" w:type="auto"/>
            <w:vAlign w:val="center"/>
            <w:hideMark/>
          </w:tcPr>
          <w:p w14:paraId="7CB1606C"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50</w:t>
            </w:r>
          </w:p>
        </w:tc>
        <w:tc>
          <w:tcPr>
            <w:tcW w:w="0" w:type="auto"/>
            <w:vAlign w:val="center"/>
            <w:hideMark/>
          </w:tcPr>
          <w:p w14:paraId="3BCD076C"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20.0</w:t>
            </w:r>
          </w:p>
        </w:tc>
      </w:tr>
    </w:tbl>
    <w:p w14:paraId="4B5D1983" w14:textId="77777777" w:rsidR="00B40E74" w:rsidRPr="00622996" w:rsidRDefault="00B40E74" w:rsidP="001E13E2">
      <w:pPr>
        <w:pStyle w:val="NormalWeb"/>
        <w:spacing w:line="360" w:lineRule="auto"/>
        <w:jc w:val="both"/>
      </w:pPr>
      <w:r w:rsidRPr="00622996">
        <w:t>Most participants exhibited a moderate level of knowledge regarding antimicrobial resistance (42%). Good knowledge was observed in 38% of respondents, while 20% had poor knowledge. These findings indicate that although awareness exists, substantial improvement is required to achieve optimal understanding among community pharmacists.</w:t>
      </w:r>
    </w:p>
    <w:p w14:paraId="4DA88317"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lastRenderedPageBreak/>
        <w:t>Table 5. Responses to Individual Attitude Questions</w:t>
      </w:r>
    </w:p>
    <w:tbl>
      <w:tblPr>
        <w:tblStyle w:val="TableGrid"/>
        <w:tblW w:w="7996" w:type="dxa"/>
        <w:jc w:val="center"/>
        <w:tblLook w:val="04A0" w:firstRow="1" w:lastRow="0" w:firstColumn="1" w:lastColumn="0" w:noHBand="0" w:noVBand="1"/>
      </w:tblPr>
      <w:tblGrid>
        <w:gridCol w:w="3598"/>
        <w:gridCol w:w="1293"/>
        <w:gridCol w:w="1492"/>
        <w:gridCol w:w="1613"/>
      </w:tblGrid>
      <w:tr w:rsidR="00B40E74" w:rsidRPr="00B40E74" w14:paraId="4E29AD4F" w14:textId="77777777" w:rsidTr="00B40E74">
        <w:trPr>
          <w:trHeight w:val="448"/>
          <w:jc w:val="center"/>
        </w:trPr>
        <w:tc>
          <w:tcPr>
            <w:tcW w:w="0" w:type="auto"/>
            <w:vAlign w:val="center"/>
            <w:hideMark/>
          </w:tcPr>
          <w:p w14:paraId="54B9F4A7"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Attitude Statement</w:t>
            </w:r>
          </w:p>
        </w:tc>
        <w:tc>
          <w:tcPr>
            <w:tcW w:w="0" w:type="auto"/>
            <w:vAlign w:val="center"/>
            <w:hideMark/>
          </w:tcPr>
          <w:p w14:paraId="7CEB88B3"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Agree %</w:t>
            </w:r>
          </w:p>
        </w:tc>
        <w:tc>
          <w:tcPr>
            <w:tcW w:w="0" w:type="auto"/>
            <w:vAlign w:val="center"/>
            <w:hideMark/>
          </w:tcPr>
          <w:p w14:paraId="72E839A7"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Neutral %</w:t>
            </w:r>
          </w:p>
        </w:tc>
        <w:tc>
          <w:tcPr>
            <w:tcW w:w="0" w:type="auto"/>
            <w:vAlign w:val="center"/>
            <w:hideMark/>
          </w:tcPr>
          <w:p w14:paraId="51F8BAF8"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Disagree %</w:t>
            </w:r>
          </w:p>
        </w:tc>
      </w:tr>
      <w:tr w:rsidR="00B40E74" w:rsidRPr="00B40E74" w14:paraId="180AD214" w14:textId="77777777" w:rsidTr="00B40E74">
        <w:trPr>
          <w:trHeight w:val="414"/>
          <w:jc w:val="center"/>
        </w:trPr>
        <w:tc>
          <w:tcPr>
            <w:tcW w:w="0" w:type="auto"/>
            <w:vAlign w:val="center"/>
            <w:hideMark/>
          </w:tcPr>
          <w:p w14:paraId="2FEA9B26"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Misuse causes AMR</w:t>
            </w:r>
          </w:p>
        </w:tc>
        <w:tc>
          <w:tcPr>
            <w:tcW w:w="0" w:type="auto"/>
            <w:vAlign w:val="center"/>
            <w:hideMark/>
          </w:tcPr>
          <w:p w14:paraId="564EC66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84.8</w:t>
            </w:r>
          </w:p>
        </w:tc>
        <w:tc>
          <w:tcPr>
            <w:tcW w:w="0" w:type="auto"/>
            <w:vAlign w:val="center"/>
            <w:hideMark/>
          </w:tcPr>
          <w:p w14:paraId="271EA088"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10.0</w:t>
            </w:r>
          </w:p>
        </w:tc>
        <w:tc>
          <w:tcPr>
            <w:tcW w:w="0" w:type="auto"/>
            <w:vAlign w:val="center"/>
            <w:hideMark/>
          </w:tcPr>
          <w:p w14:paraId="5D015AF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5.2</w:t>
            </w:r>
          </w:p>
        </w:tc>
      </w:tr>
      <w:tr w:rsidR="00B40E74" w:rsidRPr="00B40E74" w14:paraId="0A8020EF" w14:textId="77777777" w:rsidTr="00B40E74">
        <w:trPr>
          <w:trHeight w:val="414"/>
          <w:jc w:val="center"/>
        </w:trPr>
        <w:tc>
          <w:tcPr>
            <w:tcW w:w="0" w:type="auto"/>
            <w:vAlign w:val="center"/>
            <w:hideMark/>
          </w:tcPr>
          <w:p w14:paraId="722A0CC6"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Pharmacist role important</w:t>
            </w:r>
          </w:p>
        </w:tc>
        <w:tc>
          <w:tcPr>
            <w:tcW w:w="0" w:type="auto"/>
            <w:vAlign w:val="center"/>
            <w:hideMark/>
          </w:tcPr>
          <w:p w14:paraId="5238FB0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78.0</w:t>
            </w:r>
          </w:p>
        </w:tc>
        <w:tc>
          <w:tcPr>
            <w:tcW w:w="0" w:type="auto"/>
            <w:vAlign w:val="center"/>
            <w:hideMark/>
          </w:tcPr>
          <w:p w14:paraId="6F02C8A7"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14.0</w:t>
            </w:r>
          </w:p>
        </w:tc>
        <w:tc>
          <w:tcPr>
            <w:tcW w:w="0" w:type="auto"/>
            <w:vAlign w:val="center"/>
            <w:hideMark/>
          </w:tcPr>
          <w:p w14:paraId="58D8A6B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8.0</w:t>
            </w:r>
          </w:p>
        </w:tc>
      </w:tr>
      <w:tr w:rsidR="00B40E74" w:rsidRPr="00B40E74" w14:paraId="0C296AE5" w14:textId="77777777" w:rsidTr="00B40E74">
        <w:trPr>
          <w:trHeight w:val="448"/>
          <w:jc w:val="center"/>
        </w:trPr>
        <w:tc>
          <w:tcPr>
            <w:tcW w:w="0" w:type="auto"/>
            <w:vAlign w:val="center"/>
            <w:hideMark/>
          </w:tcPr>
          <w:p w14:paraId="707C269F"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Prescription-only enforcement</w:t>
            </w:r>
          </w:p>
        </w:tc>
        <w:tc>
          <w:tcPr>
            <w:tcW w:w="0" w:type="auto"/>
            <w:vAlign w:val="center"/>
            <w:hideMark/>
          </w:tcPr>
          <w:p w14:paraId="65E28BA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72.0</w:t>
            </w:r>
          </w:p>
        </w:tc>
        <w:tc>
          <w:tcPr>
            <w:tcW w:w="0" w:type="auto"/>
            <w:vAlign w:val="center"/>
            <w:hideMark/>
          </w:tcPr>
          <w:p w14:paraId="3F13B90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18.0</w:t>
            </w:r>
          </w:p>
        </w:tc>
        <w:tc>
          <w:tcPr>
            <w:tcW w:w="0" w:type="auto"/>
            <w:vAlign w:val="center"/>
            <w:hideMark/>
          </w:tcPr>
          <w:p w14:paraId="72ADAF4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10.0</w:t>
            </w:r>
          </w:p>
        </w:tc>
      </w:tr>
      <w:tr w:rsidR="00B40E74" w:rsidRPr="00B40E74" w14:paraId="67A70D4D" w14:textId="77777777" w:rsidTr="00B40E74">
        <w:trPr>
          <w:trHeight w:val="414"/>
          <w:jc w:val="center"/>
        </w:trPr>
        <w:tc>
          <w:tcPr>
            <w:tcW w:w="0" w:type="auto"/>
            <w:vAlign w:val="center"/>
            <w:hideMark/>
          </w:tcPr>
          <w:p w14:paraId="2BF686AB"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Counseling reduces AMR</w:t>
            </w:r>
          </w:p>
        </w:tc>
        <w:tc>
          <w:tcPr>
            <w:tcW w:w="0" w:type="auto"/>
            <w:vAlign w:val="center"/>
            <w:hideMark/>
          </w:tcPr>
          <w:p w14:paraId="2B991FCB"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82.0</w:t>
            </w:r>
          </w:p>
        </w:tc>
        <w:tc>
          <w:tcPr>
            <w:tcW w:w="0" w:type="auto"/>
            <w:vAlign w:val="center"/>
            <w:hideMark/>
          </w:tcPr>
          <w:p w14:paraId="2C658823"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12.0</w:t>
            </w:r>
          </w:p>
        </w:tc>
        <w:tc>
          <w:tcPr>
            <w:tcW w:w="0" w:type="auto"/>
            <w:vAlign w:val="center"/>
            <w:hideMark/>
          </w:tcPr>
          <w:p w14:paraId="4E2474F0"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6.0</w:t>
            </w:r>
          </w:p>
        </w:tc>
      </w:tr>
    </w:tbl>
    <w:p w14:paraId="0EB63551" w14:textId="77777777" w:rsidR="00B40E74" w:rsidRPr="00B40E74" w:rsidRDefault="00B40E74" w:rsidP="00B40E74">
      <w:pPr>
        <w:spacing w:after="0" w:line="240" w:lineRule="auto"/>
        <w:rPr>
          <w:rFonts w:ascii="Times New Roman" w:eastAsia="Times New Roman" w:hAnsi="Times New Roman" w:cs="Times New Roman"/>
          <w:sz w:val="24"/>
          <w:szCs w:val="24"/>
        </w:rPr>
      </w:pPr>
    </w:p>
    <w:p w14:paraId="7F281EF1" w14:textId="77777777" w:rsidR="00B40E74" w:rsidRPr="00622996" w:rsidRDefault="00B40E74" w:rsidP="001E13E2">
      <w:pPr>
        <w:pStyle w:val="NormalWeb"/>
        <w:spacing w:line="360" w:lineRule="auto"/>
      </w:pPr>
      <w:r w:rsidRPr="00622996">
        <w:t>Attitudes toward antimicrobial resistance were largely positive. A high proportion agreed that antibiotic misuse causes AMR (84.8%) and that pharmacists play a key preventive role (78%). Additionally, 82% believed patient counseling reduces resistance, reflecting favorable perceptions toward antimicrobial stewardship practices.</w:t>
      </w:r>
    </w:p>
    <w:p w14:paraId="4137FE6F"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6. Mean Attitude Scores: Overall and Gender-wise</w:t>
      </w:r>
    </w:p>
    <w:tbl>
      <w:tblPr>
        <w:tblStyle w:val="TableGrid"/>
        <w:tblW w:w="8436" w:type="dxa"/>
        <w:jc w:val="center"/>
        <w:tblLook w:val="04A0" w:firstRow="1" w:lastRow="0" w:firstColumn="1" w:lastColumn="0" w:noHBand="0" w:noVBand="1"/>
      </w:tblPr>
      <w:tblGrid>
        <w:gridCol w:w="2411"/>
        <w:gridCol w:w="3508"/>
        <w:gridCol w:w="2517"/>
      </w:tblGrid>
      <w:tr w:rsidR="00B40E74" w:rsidRPr="00B40E74" w14:paraId="02964B12" w14:textId="77777777" w:rsidTr="00B40E74">
        <w:trPr>
          <w:trHeight w:val="342"/>
          <w:jc w:val="center"/>
        </w:trPr>
        <w:tc>
          <w:tcPr>
            <w:tcW w:w="0" w:type="auto"/>
            <w:vAlign w:val="center"/>
            <w:hideMark/>
          </w:tcPr>
          <w:p w14:paraId="1C28BDF8"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Group</w:t>
            </w:r>
          </w:p>
        </w:tc>
        <w:tc>
          <w:tcPr>
            <w:tcW w:w="0" w:type="auto"/>
            <w:vAlign w:val="center"/>
            <w:hideMark/>
          </w:tcPr>
          <w:p w14:paraId="620C9E2C"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Mean ± SD</w:t>
            </w:r>
          </w:p>
        </w:tc>
        <w:tc>
          <w:tcPr>
            <w:tcW w:w="0" w:type="auto"/>
            <w:vAlign w:val="center"/>
            <w:hideMark/>
          </w:tcPr>
          <w:p w14:paraId="191CD7FA"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p-value</w:t>
            </w:r>
          </w:p>
        </w:tc>
      </w:tr>
      <w:tr w:rsidR="00B40E74" w:rsidRPr="00B40E74" w14:paraId="2437B575" w14:textId="77777777" w:rsidTr="00B40E74">
        <w:trPr>
          <w:trHeight w:val="316"/>
          <w:jc w:val="center"/>
        </w:trPr>
        <w:tc>
          <w:tcPr>
            <w:tcW w:w="0" w:type="auto"/>
            <w:vAlign w:val="center"/>
            <w:hideMark/>
          </w:tcPr>
          <w:p w14:paraId="5ACA9C5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Overall</w:t>
            </w:r>
          </w:p>
        </w:tc>
        <w:tc>
          <w:tcPr>
            <w:tcW w:w="0" w:type="auto"/>
            <w:vAlign w:val="center"/>
            <w:hideMark/>
          </w:tcPr>
          <w:p w14:paraId="29DBEB2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17.6 ± 3.2</w:t>
            </w:r>
          </w:p>
        </w:tc>
        <w:tc>
          <w:tcPr>
            <w:tcW w:w="0" w:type="auto"/>
            <w:vAlign w:val="center"/>
            <w:hideMark/>
          </w:tcPr>
          <w:p w14:paraId="74D82CB3"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w:t>
            </w:r>
          </w:p>
        </w:tc>
      </w:tr>
      <w:tr w:rsidR="00B40E74" w:rsidRPr="00B40E74" w14:paraId="4E502422" w14:textId="77777777" w:rsidTr="00B40E74">
        <w:trPr>
          <w:trHeight w:val="316"/>
          <w:jc w:val="center"/>
        </w:trPr>
        <w:tc>
          <w:tcPr>
            <w:tcW w:w="0" w:type="auto"/>
            <w:vAlign w:val="center"/>
            <w:hideMark/>
          </w:tcPr>
          <w:p w14:paraId="083908AC"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Male</w:t>
            </w:r>
          </w:p>
        </w:tc>
        <w:tc>
          <w:tcPr>
            <w:tcW w:w="0" w:type="auto"/>
            <w:vAlign w:val="center"/>
            <w:hideMark/>
          </w:tcPr>
          <w:p w14:paraId="0F0E66AF"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18.1 ± 3.0</w:t>
            </w:r>
          </w:p>
        </w:tc>
        <w:tc>
          <w:tcPr>
            <w:tcW w:w="0" w:type="auto"/>
            <w:vAlign w:val="center"/>
            <w:hideMark/>
          </w:tcPr>
          <w:p w14:paraId="368603E4" w14:textId="77777777" w:rsidR="00B40E74" w:rsidRPr="00B40E74" w:rsidRDefault="00B40E74" w:rsidP="00B40E74">
            <w:pPr>
              <w:jc w:val="center"/>
              <w:rPr>
                <w:rFonts w:ascii="Times New Roman" w:eastAsia="Times New Roman" w:hAnsi="Times New Roman" w:cs="Times New Roman"/>
                <w:sz w:val="24"/>
                <w:szCs w:val="24"/>
              </w:rPr>
            </w:pPr>
          </w:p>
        </w:tc>
      </w:tr>
      <w:tr w:rsidR="00B40E74" w:rsidRPr="00B40E74" w14:paraId="0AC182BF" w14:textId="77777777" w:rsidTr="00B40E74">
        <w:trPr>
          <w:trHeight w:val="342"/>
          <w:jc w:val="center"/>
        </w:trPr>
        <w:tc>
          <w:tcPr>
            <w:tcW w:w="0" w:type="auto"/>
            <w:vAlign w:val="center"/>
            <w:hideMark/>
          </w:tcPr>
          <w:p w14:paraId="7387122D"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Female</w:t>
            </w:r>
          </w:p>
        </w:tc>
        <w:tc>
          <w:tcPr>
            <w:tcW w:w="0" w:type="auto"/>
            <w:vAlign w:val="center"/>
            <w:hideMark/>
          </w:tcPr>
          <w:p w14:paraId="1FD142C8"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16.8 ± 3.4</w:t>
            </w:r>
          </w:p>
        </w:tc>
        <w:tc>
          <w:tcPr>
            <w:tcW w:w="0" w:type="auto"/>
            <w:vAlign w:val="center"/>
            <w:hideMark/>
          </w:tcPr>
          <w:p w14:paraId="39FBC50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b/>
                <w:bCs/>
                <w:sz w:val="24"/>
                <w:szCs w:val="24"/>
              </w:rPr>
              <w:t>0.018</w:t>
            </w:r>
          </w:p>
        </w:tc>
      </w:tr>
    </w:tbl>
    <w:p w14:paraId="3CC18286" w14:textId="77777777" w:rsidR="00B40E74" w:rsidRPr="00622996" w:rsidRDefault="00B40E74" w:rsidP="001E13E2">
      <w:pPr>
        <w:pStyle w:val="NormalWeb"/>
        <w:spacing w:line="360" w:lineRule="auto"/>
        <w:jc w:val="both"/>
      </w:pPr>
      <w:r w:rsidRPr="00622996">
        <w:t>The overall mean attitude score was 17.6 ± 3.2, indicating a generally positive attitude toward AMR control. Male pharmacists showed higher attitude scores (18.1 ± 3.0) than females (16.8 ± 3.4). This difference was statistically significant (p = 0.018).</w:t>
      </w:r>
    </w:p>
    <w:p w14:paraId="66B91DCD"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7. Attitude Level Distribution</w:t>
      </w:r>
    </w:p>
    <w:tbl>
      <w:tblPr>
        <w:tblStyle w:val="TableGrid"/>
        <w:tblW w:w="7361" w:type="dxa"/>
        <w:jc w:val="center"/>
        <w:tblLook w:val="04A0" w:firstRow="1" w:lastRow="0" w:firstColumn="1" w:lastColumn="0" w:noHBand="0" w:noVBand="1"/>
      </w:tblPr>
      <w:tblGrid>
        <w:gridCol w:w="4287"/>
        <w:gridCol w:w="1461"/>
        <w:gridCol w:w="1613"/>
      </w:tblGrid>
      <w:tr w:rsidR="00B40E74" w:rsidRPr="00B40E74" w14:paraId="14139897" w14:textId="77777777" w:rsidTr="00B40E74">
        <w:trPr>
          <w:trHeight w:val="385"/>
          <w:jc w:val="center"/>
        </w:trPr>
        <w:tc>
          <w:tcPr>
            <w:tcW w:w="0" w:type="auto"/>
            <w:vAlign w:val="center"/>
            <w:hideMark/>
          </w:tcPr>
          <w:p w14:paraId="66B93A7B"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Attitude Level</w:t>
            </w:r>
          </w:p>
        </w:tc>
        <w:tc>
          <w:tcPr>
            <w:tcW w:w="0" w:type="auto"/>
            <w:vAlign w:val="center"/>
            <w:hideMark/>
          </w:tcPr>
          <w:p w14:paraId="6B0567EF"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n</w:t>
            </w:r>
          </w:p>
        </w:tc>
        <w:tc>
          <w:tcPr>
            <w:tcW w:w="0" w:type="auto"/>
            <w:vAlign w:val="center"/>
            <w:hideMark/>
          </w:tcPr>
          <w:p w14:paraId="49712134"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w:t>
            </w:r>
          </w:p>
        </w:tc>
      </w:tr>
      <w:tr w:rsidR="00B40E74" w:rsidRPr="00B40E74" w14:paraId="5EA6F259" w14:textId="77777777" w:rsidTr="00B40E74">
        <w:trPr>
          <w:trHeight w:val="416"/>
          <w:jc w:val="center"/>
        </w:trPr>
        <w:tc>
          <w:tcPr>
            <w:tcW w:w="0" w:type="auto"/>
            <w:vAlign w:val="center"/>
            <w:hideMark/>
          </w:tcPr>
          <w:p w14:paraId="4ED1A46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Good</w:t>
            </w:r>
          </w:p>
        </w:tc>
        <w:tc>
          <w:tcPr>
            <w:tcW w:w="0" w:type="auto"/>
            <w:vAlign w:val="center"/>
            <w:hideMark/>
          </w:tcPr>
          <w:p w14:paraId="5B9C210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160</w:t>
            </w:r>
          </w:p>
        </w:tc>
        <w:tc>
          <w:tcPr>
            <w:tcW w:w="0" w:type="auto"/>
            <w:vAlign w:val="center"/>
            <w:hideMark/>
          </w:tcPr>
          <w:p w14:paraId="0FAC438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64.0</w:t>
            </w:r>
          </w:p>
        </w:tc>
      </w:tr>
      <w:tr w:rsidR="00B40E74" w:rsidRPr="00B40E74" w14:paraId="6196BFD8" w14:textId="77777777" w:rsidTr="00B40E74">
        <w:trPr>
          <w:trHeight w:val="385"/>
          <w:jc w:val="center"/>
        </w:trPr>
        <w:tc>
          <w:tcPr>
            <w:tcW w:w="0" w:type="auto"/>
            <w:vAlign w:val="center"/>
            <w:hideMark/>
          </w:tcPr>
          <w:p w14:paraId="45AC208A"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Moderate</w:t>
            </w:r>
          </w:p>
        </w:tc>
        <w:tc>
          <w:tcPr>
            <w:tcW w:w="0" w:type="auto"/>
            <w:vAlign w:val="center"/>
            <w:hideMark/>
          </w:tcPr>
          <w:p w14:paraId="776930A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65</w:t>
            </w:r>
          </w:p>
        </w:tc>
        <w:tc>
          <w:tcPr>
            <w:tcW w:w="0" w:type="auto"/>
            <w:vAlign w:val="center"/>
            <w:hideMark/>
          </w:tcPr>
          <w:p w14:paraId="197CBE2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26.0</w:t>
            </w:r>
          </w:p>
        </w:tc>
      </w:tr>
      <w:tr w:rsidR="00B40E74" w:rsidRPr="00B40E74" w14:paraId="489AE016" w14:textId="77777777" w:rsidTr="00B40E74">
        <w:trPr>
          <w:trHeight w:val="416"/>
          <w:jc w:val="center"/>
        </w:trPr>
        <w:tc>
          <w:tcPr>
            <w:tcW w:w="0" w:type="auto"/>
            <w:vAlign w:val="center"/>
            <w:hideMark/>
          </w:tcPr>
          <w:p w14:paraId="6F4AA2B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Poor</w:t>
            </w:r>
          </w:p>
        </w:tc>
        <w:tc>
          <w:tcPr>
            <w:tcW w:w="0" w:type="auto"/>
            <w:vAlign w:val="center"/>
            <w:hideMark/>
          </w:tcPr>
          <w:p w14:paraId="1D518A9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25</w:t>
            </w:r>
          </w:p>
        </w:tc>
        <w:tc>
          <w:tcPr>
            <w:tcW w:w="0" w:type="auto"/>
            <w:vAlign w:val="center"/>
            <w:hideMark/>
          </w:tcPr>
          <w:p w14:paraId="5C3DC426"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10.0</w:t>
            </w:r>
          </w:p>
        </w:tc>
      </w:tr>
    </w:tbl>
    <w:p w14:paraId="7893969D" w14:textId="77777777" w:rsidR="00B40E74" w:rsidRPr="00622996" w:rsidRDefault="00B40E74" w:rsidP="001E13E2">
      <w:pPr>
        <w:pStyle w:val="NormalWeb"/>
        <w:spacing w:line="360" w:lineRule="auto"/>
        <w:jc w:val="both"/>
      </w:pPr>
      <w:r w:rsidRPr="00622996">
        <w:t xml:space="preserve">A majority of participants (64%) demonstrated a good attitude toward antimicrobial resistance prevention. Moderate attitudes were observed in 26% of respondents, while only 10% exhibited </w:t>
      </w:r>
      <w:r w:rsidRPr="00622996">
        <w:lastRenderedPageBreak/>
        <w:t>poor attitudes. This reflects a generally favorable mindset among community pharmacists toward rational antibiotic use.</w:t>
      </w:r>
    </w:p>
    <w:p w14:paraId="5105F115"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8. Responses to Individual Practice Questions</w:t>
      </w:r>
    </w:p>
    <w:tbl>
      <w:tblPr>
        <w:tblStyle w:val="TableGrid"/>
        <w:tblW w:w="8834" w:type="dxa"/>
        <w:jc w:val="center"/>
        <w:tblLook w:val="04A0" w:firstRow="1" w:lastRow="0" w:firstColumn="1" w:lastColumn="0" w:noHBand="0" w:noVBand="1"/>
      </w:tblPr>
      <w:tblGrid>
        <w:gridCol w:w="3846"/>
        <w:gridCol w:w="1569"/>
        <w:gridCol w:w="2016"/>
        <w:gridCol w:w="1403"/>
      </w:tblGrid>
      <w:tr w:rsidR="00B40E74" w:rsidRPr="00B40E74" w14:paraId="2E97CF2A" w14:textId="77777777" w:rsidTr="00B40E74">
        <w:trPr>
          <w:trHeight w:val="379"/>
          <w:jc w:val="center"/>
        </w:trPr>
        <w:tc>
          <w:tcPr>
            <w:tcW w:w="0" w:type="auto"/>
            <w:vAlign w:val="center"/>
            <w:hideMark/>
          </w:tcPr>
          <w:p w14:paraId="6BFE89C5"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Practice Item</w:t>
            </w:r>
          </w:p>
        </w:tc>
        <w:tc>
          <w:tcPr>
            <w:tcW w:w="0" w:type="auto"/>
            <w:vAlign w:val="center"/>
            <w:hideMark/>
          </w:tcPr>
          <w:p w14:paraId="1EF82DEC"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Always %</w:t>
            </w:r>
          </w:p>
        </w:tc>
        <w:tc>
          <w:tcPr>
            <w:tcW w:w="0" w:type="auto"/>
            <w:vAlign w:val="center"/>
            <w:hideMark/>
          </w:tcPr>
          <w:p w14:paraId="32068B2E"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Sometimes %</w:t>
            </w:r>
          </w:p>
        </w:tc>
        <w:tc>
          <w:tcPr>
            <w:tcW w:w="0" w:type="auto"/>
            <w:vAlign w:val="center"/>
            <w:hideMark/>
          </w:tcPr>
          <w:p w14:paraId="40163263"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Never %</w:t>
            </w:r>
          </w:p>
        </w:tc>
      </w:tr>
      <w:tr w:rsidR="00B40E74" w:rsidRPr="00B40E74" w14:paraId="332EC401" w14:textId="77777777" w:rsidTr="00B40E74">
        <w:trPr>
          <w:trHeight w:val="379"/>
          <w:jc w:val="center"/>
        </w:trPr>
        <w:tc>
          <w:tcPr>
            <w:tcW w:w="0" w:type="auto"/>
            <w:vAlign w:val="center"/>
            <w:hideMark/>
          </w:tcPr>
          <w:p w14:paraId="10F357E0"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Dispense without prescription</w:t>
            </w:r>
          </w:p>
        </w:tc>
        <w:tc>
          <w:tcPr>
            <w:tcW w:w="0" w:type="auto"/>
            <w:vAlign w:val="center"/>
            <w:hideMark/>
          </w:tcPr>
          <w:p w14:paraId="627EE92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36.0</w:t>
            </w:r>
          </w:p>
        </w:tc>
        <w:tc>
          <w:tcPr>
            <w:tcW w:w="0" w:type="auto"/>
            <w:vAlign w:val="center"/>
            <w:hideMark/>
          </w:tcPr>
          <w:p w14:paraId="39C2EFD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28.8</w:t>
            </w:r>
          </w:p>
        </w:tc>
        <w:tc>
          <w:tcPr>
            <w:tcW w:w="0" w:type="auto"/>
            <w:vAlign w:val="center"/>
            <w:hideMark/>
          </w:tcPr>
          <w:p w14:paraId="06778B7C"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35.2</w:t>
            </w:r>
          </w:p>
        </w:tc>
      </w:tr>
      <w:tr w:rsidR="00B40E74" w:rsidRPr="00B40E74" w14:paraId="727ECB75" w14:textId="77777777" w:rsidTr="00B40E74">
        <w:trPr>
          <w:trHeight w:val="410"/>
          <w:jc w:val="center"/>
        </w:trPr>
        <w:tc>
          <w:tcPr>
            <w:tcW w:w="0" w:type="auto"/>
            <w:vAlign w:val="center"/>
            <w:hideMark/>
          </w:tcPr>
          <w:p w14:paraId="2422176F"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Counsel patients</w:t>
            </w:r>
          </w:p>
        </w:tc>
        <w:tc>
          <w:tcPr>
            <w:tcW w:w="0" w:type="auto"/>
            <w:vAlign w:val="center"/>
            <w:hideMark/>
          </w:tcPr>
          <w:p w14:paraId="4AE9B23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40.0</w:t>
            </w:r>
          </w:p>
        </w:tc>
        <w:tc>
          <w:tcPr>
            <w:tcW w:w="0" w:type="auto"/>
            <w:vAlign w:val="center"/>
            <w:hideMark/>
          </w:tcPr>
          <w:p w14:paraId="026717B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34.0</w:t>
            </w:r>
          </w:p>
        </w:tc>
        <w:tc>
          <w:tcPr>
            <w:tcW w:w="0" w:type="auto"/>
            <w:vAlign w:val="center"/>
            <w:hideMark/>
          </w:tcPr>
          <w:p w14:paraId="480492C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26.0</w:t>
            </w:r>
          </w:p>
        </w:tc>
      </w:tr>
      <w:tr w:rsidR="00B40E74" w:rsidRPr="00B40E74" w14:paraId="47889211" w14:textId="77777777" w:rsidTr="00B40E74">
        <w:trPr>
          <w:trHeight w:val="379"/>
          <w:jc w:val="center"/>
        </w:trPr>
        <w:tc>
          <w:tcPr>
            <w:tcW w:w="0" w:type="auto"/>
            <w:vAlign w:val="center"/>
            <w:hideMark/>
          </w:tcPr>
          <w:p w14:paraId="0550341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Advise full course</w:t>
            </w:r>
          </w:p>
        </w:tc>
        <w:tc>
          <w:tcPr>
            <w:tcW w:w="0" w:type="auto"/>
            <w:vAlign w:val="center"/>
            <w:hideMark/>
          </w:tcPr>
          <w:p w14:paraId="70EA9E6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54.0</w:t>
            </w:r>
          </w:p>
        </w:tc>
        <w:tc>
          <w:tcPr>
            <w:tcW w:w="0" w:type="auto"/>
            <w:vAlign w:val="center"/>
            <w:hideMark/>
          </w:tcPr>
          <w:p w14:paraId="73CAFB80"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28.0</w:t>
            </w:r>
          </w:p>
        </w:tc>
        <w:tc>
          <w:tcPr>
            <w:tcW w:w="0" w:type="auto"/>
            <w:vAlign w:val="center"/>
            <w:hideMark/>
          </w:tcPr>
          <w:p w14:paraId="4D1F5EE7"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18.0</w:t>
            </w:r>
          </w:p>
        </w:tc>
      </w:tr>
      <w:tr w:rsidR="00B40E74" w:rsidRPr="00B40E74" w14:paraId="483BB434" w14:textId="77777777" w:rsidTr="00B40E74">
        <w:trPr>
          <w:trHeight w:val="410"/>
          <w:jc w:val="center"/>
        </w:trPr>
        <w:tc>
          <w:tcPr>
            <w:tcW w:w="0" w:type="auto"/>
            <w:vAlign w:val="center"/>
            <w:hideMark/>
          </w:tcPr>
          <w:p w14:paraId="5D58815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Refer to physician</w:t>
            </w:r>
          </w:p>
        </w:tc>
        <w:tc>
          <w:tcPr>
            <w:tcW w:w="0" w:type="auto"/>
            <w:vAlign w:val="center"/>
            <w:hideMark/>
          </w:tcPr>
          <w:p w14:paraId="27661D4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38.0</w:t>
            </w:r>
          </w:p>
        </w:tc>
        <w:tc>
          <w:tcPr>
            <w:tcW w:w="0" w:type="auto"/>
            <w:vAlign w:val="center"/>
            <w:hideMark/>
          </w:tcPr>
          <w:p w14:paraId="137D00C3"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36.0</w:t>
            </w:r>
          </w:p>
        </w:tc>
        <w:tc>
          <w:tcPr>
            <w:tcW w:w="0" w:type="auto"/>
            <w:vAlign w:val="center"/>
            <w:hideMark/>
          </w:tcPr>
          <w:p w14:paraId="3D92EA8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26.0</w:t>
            </w:r>
          </w:p>
        </w:tc>
      </w:tr>
    </w:tbl>
    <w:p w14:paraId="357CF819" w14:textId="77777777" w:rsidR="00B40E74" w:rsidRPr="00622996" w:rsidRDefault="00B40E74" w:rsidP="00B40E74">
      <w:pPr>
        <w:spacing w:after="0" w:line="240" w:lineRule="auto"/>
        <w:rPr>
          <w:rFonts w:ascii="Times New Roman" w:eastAsia="Times New Roman" w:hAnsi="Times New Roman" w:cs="Times New Roman"/>
          <w:sz w:val="24"/>
          <w:szCs w:val="24"/>
        </w:rPr>
      </w:pPr>
    </w:p>
    <w:p w14:paraId="16469C52" w14:textId="77777777" w:rsidR="00B40E74" w:rsidRPr="00622996" w:rsidRDefault="00B40E74" w:rsidP="001E13E2">
      <w:pPr>
        <w:pStyle w:val="NormalWeb"/>
        <w:spacing w:line="360" w:lineRule="auto"/>
        <w:jc w:val="both"/>
      </w:pPr>
      <w:r w:rsidRPr="00622996">
        <w:t>Antibiotic dispensing practices showed inconsistencies. Although 54% always advised completion of antibiotic courses, 36% admitted to always dispensing antibiotics without prescription. Patient counseling was consistently practiced by only 40% of respondents, highlighting a gap between knowledge, attitude, and actual practice.</w:t>
      </w:r>
    </w:p>
    <w:p w14:paraId="2DE7A2F9"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9. Mean Practice Scores: Overall and Gender-wise</w:t>
      </w:r>
    </w:p>
    <w:tbl>
      <w:tblPr>
        <w:tblStyle w:val="TableGrid"/>
        <w:tblW w:w="6484" w:type="dxa"/>
        <w:jc w:val="center"/>
        <w:tblLook w:val="04A0" w:firstRow="1" w:lastRow="0" w:firstColumn="1" w:lastColumn="0" w:noHBand="0" w:noVBand="1"/>
      </w:tblPr>
      <w:tblGrid>
        <w:gridCol w:w="1853"/>
        <w:gridCol w:w="2697"/>
        <w:gridCol w:w="1934"/>
      </w:tblGrid>
      <w:tr w:rsidR="00B40E74" w:rsidRPr="00B40E74" w14:paraId="4D493038" w14:textId="77777777" w:rsidTr="00B40E74">
        <w:trPr>
          <w:trHeight w:val="412"/>
          <w:jc w:val="center"/>
        </w:trPr>
        <w:tc>
          <w:tcPr>
            <w:tcW w:w="0" w:type="auto"/>
            <w:vAlign w:val="center"/>
            <w:hideMark/>
          </w:tcPr>
          <w:p w14:paraId="2A63F23D"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Group</w:t>
            </w:r>
          </w:p>
        </w:tc>
        <w:tc>
          <w:tcPr>
            <w:tcW w:w="0" w:type="auto"/>
            <w:vAlign w:val="center"/>
            <w:hideMark/>
          </w:tcPr>
          <w:p w14:paraId="5750E873"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Mean ± SD</w:t>
            </w:r>
          </w:p>
        </w:tc>
        <w:tc>
          <w:tcPr>
            <w:tcW w:w="0" w:type="auto"/>
            <w:vAlign w:val="center"/>
            <w:hideMark/>
          </w:tcPr>
          <w:p w14:paraId="55F258E5"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p-value</w:t>
            </w:r>
          </w:p>
        </w:tc>
      </w:tr>
      <w:tr w:rsidR="00B40E74" w:rsidRPr="00B40E74" w14:paraId="59B6312C" w14:textId="77777777" w:rsidTr="00B40E74">
        <w:trPr>
          <w:trHeight w:val="412"/>
          <w:jc w:val="center"/>
        </w:trPr>
        <w:tc>
          <w:tcPr>
            <w:tcW w:w="0" w:type="auto"/>
            <w:vAlign w:val="center"/>
            <w:hideMark/>
          </w:tcPr>
          <w:p w14:paraId="0BCBA4D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Overall</w:t>
            </w:r>
          </w:p>
        </w:tc>
        <w:tc>
          <w:tcPr>
            <w:tcW w:w="0" w:type="auto"/>
            <w:vAlign w:val="center"/>
            <w:hideMark/>
          </w:tcPr>
          <w:p w14:paraId="1E7EC2EA"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12.4 ± 3.6</w:t>
            </w:r>
          </w:p>
        </w:tc>
        <w:tc>
          <w:tcPr>
            <w:tcW w:w="0" w:type="auto"/>
            <w:vAlign w:val="center"/>
            <w:hideMark/>
          </w:tcPr>
          <w:p w14:paraId="00084E73"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w:t>
            </w:r>
          </w:p>
        </w:tc>
      </w:tr>
      <w:tr w:rsidR="00B40E74" w:rsidRPr="00B40E74" w14:paraId="0A4DD0FA" w14:textId="77777777" w:rsidTr="00B40E74">
        <w:trPr>
          <w:trHeight w:val="445"/>
          <w:jc w:val="center"/>
        </w:trPr>
        <w:tc>
          <w:tcPr>
            <w:tcW w:w="0" w:type="auto"/>
            <w:vAlign w:val="center"/>
            <w:hideMark/>
          </w:tcPr>
          <w:p w14:paraId="3D8942F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Male</w:t>
            </w:r>
          </w:p>
        </w:tc>
        <w:tc>
          <w:tcPr>
            <w:tcW w:w="0" w:type="auto"/>
            <w:vAlign w:val="center"/>
            <w:hideMark/>
          </w:tcPr>
          <w:p w14:paraId="55DA1CD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13.0 ± 3.4</w:t>
            </w:r>
          </w:p>
        </w:tc>
        <w:tc>
          <w:tcPr>
            <w:tcW w:w="0" w:type="auto"/>
            <w:vAlign w:val="center"/>
            <w:hideMark/>
          </w:tcPr>
          <w:p w14:paraId="2B918FFE" w14:textId="77777777" w:rsidR="00B40E74" w:rsidRPr="00B40E74" w:rsidRDefault="00B40E74" w:rsidP="00B40E74">
            <w:pPr>
              <w:jc w:val="center"/>
              <w:rPr>
                <w:rFonts w:ascii="Times New Roman" w:eastAsia="Times New Roman" w:hAnsi="Times New Roman" w:cs="Times New Roman"/>
                <w:sz w:val="24"/>
                <w:szCs w:val="24"/>
              </w:rPr>
            </w:pPr>
          </w:p>
        </w:tc>
      </w:tr>
      <w:tr w:rsidR="00B40E74" w:rsidRPr="00B40E74" w14:paraId="16343499" w14:textId="77777777" w:rsidTr="00B40E74">
        <w:trPr>
          <w:trHeight w:val="412"/>
          <w:jc w:val="center"/>
        </w:trPr>
        <w:tc>
          <w:tcPr>
            <w:tcW w:w="0" w:type="auto"/>
            <w:vAlign w:val="center"/>
            <w:hideMark/>
          </w:tcPr>
          <w:p w14:paraId="6656C828"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Female</w:t>
            </w:r>
          </w:p>
        </w:tc>
        <w:tc>
          <w:tcPr>
            <w:tcW w:w="0" w:type="auto"/>
            <w:vAlign w:val="center"/>
            <w:hideMark/>
          </w:tcPr>
          <w:p w14:paraId="2A498F5C"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11.5 ± 3.8</w:t>
            </w:r>
          </w:p>
        </w:tc>
        <w:tc>
          <w:tcPr>
            <w:tcW w:w="0" w:type="auto"/>
            <w:vAlign w:val="center"/>
            <w:hideMark/>
          </w:tcPr>
          <w:p w14:paraId="630D745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b/>
                <w:bCs/>
                <w:sz w:val="24"/>
                <w:szCs w:val="24"/>
              </w:rPr>
              <w:t>0.009</w:t>
            </w:r>
          </w:p>
        </w:tc>
      </w:tr>
    </w:tbl>
    <w:p w14:paraId="6BD29E02" w14:textId="77777777" w:rsidR="00B40E74" w:rsidRPr="00622996" w:rsidRDefault="00B40E74" w:rsidP="001E13E2">
      <w:pPr>
        <w:pStyle w:val="NormalWeb"/>
        <w:spacing w:line="360" w:lineRule="auto"/>
        <w:jc w:val="both"/>
      </w:pPr>
      <w:r w:rsidRPr="00622996">
        <w:t>The overall mean practice score was 12.4 ± 3.6, reflecting moderate practice standards. Male participants scored significantly higher (13.0 ± 3.4) compared to females (11.5 ± 3.8). This difference was statistically significant (p = 0.009), indicating gender-based variation in dispensing practices.</w:t>
      </w:r>
    </w:p>
    <w:p w14:paraId="0A04970F"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10. Practice Level Distribution</w:t>
      </w:r>
    </w:p>
    <w:tbl>
      <w:tblPr>
        <w:tblStyle w:val="TableGrid"/>
        <w:tblW w:w="8901" w:type="dxa"/>
        <w:jc w:val="center"/>
        <w:tblLook w:val="04A0" w:firstRow="1" w:lastRow="0" w:firstColumn="1" w:lastColumn="0" w:noHBand="0" w:noVBand="1"/>
      </w:tblPr>
      <w:tblGrid>
        <w:gridCol w:w="5166"/>
        <w:gridCol w:w="1775"/>
        <w:gridCol w:w="1960"/>
      </w:tblGrid>
      <w:tr w:rsidR="00B40E74" w:rsidRPr="00B40E74" w14:paraId="38813FAE" w14:textId="77777777" w:rsidTr="00B40E74">
        <w:trPr>
          <w:trHeight w:val="426"/>
          <w:jc w:val="center"/>
        </w:trPr>
        <w:tc>
          <w:tcPr>
            <w:tcW w:w="0" w:type="auto"/>
            <w:vAlign w:val="center"/>
            <w:hideMark/>
          </w:tcPr>
          <w:p w14:paraId="6D23D651"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Practice Level</w:t>
            </w:r>
          </w:p>
        </w:tc>
        <w:tc>
          <w:tcPr>
            <w:tcW w:w="0" w:type="auto"/>
            <w:vAlign w:val="center"/>
            <w:hideMark/>
          </w:tcPr>
          <w:p w14:paraId="12E1C04A"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n</w:t>
            </w:r>
          </w:p>
        </w:tc>
        <w:tc>
          <w:tcPr>
            <w:tcW w:w="0" w:type="auto"/>
            <w:vAlign w:val="center"/>
            <w:hideMark/>
          </w:tcPr>
          <w:p w14:paraId="799A88DB"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w:t>
            </w:r>
          </w:p>
        </w:tc>
      </w:tr>
      <w:tr w:rsidR="00B40E74" w:rsidRPr="00B40E74" w14:paraId="342D0274" w14:textId="77777777" w:rsidTr="00B40E74">
        <w:trPr>
          <w:trHeight w:val="394"/>
          <w:jc w:val="center"/>
        </w:trPr>
        <w:tc>
          <w:tcPr>
            <w:tcW w:w="0" w:type="auto"/>
            <w:vAlign w:val="center"/>
            <w:hideMark/>
          </w:tcPr>
          <w:p w14:paraId="5174D57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Good</w:t>
            </w:r>
          </w:p>
        </w:tc>
        <w:tc>
          <w:tcPr>
            <w:tcW w:w="0" w:type="auto"/>
            <w:vAlign w:val="center"/>
            <w:hideMark/>
          </w:tcPr>
          <w:p w14:paraId="0A2D4B16"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80</w:t>
            </w:r>
          </w:p>
        </w:tc>
        <w:tc>
          <w:tcPr>
            <w:tcW w:w="0" w:type="auto"/>
            <w:vAlign w:val="center"/>
            <w:hideMark/>
          </w:tcPr>
          <w:p w14:paraId="06A64836"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32.0</w:t>
            </w:r>
          </w:p>
        </w:tc>
      </w:tr>
      <w:tr w:rsidR="00B40E74" w:rsidRPr="00B40E74" w14:paraId="4CA1E3EF" w14:textId="77777777" w:rsidTr="00B40E74">
        <w:trPr>
          <w:trHeight w:val="394"/>
          <w:jc w:val="center"/>
        </w:trPr>
        <w:tc>
          <w:tcPr>
            <w:tcW w:w="0" w:type="auto"/>
            <w:vAlign w:val="center"/>
            <w:hideMark/>
          </w:tcPr>
          <w:p w14:paraId="3DC3F6E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Moderate</w:t>
            </w:r>
          </w:p>
        </w:tc>
        <w:tc>
          <w:tcPr>
            <w:tcW w:w="0" w:type="auto"/>
            <w:vAlign w:val="center"/>
            <w:hideMark/>
          </w:tcPr>
          <w:p w14:paraId="21E2EE4E"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110</w:t>
            </w:r>
          </w:p>
        </w:tc>
        <w:tc>
          <w:tcPr>
            <w:tcW w:w="0" w:type="auto"/>
            <w:vAlign w:val="center"/>
            <w:hideMark/>
          </w:tcPr>
          <w:p w14:paraId="19DCF4A3"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44.0</w:t>
            </w:r>
          </w:p>
        </w:tc>
      </w:tr>
      <w:tr w:rsidR="00B40E74" w:rsidRPr="00B40E74" w14:paraId="192DAAD1" w14:textId="77777777" w:rsidTr="00B40E74">
        <w:trPr>
          <w:trHeight w:val="426"/>
          <w:jc w:val="center"/>
        </w:trPr>
        <w:tc>
          <w:tcPr>
            <w:tcW w:w="0" w:type="auto"/>
            <w:vAlign w:val="center"/>
            <w:hideMark/>
          </w:tcPr>
          <w:p w14:paraId="79B2360A"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Poor</w:t>
            </w:r>
          </w:p>
        </w:tc>
        <w:tc>
          <w:tcPr>
            <w:tcW w:w="0" w:type="auto"/>
            <w:vAlign w:val="center"/>
            <w:hideMark/>
          </w:tcPr>
          <w:p w14:paraId="44D0254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60</w:t>
            </w:r>
          </w:p>
        </w:tc>
        <w:tc>
          <w:tcPr>
            <w:tcW w:w="0" w:type="auto"/>
            <w:vAlign w:val="center"/>
            <w:hideMark/>
          </w:tcPr>
          <w:p w14:paraId="0031FFC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24.0</w:t>
            </w:r>
          </w:p>
        </w:tc>
      </w:tr>
    </w:tbl>
    <w:p w14:paraId="07FED8A4" w14:textId="77777777" w:rsidR="00B40E74" w:rsidRPr="00622996" w:rsidRDefault="00B40E74" w:rsidP="001E13E2">
      <w:pPr>
        <w:pStyle w:val="NormalWeb"/>
        <w:spacing w:line="360" w:lineRule="auto"/>
        <w:jc w:val="both"/>
      </w:pPr>
      <w:r w:rsidRPr="00622996">
        <w:lastRenderedPageBreak/>
        <w:t>Practice levels related to antimicrobial use were predominantly moderate (44%). Good practices were reported by only 32% of participants, while 24% demonstrated poor practices. These findings suggest that despite adequate knowledge and attitude, rational antibiotic dispensing practices remain suboptimal in community pharmacies.</w:t>
      </w:r>
    </w:p>
    <w:p w14:paraId="56C9BCB6"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11. Correlation Between Knowledge, Attitude, and Practice Scores</w:t>
      </w:r>
    </w:p>
    <w:tbl>
      <w:tblPr>
        <w:tblStyle w:val="TableGrid"/>
        <w:tblW w:w="7530" w:type="dxa"/>
        <w:jc w:val="center"/>
        <w:tblLook w:val="04A0" w:firstRow="1" w:lastRow="0" w:firstColumn="1" w:lastColumn="0" w:noHBand="0" w:noVBand="1"/>
      </w:tblPr>
      <w:tblGrid>
        <w:gridCol w:w="4210"/>
        <w:gridCol w:w="1637"/>
        <w:gridCol w:w="1683"/>
      </w:tblGrid>
      <w:tr w:rsidR="00B40E74" w:rsidRPr="00B40E74" w14:paraId="6C173B51" w14:textId="77777777" w:rsidTr="001E13E2">
        <w:trPr>
          <w:trHeight w:val="342"/>
          <w:jc w:val="center"/>
        </w:trPr>
        <w:tc>
          <w:tcPr>
            <w:tcW w:w="0" w:type="auto"/>
            <w:vAlign w:val="center"/>
            <w:hideMark/>
          </w:tcPr>
          <w:p w14:paraId="145979CD"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Variables</w:t>
            </w:r>
          </w:p>
        </w:tc>
        <w:tc>
          <w:tcPr>
            <w:tcW w:w="0" w:type="auto"/>
            <w:vAlign w:val="center"/>
            <w:hideMark/>
          </w:tcPr>
          <w:p w14:paraId="47A277CD"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r-value</w:t>
            </w:r>
          </w:p>
        </w:tc>
        <w:tc>
          <w:tcPr>
            <w:tcW w:w="0" w:type="auto"/>
            <w:vAlign w:val="center"/>
            <w:hideMark/>
          </w:tcPr>
          <w:p w14:paraId="3EDAD481"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p-value</w:t>
            </w:r>
          </w:p>
        </w:tc>
      </w:tr>
      <w:tr w:rsidR="00B40E74" w:rsidRPr="00B40E74" w14:paraId="2DB248FA" w14:textId="77777777" w:rsidTr="001E13E2">
        <w:trPr>
          <w:trHeight w:val="316"/>
          <w:jc w:val="center"/>
        </w:trPr>
        <w:tc>
          <w:tcPr>
            <w:tcW w:w="0" w:type="auto"/>
            <w:vAlign w:val="center"/>
            <w:hideMark/>
          </w:tcPr>
          <w:p w14:paraId="524B8630"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Knowledge vs Attitude</w:t>
            </w:r>
          </w:p>
        </w:tc>
        <w:tc>
          <w:tcPr>
            <w:tcW w:w="0" w:type="auto"/>
            <w:vAlign w:val="center"/>
            <w:hideMark/>
          </w:tcPr>
          <w:p w14:paraId="3667D1B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0.52</w:t>
            </w:r>
          </w:p>
        </w:tc>
        <w:tc>
          <w:tcPr>
            <w:tcW w:w="0" w:type="auto"/>
            <w:vAlign w:val="center"/>
            <w:hideMark/>
          </w:tcPr>
          <w:p w14:paraId="47E4C04E"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&lt;0.001</w:t>
            </w:r>
          </w:p>
        </w:tc>
      </w:tr>
      <w:tr w:rsidR="00B40E74" w:rsidRPr="00B40E74" w14:paraId="54CD8288" w14:textId="77777777" w:rsidTr="001E13E2">
        <w:trPr>
          <w:trHeight w:val="316"/>
          <w:jc w:val="center"/>
        </w:trPr>
        <w:tc>
          <w:tcPr>
            <w:tcW w:w="0" w:type="auto"/>
            <w:vAlign w:val="center"/>
            <w:hideMark/>
          </w:tcPr>
          <w:p w14:paraId="2BA67417"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Knowledge vs Practice</w:t>
            </w:r>
          </w:p>
        </w:tc>
        <w:tc>
          <w:tcPr>
            <w:tcW w:w="0" w:type="auto"/>
            <w:vAlign w:val="center"/>
            <w:hideMark/>
          </w:tcPr>
          <w:p w14:paraId="2BC064F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0.46</w:t>
            </w:r>
          </w:p>
        </w:tc>
        <w:tc>
          <w:tcPr>
            <w:tcW w:w="0" w:type="auto"/>
            <w:vAlign w:val="center"/>
            <w:hideMark/>
          </w:tcPr>
          <w:p w14:paraId="0EEDD33D"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&lt;0.001</w:t>
            </w:r>
          </w:p>
        </w:tc>
      </w:tr>
      <w:tr w:rsidR="00B40E74" w:rsidRPr="00B40E74" w14:paraId="509AE5D4" w14:textId="77777777" w:rsidTr="001E13E2">
        <w:trPr>
          <w:trHeight w:val="342"/>
          <w:jc w:val="center"/>
        </w:trPr>
        <w:tc>
          <w:tcPr>
            <w:tcW w:w="0" w:type="auto"/>
            <w:vAlign w:val="center"/>
            <w:hideMark/>
          </w:tcPr>
          <w:p w14:paraId="6B157E2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Attitude vs Practice</w:t>
            </w:r>
          </w:p>
        </w:tc>
        <w:tc>
          <w:tcPr>
            <w:tcW w:w="0" w:type="auto"/>
            <w:vAlign w:val="center"/>
            <w:hideMark/>
          </w:tcPr>
          <w:p w14:paraId="3295D42C"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0.58</w:t>
            </w:r>
          </w:p>
        </w:tc>
        <w:tc>
          <w:tcPr>
            <w:tcW w:w="0" w:type="auto"/>
            <w:vAlign w:val="center"/>
            <w:hideMark/>
          </w:tcPr>
          <w:p w14:paraId="38F95767"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&lt;0.001</w:t>
            </w:r>
          </w:p>
        </w:tc>
      </w:tr>
    </w:tbl>
    <w:p w14:paraId="616FE6EE" w14:textId="77777777" w:rsidR="00B40E74" w:rsidRPr="00622996" w:rsidRDefault="00B40E74" w:rsidP="001E13E2">
      <w:pPr>
        <w:pStyle w:val="NormalWeb"/>
        <w:spacing w:line="360" w:lineRule="auto"/>
        <w:jc w:val="both"/>
      </w:pPr>
      <w:r w:rsidRPr="00622996">
        <w:t>Significant positive correlations were observed between knowledge and attitude (r = 0.52), knowledge and practice (r = 0.46), and attitude and practice (r = 0.58), all with p &lt; 0.001. These findings indicate that improved knowledge and attitudes are associated with better antimicrobial dispensing practices.</w:t>
      </w:r>
    </w:p>
    <w:p w14:paraId="1CFB2E67"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12. Antibiotic Dispensing Practices in Community Pharmacies</w:t>
      </w:r>
    </w:p>
    <w:tbl>
      <w:tblPr>
        <w:tblStyle w:val="TableGrid"/>
        <w:tblW w:w="9095" w:type="dxa"/>
        <w:jc w:val="center"/>
        <w:tblLook w:val="04A0" w:firstRow="1" w:lastRow="0" w:firstColumn="1" w:lastColumn="0" w:noHBand="0" w:noVBand="1"/>
      </w:tblPr>
      <w:tblGrid>
        <w:gridCol w:w="5871"/>
        <w:gridCol w:w="1688"/>
        <w:gridCol w:w="1536"/>
      </w:tblGrid>
      <w:tr w:rsidR="00B40E74" w:rsidRPr="00B40E74" w14:paraId="2B66B5F0" w14:textId="77777777" w:rsidTr="00B40E74">
        <w:trPr>
          <w:trHeight w:val="371"/>
          <w:jc w:val="center"/>
        </w:trPr>
        <w:tc>
          <w:tcPr>
            <w:tcW w:w="0" w:type="auto"/>
            <w:vAlign w:val="center"/>
            <w:hideMark/>
          </w:tcPr>
          <w:p w14:paraId="6B2FD525"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Practice</w:t>
            </w:r>
          </w:p>
        </w:tc>
        <w:tc>
          <w:tcPr>
            <w:tcW w:w="0" w:type="auto"/>
            <w:vAlign w:val="center"/>
            <w:hideMark/>
          </w:tcPr>
          <w:p w14:paraId="2510E155"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Yes %</w:t>
            </w:r>
          </w:p>
        </w:tc>
        <w:tc>
          <w:tcPr>
            <w:tcW w:w="0" w:type="auto"/>
            <w:vAlign w:val="center"/>
            <w:hideMark/>
          </w:tcPr>
          <w:p w14:paraId="13A13B25"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No %</w:t>
            </w:r>
          </w:p>
        </w:tc>
      </w:tr>
      <w:tr w:rsidR="00B40E74" w:rsidRPr="00B40E74" w14:paraId="5F3BDD09" w14:textId="77777777" w:rsidTr="00B40E74">
        <w:trPr>
          <w:trHeight w:val="371"/>
          <w:jc w:val="center"/>
        </w:trPr>
        <w:tc>
          <w:tcPr>
            <w:tcW w:w="0" w:type="auto"/>
            <w:vAlign w:val="center"/>
            <w:hideMark/>
          </w:tcPr>
          <w:p w14:paraId="1E5E743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Dispense without prescription</w:t>
            </w:r>
          </w:p>
        </w:tc>
        <w:tc>
          <w:tcPr>
            <w:tcW w:w="0" w:type="auto"/>
            <w:vAlign w:val="center"/>
            <w:hideMark/>
          </w:tcPr>
          <w:p w14:paraId="289CDBB0"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64.8</w:t>
            </w:r>
          </w:p>
        </w:tc>
        <w:tc>
          <w:tcPr>
            <w:tcW w:w="0" w:type="auto"/>
            <w:vAlign w:val="center"/>
            <w:hideMark/>
          </w:tcPr>
          <w:p w14:paraId="24A4BEE3"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35.2</w:t>
            </w:r>
          </w:p>
        </w:tc>
      </w:tr>
      <w:tr w:rsidR="00B40E74" w:rsidRPr="00B40E74" w14:paraId="76E37995" w14:textId="77777777" w:rsidTr="00B40E74">
        <w:trPr>
          <w:trHeight w:val="371"/>
          <w:jc w:val="center"/>
        </w:trPr>
        <w:tc>
          <w:tcPr>
            <w:tcW w:w="0" w:type="auto"/>
            <w:vAlign w:val="center"/>
            <w:hideMark/>
          </w:tcPr>
          <w:p w14:paraId="169B828E"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Ask indication</w:t>
            </w:r>
          </w:p>
        </w:tc>
        <w:tc>
          <w:tcPr>
            <w:tcW w:w="0" w:type="auto"/>
            <w:vAlign w:val="center"/>
            <w:hideMark/>
          </w:tcPr>
          <w:p w14:paraId="66EC44B8"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58.0</w:t>
            </w:r>
          </w:p>
        </w:tc>
        <w:tc>
          <w:tcPr>
            <w:tcW w:w="0" w:type="auto"/>
            <w:vAlign w:val="center"/>
            <w:hideMark/>
          </w:tcPr>
          <w:p w14:paraId="11153D7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42.0</w:t>
            </w:r>
          </w:p>
        </w:tc>
      </w:tr>
      <w:tr w:rsidR="00B40E74" w:rsidRPr="00B40E74" w14:paraId="5F8880FB" w14:textId="77777777" w:rsidTr="00B40E74">
        <w:trPr>
          <w:trHeight w:val="401"/>
          <w:jc w:val="center"/>
        </w:trPr>
        <w:tc>
          <w:tcPr>
            <w:tcW w:w="0" w:type="auto"/>
            <w:vAlign w:val="center"/>
            <w:hideMark/>
          </w:tcPr>
          <w:p w14:paraId="0FBC3F4B"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Maintain records</w:t>
            </w:r>
          </w:p>
        </w:tc>
        <w:tc>
          <w:tcPr>
            <w:tcW w:w="0" w:type="auto"/>
            <w:vAlign w:val="center"/>
            <w:hideMark/>
          </w:tcPr>
          <w:p w14:paraId="43D4E4F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28.0</w:t>
            </w:r>
          </w:p>
        </w:tc>
        <w:tc>
          <w:tcPr>
            <w:tcW w:w="0" w:type="auto"/>
            <w:vAlign w:val="center"/>
            <w:hideMark/>
          </w:tcPr>
          <w:p w14:paraId="5960542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72.0</w:t>
            </w:r>
          </w:p>
        </w:tc>
      </w:tr>
      <w:tr w:rsidR="00B40E74" w:rsidRPr="00B40E74" w14:paraId="3763A8D7" w14:textId="77777777" w:rsidTr="00B40E74">
        <w:trPr>
          <w:trHeight w:val="401"/>
          <w:jc w:val="center"/>
        </w:trPr>
        <w:tc>
          <w:tcPr>
            <w:tcW w:w="0" w:type="auto"/>
            <w:vAlign w:val="center"/>
            <w:hideMark/>
          </w:tcPr>
          <w:p w14:paraId="12C8F4DA"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Refuse without prescription</w:t>
            </w:r>
          </w:p>
        </w:tc>
        <w:tc>
          <w:tcPr>
            <w:tcW w:w="0" w:type="auto"/>
            <w:vAlign w:val="center"/>
            <w:hideMark/>
          </w:tcPr>
          <w:p w14:paraId="4266169A"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38.0</w:t>
            </w:r>
          </w:p>
        </w:tc>
        <w:tc>
          <w:tcPr>
            <w:tcW w:w="0" w:type="auto"/>
            <w:vAlign w:val="center"/>
            <w:hideMark/>
          </w:tcPr>
          <w:p w14:paraId="617DEFC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62.0</w:t>
            </w:r>
          </w:p>
        </w:tc>
      </w:tr>
    </w:tbl>
    <w:p w14:paraId="0550FEE6" w14:textId="77777777" w:rsidR="00B40E74" w:rsidRPr="00622996" w:rsidRDefault="00B40E74" w:rsidP="001E13E2">
      <w:pPr>
        <w:pStyle w:val="NormalWeb"/>
        <w:spacing w:line="360" w:lineRule="auto"/>
        <w:jc w:val="both"/>
      </w:pPr>
      <w:r w:rsidRPr="00622996">
        <w:t>Non-prescription antibiotic dispensing was reported by 64.8% of participants, while only 38% refused to dispense antibiotics without a prescription. Documentation practices were poor, with just 28% maintaining antibiotic sales records. These findings emphasize the need for stricter regulatory enforcement.</w:t>
      </w:r>
    </w:p>
    <w:p w14:paraId="0F4F7947"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13. Barriers to Rational Antibiotic Use</w:t>
      </w:r>
    </w:p>
    <w:tbl>
      <w:tblPr>
        <w:tblStyle w:val="TableGrid"/>
        <w:tblW w:w="9302" w:type="dxa"/>
        <w:tblLook w:val="04A0" w:firstRow="1" w:lastRow="0" w:firstColumn="1" w:lastColumn="0" w:noHBand="0" w:noVBand="1"/>
      </w:tblPr>
      <w:tblGrid>
        <w:gridCol w:w="6407"/>
        <w:gridCol w:w="1376"/>
        <w:gridCol w:w="1519"/>
      </w:tblGrid>
      <w:tr w:rsidR="00B40E74" w:rsidRPr="00B40E74" w14:paraId="54C938B0" w14:textId="77777777" w:rsidTr="00B40E74">
        <w:trPr>
          <w:trHeight w:val="304"/>
        </w:trPr>
        <w:tc>
          <w:tcPr>
            <w:tcW w:w="0" w:type="auto"/>
            <w:vAlign w:val="center"/>
            <w:hideMark/>
          </w:tcPr>
          <w:p w14:paraId="76EC4359"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Barrier</w:t>
            </w:r>
          </w:p>
        </w:tc>
        <w:tc>
          <w:tcPr>
            <w:tcW w:w="0" w:type="auto"/>
            <w:vAlign w:val="center"/>
            <w:hideMark/>
          </w:tcPr>
          <w:p w14:paraId="60E0B420"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n</w:t>
            </w:r>
          </w:p>
        </w:tc>
        <w:tc>
          <w:tcPr>
            <w:tcW w:w="0" w:type="auto"/>
            <w:vAlign w:val="center"/>
            <w:hideMark/>
          </w:tcPr>
          <w:p w14:paraId="276B2723"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w:t>
            </w:r>
          </w:p>
        </w:tc>
      </w:tr>
      <w:tr w:rsidR="00B40E74" w:rsidRPr="00B40E74" w14:paraId="1A789B20" w14:textId="77777777" w:rsidTr="00B40E74">
        <w:trPr>
          <w:trHeight w:val="304"/>
        </w:trPr>
        <w:tc>
          <w:tcPr>
            <w:tcW w:w="0" w:type="auto"/>
            <w:vAlign w:val="center"/>
            <w:hideMark/>
          </w:tcPr>
          <w:p w14:paraId="4690A303"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Patient demand</w:t>
            </w:r>
          </w:p>
        </w:tc>
        <w:tc>
          <w:tcPr>
            <w:tcW w:w="0" w:type="auto"/>
            <w:vAlign w:val="center"/>
            <w:hideMark/>
          </w:tcPr>
          <w:p w14:paraId="35CA733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160</w:t>
            </w:r>
          </w:p>
        </w:tc>
        <w:tc>
          <w:tcPr>
            <w:tcW w:w="0" w:type="auto"/>
            <w:vAlign w:val="center"/>
            <w:hideMark/>
          </w:tcPr>
          <w:p w14:paraId="32B30FF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64.0</w:t>
            </w:r>
          </w:p>
        </w:tc>
      </w:tr>
      <w:tr w:rsidR="00B40E74" w:rsidRPr="00B40E74" w14:paraId="735DE80B" w14:textId="77777777" w:rsidTr="00B40E74">
        <w:trPr>
          <w:trHeight w:val="328"/>
        </w:trPr>
        <w:tc>
          <w:tcPr>
            <w:tcW w:w="0" w:type="auto"/>
            <w:vAlign w:val="center"/>
            <w:hideMark/>
          </w:tcPr>
          <w:p w14:paraId="1FE3E20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Lack of regulation</w:t>
            </w:r>
          </w:p>
        </w:tc>
        <w:tc>
          <w:tcPr>
            <w:tcW w:w="0" w:type="auto"/>
            <w:vAlign w:val="center"/>
            <w:hideMark/>
          </w:tcPr>
          <w:p w14:paraId="04632AB8"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140</w:t>
            </w:r>
          </w:p>
        </w:tc>
        <w:tc>
          <w:tcPr>
            <w:tcW w:w="0" w:type="auto"/>
            <w:vAlign w:val="center"/>
            <w:hideMark/>
          </w:tcPr>
          <w:p w14:paraId="6B6A983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56.0</w:t>
            </w:r>
          </w:p>
        </w:tc>
      </w:tr>
      <w:tr w:rsidR="00B40E74" w:rsidRPr="00B40E74" w14:paraId="6E65B340" w14:textId="77777777" w:rsidTr="00B40E74">
        <w:trPr>
          <w:trHeight w:val="304"/>
        </w:trPr>
        <w:tc>
          <w:tcPr>
            <w:tcW w:w="0" w:type="auto"/>
            <w:vAlign w:val="center"/>
            <w:hideMark/>
          </w:tcPr>
          <w:p w14:paraId="749BD03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Fear of losing customers</w:t>
            </w:r>
          </w:p>
        </w:tc>
        <w:tc>
          <w:tcPr>
            <w:tcW w:w="0" w:type="auto"/>
            <w:vAlign w:val="center"/>
            <w:hideMark/>
          </w:tcPr>
          <w:p w14:paraId="1890200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120</w:t>
            </w:r>
          </w:p>
        </w:tc>
        <w:tc>
          <w:tcPr>
            <w:tcW w:w="0" w:type="auto"/>
            <w:vAlign w:val="center"/>
            <w:hideMark/>
          </w:tcPr>
          <w:p w14:paraId="6C28A598"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48.0</w:t>
            </w:r>
          </w:p>
        </w:tc>
      </w:tr>
      <w:tr w:rsidR="00B40E74" w:rsidRPr="00B40E74" w14:paraId="3D9850B5" w14:textId="77777777" w:rsidTr="00B40E74">
        <w:trPr>
          <w:trHeight w:val="304"/>
        </w:trPr>
        <w:tc>
          <w:tcPr>
            <w:tcW w:w="0" w:type="auto"/>
            <w:vAlign w:val="center"/>
            <w:hideMark/>
          </w:tcPr>
          <w:p w14:paraId="4E9A81FB"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lastRenderedPageBreak/>
              <w:t>Inadequate AMR training</w:t>
            </w:r>
          </w:p>
        </w:tc>
        <w:tc>
          <w:tcPr>
            <w:tcW w:w="0" w:type="auto"/>
            <w:vAlign w:val="center"/>
            <w:hideMark/>
          </w:tcPr>
          <w:p w14:paraId="18794B0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110</w:t>
            </w:r>
          </w:p>
        </w:tc>
        <w:tc>
          <w:tcPr>
            <w:tcW w:w="0" w:type="auto"/>
            <w:vAlign w:val="center"/>
            <w:hideMark/>
          </w:tcPr>
          <w:p w14:paraId="00404B60"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44.0</w:t>
            </w:r>
          </w:p>
        </w:tc>
      </w:tr>
      <w:tr w:rsidR="00B40E74" w:rsidRPr="00B40E74" w14:paraId="1624754F" w14:textId="77777777" w:rsidTr="00B40E74">
        <w:trPr>
          <w:trHeight w:val="328"/>
        </w:trPr>
        <w:tc>
          <w:tcPr>
            <w:tcW w:w="0" w:type="auto"/>
            <w:vAlign w:val="center"/>
            <w:hideMark/>
          </w:tcPr>
          <w:p w14:paraId="175CF76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Time constraints</w:t>
            </w:r>
          </w:p>
        </w:tc>
        <w:tc>
          <w:tcPr>
            <w:tcW w:w="0" w:type="auto"/>
            <w:vAlign w:val="center"/>
            <w:hideMark/>
          </w:tcPr>
          <w:p w14:paraId="648B6BB3"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90</w:t>
            </w:r>
          </w:p>
        </w:tc>
        <w:tc>
          <w:tcPr>
            <w:tcW w:w="0" w:type="auto"/>
            <w:vAlign w:val="center"/>
            <w:hideMark/>
          </w:tcPr>
          <w:p w14:paraId="53AFB0F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36.0</w:t>
            </w:r>
          </w:p>
        </w:tc>
      </w:tr>
    </w:tbl>
    <w:p w14:paraId="0FB5040F" w14:textId="77777777" w:rsidR="00B40E74" w:rsidRPr="00622996" w:rsidRDefault="00B40E74" w:rsidP="001E13E2">
      <w:pPr>
        <w:pStyle w:val="NormalWeb"/>
        <w:spacing w:line="360" w:lineRule="auto"/>
        <w:jc w:val="both"/>
      </w:pPr>
      <w:r w:rsidRPr="00622996">
        <w:t>Patient demand was identified as the most common barrier to rational antibiotic use (64%), followed by lack of strict regulation (56%) and fear of losing customers (48%). Inadequate AMR training (44%) and time constraints (36%) further contributed to inappropriate antibiotic dispensing practices.</w:t>
      </w:r>
    </w:p>
    <w:p w14:paraId="2E697B4F" w14:textId="77777777" w:rsidR="003A1084" w:rsidRPr="00622996" w:rsidRDefault="00B40E74" w:rsidP="00FB30FB">
      <w:pPr>
        <w:spacing w:line="360" w:lineRule="auto"/>
        <w:jc w:val="both"/>
        <w:rPr>
          <w:rFonts w:ascii="Times New Roman" w:hAnsi="Times New Roman" w:cs="Times New Roman"/>
          <w:b/>
          <w:sz w:val="24"/>
          <w:szCs w:val="24"/>
          <w:u w:val="single"/>
        </w:rPr>
      </w:pPr>
      <w:r w:rsidRPr="00622996">
        <w:rPr>
          <w:rFonts w:ascii="Times New Roman" w:hAnsi="Times New Roman" w:cs="Times New Roman"/>
          <w:b/>
          <w:sz w:val="24"/>
          <w:szCs w:val="24"/>
          <w:u w:val="single"/>
        </w:rPr>
        <w:t>DISCUSSION</w:t>
      </w:r>
    </w:p>
    <w:p w14:paraId="1FAC4098" w14:textId="77777777" w:rsidR="001E13E2" w:rsidRPr="00622996" w:rsidRDefault="001E13E2" w:rsidP="001E13E2">
      <w:pPr>
        <w:pStyle w:val="NormalWeb"/>
        <w:spacing w:line="360" w:lineRule="auto"/>
        <w:jc w:val="both"/>
      </w:pPr>
      <w:r w:rsidRPr="00622996">
        <w:t>In the present study, most participants were young pharmacists aged 20–30 years (48%) and predominantly male (60%), with the majority holding a Diploma in Pharmacy. This reflects the current workforce pattern in community pharmacies, where younger professionals often enter retail practice early in their careers. Similar findings were reported by Kotwani et al. (2018), who observed a younger and diploma-dominated workforce in Indian community pharmacies. Likewise, Sakeena et al. (2018) reported that early-career pharmacists are more likely to work in community settings. Younger professionals may be more adaptable to training but may lack sufficient experience in antimicrobial stewardship</w:t>
      </w:r>
      <w:r w:rsidRPr="00622996">
        <w:rPr>
          <w:vertAlign w:val="superscript"/>
        </w:rPr>
        <w:t>.[11,12]</w:t>
      </w:r>
    </w:p>
    <w:p w14:paraId="2E36D838" w14:textId="77777777" w:rsidR="001E13E2" w:rsidRPr="00622996" w:rsidRDefault="001E13E2" w:rsidP="001E13E2">
      <w:pPr>
        <w:pStyle w:val="NormalWeb"/>
        <w:spacing w:line="360" w:lineRule="auto"/>
        <w:jc w:val="both"/>
      </w:pPr>
      <w:r w:rsidRPr="00622996">
        <w:t>The study revealed moderate knowledge of antimicrobial resistance, with only 48% correctly defining AMR and 30% being aware of national guidelines. Although many pharmacists understood that antibiotic misuse and incomplete courses contribute to resistance, gaps in fundamental knowledge remain. Similar knowledge deficiencies were observed in studies by Zawahir et al. (2019) and Roque et al. (2014), which reported limited awareness of AMR guidelines among community pharmacists. These findings suggest that while basic concepts are known, structured education on AMR policies and stewardship principles is lacking, emphasizing the need for continuous professional education programs</w:t>
      </w:r>
      <w:r w:rsidRPr="00622996">
        <w:rPr>
          <w:vertAlign w:val="superscript"/>
        </w:rPr>
        <w:t>[13,14]</w:t>
      </w:r>
    </w:p>
    <w:p w14:paraId="09119D63" w14:textId="77777777" w:rsidR="001E13E2" w:rsidRPr="00622996" w:rsidRDefault="001E13E2" w:rsidP="001E13E2">
      <w:pPr>
        <w:pStyle w:val="NormalWeb"/>
        <w:spacing w:line="360" w:lineRule="auto"/>
        <w:jc w:val="both"/>
      </w:pPr>
      <w:r w:rsidRPr="00622996">
        <w:t xml:space="preserve">Attitudes toward antimicrobial resistance were largely positive in this study, with over 80% agreeing that antibiotic misuse causes resistance and that pharmacists play an important role in prevention. These findings align with studies conducted by Abubakar et al. (2019) and Al-Shami HA (2023), where pharmacists expressed strong professional responsibility toward rational antibiotic use. Positive attitudes indicate willingness to support antimicrobial stewardship </w:t>
      </w:r>
      <w:r w:rsidRPr="00622996">
        <w:lastRenderedPageBreak/>
        <w:t>initiatives. However, favorable attitudes alone may not translate into appropriate practices unless supported by regulatory enforcement and practical training, highlighting the gap between belief and behavior in real-world settings</w:t>
      </w:r>
      <w:r w:rsidRPr="00622996">
        <w:rPr>
          <w:vertAlign w:val="superscript"/>
        </w:rPr>
        <w:t>[15,16]</w:t>
      </w:r>
    </w:p>
    <w:p w14:paraId="03CF858F" w14:textId="77777777" w:rsidR="001E13E2" w:rsidRPr="00622996" w:rsidRDefault="001E13E2" w:rsidP="001E13E2">
      <w:pPr>
        <w:pStyle w:val="NormalWeb"/>
        <w:spacing w:line="360" w:lineRule="auto"/>
        <w:jc w:val="both"/>
      </w:pPr>
      <w:r w:rsidRPr="00622996">
        <w:t>Despite reasonable knowledge and positive attitudes, antibiotic dispensing practices were suboptimal. A significant proportion (64.8%) reported dispensing antibiotics without prescription, and only 28% maintained proper records. These findings are consistent with studies by Morgan et al. (2011) which documented widespread non-prescription antibiotic sales in community pharmacies. Factors such as patient pressure, fear of losing customers, and weak regulation often influence such practices. This indicates that practical constraints and commercial pressures strongly impact behavior, even when pharmacists understand the risks of antimicrobial resistance</w:t>
      </w:r>
      <w:r w:rsidRPr="00622996">
        <w:rPr>
          <w:vertAlign w:val="superscript"/>
        </w:rPr>
        <w:t>[17]</w:t>
      </w:r>
    </w:p>
    <w:p w14:paraId="4B4360F7" w14:textId="77777777" w:rsidR="001E13E2" w:rsidRPr="00622996" w:rsidRDefault="001E13E2" w:rsidP="001E13E2">
      <w:pPr>
        <w:pStyle w:val="NormalWeb"/>
        <w:spacing w:line="360" w:lineRule="auto"/>
        <w:jc w:val="both"/>
      </w:pPr>
      <w:r w:rsidRPr="00622996">
        <w:t>The study demonstrated a strong positive correlation between knowledge, attitude, and practice, indicating that better knowledge and attitudes are associated with improved practices. However, the persistence of inappropriate dispensing highlights systemic issues beyond individual awareness. Similar correlations were reported by Founou et al. (2016) and Balliram R (2021), who emphasized that education alone is insufficient without policy enforcement and institutional support. Therefore, a combined approach involving pharmacist training, public awareness, and strict regulatory measures is essential to effectively combat antimicrobial resistance at the community level</w:t>
      </w:r>
      <w:r w:rsidRPr="00622996">
        <w:rPr>
          <w:vertAlign w:val="superscript"/>
        </w:rPr>
        <w:t>[18,19]</w:t>
      </w:r>
    </w:p>
    <w:p w14:paraId="72EBCF66" w14:textId="77777777" w:rsidR="00A32858" w:rsidRPr="00622996" w:rsidRDefault="00A32858" w:rsidP="001E13E2">
      <w:pPr>
        <w:pStyle w:val="NormalWeb"/>
        <w:spacing w:line="360" w:lineRule="auto"/>
        <w:jc w:val="both"/>
        <w:rPr>
          <w:u w:val="single"/>
        </w:rPr>
      </w:pPr>
      <w:r w:rsidRPr="00622996">
        <w:rPr>
          <w:rStyle w:val="Strong"/>
          <w:u w:val="single"/>
        </w:rPr>
        <w:t>CONCLUSION</w:t>
      </w:r>
    </w:p>
    <w:p w14:paraId="5B807CEE" w14:textId="77777777" w:rsidR="00A32858" w:rsidRDefault="00A32858" w:rsidP="001E13E2">
      <w:pPr>
        <w:pStyle w:val="NormalWeb"/>
        <w:spacing w:line="360" w:lineRule="auto"/>
        <w:jc w:val="both"/>
      </w:pPr>
      <w:r w:rsidRPr="00622996">
        <w:t>This study found that community pharmacists had moderate knowledge and positive attitudes toward antimicrobial resistance; however, inappropriate antibiotic dispensing practices remained common. The gap between awareness and practice highlights the influence of regulatory, commercial, and systemic factors beyond individual knowledge. Strengthening antimicrobial stewardship training, enforcing prescription regulations, and improving public awareness are essential to promote rational antibiotic use and reduce the burden of antimicrobial resistance in community pharmacy settings.</w:t>
      </w:r>
    </w:p>
    <w:p w14:paraId="7DE0C7C0" w14:textId="77777777" w:rsidR="00607FD1" w:rsidRDefault="00607FD1" w:rsidP="001E13E2">
      <w:pPr>
        <w:pStyle w:val="NormalWeb"/>
        <w:spacing w:line="360" w:lineRule="auto"/>
        <w:jc w:val="both"/>
      </w:pPr>
    </w:p>
    <w:p w14:paraId="6B45A07B" w14:textId="77777777" w:rsidR="001E13E2" w:rsidRPr="00622996" w:rsidRDefault="001E13E2" w:rsidP="001E13E2">
      <w:pPr>
        <w:pStyle w:val="NormalWeb"/>
        <w:spacing w:line="360" w:lineRule="auto"/>
        <w:jc w:val="both"/>
        <w:rPr>
          <w:b/>
          <w:u w:val="single"/>
        </w:rPr>
      </w:pPr>
      <w:bookmarkStart w:id="0" w:name="_GoBack"/>
      <w:bookmarkEnd w:id="0"/>
      <w:r w:rsidRPr="00622996">
        <w:rPr>
          <w:b/>
          <w:u w:val="single"/>
        </w:rPr>
        <w:lastRenderedPageBreak/>
        <w:t>REFERENCES</w:t>
      </w:r>
    </w:p>
    <w:p w14:paraId="692A8FB5" w14:textId="77777777" w:rsidR="001E13E2" w:rsidRPr="00622996" w:rsidRDefault="00622996" w:rsidP="00622996">
      <w:pPr>
        <w:numPr>
          <w:ilvl w:val="0"/>
          <w:numId w:val="10"/>
        </w:numPr>
        <w:spacing w:line="360" w:lineRule="auto"/>
        <w:ind w:left="360"/>
        <w:jc w:val="both"/>
        <w:rPr>
          <w:rFonts w:ascii="Times New Roman" w:hAnsi="Times New Roman" w:cs="Times New Roman"/>
          <w:sz w:val="24"/>
          <w:szCs w:val="24"/>
        </w:rPr>
      </w:pPr>
      <w:r w:rsidRPr="00622996">
        <w:rPr>
          <w:rFonts w:ascii="Times New Roman" w:hAnsi="Times New Roman" w:cs="Times New Roman"/>
          <w:sz w:val="24"/>
          <w:szCs w:val="24"/>
        </w:rPr>
        <w:t>Salam Ma, Al-Amin My, Salam Mt, Pawar Js, Akhter N, Rabaan Aa, Alqumber Maa. Antimicrobial Resistance: A Growing Serious Threat For Global Public Health. Healthcare (Basel). 2023 Jul 5;11(13):1946.</w:t>
      </w:r>
    </w:p>
    <w:p w14:paraId="20D80ADE" w14:textId="77777777" w:rsidR="001E13E2" w:rsidRPr="00622996" w:rsidRDefault="00622996" w:rsidP="00622996">
      <w:pPr>
        <w:numPr>
          <w:ilvl w:val="0"/>
          <w:numId w:val="10"/>
        </w:numPr>
        <w:spacing w:line="360" w:lineRule="auto"/>
        <w:ind w:left="360"/>
        <w:jc w:val="both"/>
        <w:rPr>
          <w:rFonts w:ascii="Times New Roman" w:hAnsi="Times New Roman" w:cs="Times New Roman"/>
          <w:sz w:val="24"/>
          <w:szCs w:val="24"/>
        </w:rPr>
      </w:pPr>
      <w:r w:rsidRPr="00622996">
        <w:rPr>
          <w:rFonts w:ascii="Times New Roman" w:hAnsi="Times New Roman" w:cs="Times New Roman"/>
          <w:sz w:val="24"/>
          <w:szCs w:val="24"/>
        </w:rPr>
        <w:t>Llor C, Bjerrum L. Antimicrobial Resistance: Risk Associated With Antibiotic Overuse And Initiatives To Reduce The Problem. Ther Adv Drug Saf. 2014 Dec;5(6):229-41</w:t>
      </w:r>
    </w:p>
    <w:p w14:paraId="1B25A0A5" w14:textId="77777777" w:rsidR="001E13E2" w:rsidRPr="00622996" w:rsidRDefault="00622996" w:rsidP="00622996">
      <w:pPr>
        <w:numPr>
          <w:ilvl w:val="0"/>
          <w:numId w:val="10"/>
        </w:numPr>
        <w:spacing w:line="360" w:lineRule="auto"/>
        <w:ind w:left="360"/>
        <w:jc w:val="both"/>
        <w:rPr>
          <w:rFonts w:ascii="Times New Roman" w:hAnsi="Times New Roman" w:cs="Times New Roman"/>
          <w:sz w:val="24"/>
          <w:szCs w:val="24"/>
        </w:rPr>
      </w:pPr>
      <w:r w:rsidRPr="00622996">
        <w:rPr>
          <w:rFonts w:ascii="Times New Roman" w:hAnsi="Times New Roman" w:cs="Times New Roman"/>
          <w:sz w:val="24"/>
          <w:szCs w:val="24"/>
        </w:rPr>
        <w:t>Llor C, Bjerrum L. Antimicrobial Resistance: Risk Associated With Antibiotic Overuse And Initiatives To Reduce The Problem. Ther Adv Drug Saf. 2014 Dec;5(6):229-41</w:t>
      </w:r>
    </w:p>
    <w:p w14:paraId="0D90A40D" w14:textId="77777777" w:rsidR="001E13E2" w:rsidRPr="00622996" w:rsidRDefault="00622996" w:rsidP="00622996">
      <w:pPr>
        <w:numPr>
          <w:ilvl w:val="0"/>
          <w:numId w:val="10"/>
        </w:numPr>
        <w:spacing w:line="360" w:lineRule="auto"/>
        <w:ind w:left="360"/>
        <w:jc w:val="both"/>
        <w:rPr>
          <w:rFonts w:ascii="Times New Roman" w:hAnsi="Times New Roman" w:cs="Times New Roman"/>
          <w:sz w:val="24"/>
          <w:szCs w:val="24"/>
        </w:rPr>
      </w:pPr>
      <w:r w:rsidRPr="00622996">
        <w:rPr>
          <w:rFonts w:ascii="Times New Roman" w:hAnsi="Times New Roman" w:cs="Times New Roman"/>
          <w:sz w:val="24"/>
          <w:szCs w:val="24"/>
        </w:rPr>
        <w:t>Lambert M, Van Dijk L, Benko R, Llor C, Lykkegaard J, Mantel-Teeuwisse Ak, Pont L, Taxis K. The Role Of The Community Pharmacist In Antibiotic Use - A Commentary On Current Status And Future Perspectives. Explor Res Clin Soc Pharm. 2025 Aug 30;20:100652</w:t>
      </w:r>
    </w:p>
    <w:p w14:paraId="00F22C7E" w14:textId="77777777" w:rsidR="001E13E2" w:rsidRPr="00622996" w:rsidRDefault="00622996" w:rsidP="00622996">
      <w:pPr>
        <w:numPr>
          <w:ilvl w:val="0"/>
          <w:numId w:val="10"/>
        </w:numPr>
        <w:spacing w:line="360" w:lineRule="auto"/>
        <w:ind w:left="360"/>
        <w:jc w:val="both"/>
        <w:rPr>
          <w:rFonts w:ascii="Times New Roman" w:hAnsi="Times New Roman" w:cs="Times New Roman"/>
          <w:sz w:val="24"/>
          <w:szCs w:val="24"/>
        </w:rPr>
      </w:pPr>
      <w:r w:rsidRPr="00622996">
        <w:rPr>
          <w:rFonts w:ascii="Times New Roman" w:hAnsi="Times New Roman" w:cs="Times New Roman"/>
          <w:sz w:val="24"/>
          <w:szCs w:val="24"/>
        </w:rPr>
        <w:t>Okonkwo Ri, Ndukwe H, Grant G, Khan S. Antimicrobial Stewardship In The Community Setting: A Qualitative Exploratory Study. Antimicrob Resist Infect Control. 2025 Feb 11;14(1):9. Doi: 10.1186/S13756-025-01524-7. Erratum In: Antimicrob Resist Infect Control. 2025 Apr 23;14(1):35. </w:t>
      </w:r>
    </w:p>
    <w:p w14:paraId="65A17FDD" w14:textId="77777777" w:rsidR="001E13E2" w:rsidRPr="00622996" w:rsidRDefault="00622996" w:rsidP="00622996">
      <w:pPr>
        <w:numPr>
          <w:ilvl w:val="0"/>
          <w:numId w:val="10"/>
        </w:numPr>
        <w:spacing w:line="360" w:lineRule="auto"/>
        <w:ind w:left="360"/>
        <w:jc w:val="both"/>
        <w:rPr>
          <w:rFonts w:ascii="Times New Roman" w:hAnsi="Times New Roman" w:cs="Times New Roman"/>
          <w:sz w:val="24"/>
          <w:szCs w:val="24"/>
        </w:rPr>
      </w:pPr>
      <w:r w:rsidRPr="00622996">
        <w:rPr>
          <w:rFonts w:ascii="Times New Roman" w:hAnsi="Times New Roman" w:cs="Times New Roman"/>
          <w:sz w:val="24"/>
          <w:szCs w:val="24"/>
        </w:rPr>
        <w:t>Rana S, Kaur Kn, Narad P, Walia K, Saeed S, Chandra A, Shannawaz M, Singh H. Knowledge, Attitudes And Practices Of Antimicrobial Resistance Awareness Among Healthcare Workers In India: A Systematic Review. Front Public Health. 2024 Jul 22;12:1433430.</w:t>
      </w:r>
    </w:p>
    <w:p w14:paraId="7FB333EC" w14:textId="77777777" w:rsidR="001E13E2" w:rsidRPr="00622996" w:rsidRDefault="00622996" w:rsidP="00622996">
      <w:pPr>
        <w:numPr>
          <w:ilvl w:val="0"/>
          <w:numId w:val="10"/>
        </w:numPr>
        <w:spacing w:line="360" w:lineRule="auto"/>
        <w:ind w:left="360"/>
        <w:jc w:val="both"/>
        <w:rPr>
          <w:rFonts w:ascii="Times New Roman" w:hAnsi="Times New Roman" w:cs="Times New Roman"/>
          <w:sz w:val="24"/>
          <w:szCs w:val="24"/>
        </w:rPr>
      </w:pPr>
      <w:r w:rsidRPr="00622996">
        <w:rPr>
          <w:rFonts w:ascii="Times New Roman" w:hAnsi="Times New Roman" w:cs="Times New Roman"/>
          <w:sz w:val="24"/>
          <w:szCs w:val="24"/>
        </w:rPr>
        <w:t>Bawazir A, Bohairi A, Badughaysh O, Alhussain A, Abuobaid M, Abuobaid M, Al Jabber A, Mardini Y, Alothman A, Alsomih F, Et Al. Knowledge, Attitude, And Practice Towards Antibiotic Use And Resistance Among Non-Medical University Students, Riyadh, Saudi Arabia. </w:t>
      </w:r>
      <w:r w:rsidRPr="00622996">
        <w:rPr>
          <w:rFonts w:ascii="Times New Roman" w:hAnsi="Times New Roman" w:cs="Times New Roman"/>
          <w:iCs/>
          <w:sz w:val="24"/>
          <w:szCs w:val="24"/>
        </w:rPr>
        <w:t>International Journal Of Environmental Research And Public Health</w:t>
      </w:r>
      <w:r w:rsidRPr="00622996">
        <w:rPr>
          <w:rFonts w:ascii="Times New Roman" w:hAnsi="Times New Roman" w:cs="Times New Roman"/>
          <w:sz w:val="24"/>
          <w:szCs w:val="24"/>
        </w:rPr>
        <w:t>. 2025; 22(6):868.</w:t>
      </w:r>
    </w:p>
    <w:p w14:paraId="18DBECF5" w14:textId="77777777" w:rsidR="001E13E2" w:rsidRPr="00622996" w:rsidRDefault="00622996" w:rsidP="00622996">
      <w:pPr>
        <w:numPr>
          <w:ilvl w:val="0"/>
          <w:numId w:val="10"/>
        </w:numPr>
        <w:spacing w:line="360" w:lineRule="auto"/>
        <w:ind w:left="360"/>
        <w:jc w:val="both"/>
        <w:rPr>
          <w:rFonts w:ascii="Times New Roman" w:hAnsi="Times New Roman" w:cs="Times New Roman"/>
          <w:sz w:val="24"/>
          <w:szCs w:val="24"/>
        </w:rPr>
      </w:pPr>
      <w:r w:rsidRPr="00622996">
        <w:rPr>
          <w:rFonts w:ascii="Times New Roman" w:hAnsi="Times New Roman" w:cs="Times New Roman"/>
          <w:sz w:val="24"/>
          <w:szCs w:val="24"/>
        </w:rPr>
        <w:t xml:space="preserve">Balaji L, V K A, Nandhagopal M, Subramaniam J. Antimicrobial Archetypes: Assessing The Knowledge, Attitude, And Practice (Kap) Trends In Antimicrobial Resistance (Amr) And </w:t>
      </w:r>
      <w:r w:rsidRPr="00622996">
        <w:rPr>
          <w:rFonts w:ascii="Times New Roman" w:hAnsi="Times New Roman" w:cs="Times New Roman"/>
          <w:sz w:val="24"/>
          <w:szCs w:val="24"/>
        </w:rPr>
        <w:lastRenderedPageBreak/>
        <w:t>Antimicrobial Stewardship Program (Amsp) Among Faculties, Residents, And Interns In A Tertiary Care Hospital. Cureus. 2024 Jul 17;16(7):E64722.</w:t>
      </w:r>
    </w:p>
    <w:p w14:paraId="481E2F2C" w14:textId="77777777" w:rsidR="001E13E2" w:rsidRPr="00622996" w:rsidRDefault="00622996" w:rsidP="00622996">
      <w:pPr>
        <w:numPr>
          <w:ilvl w:val="0"/>
          <w:numId w:val="10"/>
        </w:numPr>
        <w:spacing w:line="360" w:lineRule="auto"/>
        <w:ind w:left="360"/>
        <w:jc w:val="both"/>
        <w:rPr>
          <w:rFonts w:ascii="Times New Roman" w:hAnsi="Times New Roman" w:cs="Times New Roman"/>
          <w:sz w:val="24"/>
          <w:szCs w:val="24"/>
        </w:rPr>
      </w:pPr>
      <w:r w:rsidRPr="00622996">
        <w:rPr>
          <w:rFonts w:ascii="Times New Roman" w:hAnsi="Times New Roman" w:cs="Times New Roman"/>
          <w:sz w:val="24"/>
          <w:szCs w:val="24"/>
        </w:rPr>
        <w:t>Al Masud A, Walpola Rl, Sarker M, Asaduzzaman M, Islam Ms, Mostafa At, Akhtar Z, Kabir A, Seale H. Antibiotic Dispensing Practices In Community Pharmacies: Implications For Antimicrobial Stewardship In Resource-Constrained Settings. Explor Res Clin Soc Pharm. 2025 Apr 22;19:100606.</w:t>
      </w:r>
    </w:p>
    <w:p w14:paraId="49047F5A" w14:textId="77777777" w:rsidR="001E13E2" w:rsidRPr="00622996" w:rsidRDefault="00622996" w:rsidP="00622996">
      <w:pPr>
        <w:numPr>
          <w:ilvl w:val="0"/>
          <w:numId w:val="10"/>
        </w:numPr>
        <w:spacing w:line="360" w:lineRule="auto"/>
        <w:ind w:left="360"/>
        <w:jc w:val="both"/>
        <w:rPr>
          <w:rFonts w:ascii="Times New Roman" w:hAnsi="Times New Roman" w:cs="Times New Roman"/>
          <w:sz w:val="24"/>
          <w:szCs w:val="24"/>
        </w:rPr>
      </w:pPr>
      <w:r w:rsidRPr="00622996">
        <w:rPr>
          <w:rFonts w:ascii="Times New Roman" w:hAnsi="Times New Roman" w:cs="Times New Roman"/>
          <w:sz w:val="24"/>
          <w:szCs w:val="24"/>
        </w:rPr>
        <w:t>Nagassar Rp, Carrington A, Dookeeram Dk, Daniel K, Bridgelal-Nagassar Rj. Knowledge, Attitudes, And Practices In Antibiotic Dispensing Amongst Pharmacists In Trinidad And Tobago: Exploring A Novel Dichotomy Of Antibiotic Laws. Antibiotics (Basel). 2023 Jun 23;12(7):1094.</w:t>
      </w:r>
    </w:p>
    <w:p w14:paraId="4C968DC4" w14:textId="77777777" w:rsidR="00A32858" w:rsidRPr="00622996" w:rsidRDefault="00622996" w:rsidP="00622996">
      <w:pPr>
        <w:numPr>
          <w:ilvl w:val="0"/>
          <w:numId w:val="10"/>
        </w:numPr>
        <w:spacing w:line="360" w:lineRule="auto"/>
        <w:ind w:left="360"/>
        <w:jc w:val="both"/>
        <w:rPr>
          <w:rFonts w:ascii="Times New Roman" w:hAnsi="Times New Roman" w:cs="Times New Roman"/>
          <w:color w:val="212121"/>
          <w:sz w:val="24"/>
          <w:szCs w:val="24"/>
          <w:shd w:val="clear" w:color="auto" w:fill="FFFFFF"/>
        </w:rPr>
      </w:pPr>
      <w:r w:rsidRPr="00622996">
        <w:rPr>
          <w:rFonts w:ascii="Times New Roman" w:hAnsi="Times New Roman" w:cs="Times New Roman"/>
          <w:color w:val="212121"/>
          <w:sz w:val="24"/>
          <w:szCs w:val="24"/>
          <w:shd w:val="clear" w:color="auto" w:fill="FFFFFF"/>
        </w:rPr>
        <w:t xml:space="preserve"> Kotwani A, Wattal C, Joshi Pc, Holloway K. Irrational Use Of Antibiotics And Role Of The Pharmacist: An Insight From A Qualitative Study In New Delhi, India. J Clin Pharm Ther. 2012 Jun;37(3):308-12</w:t>
      </w:r>
    </w:p>
    <w:p w14:paraId="46C96B86" w14:textId="77777777" w:rsidR="00A32858" w:rsidRPr="00622996" w:rsidRDefault="00622996" w:rsidP="00622996">
      <w:pPr>
        <w:numPr>
          <w:ilvl w:val="0"/>
          <w:numId w:val="10"/>
        </w:numPr>
        <w:spacing w:line="360" w:lineRule="auto"/>
        <w:ind w:left="360"/>
        <w:jc w:val="both"/>
        <w:rPr>
          <w:rFonts w:ascii="Times New Roman" w:hAnsi="Times New Roman" w:cs="Times New Roman"/>
          <w:color w:val="212121"/>
          <w:sz w:val="24"/>
          <w:szCs w:val="24"/>
          <w:shd w:val="clear" w:color="auto" w:fill="FFFFFF"/>
        </w:rPr>
      </w:pPr>
      <w:r w:rsidRPr="00622996">
        <w:rPr>
          <w:rFonts w:ascii="Times New Roman" w:hAnsi="Times New Roman" w:cs="Times New Roman"/>
          <w:color w:val="212121"/>
          <w:sz w:val="24"/>
          <w:szCs w:val="24"/>
          <w:shd w:val="clear" w:color="auto" w:fill="FFFFFF"/>
        </w:rPr>
        <w:t>Sakeena Mhf, Bennett Aa, Mclachlan Aj. Non-Prescription Sales Of Antimicrobial Agents At Community Pharmacies In Developing Countries: A Systematic Review. Int J Antimicrob Agents. 2018 Dec;52(6):771-782</w:t>
      </w:r>
    </w:p>
    <w:p w14:paraId="382ECCEC" w14:textId="77777777" w:rsidR="00A32858" w:rsidRPr="00622996" w:rsidRDefault="00622996" w:rsidP="00622996">
      <w:pPr>
        <w:numPr>
          <w:ilvl w:val="0"/>
          <w:numId w:val="10"/>
        </w:numPr>
        <w:spacing w:line="360" w:lineRule="auto"/>
        <w:ind w:left="360"/>
        <w:jc w:val="both"/>
        <w:rPr>
          <w:rFonts w:ascii="Times New Roman" w:hAnsi="Times New Roman" w:cs="Times New Roman"/>
          <w:color w:val="212121"/>
          <w:sz w:val="24"/>
          <w:szCs w:val="24"/>
          <w:shd w:val="clear" w:color="auto" w:fill="FFFFFF"/>
        </w:rPr>
      </w:pPr>
      <w:r w:rsidRPr="00622996">
        <w:rPr>
          <w:rFonts w:ascii="Times New Roman" w:hAnsi="Times New Roman" w:cs="Times New Roman"/>
          <w:color w:val="212121"/>
          <w:sz w:val="24"/>
          <w:szCs w:val="24"/>
          <w:shd w:val="clear" w:color="auto" w:fill="FFFFFF"/>
        </w:rPr>
        <w:t>Zawahir S, Lekamwasam S, Aslani P. A Cross-Sectional National Survey Of Community Pharmacy Staff: Knowledge And Antibiotic Provision. Plos One. 2019 Apr 25;14(4):E0215484. </w:t>
      </w:r>
    </w:p>
    <w:p w14:paraId="76783A05" w14:textId="77777777" w:rsidR="00A32858" w:rsidRPr="00622996" w:rsidRDefault="00622996" w:rsidP="00622996">
      <w:pPr>
        <w:numPr>
          <w:ilvl w:val="0"/>
          <w:numId w:val="10"/>
        </w:numPr>
        <w:spacing w:line="360" w:lineRule="auto"/>
        <w:ind w:left="360"/>
        <w:jc w:val="both"/>
        <w:rPr>
          <w:rFonts w:ascii="Times New Roman" w:hAnsi="Times New Roman" w:cs="Times New Roman"/>
          <w:color w:val="212121"/>
          <w:sz w:val="24"/>
          <w:szCs w:val="24"/>
          <w:shd w:val="clear" w:color="auto" w:fill="FFFFFF"/>
        </w:rPr>
      </w:pPr>
      <w:r w:rsidRPr="00622996">
        <w:rPr>
          <w:rFonts w:ascii="Times New Roman" w:hAnsi="Times New Roman" w:cs="Times New Roman"/>
          <w:color w:val="212121"/>
          <w:sz w:val="24"/>
          <w:szCs w:val="24"/>
          <w:shd w:val="clear" w:color="auto" w:fill="FFFFFF"/>
        </w:rPr>
        <w:t>Roque F, Soares S, Breitenfeld L, Gonzalez-Gonzalez C, Figueiras A, Herdeiro Mt. Portuguese Community Pharmacists' Attitudes To And Knowledge Of Antibiotic Misuse: Questionnaire Development And Reliability. Plos One. 2014 Mar 5;9(3):E90470.</w:t>
      </w:r>
    </w:p>
    <w:p w14:paraId="7D56CC2C" w14:textId="77777777" w:rsidR="00A32858" w:rsidRPr="00622996" w:rsidRDefault="00622996" w:rsidP="00622996">
      <w:pPr>
        <w:numPr>
          <w:ilvl w:val="0"/>
          <w:numId w:val="10"/>
        </w:numPr>
        <w:spacing w:line="360" w:lineRule="auto"/>
        <w:ind w:left="360"/>
        <w:jc w:val="both"/>
        <w:rPr>
          <w:rFonts w:ascii="Times New Roman" w:hAnsi="Times New Roman" w:cs="Times New Roman"/>
          <w:color w:val="212121"/>
          <w:sz w:val="24"/>
          <w:szCs w:val="24"/>
          <w:shd w:val="clear" w:color="auto" w:fill="FFFFFF"/>
        </w:rPr>
      </w:pPr>
      <w:r w:rsidRPr="00622996">
        <w:rPr>
          <w:rFonts w:ascii="Times New Roman" w:hAnsi="Times New Roman" w:cs="Times New Roman"/>
          <w:color w:val="212121"/>
          <w:sz w:val="24"/>
          <w:szCs w:val="24"/>
          <w:shd w:val="clear" w:color="auto" w:fill="FFFFFF"/>
        </w:rPr>
        <w:t>Abubakar U. Practices And Perception Of Nigerian Community Pharmacists Towards Antimicrobial Stewardship Program. Int J Pharm Pharm Sci [Internet]. 2020 Apr. 1 [Cited 2026 Feb. 8];12(4):37-42</w:t>
      </w:r>
    </w:p>
    <w:p w14:paraId="05E3A5A8" w14:textId="77777777" w:rsidR="00A32858" w:rsidRPr="00622996" w:rsidRDefault="00622996" w:rsidP="00622996">
      <w:pPr>
        <w:numPr>
          <w:ilvl w:val="0"/>
          <w:numId w:val="10"/>
        </w:numPr>
        <w:spacing w:line="360" w:lineRule="auto"/>
        <w:ind w:left="360"/>
        <w:jc w:val="both"/>
        <w:rPr>
          <w:rFonts w:ascii="Times New Roman" w:hAnsi="Times New Roman" w:cs="Times New Roman"/>
          <w:color w:val="212121"/>
          <w:sz w:val="24"/>
          <w:szCs w:val="24"/>
          <w:shd w:val="clear" w:color="auto" w:fill="FFFFFF"/>
        </w:rPr>
      </w:pPr>
      <w:r w:rsidRPr="00622996">
        <w:rPr>
          <w:rFonts w:ascii="Times New Roman" w:hAnsi="Times New Roman" w:cs="Times New Roman"/>
          <w:color w:val="212121"/>
          <w:sz w:val="24"/>
          <w:szCs w:val="24"/>
          <w:shd w:val="clear" w:color="auto" w:fill="FFFFFF"/>
        </w:rPr>
        <w:t xml:space="preserve">Al-Shami Ha, Abubakar U, Hussein Mse, Hussin Hfa, Al-Shami Sa. Awareness, Practices And Perceptions Of Community Pharmacists Towards Antimicrobial Resistance And </w:t>
      </w:r>
      <w:r w:rsidRPr="00622996">
        <w:rPr>
          <w:rFonts w:ascii="Times New Roman" w:hAnsi="Times New Roman" w:cs="Times New Roman"/>
          <w:color w:val="212121"/>
          <w:sz w:val="24"/>
          <w:szCs w:val="24"/>
          <w:shd w:val="clear" w:color="auto" w:fill="FFFFFF"/>
        </w:rPr>
        <w:lastRenderedPageBreak/>
        <w:t>Antimicrobial Stewardship In Libya: A Cross-Sectional Study. J Pharm Policy Pract. 2023 Mar 21;16(1):46.</w:t>
      </w:r>
    </w:p>
    <w:p w14:paraId="0956C047" w14:textId="77777777" w:rsidR="00A32858" w:rsidRPr="00622996" w:rsidRDefault="00622996" w:rsidP="00622996">
      <w:pPr>
        <w:numPr>
          <w:ilvl w:val="0"/>
          <w:numId w:val="10"/>
        </w:numPr>
        <w:spacing w:line="360" w:lineRule="auto"/>
        <w:ind w:left="360"/>
        <w:jc w:val="both"/>
        <w:rPr>
          <w:rFonts w:ascii="Times New Roman" w:hAnsi="Times New Roman" w:cs="Times New Roman"/>
          <w:color w:val="212121"/>
          <w:sz w:val="24"/>
          <w:szCs w:val="24"/>
          <w:shd w:val="clear" w:color="auto" w:fill="FFFFFF"/>
        </w:rPr>
      </w:pPr>
      <w:r w:rsidRPr="00622996">
        <w:rPr>
          <w:rFonts w:ascii="Times New Roman" w:hAnsi="Times New Roman" w:cs="Times New Roman"/>
          <w:color w:val="212121"/>
          <w:sz w:val="24"/>
          <w:szCs w:val="24"/>
          <w:shd w:val="clear" w:color="auto" w:fill="FFFFFF"/>
        </w:rPr>
        <w:t>Li J, Zhou P, Wang J, Li H, Xu H, Meng Y, Ye F, Tan Y, Gong Y, Yin X. Worldwide Dispensing Of Non-Prescription Antibiotics In Community Pharmacies And Associated Factors: A Mixed-Methods Systematic Review. Lancet Infect Dis. 2023 Sep;23(9):E361-E370</w:t>
      </w:r>
    </w:p>
    <w:p w14:paraId="601B17A4" w14:textId="77777777" w:rsidR="00A32858" w:rsidRPr="00622996" w:rsidRDefault="00622996" w:rsidP="00622996">
      <w:pPr>
        <w:numPr>
          <w:ilvl w:val="0"/>
          <w:numId w:val="10"/>
        </w:numPr>
        <w:spacing w:line="360" w:lineRule="auto"/>
        <w:ind w:left="360"/>
        <w:jc w:val="both"/>
        <w:rPr>
          <w:rFonts w:ascii="Times New Roman" w:hAnsi="Times New Roman" w:cs="Times New Roman"/>
          <w:color w:val="212121"/>
          <w:sz w:val="24"/>
          <w:szCs w:val="24"/>
          <w:shd w:val="clear" w:color="auto" w:fill="FFFFFF"/>
        </w:rPr>
      </w:pPr>
      <w:r w:rsidRPr="00622996">
        <w:rPr>
          <w:rFonts w:ascii="Times New Roman" w:hAnsi="Times New Roman" w:cs="Times New Roman"/>
          <w:color w:val="212121"/>
          <w:sz w:val="24"/>
          <w:szCs w:val="24"/>
          <w:shd w:val="clear" w:color="auto" w:fill="FFFFFF"/>
        </w:rPr>
        <w:t>Founou Rc, Founou Ll, Essack Sy. Clinical And Economic Impact Of Antibiotic Resistance In Developing Countries: A Systematic Review And Meta-Analysis. Plos One. 2017 Dec 21;12(12):E0189621. </w:t>
      </w:r>
    </w:p>
    <w:p w14:paraId="0A66E318" w14:textId="77777777" w:rsidR="00A32858" w:rsidRPr="00622996" w:rsidRDefault="00622996" w:rsidP="00622996">
      <w:pPr>
        <w:numPr>
          <w:ilvl w:val="0"/>
          <w:numId w:val="10"/>
        </w:numPr>
        <w:spacing w:line="360" w:lineRule="auto"/>
        <w:ind w:left="360"/>
        <w:jc w:val="both"/>
        <w:rPr>
          <w:rFonts w:ascii="Times New Roman" w:hAnsi="Times New Roman" w:cs="Times New Roman"/>
          <w:color w:val="212121"/>
          <w:sz w:val="24"/>
          <w:szCs w:val="24"/>
          <w:shd w:val="clear" w:color="auto" w:fill="FFFFFF"/>
        </w:rPr>
      </w:pPr>
      <w:r w:rsidRPr="00622996">
        <w:rPr>
          <w:rFonts w:ascii="Times New Roman" w:hAnsi="Times New Roman" w:cs="Times New Roman"/>
          <w:color w:val="212121"/>
          <w:sz w:val="24"/>
          <w:szCs w:val="24"/>
          <w:shd w:val="clear" w:color="auto" w:fill="FFFFFF"/>
        </w:rPr>
        <w:t>Balliram R, Sibanda W, Essack Sy. The Knowledge, Attitudes And Practices Of Doctors, Pharmacists And Nurses On Antimicrobials, Antimicrobial Resistance And Antimicrobial Stewardship In South Africa. S Afr J Infect Dis. 2021 Apr 21;36(1):262.</w:t>
      </w:r>
    </w:p>
    <w:p w14:paraId="2822D481" w14:textId="77777777" w:rsidR="00622996" w:rsidRPr="00622996" w:rsidRDefault="00622996" w:rsidP="00961F50">
      <w:pPr>
        <w:spacing w:line="360" w:lineRule="auto"/>
        <w:ind w:left="360"/>
        <w:jc w:val="both"/>
        <w:rPr>
          <w:rFonts w:ascii="Times New Roman" w:hAnsi="Times New Roman" w:cs="Times New Roman"/>
          <w:color w:val="212121"/>
          <w:sz w:val="24"/>
          <w:szCs w:val="24"/>
          <w:shd w:val="clear" w:color="auto" w:fill="FFFFFF"/>
        </w:rPr>
      </w:pPr>
    </w:p>
    <w:p w14:paraId="5B3F28F6" w14:textId="77777777" w:rsidR="00D511D5" w:rsidRPr="00622996" w:rsidRDefault="00D511D5">
      <w:pPr>
        <w:spacing w:line="360" w:lineRule="auto"/>
        <w:ind w:left="360"/>
        <w:jc w:val="both"/>
        <w:rPr>
          <w:rFonts w:ascii="Times New Roman" w:hAnsi="Times New Roman" w:cs="Times New Roman"/>
          <w:color w:val="212121"/>
          <w:sz w:val="24"/>
          <w:szCs w:val="24"/>
          <w:shd w:val="clear" w:color="auto" w:fill="FFFFFF"/>
        </w:rPr>
      </w:pPr>
    </w:p>
    <w:sectPr w:rsidR="00D511D5" w:rsidRPr="00622996" w:rsidSect="006229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6938F" w14:textId="77777777" w:rsidR="00B14C0F" w:rsidRDefault="00B14C0F" w:rsidP="00FF05DF">
      <w:pPr>
        <w:spacing w:after="0" w:line="240" w:lineRule="auto"/>
      </w:pPr>
      <w:r>
        <w:separator/>
      </w:r>
    </w:p>
  </w:endnote>
  <w:endnote w:type="continuationSeparator" w:id="0">
    <w:p w14:paraId="56E3FF4A" w14:textId="77777777" w:rsidR="00B14C0F" w:rsidRDefault="00B14C0F" w:rsidP="00FF0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F1BA" w14:textId="77777777" w:rsidR="00FF05DF" w:rsidRDefault="00FF0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12439" w14:textId="77777777" w:rsidR="00FF05DF" w:rsidRDefault="00FF0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B4371" w14:textId="77777777" w:rsidR="00FF05DF" w:rsidRDefault="00FF0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6D152" w14:textId="77777777" w:rsidR="00B14C0F" w:rsidRDefault="00B14C0F" w:rsidP="00FF05DF">
      <w:pPr>
        <w:spacing w:after="0" w:line="240" w:lineRule="auto"/>
      </w:pPr>
      <w:r>
        <w:separator/>
      </w:r>
    </w:p>
  </w:footnote>
  <w:footnote w:type="continuationSeparator" w:id="0">
    <w:p w14:paraId="7252574F" w14:textId="77777777" w:rsidR="00B14C0F" w:rsidRDefault="00B14C0F" w:rsidP="00FF0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DBB72" w14:textId="459ABC1B" w:rsidR="00FF05DF" w:rsidRDefault="00FF05DF">
    <w:pPr>
      <w:pStyle w:val="Header"/>
    </w:pPr>
    <w:r>
      <w:rPr>
        <w:noProof/>
      </w:rPr>
      <w:pict w14:anchorId="5D880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00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82E0C" w14:textId="624650CB" w:rsidR="00FF05DF" w:rsidRDefault="00FF05DF">
    <w:pPr>
      <w:pStyle w:val="Header"/>
    </w:pPr>
    <w:r>
      <w:rPr>
        <w:noProof/>
      </w:rPr>
      <w:pict w14:anchorId="09CB9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00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D4678" w14:textId="785818B6" w:rsidR="00FF05DF" w:rsidRDefault="00FF05DF">
    <w:pPr>
      <w:pStyle w:val="Header"/>
    </w:pPr>
    <w:r>
      <w:rPr>
        <w:noProof/>
      </w:rPr>
      <w:pict w14:anchorId="18C27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00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3111F"/>
    <w:multiLevelType w:val="multilevel"/>
    <w:tmpl w:val="F9B8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D2F04"/>
    <w:multiLevelType w:val="multilevel"/>
    <w:tmpl w:val="E58E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A477B"/>
    <w:multiLevelType w:val="multilevel"/>
    <w:tmpl w:val="1788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2136BE"/>
    <w:multiLevelType w:val="multilevel"/>
    <w:tmpl w:val="9A72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E5513"/>
    <w:multiLevelType w:val="hybridMultilevel"/>
    <w:tmpl w:val="F4864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C42680"/>
    <w:multiLevelType w:val="multilevel"/>
    <w:tmpl w:val="4F06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DD4107"/>
    <w:multiLevelType w:val="multilevel"/>
    <w:tmpl w:val="B9BE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E240C2"/>
    <w:multiLevelType w:val="multilevel"/>
    <w:tmpl w:val="2B68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354158"/>
    <w:multiLevelType w:val="multilevel"/>
    <w:tmpl w:val="3B14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18010C"/>
    <w:multiLevelType w:val="multilevel"/>
    <w:tmpl w:val="9D5E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1"/>
  </w:num>
  <w:num w:numId="5">
    <w:abstractNumId w:val="6"/>
  </w:num>
  <w:num w:numId="6">
    <w:abstractNumId w:val="0"/>
  </w:num>
  <w:num w:numId="7">
    <w:abstractNumId w:val="3"/>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0FB"/>
    <w:rsid w:val="001620D2"/>
    <w:rsid w:val="001D72B1"/>
    <w:rsid w:val="001E13E2"/>
    <w:rsid w:val="0021328D"/>
    <w:rsid w:val="0035626E"/>
    <w:rsid w:val="00390891"/>
    <w:rsid w:val="003A1084"/>
    <w:rsid w:val="003B674B"/>
    <w:rsid w:val="0042703E"/>
    <w:rsid w:val="00492FC0"/>
    <w:rsid w:val="005D52E6"/>
    <w:rsid w:val="00607FD1"/>
    <w:rsid w:val="00622996"/>
    <w:rsid w:val="00717FCC"/>
    <w:rsid w:val="007344BD"/>
    <w:rsid w:val="007A2DDF"/>
    <w:rsid w:val="00914322"/>
    <w:rsid w:val="00961F50"/>
    <w:rsid w:val="00A32858"/>
    <w:rsid w:val="00AA6F2B"/>
    <w:rsid w:val="00B0033F"/>
    <w:rsid w:val="00B145A8"/>
    <w:rsid w:val="00B14C0F"/>
    <w:rsid w:val="00B40E74"/>
    <w:rsid w:val="00C0064A"/>
    <w:rsid w:val="00CA6217"/>
    <w:rsid w:val="00CC054B"/>
    <w:rsid w:val="00D43141"/>
    <w:rsid w:val="00D511D5"/>
    <w:rsid w:val="00D87257"/>
    <w:rsid w:val="00DD5E78"/>
    <w:rsid w:val="00E13C77"/>
    <w:rsid w:val="00E325BD"/>
    <w:rsid w:val="00FB30FB"/>
    <w:rsid w:val="00FF0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25C1D5"/>
  <w15:docId w15:val="{D554D103-301B-48F2-8D21-3F9C61EB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B30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B30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B30F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30F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B30F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B30FB"/>
    <w:rPr>
      <w:rFonts w:ascii="Times New Roman" w:eastAsia="Times New Roman" w:hAnsi="Times New Roman" w:cs="Times New Roman"/>
      <w:b/>
      <w:bCs/>
      <w:sz w:val="24"/>
      <w:szCs w:val="24"/>
    </w:rPr>
  </w:style>
  <w:style w:type="character" w:styleId="Strong">
    <w:name w:val="Strong"/>
    <w:basedOn w:val="DefaultParagraphFont"/>
    <w:uiPriority w:val="22"/>
    <w:qFormat/>
    <w:rsid w:val="00FB30FB"/>
    <w:rPr>
      <w:b/>
      <w:bCs/>
    </w:rPr>
  </w:style>
  <w:style w:type="paragraph" w:styleId="NormalWeb">
    <w:name w:val="Normal (Web)"/>
    <w:basedOn w:val="Normal"/>
    <w:uiPriority w:val="99"/>
    <w:semiHidden/>
    <w:unhideWhenUsed/>
    <w:rsid w:val="00FB3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FB30FB"/>
  </w:style>
  <w:style w:type="character" w:customStyle="1" w:styleId="mord">
    <w:name w:val="mord"/>
    <w:basedOn w:val="DefaultParagraphFont"/>
    <w:rsid w:val="00FB30FB"/>
  </w:style>
  <w:style w:type="character" w:customStyle="1" w:styleId="mrel">
    <w:name w:val="mrel"/>
    <w:basedOn w:val="DefaultParagraphFont"/>
    <w:rsid w:val="00FB30FB"/>
  </w:style>
  <w:style w:type="character" w:customStyle="1" w:styleId="mbin">
    <w:name w:val="mbin"/>
    <w:basedOn w:val="DefaultParagraphFont"/>
    <w:rsid w:val="00FB30FB"/>
  </w:style>
  <w:style w:type="character" w:customStyle="1" w:styleId="vlist-s">
    <w:name w:val="vlist-s"/>
    <w:basedOn w:val="DefaultParagraphFont"/>
    <w:rsid w:val="00FB30FB"/>
  </w:style>
  <w:style w:type="character" w:styleId="Emphasis">
    <w:name w:val="Emphasis"/>
    <w:basedOn w:val="DefaultParagraphFont"/>
    <w:uiPriority w:val="20"/>
    <w:qFormat/>
    <w:rsid w:val="00FB30FB"/>
    <w:rPr>
      <w:i/>
      <w:iCs/>
    </w:rPr>
  </w:style>
  <w:style w:type="paragraph" w:styleId="BalloonText">
    <w:name w:val="Balloon Text"/>
    <w:basedOn w:val="Normal"/>
    <w:link w:val="BalloonTextChar"/>
    <w:uiPriority w:val="99"/>
    <w:semiHidden/>
    <w:unhideWhenUsed/>
    <w:rsid w:val="00FB3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0FB"/>
    <w:rPr>
      <w:rFonts w:ascii="Tahoma" w:hAnsi="Tahoma" w:cs="Tahoma"/>
      <w:sz w:val="16"/>
      <w:szCs w:val="16"/>
    </w:rPr>
  </w:style>
  <w:style w:type="table" w:styleId="TableGrid">
    <w:name w:val="Table Grid"/>
    <w:basedOn w:val="TableNormal"/>
    <w:uiPriority w:val="59"/>
    <w:rsid w:val="00B40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891"/>
    <w:rPr>
      <w:color w:val="0000FF" w:themeColor="hyperlink"/>
      <w:u w:val="single"/>
    </w:rPr>
  </w:style>
  <w:style w:type="character" w:styleId="UnresolvedMention">
    <w:name w:val="Unresolved Mention"/>
    <w:basedOn w:val="DefaultParagraphFont"/>
    <w:uiPriority w:val="99"/>
    <w:semiHidden/>
    <w:unhideWhenUsed/>
    <w:rsid w:val="0021328D"/>
    <w:rPr>
      <w:color w:val="605E5C"/>
      <w:shd w:val="clear" w:color="auto" w:fill="E1DFDD"/>
    </w:rPr>
  </w:style>
  <w:style w:type="paragraph" w:styleId="Header">
    <w:name w:val="header"/>
    <w:basedOn w:val="Normal"/>
    <w:link w:val="HeaderChar"/>
    <w:uiPriority w:val="99"/>
    <w:unhideWhenUsed/>
    <w:rsid w:val="00FF0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5DF"/>
  </w:style>
  <w:style w:type="paragraph" w:styleId="Footer">
    <w:name w:val="footer"/>
    <w:basedOn w:val="Normal"/>
    <w:link w:val="FooterChar"/>
    <w:uiPriority w:val="99"/>
    <w:unhideWhenUsed/>
    <w:rsid w:val="00FF0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0483">
      <w:bodyDiv w:val="1"/>
      <w:marLeft w:val="0"/>
      <w:marRight w:val="0"/>
      <w:marTop w:val="0"/>
      <w:marBottom w:val="0"/>
      <w:divBdr>
        <w:top w:val="none" w:sz="0" w:space="0" w:color="auto"/>
        <w:left w:val="none" w:sz="0" w:space="0" w:color="auto"/>
        <w:bottom w:val="none" w:sz="0" w:space="0" w:color="auto"/>
        <w:right w:val="none" w:sz="0" w:space="0" w:color="auto"/>
      </w:divBdr>
    </w:div>
    <w:div w:id="174685666">
      <w:bodyDiv w:val="1"/>
      <w:marLeft w:val="0"/>
      <w:marRight w:val="0"/>
      <w:marTop w:val="0"/>
      <w:marBottom w:val="0"/>
      <w:divBdr>
        <w:top w:val="none" w:sz="0" w:space="0" w:color="auto"/>
        <w:left w:val="none" w:sz="0" w:space="0" w:color="auto"/>
        <w:bottom w:val="none" w:sz="0" w:space="0" w:color="auto"/>
        <w:right w:val="none" w:sz="0" w:space="0" w:color="auto"/>
      </w:divBdr>
    </w:div>
    <w:div w:id="179860716">
      <w:bodyDiv w:val="1"/>
      <w:marLeft w:val="0"/>
      <w:marRight w:val="0"/>
      <w:marTop w:val="0"/>
      <w:marBottom w:val="0"/>
      <w:divBdr>
        <w:top w:val="none" w:sz="0" w:space="0" w:color="auto"/>
        <w:left w:val="none" w:sz="0" w:space="0" w:color="auto"/>
        <w:bottom w:val="none" w:sz="0" w:space="0" w:color="auto"/>
        <w:right w:val="none" w:sz="0" w:space="0" w:color="auto"/>
      </w:divBdr>
    </w:div>
    <w:div w:id="267591570">
      <w:bodyDiv w:val="1"/>
      <w:marLeft w:val="0"/>
      <w:marRight w:val="0"/>
      <w:marTop w:val="0"/>
      <w:marBottom w:val="0"/>
      <w:divBdr>
        <w:top w:val="none" w:sz="0" w:space="0" w:color="auto"/>
        <w:left w:val="none" w:sz="0" w:space="0" w:color="auto"/>
        <w:bottom w:val="none" w:sz="0" w:space="0" w:color="auto"/>
        <w:right w:val="none" w:sz="0" w:space="0" w:color="auto"/>
      </w:divBdr>
      <w:divsChild>
        <w:div w:id="662974636">
          <w:marLeft w:val="0"/>
          <w:marRight w:val="0"/>
          <w:marTop w:val="0"/>
          <w:marBottom w:val="0"/>
          <w:divBdr>
            <w:top w:val="none" w:sz="0" w:space="0" w:color="auto"/>
            <w:left w:val="none" w:sz="0" w:space="0" w:color="auto"/>
            <w:bottom w:val="none" w:sz="0" w:space="0" w:color="auto"/>
            <w:right w:val="none" w:sz="0" w:space="0" w:color="auto"/>
          </w:divBdr>
          <w:divsChild>
            <w:div w:id="583994964">
              <w:marLeft w:val="0"/>
              <w:marRight w:val="0"/>
              <w:marTop w:val="0"/>
              <w:marBottom w:val="0"/>
              <w:divBdr>
                <w:top w:val="none" w:sz="0" w:space="0" w:color="auto"/>
                <w:left w:val="none" w:sz="0" w:space="0" w:color="auto"/>
                <w:bottom w:val="none" w:sz="0" w:space="0" w:color="auto"/>
                <w:right w:val="none" w:sz="0" w:space="0" w:color="auto"/>
              </w:divBdr>
            </w:div>
          </w:divsChild>
        </w:div>
        <w:div w:id="653606479">
          <w:marLeft w:val="0"/>
          <w:marRight w:val="0"/>
          <w:marTop w:val="0"/>
          <w:marBottom w:val="0"/>
          <w:divBdr>
            <w:top w:val="none" w:sz="0" w:space="0" w:color="auto"/>
            <w:left w:val="none" w:sz="0" w:space="0" w:color="auto"/>
            <w:bottom w:val="none" w:sz="0" w:space="0" w:color="auto"/>
            <w:right w:val="none" w:sz="0" w:space="0" w:color="auto"/>
          </w:divBdr>
          <w:divsChild>
            <w:div w:id="844636907">
              <w:marLeft w:val="0"/>
              <w:marRight w:val="0"/>
              <w:marTop w:val="0"/>
              <w:marBottom w:val="0"/>
              <w:divBdr>
                <w:top w:val="none" w:sz="0" w:space="0" w:color="auto"/>
                <w:left w:val="none" w:sz="0" w:space="0" w:color="auto"/>
                <w:bottom w:val="none" w:sz="0" w:space="0" w:color="auto"/>
                <w:right w:val="none" w:sz="0" w:space="0" w:color="auto"/>
              </w:divBdr>
            </w:div>
          </w:divsChild>
        </w:div>
        <w:div w:id="586966737">
          <w:marLeft w:val="0"/>
          <w:marRight w:val="0"/>
          <w:marTop w:val="0"/>
          <w:marBottom w:val="0"/>
          <w:divBdr>
            <w:top w:val="none" w:sz="0" w:space="0" w:color="auto"/>
            <w:left w:val="none" w:sz="0" w:space="0" w:color="auto"/>
            <w:bottom w:val="none" w:sz="0" w:space="0" w:color="auto"/>
            <w:right w:val="none" w:sz="0" w:space="0" w:color="auto"/>
          </w:divBdr>
          <w:divsChild>
            <w:div w:id="358361122">
              <w:marLeft w:val="0"/>
              <w:marRight w:val="0"/>
              <w:marTop w:val="0"/>
              <w:marBottom w:val="0"/>
              <w:divBdr>
                <w:top w:val="none" w:sz="0" w:space="0" w:color="auto"/>
                <w:left w:val="none" w:sz="0" w:space="0" w:color="auto"/>
                <w:bottom w:val="none" w:sz="0" w:space="0" w:color="auto"/>
                <w:right w:val="none" w:sz="0" w:space="0" w:color="auto"/>
              </w:divBdr>
            </w:div>
          </w:divsChild>
        </w:div>
        <w:div w:id="348873205">
          <w:marLeft w:val="0"/>
          <w:marRight w:val="0"/>
          <w:marTop w:val="0"/>
          <w:marBottom w:val="0"/>
          <w:divBdr>
            <w:top w:val="none" w:sz="0" w:space="0" w:color="auto"/>
            <w:left w:val="none" w:sz="0" w:space="0" w:color="auto"/>
            <w:bottom w:val="none" w:sz="0" w:space="0" w:color="auto"/>
            <w:right w:val="none" w:sz="0" w:space="0" w:color="auto"/>
          </w:divBdr>
          <w:divsChild>
            <w:div w:id="260649414">
              <w:marLeft w:val="0"/>
              <w:marRight w:val="0"/>
              <w:marTop w:val="0"/>
              <w:marBottom w:val="0"/>
              <w:divBdr>
                <w:top w:val="none" w:sz="0" w:space="0" w:color="auto"/>
                <w:left w:val="none" w:sz="0" w:space="0" w:color="auto"/>
                <w:bottom w:val="none" w:sz="0" w:space="0" w:color="auto"/>
                <w:right w:val="none" w:sz="0" w:space="0" w:color="auto"/>
              </w:divBdr>
            </w:div>
          </w:divsChild>
        </w:div>
        <w:div w:id="1198351207">
          <w:marLeft w:val="0"/>
          <w:marRight w:val="0"/>
          <w:marTop w:val="0"/>
          <w:marBottom w:val="0"/>
          <w:divBdr>
            <w:top w:val="none" w:sz="0" w:space="0" w:color="auto"/>
            <w:left w:val="none" w:sz="0" w:space="0" w:color="auto"/>
            <w:bottom w:val="none" w:sz="0" w:space="0" w:color="auto"/>
            <w:right w:val="none" w:sz="0" w:space="0" w:color="auto"/>
          </w:divBdr>
          <w:divsChild>
            <w:div w:id="2091729783">
              <w:marLeft w:val="0"/>
              <w:marRight w:val="0"/>
              <w:marTop w:val="0"/>
              <w:marBottom w:val="0"/>
              <w:divBdr>
                <w:top w:val="none" w:sz="0" w:space="0" w:color="auto"/>
                <w:left w:val="none" w:sz="0" w:space="0" w:color="auto"/>
                <w:bottom w:val="none" w:sz="0" w:space="0" w:color="auto"/>
                <w:right w:val="none" w:sz="0" w:space="0" w:color="auto"/>
              </w:divBdr>
            </w:div>
          </w:divsChild>
        </w:div>
        <w:div w:id="1845389135">
          <w:marLeft w:val="0"/>
          <w:marRight w:val="0"/>
          <w:marTop w:val="0"/>
          <w:marBottom w:val="0"/>
          <w:divBdr>
            <w:top w:val="none" w:sz="0" w:space="0" w:color="auto"/>
            <w:left w:val="none" w:sz="0" w:space="0" w:color="auto"/>
            <w:bottom w:val="none" w:sz="0" w:space="0" w:color="auto"/>
            <w:right w:val="none" w:sz="0" w:space="0" w:color="auto"/>
          </w:divBdr>
          <w:divsChild>
            <w:div w:id="882521148">
              <w:marLeft w:val="0"/>
              <w:marRight w:val="0"/>
              <w:marTop w:val="0"/>
              <w:marBottom w:val="0"/>
              <w:divBdr>
                <w:top w:val="none" w:sz="0" w:space="0" w:color="auto"/>
                <w:left w:val="none" w:sz="0" w:space="0" w:color="auto"/>
                <w:bottom w:val="none" w:sz="0" w:space="0" w:color="auto"/>
                <w:right w:val="none" w:sz="0" w:space="0" w:color="auto"/>
              </w:divBdr>
            </w:div>
          </w:divsChild>
        </w:div>
        <w:div w:id="1137406920">
          <w:marLeft w:val="0"/>
          <w:marRight w:val="0"/>
          <w:marTop w:val="0"/>
          <w:marBottom w:val="0"/>
          <w:divBdr>
            <w:top w:val="none" w:sz="0" w:space="0" w:color="auto"/>
            <w:left w:val="none" w:sz="0" w:space="0" w:color="auto"/>
            <w:bottom w:val="none" w:sz="0" w:space="0" w:color="auto"/>
            <w:right w:val="none" w:sz="0" w:space="0" w:color="auto"/>
          </w:divBdr>
          <w:divsChild>
            <w:div w:id="1434743107">
              <w:marLeft w:val="0"/>
              <w:marRight w:val="0"/>
              <w:marTop w:val="0"/>
              <w:marBottom w:val="0"/>
              <w:divBdr>
                <w:top w:val="none" w:sz="0" w:space="0" w:color="auto"/>
                <w:left w:val="none" w:sz="0" w:space="0" w:color="auto"/>
                <w:bottom w:val="none" w:sz="0" w:space="0" w:color="auto"/>
                <w:right w:val="none" w:sz="0" w:space="0" w:color="auto"/>
              </w:divBdr>
            </w:div>
          </w:divsChild>
        </w:div>
        <w:div w:id="218907492">
          <w:marLeft w:val="0"/>
          <w:marRight w:val="0"/>
          <w:marTop w:val="0"/>
          <w:marBottom w:val="0"/>
          <w:divBdr>
            <w:top w:val="none" w:sz="0" w:space="0" w:color="auto"/>
            <w:left w:val="none" w:sz="0" w:space="0" w:color="auto"/>
            <w:bottom w:val="none" w:sz="0" w:space="0" w:color="auto"/>
            <w:right w:val="none" w:sz="0" w:space="0" w:color="auto"/>
          </w:divBdr>
          <w:divsChild>
            <w:div w:id="1427574355">
              <w:marLeft w:val="0"/>
              <w:marRight w:val="0"/>
              <w:marTop w:val="0"/>
              <w:marBottom w:val="0"/>
              <w:divBdr>
                <w:top w:val="none" w:sz="0" w:space="0" w:color="auto"/>
                <w:left w:val="none" w:sz="0" w:space="0" w:color="auto"/>
                <w:bottom w:val="none" w:sz="0" w:space="0" w:color="auto"/>
                <w:right w:val="none" w:sz="0" w:space="0" w:color="auto"/>
              </w:divBdr>
            </w:div>
          </w:divsChild>
        </w:div>
        <w:div w:id="1173494739">
          <w:marLeft w:val="0"/>
          <w:marRight w:val="0"/>
          <w:marTop w:val="0"/>
          <w:marBottom w:val="0"/>
          <w:divBdr>
            <w:top w:val="none" w:sz="0" w:space="0" w:color="auto"/>
            <w:left w:val="none" w:sz="0" w:space="0" w:color="auto"/>
            <w:bottom w:val="none" w:sz="0" w:space="0" w:color="auto"/>
            <w:right w:val="none" w:sz="0" w:space="0" w:color="auto"/>
          </w:divBdr>
          <w:divsChild>
            <w:div w:id="79302942">
              <w:marLeft w:val="0"/>
              <w:marRight w:val="0"/>
              <w:marTop w:val="0"/>
              <w:marBottom w:val="0"/>
              <w:divBdr>
                <w:top w:val="none" w:sz="0" w:space="0" w:color="auto"/>
                <w:left w:val="none" w:sz="0" w:space="0" w:color="auto"/>
                <w:bottom w:val="none" w:sz="0" w:space="0" w:color="auto"/>
                <w:right w:val="none" w:sz="0" w:space="0" w:color="auto"/>
              </w:divBdr>
            </w:div>
          </w:divsChild>
        </w:div>
        <w:div w:id="272253758">
          <w:marLeft w:val="0"/>
          <w:marRight w:val="0"/>
          <w:marTop w:val="0"/>
          <w:marBottom w:val="0"/>
          <w:divBdr>
            <w:top w:val="none" w:sz="0" w:space="0" w:color="auto"/>
            <w:left w:val="none" w:sz="0" w:space="0" w:color="auto"/>
            <w:bottom w:val="none" w:sz="0" w:space="0" w:color="auto"/>
            <w:right w:val="none" w:sz="0" w:space="0" w:color="auto"/>
          </w:divBdr>
          <w:divsChild>
            <w:div w:id="955257391">
              <w:marLeft w:val="0"/>
              <w:marRight w:val="0"/>
              <w:marTop w:val="0"/>
              <w:marBottom w:val="0"/>
              <w:divBdr>
                <w:top w:val="none" w:sz="0" w:space="0" w:color="auto"/>
                <w:left w:val="none" w:sz="0" w:space="0" w:color="auto"/>
                <w:bottom w:val="none" w:sz="0" w:space="0" w:color="auto"/>
                <w:right w:val="none" w:sz="0" w:space="0" w:color="auto"/>
              </w:divBdr>
            </w:div>
          </w:divsChild>
        </w:div>
        <w:div w:id="1858273656">
          <w:marLeft w:val="0"/>
          <w:marRight w:val="0"/>
          <w:marTop w:val="0"/>
          <w:marBottom w:val="0"/>
          <w:divBdr>
            <w:top w:val="none" w:sz="0" w:space="0" w:color="auto"/>
            <w:left w:val="none" w:sz="0" w:space="0" w:color="auto"/>
            <w:bottom w:val="none" w:sz="0" w:space="0" w:color="auto"/>
            <w:right w:val="none" w:sz="0" w:space="0" w:color="auto"/>
          </w:divBdr>
          <w:divsChild>
            <w:div w:id="623318237">
              <w:marLeft w:val="0"/>
              <w:marRight w:val="0"/>
              <w:marTop w:val="0"/>
              <w:marBottom w:val="0"/>
              <w:divBdr>
                <w:top w:val="none" w:sz="0" w:space="0" w:color="auto"/>
                <w:left w:val="none" w:sz="0" w:space="0" w:color="auto"/>
                <w:bottom w:val="none" w:sz="0" w:space="0" w:color="auto"/>
                <w:right w:val="none" w:sz="0" w:space="0" w:color="auto"/>
              </w:divBdr>
            </w:div>
          </w:divsChild>
        </w:div>
        <w:div w:id="120995953">
          <w:marLeft w:val="0"/>
          <w:marRight w:val="0"/>
          <w:marTop w:val="0"/>
          <w:marBottom w:val="0"/>
          <w:divBdr>
            <w:top w:val="none" w:sz="0" w:space="0" w:color="auto"/>
            <w:left w:val="none" w:sz="0" w:space="0" w:color="auto"/>
            <w:bottom w:val="none" w:sz="0" w:space="0" w:color="auto"/>
            <w:right w:val="none" w:sz="0" w:space="0" w:color="auto"/>
          </w:divBdr>
          <w:divsChild>
            <w:div w:id="1034698793">
              <w:marLeft w:val="0"/>
              <w:marRight w:val="0"/>
              <w:marTop w:val="0"/>
              <w:marBottom w:val="0"/>
              <w:divBdr>
                <w:top w:val="none" w:sz="0" w:space="0" w:color="auto"/>
                <w:left w:val="none" w:sz="0" w:space="0" w:color="auto"/>
                <w:bottom w:val="none" w:sz="0" w:space="0" w:color="auto"/>
                <w:right w:val="none" w:sz="0" w:space="0" w:color="auto"/>
              </w:divBdr>
            </w:div>
          </w:divsChild>
        </w:div>
        <w:div w:id="289867790">
          <w:marLeft w:val="0"/>
          <w:marRight w:val="0"/>
          <w:marTop w:val="0"/>
          <w:marBottom w:val="0"/>
          <w:divBdr>
            <w:top w:val="none" w:sz="0" w:space="0" w:color="auto"/>
            <w:left w:val="none" w:sz="0" w:space="0" w:color="auto"/>
            <w:bottom w:val="none" w:sz="0" w:space="0" w:color="auto"/>
            <w:right w:val="none" w:sz="0" w:space="0" w:color="auto"/>
          </w:divBdr>
          <w:divsChild>
            <w:div w:id="19952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23725">
      <w:bodyDiv w:val="1"/>
      <w:marLeft w:val="0"/>
      <w:marRight w:val="0"/>
      <w:marTop w:val="0"/>
      <w:marBottom w:val="0"/>
      <w:divBdr>
        <w:top w:val="none" w:sz="0" w:space="0" w:color="auto"/>
        <w:left w:val="none" w:sz="0" w:space="0" w:color="auto"/>
        <w:bottom w:val="none" w:sz="0" w:space="0" w:color="auto"/>
        <w:right w:val="none" w:sz="0" w:space="0" w:color="auto"/>
      </w:divBdr>
    </w:div>
    <w:div w:id="415905036">
      <w:bodyDiv w:val="1"/>
      <w:marLeft w:val="0"/>
      <w:marRight w:val="0"/>
      <w:marTop w:val="0"/>
      <w:marBottom w:val="0"/>
      <w:divBdr>
        <w:top w:val="none" w:sz="0" w:space="0" w:color="auto"/>
        <w:left w:val="none" w:sz="0" w:space="0" w:color="auto"/>
        <w:bottom w:val="none" w:sz="0" w:space="0" w:color="auto"/>
        <w:right w:val="none" w:sz="0" w:space="0" w:color="auto"/>
      </w:divBdr>
    </w:div>
    <w:div w:id="574782533">
      <w:bodyDiv w:val="1"/>
      <w:marLeft w:val="0"/>
      <w:marRight w:val="0"/>
      <w:marTop w:val="0"/>
      <w:marBottom w:val="0"/>
      <w:divBdr>
        <w:top w:val="none" w:sz="0" w:space="0" w:color="auto"/>
        <w:left w:val="none" w:sz="0" w:space="0" w:color="auto"/>
        <w:bottom w:val="none" w:sz="0" w:space="0" w:color="auto"/>
        <w:right w:val="none" w:sz="0" w:space="0" w:color="auto"/>
      </w:divBdr>
    </w:div>
    <w:div w:id="775054003">
      <w:bodyDiv w:val="1"/>
      <w:marLeft w:val="0"/>
      <w:marRight w:val="0"/>
      <w:marTop w:val="0"/>
      <w:marBottom w:val="0"/>
      <w:divBdr>
        <w:top w:val="none" w:sz="0" w:space="0" w:color="auto"/>
        <w:left w:val="none" w:sz="0" w:space="0" w:color="auto"/>
        <w:bottom w:val="none" w:sz="0" w:space="0" w:color="auto"/>
        <w:right w:val="none" w:sz="0" w:space="0" w:color="auto"/>
      </w:divBdr>
    </w:div>
    <w:div w:id="798181522">
      <w:bodyDiv w:val="1"/>
      <w:marLeft w:val="0"/>
      <w:marRight w:val="0"/>
      <w:marTop w:val="0"/>
      <w:marBottom w:val="0"/>
      <w:divBdr>
        <w:top w:val="none" w:sz="0" w:space="0" w:color="auto"/>
        <w:left w:val="none" w:sz="0" w:space="0" w:color="auto"/>
        <w:bottom w:val="none" w:sz="0" w:space="0" w:color="auto"/>
        <w:right w:val="none" w:sz="0" w:space="0" w:color="auto"/>
      </w:divBdr>
    </w:div>
    <w:div w:id="865214489">
      <w:bodyDiv w:val="1"/>
      <w:marLeft w:val="0"/>
      <w:marRight w:val="0"/>
      <w:marTop w:val="0"/>
      <w:marBottom w:val="0"/>
      <w:divBdr>
        <w:top w:val="none" w:sz="0" w:space="0" w:color="auto"/>
        <w:left w:val="none" w:sz="0" w:space="0" w:color="auto"/>
        <w:bottom w:val="none" w:sz="0" w:space="0" w:color="auto"/>
        <w:right w:val="none" w:sz="0" w:space="0" w:color="auto"/>
      </w:divBdr>
    </w:div>
    <w:div w:id="1010107057">
      <w:bodyDiv w:val="1"/>
      <w:marLeft w:val="0"/>
      <w:marRight w:val="0"/>
      <w:marTop w:val="0"/>
      <w:marBottom w:val="0"/>
      <w:divBdr>
        <w:top w:val="none" w:sz="0" w:space="0" w:color="auto"/>
        <w:left w:val="none" w:sz="0" w:space="0" w:color="auto"/>
        <w:bottom w:val="none" w:sz="0" w:space="0" w:color="auto"/>
        <w:right w:val="none" w:sz="0" w:space="0" w:color="auto"/>
      </w:divBdr>
    </w:div>
    <w:div w:id="1221788935">
      <w:bodyDiv w:val="1"/>
      <w:marLeft w:val="0"/>
      <w:marRight w:val="0"/>
      <w:marTop w:val="0"/>
      <w:marBottom w:val="0"/>
      <w:divBdr>
        <w:top w:val="none" w:sz="0" w:space="0" w:color="auto"/>
        <w:left w:val="none" w:sz="0" w:space="0" w:color="auto"/>
        <w:bottom w:val="none" w:sz="0" w:space="0" w:color="auto"/>
        <w:right w:val="none" w:sz="0" w:space="0" w:color="auto"/>
      </w:divBdr>
    </w:div>
    <w:div w:id="1230455919">
      <w:bodyDiv w:val="1"/>
      <w:marLeft w:val="0"/>
      <w:marRight w:val="0"/>
      <w:marTop w:val="0"/>
      <w:marBottom w:val="0"/>
      <w:divBdr>
        <w:top w:val="none" w:sz="0" w:space="0" w:color="auto"/>
        <w:left w:val="none" w:sz="0" w:space="0" w:color="auto"/>
        <w:bottom w:val="none" w:sz="0" w:space="0" w:color="auto"/>
        <w:right w:val="none" w:sz="0" w:space="0" w:color="auto"/>
      </w:divBdr>
    </w:div>
    <w:div w:id="1264916352">
      <w:bodyDiv w:val="1"/>
      <w:marLeft w:val="0"/>
      <w:marRight w:val="0"/>
      <w:marTop w:val="0"/>
      <w:marBottom w:val="0"/>
      <w:divBdr>
        <w:top w:val="none" w:sz="0" w:space="0" w:color="auto"/>
        <w:left w:val="none" w:sz="0" w:space="0" w:color="auto"/>
        <w:bottom w:val="none" w:sz="0" w:space="0" w:color="auto"/>
        <w:right w:val="none" w:sz="0" w:space="0" w:color="auto"/>
      </w:divBdr>
    </w:div>
    <w:div w:id="1286885552">
      <w:bodyDiv w:val="1"/>
      <w:marLeft w:val="0"/>
      <w:marRight w:val="0"/>
      <w:marTop w:val="0"/>
      <w:marBottom w:val="0"/>
      <w:divBdr>
        <w:top w:val="none" w:sz="0" w:space="0" w:color="auto"/>
        <w:left w:val="none" w:sz="0" w:space="0" w:color="auto"/>
        <w:bottom w:val="none" w:sz="0" w:space="0" w:color="auto"/>
        <w:right w:val="none" w:sz="0" w:space="0" w:color="auto"/>
      </w:divBdr>
    </w:div>
    <w:div w:id="1471702935">
      <w:bodyDiv w:val="1"/>
      <w:marLeft w:val="0"/>
      <w:marRight w:val="0"/>
      <w:marTop w:val="0"/>
      <w:marBottom w:val="0"/>
      <w:divBdr>
        <w:top w:val="none" w:sz="0" w:space="0" w:color="auto"/>
        <w:left w:val="none" w:sz="0" w:space="0" w:color="auto"/>
        <w:bottom w:val="none" w:sz="0" w:space="0" w:color="auto"/>
        <w:right w:val="none" w:sz="0" w:space="0" w:color="auto"/>
      </w:divBdr>
    </w:div>
    <w:div w:id="1482506496">
      <w:bodyDiv w:val="1"/>
      <w:marLeft w:val="0"/>
      <w:marRight w:val="0"/>
      <w:marTop w:val="0"/>
      <w:marBottom w:val="0"/>
      <w:divBdr>
        <w:top w:val="none" w:sz="0" w:space="0" w:color="auto"/>
        <w:left w:val="none" w:sz="0" w:space="0" w:color="auto"/>
        <w:bottom w:val="none" w:sz="0" w:space="0" w:color="auto"/>
        <w:right w:val="none" w:sz="0" w:space="0" w:color="auto"/>
      </w:divBdr>
    </w:div>
    <w:div w:id="1522237289">
      <w:bodyDiv w:val="1"/>
      <w:marLeft w:val="0"/>
      <w:marRight w:val="0"/>
      <w:marTop w:val="0"/>
      <w:marBottom w:val="0"/>
      <w:divBdr>
        <w:top w:val="none" w:sz="0" w:space="0" w:color="auto"/>
        <w:left w:val="none" w:sz="0" w:space="0" w:color="auto"/>
        <w:bottom w:val="none" w:sz="0" w:space="0" w:color="auto"/>
        <w:right w:val="none" w:sz="0" w:space="0" w:color="auto"/>
      </w:divBdr>
    </w:div>
    <w:div w:id="1876307624">
      <w:bodyDiv w:val="1"/>
      <w:marLeft w:val="0"/>
      <w:marRight w:val="0"/>
      <w:marTop w:val="0"/>
      <w:marBottom w:val="0"/>
      <w:divBdr>
        <w:top w:val="none" w:sz="0" w:space="0" w:color="auto"/>
        <w:left w:val="none" w:sz="0" w:space="0" w:color="auto"/>
        <w:bottom w:val="none" w:sz="0" w:space="0" w:color="auto"/>
        <w:right w:val="none" w:sz="0" w:space="0" w:color="auto"/>
      </w:divBdr>
    </w:div>
    <w:div w:id="1888490876">
      <w:bodyDiv w:val="1"/>
      <w:marLeft w:val="0"/>
      <w:marRight w:val="0"/>
      <w:marTop w:val="0"/>
      <w:marBottom w:val="0"/>
      <w:divBdr>
        <w:top w:val="none" w:sz="0" w:space="0" w:color="auto"/>
        <w:left w:val="none" w:sz="0" w:space="0" w:color="auto"/>
        <w:bottom w:val="none" w:sz="0" w:space="0" w:color="auto"/>
        <w:right w:val="none" w:sz="0" w:space="0" w:color="auto"/>
      </w:divBdr>
    </w:div>
    <w:div w:id="1903368673">
      <w:bodyDiv w:val="1"/>
      <w:marLeft w:val="0"/>
      <w:marRight w:val="0"/>
      <w:marTop w:val="0"/>
      <w:marBottom w:val="0"/>
      <w:divBdr>
        <w:top w:val="none" w:sz="0" w:space="0" w:color="auto"/>
        <w:left w:val="none" w:sz="0" w:space="0" w:color="auto"/>
        <w:bottom w:val="none" w:sz="0" w:space="0" w:color="auto"/>
        <w:right w:val="none" w:sz="0" w:space="0" w:color="auto"/>
      </w:divBdr>
      <w:divsChild>
        <w:div w:id="2032300744">
          <w:marLeft w:val="0"/>
          <w:marRight w:val="0"/>
          <w:marTop w:val="0"/>
          <w:marBottom w:val="0"/>
          <w:divBdr>
            <w:top w:val="none" w:sz="0" w:space="0" w:color="auto"/>
            <w:left w:val="none" w:sz="0" w:space="0" w:color="auto"/>
            <w:bottom w:val="none" w:sz="0" w:space="0" w:color="auto"/>
            <w:right w:val="none" w:sz="0" w:space="0" w:color="auto"/>
          </w:divBdr>
          <w:divsChild>
            <w:div w:id="859586240">
              <w:marLeft w:val="0"/>
              <w:marRight w:val="0"/>
              <w:marTop w:val="0"/>
              <w:marBottom w:val="0"/>
              <w:divBdr>
                <w:top w:val="none" w:sz="0" w:space="0" w:color="auto"/>
                <w:left w:val="none" w:sz="0" w:space="0" w:color="auto"/>
                <w:bottom w:val="none" w:sz="0" w:space="0" w:color="auto"/>
                <w:right w:val="none" w:sz="0" w:space="0" w:color="auto"/>
              </w:divBdr>
            </w:div>
          </w:divsChild>
        </w:div>
        <w:div w:id="1142847871">
          <w:marLeft w:val="0"/>
          <w:marRight w:val="0"/>
          <w:marTop w:val="0"/>
          <w:marBottom w:val="0"/>
          <w:divBdr>
            <w:top w:val="none" w:sz="0" w:space="0" w:color="auto"/>
            <w:left w:val="none" w:sz="0" w:space="0" w:color="auto"/>
            <w:bottom w:val="none" w:sz="0" w:space="0" w:color="auto"/>
            <w:right w:val="none" w:sz="0" w:space="0" w:color="auto"/>
          </w:divBdr>
          <w:divsChild>
            <w:div w:id="683746615">
              <w:marLeft w:val="0"/>
              <w:marRight w:val="0"/>
              <w:marTop w:val="0"/>
              <w:marBottom w:val="0"/>
              <w:divBdr>
                <w:top w:val="none" w:sz="0" w:space="0" w:color="auto"/>
                <w:left w:val="none" w:sz="0" w:space="0" w:color="auto"/>
                <w:bottom w:val="none" w:sz="0" w:space="0" w:color="auto"/>
                <w:right w:val="none" w:sz="0" w:space="0" w:color="auto"/>
              </w:divBdr>
            </w:div>
          </w:divsChild>
        </w:div>
        <w:div w:id="1628505003">
          <w:marLeft w:val="0"/>
          <w:marRight w:val="0"/>
          <w:marTop w:val="0"/>
          <w:marBottom w:val="0"/>
          <w:divBdr>
            <w:top w:val="none" w:sz="0" w:space="0" w:color="auto"/>
            <w:left w:val="none" w:sz="0" w:space="0" w:color="auto"/>
            <w:bottom w:val="none" w:sz="0" w:space="0" w:color="auto"/>
            <w:right w:val="none" w:sz="0" w:space="0" w:color="auto"/>
          </w:divBdr>
          <w:divsChild>
            <w:div w:id="310602345">
              <w:marLeft w:val="0"/>
              <w:marRight w:val="0"/>
              <w:marTop w:val="0"/>
              <w:marBottom w:val="0"/>
              <w:divBdr>
                <w:top w:val="none" w:sz="0" w:space="0" w:color="auto"/>
                <w:left w:val="none" w:sz="0" w:space="0" w:color="auto"/>
                <w:bottom w:val="none" w:sz="0" w:space="0" w:color="auto"/>
                <w:right w:val="none" w:sz="0" w:space="0" w:color="auto"/>
              </w:divBdr>
            </w:div>
          </w:divsChild>
        </w:div>
        <w:div w:id="852645633">
          <w:marLeft w:val="0"/>
          <w:marRight w:val="0"/>
          <w:marTop w:val="0"/>
          <w:marBottom w:val="0"/>
          <w:divBdr>
            <w:top w:val="none" w:sz="0" w:space="0" w:color="auto"/>
            <w:left w:val="none" w:sz="0" w:space="0" w:color="auto"/>
            <w:bottom w:val="none" w:sz="0" w:space="0" w:color="auto"/>
            <w:right w:val="none" w:sz="0" w:space="0" w:color="auto"/>
          </w:divBdr>
          <w:divsChild>
            <w:div w:id="902104679">
              <w:marLeft w:val="0"/>
              <w:marRight w:val="0"/>
              <w:marTop w:val="0"/>
              <w:marBottom w:val="0"/>
              <w:divBdr>
                <w:top w:val="none" w:sz="0" w:space="0" w:color="auto"/>
                <w:left w:val="none" w:sz="0" w:space="0" w:color="auto"/>
                <w:bottom w:val="none" w:sz="0" w:space="0" w:color="auto"/>
                <w:right w:val="none" w:sz="0" w:space="0" w:color="auto"/>
              </w:divBdr>
            </w:div>
          </w:divsChild>
        </w:div>
        <w:div w:id="877545259">
          <w:marLeft w:val="0"/>
          <w:marRight w:val="0"/>
          <w:marTop w:val="0"/>
          <w:marBottom w:val="0"/>
          <w:divBdr>
            <w:top w:val="none" w:sz="0" w:space="0" w:color="auto"/>
            <w:left w:val="none" w:sz="0" w:space="0" w:color="auto"/>
            <w:bottom w:val="none" w:sz="0" w:space="0" w:color="auto"/>
            <w:right w:val="none" w:sz="0" w:space="0" w:color="auto"/>
          </w:divBdr>
          <w:divsChild>
            <w:div w:id="735203175">
              <w:marLeft w:val="0"/>
              <w:marRight w:val="0"/>
              <w:marTop w:val="0"/>
              <w:marBottom w:val="0"/>
              <w:divBdr>
                <w:top w:val="none" w:sz="0" w:space="0" w:color="auto"/>
                <w:left w:val="none" w:sz="0" w:space="0" w:color="auto"/>
                <w:bottom w:val="none" w:sz="0" w:space="0" w:color="auto"/>
                <w:right w:val="none" w:sz="0" w:space="0" w:color="auto"/>
              </w:divBdr>
            </w:div>
          </w:divsChild>
        </w:div>
        <w:div w:id="817185643">
          <w:marLeft w:val="0"/>
          <w:marRight w:val="0"/>
          <w:marTop w:val="0"/>
          <w:marBottom w:val="0"/>
          <w:divBdr>
            <w:top w:val="none" w:sz="0" w:space="0" w:color="auto"/>
            <w:left w:val="none" w:sz="0" w:space="0" w:color="auto"/>
            <w:bottom w:val="none" w:sz="0" w:space="0" w:color="auto"/>
            <w:right w:val="none" w:sz="0" w:space="0" w:color="auto"/>
          </w:divBdr>
          <w:divsChild>
            <w:div w:id="1611693830">
              <w:marLeft w:val="0"/>
              <w:marRight w:val="0"/>
              <w:marTop w:val="0"/>
              <w:marBottom w:val="0"/>
              <w:divBdr>
                <w:top w:val="none" w:sz="0" w:space="0" w:color="auto"/>
                <w:left w:val="none" w:sz="0" w:space="0" w:color="auto"/>
                <w:bottom w:val="none" w:sz="0" w:space="0" w:color="auto"/>
                <w:right w:val="none" w:sz="0" w:space="0" w:color="auto"/>
              </w:divBdr>
            </w:div>
          </w:divsChild>
        </w:div>
        <w:div w:id="570043726">
          <w:marLeft w:val="0"/>
          <w:marRight w:val="0"/>
          <w:marTop w:val="0"/>
          <w:marBottom w:val="0"/>
          <w:divBdr>
            <w:top w:val="none" w:sz="0" w:space="0" w:color="auto"/>
            <w:left w:val="none" w:sz="0" w:space="0" w:color="auto"/>
            <w:bottom w:val="none" w:sz="0" w:space="0" w:color="auto"/>
            <w:right w:val="none" w:sz="0" w:space="0" w:color="auto"/>
          </w:divBdr>
          <w:divsChild>
            <w:div w:id="1008022105">
              <w:marLeft w:val="0"/>
              <w:marRight w:val="0"/>
              <w:marTop w:val="0"/>
              <w:marBottom w:val="0"/>
              <w:divBdr>
                <w:top w:val="none" w:sz="0" w:space="0" w:color="auto"/>
                <w:left w:val="none" w:sz="0" w:space="0" w:color="auto"/>
                <w:bottom w:val="none" w:sz="0" w:space="0" w:color="auto"/>
                <w:right w:val="none" w:sz="0" w:space="0" w:color="auto"/>
              </w:divBdr>
            </w:div>
          </w:divsChild>
        </w:div>
        <w:div w:id="84234461">
          <w:marLeft w:val="0"/>
          <w:marRight w:val="0"/>
          <w:marTop w:val="0"/>
          <w:marBottom w:val="0"/>
          <w:divBdr>
            <w:top w:val="none" w:sz="0" w:space="0" w:color="auto"/>
            <w:left w:val="none" w:sz="0" w:space="0" w:color="auto"/>
            <w:bottom w:val="none" w:sz="0" w:space="0" w:color="auto"/>
            <w:right w:val="none" w:sz="0" w:space="0" w:color="auto"/>
          </w:divBdr>
          <w:divsChild>
            <w:div w:id="1113088851">
              <w:marLeft w:val="0"/>
              <w:marRight w:val="0"/>
              <w:marTop w:val="0"/>
              <w:marBottom w:val="0"/>
              <w:divBdr>
                <w:top w:val="none" w:sz="0" w:space="0" w:color="auto"/>
                <w:left w:val="none" w:sz="0" w:space="0" w:color="auto"/>
                <w:bottom w:val="none" w:sz="0" w:space="0" w:color="auto"/>
                <w:right w:val="none" w:sz="0" w:space="0" w:color="auto"/>
              </w:divBdr>
            </w:div>
          </w:divsChild>
        </w:div>
        <w:div w:id="171142514">
          <w:marLeft w:val="0"/>
          <w:marRight w:val="0"/>
          <w:marTop w:val="0"/>
          <w:marBottom w:val="0"/>
          <w:divBdr>
            <w:top w:val="none" w:sz="0" w:space="0" w:color="auto"/>
            <w:left w:val="none" w:sz="0" w:space="0" w:color="auto"/>
            <w:bottom w:val="none" w:sz="0" w:space="0" w:color="auto"/>
            <w:right w:val="none" w:sz="0" w:space="0" w:color="auto"/>
          </w:divBdr>
          <w:divsChild>
            <w:div w:id="961812662">
              <w:marLeft w:val="0"/>
              <w:marRight w:val="0"/>
              <w:marTop w:val="0"/>
              <w:marBottom w:val="0"/>
              <w:divBdr>
                <w:top w:val="none" w:sz="0" w:space="0" w:color="auto"/>
                <w:left w:val="none" w:sz="0" w:space="0" w:color="auto"/>
                <w:bottom w:val="none" w:sz="0" w:space="0" w:color="auto"/>
                <w:right w:val="none" w:sz="0" w:space="0" w:color="auto"/>
              </w:divBdr>
            </w:div>
          </w:divsChild>
        </w:div>
        <w:div w:id="1307509052">
          <w:marLeft w:val="0"/>
          <w:marRight w:val="0"/>
          <w:marTop w:val="0"/>
          <w:marBottom w:val="0"/>
          <w:divBdr>
            <w:top w:val="none" w:sz="0" w:space="0" w:color="auto"/>
            <w:left w:val="none" w:sz="0" w:space="0" w:color="auto"/>
            <w:bottom w:val="none" w:sz="0" w:space="0" w:color="auto"/>
            <w:right w:val="none" w:sz="0" w:space="0" w:color="auto"/>
          </w:divBdr>
          <w:divsChild>
            <w:div w:id="448203669">
              <w:marLeft w:val="0"/>
              <w:marRight w:val="0"/>
              <w:marTop w:val="0"/>
              <w:marBottom w:val="0"/>
              <w:divBdr>
                <w:top w:val="none" w:sz="0" w:space="0" w:color="auto"/>
                <w:left w:val="none" w:sz="0" w:space="0" w:color="auto"/>
                <w:bottom w:val="none" w:sz="0" w:space="0" w:color="auto"/>
                <w:right w:val="none" w:sz="0" w:space="0" w:color="auto"/>
              </w:divBdr>
            </w:div>
          </w:divsChild>
        </w:div>
        <w:div w:id="936063725">
          <w:marLeft w:val="0"/>
          <w:marRight w:val="0"/>
          <w:marTop w:val="0"/>
          <w:marBottom w:val="0"/>
          <w:divBdr>
            <w:top w:val="none" w:sz="0" w:space="0" w:color="auto"/>
            <w:left w:val="none" w:sz="0" w:space="0" w:color="auto"/>
            <w:bottom w:val="none" w:sz="0" w:space="0" w:color="auto"/>
            <w:right w:val="none" w:sz="0" w:space="0" w:color="auto"/>
          </w:divBdr>
          <w:divsChild>
            <w:div w:id="592084108">
              <w:marLeft w:val="0"/>
              <w:marRight w:val="0"/>
              <w:marTop w:val="0"/>
              <w:marBottom w:val="0"/>
              <w:divBdr>
                <w:top w:val="none" w:sz="0" w:space="0" w:color="auto"/>
                <w:left w:val="none" w:sz="0" w:space="0" w:color="auto"/>
                <w:bottom w:val="none" w:sz="0" w:space="0" w:color="auto"/>
                <w:right w:val="none" w:sz="0" w:space="0" w:color="auto"/>
              </w:divBdr>
            </w:div>
          </w:divsChild>
        </w:div>
        <w:div w:id="236208942">
          <w:marLeft w:val="0"/>
          <w:marRight w:val="0"/>
          <w:marTop w:val="0"/>
          <w:marBottom w:val="0"/>
          <w:divBdr>
            <w:top w:val="none" w:sz="0" w:space="0" w:color="auto"/>
            <w:left w:val="none" w:sz="0" w:space="0" w:color="auto"/>
            <w:bottom w:val="none" w:sz="0" w:space="0" w:color="auto"/>
            <w:right w:val="none" w:sz="0" w:space="0" w:color="auto"/>
          </w:divBdr>
          <w:divsChild>
            <w:div w:id="2089494618">
              <w:marLeft w:val="0"/>
              <w:marRight w:val="0"/>
              <w:marTop w:val="0"/>
              <w:marBottom w:val="0"/>
              <w:divBdr>
                <w:top w:val="none" w:sz="0" w:space="0" w:color="auto"/>
                <w:left w:val="none" w:sz="0" w:space="0" w:color="auto"/>
                <w:bottom w:val="none" w:sz="0" w:space="0" w:color="auto"/>
                <w:right w:val="none" w:sz="0" w:space="0" w:color="auto"/>
              </w:divBdr>
            </w:div>
          </w:divsChild>
        </w:div>
        <w:div w:id="2100176805">
          <w:marLeft w:val="0"/>
          <w:marRight w:val="0"/>
          <w:marTop w:val="0"/>
          <w:marBottom w:val="0"/>
          <w:divBdr>
            <w:top w:val="none" w:sz="0" w:space="0" w:color="auto"/>
            <w:left w:val="none" w:sz="0" w:space="0" w:color="auto"/>
            <w:bottom w:val="none" w:sz="0" w:space="0" w:color="auto"/>
            <w:right w:val="none" w:sz="0" w:space="0" w:color="auto"/>
          </w:divBdr>
          <w:divsChild>
            <w:div w:id="5104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442142">
      <w:bodyDiv w:val="1"/>
      <w:marLeft w:val="0"/>
      <w:marRight w:val="0"/>
      <w:marTop w:val="0"/>
      <w:marBottom w:val="0"/>
      <w:divBdr>
        <w:top w:val="none" w:sz="0" w:space="0" w:color="auto"/>
        <w:left w:val="none" w:sz="0" w:space="0" w:color="auto"/>
        <w:bottom w:val="none" w:sz="0" w:space="0" w:color="auto"/>
        <w:right w:val="none" w:sz="0" w:space="0" w:color="auto"/>
      </w:divBdr>
    </w:div>
    <w:div w:id="1941184887">
      <w:bodyDiv w:val="1"/>
      <w:marLeft w:val="0"/>
      <w:marRight w:val="0"/>
      <w:marTop w:val="0"/>
      <w:marBottom w:val="0"/>
      <w:divBdr>
        <w:top w:val="none" w:sz="0" w:space="0" w:color="auto"/>
        <w:left w:val="none" w:sz="0" w:space="0" w:color="auto"/>
        <w:bottom w:val="none" w:sz="0" w:space="0" w:color="auto"/>
        <w:right w:val="none" w:sz="0" w:space="0" w:color="auto"/>
      </w:divBdr>
    </w:div>
    <w:div w:id="2042246967">
      <w:bodyDiv w:val="1"/>
      <w:marLeft w:val="0"/>
      <w:marRight w:val="0"/>
      <w:marTop w:val="0"/>
      <w:marBottom w:val="0"/>
      <w:divBdr>
        <w:top w:val="none" w:sz="0" w:space="0" w:color="auto"/>
        <w:left w:val="none" w:sz="0" w:space="0" w:color="auto"/>
        <w:bottom w:val="none" w:sz="0" w:space="0" w:color="auto"/>
        <w:right w:val="none" w:sz="0" w:space="0" w:color="auto"/>
      </w:divBdr>
    </w:div>
    <w:div w:id="213328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8377</TotalTime>
  <Pages>16</Pages>
  <Words>3567</Words>
  <Characters>20333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1170</cp:lastModifiedBy>
  <cp:revision>25</cp:revision>
  <dcterms:created xsi:type="dcterms:W3CDTF">2026-02-08T09:23:00Z</dcterms:created>
  <dcterms:modified xsi:type="dcterms:W3CDTF">2026-02-26T12:10:00Z</dcterms:modified>
</cp:coreProperties>
</file>