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5EDEB" w14:textId="77777777" w:rsidR="00FB099E" w:rsidRPr="00FB099E" w:rsidRDefault="00FB099E" w:rsidP="00FB099E">
      <w:pPr>
        <w:bidi w:val="0"/>
        <w:spacing w:line="480" w:lineRule="auto"/>
        <w:jc w:val="center"/>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Antimicrobial Resistance Profiling of Selected Jejunal Bacterial Isolates from Commercially Slaughtered Broiler Chicken Against Growth-Promoting Antibiotic</w:t>
      </w:r>
      <w:bookmarkStart w:id="0" w:name="_GoBack"/>
      <w:bookmarkEnd w:id="0"/>
      <w:r w:rsidRPr="00FB099E">
        <w:rPr>
          <w:rFonts w:ascii="Times New Roman" w:eastAsia="Calibri" w:hAnsi="Times New Roman" w:cs="Times New Roman"/>
          <w:b/>
          <w:bCs/>
          <w:kern w:val="2"/>
          <w:sz w:val="28"/>
          <w:szCs w:val="28"/>
          <w:lang w:val="en-IN"/>
          <w14:ligatures w14:val="standardContextual"/>
        </w:rPr>
        <w:t>s</w:t>
      </w:r>
    </w:p>
    <w:p w14:paraId="25054543" w14:textId="77777777" w:rsidR="00FB099E" w:rsidRPr="00FB099E" w:rsidRDefault="00FB099E" w:rsidP="00FB099E">
      <w:pPr>
        <w:bidi w:val="0"/>
        <w:spacing w:line="480" w:lineRule="auto"/>
        <w:rPr>
          <w:rFonts w:ascii="Times New Roman" w:eastAsia="Calibri" w:hAnsi="Times New Roman" w:cs="Times New Roman"/>
          <w:b/>
          <w:bCs/>
          <w:kern w:val="2"/>
          <w:sz w:val="24"/>
          <w:szCs w:val="24"/>
          <w:lang w:val="en-IN"/>
          <w14:ligatures w14:val="standardContextual"/>
        </w:rPr>
      </w:pPr>
    </w:p>
    <w:p w14:paraId="563EDC9A" w14:textId="77777777" w:rsidR="00FB099E" w:rsidRPr="00FB099E" w:rsidRDefault="00FB099E" w:rsidP="00FB099E">
      <w:pPr>
        <w:bidi w:val="0"/>
        <w:spacing w:line="480" w:lineRule="auto"/>
        <w:rPr>
          <w:rFonts w:ascii="Times New Roman" w:eastAsia="Calibri" w:hAnsi="Times New Roman" w:cs="Times New Roman"/>
          <w:b/>
          <w:bCs/>
          <w:kern w:val="2"/>
          <w:sz w:val="24"/>
          <w:szCs w:val="24"/>
          <w:lang w:val="en-IN"/>
          <w14:ligatures w14:val="standardContextual"/>
        </w:rPr>
      </w:pPr>
      <w:r w:rsidRPr="00FB099E">
        <w:rPr>
          <w:rFonts w:ascii="Times New Roman" w:eastAsia="Calibri" w:hAnsi="Times New Roman" w:cs="Times New Roman"/>
          <w:b/>
          <w:bCs/>
          <w:kern w:val="2"/>
          <w:sz w:val="24"/>
          <w:szCs w:val="24"/>
          <w:lang w:val="en-IN"/>
          <w14:ligatures w14:val="standardContextual"/>
        </w:rPr>
        <w:t xml:space="preserve">Abstract </w:t>
      </w:r>
    </w:p>
    <w:p w14:paraId="44A1E1CD" w14:textId="4D3BA3E5"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use of growth promoting antibiotics (GPAs) in large scale poultry production pose significant risks to the intestinal microbial homeostasis in those chickens and contributes towards the development of resistance towards these antibiotics. This study investigated the antimicrobial susceptibility and resistance pattern of eight major GPAs - Oxytetracycline, Tetracycline, Vancomycin, streptomycin, enrofloxacin,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neomycin and gentamycin,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isolated from the jejunum of commercially slaughtered broiler chickens. Agar well diffusion assay was carried out to evaluate the antibacterial sensitivity followed by resazurin-enhanced MIC assay for the determination of MIC, EC₅₀ and MBC. Non-linear regression analysis was carried out for curve analysis of concentration vs response. Freshly isolated bacteria from the jejunum showed a significant concentration-related response towards all antibiotics tested, except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and the most effective antibiotics</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Enroflox</w:t>
      </w:r>
      <w:r w:rsidR="002C6C72">
        <w:rPr>
          <w:rFonts w:ascii="Times New Roman" w:eastAsia="Calibri" w:hAnsi="Times New Roman" w:cs="Times New Roman"/>
          <w:kern w:val="2"/>
          <w:sz w:val="24"/>
          <w:szCs w:val="24"/>
          <w:lang w:val="en-IN"/>
          <w14:ligatures w14:val="standardContextual"/>
        </w:rPr>
        <w:t>ac</w:t>
      </w:r>
      <w:r w:rsidRPr="00FB099E">
        <w:rPr>
          <w:rFonts w:ascii="Times New Roman" w:eastAsia="Calibri" w:hAnsi="Times New Roman" w:cs="Times New Roman"/>
          <w:kern w:val="2"/>
          <w:sz w:val="24"/>
          <w:szCs w:val="24"/>
          <w:lang w:val="en-IN"/>
          <w14:ligatures w14:val="standardContextual"/>
        </w:rPr>
        <w:t xml:space="preserve">in and Oxytetracycline, showed a drastically low EC₅₀ value towards </w:t>
      </w:r>
      <w:r w:rsidRPr="00FB099E">
        <w:rPr>
          <w:rFonts w:ascii="Times New Roman" w:eastAsia="Calibri" w:hAnsi="Times New Roman" w:cs="Times New Roman"/>
          <w:i/>
          <w:iCs/>
          <w:kern w:val="2"/>
          <w:sz w:val="24"/>
          <w:szCs w:val="24"/>
          <w:lang w:val="en-IN"/>
          <w14:ligatures w14:val="standardContextual"/>
        </w:rPr>
        <w:t xml:space="preserve">E. coli </w:t>
      </w:r>
      <w:r w:rsidRPr="00FB099E">
        <w:rPr>
          <w:rFonts w:ascii="Times New Roman" w:eastAsia="Calibri" w:hAnsi="Times New Roman" w:cs="Times New Roman"/>
          <w:kern w:val="2"/>
          <w:sz w:val="24"/>
          <w:szCs w:val="24"/>
          <w:lang w:val="en-IN"/>
          <w14:ligatures w14:val="standardContextual"/>
        </w:rPr>
        <w:t xml:space="preserve">(0.038 ± 0 </w:t>
      </w:r>
      <w:r w:rsidRPr="00FB099E">
        <w:rPr>
          <w:rFonts w:ascii="Times New Roman" w:eastAsia="Calibri" w:hAnsi="Times New Roman" w:cs="Times New Roman"/>
          <w:i/>
          <w:iCs/>
          <w:kern w:val="2"/>
          <w:sz w:val="24"/>
          <w:szCs w:val="24"/>
          <w:lang w:val="en-IN"/>
          <w14:ligatures w14:val="standardContextual"/>
        </w:rPr>
        <w:t>µg/µl</w:t>
      </w:r>
      <w:r w:rsidRPr="00FB099E">
        <w:rPr>
          <w:rFonts w:ascii="Times New Roman" w:eastAsia="Calibri" w:hAnsi="Times New Roman" w:cs="Times New Roman"/>
          <w:kern w:val="2"/>
          <w:sz w:val="24"/>
          <w:szCs w:val="24"/>
          <w:lang w:val="en-IN"/>
          <w14:ligatures w14:val="standardContextual"/>
        </w:rPr>
        <w:t xml:space="preserve"> and 46 ± 0 </w:t>
      </w:r>
      <w:r w:rsidRPr="00FB099E">
        <w:rPr>
          <w:rFonts w:ascii="Times New Roman" w:eastAsia="Calibri" w:hAnsi="Times New Roman" w:cs="Times New Roman"/>
          <w:i/>
          <w:iCs/>
          <w:kern w:val="2"/>
          <w:sz w:val="24"/>
          <w:szCs w:val="24"/>
          <w:lang w:val="en-IN"/>
          <w14:ligatures w14:val="standardContextual"/>
        </w:rPr>
        <w:t>µg/µl,</w:t>
      </w:r>
      <w:r w:rsidRPr="00FB099E">
        <w:rPr>
          <w:rFonts w:ascii="Times New Roman" w:eastAsia="Calibri" w:hAnsi="Times New Roman" w:cs="Times New Roman"/>
          <w:kern w:val="2"/>
          <w:sz w:val="24"/>
          <w:szCs w:val="24"/>
          <w:lang w:val="en-IN"/>
          <w14:ligatures w14:val="standardContextual"/>
        </w:rPr>
        <w:t xml:space="preserve"> respectively)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(0.037 ± 0.00 µg/µl and 0.046 ± 0.00 µg/µl, respectively). In contrast, the inhibitory activity of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was negligible and its EC₅₀ values were considerably higher, signifying innate and/or developed resistance.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was highly sensitive to all GPAs, pointing to the unintended vulnerability of beneficial gut microbiome and dysbiosis. All concentration-response models demonstrated excellent goodness of fit and all </w:t>
      </w:r>
      <w:r w:rsidRPr="00FB099E">
        <w:rPr>
          <w:rFonts w:ascii="Times New Roman" w:eastAsia="Calibri" w:hAnsi="Times New Roman" w:cs="Times New Roman"/>
          <w:i/>
          <w:iCs/>
          <w:kern w:val="2"/>
          <w:sz w:val="24"/>
          <w:szCs w:val="24"/>
          <w:lang w:val="en-IN"/>
          <w14:ligatures w14:val="standardContextual"/>
        </w:rPr>
        <w:t>p &lt; 0.01</w:t>
      </w:r>
      <w:r w:rsidRPr="00FB099E">
        <w:rPr>
          <w:rFonts w:ascii="Times New Roman" w:eastAsia="Calibri" w:hAnsi="Times New Roman" w:cs="Times New Roman"/>
          <w:kern w:val="2"/>
          <w:sz w:val="24"/>
          <w:szCs w:val="24"/>
          <w:lang w:val="en-IN"/>
          <w14:ligatures w14:val="standardContextual"/>
        </w:rPr>
        <w:t xml:space="preserve">, validating the concentration-dependent antimicrobial activity of GPAs against pathogenic and commensal </w:t>
      </w:r>
      <w:r w:rsidRPr="00FB099E">
        <w:rPr>
          <w:rFonts w:ascii="Times New Roman" w:eastAsia="Calibri" w:hAnsi="Times New Roman" w:cs="Times New Roman"/>
          <w:kern w:val="2"/>
          <w:sz w:val="24"/>
          <w:szCs w:val="24"/>
          <w:lang w:val="en-IN"/>
          <w14:ligatures w14:val="standardContextual"/>
        </w:rPr>
        <w:lastRenderedPageBreak/>
        <w:t>jejunal bacteria, thus underscoring the warranted prudent use of antibiotic GPAs and the need for the development of sustainable alternatives to mitigate antimicrobial resistance in broiler raised regimes.</w:t>
      </w:r>
    </w:p>
    <w:p w14:paraId="116057DB" w14:textId="77777777" w:rsidR="00FB099E" w:rsidRPr="00FB099E" w:rsidRDefault="00FB099E" w:rsidP="00FB099E">
      <w:pPr>
        <w:bidi w:val="0"/>
        <w:spacing w:line="480" w:lineRule="auto"/>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 xml:space="preserve">Keywords: </w:t>
      </w:r>
      <w:r w:rsidRPr="00FB099E">
        <w:rPr>
          <w:rFonts w:ascii="Times New Roman" w:eastAsia="Calibri" w:hAnsi="Times New Roman" w:cs="Times New Roman"/>
          <w:kern w:val="2"/>
          <w:sz w:val="24"/>
          <w:szCs w:val="24"/>
          <w:lang w:val="en-IN"/>
          <w14:ligatures w14:val="standardContextual"/>
        </w:rPr>
        <w:t>Intestinal homeostasis, Jejunum, Broiler chicken, MIC, EC50, Poultry</w:t>
      </w:r>
    </w:p>
    <w:p w14:paraId="381732FE" w14:textId="77777777" w:rsidR="00FB099E" w:rsidRPr="00FB099E" w:rsidRDefault="00FB099E" w:rsidP="00FB099E">
      <w:pPr>
        <w:bidi w:val="0"/>
        <w:spacing w:line="480" w:lineRule="auto"/>
        <w:rPr>
          <w:rFonts w:ascii="Times New Roman" w:eastAsia="Calibri" w:hAnsi="Times New Roman" w:cs="Times New Roman"/>
          <w:kern w:val="2"/>
          <w:sz w:val="24"/>
          <w:szCs w:val="24"/>
          <w14:ligatures w14:val="standardContextual"/>
        </w:rPr>
      </w:pPr>
      <w:r w:rsidRPr="00FB099E">
        <w:rPr>
          <w:rFonts w:ascii="Times New Roman" w:eastAsia="Calibri" w:hAnsi="Times New Roman" w:cs="Times New Roman"/>
          <w:b/>
          <w:bCs/>
          <w:kern w:val="2"/>
          <w:sz w:val="24"/>
          <w:szCs w:val="24"/>
          <w14:ligatures w14:val="standardContextual"/>
        </w:rPr>
        <w:t>1. Introduction</w:t>
      </w:r>
    </w:p>
    <w:p w14:paraId="6D0C0A38" w14:textId="77777777" w:rsidR="00FB099E" w:rsidRPr="00FB099E" w:rsidRDefault="00FB099E" w:rsidP="00FB099E">
      <w:pPr>
        <w:bidi w:val="0"/>
        <w:spacing w:after="0" w:line="480" w:lineRule="auto"/>
        <w:jc w:val="both"/>
        <w:rPr>
          <w:rFonts w:ascii="Times New Roman" w:eastAsia="Calibri" w:hAnsi="Times New Roman" w:cs="Times New Roman"/>
          <w:kern w:val="2"/>
          <w:sz w:val="24"/>
          <w:szCs w:val="24"/>
          <w14:ligatures w14:val="standardContextual"/>
        </w:rPr>
        <w:sectPr w:rsidR="00FB099E" w:rsidRPr="00FB099E">
          <w:footerReference w:type="default" r:id="rId8"/>
          <w:pgSz w:w="11906" w:h="16838"/>
          <w:pgMar w:top="1440" w:right="1440" w:bottom="1440" w:left="1440" w:header="708" w:footer="708" w:gutter="0"/>
          <w:cols w:space="708"/>
          <w:docGrid w:linePitch="360"/>
        </w:sectPr>
      </w:pPr>
    </w:p>
    <w:p w14:paraId="01F0FF48" w14:textId="73B4AB35" w:rsidR="00FB099E" w:rsidRPr="00AE3A9F" w:rsidRDefault="00FB099E" w:rsidP="00FB099E">
      <w:pPr>
        <w:bidi w:val="0"/>
        <w:spacing w:after="0" w:line="480" w:lineRule="auto"/>
        <w:jc w:val="both"/>
        <w:rPr>
          <w:rFonts w:ascii="Times New Roman" w:eastAsia="Calibri" w:hAnsi="Times New Roman" w:cs="Times New Roman"/>
          <w:kern w:val="2"/>
          <w:sz w:val="24"/>
          <w:szCs w:val="24"/>
          <w14:ligatures w14:val="standardContextual"/>
        </w:rPr>
      </w:pPr>
      <w:r w:rsidRPr="00AE3A9F">
        <w:rPr>
          <w:rFonts w:ascii="Times New Roman" w:eastAsia="Calibri" w:hAnsi="Times New Roman" w:cs="Times New Roman"/>
          <w:kern w:val="2"/>
          <w:sz w:val="24"/>
          <w:szCs w:val="24"/>
          <w14:ligatures w14:val="standardContextual"/>
        </w:rPr>
        <w:t xml:space="preserve">Concerning the global animal protein demand, in Poultry farming, Broiler Chicken </w:t>
      </w:r>
      <w:r w:rsidRPr="00AE3A9F">
        <w:rPr>
          <w:rFonts w:ascii="Times New Roman" w:eastAsia="Calibri" w:hAnsi="Times New Roman" w:cs="Times New Roman"/>
          <w:i/>
          <w:iCs/>
          <w:kern w:val="2"/>
          <w:sz w:val="24"/>
          <w:szCs w:val="24"/>
          <w14:ligatures w14:val="standardContextual"/>
        </w:rPr>
        <w:t xml:space="preserve">(Gallus </w:t>
      </w:r>
      <w:proofErr w:type="spellStart"/>
      <w:r w:rsidRPr="00AE3A9F">
        <w:rPr>
          <w:rFonts w:ascii="Times New Roman" w:eastAsia="Calibri" w:hAnsi="Times New Roman" w:cs="Times New Roman"/>
          <w:i/>
          <w:iCs/>
          <w:kern w:val="2"/>
          <w:sz w:val="24"/>
          <w:szCs w:val="24"/>
          <w14:ligatures w14:val="standardContextual"/>
        </w:rPr>
        <w:t>gallus</w:t>
      </w:r>
      <w:proofErr w:type="spellEnd"/>
      <w:r w:rsidRPr="00AE3A9F">
        <w:rPr>
          <w:rFonts w:ascii="Times New Roman" w:eastAsia="Calibri" w:hAnsi="Times New Roman" w:cs="Times New Roman"/>
          <w:i/>
          <w:iCs/>
          <w:kern w:val="2"/>
          <w:sz w:val="24"/>
          <w:szCs w:val="24"/>
          <w14:ligatures w14:val="standardContextual"/>
        </w:rPr>
        <w:t xml:space="preserve"> </w:t>
      </w:r>
      <w:proofErr w:type="spellStart"/>
      <w:r w:rsidRPr="00AE3A9F">
        <w:rPr>
          <w:rFonts w:ascii="Times New Roman" w:eastAsia="Calibri" w:hAnsi="Times New Roman" w:cs="Times New Roman"/>
          <w:i/>
          <w:iCs/>
          <w:kern w:val="2"/>
          <w:sz w:val="24"/>
          <w:szCs w:val="24"/>
          <w14:ligatures w14:val="standardContextual"/>
        </w:rPr>
        <w:t>domesticus</w:t>
      </w:r>
      <w:proofErr w:type="spellEnd"/>
      <w:r w:rsidRPr="00AE3A9F">
        <w:rPr>
          <w:rFonts w:ascii="Times New Roman" w:eastAsia="Calibri" w:hAnsi="Times New Roman" w:cs="Times New Roman"/>
          <w:kern w:val="2"/>
          <w:sz w:val="24"/>
          <w:szCs w:val="24"/>
          <w14:ligatures w14:val="standardContextual"/>
        </w:rPr>
        <w:t>) is primarily bred for their meat, reared under the intensive system fed with balanced diets based on species and age [1]. These broiler birds attain marketable size up to 2.2 to 2.5 Kg in 5 to 6 weeks due to their relatively short production cycle. These intensive rearing systems allow the broilers to grow to maximum size, but also raise the challenges, notably antimicrobial resistance, which is highly threatening the broiler health, productivity and food safety by the use of antibiotics [2-4]. Antimicrobial resistance (AMR) is the ability of microorganisms to withstand drugs that once inhibited or killed them, and is a global challenge that impacts both public and animal health that have originating from various sources, including antibiotics and antimicrobial usage (AMU) in animal production [5]. This rapid and modern system of broiler rearing is reported to utilize a number of growth-promoting antibiotics (GPAs) to encourage the growth of the broilers and maintain flock health [6-7]. These GPAs are feed additives administered regardless of the presence of diseases or other particulate pathogens [8-10]</w:t>
      </w:r>
      <w:r w:rsidRPr="00AE3A9F">
        <w:rPr>
          <w:rFonts w:ascii="Times New Roman" w:eastAsia="Calibri" w:hAnsi="Times New Roman" w:cs="Times New Roman"/>
          <w:kern w:val="2"/>
          <w:sz w:val="24"/>
          <w:szCs w:val="24"/>
          <w:lang w:val="en-IN"/>
          <w14:ligatures w14:val="standardContextual"/>
        </w:rPr>
        <w:t xml:space="preserve">. </w:t>
      </w:r>
      <w:r w:rsidRPr="00AE3A9F">
        <w:rPr>
          <w:rFonts w:ascii="Times New Roman" w:eastAsia="Calibri" w:hAnsi="Times New Roman" w:cs="Times New Roman"/>
          <w:kern w:val="2"/>
          <w:sz w:val="24"/>
          <w:szCs w:val="24"/>
          <w14:ligatures w14:val="standardContextual"/>
        </w:rPr>
        <w:t xml:space="preserve">Their mode of action involves gut microbiome modulation, reduction of immune-related energy expenditure, suppression of subclinical infections, etc. [11-12]. On the other hand, this selective pressure strengthens the emergence of multidrug-resistant strains such as </w:t>
      </w:r>
      <w:r w:rsidRPr="00AE3A9F">
        <w:rPr>
          <w:rFonts w:ascii="Times New Roman" w:eastAsia="Calibri" w:hAnsi="Times New Roman" w:cs="Times New Roman"/>
          <w:i/>
          <w:iCs/>
          <w:kern w:val="2"/>
          <w:sz w:val="24"/>
          <w:szCs w:val="24"/>
          <w14:ligatures w14:val="standardContextual"/>
        </w:rPr>
        <w:t>E. coli</w:t>
      </w:r>
      <w:r w:rsidRPr="00AE3A9F">
        <w:rPr>
          <w:rFonts w:ascii="Times New Roman" w:eastAsia="Calibri" w:hAnsi="Times New Roman" w:cs="Times New Roman"/>
          <w:kern w:val="2"/>
          <w:sz w:val="24"/>
          <w:szCs w:val="24"/>
          <w14:ligatures w14:val="standardContextual"/>
        </w:rPr>
        <w:t xml:space="preserve">, </w:t>
      </w:r>
      <w:r w:rsidRPr="00AE3A9F">
        <w:rPr>
          <w:rFonts w:ascii="Times New Roman" w:eastAsia="Calibri" w:hAnsi="Times New Roman" w:cs="Times New Roman"/>
          <w:i/>
          <w:iCs/>
          <w:kern w:val="2"/>
          <w:sz w:val="24"/>
          <w:szCs w:val="24"/>
          <w14:ligatures w14:val="standardContextual"/>
        </w:rPr>
        <w:t>Salmonella</w:t>
      </w:r>
      <w:r w:rsidRPr="00AE3A9F">
        <w:rPr>
          <w:rFonts w:ascii="Times New Roman" w:eastAsia="Calibri" w:hAnsi="Times New Roman" w:cs="Times New Roman"/>
          <w:kern w:val="2"/>
          <w:sz w:val="24"/>
          <w:szCs w:val="24"/>
          <w14:ligatures w14:val="standardContextual"/>
        </w:rPr>
        <w:t xml:space="preserve">, </w:t>
      </w:r>
      <w:r w:rsidRPr="00AE3A9F">
        <w:rPr>
          <w:rFonts w:ascii="Times New Roman" w:eastAsia="Calibri" w:hAnsi="Times New Roman" w:cs="Times New Roman"/>
          <w:i/>
          <w:iCs/>
          <w:kern w:val="2"/>
          <w:sz w:val="24"/>
          <w:szCs w:val="24"/>
          <w14:ligatures w14:val="standardContextual"/>
        </w:rPr>
        <w:t>Staphylococcus aureus</w:t>
      </w:r>
      <w:r w:rsidRPr="00AE3A9F">
        <w:rPr>
          <w:rFonts w:ascii="Times New Roman" w:eastAsia="Calibri" w:hAnsi="Times New Roman" w:cs="Times New Roman"/>
          <w:kern w:val="2"/>
          <w:sz w:val="24"/>
          <w:szCs w:val="24"/>
          <w14:ligatures w14:val="standardContextual"/>
        </w:rPr>
        <w:t xml:space="preserve">, and </w:t>
      </w:r>
      <w:r w:rsidRPr="00AE3A9F">
        <w:rPr>
          <w:rFonts w:ascii="Times New Roman" w:eastAsia="Calibri" w:hAnsi="Times New Roman" w:cs="Times New Roman"/>
          <w:i/>
          <w:iCs/>
          <w:kern w:val="2"/>
          <w:sz w:val="24"/>
          <w:szCs w:val="24"/>
          <w14:ligatures w14:val="standardContextual"/>
        </w:rPr>
        <w:t xml:space="preserve">Enterococcus </w:t>
      </w:r>
      <w:proofErr w:type="spellStart"/>
      <w:r w:rsidRPr="00AE3A9F">
        <w:rPr>
          <w:rFonts w:ascii="Times New Roman" w:eastAsia="Calibri" w:hAnsi="Times New Roman" w:cs="Times New Roman"/>
          <w:i/>
          <w:iCs/>
          <w:kern w:val="2"/>
          <w:sz w:val="24"/>
          <w:szCs w:val="24"/>
          <w:lang w:val="en-IN"/>
          <w14:ligatures w14:val="standardContextual"/>
        </w:rPr>
        <w:t>sp</w:t>
      </w:r>
      <w:proofErr w:type="spellEnd"/>
      <w:r w:rsidRPr="00AE3A9F">
        <w:rPr>
          <w:rFonts w:ascii="Times New Roman" w:eastAsia="Calibri" w:hAnsi="Times New Roman" w:cs="Times New Roman"/>
          <w:kern w:val="2"/>
          <w:sz w:val="24"/>
          <w:szCs w:val="24"/>
          <w14:ligatures w14:val="standardContextual"/>
        </w:rPr>
        <w:t xml:space="preserve">., many of which resist critical antibiotics including tetracycline, ciprofloxacin, ampicillin, and colistin [13-15]. These resistant pathogens pose risks not only to poultry health but also to </w:t>
      </w:r>
      <w:r w:rsidRPr="00AE3A9F">
        <w:rPr>
          <w:rFonts w:ascii="Times New Roman" w:eastAsia="Calibri" w:hAnsi="Times New Roman" w:cs="Times New Roman"/>
          <w:kern w:val="2"/>
          <w:sz w:val="24"/>
          <w:szCs w:val="24"/>
          <w14:ligatures w14:val="standardContextual"/>
        </w:rPr>
        <w:lastRenderedPageBreak/>
        <w:t>public health through foodborne transmission, direct contact, and environmental dissemination [16-17]. The key determinant of broiler health and production efficiency was its gut microbiota, which plays vital roles in nutrient metabolism and mobilization [1</w:t>
      </w:r>
      <w:r w:rsidR="00751C61">
        <w:rPr>
          <w:rFonts w:ascii="Times New Roman" w:eastAsia="Calibri" w:hAnsi="Times New Roman" w:cs="Times New Roman"/>
          <w:kern w:val="2"/>
          <w:sz w:val="24"/>
          <w:szCs w:val="24"/>
          <w14:ligatures w14:val="standardContextual"/>
        </w:rPr>
        <w:t>5</w:t>
      </w:r>
      <w:r w:rsidRPr="00AE3A9F">
        <w:rPr>
          <w:rFonts w:ascii="Times New Roman" w:eastAsia="Calibri" w:hAnsi="Times New Roman" w:cs="Times New Roman"/>
          <w:kern w:val="2"/>
          <w:sz w:val="24"/>
          <w:szCs w:val="24"/>
          <w14:ligatures w14:val="standardContextual"/>
        </w:rPr>
        <w:t xml:space="preserve">], immune function modulation, and disease defense, and also affects intestinal morphology in broilers [19-22]. The microbial composition in the broiler gut changes throughout the life cycle due to bacterial replacement with the new bacterial taxa [23-24].  Frequent use of these GPAs resulted in microbial dysbiosis, notably reducing the beneficial microbial taxa, including </w:t>
      </w:r>
      <w:r w:rsidRPr="00AE3A9F">
        <w:rPr>
          <w:rFonts w:ascii="Times New Roman" w:eastAsia="Calibri" w:hAnsi="Times New Roman" w:cs="Times New Roman"/>
          <w:i/>
          <w:iCs/>
          <w:kern w:val="2"/>
          <w:sz w:val="24"/>
          <w:szCs w:val="24"/>
          <w14:ligatures w14:val="standardContextual"/>
        </w:rPr>
        <w:t xml:space="preserve">Lactobacillus </w:t>
      </w:r>
      <w:r w:rsidRPr="00AE3A9F">
        <w:rPr>
          <w:rFonts w:ascii="Times New Roman" w:eastAsia="Calibri" w:hAnsi="Times New Roman" w:cs="Times New Roman"/>
          <w:kern w:val="2"/>
          <w:sz w:val="24"/>
          <w:szCs w:val="24"/>
          <w14:ligatures w14:val="standardContextual"/>
        </w:rPr>
        <w:t>sp. [25] Therefore, this study primarily aimed to assess the antimicrobial resistance patterns associated with eight commonly used growth-promoting antibiotics in broiler chickens by evaluating the susceptibility of gut bacterial isolates through minimal inhibitory concentration (MIC) testing. The findings are expected to inform responsible antibiotic use and guide future strategies for sustainable poultry production.</w:t>
      </w:r>
    </w:p>
    <w:p w14:paraId="157E273B" w14:textId="77777777" w:rsidR="00FB099E" w:rsidRPr="00FB099E" w:rsidRDefault="00FB099E" w:rsidP="00FB099E">
      <w:pPr>
        <w:bidi w:val="0"/>
        <w:spacing w:after="0" w:line="480" w:lineRule="auto"/>
        <w:jc w:val="both"/>
        <w:rPr>
          <w:rFonts w:ascii="Times New Roman" w:eastAsia="Calibri" w:hAnsi="Times New Roman" w:cs="Times New Roman"/>
          <w:kern w:val="2"/>
          <w:sz w:val="24"/>
          <w:szCs w:val="24"/>
          <w14:ligatures w14:val="standardContextual"/>
        </w:rPr>
      </w:pPr>
    </w:p>
    <w:p w14:paraId="23B3AD26" w14:textId="77777777" w:rsidR="00FB099E" w:rsidRPr="00FB099E" w:rsidRDefault="00FB099E" w:rsidP="00FB099E">
      <w:pPr>
        <w:bidi w:val="0"/>
        <w:spacing w:after="0"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2. Materials and Methods</w:t>
      </w:r>
    </w:p>
    <w:p w14:paraId="3F064373" w14:textId="77777777" w:rsidR="00FB099E" w:rsidRPr="00FB099E" w:rsidRDefault="00FB099E" w:rsidP="00FB099E">
      <w:pPr>
        <w:bidi w:val="0"/>
        <w:spacing w:after="0"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b/>
          <w:bCs/>
          <w:kern w:val="2"/>
          <w:sz w:val="26"/>
          <w:szCs w:val="26"/>
          <w:lang w:val="en-IN"/>
          <w14:ligatures w14:val="standardContextual"/>
        </w:rPr>
        <w:t xml:space="preserve">2.1. Sample Collection and Preparation </w:t>
      </w:r>
    </w:p>
    <w:p w14:paraId="6E5678E7" w14:textId="250AA0D5"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w:t>
      </w:r>
      <w:r w:rsidR="007D7A3C">
        <w:rPr>
          <w:rFonts w:ascii="Times New Roman" w:eastAsia="Calibri" w:hAnsi="Times New Roman" w:cs="Times New Roman"/>
          <w:kern w:val="2"/>
          <w:sz w:val="24"/>
          <w:szCs w:val="24"/>
          <w:lang w:val="en-IN"/>
          <w14:ligatures w14:val="standardContextual"/>
        </w:rPr>
        <w:t xml:space="preserve">triplicate of </w:t>
      </w:r>
      <w:r w:rsidRPr="00FB099E">
        <w:rPr>
          <w:rFonts w:ascii="Times New Roman" w:eastAsia="Calibri" w:hAnsi="Times New Roman" w:cs="Times New Roman"/>
          <w:kern w:val="2"/>
          <w:sz w:val="24"/>
          <w:szCs w:val="24"/>
          <w:lang w:val="en-IN"/>
          <w14:ligatures w14:val="standardContextual"/>
        </w:rPr>
        <w:t>jejunal sample</w:t>
      </w:r>
      <w:r w:rsidR="007D7A3C">
        <w:rPr>
          <w:rFonts w:ascii="Times New Roman" w:eastAsia="Calibri" w:hAnsi="Times New Roman" w:cs="Times New Roman"/>
          <w:kern w:val="2"/>
          <w:sz w:val="24"/>
          <w:szCs w:val="24"/>
          <w:lang w:val="en-IN"/>
          <w14:ligatures w14:val="standardContextual"/>
        </w:rPr>
        <w:t xml:space="preserve">s </w:t>
      </w:r>
      <w:r w:rsidRPr="00FB099E">
        <w:rPr>
          <w:rFonts w:ascii="Times New Roman" w:eastAsia="Calibri" w:hAnsi="Times New Roman" w:cs="Times New Roman"/>
          <w:kern w:val="2"/>
          <w:sz w:val="24"/>
          <w:szCs w:val="24"/>
          <w:lang w:val="en-IN"/>
          <w14:ligatures w14:val="standardContextual"/>
        </w:rPr>
        <w:t xml:space="preserve">were collected from the gastro intestinal tracts of fully grown freshly euthanized broiler chickens from a commercial slaughter facility near to the </w:t>
      </w:r>
      <w:r w:rsidR="007D7A3C" w:rsidRPr="007D7A3C">
        <w:rPr>
          <w:rFonts w:ascii="Times New Roman" w:eastAsia="Calibri" w:hAnsi="Times New Roman" w:cs="Times New Roman"/>
          <w:kern w:val="2"/>
          <w:sz w:val="24"/>
          <w:szCs w:val="24"/>
          <w14:ligatures w14:val="standardContextual"/>
        </w:rPr>
        <w:t>PG ad Research Department of Zoology, The American College, Madurai</w:t>
      </w:r>
      <w:r w:rsidRPr="00FB099E">
        <w:rPr>
          <w:rFonts w:ascii="Times New Roman" w:eastAsia="Calibri" w:hAnsi="Times New Roman" w:cs="Times New Roman"/>
          <w:kern w:val="2"/>
          <w:sz w:val="24"/>
          <w:szCs w:val="24"/>
          <w:lang w:val="en-IN"/>
          <w14:ligatures w14:val="standardContextual"/>
        </w:rPr>
        <w:t>. The evisceration and jejunal isolation procedures were performed using stringent aseptic techniques to minimize the cross-contamination.  Following the excision of the jejunal segment from the entire intestine, the excised tissue portion was immediately immersed in freshly prepared Phosphate -Buffer Saline (PBS) to minimize the stress and preserve the physiological pH stability of the microbes. Subsequently, the luminal digesta contents were meticulously and separately evacuated under sterile conditions. Both the digesta and the tissue were then immediately transported on ice to the laboratory for subsequent microbiological analysis.</w:t>
      </w:r>
    </w:p>
    <w:p w14:paraId="066925DD" w14:textId="77777777" w:rsidR="00FB099E" w:rsidRPr="00FB099E" w:rsidRDefault="00FB099E" w:rsidP="00FB099E">
      <w:pPr>
        <w:bidi w:val="0"/>
        <w:spacing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b/>
          <w:bCs/>
          <w:kern w:val="2"/>
          <w:sz w:val="26"/>
          <w:szCs w:val="26"/>
          <w:lang w:val="en-IN"/>
          <w14:ligatures w14:val="standardContextual"/>
        </w:rPr>
        <w:lastRenderedPageBreak/>
        <w:t xml:space="preserve">2.2. Isolation of </w:t>
      </w:r>
      <w:r w:rsidRPr="00FB099E">
        <w:rPr>
          <w:rFonts w:ascii="Times New Roman" w:eastAsia="Calibri" w:hAnsi="Times New Roman" w:cs="Times New Roman"/>
          <w:b/>
          <w:bCs/>
          <w:i/>
          <w:iCs/>
          <w:kern w:val="2"/>
          <w:sz w:val="26"/>
          <w:szCs w:val="26"/>
          <w:lang w:val="en-IN"/>
          <w14:ligatures w14:val="standardContextual"/>
        </w:rPr>
        <w:t>E. coli</w:t>
      </w:r>
      <w:r w:rsidRPr="00FB099E">
        <w:rPr>
          <w:rFonts w:ascii="Times New Roman" w:eastAsia="Calibri" w:hAnsi="Times New Roman" w:cs="Times New Roman"/>
          <w:b/>
          <w:bCs/>
          <w:kern w:val="2"/>
          <w:sz w:val="26"/>
          <w:szCs w:val="26"/>
          <w:lang w:val="en-IN"/>
          <w14:ligatures w14:val="standardContextual"/>
        </w:rPr>
        <w:t xml:space="preserve"> and </w:t>
      </w:r>
      <w:r w:rsidRPr="00FB099E">
        <w:rPr>
          <w:rFonts w:ascii="Times New Roman" w:eastAsia="Calibri" w:hAnsi="Times New Roman" w:cs="Times New Roman"/>
          <w:b/>
          <w:bCs/>
          <w:i/>
          <w:iCs/>
          <w:kern w:val="2"/>
          <w:sz w:val="26"/>
          <w:szCs w:val="26"/>
          <w:lang w:val="en-IN"/>
          <w14:ligatures w14:val="standardContextual"/>
        </w:rPr>
        <w:t xml:space="preserve">Lactobacillus </w:t>
      </w:r>
      <w:r w:rsidRPr="00FB099E">
        <w:rPr>
          <w:rFonts w:ascii="Times New Roman" w:eastAsia="Calibri" w:hAnsi="Times New Roman" w:cs="Times New Roman"/>
          <w:b/>
          <w:bCs/>
          <w:kern w:val="2"/>
          <w:sz w:val="26"/>
          <w:szCs w:val="26"/>
          <w:lang w:val="en-IN"/>
          <w14:ligatures w14:val="standardContextual"/>
        </w:rPr>
        <w:t>sp.</w:t>
      </w:r>
      <w:r w:rsidRPr="00FB099E">
        <w:rPr>
          <w:rFonts w:ascii="Times New Roman" w:eastAsia="Calibri" w:hAnsi="Times New Roman" w:cs="Times New Roman"/>
          <w:kern w:val="2"/>
          <w:sz w:val="26"/>
          <w:szCs w:val="26"/>
          <w:lang w:val="en-IN"/>
          <w14:ligatures w14:val="standardContextual"/>
        </w:rPr>
        <w:t xml:space="preserve"> </w:t>
      </w:r>
      <w:r w:rsidRPr="00FB099E">
        <w:rPr>
          <w:rFonts w:ascii="Times New Roman" w:eastAsia="Calibri" w:hAnsi="Times New Roman" w:cs="Times New Roman"/>
          <w:b/>
          <w:bCs/>
          <w:kern w:val="2"/>
          <w:sz w:val="26"/>
          <w:szCs w:val="26"/>
          <w:lang w:val="en-IN"/>
          <w14:ligatures w14:val="standardContextual"/>
        </w:rPr>
        <w:t xml:space="preserve"> isolates </w:t>
      </w:r>
    </w:p>
    <w:p w14:paraId="0ADE5127"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isolated jejunal digesta samples were serially diluted by ten-fold serial dilution using used for the isolation (PBS) to make aliquots at the optimal </w:t>
      </w:r>
      <w:proofErr w:type="spellStart"/>
      <w:r w:rsidRPr="00FB099E">
        <w:rPr>
          <w:rFonts w:ascii="Times New Roman" w:eastAsia="Calibri" w:hAnsi="Times New Roman" w:cs="Times New Roman"/>
          <w:kern w:val="2"/>
          <w:sz w:val="24"/>
          <w:szCs w:val="24"/>
          <w:lang w:val="en-IN"/>
          <w14:ligatures w14:val="standardContextual"/>
        </w:rPr>
        <w:t>pH.</w:t>
      </w:r>
      <w:proofErr w:type="spellEnd"/>
      <w:r w:rsidRPr="00FB099E">
        <w:rPr>
          <w:rFonts w:ascii="Times New Roman" w:eastAsia="Calibri" w:hAnsi="Times New Roman" w:cs="Times New Roman"/>
          <w:kern w:val="2"/>
          <w:sz w:val="24"/>
          <w:szCs w:val="24"/>
          <w:lang w:val="en-IN"/>
          <w14:ligatures w14:val="standardContextual"/>
        </w:rPr>
        <w:t xml:space="preserve"> Then the dilutions were plates in MacConkey Agar and MRS Agar for presumptive isolation of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and the plates were incubated for 24 hours at 37⁰C. Following the incubation period, pure cultures were established and their identifications were confirmed by morphological and biochemical characterization assays. The pure isolates were cryopreserved at -80⁰C for subsequent antimicrobial analysis and long-term storage. </w:t>
      </w:r>
    </w:p>
    <w:p w14:paraId="0DDBEBAF"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2.3. </w:t>
      </w:r>
      <w:r w:rsidRPr="00FB099E">
        <w:rPr>
          <w:rFonts w:ascii="Times New Roman" w:eastAsia="Calibri" w:hAnsi="Times New Roman" w:cs="Times New Roman"/>
          <w:b/>
          <w:bCs/>
          <w:kern w:val="2"/>
          <w:sz w:val="26"/>
          <w:szCs w:val="26"/>
          <w:lang w:val="en-IN"/>
          <w14:ligatures w14:val="standardContextual"/>
        </w:rPr>
        <w:t>Preparation of Antibiotic formulates</w:t>
      </w:r>
      <w:r w:rsidRPr="00FB099E">
        <w:rPr>
          <w:rFonts w:ascii="Times New Roman" w:eastAsia="Calibri" w:hAnsi="Times New Roman" w:cs="Times New Roman"/>
          <w:kern w:val="2"/>
          <w:sz w:val="24"/>
          <w:szCs w:val="24"/>
          <w:lang w:val="en-IN"/>
          <w14:ligatures w14:val="standardContextual"/>
        </w:rPr>
        <w:t xml:space="preserve"> </w:t>
      </w:r>
    </w:p>
    <w:p w14:paraId="48ED59FD"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Eight growth promoting Antibiotics- Oxytetracycline (OT), Tetracycline (TC), Vancomycin (VM), Streptomycin (SM), Enrofloxacin (EF),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(TY), Neomycin (NM) and Gentamycin (GM) were procured from the authorized veterinary medical suppliers for the antimicrobial testing. Stock Concentrations and working Concentrations of each antibiotic were carefully prepared using sterile double distilled water in accordance to the manufacturer’s instructions.</w:t>
      </w:r>
    </w:p>
    <w:p w14:paraId="54A20857" w14:textId="77777777" w:rsidR="00FB099E" w:rsidRPr="00FB099E" w:rsidRDefault="00FB099E" w:rsidP="00FB099E">
      <w:pPr>
        <w:bidi w:val="0"/>
        <w:spacing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2.4. </w:t>
      </w:r>
      <w:r w:rsidRPr="00FB099E">
        <w:rPr>
          <w:rFonts w:ascii="Times New Roman" w:eastAsia="Calibri" w:hAnsi="Times New Roman" w:cs="Times New Roman"/>
          <w:b/>
          <w:bCs/>
          <w:kern w:val="2"/>
          <w:sz w:val="26"/>
          <w:szCs w:val="26"/>
          <w:lang w:val="en-IN"/>
          <w14:ligatures w14:val="standardContextual"/>
        </w:rPr>
        <w:t>Antibacterial Susceptibility testing against gut isolates</w:t>
      </w:r>
    </w:p>
    <w:p w14:paraId="6726CBBE"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Before MIC assay, All the eight antibiotics at various concentrations were subjected to the antibacterial susceptibility testing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Lactobacillus</w:t>
      </w:r>
      <w:r w:rsidRPr="00FB099E">
        <w:rPr>
          <w:rFonts w:ascii="Times New Roman" w:eastAsia="Calibri" w:hAnsi="Times New Roman" w:cs="Times New Roman"/>
          <w:kern w:val="2"/>
          <w:sz w:val="24"/>
          <w:szCs w:val="24"/>
          <w:lang w:val="en-IN"/>
          <w14:ligatures w14:val="standardContextual"/>
        </w:rPr>
        <w:t xml:space="preserve"> 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using the agar well diffusion method. The Mueller - Hinton agar (MHA) plates were uniformly inoculated with each pure </w:t>
      </w:r>
      <w:proofErr w:type="gramStart"/>
      <w:r w:rsidRPr="00FB099E">
        <w:rPr>
          <w:rFonts w:ascii="Times New Roman" w:eastAsia="Calibri" w:hAnsi="Times New Roman" w:cs="Times New Roman"/>
          <w:kern w:val="2"/>
          <w:sz w:val="24"/>
          <w:szCs w:val="24"/>
          <w:lang w:val="en-IN"/>
          <w14:ligatures w14:val="standardContextual"/>
        </w:rPr>
        <w:t>isolates</w:t>
      </w:r>
      <w:proofErr w:type="gramEnd"/>
      <w:r w:rsidRPr="00FB099E">
        <w:rPr>
          <w:rFonts w:ascii="Times New Roman" w:eastAsia="Calibri" w:hAnsi="Times New Roman" w:cs="Times New Roman"/>
          <w:kern w:val="2"/>
          <w:sz w:val="24"/>
          <w:szCs w:val="24"/>
          <w:lang w:val="en-IN"/>
          <w14:ligatures w14:val="standardContextual"/>
        </w:rPr>
        <w:t xml:space="preserve"> using sterile cotton swabs and standard 6mm wells were made using sterile corkborer and each well was filled with the respective antibiotic concentration. The inoculated plates were incubated 37°C for 18-24 hours. Followed by the incubation, the Zone of Inhibition (ZOI) around each well were measured in millimetres using digital </w:t>
      </w:r>
      <w:proofErr w:type="spellStart"/>
      <w:r w:rsidRPr="00FB099E">
        <w:rPr>
          <w:rFonts w:ascii="Times New Roman" w:eastAsia="Calibri" w:hAnsi="Times New Roman" w:cs="Times New Roman"/>
          <w:kern w:val="2"/>
          <w:sz w:val="24"/>
          <w:szCs w:val="24"/>
          <w:lang w:val="en-IN"/>
          <w14:ligatures w14:val="standardContextual"/>
        </w:rPr>
        <w:t>vernier</w:t>
      </w:r>
      <w:proofErr w:type="spellEnd"/>
      <w:r w:rsidRPr="00FB099E">
        <w:rPr>
          <w:rFonts w:ascii="Times New Roman" w:eastAsia="Calibri" w:hAnsi="Times New Roman" w:cs="Times New Roman"/>
          <w:kern w:val="2"/>
          <w:sz w:val="24"/>
          <w:szCs w:val="24"/>
          <w:lang w:val="en-IN"/>
          <w14:ligatures w14:val="standardContextual"/>
        </w:rPr>
        <w:t xml:space="preserve"> </w:t>
      </w:r>
      <w:proofErr w:type="spellStart"/>
      <w:r w:rsidRPr="00FB099E">
        <w:rPr>
          <w:rFonts w:ascii="Times New Roman" w:eastAsia="Calibri" w:hAnsi="Times New Roman" w:cs="Times New Roman"/>
          <w:kern w:val="2"/>
          <w:sz w:val="24"/>
          <w:szCs w:val="24"/>
          <w:lang w:val="en-IN"/>
          <w14:ligatures w14:val="standardContextual"/>
        </w:rPr>
        <w:t>caliper</w:t>
      </w:r>
      <w:proofErr w:type="spellEnd"/>
      <w:r w:rsidRPr="00FB099E">
        <w:rPr>
          <w:rFonts w:ascii="Times New Roman" w:eastAsia="Calibri" w:hAnsi="Times New Roman" w:cs="Times New Roman"/>
          <w:kern w:val="2"/>
          <w:sz w:val="24"/>
          <w:szCs w:val="24"/>
          <w:lang w:val="en-IN"/>
          <w14:ligatures w14:val="standardContextual"/>
        </w:rPr>
        <w:t>.</w:t>
      </w:r>
    </w:p>
    <w:p w14:paraId="56632591" w14:textId="77777777" w:rsidR="00FB099E" w:rsidRPr="00FB099E" w:rsidRDefault="00FB099E" w:rsidP="00FB099E">
      <w:pPr>
        <w:bidi w:val="0"/>
        <w:spacing w:line="480" w:lineRule="auto"/>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 xml:space="preserve">2.5. </w:t>
      </w:r>
      <w:r w:rsidRPr="00FB099E">
        <w:rPr>
          <w:rFonts w:ascii="Times New Roman" w:eastAsia="Calibri" w:hAnsi="Times New Roman" w:cs="Times New Roman"/>
          <w:b/>
          <w:bCs/>
          <w:kern w:val="2"/>
          <w:sz w:val="26"/>
          <w:szCs w:val="26"/>
          <w:lang w:val="en-IN"/>
          <w14:ligatures w14:val="standardContextual"/>
        </w:rPr>
        <w:t>Quantitative evaluation of bacterial viability by Resazurin-Enhanced MIC assay</w:t>
      </w:r>
    </w:p>
    <w:p w14:paraId="34A51AF2"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For the MIC assay, the concentrations were formulated based on the least concentration of each antibiotic which showed the bacterial inhibition in well diffusion Assay.  MIC assay was performed in 96 -well microtiter plates by the broth microdilution method. Each well was inoculated with 100</w:t>
      </w:r>
      <w:r w:rsidRPr="00FB099E">
        <w:rPr>
          <w:rFonts w:ascii="Times New Roman" w:eastAsia="Calibri" w:hAnsi="Times New Roman" w:cs="Times New Roman"/>
          <w:i/>
          <w:iCs/>
          <w:kern w:val="2"/>
          <w:sz w:val="24"/>
          <w:szCs w:val="24"/>
          <w:lang w:val="en-IN"/>
          <w14:ligatures w14:val="standardContextual"/>
        </w:rPr>
        <w:t xml:space="preserve"> µ</w:t>
      </w:r>
      <w:r w:rsidRPr="00FB099E">
        <w:rPr>
          <w:rFonts w:ascii="Times New Roman" w:eastAsia="Calibri" w:hAnsi="Times New Roman" w:cs="Times New Roman"/>
          <w:kern w:val="2"/>
          <w:sz w:val="24"/>
          <w:szCs w:val="24"/>
          <w:lang w:val="en-IN"/>
          <w14:ligatures w14:val="standardContextual"/>
        </w:rPr>
        <w:t>L of specific concentration and the equal amount of standard bacterial inoculum was added and incubated at 37°C for 18-24 hours. After the turbidity measurement, 30 </w:t>
      </w:r>
      <w:proofErr w:type="spellStart"/>
      <w:r w:rsidRPr="00FB099E">
        <w:rPr>
          <w:rFonts w:ascii="Times New Roman" w:eastAsia="Calibri" w:hAnsi="Times New Roman" w:cs="Times New Roman"/>
          <w:i/>
          <w:iCs/>
          <w:kern w:val="2"/>
          <w:sz w:val="24"/>
          <w:szCs w:val="24"/>
          <w:lang w:val="en-IN"/>
          <w14:ligatures w14:val="standardContextual"/>
        </w:rPr>
        <w:t>μl</w:t>
      </w:r>
      <w:proofErr w:type="spellEnd"/>
      <w:r w:rsidRPr="00FB099E">
        <w:rPr>
          <w:rFonts w:ascii="Times New Roman" w:eastAsia="Calibri" w:hAnsi="Times New Roman" w:cs="Times New Roman"/>
          <w:i/>
          <w:iCs/>
          <w:kern w:val="2"/>
          <w:sz w:val="24"/>
          <w:szCs w:val="24"/>
          <w:lang w:val="en-IN"/>
          <w14:ligatures w14:val="standardContextual"/>
        </w:rPr>
        <w:t xml:space="preserve"> </w:t>
      </w:r>
      <w:r w:rsidRPr="00FB099E">
        <w:rPr>
          <w:rFonts w:ascii="Times New Roman" w:eastAsia="Calibri" w:hAnsi="Times New Roman" w:cs="Times New Roman"/>
          <w:kern w:val="2"/>
          <w:sz w:val="24"/>
          <w:szCs w:val="24"/>
          <w:lang w:val="en-IN"/>
          <w14:ligatures w14:val="standardContextual"/>
        </w:rPr>
        <w:t xml:space="preserve">of 0.015% resazurin solution was added to each well and the </w:t>
      </w:r>
      <w:r w:rsidRPr="00FB099E">
        <w:rPr>
          <w:rFonts w:ascii="Times New Roman" w:eastAsia="Calibri" w:hAnsi="Times New Roman" w:cs="Times New Roman"/>
          <w:kern w:val="2"/>
          <w:sz w:val="24"/>
          <w:szCs w:val="24"/>
          <w14:ligatures w14:val="standardContextual"/>
        </w:rPr>
        <w:t>plates were incubated for an additional 2–4 hours at 37°C to allow for colorimetric development.</w:t>
      </w:r>
      <w:r w:rsidRPr="00FB099E">
        <w:rPr>
          <w:rFonts w:ascii="Times New Roman" w:eastAsia="Calibri" w:hAnsi="Times New Roman" w:cs="Times New Roman"/>
          <w:kern w:val="2"/>
          <w:sz w:val="24"/>
          <w:szCs w:val="24"/>
          <w:lang w:val="en-IN"/>
          <w14:ligatures w14:val="standardContextual"/>
        </w:rPr>
        <w:t xml:space="preserve"> </w:t>
      </w:r>
      <w:r w:rsidRPr="00FB099E">
        <w:rPr>
          <w:rFonts w:ascii="Times New Roman" w:eastAsia="Calibri" w:hAnsi="Times New Roman" w:cs="Times New Roman"/>
          <w:kern w:val="2"/>
          <w:sz w:val="24"/>
          <w:szCs w:val="24"/>
          <w14:ligatures w14:val="standardContextual"/>
        </w:rPr>
        <w:t xml:space="preserve">Following incubation, absorbance was measured at 570 nm to evaluate bacterial viability based on resazurin reduction. </w:t>
      </w:r>
      <w:r w:rsidRPr="00FB099E">
        <w:rPr>
          <w:rFonts w:ascii="Times New Roman" w:eastAsia="Calibri" w:hAnsi="Times New Roman" w:cs="Times New Roman"/>
          <w:kern w:val="2"/>
          <w:sz w:val="24"/>
          <w:szCs w:val="24"/>
          <w:lang w:val="en-IN"/>
          <w14:ligatures w14:val="standardContextual"/>
        </w:rPr>
        <w:t xml:space="preserve">For determining minimal bactericidal concentration (MBC), </w:t>
      </w:r>
      <w:r w:rsidRPr="00FB099E">
        <w:rPr>
          <w:rFonts w:ascii="Times New Roman" w:eastAsia="Calibri" w:hAnsi="Times New Roman" w:cs="Times New Roman"/>
          <w:kern w:val="2"/>
          <w:sz w:val="24"/>
          <w:szCs w:val="24"/>
          <w14:ligatures w14:val="standardContextual"/>
        </w:rPr>
        <w:t>Post-MIC concentrations were streaked onto the agar plates in triplicate to ensure reproducibility and accuracy of results.</w:t>
      </w:r>
      <w:r w:rsidRPr="00FB099E">
        <w:rPr>
          <w:rFonts w:ascii="Times New Roman" w:eastAsia="Calibri" w:hAnsi="Times New Roman" w:cs="Times New Roman"/>
          <w:kern w:val="2"/>
          <w:sz w:val="24"/>
          <w:szCs w:val="24"/>
          <w:lang w:val="en-IN"/>
          <w14:ligatures w14:val="standardContextual"/>
        </w:rPr>
        <w:t xml:space="preserve"> </w:t>
      </w:r>
    </w:p>
    <w:p w14:paraId="3D0785A3" w14:textId="77777777" w:rsidR="00FB099E" w:rsidRPr="00FB099E" w:rsidRDefault="00FB099E" w:rsidP="00FB099E">
      <w:pPr>
        <w:bidi w:val="0"/>
        <w:spacing w:line="480" w:lineRule="auto"/>
        <w:jc w:val="both"/>
        <w:rPr>
          <w:rFonts w:ascii="Times New Roman" w:eastAsia="Calibri" w:hAnsi="Times New Roman" w:cs="Times New Roman"/>
          <w:b/>
          <w:bCs/>
          <w:kern w:val="2"/>
          <w:sz w:val="26"/>
          <w:szCs w:val="26"/>
          <w:lang w:val="en-IN"/>
          <w14:ligatures w14:val="standardContextual"/>
        </w:rPr>
      </w:pPr>
      <w:r w:rsidRPr="00FB099E">
        <w:rPr>
          <w:rFonts w:ascii="Times New Roman" w:eastAsia="Calibri" w:hAnsi="Times New Roman" w:cs="Times New Roman"/>
          <w:kern w:val="2"/>
          <w:sz w:val="24"/>
          <w:szCs w:val="24"/>
          <w14:ligatures w14:val="standardContextual"/>
        </w:rPr>
        <w:t xml:space="preserve">2.6. </w:t>
      </w:r>
      <w:r w:rsidRPr="00FB099E">
        <w:rPr>
          <w:rFonts w:ascii="Times New Roman" w:eastAsia="Calibri" w:hAnsi="Times New Roman" w:cs="Times New Roman"/>
          <w:b/>
          <w:bCs/>
          <w:kern w:val="2"/>
          <w:sz w:val="26"/>
          <w:szCs w:val="26"/>
          <w:lang w:val="en-IN"/>
          <w14:ligatures w14:val="standardContextual"/>
        </w:rPr>
        <w:t>Data Processing and Statistical analysis</w:t>
      </w:r>
    </w:p>
    <w:p w14:paraId="649EA23E"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14:ligatures w14:val="standardContextual"/>
        </w:rPr>
        <w:t xml:space="preserve">All statistical analysis </w:t>
      </w:r>
      <w:proofErr w:type="gramStart"/>
      <w:r w:rsidRPr="00FB099E">
        <w:rPr>
          <w:rFonts w:ascii="Times New Roman" w:eastAsia="Calibri" w:hAnsi="Times New Roman" w:cs="Times New Roman"/>
          <w:kern w:val="2"/>
          <w:sz w:val="24"/>
          <w:szCs w:val="24"/>
          <w14:ligatures w14:val="standardContextual"/>
        </w:rPr>
        <w:t>were</w:t>
      </w:r>
      <w:proofErr w:type="gramEnd"/>
      <w:r w:rsidRPr="00FB099E">
        <w:rPr>
          <w:rFonts w:ascii="Times New Roman" w:eastAsia="Calibri" w:hAnsi="Times New Roman" w:cs="Times New Roman"/>
          <w:kern w:val="2"/>
          <w:sz w:val="24"/>
          <w:szCs w:val="24"/>
          <w14:ligatures w14:val="standardContextual"/>
        </w:rPr>
        <w:t xml:space="preserve"> conducted using </w:t>
      </w:r>
      <w:proofErr w:type="spellStart"/>
      <w:r w:rsidRPr="00FB099E">
        <w:rPr>
          <w:rFonts w:ascii="Times New Roman" w:eastAsia="Calibri" w:hAnsi="Times New Roman" w:cs="Times New Roman"/>
          <w:kern w:val="2"/>
          <w:sz w:val="24"/>
          <w:szCs w:val="24"/>
          <w14:ligatures w14:val="standardContextual"/>
        </w:rPr>
        <w:t>OriginPro</w:t>
      </w:r>
      <w:proofErr w:type="spellEnd"/>
      <w:r w:rsidRPr="00FB099E">
        <w:rPr>
          <w:rFonts w:ascii="Times New Roman" w:eastAsia="Calibri" w:hAnsi="Times New Roman" w:cs="Times New Roman"/>
          <w:kern w:val="2"/>
          <w:sz w:val="24"/>
          <w:szCs w:val="24"/>
          <w14:ligatures w14:val="standardContextual"/>
        </w:rPr>
        <w:t xml:space="preserve"> 2025b </w:t>
      </w:r>
      <w:r w:rsidRPr="00FB099E">
        <w:rPr>
          <w:rFonts w:ascii="Times New Roman" w:eastAsia="Calibri" w:hAnsi="Times New Roman" w:cs="Times New Roman"/>
          <w:kern w:val="2"/>
          <w:sz w:val="24"/>
          <w:szCs w:val="24"/>
          <w:lang w:val="en-IN"/>
          <w14:ligatures w14:val="standardContextual"/>
        </w:rPr>
        <w:t>(64-bit) SR1 version 10.2.5.234.</w:t>
      </w:r>
    </w:p>
    <w:p w14:paraId="34C3112C"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14:ligatures w14:val="standardContextual"/>
        </w:rPr>
        <w:t xml:space="preserve">All the concentrations of each antibiotic against </w:t>
      </w:r>
      <w:r w:rsidRPr="00FB099E">
        <w:rPr>
          <w:rFonts w:ascii="Times New Roman" w:eastAsia="Calibri" w:hAnsi="Times New Roman" w:cs="Times New Roman"/>
          <w:i/>
          <w:iCs/>
          <w:kern w:val="2"/>
          <w:sz w:val="24"/>
          <w:szCs w:val="24"/>
          <w14:ligatures w14:val="standardContextual"/>
        </w:rPr>
        <w:t>E. coli</w:t>
      </w:r>
      <w:r w:rsidRPr="00FB099E">
        <w:rPr>
          <w:rFonts w:ascii="Times New Roman" w:eastAsia="Calibri" w:hAnsi="Times New Roman" w:cs="Times New Roman"/>
          <w:kern w:val="2"/>
          <w:sz w:val="24"/>
          <w:szCs w:val="24"/>
          <w14:ligatures w14:val="standardContextual"/>
        </w:rPr>
        <w:t xml:space="preserve"> and </w:t>
      </w:r>
      <w:r w:rsidRPr="00FB099E">
        <w:rPr>
          <w:rFonts w:ascii="Times New Roman" w:eastAsia="Calibri" w:hAnsi="Times New Roman" w:cs="Times New Roman"/>
          <w:i/>
          <w:iCs/>
          <w:kern w:val="2"/>
          <w:sz w:val="24"/>
          <w:szCs w:val="24"/>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w:t>
      </w:r>
      <w:r w:rsidRPr="00FB099E">
        <w:rPr>
          <w:rFonts w:ascii="Times New Roman" w:eastAsia="Calibri" w:hAnsi="Times New Roman" w:cs="Times New Roman"/>
          <w:kern w:val="2"/>
          <w:sz w:val="24"/>
          <w:szCs w:val="24"/>
          <w14:ligatures w14:val="standardContextual"/>
        </w:rPr>
        <w:t>were plotted against the Zone of Inhibition data to illustrate the relative efficacy of each antibiotic across experimental conditions. For the MIC interpretation, the obtained inhibition values were normalized initially using base-10 logarithmic transformation (Log</w:t>
      </w:r>
      <w:r w:rsidRPr="00FB099E">
        <w:rPr>
          <w:rFonts w:ascii="Times New Roman" w:eastAsia="Calibri" w:hAnsi="Times New Roman" w:cs="Times New Roman"/>
          <w:kern w:val="2"/>
          <w:sz w:val="24"/>
          <w:szCs w:val="24"/>
          <w:vertAlign w:val="subscript"/>
          <w14:ligatures w14:val="standardContextual"/>
        </w:rPr>
        <w:t>10</w:t>
      </w:r>
      <w:r w:rsidRPr="00FB099E">
        <w:rPr>
          <w:rFonts w:ascii="Times New Roman" w:eastAsia="Calibri" w:hAnsi="Times New Roman" w:cs="Times New Roman"/>
          <w:kern w:val="2"/>
          <w:sz w:val="24"/>
          <w:szCs w:val="24"/>
          <w14:ligatures w14:val="standardContextual"/>
        </w:rPr>
        <w:t xml:space="preserve">) to improve the data distribution and the transformed data plotted and subjected to the </w:t>
      </w:r>
      <w:r w:rsidRPr="00FB099E">
        <w:rPr>
          <w:rFonts w:ascii="Times New Roman" w:eastAsia="Calibri" w:hAnsi="Times New Roman" w:cs="Times New Roman"/>
          <w:kern w:val="2"/>
          <w:sz w:val="24"/>
          <w:szCs w:val="24"/>
          <w:lang w:val="en-IN"/>
          <w14:ligatures w14:val="standardContextual"/>
        </w:rPr>
        <w:t>nonlinear curve fit regression analysis to detect the Concentration-response relationship, enabling the estimation of half-maximal inhibitory concentration (EC₅₀), Hill slope (p), R</w:t>
      </w:r>
      <w:r w:rsidRPr="00FB099E">
        <w:rPr>
          <w:rFonts w:ascii="Times New Roman" w:eastAsia="Calibri" w:hAnsi="Times New Roman" w:cs="Times New Roman"/>
          <w:kern w:val="2"/>
          <w:sz w:val="24"/>
          <w:szCs w:val="24"/>
          <w:vertAlign w:val="superscript"/>
          <w:lang w:val="en-IN"/>
          <w14:ligatures w14:val="standardContextual"/>
        </w:rPr>
        <w:t xml:space="preserve">2 </w:t>
      </w:r>
      <w:r w:rsidRPr="00FB099E">
        <w:rPr>
          <w:rFonts w:ascii="Times New Roman" w:eastAsia="Calibri" w:hAnsi="Times New Roman" w:cs="Times New Roman"/>
          <w:kern w:val="2"/>
          <w:sz w:val="24"/>
          <w:szCs w:val="24"/>
          <w:lang w:val="en-IN"/>
          <w14:ligatures w14:val="standardContextual"/>
        </w:rPr>
        <w:t xml:space="preserve">for each antibiotic against the two bacterial isolates. The significance of the drug effect was analysed by analysis of variance (ANOVA). </w:t>
      </w:r>
    </w:p>
    <w:p w14:paraId="3A7686FF"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lastRenderedPageBreak/>
        <w:t>3. Results</w:t>
      </w:r>
    </w:p>
    <w:p w14:paraId="7025BF72"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 xml:space="preserve">3.1 Antibacterial susceptibility </w:t>
      </w:r>
    </w:p>
    <w:p w14:paraId="3091FED3" w14:textId="1754AD45" w:rsidR="00344030" w:rsidRDefault="00344030"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noProof/>
          <w:kern w:val="2"/>
          <w:sz w:val="24"/>
          <w:szCs w:val="24"/>
          <w14:ligatures w14:val="standardContextual"/>
        </w:rPr>
        <mc:AlternateContent>
          <mc:Choice Requires="wps">
            <w:drawing>
              <wp:anchor distT="0" distB="0" distL="114300" distR="114300" simplePos="0" relativeHeight="251667456" behindDoc="0" locked="0" layoutInCell="1" allowOverlap="1" wp14:anchorId="3BCB8A31" wp14:editId="379B4E2B">
                <wp:simplePos x="0" y="0"/>
                <wp:positionH relativeFrom="column">
                  <wp:posOffset>76200</wp:posOffset>
                </wp:positionH>
                <wp:positionV relativeFrom="paragraph">
                  <wp:posOffset>4549140</wp:posOffset>
                </wp:positionV>
                <wp:extent cx="5508625" cy="946150"/>
                <wp:effectExtent l="0" t="0" r="0" b="6350"/>
                <wp:wrapThrough wrapText="bothSides">
                  <wp:wrapPolygon edited="0">
                    <wp:start x="0" y="0"/>
                    <wp:lineTo x="0" y="21310"/>
                    <wp:lineTo x="21513" y="21310"/>
                    <wp:lineTo x="21513" y="0"/>
                    <wp:lineTo x="0" y="0"/>
                  </wp:wrapPolygon>
                </wp:wrapThrough>
                <wp:docPr id="394136752" name="Text Box 1"/>
                <wp:cNvGraphicFramePr/>
                <a:graphic xmlns:a="http://schemas.openxmlformats.org/drawingml/2006/main">
                  <a:graphicData uri="http://schemas.microsoft.com/office/word/2010/wordprocessingShape">
                    <wps:wsp>
                      <wps:cNvSpPr txBox="1"/>
                      <wps:spPr>
                        <a:xfrm>
                          <a:off x="0" y="0"/>
                          <a:ext cx="5508625" cy="946150"/>
                        </a:xfrm>
                        <a:prstGeom prst="rect">
                          <a:avLst/>
                        </a:prstGeom>
                        <a:solidFill>
                          <a:sysClr val="window" lastClr="FFFFFF"/>
                        </a:solidFill>
                        <a:ln w="6350">
                          <a:noFill/>
                        </a:ln>
                      </wps:spPr>
                      <wps:txbx>
                        <w:txbxContent>
                          <w:p w14:paraId="13BA9041" w14:textId="77777777" w:rsidR="00344030" w:rsidRPr="007B0310" w:rsidRDefault="00344030" w:rsidP="00344030">
                            <w:pPr>
                              <w:jc w:val="both"/>
                              <w:rPr>
                                <w:rFonts w:ascii="Times New Roman" w:hAnsi="Times New Roman" w:cs="Times New Roman"/>
                                <w:sz w:val="20"/>
                                <w:szCs w:val="20"/>
                              </w:rPr>
                            </w:pPr>
                            <w:r w:rsidRPr="007B0310">
                              <w:rPr>
                                <w:rFonts w:ascii="Times New Roman" w:hAnsi="Times New Roman" w:cs="Times New Roman"/>
                                <w:sz w:val="20"/>
                                <w:szCs w:val="20"/>
                              </w:rPr>
                              <w:t xml:space="preserve">Figure 1. Antibacterial susceptibility profiles of </w:t>
                            </w:r>
                            <w:r>
                              <w:rPr>
                                <w:rFonts w:ascii="Times New Roman" w:hAnsi="Times New Roman" w:cs="Times New Roman"/>
                                <w:sz w:val="20"/>
                                <w:szCs w:val="20"/>
                              </w:rPr>
                              <w:t xml:space="preserve">A) </w:t>
                            </w:r>
                            <w:r w:rsidRPr="007B0310">
                              <w:rPr>
                                <w:rFonts w:ascii="Times New Roman" w:hAnsi="Times New Roman" w:cs="Times New Roman"/>
                                <w:i/>
                                <w:iCs/>
                                <w:sz w:val="20"/>
                                <w:szCs w:val="20"/>
                              </w:rPr>
                              <w:t>E. coli spp.</w:t>
                            </w:r>
                            <w:r w:rsidRPr="007B0310">
                              <w:rPr>
                                <w:rFonts w:ascii="Times New Roman" w:hAnsi="Times New Roman" w:cs="Times New Roman"/>
                                <w:sz w:val="20"/>
                                <w:szCs w:val="20"/>
                              </w:rPr>
                              <w:t xml:space="preserve"> and </w:t>
                            </w:r>
                            <w:r>
                              <w:rPr>
                                <w:rFonts w:ascii="Times New Roman" w:hAnsi="Times New Roman" w:cs="Times New Roman"/>
                                <w:sz w:val="20"/>
                                <w:szCs w:val="20"/>
                              </w:rPr>
                              <w:t xml:space="preserve">B) </w:t>
                            </w:r>
                            <w:r w:rsidRPr="007B0310">
                              <w:rPr>
                                <w:rFonts w:ascii="Times New Roman" w:hAnsi="Times New Roman" w:cs="Times New Roman"/>
                                <w:i/>
                                <w:iCs/>
                                <w:sz w:val="20"/>
                                <w:szCs w:val="20"/>
                              </w:rPr>
                              <w:t>Lactobacillus spp.</w:t>
                            </w:r>
                            <w:r w:rsidRPr="007B0310">
                              <w:rPr>
                                <w:rFonts w:ascii="Times New Roman" w:hAnsi="Times New Roman" w:cs="Times New Roman"/>
                                <w:sz w:val="20"/>
                                <w:szCs w:val="20"/>
                              </w:rPr>
                              <w:t xml:space="preserve">  against eight antibiotics (OT, TC, VM, SM, EF, TY, NM, and GM) across increasing concentrations (0.1–7.5 </w:t>
                            </w:r>
                            <w:r w:rsidRPr="00505E77">
                              <w:rPr>
                                <w:rFonts w:ascii="Times New Roman" w:hAnsi="Times New Roman" w:cs="Times New Roman"/>
                                <w:i/>
                                <w:iCs/>
                                <w:sz w:val="20"/>
                                <w:szCs w:val="20"/>
                              </w:rPr>
                              <w:t>µ</w:t>
                            </w:r>
                            <w:r w:rsidRPr="007B0310">
                              <w:rPr>
                                <w:rFonts w:ascii="Times New Roman" w:hAnsi="Times New Roman" w:cs="Times New Roman"/>
                                <w:sz w:val="20"/>
                                <w:szCs w:val="20"/>
                              </w:rPr>
                              <w:t>g). Colour gradients indicate the magnitude of inhibition, with green representing minimal inhibition and red representing strong inhibition, highlighting antibiotic-specific and dose-dependent variations in inhibitory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B8A31" id="_x0000_t202" coordsize="21600,21600" o:spt="202" path="m,l,21600r21600,l21600,xe">
                <v:stroke joinstyle="miter"/>
                <v:path gradientshapeok="t" o:connecttype="rect"/>
              </v:shapetype>
              <v:shape id="Text Box 1" o:spid="_x0000_s1026" type="#_x0000_t202" style="position:absolute;left:0;text-align:left;margin-left:6pt;margin-top:358.2pt;width:433.75pt;height: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" fillcolor="window" stroked="f" strokeweight=".5pt">
                <v:textbox>
                  <w:txbxContent>
                    <w:p w14:paraId="13BA9041" w14:textId="77777777" w:rsidR="00344030" w:rsidRPr="007B0310" w:rsidRDefault="00344030" w:rsidP="00344030">
                      <w:pPr>
                        <w:jc w:val="both"/>
                        <w:rPr>
                          <w:rFonts w:ascii="Times New Roman" w:hAnsi="Times New Roman" w:cs="Times New Roman"/>
                          <w:sz w:val="20"/>
                          <w:szCs w:val="20"/>
                        </w:rPr>
                      </w:pPr>
                      <w:r w:rsidRPr="007B0310">
                        <w:rPr>
                          <w:rFonts w:ascii="Times New Roman" w:hAnsi="Times New Roman" w:cs="Times New Roman"/>
                          <w:sz w:val="20"/>
                          <w:szCs w:val="20"/>
                        </w:rPr>
                        <w:t xml:space="preserve">Figure 1. Antibacterial susceptibility profiles of </w:t>
                      </w:r>
                      <w:r>
                        <w:rPr>
                          <w:rFonts w:ascii="Times New Roman" w:hAnsi="Times New Roman" w:cs="Times New Roman"/>
                          <w:sz w:val="20"/>
                          <w:szCs w:val="20"/>
                        </w:rPr>
                        <w:t xml:space="preserve">A) </w:t>
                      </w:r>
                      <w:r w:rsidRPr="007B0310">
                        <w:rPr>
                          <w:rFonts w:ascii="Times New Roman" w:hAnsi="Times New Roman" w:cs="Times New Roman"/>
                          <w:i/>
                          <w:iCs/>
                          <w:sz w:val="20"/>
                          <w:szCs w:val="20"/>
                        </w:rPr>
                        <w:t>E. coli spp.</w:t>
                      </w:r>
                      <w:r w:rsidRPr="007B0310">
                        <w:rPr>
                          <w:rFonts w:ascii="Times New Roman" w:hAnsi="Times New Roman" w:cs="Times New Roman"/>
                          <w:sz w:val="20"/>
                          <w:szCs w:val="20"/>
                        </w:rPr>
                        <w:t xml:space="preserve"> and </w:t>
                      </w:r>
                      <w:r>
                        <w:rPr>
                          <w:rFonts w:ascii="Times New Roman" w:hAnsi="Times New Roman" w:cs="Times New Roman"/>
                          <w:sz w:val="20"/>
                          <w:szCs w:val="20"/>
                        </w:rPr>
                        <w:t xml:space="preserve">B) </w:t>
                      </w:r>
                      <w:r w:rsidRPr="007B0310">
                        <w:rPr>
                          <w:rFonts w:ascii="Times New Roman" w:hAnsi="Times New Roman" w:cs="Times New Roman"/>
                          <w:i/>
                          <w:iCs/>
                          <w:sz w:val="20"/>
                          <w:szCs w:val="20"/>
                        </w:rPr>
                        <w:t>Lactobacillus spp.</w:t>
                      </w:r>
                      <w:r w:rsidRPr="007B0310">
                        <w:rPr>
                          <w:rFonts w:ascii="Times New Roman" w:hAnsi="Times New Roman" w:cs="Times New Roman"/>
                          <w:sz w:val="20"/>
                          <w:szCs w:val="20"/>
                        </w:rPr>
                        <w:t xml:space="preserve">  against eight antibiotics (OT, TC, VM, SM, EF, TY, NM, and GM) across increasing concentrations (0.1–7.5 </w:t>
                      </w:r>
                      <w:r w:rsidRPr="00505E77">
                        <w:rPr>
                          <w:rFonts w:ascii="Times New Roman" w:hAnsi="Times New Roman" w:cs="Times New Roman"/>
                          <w:i/>
                          <w:iCs/>
                          <w:sz w:val="20"/>
                          <w:szCs w:val="20"/>
                        </w:rPr>
                        <w:t>µ</w:t>
                      </w:r>
                      <w:r w:rsidRPr="007B0310">
                        <w:rPr>
                          <w:rFonts w:ascii="Times New Roman" w:hAnsi="Times New Roman" w:cs="Times New Roman"/>
                          <w:sz w:val="20"/>
                          <w:szCs w:val="20"/>
                        </w:rPr>
                        <w:t>g). Colour gradients indicate the magnitude of inhibition, with green representing minimal inhibition and red representing strong inhibition, highlighting antibiotic-specific and dose-dependent variations in inhibitory response.</w:t>
                      </w:r>
                    </w:p>
                  </w:txbxContent>
                </v:textbox>
                <w10:wrap type="through"/>
              </v:shape>
            </w:pict>
          </mc:Fallback>
        </mc:AlternateContent>
      </w:r>
      <w:r w:rsidRPr="00FB099E">
        <w:rPr>
          <w:rFonts w:ascii="Times New Roman" w:eastAsia="Calibri" w:hAnsi="Times New Roman" w:cs="Times New Roman"/>
          <w:noProof/>
          <w:kern w:val="2"/>
          <w:sz w:val="24"/>
          <w:szCs w:val="24"/>
          <w14:ligatures w14:val="standardContextual"/>
        </w:rPr>
        <w:drawing>
          <wp:anchor distT="0" distB="0" distL="114300" distR="114300" simplePos="0" relativeHeight="251666432" behindDoc="0" locked="0" layoutInCell="1" allowOverlap="1" wp14:anchorId="51E1CBB0" wp14:editId="4789B46F">
            <wp:simplePos x="0" y="0"/>
            <wp:positionH relativeFrom="column">
              <wp:posOffset>0</wp:posOffset>
            </wp:positionH>
            <wp:positionV relativeFrom="paragraph">
              <wp:posOffset>2354580</wp:posOffset>
            </wp:positionV>
            <wp:extent cx="5731510" cy="2097405"/>
            <wp:effectExtent l="0" t="0" r="2540" b="0"/>
            <wp:wrapThrough wrapText="bothSides">
              <wp:wrapPolygon edited="0">
                <wp:start x="0" y="0"/>
                <wp:lineTo x="0" y="21384"/>
                <wp:lineTo x="21538" y="21384"/>
                <wp:lineTo x="21538" y="0"/>
                <wp:lineTo x="0" y="0"/>
              </wp:wrapPolygon>
            </wp:wrapThrough>
            <wp:docPr id="368637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50237" name="Picture 3260502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097405"/>
                    </a:xfrm>
                    <a:prstGeom prst="rect">
                      <a:avLst/>
                    </a:prstGeom>
                  </pic:spPr>
                </pic:pic>
              </a:graphicData>
            </a:graphic>
          </wp:anchor>
        </w:drawing>
      </w:r>
      <w:r w:rsidR="00FB099E" w:rsidRPr="00FB099E">
        <w:rPr>
          <w:rFonts w:ascii="Times New Roman" w:eastAsia="Calibri" w:hAnsi="Times New Roman" w:cs="Times New Roman"/>
          <w:kern w:val="2"/>
          <w:sz w:val="24"/>
          <w:szCs w:val="24"/>
          <w:lang w:val="en-IN"/>
          <w14:ligatures w14:val="standardContextual"/>
        </w:rPr>
        <w:t xml:space="preserve">Figure.1 showed the results of the antibacterial susceptibility of the </w:t>
      </w:r>
      <w:r w:rsidR="00FB099E" w:rsidRPr="00FB099E">
        <w:rPr>
          <w:rFonts w:ascii="Times New Roman" w:eastAsia="Calibri" w:hAnsi="Times New Roman" w:cs="Times New Roman"/>
          <w:i/>
          <w:iCs/>
          <w:kern w:val="2"/>
          <w:sz w:val="24"/>
          <w:szCs w:val="24"/>
          <w:lang w:val="en-IN"/>
          <w14:ligatures w14:val="standardContextual"/>
        </w:rPr>
        <w:t>E. coli and</w:t>
      </w:r>
      <w:r w:rsidR="00FB099E" w:rsidRPr="00FB099E">
        <w:rPr>
          <w:rFonts w:ascii="Times New Roman" w:eastAsia="Calibri" w:hAnsi="Times New Roman" w:cs="Times New Roman"/>
          <w:kern w:val="2"/>
          <w:sz w:val="24"/>
          <w:szCs w:val="24"/>
          <w:lang w:val="en-IN"/>
          <w14:ligatures w14:val="standardContextual"/>
        </w:rPr>
        <w:t xml:space="preserve"> </w:t>
      </w:r>
      <w:r w:rsidR="00FB099E" w:rsidRPr="00FB099E">
        <w:rPr>
          <w:rFonts w:ascii="Times New Roman" w:eastAsia="Calibri" w:hAnsi="Times New Roman" w:cs="Times New Roman"/>
          <w:i/>
          <w:iCs/>
          <w:kern w:val="2"/>
          <w:sz w:val="24"/>
          <w:szCs w:val="24"/>
          <w:lang w:val="en-IN"/>
          <w14:ligatures w14:val="standardContextual"/>
        </w:rPr>
        <w:t xml:space="preserve">Lactobacillus </w:t>
      </w:r>
      <w:r w:rsidR="00FB099E" w:rsidRPr="00FB099E">
        <w:rPr>
          <w:rFonts w:ascii="Times New Roman" w:eastAsia="Calibri" w:hAnsi="Times New Roman" w:cs="Times New Roman"/>
          <w:kern w:val="2"/>
          <w:sz w:val="24"/>
          <w:szCs w:val="24"/>
          <w:lang w:val="en-IN"/>
          <w14:ligatures w14:val="standardContextual"/>
        </w:rPr>
        <w:t xml:space="preserve">sp. against the different growth promoting antibiotics. Of the 8 different antibiotics were tested against these isolates, all the antibiotics shows significant susceptibility in all tested concentration except </w:t>
      </w:r>
      <w:proofErr w:type="spellStart"/>
      <w:r w:rsidR="00FB099E" w:rsidRPr="00FB099E">
        <w:rPr>
          <w:rFonts w:ascii="Times New Roman" w:eastAsia="Calibri" w:hAnsi="Times New Roman" w:cs="Times New Roman"/>
          <w:kern w:val="2"/>
          <w:sz w:val="24"/>
          <w:szCs w:val="24"/>
          <w:lang w:val="en-IN"/>
          <w14:ligatures w14:val="standardContextual"/>
        </w:rPr>
        <w:t>tylosin</w:t>
      </w:r>
      <w:proofErr w:type="spellEnd"/>
      <w:r w:rsidR="00FB099E" w:rsidRPr="00FB099E">
        <w:rPr>
          <w:rFonts w:ascii="Times New Roman" w:eastAsia="Calibri" w:hAnsi="Times New Roman" w:cs="Times New Roman"/>
          <w:kern w:val="2"/>
          <w:sz w:val="24"/>
          <w:szCs w:val="24"/>
          <w:lang w:val="en-IN"/>
          <w14:ligatures w14:val="standardContextual"/>
        </w:rPr>
        <w:t xml:space="preserve">. Against </w:t>
      </w:r>
      <w:r w:rsidR="00FB099E" w:rsidRPr="00FB099E">
        <w:rPr>
          <w:rFonts w:ascii="Times New Roman" w:eastAsia="Calibri" w:hAnsi="Times New Roman" w:cs="Times New Roman"/>
          <w:i/>
          <w:iCs/>
          <w:kern w:val="2"/>
          <w:sz w:val="24"/>
          <w:szCs w:val="24"/>
          <w:lang w:val="en-IN"/>
          <w14:ligatures w14:val="standardContextual"/>
        </w:rPr>
        <w:t>E. coli,</w:t>
      </w:r>
      <w:r w:rsidR="00FB099E" w:rsidRPr="00FB099E">
        <w:rPr>
          <w:rFonts w:ascii="Times New Roman" w:eastAsia="Calibri" w:hAnsi="Times New Roman" w:cs="Times New Roman"/>
          <w:kern w:val="2"/>
          <w:sz w:val="24"/>
          <w:szCs w:val="24"/>
          <w:lang w:val="en-IN"/>
          <w14:ligatures w14:val="standardContextual"/>
        </w:rPr>
        <w:t xml:space="preserve"> Enrofloxacin yielded the highest efficiency overall, by producing 24 mm zone at 0.1µg, and gradually increased to 40 mm in the maximum concentration (7.5</w:t>
      </w:r>
      <w:r w:rsidR="00FB099E" w:rsidRPr="00FB099E">
        <w:rPr>
          <w:rFonts w:ascii="Times New Roman" w:eastAsia="Calibri" w:hAnsi="Times New Roman" w:cs="Times New Roman"/>
          <w:i/>
          <w:iCs/>
          <w:kern w:val="2"/>
          <w:sz w:val="24"/>
          <w:szCs w:val="24"/>
          <w:lang w:val="en-IN"/>
          <w14:ligatures w14:val="standardContextual"/>
        </w:rPr>
        <w:t>µ</w:t>
      </w:r>
      <w:r w:rsidR="00FB099E" w:rsidRPr="00FB099E">
        <w:rPr>
          <w:rFonts w:ascii="Times New Roman" w:eastAsia="Calibri" w:hAnsi="Times New Roman" w:cs="Times New Roman"/>
          <w:kern w:val="2"/>
          <w:sz w:val="24"/>
          <w:szCs w:val="24"/>
          <w:lang w:val="en-IN"/>
          <w14:ligatures w14:val="standardContextual"/>
        </w:rPr>
        <w:t>g). Similarly, Oxytetracycline also showed the gradual increase in inhibition ranging from 17 mm to 44 mm at tested concentrations. In contrast, Streptomycin</w:t>
      </w:r>
      <w:r>
        <w:rPr>
          <w:rFonts w:ascii="Times New Roman" w:eastAsia="Calibri" w:hAnsi="Times New Roman" w:cs="Times New Roman"/>
          <w:kern w:val="2"/>
          <w:sz w:val="24"/>
          <w:szCs w:val="24"/>
          <w:lang w:val="en-IN"/>
          <w14:ligatures w14:val="standardContextual"/>
        </w:rPr>
        <w:t>,</w:t>
      </w:r>
    </w:p>
    <w:p w14:paraId="0DA839CA" w14:textId="77777777" w:rsidR="00D80ABA" w:rsidRDefault="00FB099E" w:rsidP="00344030">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Tetracycline, Vancomycin, and Neomycin showed pattern of inhibition and their efficacy sharply increased at 5µg and higher concentrations. Alternatively, against </w:t>
      </w:r>
      <w:r w:rsidRPr="00FB099E">
        <w:rPr>
          <w:rFonts w:ascii="Times New Roman" w:eastAsia="Calibri" w:hAnsi="Times New Roman" w:cs="Times New Roman"/>
          <w:i/>
          <w:iCs/>
          <w:kern w:val="2"/>
          <w:sz w:val="24"/>
          <w:szCs w:val="24"/>
          <w:lang w:val="en-IN"/>
          <w14:ligatures w14:val="standardContextual"/>
        </w:rPr>
        <w:t xml:space="preserve">Lactobacillus spp. </w:t>
      </w:r>
      <w:r w:rsidRPr="00FB099E">
        <w:rPr>
          <w:rFonts w:ascii="Times New Roman" w:eastAsia="Calibri" w:hAnsi="Times New Roman" w:cs="Times New Roman"/>
          <w:kern w:val="2"/>
          <w:sz w:val="24"/>
          <w:szCs w:val="24"/>
          <w:lang w:val="en-IN"/>
          <w14:ligatures w14:val="standardContextual"/>
        </w:rPr>
        <w:t>all the antibiotics were exhibited very strong inhibition at low concentration (1</w:t>
      </w:r>
      <w:r w:rsidRPr="00FB099E">
        <w:rPr>
          <w:rFonts w:ascii="Times New Roman" w:eastAsia="Calibri" w:hAnsi="Times New Roman" w:cs="Times New Roman"/>
          <w:i/>
          <w:iCs/>
          <w:kern w:val="2"/>
          <w:sz w:val="24"/>
          <w:szCs w:val="24"/>
          <w:lang w:val="en-IN"/>
          <w14:ligatures w14:val="standardContextual"/>
        </w:rPr>
        <w:t>µ</w:t>
      </w:r>
      <w:r w:rsidRPr="00FB099E">
        <w:rPr>
          <w:rFonts w:ascii="Times New Roman" w:eastAsia="Calibri" w:hAnsi="Times New Roman" w:cs="Times New Roman"/>
          <w:kern w:val="2"/>
          <w:sz w:val="24"/>
          <w:szCs w:val="24"/>
          <w:lang w:val="en-IN"/>
          <w14:ligatures w14:val="standardContextual"/>
        </w:rPr>
        <w:t xml:space="preserve">g) and showed gradual increase in inhibition with increased concentrations. Enrofloxacin and Neomycin revealed its highest potency (39 mm), while Oxytetracycline, Streptomycin, Gentamycin, and Vancomycin demonstrated consistent, dose-dependent antimicrobial action against the </w:t>
      </w:r>
    </w:p>
    <w:p w14:paraId="76EBAF17" w14:textId="77777777" w:rsidR="00AF76EF" w:rsidRDefault="00AF76EF" w:rsidP="00D80ABA">
      <w:pPr>
        <w:bidi w:val="0"/>
        <w:spacing w:line="480" w:lineRule="auto"/>
        <w:jc w:val="both"/>
        <w:rPr>
          <w:rFonts w:ascii="Times New Roman" w:eastAsia="Calibri" w:hAnsi="Times New Roman" w:cs="Times New Roman"/>
          <w:kern w:val="2"/>
          <w:sz w:val="24"/>
          <w:szCs w:val="24"/>
          <w:lang w:val="en-IN"/>
          <w14:ligatures w14:val="standardContextual"/>
        </w:rPr>
        <w:sectPr w:rsidR="00AF76EF" w:rsidSect="00DA5D9C">
          <w:type w:val="continuous"/>
          <w:pgSz w:w="11906" w:h="16838"/>
          <w:pgMar w:top="1440" w:right="1440" w:bottom="1440" w:left="1440" w:header="708" w:footer="708" w:gutter="0"/>
          <w:cols w:space="708"/>
          <w:docGrid w:linePitch="360"/>
        </w:sectPr>
      </w:pPr>
    </w:p>
    <w:tbl>
      <w:tblPr>
        <w:tblStyle w:val="18"/>
        <w:tblW w:w="1452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3"/>
      </w:tblGrid>
      <w:tr w:rsidR="00AF76EF" w:rsidRPr="00FB099E" w14:paraId="76995251" w14:textId="77777777" w:rsidTr="00136273">
        <w:trPr>
          <w:trHeight w:val="762"/>
        </w:trPr>
        <w:tc>
          <w:tcPr>
            <w:tcW w:w="14523" w:type="dxa"/>
          </w:tcPr>
          <w:p w14:paraId="499F1299" w14:textId="77777777" w:rsidR="00AF76EF" w:rsidRPr="00FB099E" w:rsidRDefault="00AF76EF" w:rsidP="00136273">
            <w:pPr>
              <w:bidi w:val="0"/>
              <w:spacing w:line="276" w:lineRule="auto"/>
              <w:rPr>
                <w:rFonts w:ascii="Times New Roman" w:hAnsi="Times New Roman" w:cs="Times New Roman"/>
                <w:b/>
                <w:bCs/>
                <w:i/>
                <w:iCs/>
                <w:sz w:val="24"/>
                <w:szCs w:val="24"/>
              </w:rPr>
            </w:pPr>
            <w:r w:rsidRPr="00FB099E">
              <w:rPr>
                <w:rFonts w:ascii="Times New Roman" w:hAnsi="Times New Roman" w:cs="Times New Roman"/>
                <w:b/>
                <w:bCs/>
                <w:i/>
                <w:iCs/>
                <w:sz w:val="24"/>
                <w:szCs w:val="24"/>
              </w:rPr>
              <w:lastRenderedPageBreak/>
              <w:t xml:space="preserve">Table 1. Nonlinear regression parameters obtained from the four-parameter logistic (4PL) model fitted to the Concentration–Response data of Selected Growth promoting Antibiotics against Escherichia coli spp. isolated from broiler chicken gut </w:t>
            </w:r>
          </w:p>
        </w:tc>
      </w:tr>
    </w:tbl>
    <w:tbl>
      <w:tblPr>
        <w:tblStyle w:val="18"/>
        <w:tblpPr w:leftFromText="180" w:rightFromText="180" w:vertAnchor="text" w:horzAnchor="margin" w:tblpY="162"/>
        <w:tblW w:w="14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745"/>
        <w:gridCol w:w="1747"/>
        <w:gridCol w:w="1752"/>
        <w:gridCol w:w="1753"/>
        <w:gridCol w:w="1753"/>
        <w:gridCol w:w="1750"/>
        <w:gridCol w:w="1752"/>
      </w:tblGrid>
      <w:tr w:rsidR="00AF76EF" w:rsidRPr="00FB099E" w14:paraId="26A0A223" w14:textId="77777777" w:rsidTr="00136273">
        <w:trPr>
          <w:trHeight w:val="20"/>
        </w:trPr>
        <w:tc>
          <w:tcPr>
            <w:tcW w:w="1913" w:type="dxa"/>
            <w:tcBorders>
              <w:top w:val="single" w:sz="4" w:space="0" w:color="auto"/>
              <w:bottom w:val="single" w:sz="4" w:space="0" w:color="auto"/>
            </w:tcBorders>
            <w:shd w:val="clear" w:color="auto" w:fill="D9D9D9"/>
          </w:tcPr>
          <w:p w14:paraId="72F7EC5A" w14:textId="77777777" w:rsidR="00AF76EF" w:rsidRPr="00FB099E" w:rsidRDefault="00AF76EF" w:rsidP="00136273">
            <w:pPr>
              <w:bidi w:val="0"/>
              <w:spacing w:line="276" w:lineRule="auto"/>
              <w:jc w:val="center"/>
              <w:rPr>
                <w:rFonts w:ascii="Times New Roman" w:hAnsi="Times New Roman" w:cs="Times New Roman"/>
                <w:b/>
                <w:bCs/>
                <w:sz w:val="24"/>
                <w:szCs w:val="24"/>
              </w:rPr>
            </w:pPr>
          </w:p>
        </w:tc>
        <w:tc>
          <w:tcPr>
            <w:tcW w:w="1745" w:type="dxa"/>
            <w:tcBorders>
              <w:top w:val="single" w:sz="4" w:space="0" w:color="auto"/>
              <w:left w:val="nil"/>
              <w:bottom w:val="single" w:sz="4" w:space="0" w:color="auto"/>
            </w:tcBorders>
            <w:shd w:val="clear" w:color="auto" w:fill="D9D9D9"/>
          </w:tcPr>
          <w:p w14:paraId="2C332D83" w14:textId="77777777" w:rsidR="00AF76EF" w:rsidRPr="00FB099E" w:rsidRDefault="00AF76EF" w:rsidP="00136273">
            <w:pPr>
              <w:bidi w:val="0"/>
              <w:spacing w:line="276" w:lineRule="auto"/>
              <w:jc w:val="center"/>
              <w:rPr>
                <w:rFonts w:ascii="Times New Roman" w:hAnsi="Times New Roman" w:cs="Times New Roman"/>
                <w:b/>
                <w:bCs/>
                <w:sz w:val="24"/>
                <w:szCs w:val="24"/>
              </w:rPr>
            </w:pPr>
          </w:p>
        </w:tc>
        <w:tc>
          <w:tcPr>
            <w:tcW w:w="1747" w:type="dxa"/>
            <w:tcBorders>
              <w:top w:val="single" w:sz="4" w:space="0" w:color="auto"/>
              <w:bottom w:val="single" w:sz="4" w:space="0" w:color="auto"/>
            </w:tcBorders>
            <w:shd w:val="clear" w:color="auto" w:fill="D9D9D9"/>
          </w:tcPr>
          <w:p w14:paraId="4265B4F6" w14:textId="77777777" w:rsidR="00AF76EF" w:rsidRPr="00FB099E" w:rsidRDefault="00AF76EF" w:rsidP="00136273">
            <w:pPr>
              <w:bidi w:val="0"/>
              <w:spacing w:line="276" w:lineRule="auto"/>
              <w:jc w:val="center"/>
              <w:rPr>
                <w:rFonts w:ascii="Times New Roman" w:hAnsi="Times New Roman" w:cs="Times New Roman"/>
                <w:b/>
                <w:bCs/>
                <w:sz w:val="24"/>
                <w:szCs w:val="24"/>
              </w:rPr>
            </w:pPr>
          </w:p>
        </w:tc>
        <w:tc>
          <w:tcPr>
            <w:tcW w:w="3505" w:type="dxa"/>
            <w:gridSpan w:val="2"/>
            <w:tcBorders>
              <w:top w:val="single" w:sz="4" w:space="0" w:color="auto"/>
              <w:bottom w:val="single" w:sz="4" w:space="0" w:color="auto"/>
            </w:tcBorders>
            <w:shd w:val="clear" w:color="auto" w:fill="D9D9D9"/>
          </w:tcPr>
          <w:p w14:paraId="52DC07F3"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 xml:space="preserve">Escherichia coli spp. </w:t>
            </w:r>
          </w:p>
        </w:tc>
        <w:tc>
          <w:tcPr>
            <w:tcW w:w="1753" w:type="dxa"/>
            <w:tcBorders>
              <w:top w:val="single" w:sz="4" w:space="0" w:color="auto"/>
              <w:bottom w:val="single" w:sz="4" w:space="0" w:color="auto"/>
            </w:tcBorders>
            <w:shd w:val="clear" w:color="auto" w:fill="D9D9D9"/>
          </w:tcPr>
          <w:p w14:paraId="5E29D329" w14:textId="77777777" w:rsidR="00AF76EF" w:rsidRPr="00FB099E" w:rsidRDefault="00AF76EF" w:rsidP="00136273">
            <w:pPr>
              <w:bidi w:val="0"/>
              <w:spacing w:line="276" w:lineRule="auto"/>
              <w:jc w:val="center"/>
              <w:rPr>
                <w:rFonts w:ascii="Times New Roman" w:hAnsi="Times New Roman" w:cs="Times New Roman"/>
                <w:b/>
                <w:bCs/>
                <w:sz w:val="24"/>
                <w:szCs w:val="24"/>
              </w:rPr>
            </w:pPr>
          </w:p>
        </w:tc>
        <w:tc>
          <w:tcPr>
            <w:tcW w:w="1750" w:type="dxa"/>
            <w:tcBorders>
              <w:top w:val="single" w:sz="4" w:space="0" w:color="auto"/>
              <w:bottom w:val="single" w:sz="4" w:space="0" w:color="auto"/>
            </w:tcBorders>
            <w:shd w:val="clear" w:color="auto" w:fill="D9D9D9"/>
          </w:tcPr>
          <w:p w14:paraId="0596BC97" w14:textId="77777777" w:rsidR="00AF76EF" w:rsidRPr="00FB099E" w:rsidRDefault="00AF76EF" w:rsidP="00136273">
            <w:pPr>
              <w:bidi w:val="0"/>
              <w:spacing w:line="276" w:lineRule="auto"/>
              <w:jc w:val="center"/>
              <w:rPr>
                <w:rFonts w:ascii="Times New Roman" w:hAnsi="Times New Roman" w:cs="Times New Roman"/>
                <w:b/>
                <w:bCs/>
                <w:sz w:val="24"/>
                <w:szCs w:val="24"/>
              </w:rPr>
            </w:pPr>
          </w:p>
        </w:tc>
        <w:tc>
          <w:tcPr>
            <w:tcW w:w="1752" w:type="dxa"/>
            <w:tcBorders>
              <w:top w:val="single" w:sz="4" w:space="0" w:color="auto"/>
              <w:bottom w:val="single" w:sz="4" w:space="0" w:color="auto"/>
            </w:tcBorders>
            <w:shd w:val="clear" w:color="auto" w:fill="D9D9D9"/>
          </w:tcPr>
          <w:p w14:paraId="02CDA787" w14:textId="77777777" w:rsidR="00AF76EF" w:rsidRPr="00FB099E" w:rsidRDefault="00AF76EF" w:rsidP="00136273">
            <w:pPr>
              <w:bidi w:val="0"/>
              <w:spacing w:line="276" w:lineRule="auto"/>
              <w:jc w:val="center"/>
              <w:rPr>
                <w:rFonts w:ascii="Times New Roman" w:hAnsi="Times New Roman" w:cs="Times New Roman"/>
                <w:b/>
                <w:bCs/>
                <w:i/>
                <w:iCs/>
                <w:sz w:val="24"/>
                <w:szCs w:val="24"/>
              </w:rPr>
            </w:pPr>
          </w:p>
        </w:tc>
      </w:tr>
      <w:tr w:rsidR="00AF76EF" w:rsidRPr="00FB099E" w14:paraId="5D118D0A" w14:textId="77777777" w:rsidTr="00136273">
        <w:trPr>
          <w:trHeight w:val="20"/>
        </w:trPr>
        <w:tc>
          <w:tcPr>
            <w:tcW w:w="1913" w:type="dxa"/>
            <w:tcBorders>
              <w:top w:val="single" w:sz="4" w:space="0" w:color="auto"/>
              <w:bottom w:val="single" w:sz="4" w:space="0" w:color="auto"/>
            </w:tcBorders>
            <w:shd w:val="clear" w:color="auto" w:fill="D9D9D9"/>
          </w:tcPr>
          <w:p w14:paraId="7B78E61D"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GPAs</w:t>
            </w:r>
          </w:p>
        </w:tc>
        <w:tc>
          <w:tcPr>
            <w:tcW w:w="1745" w:type="dxa"/>
            <w:tcBorders>
              <w:top w:val="single" w:sz="4" w:space="0" w:color="auto"/>
              <w:left w:val="nil"/>
              <w:bottom w:val="single" w:sz="4" w:space="0" w:color="auto"/>
            </w:tcBorders>
            <w:shd w:val="clear" w:color="auto" w:fill="D9D9D9"/>
          </w:tcPr>
          <w:p w14:paraId="6820EFBA"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MIC A1(%)</w:t>
            </w:r>
          </w:p>
        </w:tc>
        <w:tc>
          <w:tcPr>
            <w:tcW w:w="1747" w:type="dxa"/>
            <w:tcBorders>
              <w:top w:val="single" w:sz="4" w:space="0" w:color="auto"/>
              <w:bottom w:val="single" w:sz="4" w:space="0" w:color="auto"/>
            </w:tcBorders>
            <w:shd w:val="clear" w:color="auto" w:fill="D9D9D9"/>
          </w:tcPr>
          <w:p w14:paraId="5299A2E3"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MIC A2(%)</w:t>
            </w:r>
          </w:p>
        </w:tc>
        <w:tc>
          <w:tcPr>
            <w:tcW w:w="1752" w:type="dxa"/>
            <w:tcBorders>
              <w:top w:val="single" w:sz="4" w:space="0" w:color="auto"/>
              <w:bottom w:val="single" w:sz="4" w:space="0" w:color="auto"/>
            </w:tcBorders>
            <w:shd w:val="clear" w:color="auto" w:fill="D9D9D9"/>
          </w:tcPr>
          <w:p w14:paraId="6B0AC304"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Hill slope (p)</w:t>
            </w:r>
          </w:p>
        </w:tc>
        <w:tc>
          <w:tcPr>
            <w:tcW w:w="1752" w:type="dxa"/>
            <w:tcBorders>
              <w:top w:val="single" w:sz="4" w:space="0" w:color="auto"/>
              <w:bottom w:val="single" w:sz="4" w:space="0" w:color="auto"/>
            </w:tcBorders>
            <w:shd w:val="clear" w:color="auto" w:fill="D9D9D9"/>
          </w:tcPr>
          <w:p w14:paraId="16E86784"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EC50 ± SE</w:t>
            </w:r>
          </w:p>
        </w:tc>
        <w:tc>
          <w:tcPr>
            <w:tcW w:w="1753" w:type="dxa"/>
            <w:tcBorders>
              <w:top w:val="single" w:sz="4" w:space="0" w:color="auto"/>
              <w:bottom w:val="single" w:sz="4" w:space="0" w:color="auto"/>
            </w:tcBorders>
            <w:shd w:val="clear" w:color="auto" w:fill="D9D9D9"/>
          </w:tcPr>
          <w:p w14:paraId="6CD7FE8E"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EC90 ± SE</w:t>
            </w:r>
          </w:p>
        </w:tc>
        <w:tc>
          <w:tcPr>
            <w:tcW w:w="1750" w:type="dxa"/>
            <w:tcBorders>
              <w:top w:val="single" w:sz="4" w:space="0" w:color="auto"/>
              <w:bottom w:val="single" w:sz="4" w:space="0" w:color="auto"/>
            </w:tcBorders>
            <w:shd w:val="clear" w:color="auto" w:fill="D9D9D9"/>
          </w:tcPr>
          <w:p w14:paraId="354D71FE"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R</w:t>
            </w:r>
            <w:r w:rsidRPr="00FB099E">
              <w:rPr>
                <w:rFonts w:ascii="Times New Roman" w:hAnsi="Times New Roman" w:cs="Times New Roman"/>
                <w:b/>
                <w:bCs/>
                <w:sz w:val="24"/>
                <w:szCs w:val="24"/>
                <w:vertAlign w:val="superscript"/>
              </w:rPr>
              <w:t>2</w:t>
            </w:r>
          </w:p>
        </w:tc>
        <w:tc>
          <w:tcPr>
            <w:tcW w:w="1752" w:type="dxa"/>
            <w:tcBorders>
              <w:top w:val="single" w:sz="4" w:space="0" w:color="auto"/>
              <w:bottom w:val="single" w:sz="4" w:space="0" w:color="auto"/>
            </w:tcBorders>
            <w:shd w:val="clear" w:color="auto" w:fill="D9D9D9"/>
          </w:tcPr>
          <w:p w14:paraId="771AE008"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p&lt;0.01</w:t>
            </w:r>
          </w:p>
        </w:tc>
      </w:tr>
      <w:tr w:rsidR="00AF76EF" w:rsidRPr="00FB099E" w14:paraId="4A6DE26F" w14:textId="77777777" w:rsidTr="00136273">
        <w:trPr>
          <w:trHeight w:val="20"/>
        </w:trPr>
        <w:tc>
          <w:tcPr>
            <w:tcW w:w="1913" w:type="dxa"/>
            <w:tcBorders>
              <w:top w:val="single" w:sz="4" w:space="0" w:color="auto"/>
              <w:bottom w:val="single" w:sz="4" w:space="0" w:color="auto"/>
            </w:tcBorders>
          </w:tcPr>
          <w:p w14:paraId="055C9579"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Oxytetracycline</w:t>
            </w:r>
          </w:p>
        </w:tc>
        <w:tc>
          <w:tcPr>
            <w:tcW w:w="1745" w:type="dxa"/>
            <w:tcBorders>
              <w:top w:val="single" w:sz="4" w:space="0" w:color="auto"/>
              <w:left w:val="nil"/>
              <w:bottom w:val="single" w:sz="4" w:space="0" w:color="auto"/>
            </w:tcBorders>
            <w:vAlign w:val="center"/>
          </w:tcPr>
          <w:p w14:paraId="4BDEF875"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28.53</w:t>
            </w:r>
          </w:p>
        </w:tc>
        <w:tc>
          <w:tcPr>
            <w:tcW w:w="1747" w:type="dxa"/>
            <w:tcBorders>
              <w:top w:val="single" w:sz="4" w:space="0" w:color="auto"/>
              <w:bottom w:val="single" w:sz="4" w:space="0" w:color="auto"/>
            </w:tcBorders>
            <w:vAlign w:val="center"/>
          </w:tcPr>
          <w:p w14:paraId="43EE6E81"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82.88</w:t>
            </w:r>
          </w:p>
        </w:tc>
        <w:tc>
          <w:tcPr>
            <w:tcW w:w="1752" w:type="dxa"/>
            <w:tcBorders>
              <w:top w:val="single" w:sz="4" w:space="0" w:color="auto"/>
              <w:bottom w:val="single" w:sz="4" w:space="0" w:color="auto"/>
            </w:tcBorders>
            <w:vAlign w:val="center"/>
          </w:tcPr>
          <w:p w14:paraId="2D122813"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0.0014</w:t>
            </w:r>
          </w:p>
        </w:tc>
        <w:tc>
          <w:tcPr>
            <w:tcW w:w="1752" w:type="dxa"/>
            <w:tcBorders>
              <w:top w:val="single" w:sz="4" w:space="0" w:color="auto"/>
              <w:bottom w:val="single" w:sz="4" w:space="0" w:color="auto"/>
            </w:tcBorders>
            <w:vAlign w:val="center"/>
          </w:tcPr>
          <w:p w14:paraId="2C98393F"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0.046±0.00</w:t>
            </w:r>
          </w:p>
        </w:tc>
        <w:tc>
          <w:tcPr>
            <w:tcW w:w="1753" w:type="dxa"/>
            <w:tcBorders>
              <w:top w:val="single" w:sz="4" w:space="0" w:color="auto"/>
              <w:bottom w:val="single" w:sz="4" w:space="0" w:color="auto"/>
            </w:tcBorders>
            <w:vAlign w:val="center"/>
          </w:tcPr>
          <w:p w14:paraId="66D8DF48"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0.096±0.01</w:t>
            </w:r>
          </w:p>
        </w:tc>
        <w:tc>
          <w:tcPr>
            <w:tcW w:w="1750" w:type="dxa"/>
            <w:tcBorders>
              <w:top w:val="single" w:sz="4" w:space="0" w:color="auto"/>
              <w:bottom w:val="single" w:sz="4" w:space="0" w:color="auto"/>
            </w:tcBorders>
            <w:vAlign w:val="center"/>
          </w:tcPr>
          <w:p w14:paraId="28FAAC3E"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33AE8D42"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75EEBFC5" w14:textId="77777777" w:rsidTr="00136273">
        <w:trPr>
          <w:trHeight w:val="20"/>
        </w:trPr>
        <w:tc>
          <w:tcPr>
            <w:tcW w:w="1913" w:type="dxa"/>
            <w:tcBorders>
              <w:top w:val="single" w:sz="4" w:space="0" w:color="auto"/>
              <w:bottom w:val="single" w:sz="4" w:space="0" w:color="auto"/>
            </w:tcBorders>
          </w:tcPr>
          <w:p w14:paraId="7494A4C5"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Tetracycline</w:t>
            </w:r>
          </w:p>
        </w:tc>
        <w:tc>
          <w:tcPr>
            <w:tcW w:w="1745" w:type="dxa"/>
            <w:tcBorders>
              <w:top w:val="single" w:sz="4" w:space="0" w:color="auto"/>
              <w:left w:val="nil"/>
              <w:bottom w:val="single" w:sz="4" w:space="0" w:color="auto"/>
            </w:tcBorders>
            <w:vAlign w:val="center"/>
          </w:tcPr>
          <w:p w14:paraId="058221B7"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32.63</w:t>
            </w:r>
          </w:p>
        </w:tc>
        <w:tc>
          <w:tcPr>
            <w:tcW w:w="1747" w:type="dxa"/>
            <w:tcBorders>
              <w:top w:val="single" w:sz="4" w:space="0" w:color="auto"/>
              <w:bottom w:val="single" w:sz="4" w:space="0" w:color="auto"/>
            </w:tcBorders>
            <w:vAlign w:val="center"/>
          </w:tcPr>
          <w:p w14:paraId="6C541E9A"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89.72</w:t>
            </w:r>
          </w:p>
        </w:tc>
        <w:tc>
          <w:tcPr>
            <w:tcW w:w="1752" w:type="dxa"/>
            <w:tcBorders>
              <w:top w:val="single" w:sz="4" w:space="0" w:color="auto"/>
              <w:bottom w:val="single" w:sz="4" w:space="0" w:color="auto"/>
            </w:tcBorders>
            <w:vAlign w:val="center"/>
          </w:tcPr>
          <w:p w14:paraId="7226F1D4"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0.01495</w:t>
            </w:r>
          </w:p>
        </w:tc>
        <w:tc>
          <w:tcPr>
            <w:tcW w:w="1752" w:type="dxa"/>
            <w:tcBorders>
              <w:top w:val="single" w:sz="4" w:space="0" w:color="auto"/>
              <w:bottom w:val="single" w:sz="4" w:space="0" w:color="auto"/>
            </w:tcBorders>
            <w:vAlign w:val="center"/>
          </w:tcPr>
          <w:p w14:paraId="5B1843D5"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2.967±0.28</w:t>
            </w:r>
          </w:p>
        </w:tc>
        <w:tc>
          <w:tcPr>
            <w:tcW w:w="1753" w:type="dxa"/>
            <w:tcBorders>
              <w:top w:val="single" w:sz="4" w:space="0" w:color="auto"/>
              <w:bottom w:val="single" w:sz="4" w:space="0" w:color="auto"/>
            </w:tcBorders>
            <w:vAlign w:val="center"/>
          </w:tcPr>
          <w:p w14:paraId="4CEF18EC"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7.085±1.46</w:t>
            </w:r>
          </w:p>
        </w:tc>
        <w:tc>
          <w:tcPr>
            <w:tcW w:w="1750" w:type="dxa"/>
            <w:tcBorders>
              <w:top w:val="single" w:sz="4" w:space="0" w:color="auto"/>
              <w:bottom w:val="single" w:sz="4" w:space="0" w:color="auto"/>
            </w:tcBorders>
            <w:vAlign w:val="center"/>
          </w:tcPr>
          <w:p w14:paraId="0B9BE7B6"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0.93</w:t>
            </w:r>
          </w:p>
        </w:tc>
        <w:tc>
          <w:tcPr>
            <w:tcW w:w="1752" w:type="dxa"/>
            <w:tcBorders>
              <w:top w:val="single" w:sz="4" w:space="0" w:color="auto"/>
              <w:bottom w:val="single" w:sz="4" w:space="0" w:color="auto"/>
            </w:tcBorders>
          </w:tcPr>
          <w:p w14:paraId="7714D9A6"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498188F8" w14:textId="77777777" w:rsidTr="00136273">
        <w:trPr>
          <w:trHeight w:val="20"/>
        </w:trPr>
        <w:tc>
          <w:tcPr>
            <w:tcW w:w="1913" w:type="dxa"/>
            <w:tcBorders>
              <w:top w:val="single" w:sz="4" w:space="0" w:color="auto"/>
              <w:bottom w:val="single" w:sz="4" w:space="0" w:color="auto"/>
            </w:tcBorders>
          </w:tcPr>
          <w:p w14:paraId="633FDC2E"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Vancomycin</w:t>
            </w:r>
          </w:p>
        </w:tc>
        <w:tc>
          <w:tcPr>
            <w:tcW w:w="1745" w:type="dxa"/>
            <w:tcBorders>
              <w:top w:val="single" w:sz="4" w:space="0" w:color="auto"/>
              <w:left w:val="nil"/>
              <w:bottom w:val="single" w:sz="4" w:space="0" w:color="auto"/>
            </w:tcBorders>
            <w:vAlign w:val="center"/>
          </w:tcPr>
          <w:p w14:paraId="23EEB50B"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41.2</w:t>
            </w:r>
          </w:p>
        </w:tc>
        <w:tc>
          <w:tcPr>
            <w:tcW w:w="1747" w:type="dxa"/>
            <w:tcBorders>
              <w:top w:val="single" w:sz="4" w:space="0" w:color="auto"/>
              <w:bottom w:val="single" w:sz="4" w:space="0" w:color="auto"/>
            </w:tcBorders>
            <w:vAlign w:val="center"/>
          </w:tcPr>
          <w:p w14:paraId="17A422CB"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93.7</w:t>
            </w:r>
          </w:p>
        </w:tc>
        <w:tc>
          <w:tcPr>
            <w:tcW w:w="1752" w:type="dxa"/>
            <w:tcBorders>
              <w:top w:val="single" w:sz="4" w:space="0" w:color="auto"/>
              <w:bottom w:val="single" w:sz="4" w:space="0" w:color="auto"/>
            </w:tcBorders>
            <w:vAlign w:val="center"/>
          </w:tcPr>
          <w:p w14:paraId="0ED77747"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0.00849</w:t>
            </w:r>
          </w:p>
        </w:tc>
        <w:tc>
          <w:tcPr>
            <w:tcW w:w="1752" w:type="dxa"/>
            <w:tcBorders>
              <w:top w:val="single" w:sz="4" w:space="0" w:color="auto"/>
              <w:bottom w:val="single" w:sz="4" w:space="0" w:color="auto"/>
            </w:tcBorders>
            <w:vAlign w:val="center"/>
          </w:tcPr>
          <w:p w14:paraId="7B0794BD"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2.953±0.17</w:t>
            </w:r>
          </w:p>
        </w:tc>
        <w:tc>
          <w:tcPr>
            <w:tcW w:w="1753" w:type="dxa"/>
            <w:tcBorders>
              <w:top w:val="single" w:sz="4" w:space="0" w:color="auto"/>
              <w:bottom w:val="single" w:sz="4" w:space="0" w:color="auto"/>
            </w:tcBorders>
            <w:vAlign w:val="center"/>
          </w:tcPr>
          <w:p w14:paraId="6CE20E78"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5.110±0.58</w:t>
            </w:r>
          </w:p>
        </w:tc>
        <w:tc>
          <w:tcPr>
            <w:tcW w:w="1750" w:type="dxa"/>
            <w:tcBorders>
              <w:top w:val="single" w:sz="4" w:space="0" w:color="auto"/>
              <w:bottom w:val="single" w:sz="4" w:space="0" w:color="auto"/>
            </w:tcBorders>
            <w:vAlign w:val="center"/>
          </w:tcPr>
          <w:p w14:paraId="3751FC84"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0.97</w:t>
            </w:r>
          </w:p>
        </w:tc>
        <w:tc>
          <w:tcPr>
            <w:tcW w:w="1752" w:type="dxa"/>
            <w:tcBorders>
              <w:top w:val="single" w:sz="4" w:space="0" w:color="auto"/>
              <w:bottom w:val="single" w:sz="4" w:space="0" w:color="auto"/>
            </w:tcBorders>
          </w:tcPr>
          <w:p w14:paraId="5F513595"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27996F42" w14:textId="77777777" w:rsidTr="00136273">
        <w:trPr>
          <w:trHeight w:val="20"/>
        </w:trPr>
        <w:tc>
          <w:tcPr>
            <w:tcW w:w="1913" w:type="dxa"/>
            <w:tcBorders>
              <w:top w:val="single" w:sz="4" w:space="0" w:color="auto"/>
              <w:bottom w:val="single" w:sz="4" w:space="0" w:color="auto"/>
            </w:tcBorders>
          </w:tcPr>
          <w:p w14:paraId="097064E5"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Streptomycin</w:t>
            </w:r>
          </w:p>
        </w:tc>
        <w:tc>
          <w:tcPr>
            <w:tcW w:w="1745" w:type="dxa"/>
            <w:tcBorders>
              <w:top w:val="single" w:sz="4" w:space="0" w:color="auto"/>
              <w:left w:val="nil"/>
              <w:bottom w:val="single" w:sz="4" w:space="0" w:color="auto"/>
            </w:tcBorders>
            <w:vAlign w:val="center"/>
          </w:tcPr>
          <w:p w14:paraId="37DB4DA7"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37.95</w:t>
            </w:r>
          </w:p>
        </w:tc>
        <w:tc>
          <w:tcPr>
            <w:tcW w:w="1747" w:type="dxa"/>
            <w:tcBorders>
              <w:top w:val="single" w:sz="4" w:space="0" w:color="auto"/>
              <w:bottom w:val="single" w:sz="4" w:space="0" w:color="auto"/>
            </w:tcBorders>
            <w:vAlign w:val="center"/>
          </w:tcPr>
          <w:p w14:paraId="733EDCCD"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4DA99C35"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0.01985</w:t>
            </w:r>
          </w:p>
        </w:tc>
        <w:tc>
          <w:tcPr>
            <w:tcW w:w="1752" w:type="dxa"/>
            <w:tcBorders>
              <w:top w:val="single" w:sz="4" w:space="0" w:color="auto"/>
              <w:bottom w:val="single" w:sz="4" w:space="0" w:color="auto"/>
            </w:tcBorders>
            <w:vAlign w:val="center"/>
          </w:tcPr>
          <w:p w14:paraId="7EDA8148"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0.053±0.00</w:t>
            </w:r>
          </w:p>
        </w:tc>
        <w:tc>
          <w:tcPr>
            <w:tcW w:w="1753" w:type="dxa"/>
            <w:tcBorders>
              <w:top w:val="single" w:sz="4" w:space="0" w:color="auto"/>
              <w:bottom w:val="single" w:sz="4" w:space="0" w:color="auto"/>
            </w:tcBorders>
            <w:vAlign w:val="center"/>
          </w:tcPr>
          <w:p w14:paraId="1F9E93CE"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0.099±0.01</w:t>
            </w:r>
          </w:p>
        </w:tc>
        <w:tc>
          <w:tcPr>
            <w:tcW w:w="1750" w:type="dxa"/>
            <w:tcBorders>
              <w:top w:val="single" w:sz="4" w:space="0" w:color="auto"/>
              <w:bottom w:val="single" w:sz="4" w:space="0" w:color="auto"/>
            </w:tcBorders>
            <w:vAlign w:val="center"/>
          </w:tcPr>
          <w:p w14:paraId="21990800"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0.97</w:t>
            </w:r>
          </w:p>
        </w:tc>
        <w:tc>
          <w:tcPr>
            <w:tcW w:w="1752" w:type="dxa"/>
            <w:tcBorders>
              <w:top w:val="single" w:sz="4" w:space="0" w:color="auto"/>
              <w:bottom w:val="single" w:sz="4" w:space="0" w:color="auto"/>
            </w:tcBorders>
          </w:tcPr>
          <w:p w14:paraId="06D4AA64"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7E16D929" w14:textId="77777777" w:rsidTr="00136273">
        <w:trPr>
          <w:trHeight w:val="20"/>
        </w:trPr>
        <w:tc>
          <w:tcPr>
            <w:tcW w:w="1913" w:type="dxa"/>
            <w:tcBorders>
              <w:top w:val="single" w:sz="4" w:space="0" w:color="auto"/>
              <w:bottom w:val="single" w:sz="4" w:space="0" w:color="auto"/>
            </w:tcBorders>
          </w:tcPr>
          <w:p w14:paraId="444E01E8"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Enrofloxacin</w:t>
            </w:r>
          </w:p>
        </w:tc>
        <w:tc>
          <w:tcPr>
            <w:tcW w:w="1745" w:type="dxa"/>
            <w:tcBorders>
              <w:top w:val="single" w:sz="4" w:space="0" w:color="auto"/>
              <w:left w:val="nil"/>
              <w:bottom w:val="single" w:sz="4" w:space="0" w:color="auto"/>
            </w:tcBorders>
            <w:vAlign w:val="center"/>
          </w:tcPr>
          <w:p w14:paraId="7FABED54"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50.71</w:t>
            </w:r>
          </w:p>
        </w:tc>
        <w:tc>
          <w:tcPr>
            <w:tcW w:w="1747" w:type="dxa"/>
            <w:tcBorders>
              <w:top w:val="single" w:sz="4" w:space="0" w:color="auto"/>
              <w:bottom w:val="single" w:sz="4" w:space="0" w:color="auto"/>
            </w:tcBorders>
            <w:vAlign w:val="center"/>
          </w:tcPr>
          <w:p w14:paraId="01BCBDBC"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40C77F7B"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8.69E-05</w:t>
            </w:r>
          </w:p>
        </w:tc>
        <w:tc>
          <w:tcPr>
            <w:tcW w:w="1752" w:type="dxa"/>
            <w:tcBorders>
              <w:top w:val="single" w:sz="4" w:space="0" w:color="auto"/>
              <w:bottom w:val="single" w:sz="4" w:space="0" w:color="auto"/>
            </w:tcBorders>
            <w:vAlign w:val="center"/>
          </w:tcPr>
          <w:p w14:paraId="407275A4"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0.038±0.00</w:t>
            </w:r>
          </w:p>
        </w:tc>
        <w:tc>
          <w:tcPr>
            <w:tcW w:w="1753" w:type="dxa"/>
            <w:tcBorders>
              <w:top w:val="single" w:sz="4" w:space="0" w:color="auto"/>
              <w:bottom w:val="single" w:sz="4" w:space="0" w:color="auto"/>
            </w:tcBorders>
            <w:vAlign w:val="center"/>
          </w:tcPr>
          <w:p w14:paraId="0217EAE6"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0.105±0.00</w:t>
            </w:r>
          </w:p>
        </w:tc>
        <w:tc>
          <w:tcPr>
            <w:tcW w:w="1750" w:type="dxa"/>
            <w:tcBorders>
              <w:top w:val="single" w:sz="4" w:space="0" w:color="auto"/>
              <w:bottom w:val="single" w:sz="4" w:space="0" w:color="auto"/>
            </w:tcBorders>
            <w:vAlign w:val="center"/>
          </w:tcPr>
          <w:p w14:paraId="6A9B369E"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5F8B4D06"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736DF8FD" w14:textId="77777777" w:rsidTr="00136273">
        <w:trPr>
          <w:trHeight w:val="20"/>
        </w:trPr>
        <w:tc>
          <w:tcPr>
            <w:tcW w:w="1913" w:type="dxa"/>
            <w:tcBorders>
              <w:top w:val="single" w:sz="4" w:space="0" w:color="auto"/>
              <w:bottom w:val="single" w:sz="4" w:space="0" w:color="auto"/>
            </w:tcBorders>
          </w:tcPr>
          <w:p w14:paraId="4D95EF02" w14:textId="77777777" w:rsidR="00AF76EF" w:rsidRPr="00FB099E" w:rsidRDefault="00AF76EF" w:rsidP="00136273">
            <w:pPr>
              <w:bidi w:val="0"/>
              <w:jc w:val="center"/>
              <w:rPr>
                <w:rFonts w:ascii="Times New Roman" w:hAnsi="Times New Roman" w:cs="Times New Roman"/>
                <w:b/>
                <w:bCs/>
                <w:i/>
                <w:iCs/>
                <w:sz w:val="24"/>
                <w:szCs w:val="24"/>
              </w:rPr>
            </w:pPr>
            <w:proofErr w:type="spellStart"/>
            <w:r w:rsidRPr="00FB099E">
              <w:rPr>
                <w:rFonts w:ascii="Times New Roman" w:hAnsi="Times New Roman" w:cs="Times New Roman"/>
                <w:b/>
                <w:bCs/>
                <w:i/>
                <w:iCs/>
                <w:sz w:val="24"/>
                <w:szCs w:val="24"/>
              </w:rPr>
              <w:t>Tylosin</w:t>
            </w:r>
            <w:proofErr w:type="spellEnd"/>
          </w:p>
        </w:tc>
        <w:tc>
          <w:tcPr>
            <w:tcW w:w="1745" w:type="dxa"/>
            <w:tcBorders>
              <w:top w:val="single" w:sz="4" w:space="0" w:color="auto"/>
              <w:left w:val="nil"/>
              <w:bottom w:val="single" w:sz="4" w:space="0" w:color="auto"/>
            </w:tcBorders>
            <w:vAlign w:val="center"/>
          </w:tcPr>
          <w:p w14:paraId="0BFEF5F9"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47.21</w:t>
            </w:r>
          </w:p>
        </w:tc>
        <w:tc>
          <w:tcPr>
            <w:tcW w:w="1747" w:type="dxa"/>
            <w:tcBorders>
              <w:top w:val="single" w:sz="4" w:space="0" w:color="auto"/>
              <w:bottom w:val="single" w:sz="4" w:space="0" w:color="auto"/>
            </w:tcBorders>
            <w:vAlign w:val="center"/>
          </w:tcPr>
          <w:p w14:paraId="4F2F078E"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96.29</w:t>
            </w:r>
          </w:p>
        </w:tc>
        <w:tc>
          <w:tcPr>
            <w:tcW w:w="1752" w:type="dxa"/>
            <w:tcBorders>
              <w:top w:val="single" w:sz="4" w:space="0" w:color="auto"/>
              <w:bottom w:val="single" w:sz="4" w:space="0" w:color="auto"/>
            </w:tcBorders>
            <w:vAlign w:val="center"/>
          </w:tcPr>
          <w:p w14:paraId="5A41B1F8"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0.00869</w:t>
            </w:r>
          </w:p>
        </w:tc>
        <w:tc>
          <w:tcPr>
            <w:tcW w:w="1752" w:type="dxa"/>
            <w:tcBorders>
              <w:top w:val="single" w:sz="4" w:space="0" w:color="auto"/>
              <w:bottom w:val="single" w:sz="4" w:space="0" w:color="auto"/>
            </w:tcBorders>
            <w:vAlign w:val="center"/>
          </w:tcPr>
          <w:p w14:paraId="255559B4"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10.790±0.42</w:t>
            </w:r>
          </w:p>
        </w:tc>
        <w:tc>
          <w:tcPr>
            <w:tcW w:w="1753" w:type="dxa"/>
            <w:tcBorders>
              <w:top w:val="single" w:sz="4" w:space="0" w:color="auto"/>
              <w:bottom w:val="single" w:sz="4" w:space="0" w:color="auto"/>
            </w:tcBorders>
            <w:vAlign w:val="center"/>
          </w:tcPr>
          <w:p w14:paraId="565F035D"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15.850±1.32</w:t>
            </w:r>
          </w:p>
        </w:tc>
        <w:tc>
          <w:tcPr>
            <w:tcW w:w="1750" w:type="dxa"/>
            <w:tcBorders>
              <w:top w:val="single" w:sz="4" w:space="0" w:color="auto"/>
              <w:bottom w:val="single" w:sz="4" w:space="0" w:color="auto"/>
            </w:tcBorders>
            <w:vAlign w:val="center"/>
          </w:tcPr>
          <w:p w14:paraId="1610F0BD"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0.96</w:t>
            </w:r>
          </w:p>
        </w:tc>
        <w:tc>
          <w:tcPr>
            <w:tcW w:w="1752" w:type="dxa"/>
            <w:tcBorders>
              <w:top w:val="single" w:sz="4" w:space="0" w:color="auto"/>
              <w:bottom w:val="single" w:sz="4" w:space="0" w:color="auto"/>
            </w:tcBorders>
          </w:tcPr>
          <w:p w14:paraId="22F02FFE"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1AF1EE1E" w14:textId="77777777" w:rsidTr="00136273">
        <w:trPr>
          <w:trHeight w:val="20"/>
        </w:trPr>
        <w:tc>
          <w:tcPr>
            <w:tcW w:w="1913" w:type="dxa"/>
            <w:tcBorders>
              <w:top w:val="single" w:sz="4" w:space="0" w:color="auto"/>
              <w:bottom w:val="single" w:sz="4" w:space="0" w:color="auto"/>
            </w:tcBorders>
          </w:tcPr>
          <w:p w14:paraId="5CF5FA52"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Neomycin</w:t>
            </w:r>
          </w:p>
        </w:tc>
        <w:tc>
          <w:tcPr>
            <w:tcW w:w="1745" w:type="dxa"/>
            <w:tcBorders>
              <w:top w:val="single" w:sz="4" w:space="0" w:color="auto"/>
              <w:left w:val="nil"/>
              <w:bottom w:val="single" w:sz="4" w:space="0" w:color="auto"/>
            </w:tcBorders>
            <w:vAlign w:val="center"/>
          </w:tcPr>
          <w:p w14:paraId="6390F1BB"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28.31</w:t>
            </w:r>
          </w:p>
        </w:tc>
        <w:tc>
          <w:tcPr>
            <w:tcW w:w="1747" w:type="dxa"/>
            <w:tcBorders>
              <w:top w:val="single" w:sz="4" w:space="0" w:color="auto"/>
              <w:bottom w:val="single" w:sz="4" w:space="0" w:color="auto"/>
            </w:tcBorders>
            <w:vAlign w:val="center"/>
          </w:tcPr>
          <w:p w14:paraId="4A9679E2"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09CEC2F9"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0.00327</w:t>
            </w:r>
          </w:p>
        </w:tc>
        <w:tc>
          <w:tcPr>
            <w:tcW w:w="1752" w:type="dxa"/>
            <w:tcBorders>
              <w:top w:val="single" w:sz="4" w:space="0" w:color="auto"/>
              <w:bottom w:val="single" w:sz="4" w:space="0" w:color="auto"/>
            </w:tcBorders>
            <w:vAlign w:val="center"/>
          </w:tcPr>
          <w:p w14:paraId="5C1A8533"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0.626±0.02</w:t>
            </w:r>
          </w:p>
        </w:tc>
        <w:tc>
          <w:tcPr>
            <w:tcW w:w="1753" w:type="dxa"/>
            <w:tcBorders>
              <w:top w:val="single" w:sz="4" w:space="0" w:color="auto"/>
              <w:bottom w:val="single" w:sz="4" w:space="0" w:color="auto"/>
            </w:tcBorders>
            <w:vAlign w:val="center"/>
          </w:tcPr>
          <w:p w14:paraId="0074DEF5"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1.029±0.09</w:t>
            </w:r>
          </w:p>
        </w:tc>
        <w:tc>
          <w:tcPr>
            <w:tcW w:w="1750" w:type="dxa"/>
            <w:tcBorders>
              <w:top w:val="single" w:sz="4" w:space="0" w:color="auto"/>
              <w:bottom w:val="single" w:sz="4" w:space="0" w:color="auto"/>
            </w:tcBorders>
            <w:vAlign w:val="center"/>
          </w:tcPr>
          <w:p w14:paraId="1E99FFEC"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0.98</w:t>
            </w:r>
          </w:p>
        </w:tc>
        <w:tc>
          <w:tcPr>
            <w:tcW w:w="1752" w:type="dxa"/>
            <w:tcBorders>
              <w:top w:val="single" w:sz="4" w:space="0" w:color="auto"/>
              <w:bottom w:val="single" w:sz="4" w:space="0" w:color="auto"/>
            </w:tcBorders>
          </w:tcPr>
          <w:p w14:paraId="14FBCCF1"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0F91C548" w14:textId="77777777" w:rsidTr="00136273">
        <w:trPr>
          <w:trHeight w:val="20"/>
        </w:trPr>
        <w:tc>
          <w:tcPr>
            <w:tcW w:w="1913" w:type="dxa"/>
            <w:tcBorders>
              <w:top w:val="single" w:sz="4" w:space="0" w:color="auto"/>
              <w:bottom w:val="single" w:sz="4" w:space="0" w:color="auto"/>
            </w:tcBorders>
          </w:tcPr>
          <w:p w14:paraId="4E48A557" w14:textId="77777777" w:rsidR="00AF76EF" w:rsidRPr="00FB099E" w:rsidRDefault="00AF76EF" w:rsidP="00136273">
            <w:pPr>
              <w:bidi w:val="0"/>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Gentamycin</w:t>
            </w:r>
          </w:p>
        </w:tc>
        <w:tc>
          <w:tcPr>
            <w:tcW w:w="1745" w:type="dxa"/>
            <w:tcBorders>
              <w:top w:val="single" w:sz="4" w:space="0" w:color="auto"/>
              <w:left w:val="nil"/>
              <w:bottom w:val="single" w:sz="4" w:space="0" w:color="auto"/>
            </w:tcBorders>
            <w:vAlign w:val="center"/>
          </w:tcPr>
          <w:p w14:paraId="53FBD1C9"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35.53</w:t>
            </w:r>
          </w:p>
        </w:tc>
        <w:tc>
          <w:tcPr>
            <w:tcW w:w="1747" w:type="dxa"/>
            <w:tcBorders>
              <w:top w:val="single" w:sz="4" w:space="0" w:color="auto"/>
              <w:bottom w:val="single" w:sz="4" w:space="0" w:color="auto"/>
            </w:tcBorders>
            <w:vAlign w:val="center"/>
          </w:tcPr>
          <w:p w14:paraId="7EABDFA3"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100</w:t>
            </w:r>
          </w:p>
        </w:tc>
        <w:tc>
          <w:tcPr>
            <w:tcW w:w="1752" w:type="dxa"/>
            <w:tcBorders>
              <w:top w:val="single" w:sz="4" w:space="0" w:color="auto"/>
              <w:bottom w:val="single" w:sz="4" w:space="0" w:color="auto"/>
            </w:tcBorders>
            <w:vAlign w:val="center"/>
          </w:tcPr>
          <w:p w14:paraId="22AF6554"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7.65E-04</w:t>
            </w:r>
          </w:p>
        </w:tc>
        <w:tc>
          <w:tcPr>
            <w:tcW w:w="1752" w:type="dxa"/>
            <w:tcBorders>
              <w:top w:val="single" w:sz="4" w:space="0" w:color="auto"/>
              <w:bottom w:val="single" w:sz="4" w:space="0" w:color="auto"/>
            </w:tcBorders>
            <w:vAlign w:val="center"/>
          </w:tcPr>
          <w:p w14:paraId="3DCF1DC2"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color w:val="000000"/>
                <w:sz w:val="24"/>
                <w:szCs w:val="24"/>
              </w:rPr>
              <w:t>0.063±0.00</w:t>
            </w:r>
          </w:p>
        </w:tc>
        <w:tc>
          <w:tcPr>
            <w:tcW w:w="1753" w:type="dxa"/>
            <w:tcBorders>
              <w:top w:val="single" w:sz="4" w:space="0" w:color="auto"/>
              <w:bottom w:val="single" w:sz="4" w:space="0" w:color="auto"/>
            </w:tcBorders>
            <w:vAlign w:val="center"/>
          </w:tcPr>
          <w:p w14:paraId="4DB577F0"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0.098±0.00</w:t>
            </w:r>
          </w:p>
        </w:tc>
        <w:tc>
          <w:tcPr>
            <w:tcW w:w="1750" w:type="dxa"/>
            <w:tcBorders>
              <w:top w:val="single" w:sz="4" w:space="0" w:color="auto"/>
              <w:bottom w:val="single" w:sz="4" w:space="0" w:color="auto"/>
            </w:tcBorders>
            <w:vAlign w:val="center"/>
          </w:tcPr>
          <w:p w14:paraId="45C71192" w14:textId="77777777" w:rsidR="00AF76EF" w:rsidRPr="00FB099E" w:rsidRDefault="00AF76EF" w:rsidP="00136273">
            <w:pPr>
              <w:bidi w:val="0"/>
              <w:jc w:val="center"/>
              <w:rPr>
                <w:rFonts w:ascii="Times New Roman" w:hAnsi="Times New Roman" w:cs="Times New Roman"/>
                <w:sz w:val="24"/>
                <w:szCs w:val="24"/>
              </w:rPr>
            </w:pPr>
            <w:r w:rsidRPr="00FB099E">
              <w:rPr>
                <w:rFonts w:ascii="Times New Roman" w:hAnsi="Times New Roman" w:cs="Times New Roman"/>
                <w:color w:val="000000"/>
                <w:sz w:val="24"/>
                <w:szCs w:val="24"/>
              </w:rPr>
              <w:t>0.99</w:t>
            </w:r>
          </w:p>
        </w:tc>
        <w:tc>
          <w:tcPr>
            <w:tcW w:w="1752" w:type="dxa"/>
            <w:tcBorders>
              <w:top w:val="single" w:sz="4" w:space="0" w:color="auto"/>
              <w:bottom w:val="single" w:sz="4" w:space="0" w:color="auto"/>
            </w:tcBorders>
          </w:tcPr>
          <w:p w14:paraId="00F9F0A6" w14:textId="77777777" w:rsidR="00AF76EF" w:rsidRPr="00FB099E" w:rsidRDefault="00AF76EF" w:rsidP="00136273">
            <w:pPr>
              <w:bidi w:val="0"/>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bl>
    <w:p w14:paraId="664A1EBE" w14:textId="77777777" w:rsidR="00AF76EF" w:rsidRPr="00FB099E" w:rsidRDefault="00AF76EF" w:rsidP="00AF76EF">
      <w:pPr>
        <w:bidi w:val="0"/>
        <w:rPr>
          <w:rFonts w:ascii="Times New Roman" w:eastAsia="Calibri" w:hAnsi="Times New Roman" w:cs="Times New Roman"/>
          <w:i/>
          <w:iCs/>
          <w:kern w:val="2"/>
          <w:lang w:val="en-IN"/>
          <w14:ligatures w14:val="standardContextual"/>
        </w:rPr>
      </w:pPr>
      <w:r w:rsidRPr="00FB099E">
        <w:rPr>
          <w:rFonts w:ascii="Times New Roman" w:eastAsia="Calibri" w:hAnsi="Times New Roman" w:cs="Times New Roman"/>
          <w:i/>
          <w:iCs/>
          <w:kern w:val="2"/>
          <w:lang w:val="en-IN"/>
          <w14:ligatures w14:val="standardContextual"/>
        </w:rPr>
        <w:t xml:space="preserve">Note:EC50 values expressed in </w:t>
      </w:r>
      <w:proofErr w:type="spellStart"/>
      <w:r w:rsidRPr="00FB099E">
        <w:rPr>
          <w:rFonts w:ascii="Times New Roman" w:eastAsia="Calibri" w:hAnsi="Times New Roman" w:cs="Times New Roman"/>
          <w:i/>
          <w:iCs/>
          <w:kern w:val="2"/>
          <w:lang w:val="en-IN"/>
          <w14:ligatures w14:val="standardContextual"/>
        </w:rPr>
        <w:t>μg</w:t>
      </w:r>
      <w:proofErr w:type="spellEnd"/>
      <w:r w:rsidRPr="00FB099E">
        <w:rPr>
          <w:rFonts w:ascii="Times New Roman" w:eastAsia="Calibri" w:hAnsi="Times New Roman" w:cs="Times New Roman"/>
          <w:i/>
          <w:iCs/>
          <w:kern w:val="2"/>
          <w:lang w:val="en-IN"/>
          <w14:ligatures w14:val="standardContextual"/>
        </w:rPr>
        <w:t>/</w:t>
      </w:r>
      <w:proofErr w:type="spellStart"/>
      <w:r w:rsidRPr="00FB099E">
        <w:rPr>
          <w:rFonts w:ascii="Times New Roman" w:eastAsia="Calibri" w:hAnsi="Times New Roman" w:cs="Times New Roman"/>
          <w:i/>
          <w:iCs/>
          <w:kern w:val="2"/>
          <w:lang w:val="en-IN"/>
          <w14:ligatures w14:val="standardContextual"/>
        </w:rPr>
        <w:t>μl</w:t>
      </w:r>
      <w:proofErr w:type="spellEnd"/>
      <w:r w:rsidRPr="00FB099E">
        <w:rPr>
          <w:rFonts w:ascii="Times New Roman" w:eastAsia="Calibri" w:hAnsi="Times New Roman" w:cs="Times New Roman"/>
          <w:i/>
          <w:iCs/>
          <w:kern w:val="2"/>
          <w:lang w:val="en-IN"/>
          <w14:ligatures w14:val="standardContextual"/>
        </w:rPr>
        <w:t>, R</w:t>
      </w:r>
      <w:r w:rsidRPr="00FB099E">
        <w:rPr>
          <w:rFonts w:ascii="Times New Roman" w:eastAsia="Calibri" w:hAnsi="Times New Roman" w:cs="Times New Roman"/>
          <w:i/>
          <w:iCs/>
          <w:kern w:val="2"/>
          <w:vertAlign w:val="superscript"/>
          <w:lang w:val="en-IN"/>
          <w14:ligatures w14:val="standardContextual"/>
        </w:rPr>
        <w:t>2</w:t>
      </w:r>
      <w:r w:rsidRPr="00FB099E">
        <w:rPr>
          <w:rFonts w:ascii="Times New Roman" w:eastAsia="Calibri" w:hAnsi="Times New Roman" w:cs="Times New Roman"/>
          <w:i/>
          <w:iCs/>
          <w:kern w:val="2"/>
          <w:lang w:val="en-IN"/>
          <w14:ligatures w14:val="standardContextual"/>
        </w:rPr>
        <w:t>=1 means perfect fit, *</w:t>
      </w:r>
      <w:r w:rsidRPr="00FB099E">
        <w:rPr>
          <w:rFonts w:ascii="Times New Roman" w:eastAsia="Calibri" w:hAnsi="Times New Roman" w:cs="Times New Roman"/>
          <w:b/>
          <w:bCs/>
          <w:i/>
          <w:iCs/>
          <w:kern w:val="2"/>
          <w:lang w:val="en-IN"/>
          <w14:ligatures w14:val="standardContextual"/>
        </w:rPr>
        <w:t xml:space="preserve"> </w:t>
      </w:r>
      <w:r w:rsidRPr="00FB099E">
        <w:rPr>
          <w:rFonts w:ascii="Times New Roman" w:eastAsia="Calibri" w:hAnsi="Times New Roman" w:cs="Times New Roman"/>
          <w:i/>
          <w:iCs/>
          <w:kern w:val="2"/>
          <w:lang w:val="en-IN"/>
          <w14:ligatures w14:val="standardContextual"/>
        </w:rPr>
        <w:t>Statistically significant</w:t>
      </w:r>
    </w:p>
    <w:tbl>
      <w:tblPr>
        <w:tblStyle w:val="18"/>
        <w:tblpPr w:leftFromText="180" w:rightFromText="180" w:vertAnchor="text" w:horzAnchor="margin" w:tblpX="-90" w:tblpY="162"/>
        <w:tblW w:w="1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2"/>
      </w:tblGrid>
      <w:tr w:rsidR="00AF76EF" w:rsidRPr="00FB099E" w14:paraId="0681CEC0" w14:textId="77777777" w:rsidTr="00136273">
        <w:trPr>
          <w:trHeight w:val="426"/>
        </w:trPr>
        <w:tc>
          <w:tcPr>
            <w:tcW w:w="14422" w:type="dxa"/>
          </w:tcPr>
          <w:p w14:paraId="448A3E38" w14:textId="77777777" w:rsidR="00AF76EF" w:rsidRPr="00FB099E" w:rsidRDefault="00AF76EF" w:rsidP="00136273">
            <w:pPr>
              <w:bidi w:val="0"/>
              <w:rPr>
                <w:rFonts w:ascii="Times New Roman" w:hAnsi="Times New Roman" w:cs="Times New Roman"/>
                <w:b/>
                <w:bCs/>
                <w:sz w:val="24"/>
                <w:szCs w:val="24"/>
              </w:rPr>
            </w:pPr>
            <w:r w:rsidRPr="00FB099E">
              <w:rPr>
                <w:rFonts w:ascii="Times New Roman" w:hAnsi="Times New Roman" w:cs="Times New Roman"/>
                <w:b/>
                <w:bCs/>
                <w:i/>
                <w:iCs/>
                <w:sz w:val="24"/>
                <w:szCs w:val="24"/>
              </w:rPr>
              <w:t>Table 2. Nonlinear regression parameters obtained from the four-parameter logistic (4PL) model fitted to the Concentration–Response data of Selected Growth promoting Antibiotics against Lactobacillus spp. isolated from broiler chicken gut</w:t>
            </w:r>
          </w:p>
        </w:tc>
      </w:tr>
    </w:tbl>
    <w:tbl>
      <w:tblPr>
        <w:tblStyle w:val="18"/>
        <w:tblpPr w:leftFromText="180" w:rightFromText="180" w:vertAnchor="text" w:horzAnchor="margin" w:tblpY="991"/>
        <w:tblW w:w="14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740"/>
        <w:gridCol w:w="1742"/>
        <w:gridCol w:w="1748"/>
        <w:gridCol w:w="1748"/>
        <w:gridCol w:w="1749"/>
        <w:gridCol w:w="1745"/>
        <w:gridCol w:w="1748"/>
      </w:tblGrid>
      <w:tr w:rsidR="00AF76EF" w:rsidRPr="00FB099E" w14:paraId="6442046B" w14:textId="77777777" w:rsidTr="00136273">
        <w:trPr>
          <w:trHeight w:val="20"/>
        </w:trPr>
        <w:tc>
          <w:tcPr>
            <w:tcW w:w="1908" w:type="dxa"/>
            <w:tcBorders>
              <w:top w:val="single" w:sz="4" w:space="0" w:color="auto"/>
              <w:bottom w:val="single" w:sz="4" w:space="0" w:color="auto"/>
            </w:tcBorders>
            <w:shd w:val="clear" w:color="auto" w:fill="D9D9D9"/>
          </w:tcPr>
          <w:p w14:paraId="3CE55E83" w14:textId="77777777" w:rsidR="00AF76EF" w:rsidRPr="00FB099E" w:rsidRDefault="00AF76EF" w:rsidP="00136273">
            <w:pPr>
              <w:bidi w:val="0"/>
              <w:spacing w:line="276" w:lineRule="auto"/>
              <w:jc w:val="center"/>
              <w:rPr>
                <w:rFonts w:ascii="Times New Roman" w:hAnsi="Times New Roman" w:cs="Times New Roman"/>
                <w:b/>
                <w:bCs/>
                <w:i/>
                <w:iCs/>
                <w:sz w:val="24"/>
                <w:szCs w:val="24"/>
              </w:rPr>
            </w:pPr>
          </w:p>
        </w:tc>
        <w:tc>
          <w:tcPr>
            <w:tcW w:w="1740" w:type="dxa"/>
            <w:tcBorders>
              <w:top w:val="single" w:sz="4" w:space="0" w:color="auto"/>
              <w:left w:val="nil"/>
              <w:bottom w:val="single" w:sz="4" w:space="0" w:color="auto"/>
            </w:tcBorders>
            <w:shd w:val="clear" w:color="auto" w:fill="D9D9D9"/>
            <w:vAlign w:val="center"/>
          </w:tcPr>
          <w:p w14:paraId="46679B5C"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p>
        </w:tc>
        <w:tc>
          <w:tcPr>
            <w:tcW w:w="1742" w:type="dxa"/>
            <w:tcBorders>
              <w:top w:val="single" w:sz="4" w:space="0" w:color="auto"/>
              <w:bottom w:val="single" w:sz="4" w:space="0" w:color="auto"/>
            </w:tcBorders>
            <w:shd w:val="clear" w:color="auto" w:fill="D9D9D9"/>
            <w:vAlign w:val="center"/>
          </w:tcPr>
          <w:p w14:paraId="0FBFF51D"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p>
        </w:tc>
        <w:tc>
          <w:tcPr>
            <w:tcW w:w="5245" w:type="dxa"/>
            <w:gridSpan w:val="3"/>
            <w:tcBorders>
              <w:top w:val="single" w:sz="4" w:space="0" w:color="auto"/>
              <w:bottom w:val="single" w:sz="4" w:space="0" w:color="auto"/>
            </w:tcBorders>
            <w:shd w:val="clear" w:color="auto" w:fill="D9D9D9"/>
            <w:vAlign w:val="center"/>
          </w:tcPr>
          <w:p w14:paraId="522B0119"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b/>
                <w:bCs/>
                <w:i/>
                <w:iCs/>
                <w:color w:val="000000"/>
                <w:sz w:val="24"/>
                <w:szCs w:val="24"/>
              </w:rPr>
              <w:t>Lactobacillus spp.</w:t>
            </w:r>
          </w:p>
        </w:tc>
        <w:tc>
          <w:tcPr>
            <w:tcW w:w="1745" w:type="dxa"/>
            <w:tcBorders>
              <w:top w:val="single" w:sz="4" w:space="0" w:color="auto"/>
              <w:bottom w:val="single" w:sz="4" w:space="0" w:color="auto"/>
            </w:tcBorders>
            <w:shd w:val="clear" w:color="auto" w:fill="D9D9D9"/>
            <w:vAlign w:val="center"/>
          </w:tcPr>
          <w:p w14:paraId="56D5F253"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p>
        </w:tc>
        <w:tc>
          <w:tcPr>
            <w:tcW w:w="1748" w:type="dxa"/>
            <w:tcBorders>
              <w:top w:val="single" w:sz="4" w:space="0" w:color="auto"/>
              <w:bottom w:val="single" w:sz="4" w:space="0" w:color="auto"/>
            </w:tcBorders>
            <w:shd w:val="clear" w:color="auto" w:fill="D9D9D9"/>
          </w:tcPr>
          <w:p w14:paraId="68BE369D" w14:textId="77777777" w:rsidR="00AF76EF" w:rsidRPr="00FB099E" w:rsidRDefault="00AF76EF" w:rsidP="00136273">
            <w:pPr>
              <w:bidi w:val="0"/>
              <w:spacing w:line="276" w:lineRule="auto"/>
              <w:jc w:val="center"/>
              <w:rPr>
                <w:rFonts w:ascii="Times New Roman" w:hAnsi="Times New Roman" w:cs="Times New Roman"/>
                <w:b/>
                <w:bCs/>
                <w:sz w:val="24"/>
                <w:szCs w:val="24"/>
              </w:rPr>
            </w:pPr>
          </w:p>
        </w:tc>
      </w:tr>
      <w:tr w:rsidR="00AF76EF" w:rsidRPr="00FB099E" w14:paraId="2AD5E34F" w14:textId="77777777" w:rsidTr="00136273">
        <w:trPr>
          <w:trHeight w:val="20"/>
        </w:trPr>
        <w:tc>
          <w:tcPr>
            <w:tcW w:w="1908" w:type="dxa"/>
            <w:tcBorders>
              <w:top w:val="single" w:sz="4" w:space="0" w:color="auto"/>
              <w:bottom w:val="single" w:sz="4" w:space="0" w:color="auto"/>
            </w:tcBorders>
            <w:shd w:val="clear" w:color="auto" w:fill="D9D9D9"/>
          </w:tcPr>
          <w:p w14:paraId="53B05F7A"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sz w:val="24"/>
                <w:szCs w:val="24"/>
              </w:rPr>
              <w:t>GPAs</w:t>
            </w:r>
          </w:p>
        </w:tc>
        <w:tc>
          <w:tcPr>
            <w:tcW w:w="1740" w:type="dxa"/>
            <w:tcBorders>
              <w:top w:val="single" w:sz="4" w:space="0" w:color="auto"/>
              <w:left w:val="nil"/>
              <w:bottom w:val="single" w:sz="4" w:space="0" w:color="auto"/>
            </w:tcBorders>
            <w:shd w:val="clear" w:color="auto" w:fill="D9D9D9"/>
          </w:tcPr>
          <w:p w14:paraId="304BA6A9" w14:textId="77777777" w:rsidR="00AF76EF" w:rsidRPr="00FB099E" w:rsidRDefault="00AF76EF" w:rsidP="00136273">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MIC A1(%)</w:t>
            </w:r>
          </w:p>
        </w:tc>
        <w:tc>
          <w:tcPr>
            <w:tcW w:w="1742" w:type="dxa"/>
            <w:tcBorders>
              <w:top w:val="single" w:sz="4" w:space="0" w:color="auto"/>
              <w:bottom w:val="single" w:sz="4" w:space="0" w:color="auto"/>
            </w:tcBorders>
            <w:shd w:val="clear" w:color="auto" w:fill="D9D9D9"/>
          </w:tcPr>
          <w:p w14:paraId="614564FA" w14:textId="77777777" w:rsidR="00AF76EF" w:rsidRPr="00FB099E" w:rsidRDefault="00AF76EF" w:rsidP="00136273">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MIC A2(%)</w:t>
            </w:r>
          </w:p>
        </w:tc>
        <w:tc>
          <w:tcPr>
            <w:tcW w:w="1748" w:type="dxa"/>
            <w:tcBorders>
              <w:top w:val="single" w:sz="4" w:space="0" w:color="auto"/>
              <w:bottom w:val="single" w:sz="4" w:space="0" w:color="auto"/>
            </w:tcBorders>
            <w:shd w:val="clear" w:color="auto" w:fill="D9D9D9"/>
          </w:tcPr>
          <w:p w14:paraId="3E3FC4E1" w14:textId="77777777" w:rsidR="00AF76EF" w:rsidRPr="00FB099E" w:rsidRDefault="00AF76EF" w:rsidP="00136273">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Hill slope (p)</w:t>
            </w:r>
          </w:p>
        </w:tc>
        <w:tc>
          <w:tcPr>
            <w:tcW w:w="1748" w:type="dxa"/>
            <w:tcBorders>
              <w:top w:val="single" w:sz="4" w:space="0" w:color="auto"/>
              <w:bottom w:val="single" w:sz="4" w:space="0" w:color="auto"/>
            </w:tcBorders>
            <w:shd w:val="clear" w:color="auto" w:fill="D9D9D9"/>
          </w:tcPr>
          <w:p w14:paraId="2F70C175" w14:textId="77777777" w:rsidR="00AF76EF" w:rsidRPr="00FB099E" w:rsidRDefault="00AF76EF" w:rsidP="00136273">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EC50 ± SE</w:t>
            </w:r>
          </w:p>
        </w:tc>
        <w:tc>
          <w:tcPr>
            <w:tcW w:w="1749" w:type="dxa"/>
            <w:tcBorders>
              <w:bottom w:val="single" w:sz="4" w:space="0" w:color="auto"/>
            </w:tcBorders>
            <w:shd w:val="clear" w:color="auto" w:fill="D9D9D9"/>
          </w:tcPr>
          <w:p w14:paraId="13BA778E" w14:textId="77777777" w:rsidR="00AF76EF" w:rsidRPr="00FB099E" w:rsidRDefault="00AF76EF" w:rsidP="00136273">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EC90 ± SE</w:t>
            </w:r>
          </w:p>
        </w:tc>
        <w:tc>
          <w:tcPr>
            <w:tcW w:w="1745" w:type="dxa"/>
            <w:tcBorders>
              <w:top w:val="single" w:sz="4" w:space="0" w:color="auto"/>
              <w:bottom w:val="single" w:sz="4" w:space="0" w:color="auto"/>
            </w:tcBorders>
            <w:shd w:val="clear" w:color="auto" w:fill="D9D9D9"/>
          </w:tcPr>
          <w:p w14:paraId="73893216" w14:textId="77777777" w:rsidR="00AF76EF" w:rsidRPr="00FB099E" w:rsidRDefault="00AF76EF" w:rsidP="00136273">
            <w:pPr>
              <w:bidi w:val="0"/>
              <w:spacing w:line="276" w:lineRule="auto"/>
              <w:jc w:val="center"/>
              <w:rPr>
                <w:rFonts w:ascii="Times New Roman" w:hAnsi="Times New Roman" w:cs="Times New Roman"/>
                <w:b/>
                <w:bCs/>
                <w:color w:val="000000"/>
              </w:rPr>
            </w:pPr>
            <w:r w:rsidRPr="00FB099E">
              <w:rPr>
                <w:rFonts w:ascii="Times New Roman" w:hAnsi="Times New Roman" w:cs="Times New Roman"/>
                <w:b/>
                <w:bCs/>
                <w:sz w:val="24"/>
                <w:szCs w:val="24"/>
              </w:rPr>
              <w:t>R</w:t>
            </w:r>
            <w:r w:rsidRPr="00FB099E">
              <w:rPr>
                <w:rFonts w:ascii="Times New Roman" w:hAnsi="Times New Roman" w:cs="Times New Roman"/>
                <w:b/>
                <w:bCs/>
                <w:sz w:val="24"/>
                <w:szCs w:val="24"/>
                <w:vertAlign w:val="superscript"/>
              </w:rPr>
              <w:t>2</w:t>
            </w:r>
          </w:p>
        </w:tc>
        <w:tc>
          <w:tcPr>
            <w:tcW w:w="1748" w:type="dxa"/>
            <w:tcBorders>
              <w:top w:val="single" w:sz="4" w:space="0" w:color="auto"/>
              <w:bottom w:val="single" w:sz="4" w:space="0" w:color="auto"/>
            </w:tcBorders>
            <w:shd w:val="clear" w:color="auto" w:fill="D9D9D9"/>
          </w:tcPr>
          <w:p w14:paraId="71537C56"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i/>
                <w:iCs/>
                <w:sz w:val="24"/>
                <w:szCs w:val="24"/>
              </w:rPr>
              <w:t>p&lt;0.01</w:t>
            </w:r>
          </w:p>
        </w:tc>
      </w:tr>
      <w:tr w:rsidR="00AF76EF" w:rsidRPr="00FB099E" w14:paraId="3D8C2794" w14:textId="77777777" w:rsidTr="00136273">
        <w:trPr>
          <w:trHeight w:val="20"/>
        </w:trPr>
        <w:tc>
          <w:tcPr>
            <w:tcW w:w="1908" w:type="dxa"/>
            <w:tcBorders>
              <w:top w:val="single" w:sz="4" w:space="0" w:color="auto"/>
              <w:bottom w:val="single" w:sz="4" w:space="0" w:color="auto"/>
            </w:tcBorders>
          </w:tcPr>
          <w:p w14:paraId="6A7E0F1C"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Oxytetracycline</w:t>
            </w:r>
          </w:p>
        </w:tc>
        <w:tc>
          <w:tcPr>
            <w:tcW w:w="1740" w:type="dxa"/>
            <w:tcBorders>
              <w:top w:val="single" w:sz="4" w:space="0" w:color="auto"/>
              <w:left w:val="nil"/>
              <w:bottom w:val="single" w:sz="4" w:space="0" w:color="auto"/>
            </w:tcBorders>
            <w:vAlign w:val="center"/>
          </w:tcPr>
          <w:p w14:paraId="011694F8"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35.2</w:t>
            </w:r>
          </w:p>
        </w:tc>
        <w:tc>
          <w:tcPr>
            <w:tcW w:w="1742" w:type="dxa"/>
            <w:tcBorders>
              <w:top w:val="single" w:sz="4" w:space="0" w:color="auto"/>
              <w:bottom w:val="single" w:sz="4" w:space="0" w:color="auto"/>
            </w:tcBorders>
            <w:vAlign w:val="center"/>
          </w:tcPr>
          <w:p w14:paraId="5A5DA1DE"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86.21</w:t>
            </w:r>
          </w:p>
        </w:tc>
        <w:tc>
          <w:tcPr>
            <w:tcW w:w="1748" w:type="dxa"/>
            <w:tcBorders>
              <w:top w:val="single" w:sz="4" w:space="0" w:color="auto"/>
              <w:bottom w:val="single" w:sz="4" w:space="0" w:color="auto"/>
            </w:tcBorders>
            <w:vAlign w:val="center"/>
          </w:tcPr>
          <w:p w14:paraId="5517AF32"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0.00358</w:t>
            </w:r>
          </w:p>
        </w:tc>
        <w:tc>
          <w:tcPr>
            <w:tcW w:w="1748" w:type="dxa"/>
            <w:tcBorders>
              <w:top w:val="single" w:sz="4" w:space="0" w:color="auto"/>
              <w:bottom w:val="single" w:sz="4" w:space="0" w:color="auto"/>
            </w:tcBorders>
            <w:vAlign w:val="center"/>
          </w:tcPr>
          <w:p w14:paraId="08A8E589"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0.046±0.00</w:t>
            </w:r>
          </w:p>
        </w:tc>
        <w:tc>
          <w:tcPr>
            <w:tcW w:w="1749" w:type="dxa"/>
            <w:tcBorders>
              <w:top w:val="single" w:sz="4" w:space="0" w:color="auto"/>
              <w:bottom w:val="single" w:sz="4" w:space="0" w:color="auto"/>
            </w:tcBorders>
            <w:vAlign w:val="center"/>
          </w:tcPr>
          <w:p w14:paraId="527A807A"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0.159±0.03</w:t>
            </w:r>
          </w:p>
        </w:tc>
        <w:tc>
          <w:tcPr>
            <w:tcW w:w="1745" w:type="dxa"/>
            <w:tcBorders>
              <w:top w:val="single" w:sz="4" w:space="0" w:color="auto"/>
              <w:bottom w:val="single" w:sz="4" w:space="0" w:color="auto"/>
            </w:tcBorders>
            <w:vAlign w:val="center"/>
          </w:tcPr>
          <w:p w14:paraId="409F9BA4"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0.97</w:t>
            </w:r>
          </w:p>
        </w:tc>
        <w:tc>
          <w:tcPr>
            <w:tcW w:w="1748" w:type="dxa"/>
            <w:tcBorders>
              <w:top w:val="single" w:sz="4" w:space="0" w:color="auto"/>
              <w:bottom w:val="single" w:sz="4" w:space="0" w:color="auto"/>
            </w:tcBorders>
          </w:tcPr>
          <w:p w14:paraId="4622BBD1"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49EB0A69" w14:textId="77777777" w:rsidTr="00136273">
        <w:trPr>
          <w:trHeight w:val="20"/>
        </w:trPr>
        <w:tc>
          <w:tcPr>
            <w:tcW w:w="1908" w:type="dxa"/>
            <w:tcBorders>
              <w:top w:val="single" w:sz="4" w:space="0" w:color="auto"/>
              <w:bottom w:val="single" w:sz="4" w:space="0" w:color="auto"/>
            </w:tcBorders>
          </w:tcPr>
          <w:p w14:paraId="44D72CC3"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Tetracycline</w:t>
            </w:r>
          </w:p>
        </w:tc>
        <w:tc>
          <w:tcPr>
            <w:tcW w:w="1740" w:type="dxa"/>
            <w:tcBorders>
              <w:top w:val="single" w:sz="4" w:space="0" w:color="auto"/>
              <w:left w:val="nil"/>
              <w:bottom w:val="single" w:sz="4" w:space="0" w:color="auto"/>
            </w:tcBorders>
            <w:vAlign w:val="center"/>
          </w:tcPr>
          <w:p w14:paraId="0DDD0012"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44.33</w:t>
            </w:r>
          </w:p>
        </w:tc>
        <w:tc>
          <w:tcPr>
            <w:tcW w:w="1742" w:type="dxa"/>
            <w:tcBorders>
              <w:top w:val="single" w:sz="4" w:space="0" w:color="auto"/>
              <w:bottom w:val="single" w:sz="4" w:space="0" w:color="auto"/>
            </w:tcBorders>
            <w:vAlign w:val="center"/>
          </w:tcPr>
          <w:p w14:paraId="72587419"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91.71</w:t>
            </w:r>
          </w:p>
        </w:tc>
        <w:tc>
          <w:tcPr>
            <w:tcW w:w="1748" w:type="dxa"/>
            <w:tcBorders>
              <w:top w:val="single" w:sz="4" w:space="0" w:color="auto"/>
              <w:bottom w:val="single" w:sz="4" w:space="0" w:color="auto"/>
            </w:tcBorders>
            <w:vAlign w:val="center"/>
          </w:tcPr>
          <w:p w14:paraId="466AE0D0"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6.85E-04</w:t>
            </w:r>
          </w:p>
        </w:tc>
        <w:tc>
          <w:tcPr>
            <w:tcW w:w="1748" w:type="dxa"/>
            <w:tcBorders>
              <w:top w:val="single" w:sz="4" w:space="0" w:color="auto"/>
              <w:bottom w:val="single" w:sz="4" w:space="0" w:color="auto"/>
            </w:tcBorders>
            <w:vAlign w:val="center"/>
          </w:tcPr>
          <w:p w14:paraId="0D3F5D9D"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0.469±0.02</w:t>
            </w:r>
          </w:p>
        </w:tc>
        <w:tc>
          <w:tcPr>
            <w:tcW w:w="1749" w:type="dxa"/>
            <w:tcBorders>
              <w:top w:val="single" w:sz="4" w:space="0" w:color="auto"/>
              <w:bottom w:val="single" w:sz="4" w:space="0" w:color="auto"/>
            </w:tcBorders>
            <w:vAlign w:val="center"/>
          </w:tcPr>
          <w:p w14:paraId="52F6FF8A"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1.091±0.09</w:t>
            </w:r>
          </w:p>
        </w:tc>
        <w:tc>
          <w:tcPr>
            <w:tcW w:w="1745" w:type="dxa"/>
            <w:tcBorders>
              <w:top w:val="single" w:sz="4" w:space="0" w:color="auto"/>
              <w:bottom w:val="single" w:sz="4" w:space="0" w:color="auto"/>
            </w:tcBorders>
            <w:vAlign w:val="center"/>
          </w:tcPr>
          <w:p w14:paraId="68B6311D"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30871987"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1A6A806F" w14:textId="77777777" w:rsidTr="00136273">
        <w:trPr>
          <w:trHeight w:val="20"/>
        </w:trPr>
        <w:tc>
          <w:tcPr>
            <w:tcW w:w="1908" w:type="dxa"/>
            <w:tcBorders>
              <w:top w:val="single" w:sz="4" w:space="0" w:color="auto"/>
              <w:bottom w:val="single" w:sz="4" w:space="0" w:color="auto"/>
            </w:tcBorders>
          </w:tcPr>
          <w:p w14:paraId="58FB4B17"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Vancomycin</w:t>
            </w:r>
          </w:p>
        </w:tc>
        <w:tc>
          <w:tcPr>
            <w:tcW w:w="1740" w:type="dxa"/>
            <w:tcBorders>
              <w:top w:val="single" w:sz="4" w:space="0" w:color="auto"/>
              <w:left w:val="nil"/>
              <w:bottom w:val="single" w:sz="4" w:space="0" w:color="auto"/>
            </w:tcBorders>
            <w:vAlign w:val="center"/>
          </w:tcPr>
          <w:p w14:paraId="3B7C8F3E"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42.66</w:t>
            </w:r>
          </w:p>
        </w:tc>
        <w:tc>
          <w:tcPr>
            <w:tcW w:w="1742" w:type="dxa"/>
            <w:tcBorders>
              <w:top w:val="single" w:sz="4" w:space="0" w:color="auto"/>
              <w:bottom w:val="single" w:sz="4" w:space="0" w:color="auto"/>
            </w:tcBorders>
            <w:vAlign w:val="center"/>
          </w:tcPr>
          <w:p w14:paraId="349007DA"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82.25</w:t>
            </w:r>
          </w:p>
        </w:tc>
        <w:tc>
          <w:tcPr>
            <w:tcW w:w="1748" w:type="dxa"/>
            <w:tcBorders>
              <w:top w:val="single" w:sz="4" w:space="0" w:color="auto"/>
              <w:bottom w:val="single" w:sz="4" w:space="0" w:color="auto"/>
            </w:tcBorders>
            <w:vAlign w:val="center"/>
          </w:tcPr>
          <w:p w14:paraId="148A173B"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2.97E-04</w:t>
            </w:r>
          </w:p>
        </w:tc>
        <w:tc>
          <w:tcPr>
            <w:tcW w:w="1748" w:type="dxa"/>
            <w:tcBorders>
              <w:top w:val="single" w:sz="4" w:space="0" w:color="auto"/>
              <w:bottom w:val="single" w:sz="4" w:space="0" w:color="auto"/>
            </w:tcBorders>
            <w:vAlign w:val="center"/>
          </w:tcPr>
          <w:p w14:paraId="10A9EE88"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0.055±0.00</w:t>
            </w:r>
          </w:p>
        </w:tc>
        <w:tc>
          <w:tcPr>
            <w:tcW w:w="1749" w:type="dxa"/>
            <w:tcBorders>
              <w:top w:val="single" w:sz="4" w:space="0" w:color="auto"/>
              <w:bottom w:val="single" w:sz="4" w:space="0" w:color="auto"/>
            </w:tcBorders>
            <w:vAlign w:val="center"/>
          </w:tcPr>
          <w:p w14:paraId="62307E71"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0.149±0.01</w:t>
            </w:r>
          </w:p>
        </w:tc>
        <w:tc>
          <w:tcPr>
            <w:tcW w:w="1745" w:type="dxa"/>
            <w:tcBorders>
              <w:top w:val="single" w:sz="4" w:space="0" w:color="auto"/>
              <w:bottom w:val="single" w:sz="4" w:space="0" w:color="auto"/>
            </w:tcBorders>
            <w:vAlign w:val="center"/>
          </w:tcPr>
          <w:p w14:paraId="796FA73D"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4B6FC878"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6996AB2B" w14:textId="77777777" w:rsidTr="00136273">
        <w:trPr>
          <w:trHeight w:val="20"/>
        </w:trPr>
        <w:tc>
          <w:tcPr>
            <w:tcW w:w="1908" w:type="dxa"/>
            <w:tcBorders>
              <w:top w:val="single" w:sz="4" w:space="0" w:color="auto"/>
              <w:bottom w:val="single" w:sz="4" w:space="0" w:color="auto"/>
            </w:tcBorders>
          </w:tcPr>
          <w:p w14:paraId="02CDD7D4"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Streptomycin</w:t>
            </w:r>
          </w:p>
        </w:tc>
        <w:tc>
          <w:tcPr>
            <w:tcW w:w="1740" w:type="dxa"/>
            <w:tcBorders>
              <w:top w:val="single" w:sz="4" w:space="0" w:color="auto"/>
              <w:left w:val="nil"/>
              <w:bottom w:val="single" w:sz="4" w:space="0" w:color="auto"/>
            </w:tcBorders>
            <w:vAlign w:val="center"/>
          </w:tcPr>
          <w:p w14:paraId="2DDD87A7"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28.53</w:t>
            </w:r>
          </w:p>
        </w:tc>
        <w:tc>
          <w:tcPr>
            <w:tcW w:w="1742" w:type="dxa"/>
            <w:tcBorders>
              <w:top w:val="single" w:sz="4" w:space="0" w:color="auto"/>
              <w:bottom w:val="single" w:sz="4" w:space="0" w:color="auto"/>
            </w:tcBorders>
            <w:vAlign w:val="center"/>
          </w:tcPr>
          <w:p w14:paraId="26A9EEE2"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79.1</w:t>
            </w:r>
          </w:p>
        </w:tc>
        <w:tc>
          <w:tcPr>
            <w:tcW w:w="1748" w:type="dxa"/>
            <w:tcBorders>
              <w:top w:val="single" w:sz="4" w:space="0" w:color="auto"/>
              <w:bottom w:val="single" w:sz="4" w:space="0" w:color="auto"/>
            </w:tcBorders>
            <w:vAlign w:val="center"/>
          </w:tcPr>
          <w:p w14:paraId="603E1D15"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0.00114</w:t>
            </w:r>
          </w:p>
        </w:tc>
        <w:tc>
          <w:tcPr>
            <w:tcW w:w="1748" w:type="dxa"/>
            <w:tcBorders>
              <w:top w:val="single" w:sz="4" w:space="0" w:color="auto"/>
              <w:bottom w:val="single" w:sz="4" w:space="0" w:color="auto"/>
            </w:tcBorders>
            <w:vAlign w:val="center"/>
          </w:tcPr>
          <w:p w14:paraId="49EE8552"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0.043±0.00</w:t>
            </w:r>
          </w:p>
        </w:tc>
        <w:tc>
          <w:tcPr>
            <w:tcW w:w="1749" w:type="dxa"/>
            <w:tcBorders>
              <w:top w:val="single" w:sz="4" w:space="0" w:color="auto"/>
              <w:bottom w:val="single" w:sz="4" w:space="0" w:color="auto"/>
            </w:tcBorders>
            <w:vAlign w:val="center"/>
          </w:tcPr>
          <w:p w14:paraId="5E7D7AB2"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0.122±0.01</w:t>
            </w:r>
          </w:p>
        </w:tc>
        <w:tc>
          <w:tcPr>
            <w:tcW w:w="1745" w:type="dxa"/>
            <w:tcBorders>
              <w:top w:val="single" w:sz="4" w:space="0" w:color="auto"/>
              <w:bottom w:val="single" w:sz="4" w:space="0" w:color="auto"/>
            </w:tcBorders>
            <w:vAlign w:val="center"/>
          </w:tcPr>
          <w:p w14:paraId="0ED8EBB0"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32D67D6E"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6AE83C0D" w14:textId="77777777" w:rsidTr="00136273">
        <w:trPr>
          <w:trHeight w:val="20"/>
        </w:trPr>
        <w:tc>
          <w:tcPr>
            <w:tcW w:w="1908" w:type="dxa"/>
            <w:tcBorders>
              <w:top w:val="single" w:sz="4" w:space="0" w:color="auto"/>
              <w:bottom w:val="single" w:sz="4" w:space="0" w:color="auto"/>
            </w:tcBorders>
          </w:tcPr>
          <w:p w14:paraId="54317207"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Enrofloxacin</w:t>
            </w:r>
          </w:p>
        </w:tc>
        <w:tc>
          <w:tcPr>
            <w:tcW w:w="1740" w:type="dxa"/>
            <w:tcBorders>
              <w:top w:val="single" w:sz="4" w:space="0" w:color="auto"/>
              <w:left w:val="nil"/>
              <w:bottom w:val="single" w:sz="4" w:space="0" w:color="auto"/>
            </w:tcBorders>
            <w:vAlign w:val="center"/>
          </w:tcPr>
          <w:p w14:paraId="07F0557B"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38.4</w:t>
            </w:r>
          </w:p>
        </w:tc>
        <w:tc>
          <w:tcPr>
            <w:tcW w:w="1742" w:type="dxa"/>
            <w:tcBorders>
              <w:top w:val="single" w:sz="4" w:space="0" w:color="auto"/>
              <w:bottom w:val="single" w:sz="4" w:space="0" w:color="auto"/>
            </w:tcBorders>
            <w:vAlign w:val="center"/>
          </w:tcPr>
          <w:p w14:paraId="2A0C087B"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90.45</w:t>
            </w:r>
          </w:p>
        </w:tc>
        <w:tc>
          <w:tcPr>
            <w:tcW w:w="1748" w:type="dxa"/>
            <w:tcBorders>
              <w:top w:val="single" w:sz="4" w:space="0" w:color="auto"/>
              <w:bottom w:val="single" w:sz="4" w:space="0" w:color="auto"/>
            </w:tcBorders>
            <w:vAlign w:val="center"/>
          </w:tcPr>
          <w:p w14:paraId="2AAE2463"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9.09E-04</w:t>
            </w:r>
          </w:p>
        </w:tc>
        <w:tc>
          <w:tcPr>
            <w:tcW w:w="1748" w:type="dxa"/>
            <w:tcBorders>
              <w:top w:val="single" w:sz="4" w:space="0" w:color="auto"/>
              <w:bottom w:val="single" w:sz="4" w:space="0" w:color="auto"/>
            </w:tcBorders>
            <w:vAlign w:val="center"/>
          </w:tcPr>
          <w:p w14:paraId="75B6AB4D"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0.037±0.00</w:t>
            </w:r>
          </w:p>
        </w:tc>
        <w:tc>
          <w:tcPr>
            <w:tcW w:w="1749" w:type="dxa"/>
            <w:tcBorders>
              <w:top w:val="single" w:sz="4" w:space="0" w:color="auto"/>
              <w:bottom w:val="single" w:sz="4" w:space="0" w:color="auto"/>
            </w:tcBorders>
            <w:vAlign w:val="center"/>
          </w:tcPr>
          <w:p w14:paraId="7BD691CB"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0.101±0.01</w:t>
            </w:r>
          </w:p>
        </w:tc>
        <w:tc>
          <w:tcPr>
            <w:tcW w:w="1745" w:type="dxa"/>
            <w:tcBorders>
              <w:top w:val="single" w:sz="4" w:space="0" w:color="auto"/>
              <w:bottom w:val="single" w:sz="4" w:space="0" w:color="auto"/>
            </w:tcBorders>
            <w:vAlign w:val="center"/>
          </w:tcPr>
          <w:p w14:paraId="71A41D71"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400A6C44"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28959594" w14:textId="77777777" w:rsidTr="00136273">
        <w:trPr>
          <w:trHeight w:val="20"/>
        </w:trPr>
        <w:tc>
          <w:tcPr>
            <w:tcW w:w="1908" w:type="dxa"/>
            <w:tcBorders>
              <w:top w:val="single" w:sz="4" w:space="0" w:color="auto"/>
              <w:bottom w:val="single" w:sz="4" w:space="0" w:color="auto"/>
            </w:tcBorders>
          </w:tcPr>
          <w:p w14:paraId="6A54A645" w14:textId="77777777" w:rsidR="00AF76EF" w:rsidRPr="00FB099E" w:rsidRDefault="00AF76EF" w:rsidP="00136273">
            <w:pPr>
              <w:bidi w:val="0"/>
              <w:spacing w:line="276" w:lineRule="auto"/>
              <w:jc w:val="center"/>
              <w:rPr>
                <w:rFonts w:ascii="Times New Roman" w:hAnsi="Times New Roman" w:cs="Times New Roman"/>
                <w:b/>
                <w:bCs/>
                <w:i/>
                <w:iCs/>
                <w:sz w:val="24"/>
                <w:szCs w:val="24"/>
              </w:rPr>
            </w:pPr>
            <w:proofErr w:type="spellStart"/>
            <w:r w:rsidRPr="00FB099E">
              <w:rPr>
                <w:rFonts w:ascii="Times New Roman" w:hAnsi="Times New Roman" w:cs="Times New Roman"/>
                <w:b/>
                <w:bCs/>
                <w:i/>
                <w:iCs/>
                <w:sz w:val="24"/>
                <w:szCs w:val="24"/>
              </w:rPr>
              <w:t>Tylosin</w:t>
            </w:r>
            <w:proofErr w:type="spellEnd"/>
          </w:p>
        </w:tc>
        <w:tc>
          <w:tcPr>
            <w:tcW w:w="1740" w:type="dxa"/>
            <w:tcBorders>
              <w:top w:val="single" w:sz="4" w:space="0" w:color="auto"/>
              <w:left w:val="nil"/>
              <w:bottom w:val="single" w:sz="4" w:space="0" w:color="auto"/>
            </w:tcBorders>
            <w:vAlign w:val="center"/>
          </w:tcPr>
          <w:p w14:paraId="4C7BA678"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30.85</w:t>
            </w:r>
          </w:p>
        </w:tc>
        <w:tc>
          <w:tcPr>
            <w:tcW w:w="1742" w:type="dxa"/>
            <w:tcBorders>
              <w:top w:val="single" w:sz="4" w:space="0" w:color="auto"/>
              <w:bottom w:val="single" w:sz="4" w:space="0" w:color="auto"/>
            </w:tcBorders>
            <w:vAlign w:val="center"/>
          </w:tcPr>
          <w:p w14:paraId="3EAE17AB"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61.24</w:t>
            </w:r>
          </w:p>
        </w:tc>
        <w:tc>
          <w:tcPr>
            <w:tcW w:w="1748" w:type="dxa"/>
            <w:tcBorders>
              <w:top w:val="single" w:sz="4" w:space="0" w:color="auto"/>
              <w:bottom w:val="single" w:sz="4" w:space="0" w:color="auto"/>
            </w:tcBorders>
            <w:vAlign w:val="center"/>
          </w:tcPr>
          <w:p w14:paraId="37CEDF4D"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0.00105</w:t>
            </w:r>
          </w:p>
        </w:tc>
        <w:tc>
          <w:tcPr>
            <w:tcW w:w="1748" w:type="dxa"/>
            <w:tcBorders>
              <w:top w:val="single" w:sz="4" w:space="0" w:color="auto"/>
              <w:bottom w:val="single" w:sz="4" w:space="0" w:color="auto"/>
            </w:tcBorders>
            <w:vAlign w:val="center"/>
          </w:tcPr>
          <w:p w14:paraId="16596132"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6.201±0.17</w:t>
            </w:r>
          </w:p>
        </w:tc>
        <w:tc>
          <w:tcPr>
            <w:tcW w:w="1749" w:type="dxa"/>
            <w:tcBorders>
              <w:top w:val="single" w:sz="4" w:space="0" w:color="auto"/>
              <w:bottom w:val="single" w:sz="4" w:space="0" w:color="auto"/>
            </w:tcBorders>
            <w:vAlign w:val="center"/>
          </w:tcPr>
          <w:p w14:paraId="7DF274EE"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9.134±0.45</w:t>
            </w:r>
          </w:p>
        </w:tc>
        <w:tc>
          <w:tcPr>
            <w:tcW w:w="1745" w:type="dxa"/>
            <w:tcBorders>
              <w:top w:val="single" w:sz="4" w:space="0" w:color="auto"/>
              <w:bottom w:val="single" w:sz="4" w:space="0" w:color="auto"/>
            </w:tcBorders>
            <w:vAlign w:val="center"/>
          </w:tcPr>
          <w:p w14:paraId="597CD063"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0.99</w:t>
            </w:r>
          </w:p>
        </w:tc>
        <w:tc>
          <w:tcPr>
            <w:tcW w:w="1748" w:type="dxa"/>
            <w:tcBorders>
              <w:top w:val="single" w:sz="4" w:space="0" w:color="auto"/>
              <w:bottom w:val="single" w:sz="4" w:space="0" w:color="auto"/>
            </w:tcBorders>
          </w:tcPr>
          <w:p w14:paraId="24533E9B"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7973703A" w14:textId="77777777" w:rsidTr="00136273">
        <w:trPr>
          <w:trHeight w:val="20"/>
        </w:trPr>
        <w:tc>
          <w:tcPr>
            <w:tcW w:w="1908" w:type="dxa"/>
            <w:tcBorders>
              <w:top w:val="single" w:sz="4" w:space="0" w:color="auto"/>
              <w:bottom w:val="single" w:sz="4" w:space="0" w:color="auto"/>
            </w:tcBorders>
          </w:tcPr>
          <w:p w14:paraId="0D981D5E"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Neomycin</w:t>
            </w:r>
          </w:p>
        </w:tc>
        <w:tc>
          <w:tcPr>
            <w:tcW w:w="1740" w:type="dxa"/>
            <w:tcBorders>
              <w:top w:val="single" w:sz="4" w:space="0" w:color="auto"/>
              <w:left w:val="nil"/>
              <w:bottom w:val="single" w:sz="4" w:space="0" w:color="auto"/>
            </w:tcBorders>
            <w:vAlign w:val="center"/>
          </w:tcPr>
          <w:p w14:paraId="1FAB6762"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32.72</w:t>
            </w:r>
          </w:p>
        </w:tc>
        <w:tc>
          <w:tcPr>
            <w:tcW w:w="1742" w:type="dxa"/>
            <w:tcBorders>
              <w:top w:val="single" w:sz="4" w:space="0" w:color="auto"/>
              <w:bottom w:val="single" w:sz="4" w:space="0" w:color="auto"/>
            </w:tcBorders>
            <w:vAlign w:val="center"/>
          </w:tcPr>
          <w:p w14:paraId="0DA9D1FA"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78.79</w:t>
            </w:r>
          </w:p>
        </w:tc>
        <w:tc>
          <w:tcPr>
            <w:tcW w:w="1748" w:type="dxa"/>
            <w:tcBorders>
              <w:top w:val="single" w:sz="4" w:space="0" w:color="auto"/>
              <w:bottom w:val="single" w:sz="4" w:space="0" w:color="auto"/>
            </w:tcBorders>
            <w:vAlign w:val="center"/>
          </w:tcPr>
          <w:p w14:paraId="46E92036"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0.01236</w:t>
            </w:r>
          </w:p>
        </w:tc>
        <w:tc>
          <w:tcPr>
            <w:tcW w:w="1748" w:type="dxa"/>
            <w:tcBorders>
              <w:top w:val="single" w:sz="4" w:space="0" w:color="auto"/>
              <w:bottom w:val="single" w:sz="4" w:space="0" w:color="auto"/>
            </w:tcBorders>
            <w:vAlign w:val="center"/>
          </w:tcPr>
          <w:p w14:paraId="7885A0E3"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0.092±0.00</w:t>
            </w:r>
          </w:p>
        </w:tc>
        <w:tc>
          <w:tcPr>
            <w:tcW w:w="1749" w:type="dxa"/>
            <w:tcBorders>
              <w:top w:val="single" w:sz="4" w:space="0" w:color="auto"/>
              <w:bottom w:val="single" w:sz="4" w:space="0" w:color="auto"/>
            </w:tcBorders>
            <w:vAlign w:val="center"/>
          </w:tcPr>
          <w:p w14:paraId="397A2C89"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0.199±0.44</w:t>
            </w:r>
          </w:p>
        </w:tc>
        <w:tc>
          <w:tcPr>
            <w:tcW w:w="1745" w:type="dxa"/>
            <w:tcBorders>
              <w:top w:val="single" w:sz="4" w:space="0" w:color="auto"/>
              <w:bottom w:val="single" w:sz="4" w:space="0" w:color="auto"/>
            </w:tcBorders>
            <w:vAlign w:val="center"/>
          </w:tcPr>
          <w:p w14:paraId="1F0B5837"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0.97</w:t>
            </w:r>
          </w:p>
        </w:tc>
        <w:tc>
          <w:tcPr>
            <w:tcW w:w="1748" w:type="dxa"/>
            <w:tcBorders>
              <w:top w:val="single" w:sz="4" w:space="0" w:color="auto"/>
              <w:bottom w:val="single" w:sz="4" w:space="0" w:color="auto"/>
            </w:tcBorders>
          </w:tcPr>
          <w:p w14:paraId="114404A9"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r w:rsidR="00AF76EF" w:rsidRPr="00FB099E" w14:paraId="3E5F5021" w14:textId="77777777" w:rsidTr="00136273">
        <w:trPr>
          <w:trHeight w:val="20"/>
        </w:trPr>
        <w:tc>
          <w:tcPr>
            <w:tcW w:w="1908" w:type="dxa"/>
            <w:tcBorders>
              <w:top w:val="single" w:sz="4" w:space="0" w:color="auto"/>
              <w:bottom w:val="single" w:sz="4" w:space="0" w:color="auto"/>
            </w:tcBorders>
          </w:tcPr>
          <w:p w14:paraId="5CA5610C" w14:textId="77777777" w:rsidR="00AF76EF" w:rsidRPr="00FB099E" w:rsidRDefault="00AF76EF" w:rsidP="00136273">
            <w:pPr>
              <w:bidi w:val="0"/>
              <w:spacing w:line="276" w:lineRule="auto"/>
              <w:jc w:val="center"/>
              <w:rPr>
                <w:rFonts w:ascii="Times New Roman" w:hAnsi="Times New Roman" w:cs="Times New Roman"/>
                <w:b/>
                <w:bCs/>
                <w:i/>
                <w:iCs/>
                <w:sz w:val="24"/>
                <w:szCs w:val="24"/>
              </w:rPr>
            </w:pPr>
            <w:r w:rsidRPr="00FB099E">
              <w:rPr>
                <w:rFonts w:ascii="Times New Roman" w:hAnsi="Times New Roman" w:cs="Times New Roman"/>
                <w:b/>
                <w:bCs/>
                <w:i/>
                <w:iCs/>
                <w:sz w:val="24"/>
                <w:szCs w:val="24"/>
              </w:rPr>
              <w:t>Gentamycin</w:t>
            </w:r>
          </w:p>
        </w:tc>
        <w:tc>
          <w:tcPr>
            <w:tcW w:w="1740" w:type="dxa"/>
            <w:tcBorders>
              <w:top w:val="single" w:sz="4" w:space="0" w:color="auto"/>
              <w:left w:val="nil"/>
              <w:bottom w:val="single" w:sz="4" w:space="0" w:color="auto"/>
            </w:tcBorders>
            <w:vAlign w:val="center"/>
          </w:tcPr>
          <w:p w14:paraId="4F88EC7D"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42.58</w:t>
            </w:r>
          </w:p>
        </w:tc>
        <w:tc>
          <w:tcPr>
            <w:tcW w:w="1742" w:type="dxa"/>
            <w:tcBorders>
              <w:top w:val="single" w:sz="4" w:space="0" w:color="auto"/>
              <w:bottom w:val="single" w:sz="4" w:space="0" w:color="auto"/>
            </w:tcBorders>
            <w:vAlign w:val="center"/>
          </w:tcPr>
          <w:p w14:paraId="52E55D29"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88.44</w:t>
            </w:r>
          </w:p>
        </w:tc>
        <w:tc>
          <w:tcPr>
            <w:tcW w:w="1748" w:type="dxa"/>
            <w:tcBorders>
              <w:top w:val="single" w:sz="4" w:space="0" w:color="auto"/>
              <w:bottom w:val="single" w:sz="4" w:space="0" w:color="auto"/>
            </w:tcBorders>
            <w:vAlign w:val="center"/>
          </w:tcPr>
          <w:p w14:paraId="4433E15C"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0.00591</w:t>
            </w:r>
          </w:p>
        </w:tc>
        <w:tc>
          <w:tcPr>
            <w:tcW w:w="1748" w:type="dxa"/>
            <w:tcBorders>
              <w:top w:val="single" w:sz="4" w:space="0" w:color="auto"/>
              <w:bottom w:val="single" w:sz="4" w:space="0" w:color="auto"/>
            </w:tcBorders>
            <w:vAlign w:val="center"/>
          </w:tcPr>
          <w:p w14:paraId="15595CBE" w14:textId="77777777" w:rsidR="00AF76EF" w:rsidRPr="00FB099E" w:rsidRDefault="00AF76EF" w:rsidP="00136273">
            <w:pPr>
              <w:bidi w:val="0"/>
              <w:spacing w:line="276" w:lineRule="auto"/>
              <w:jc w:val="center"/>
              <w:rPr>
                <w:rFonts w:ascii="Times New Roman" w:hAnsi="Times New Roman" w:cs="Times New Roman"/>
                <w:b/>
                <w:bCs/>
                <w:color w:val="000000"/>
                <w:sz w:val="24"/>
                <w:szCs w:val="24"/>
              </w:rPr>
            </w:pPr>
            <w:r w:rsidRPr="00FB099E">
              <w:rPr>
                <w:rFonts w:ascii="Times New Roman" w:hAnsi="Times New Roman" w:cs="Times New Roman"/>
                <w:b/>
                <w:bCs/>
                <w:color w:val="000000"/>
                <w:sz w:val="24"/>
                <w:szCs w:val="24"/>
              </w:rPr>
              <w:t>0.063±0.00</w:t>
            </w:r>
          </w:p>
        </w:tc>
        <w:tc>
          <w:tcPr>
            <w:tcW w:w="1749" w:type="dxa"/>
            <w:tcBorders>
              <w:top w:val="single" w:sz="4" w:space="0" w:color="auto"/>
              <w:bottom w:val="single" w:sz="4" w:space="0" w:color="auto"/>
            </w:tcBorders>
            <w:vAlign w:val="center"/>
          </w:tcPr>
          <w:p w14:paraId="2047A218"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0.101±0.00</w:t>
            </w:r>
          </w:p>
        </w:tc>
        <w:tc>
          <w:tcPr>
            <w:tcW w:w="1745" w:type="dxa"/>
            <w:tcBorders>
              <w:top w:val="single" w:sz="4" w:space="0" w:color="auto"/>
              <w:bottom w:val="single" w:sz="4" w:space="0" w:color="auto"/>
            </w:tcBorders>
            <w:vAlign w:val="center"/>
          </w:tcPr>
          <w:p w14:paraId="7722279D" w14:textId="77777777" w:rsidR="00AF76EF" w:rsidRPr="00FB099E" w:rsidRDefault="00AF76EF" w:rsidP="00136273">
            <w:pPr>
              <w:bidi w:val="0"/>
              <w:spacing w:line="276" w:lineRule="auto"/>
              <w:jc w:val="center"/>
              <w:rPr>
                <w:rFonts w:ascii="Times New Roman" w:hAnsi="Times New Roman" w:cs="Times New Roman"/>
                <w:color w:val="000000"/>
                <w:sz w:val="24"/>
                <w:szCs w:val="24"/>
              </w:rPr>
            </w:pPr>
            <w:r w:rsidRPr="00FB099E">
              <w:rPr>
                <w:rFonts w:ascii="Times New Roman" w:hAnsi="Times New Roman" w:cs="Times New Roman"/>
                <w:color w:val="000000"/>
                <w:sz w:val="24"/>
                <w:szCs w:val="24"/>
              </w:rPr>
              <w:t>0.98</w:t>
            </w:r>
          </w:p>
        </w:tc>
        <w:tc>
          <w:tcPr>
            <w:tcW w:w="1748" w:type="dxa"/>
            <w:tcBorders>
              <w:top w:val="single" w:sz="4" w:space="0" w:color="auto"/>
              <w:bottom w:val="single" w:sz="4" w:space="0" w:color="auto"/>
            </w:tcBorders>
          </w:tcPr>
          <w:p w14:paraId="7456BB60" w14:textId="77777777" w:rsidR="00AF76EF" w:rsidRPr="00FB099E" w:rsidRDefault="00AF76EF" w:rsidP="00136273">
            <w:pPr>
              <w:bidi w:val="0"/>
              <w:spacing w:line="276" w:lineRule="auto"/>
              <w:jc w:val="center"/>
              <w:rPr>
                <w:rFonts w:ascii="Times New Roman" w:hAnsi="Times New Roman" w:cs="Times New Roman"/>
                <w:b/>
                <w:bCs/>
                <w:sz w:val="24"/>
                <w:szCs w:val="24"/>
              </w:rPr>
            </w:pPr>
            <w:r w:rsidRPr="00FB099E">
              <w:rPr>
                <w:rFonts w:ascii="Times New Roman" w:hAnsi="Times New Roman" w:cs="Times New Roman"/>
                <w:b/>
                <w:bCs/>
                <w:sz w:val="24"/>
                <w:szCs w:val="24"/>
              </w:rPr>
              <w:t>*</w:t>
            </w:r>
          </w:p>
        </w:tc>
      </w:tr>
    </w:tbl>
    <w:p w14:paraId="6991DE5F" w14:textId="77777777" w:rsidR="00AF76EF" w:rsidRPr="00FB099E" w:rsidRDefault="00AF76EF" w:rsidP="00AF76EF">
      <w:pPr>
        <w:bidi w:val="0"/>
        <w:rPr>
          <w:rFonts w:ascii="Calibri" w:eastAsia="Calibri" w:hAnsi="Calibri" w:cs="Latha"/>
          <w:kern w:val="2"/>
          <w:lang w:val="en-IN"/>
          <w14:ligatures w14:val="standardContextual"/>
        </w:rPr>
      </w:pPr>
    </w:p>
    <w:p w14:paraId="1C0CE14B" w14:textId="77777777" w:rsidR="00AF76EF" w:rsidRPr="00FB099E" w:rsidRDefault="00AF76EF" w:rsidP="00AF76EF">
      <w:pPr>
        <w:bidi w:val="0"/>
        <w:rPr>
          <w:rFonts w:ascii="Times New Roman" w:eastAsia="Calibri" w:hAnsi="Times New Roman" w:cs="Times New Roman"/>
          <w:i/>
          <w:iCs/>
          <w:kern w:val="2"/>
          <w:lang w:val="en-IN"/>
          <w14:ligatures w14:val="standardContextual"/>
        </w:rPr>
      </w:pPr>
      <w:r w:rsidRPr="00FB099E">
        <w:rPr>
          <w:rFonts w:ascii="Times New Roman" w:eastAsia="Calibri" w:hAnsi="Times New Roman" w:cs="Times New Roman"/>
          <w:i/>
          <w:iCs/>
          <w:kern w:val="2"/>
          <w:lang w:val="en-IN"/>
          <w14:ligatures w14:val="standardContextual"/>
        </w:rPr>
        <w:t xml:space="preserve">Note: EC50 values expressed in </w:t>
      </w:r>
      <w:proofErr w:type="spellStart"/>
      <w:r w:rsidRPr="00FB099E">
        <w:rPr>
          <w:rFonts w:ascii="Times New Roman" w:eastAsia="Calibri" w:hAnsi="Times New Roman" w:cs="Times New Roman"/>
          <w:i/>
          <w:iCs/>
          <w:kern w:val="2"/>
          <w:lang w:val="en-IN"/>
          <w14:ligatures w14:val="standardContextual"/>
        </w:rPr>
        <w:t>μg</w:t>
      </w:r>
      <w:proofErr w:type="spellEnd"/>
      <w:r w:rsidRPr="00FB099E">
        <w:rPr>
          <w:rFonts w:ascii="Times New Roman" w:eastAsia="Calibri" w:hAnsi="Times New Roman" w:cs="Times New Roman"/>
          <w:i/>
          <w:iCs/>
          <w:kern w:val="2"/>
          <w:lang w:val="en-IN"/>
          <w14:ligatures w14:val="standardContextual"/>
        </w:rPr>
        <w:t>/</w:t>
      </w:r>
      <w:proofErr w:type="spellStart"/>
      <w:r w:rsidRPr="00FB099E">
        <w:rPr>
          <w:rFonts w:ascii="Times New Roman" w:eastAsia="Calibri" w:hAnsi="Times New Roman" w:cs="Times New Roman"/>
          <w:i/>
          <w:iCs/>
          <w:kern w:val="2"/>
          <w:lang w:val="en-IN"/>
          <w14:ligatures w14:val="standardContextual"/>
        </w:rPr>
        <w:t>μl</w:t>
      </w:r>
      <w:proofErr w:type="spellEnd"/>
      <w:r w:rsidRPr="00FB099E">
        <w:rPr>
          <w:rFonts w:ascii="Times New Roman" w:eastAsia="Calibri" w:hAnsi="Times New Roman" w:cs="Times New Roman"/>
          <w:i/>
          <w:iCs/>
          <w:kern w:val="2"/>
          <w:lang w:val="en-IN"/>
          <w14:ligatures w14:val="standardContextual"/>
        </w:rPr>
        <w:t>, R</w:t>
      </w:r>
      <w:r w:rsidRPr="00FB099E">
        <w:rPr>
          <w:rFonts w:ascii="Times New Roman" w:eastAsia="Calibri" w:hAnsi="Times New Roman" w:cs="Times New Roman"/>
          <w:i/>
          <w:iCs/>
          <w:kern w:val="2"/>
          <w:vertAlign w:val="superscript"/>
          <w:lang w:val="en-IN"/>
          <w14:ligatures w14:val="standardContextual"/>
        </w:rPr>
        <w:t>2</w:t>
      </w:r>
      <w:r w:rsidRPr="00FB099E">
        <w:rPr>
          <w:rFonts w:ascii="Times New Roman" w:eastAsia="Calibri" w:hAnsi="Times New Roman" w:cs="Times New Roman"/>
          <w:i/>
          <w:iCs/>
          <w:kern w:val="2"/>
          <w:lang w:val="en-IN"/>
          <w14:ligatures w14:val="standardContextual"/>
        </w:rPr>
        <w:t xml:space="preserve">=1 means perfect fit, </w:t>
      </w:r>
      <w:r w:rsidRPr="00FB099E">
        <w:rPr>
          <w:rFonts w:ascii="Times New Roman" w:eastAsia="Calibri" w:hAnsi="Times New Roman" w:cs="Times New Roman"/>
          <w:b/>
          <w:bCs/>
          <w:i/>
          <w:iCs/>
          <w:kern w:val="2"/>
          <w:lang w:val="en-IN"/>
          <w14:ligatures w14:val="standardContextual"/>
        </w:rPr>
        <w:t xml:space="preserve">* </w:t>
      </w:r>
      <w:r w:rsidRPr="00FB099E">
        <w:rPr>
          <w:rFonts w:ascii="Times New Roman" w:eastAsia="Calibri" w:hAnsi="Times New Roman" w:cs="Times New Roman"/>
          <w:i/>
          <w:iCs/>
          <w:kern w:val="2"/>
          <w:lang w:val="en-IN"/>
          <w14:ligatures w14:val="standardContextual"/>
        </w:rPr>
        <w:t xml:space="preserve">Statistically significant. </w:t>
      </w:r>
    </w:p>
    <w:p w14:paraId="4B4DF368" w14:textId="287BB27F" w:rsidR="00D80ABA" w:rsidRDefault="00AF76EF" w:rsidP="00D80ABA">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noProof/>
          <w:color w:val="000000"/>
          <w:kern w:val="2"/>
          <w:sz w:val="24"/>
          <w:szCs w:val="24"/>
          <w14:ligatures w14:val="standardContextual"/>
        </w:rPr>
        <w:lastRenderedPageBreak/>
        <w:drawing>
          <wp:anchor distT="0" distB="0" distL="114300" distR="114300" simplePos="0" relativeHeight="251669504" behindDoc="0" locked="0" layoutInCell="1" allowOverlap="1" wp14:anchorId="3FFC87F2" wp14:editId="7A9BB833">
            <wp:simplePos x="0" y="0"/>
            <wp:positionH relativeFrom="column">
              <wp:posOffset>-392430</wp:posOffset>
            </wp:positionH>
            <wp:positionV relativeFrom="paragraph">
              <wp:posOffset>163195</wp:posOffset>
            </wp:positionV>
            <wp:extent cx="9665970" cy="3511550"/>
            <wp:effectExtent l="0" t="0" r="0" b="0"/>
            <wp:wrapThrough wrapText="bothSides">
              <wp:wrapPolygon edited="0">
                <wp:start x="0" y="0"/>
                <wp:lineTo x="0" y="21444"/>
                <wp:lineTo x="21540" y="21444"/>
                <wp:lineTo x="21540" y="0"/>
                <wp:lineTo x="0" y="0"/>
              </wp:wrapPolygon>
            </wp:wrapThrough>
            <wp:docPr id="840289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5222" name="Picture 9038252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65970" cy="3511550"/>
                    </a:xfrm>
                    <a:prstGeom prst="rect">
                      <a:avLst/>
                    </a:prstGeom>
                  </pic:spPr>
                </pic:pic>
              </a:graphicData>
            </a:graphic>
            <wp14:sizeRelH relativeFrom="margin">
              <wp14:pctWidth>0</wp14:pctWidth>
            </wp14:sizeRelH>
            <wp14:sizeRelV relativeFrom="margin">
              <wp14:pctHeight>0</wp14:pctHeight>
            </wp14:sizeRelV>
          </wp:anchor>
        </w:drawing>
      </w:r>
      <w:r w:rsidRPr="00FB099E">
        <w:rPr>
          <w:rFonts w:ascii="Times New Roman" w:eastAsia="Calibri" w:hAnsi="Times New Roman" w:cs="Times New Roman"/>
          <w:noProof/>
          <w:color w:val="000000"/>
          <w:kern w:val="2"/>
          <w:sz w:val="24"/>
          <w:szCs w:val="24"/>
          <w14:ligatures w14:val="standardContextual"/>
        </w:rPr>
        <mc:AlternateContent>
          <mc:Choice Requires="wps">
            <w:drawing>
              <wp:anchor distT="0" distB="0" distL="114300" distR="114300" simplePos="0" relativeHeight="251670528" behindDoc="0" locked="0" layoutInCell="1" allowOverlap="1" wp14:anchorId="2AC1F6FD" wp14:editId="42F66A5F">
                <wp:simplePos x="0" y="0"/>
                <wp:positionH relativeFrom="column">
                  <wp:posOffset>-391886</wp:posOffset>
                </wp:positionH>
                <wp:positionV relativeFrom="paragraph">
                  <wp:posOffset>3799114</wp:posOffset>
                </wp:positionV>
                <wp:extent cx="9753600" cy="936172"/>
                <wp:effectExtent l="0" t="0" r="0" b="0"/>
                <wp:wrapNone/>
                <wp:docPr id="1854010254" name="Text Box 7"/>
                <wp:cNvGraphicFramePr/>
                <a:graphic xmlns:a="http://schemas.openxmlformats.org/drawingml/2006/main">
                  <a:graphicData uri="http://schemas.microsoft.com/office/word/2010/wordprocessingShape">
                    <wps:wsp>
                      <wps:cNvSpPr txBox="1"/>
                      <wps:spPr>
                        <a:xfrm>
                          <a:off x="0" y="0"/>
                          <a:ext cx="9753600" cy="936172"/>
                        </a:xfrm>
                        <a:prstGeom prst="rect">
                          <a:avLst/>
                        </a:prstGeom>
                        <a:solidFill>
                          <a:sysClr val="window" lastClr="FFFFFF"/>
                        </a:solidFill>
                        <a:ln w="6350">
                          <a:noFill/>
                        </a:ln>
                      </wps:spPr>
                      <wps:txbx>
                        <w:txbxContent>
                          <w:p w14:paraId="7B927ABB" w14:textId="77777777" w:rsidR="00AF76EF" w:rsidRPr="0094573D" w:rsidRDefault="00AF76EF" w:rsidP="00AF76EF">
                            <w:pPr>
                              <w:jc w:val="both"/>
                              <w:rPr>
                                <w:rFonts w:ascii="Times New Roman" w:hAnsi="Times New Roman" w:cs="Times New Roman"/>
                                <w:i/>
                                <w:iCs/>
                              </w:rPr>
                            </w:pPr>
                            <w:r w:rsidRPr="0094573D">
                              <w:rPr>
                                <w:rFonts w:ascii="Times New Roman" w:hAnsi="Times New Roman" w:cs="Times New Roman"/>
                                <w:i/>
                                <w:iCs/>
                              </w:rPr>
                              <w:t>Graph. 1.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E. coli spp. showing the Concentration-dependent inhibition over the experimental period. Data represents the Slope (p) of the all fitted curves. (OT-Oxytetracycline, TC-Tetracycline, VM-Vancomycin, SM-Streptomycin, EF-Enrofloxacin, TY-Tylosin, NM-Neomycin, GM-Gentamycin)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1F6FD" id="Text Box 7" o:spid="_x0000_s1027" type="#_x0000_t202" style="position:absolute;left:0;text-align:left;margin-left:-30.85pt;margin-top:299.15pt;width:768pt;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" fillcolor="window" stroked="f" strokeweight=".5pt">
                <v:textbox>
                  <w:txbxContent>
                    <w:p w14:paraId="7B927ABB" w14:textId="77777777" w:rsidR="00AF76EF" w:rsidRPr="0094573D" w:rsidRDefault="00AF76EF" w:rsidP="00AF76EF">
                      <w:pPr>
                        <w:jc w:val="both"/>
                        <w:rPr>
                          <w:rFonts w:ascii="Times New Roman" w:hAnsi="Times New Roman" w:cs="Times New Roman"/>
                          <w:i/>
                          <w:iCs/>
                        </w:rPr>
                      </w:pPr>
                      <w:r w:rsidRPr="0094573D">
                        <w:rPr>
                          <w:rFonts w:ascii="Times New Roman" w:hAnsi="Times New Roman" w:cs="Times New Roman"/>
                          <w:i/>
                          <w:iCs/>
                        </w:rPr>
                        <w:t>Graph. 1.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E. coli spp. showing the Concentration-dependent inhibition over the experimental period. Data represents the Slope (p) of the all fitted curves. (OT-Oxytetracycline, TC-Tetracycline, VM-Vancomycin, SM-Streptomycin, EF-Enrofloxacin, TY-Tylosin, NM-Neomycin, GM-Gentamycin)</w:t>
                      </w:r>
                    </w:p>
                  </w:txbxContent>
                </v:textbox>
              </v:shape>
            </w:pict>
          </mc:Fallback>
        </mc:AlternateContent>
      </w:r>
    </w:p>
    <w:p w14:paraId="2648C68A" w14:textId="7A733E33" w:rsidR="00D80ABA" w:rsidRDefault="00D80ABA" w:rsidP="00D80ABA">
      <w:pPr>
        <w:bidi w:val="0"/>
        <w:spacing w:line="480" w:lineRule="auto"/>
        <w:jc w:val="both"/>
        <w:rPr>
          <w:rFonts w:ascii="Times New Roman" w:eastAsia="Calibri" w:hAnsi="Times New Roman" w:cs="Times New Roman"/>
          <w:kern w:val="2"/>
          <w:sz w:val="24"/>
          <w:szCs w:val="24"/>
          <w:lang w:val="en-IN"/>
          <w14:ligatures w14:val="standardContextual"/>
        </w:rPr>
      </w:pPr>
    </w:p>
    <w:p w14:paraId="4DE8B77E" w14:textId="1C303D72"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p>
    <w:p w14:paraId="31877C74" w14:textId="51396FD9"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p>
    <w:p w14:paraId="60EA6DB2" w14:textId="268F21BB"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p>
    <w:p w14:paraId="18877D95" w14:textId="2F93413D"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noProof/>
          <w:color w:val="000000"/>
          <w:kern w:val="2"/>
          <w:sz w:val="24"/>
          <w:szCs w:val="24"/>
          <w14:ligatures w14:val="standardContextual"/>
        </w:rPr>
        <w:lastRenderedPageBreak/>
        <mc:AlternateContent>
          <mc:Choice Requires="wps">
            <w:drawing>
              <wp:anchor distT="0" distB="0" distL="114300" distR="114300" simplePos="0" relativeHeight="251672576" behindDoc="0" locked="0" layoutInCell="1" allowOverlap="1" wp14:anchorId="14F3698C" wp14:editId="3F6E4502">
                <wp:simplePos x="0" y="0"/>
                <wp:positionH relativeFrom="column">
                  <wp:posOffset>-402590</wp:posOffset>
                </wp:positionH>
                <wp:positionV relativeFrom="paragraph">
                  <wp:posOffset>3780790</wp:posOffset>
                </wp:positionV>
                <wp:extent cx="9752400" cy="936000"/>
                <wp:effectExtent l="0" t="0" r="1270" b="0"/>
                <wp:wrapNone/>
                <wp:docPr id="1184532921" name="Text Box 7"/>
                <wp:cNvGraphicFramePr/>
                <a:graphic xmlns:a="http://schemas.openxmlformats.org/drawingml/2006/main">
                  <a:graphicData uri="http://schemas.microsoft.com/office/word/2010/wordprocessingShape">
                    <wps:wsp>
                      <wps:cNvSpPr txBox="1"/>
                      <wps:spPr>
                        <a:xfrm>
                          <a:off x="0" y="0"/>
                          <a:ext cx="9752400" cy="936000"/>
                        </a:xfrm>
                        <a:prstGeom prst="rect">
                          <a:avLst/>
                        </a:prstGeom>
                        <a:solidFill>
                          <a:sysClr val="window" lastClr="FFFFFF"/>
                        </a:solidFill>
                        <a:ln w="6350">
                          <a:noFill/>
                        </a:ln>
                      </wps:spPr>
                      <wps:txbx>
                        <w:txbxContent>
                          <w:p w14:paraId="5D9A5AB8" w14:textId="77777777" w:rsidR="00AF76EF" w:rsidRPr="0094573D" w:rsidRDefault="00AF76EF" w:rsidP="00AF76EF">
                            <w:pPr>
                              <w:jc w:val="both"/>
                              <w:rPr>
                                <w:rFonts w:ascii="Times New Roman" w:hAnsi="Times New Roman" w:cs="Times New Roman"/>
                                <w:i/>
                                <w:iCs/>
                              </w:rPr>
                            </w:pPr>
                            <w:r w:rsidRPr="0094573D">
                              <w:rPr>
                                <w:rFonts w:ascii="Times New Roman" w:hAnsi="Times New Roman" w:cs="Times New Roman"/>
                                <w:i/>
                                <w:iCs/>
                              </w:rPr>
                              <w:t xml:space="preserve">Graph. </w:t>
                            </w:r>
                            <w:r>
                              <w:rPr>
                                <w:rFonts w:ascii="Times New Roman" w:hAnsi="Times New Roman" w:cs="Times New Roman"/>
                                <w:i/>
                                <w:iCs/>
                              </w:rPr>
                              <w:t>2</w:t>
                            </w:r>
                            <w:r w:rsidRPr="0094573D">
                              <w:rPr>
                                <w:rFonts w:ascii="Times New Roman" w:hAnsi="Times New Roman" w:cs="Times New Roman"/>
                                <w:i/>
                                <w:iCs/>
                              </w:rPr>
                              <w:t>.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w:t>
                            </w:r>
                            <w:r>
                              <w:rPr>
                                <w:rFonts w:ascii="Times New Roman" w:hAnsi="Times New Roman" w:cs="Times New Roman"/>
                                <w:i/>
                                <w:iCs/>
                              </w:rPr>
                              <w:t>Lactobacillus</w:t>
                            </w:r>
                            <w:r w:rsidRPr="0094573D">
                              <w:rPr>
                                <w:rFonts w:ascii="Times New Roman" w:hAnsi="Times New Roman" w:cs="Times New Roman"/>
                                <w:i/>
                                <w:iCs/>
                              </w:rPr>
                              <w:t xml:space="preserve"> spp. showing the Concentration-dependent inhibition over the experimental period. Data represents the Slope (p) of the all fitted curves. (OT-Oxytetracycline, TC-Tetracycline, VM-Vancomycin, SM-Streptomycin, EF-Enrofloxacin, TY-Tylosin, NM-Neomycin, GM-Gentamycin)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3698C" id="_x0000_s1028" type="#_x0000_t202" style="position:absolute;left:0;text-align:left;margin-left:-31.7pt;margin-top:297.7pt;width:767.9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" fillcolor="window" stroked="f" strokeweight=".5pt">
                <v:textbox>
                  <w:txbxContent>
                    <w:p w14:paraId="5D9A5AB8" w14:textId="77777777" w:rsidR="00AF76EF" w:rsidRPr="0094573D" w:rsidRDefault="00AF76EF" w:rsidP="00AF76EF">
                      <w:pPr>
                        <w:jc w:val="both"/>
                        <w:rPr>
                          <w:rFonts w:ascii="Times New Roman" w:hAnsi="Times New Roman" w:cs="Times New Roman"/>
                          <w:i/>
                          <w:iCs/>
                        </w:rPr>
                      </w:pPr>
                      <w:r w:rsidRPr="0094573D">
                        <w:rPr>
                          <w:rFonts w:ascii="Times New Roman" w:hAnsi="Times New Roman" w:cs="Times New Roman"/>
                          <w:i/>
                          <w:iCs/>
                        </w:rPr>
                        <w:t xml:space="preserve">Graph. </w:t>
                      </w:r>
                      <w:r>
                        <w:rPr>
                          <w:rFonts w:ascii="Times New Roman" w:hAnsi="Times New Roman" w:cs="Times New Roman"/>
                          <w:i/>
                          <w:iCs/>
                        </w:rPr>
                        <w:t>2</w:t>
                      </w:r>
                      <w:r w:rsidRPr="0094573D">
                        <w:rPr>
                          <w:rFonts w:ascii="Times New Roman" w:hAnsi="Times New Roman" w:cs="Times New Roman"/>
                          <w:i/>
                          <w:iCs/>
                        </w:rPr>
                        <w:t>. Dose-Response curve</w:t>
                      </w:r>
                      <w:r>
                        <w:rPr>
                          <w:rFonts w:ascii="Times New Roman" w:hAnsi="Times New Roman" w:cs="Times New Roman"/>
                          <w:i/>
                          <w:iCs/>
                        </w:rPr>
                        <w:t>s</w:t>
                      </w:r>
                      <w:r w:rsidRPr="0094573D">
                        <w:rPr>
                          <w:rFonts w:ascii="Times New Roman" w:hAnsi="Times New Roman" w:cs="Times New Roman"/>
                          <w:i/>
                          <w:iCs/>
                        </w:rPr>
                        <w:t xml:space="preserve"> of eight growth promoting antibiotics against the </w:t>
                      </w:r>
                      <w:r>
                        <w:rPr>
                          <w:rFonts w:ascii="Times New Roman" w:hAnsi="Times New Roman" w:cs="Times New Roman"/>
                          <w:i/>
                          <w:iCs/>
                        </w:rPr>
                        <w:t>Lactobacillus</w:t>
                      </w:r>
                      <w:r w:rsidRPr="0094573D">
                        <w:rPr>
                          <w:rFonts w:ascii="Times New Roman" w:hAnsi="Times New Roman" w:cs="Times New Roman"/>
                          <w:i/>
                          <w:iCs/>
                        </w:rPr>
                        <w:t xml:space="preserve"> spp. showing the Concentration-dependent inhibition over the experimental period. Data represents the Slope (p) of the all fitted curves. (OT-Oxytetracycline, TC-Tetracycline, VM-Vancomycin, SM-Streptomycin, EF-Enrofloxacin, TY-Tylosin, NM-Neomycin, GM-Gentamycin)</w:t>
                      </w:r>
                    </w:p>
                  </w:txbxContent>
                </v:textbox>
              </v:shape>
            </w:pict>
          </mc:Fallback>
        </mc:AlternateContent>
      </w:r>
      <w:r w:rsidRPr="00FB099E">
        <w:rPr>
          <w:rFonts w:ascii="Times New Roman" w:eastAsia="Calibri" w:hAnsi="Times New Roman" w:cs="Times New Roman"/>
          <w:noProof/>
          <w:color w:val="000000"/>
          <w:kern w:val="2"/>
          <w:sz w:val="24"/>
          <w:szCs w:val="24"/>
          <w14:ligatures w14:val="standardContextual"/>
        </w:rPr>
        <w:drawing>
          <wp:anchor distT="0" distB="0" distL="114300" distR="114300" simplePos="0" relativeHeight="251673600" behindDoc="0" locked="0" layoutInCell="1" allowOverlap="1" wp14:anchorId="74DABB44" wp14:editId="6FF2B7A8">
            <wp:simplePos x="0" y="0"/>
            <wp:positionH relativeFrom="column">
              <wp:posOffset>-398235</wp:posOffset>
            </wp:positionH>
            <wp:positionV relativeFrom="paragraph">
              <wp:posOffset>105410</wp:posOffset>
            </wp:positionV>
            <wp:extent cx="9666000" cy="3438574"/>
            <wp:effectExtent l="0" t="0" r="0" b="9525"/>
            <wp:wrapThrough wrapText="bothSides">
              <wp:wrapPolygon edited="0">
                <wp:start x="0" y="0"/>
                <wp:lineTo x="0" y="21540"/>
                <wp:lineTo x="21540" y="21540"/>
                <wp:lineTo x="21540" y="0"/>
                <wp:lineTo x="0" y="0"/>
              </wp:wrapPolygon>
            </wp:wrapThrough>
            <wp:docPr id="1823828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28360" name="Picture 18238283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6000" cy="3438574"/>
                    </a:xfrm>
                    <a:prstGeom prst="rect">
                      <a:avLst/>
                    </a:prstGeom>
                  </pic:spPr>
                </pic:pic>
              </a:graphicData>
            </a:graphic>
            <wp14:sizeRelH relativeFrom="margin">
              <wp14:pctWidth>0</wp14:pctWidth>
            </wp14:sizeRelH>
            <wp14:sizeRelV relativeFrom="margin">
              <wp14:pctHeight>0</wp14:pctHeight>
            </wp14:sizeRelV>
          </wp:anchor>
        </w:drawing>
      </w:r>
    </w:p>
    <w:p w14:paraId="3B0408C5" w14:textId="483E79F9"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p>
    <w:p w14:paraId="088296ED" w14:textId="1487F5E4"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p>
    <w:p w14:paraId="26B48774" w14:textId="106A8020"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pPr>
    </w:p>
    <w:p w14:paraId="751F8909" w14:textId="77777777" w:rsidR="00AF76EF" w:rsidRDefault="00AF76EF" w:rsidP="00AF76EF">
      <w:pPr>
        <w:bidi w:val="0"/>
        <w:spacing w:line="480" w:lineRule="auto"/>
        <w:jc w:val="both"/>
        <w:rPr>
          <w:rFonts w:ascii="Times New Roman" w:eastAsia="Calibri" w:hAnsi="Times New Roman" w:cs="Times New Roman"/>
          <w:kern w:val="2"/>
          <w:sz w:val="24"/>
          <w:szCs w:val="24"/>
          <w:lang w:val="en-IN"/>
          <w14:ligatures w14:val="standardContextual"/>
        </w:rPr>
        <w:sectPr w:rsidR="00AF76EF" w:rsidSect="00AF76EF">
          <w:pgSz w:w="16838" w:h="11906" w:orient="landscape"/>
          <w:pgMar w:top="1440" w:right="1440" w:bottom="1440" w:left="1440" w:header="709" w:footer="709" w:gutter="0"/>
          <w:cols w:space="708"/>
          <w:docGrid w:linePitch="360"/>
        </w:sectPr>
      </w:pPr>
    </w:p>
    <w:p w14:paraId="732E7E4F" w14:textId="5714A6D6" w:rsidR="00FB099E" w:rsidRPr="00FB099E" w:rsidRDefault="00FB099E" w:rsidP="00D80ABA">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i/>
          <w:iCs/>
          <w:kern w:val="2"/>
          <w:sz w:val="24"/>
          <w:szCs w:val="24"/>
          <w:lang w:val="en-IN"/>
          <w14:ligatures w14:val="standardContextual"/>
        </w:rPr>
        <w:lastRenderedPageBreak/>
        <w:t xml:space="preserve">lactobacillus </w:t>
      </w:r>
      <w:r w:rsidRPr="00FB099E">
        <w:rPr>
          <w:rFonts w:ascii="Times New Roman" w:eastAsia="Calibri" w:hAnsi="Times New Roman" w:cs="Times New Roman"/>
          <w:kern w:val="2"/>
          <w:sz w:val="24"/>
          <w:szCs w:val="24"/>
          <w:lang w:val="en-IN"/>
          <w14:ligatures w14:val="standardContextual"/>
        </w:rPr>
        <w:t>sp</w:t>
      </w:r>
      <w:r w:rsidRPr="00FB099E">
        <w:rPr>
          <w:rFonts w:ascii="Times New Roman" w:eastAsia="Calibri" w:hAnsi="Times New Roman" w:cs="Times New Roman"/>
          <w:i/>
          <w:iCs/>
          <w:kern w:val="2"/>
          <w:sz w:val="24"/>
          <w:szCs w:val="24"/>
          <w:lang w:val="en-IN"/>
          <w14:ligatures w14:val="standardContextual"/>
        </w:rPr>
        <w:t>.</w:t>
      </w:r>
      <w:r w:rsidRPr="00FB099E">
        <w:rPr>
          <w:rFonts w:ascii="Times New Roman" w:eastAsia="Calibri" w:hAnsi="Times New Roman" w:cs="Times New Roman"/>
          <w:kern w:val="2"/>
          <w:sz w:val="24"/>
          <w:szCs w:val="24"/>
          <w:lang w:val="en-IN"/>
          <w14:ligatures w14:val="standardContextual"/>
        </w:rPr>
        <w:t xml:space="preserve"> Notably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demonstrated no effect and inhibitory activity in all tested concentrations against both the gut isolates.  </w:t>
      </w:r>
    </w:p>
    <w:p w14:paraId="59B08D51"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3.2 Minimal Inhibitory Concentrations (MIC)</w:t>
      </w:r>
    </w:p>
    <w:p w14:paraId="652A3690" w14:textId="77777777" w:rsidR="00FB099E" w:rsidRPr="00FB099E" w:rsidRDefault="00FB099E" w:rsidP="00FB099E">
      <w:pPr>
        <w:bidi w:val="0"/>
        <w:spacing w:line="480" w:lineRule="auto"/>
        <w:jc w:val="both"/>
        <w:rPr>
          <w:rFonts w:ascii="Times New Roman" w:eastAsia="Calibri" w:hAnsi="Times New Roman" w:cs="Times New Roman"/>
          <w:color w:val="000000"/>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Table .1 and Table .2 showed the comparative analysis of the dose-response curves, quantified by the 50% effective concentration (EC50) revealed significant variability in the antimicrobial potency among the eight tested antibiotics against the two gut isolates. The MIC results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revealed the effective concentration required to kill the 50% bacterial population (EC50±SE) was reported to be </w:t>
      </w:r>
      <w:r w:rsidRPr="00FB099E">
        <w:rPr>
          <w:rFonts w:ascii="Times New Roman" w:eastAsia="Calibri" w:hAnsi="Times New Roman" w:cs="Times New Roman"/>
          <w:color w:val="000000"/>
          <w:kern w:val="2"/>
          <w:sz w:val="24"/>
          <w:szCs w:val="24"/>
          <w:lang w:val="en-IN"/>
          <w14:ligatures w14:val="standardContextual"/>
        </w:rPr>
        <w:t>0.041±0</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 xml:space="preserve">l (OT), 2.967±0.28 </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(TC), 2.953±0.17</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(VM), 0.053±0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(SM), 0.038±0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 xml:space="preserve">l (EF), 10.790±0.42 </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(TY), 0.626±0.02</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(NM), and 0.063±0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(GM) respectively.</w:t>
      </w:r>
      <w:r w:rsidRPr="00FB099E">
        <w:rPr>
          <w:rFonts w:ascii="Times New Roman" w:eastAsia="Calibri" w:hAnsi="Times New Roman" w:cs="Times New Roman"/>
          <w:b/>
          <w:bCs/>
          <w:color w:val="000000"/>
          <w:kern w:val="2"/>
          <w:sz w:val="24"/>
          <w:szCs w:val="24"/>
          <w:lang w:val="en-IN"/>
          <w14:ligatures w14:val="standardContextual"/>
        </w:rPr>
        <w:t xml:space="preserve"> </w:t>
      </w:r>
      <w:r w:rsidRPr="00FB099E">
        <w:rPr>
          <w:rFonts w:ascii="Times New Roman" w:eastAsia="Calibri" w:hAnsi="Times New Roman" w:cs="Times New Roman"/>
          <w:color w:val="000000"/>
          <w:kern w:val="2"/>
          <w:sz w:val="24"/>
          <w:szCs w:val="24"/>
          <w:lang w:val="en-IN"/>
          <w14:ligatures w14:val="standardContextual"/>
        </w:rPr>
        <w:t xml:space="preserve">Similarly, against the </w:t>
      </w:r>
      <w:r w:rsidRPr="00FB099E">
        <w:rPr>
          <w:rFonts w:ascii="Times New Roman" w:eastAsia="Calibri" w:hAnsi="Times New Roman" w:cs="Times New Roman"/>
          <w:i/>
          <w:iCs/>
          <w:color w:val="000000"/>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w:t>
      </w:r>
      <w:r w:rsidRPr="00FB099E">
        <w:rPr>
          <w:rFonts w:ascii="Times New Roman" w:eastAsia="Calibri" w:hAnsi="Times New Roman" w:cs="Times New Roman"/>
          <w:color w:val="000000"/>
          <w:kern w:val="2"/>
          <w:sz w:val="24"/>
          <w:szCs w:val="24"/>
          <w:lang w:val="en-IN"/>
          <w14:ligatures w14:val="standardContextual"/>
        </w:rPr>
        <w:t>EC50 values reported from 0.046±0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(OT), 0.469±0.02</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(TC), 0.055±0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(VM), 0.043±0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(SM), 0.037±0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(EF), 6.201±0.17</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(TY), 0.092±0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(NM), and 0.063±0</w:t>
      </w:r>
      <w:r w:rsidRPr="00FB099E">
        <w:rPr>
          <w:rFonts w:ascii="Times New Roman" w:eastAsia="Calibri" w:hAnsi="Times New Roman" w:cs="Times New Roman"/>
          <w:i/>
          <w:iCs/>
          <w:color w:val="000000"/>
          <w:kern w:val="2"/>
          <w:sz w:val="24"/>
          <w:szCs w:val="24"/>
          <w:lang w:val="en-IN"/>
          <w14:ligatures w14:val="standardContextual"/>
        </w:rPr>
        <w:t xml:space="preserve"> µ</w:t>
      </w:r>
      <w:r w:rsidRPr="00FB099E">
        <w:rPr>
          <w:rFonts w:ascii="Times New Roman" w:eastAsia="Calibri" w:hAnsi="Times New Roman" w:cs="Times New Roman"/>
          <w:color w:val="000000"/>
          <w:kern w:val="2"/>
          <w:sz w:val="24"/>
          <w:szCs w:val="24"/>
          <w:lang w:val="en-IN"/>
          <w14:ligatures w14:val="standardContextual"/>
        </w:rPr>
        <w:t>g/</w:t>
      </w:r>
      <w:r w:rsidRPr="00FB099E">
        <w:rPr>
          <w:rFonts w:ascii="Times New Roman" w:eastAsia="Calibri" w:hAnsi="Times New Roman" w:cs="Times New Roman"/>
          <w:i/>
          <w:iCs/>
          <w:color w:val="000000"/>
          <w:kern w:val="2"/>
          <w:sz w:val="24"/>
          <w:szCs w:val="24"/>
          <w:lang w:val="en-IN"/>
          <w14:ligatures w14:val="standardContextual"/>
        </w:rPr>
        <w:t>µ</w:t>
      </w:r>
      <w:r w:rsidRPr="00FB099E">
        <w:rPr>
          <w:rFonts w:ascii="Times New Roman" w:eastAsia="Calibri" w:hAnsi="Times New Roman" w:cs="Times New Roman"/>
          <w:color w:val="000000"/>
          <w:kern w:val="2"/>
          <w:sz w:val="24"/>
          <w:szCs w:val="24"/>
          <w:lang w:val="en-IN"/>
          <w14:ligatures w14:val="standardContextual"/>
        </w:rPr>
        <w:t>l (GM) respectively. The inflection points of the sigmoid curves, were influenced by the tested concentrations of the all-tested antibiotics confirmed the measured EC50 values as a strong parameter for quantifying the antibiotics’ potency in this   non-linear regression model. Table 1. and Table .2 also indicated that obtained steepness values (hill slope) of sigmoid curves of all tested antibiotics also confirmed the significant transitions from the lower efficacy to the higher efficacy with all tested concentrations. All the growth curve fits were successfully fitted and demonstrated an excellent coefficient of determination</w:t>
      </w:r>
      <w:r w:rsidRPr="00FB099E">
        <w:rPr>
          <w:rFonts w:ascii="Times New Roman" w:eastAsia="Calibri" w:hAnsi="Times New Roman" w:cs="Times New Roman"/>
          <w:kern w:val="2"/>
          <w:sz w:val="24"/>
          <w:szCs w:val="24"/>
          <w:lang w:val="en-IN"/>
          <w14:ligatures w14:val="standardContextual"/>
        </w:rPr>
        <w:t xml:space="preserve"> (R</w:t>
      </w:r>
      <w:r w:rsidRPr="00FB099E">
        <w:rPr>
          <w:rFonts w:ascii="Times New Roman" w:eastAsia="Calibri" w:hAnsi="Times New Roman" w:cs="Times New Roman"/>
          <w:kern w:val="2"/>
          <w:sz w:val="24"/>
          <w:szCs w:val="24"/>
          <w:vertAlign w:val="superscript"/>
          <w:lang w:val="en-IN"/>
          <w14:ligatures w14:val="standardContextual"/>
        </w:rPr>
        <w:t>2</w:t>
      </w:r>
      <w:r w:rsidRPr="00FB099E">
        <w:rPr>
          <w:rFonts w:ascii="Times New Roman" w:eastAsia="Calibri" w:hAnsi="Times New Roman" w:cs="Times New Roman"/>
          <w:kern w:val="2"/>
          <w:sz w:val="24"/>
          <w:szCs w:val="24"/>
          <w:lang w:val="en-IN"/>
          <w14:ligatures w14:val="standardContextual"/>
        </w:rPr>
        <w:t>) values ranged from 0.93 to 0.99 and all the fits were highly statistically significant (</w:t>
      </w:r>
      <w:r w:rsidRPr="00FB099E">
        <w:rPr>
          <w:rFonts w:ascii="Times New Roman" w:eastAsia="Calibri" w:hAnsi="Times New Roman" w:cs="Times New Roman"/>
          <w:b/>
          <w:bCs/>
          <w:i/>
          <w:iCs/>
          <w:kern w:val="2"/>
          <w:sz w:val="24"/>
          <w:szCs w:val="24"/>
          <w:lang w:val="en-IN"/>
          <w14:ligatures w14:val="standardContextual"/>
        </w:rPr>
        <w:t>p&lt;0.01)</w:t>
      </w:r>
      <w:r w:rsidRPr="00FB099E">
        <w:rPr>
          <w:rFonts w:ascii="Times New Roman" w:eastAsia="Calibri" w:hAnsi="Times New Roman" w:cs="Times New Roman"/>
          <w:kern w:val="2"/>
          <w:sz w:val="24"/>
          <w:szCs w:val="24"/>
          <w:lang w:val="en-IN"/>
          <w14:ligatures w14:val="standardContextual"/>
        </w:rPr>
        <w:t>, supported the sturdiness of the parameter estimates.</w:t>
      </w:r>
    </w:p>
    <w:p w14:paraId="1F7C1FDC"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3.3 Minimal Bactericidal Concentrations (MBC)</w:t>
      </w:r>
    </w:p>
    <w:p w14:paraId="77DF03D3"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The MBC assay results were revealed the varied inhibitory concentrations among the eight growth promoting antibiotics against the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w:t>
      </w:r>
      <w:r w:rsidRPr="00FB099E">
        <w:rPr>
          <w:rFonts w:ascii="Times New Roman" w:eastAsia="Calibri" w:hAnsi="Times New Roman" w:cs="Times New Roman"/>
          <w:i/>
          <w:iCs/>
          <w:kern w:val="2"/>
          <w:sz w:val="24"/>
          <w:szCs w:val="24"/>
          <w:lang w:val="en-IN"/>
          <w14:ligatures w14:val="standardContextual"/>
        </w:rPr>
        <w:t>Lactobacillus</w:t>
      </w:r>
      <w:r w:rsidRPr="00FB099E">
        <w:rPr>
          <w:rFonts w:ascii="Times New Roman" w:eastAsia="Calibri" w:hAnsi="Times New Roman" w:cs="Times New Roman"/>
          <w:kern w:val="2"/>
          <w:sz w:val="24"/>
          <w:szCs w:val="24"/>
          <w:lang w:val="en-IN"/>
          <w14:ligatures w14:val="standardContextual"/>
        </w:rPr>
        <w:t xml:space="preserve"> sp. Oxytetracycline and </w:t>
      </w:r>
      <w:r w:rsidRPr="00FB099E">
        <w:rPr>
          <w:rFonts w:ascii="Times New Roman" w:eastAsia="Calibri" w:hAnsi="Times New Roman" w:cs="Times New Roman"/>
          <w:kern w:val="2"/>
          <w:sz w:val="24"/>
          <w:szCs w:val="24"/>
          <w:lang w:val="en-IN"/>
          <w14:ligatures w14:val="standardContextual"/>
        </w:rPr>
        <w:lastRenderedPageBreak/>
        <w:t xml:space="preserve">tetracycline showed clear concentration - dependant reduction at all tested concentrations, whereas Enrofloxacin and Neomycin also showed visible growth reduction with the increasing concentrations. Gentamycin and Vancomycin demonstrated the antibacterial activity only in their highest concentrations.  Streptomycin demonstrated the gradual inhibition, but permitted the growth at higher concentrations. Unlike other antibiotics,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demonstrated ineffectiveness by permitting the bacterial growth at all tested concentrations of all the antibiotics.</w:t>
      </w:r>
    </w:p>
    <w:p w14:paraId="41A2ABBD" w14:textId="77777777" w:rsidR="00FB099E" w:rsidRPr="00AE3A9F"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AE3A9F">
        <w:rPr>
          <w:rFonts w:ascii="Times New Roman" w:eastAsia="Calibri" w:hAnsi="Times New Roman" w:cs="Times New Roman"/>
          <w:b/>
          <w:bCs/>
          <w:kern w:val="2"/>
          <w:sz w:val="28"/>
          <w:szCs w:val="28"/>
          <w:lang w:val="en-IN"/>
          <w14:ligatures w14:val="standardContextual"/>
        </w:rPr>
        <w:t xml:space="preserve">4. Discussion </w:t>
      </w:r>
    </w:p>
    <w:p w14:paraId="18A355B1"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AE3A9F">
        <w:rPr>
          <w:rFonts w:ascii="Times New Roman" w:eastAsia="Calibri" w:hAnsi="Times New Roman" w:cs="Times New Roman"/>
          <w:kern w:val="2"/>
          <w:sz w:val="24"/>
          <w:szCs w:val="24"/>
          <w:lang w:val="en-IN"/>
          <w14:ligatures w14:val="standardContextual"/>
        </w:rPr>
        <w:t xml:space="preserve">The primary objective of this study was to test and evaluated the antimicrobial susceptibility and potency of the eight growth promoting antibiotics against </w:t>
      </w:r>
      <w:r w:rsidRPr="00AE3A9F">
        <w:rPr>
          <w:rFonts w:ascii="Times New Roman" w:eastAsia="Calibri" w:hAnsi="Times New Roman" w:cs="Times New Roman"/>
          <w:i/>
          <w:iCs/>
          <w:kern w:val="2"/>
          <w:sz w:val="24"/>
          <w:szCs w:val="24"/>
          <w:lang w:val="en-IN"/>
          <w14:ligatures w14:val="standardContextual"/>
        </w:rPr>
        <w:t xml:space="preserve">E. coli </w:t>
      </w:r>
      <w:r w:rsidRPr="00AE3A9F">
        <w:rPr>
          <w:rFonts w:ascii="Times New Roman" w:eastAsia="Calibri" w:hAnsi="Times New Roman" w:cs="Times New Roman"/>
          <w:kern w:val="2"/>
          <w:sz w:val="24"/>
          <w:szCs w:val="24"/>
          <w:lang w:val="en-IN"/>
          <w14:ligatures w14:val="standardContextual"/>
        </w:rPr>
        <w:t xml:space="preserve">and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w:t>
      </w:r>
      <w:r w:rsidRPr="00AE3A9F">
        <w:rPr>
          <w:rFonts w:ascii="Times New Roman" w:eastAsia="Calibri" w:hAnsi="Times New Roman" w:cs="Times New Roman"/>
          <w:i/>
          <w:iCs/>
          <w:kern w:val="2"/>
          <w:sz w:val="24"/>
          <w:szCs w:val="24"/>
          <w:lang w:val="en-IN"/>
          <w14:ligatures w14:val="standardContextual"/>
        </w:rPr>
        <w:t xml:space="preserve"> </w:t>
      </w:r>
      <w:r w:rsidRPr="00AE3A9F">
        <w:rPr>
          <w:rFonts w:ascii="Times New Roman" w:eastAsia="Calibri" w:hAnsi="Times New Roman" w:cs="Times New Roman"/>
          <w:kern w:val="2"/>
          <w:sz w:val="24"/>
          <w:szCs w:val="24"/>
          <w:lang w:val="en-IN"/>
          <w14:ligatures w14:val="standardContextual"/>
        </w:rPr>
        <w:t xml:space="preserve">from the commercially slaughtered broiler chicken. A clear, potent antibacterial activity demonstrated by all tested antibiotics against the gut isolates was the most significant finding of this present study. Similarly, there was a significant substantial variability in their inhibitory potency against two tested bacteria comply with the studies of [26]. Comparing the data sets, Enrofloxacin (EF), consistently showed the higher efficacy against both bacteria, whereas </w:t>
      </w:r>
      <w:proofErr w:type="spellStart"/>
      <w:r w:rsidRPr="00AE3A9F">
        <w:rPr>
          <w:rFonts w:ascii="Times New Roman" w:eastAsia="Calibri" w:hAnsi="Times New Roman" w:cs="Times New Roman"/>
          <w:kern w:val="2"/>
          <w:sz w:val="24"/>
          <w:szCs w:val="24"/>
          <w:lang w:val="en-IN"/>
          <w14:ligatures w14:val="standardContextual"/>
        </w:rPr>
        <w:t>Tylosin</w:t>
      </w:r>
      <w:proofErr w:type="spellEnd"/>
      <w:r w:rsidRPr="00AE3A9F">
        <w:rPr>
          <w:rFonts w:ascii="Times New Roman" w:eastAsia="Calibri" w:hAnsi="Times New Roman" w:cs="Times New Roman"/>
          <w:kern w:val="2"/>
          <w:sz w:val="24"/>
          <w:szCs w:val="24"/>
          <w:lang w:val="en-IN"/>
          <w14:ligatures w14:val="standardContextual"/>
        </w:rPr>
        <w:t xml:space="preserve"> had no effects on either bacterium. The susceptibility profiles confirming that enrofloxacin was the most potent antibiotic among the all-tested antibiotics against the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and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 Among the tested isolates, enrofloxacin demonstrated maximum efficiency, producing significant zone of inhibition (24 mm) even at the lowest concentration (0.1</w:t>
      </w:r>
      <w:r w:rsidRPr="00AE3A9F">
        <w:rPr>
          <w:rFonts w:ascii="Times New Roman" w:eastAsia="Calibri" w:hAnsi="Times New Roman" w:cs="Times New Roman"/>
          <w:i/>
          <w:iCs/>
          <w:kern w:val="2"/>
          <w:sz w:val="24"/>
          <w:szCs w:val="24"/>
          <w:lang w:val="en-IN"/>
          <w14:ligatures w14:val="standardContextual"/>
        </w:rPr>
        <w:t xml:space="preserve"> µ</w:t>
      </w:r>
      <w:r w:rsidRPr="00AE3A9F">
        <w:rPr>
          <w:rFonts w:ascii="Times New Roman" w:eastAsia="Calibri" w:hAnsi="Times New Roman" w:cs="Times New Roman"/>
          <w:kern w:val="2"/>
          <w:sz w:val="24"/>
          <w:szCs w:val="24"/>
          <w:lang w:val="en-IN"/>
          <w14:ligatures w14:val="standardContextual"/>
        </w:rPr>
        <w:t xml:space="preserve">g) against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and demonstrated significant increase with the increased concentration ranges. These findings were highly aligned with the recent studies of [27-28], stated that fluoroquinolones exhibit high and sustained efficacy against the both bacteria -by targets the enzyme systems of DNA replication [8]. The results of MIC detection showed the marginally different EC50 values of enrofloxacin against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and </w:t>
      </w:r>
      <w:r w:rsidRPr="00AE3A9F">
        <w:rPr>
          <w:rFonts w:ascii="Times New Roman" w:eastAsia="Calibri" w:hAnsi="Times New Roman" w:cs="Times New Roman"/>
          <w:i/>
          <w:iCs/>
          <w:kern w:val="2"/>
          <w:sz w:val="24"/>
          <w:szCs w:val="24"/>
          <w:lang w:val="en-IN"/>
          <w14:ligatures w14:val="standardContextual"/>
        </w:rPr>
        <w:t>Lactobacillus</w:t>
      </w:r>
      <w:r w:rsidRPr="00AE3A9F">
        <w:rPr>
          <w:rFonts w:ascii="Times New Roman" w:eastAsia="Calibri" w:hAnsi="Times New Roman" w:cs="Times New Roman"/>
          <w:kern w:val="2"/>
          <w:sz w:val="24"/>
          <w:szCs w:val="24"/>
          <w:lang w:val="en-IN"/>
          <w14:ligatures w14:val="standardContextual"/>
        </w:rPr>
        <w:t xml:space="preserve"> sp. affirms the non-selective nature of the antibiotic in the intestinal environment, provides the evidence for the </w:t>
      </w:r>
      <w:r w:rsidRPr="00AE3A9F">
        <w:rPr>
          <w:rFonts w:ascii="Times New Roman" w:eastAsia="Calibri" w:hAnsi="Times New Roman" w:cs="Times New Roman"/>
          <w:kern w:val="2"/>
          <w:sz w:val="24"/>
          <w:szCs w:val="24"/>
          <w:lang w:val="en-IN"/>
          <w14:ligatures w14:val="standardContextual"/>
        </w:rPr>
        <w:lastRenderedPageBreak/>
        <w:t xml:space="preserve">sustainable substantial targets effects to the beneficial commensals like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w:t>
      </w:r>
      <w:r w:rsidRPr="00AE3A9F">
        <w:rPr>
          <w:rFonts w:ascii="Times New Roman" w:eastAsia="Calibri" w:hAnsi="Times New Roman" w:cs="Times New Roman"/>
          <w:i/>
          <w:iCs/>
          <w:kern w:val="2"/>
          <w:sz w:val="24"/>
          <w:szCs w:val="24"/>
          <w:lang w:val="en-IN"/>
          <w14:ligatures w14:val="standardContextual"/>
        </w:rPr>
        <w:t>.</w:t>
      </w:r>
      <w:r w:rsidRPr="00AE3A9F">
        <w:rPr>
          <w:rFonts w:ascii="Times New Roman" w:eastAsia="Calibri" w:hAnsi="Times New Roman" w:cs="Times New Roman"/>
          <w:kern w:val="2"/>
          <w:sz w:val="24"/>
          <w:szCs w:val="24"/>
          <w:lang w:val="en-IN"/>
          <w14:ligatures w14:val="standardContextual"/>
        </w:rPr>
        <w:t xml:space="preserve"> MIC results revealed oxytetracycline also established a strong antibacterial and dose dependent bacteriostatic effects against both bacteria, coincides with studies of [21,29-30], reasoned increasing consistent change in the tetracycline resistant due to the excessive dependence of these antibiotics in commercially intensive farming systems. Based on the results, a conspicuous finding was the non-existence of the antimicrobial activity of the </w:t>
      </w:r>
      <w:proofErr w:type="spellStart"/>
      <w:r w:rsidRPr="00AE3A9F">
        <w:rPr>
          <w:rFonts w:ascii="Times New Roman" w:eastAsia="Calibri" w:hAnsi="Times New Roman" w:cs="Times New Roman"/>
          <w:kern w:val="2"/>
          <w:sz w:val="24"/>
          <w:szCs w:val="24"/>
          <w:lang w:val="en-IN"/>
          <w14:ligatures w14:val="standardContextual"/>
        </w:rPr>
        <w:t>tylosin</w:t>
      </w:r>
      <w:proofErr w:type="spellEnd"/>
      <w:r w:rsidRPr="00AE3A9F">
        <w:rPr>
          <w:rFonts w:ascii="Times New Roman" w:eastAsia="Calibri" w:hAnsi="Times New Roman" w:cs="Times New Roman"/>
          <w:kern w:val="2"/>
          <w:sz w:val="24"/>
          <w:szCs w:val="24"/>
          <w:lang w:val="en-IN"/>
          <w14:ligatures w14:val="standardContextual"/>
        </w:rPr>
        <w:t xml:space="preserve"> against the both gut inhabitants in the in vitro conditions, clearly suggest either intrinsic resistant mechanism of tested bacteria or the increased level of procured resistance of these isolates against </w:t>
      </w:r>
      <w:proofErr w:type="spellStart"/>
      <w:r w:rsidRPr="00AE3A9F">
        <w:rPr>
          <w:rFonts w:ascii="Times New Roman" w:eastAsia="Calibri" w:hAnsi="Times New Roman" w:cs="Times New Roman"/>
          <w:kern w:val="2"/>
          <w:sz w:val="24"/>
          <w:szCs w:val="24"/>
          <w:lang w:val="en-IN"/>
          <w14:ligatures w14:val="standardContextual"/>
        </w:rPr>
        <w:t>Tylosin</w:t>
      </w:r>
      <w:proofErr w:type="spellEnd"/>
      <w:r w:rsidRPr="00AE3A9F">
        <w:rPr>
          <w:rFonts w:ascii="Times New Roman" w:eastAsia="Calibri" w:hAnsi="Times New Roman" w:cs="Times New Roman"/>
          <w:kern w:val="2"/>
          <w:sz w:val="24"/>
          <w:szCs w:val="24"/>
          <w:lang w:val="en-IN"/>
          <w14:ligatures w14:val="standardContextual"/>
        </w:rPr>
        <w:t xml:space="preserve">. Our results </w:t>
      </w:r>
      <w:proofErr w:type="gramStart"/>
      <w:r w:rsidRPr="00AE3A9F">
        <w:rPr>
          <w:rFonts w:ascii="Times New Roman" w:eastAsia="Calibri" w:hAnsi="Times New Roman" w:cs="Times New Roman"/>
          <w:kern w:val="2"/>
          <w:sz w:val="24"/>
          <w:szCs w:val="24"/>
          <w:lang w:val="en-IN"/>
          <w14:ligatures w14:val="standardContextual"/>
        </w:rPr>
        <w:t>indicates</w:t>
      </w:r>
      <w:proofErr w:type="gramEnd"/>
      <w:r w:rsidRPr="00AE3A9F">
        <w:rPr>
          <w:rFonts w:ascii="Times New Roman" w:eastAsia="Calibri" w:hAnsi="Times New Roman" w:cs="Times New Roman"/>
          <w:kern w:val="2"/>
          <w:sz w:val="24"/>
          <w:szCs w:val="24"/>
          <w:lang w:val="en-IN"/>
          <w14:ligatures w14:val="standardContextual"/>
        </w:rPr>
        <w:t xml:space="preserve"> that the high EC50 values of </w:t>
      </w:r>
      <w:proofErr w:type="spellStart"/>
      <w:r w:rsidRPr="00AE3A9F">
        <w:rPr>
          <w:rFonts w:ascii="Times New Roman" w:eastAsia="Calibri" w:hAnsi="Times New Roman" w:cs="Times New Roman"/>
          <w:kern w:val="2"/>
          <w:sz w:val="24"/>
          <w:szCs w:val="24"/>
          <w:lang w:val="en-IN"/>
          <w14:ligatures w14:val="standardContextual"/>
        </w:rPr>
        <w:t>Tylosin</w:t>
      </w:r>
      <w:proofErr w:type="spellEnd"/>
      <w:r w:rsidRPr="00AE3A9F">
        <w:rPr>
          <w:rFonts w:ascii="Times New Roman" w:eastAsia="Calibri" w:hAnsi="Times New Roman" w:cs="Times New Roman"/>
          <w:kern w:val="2"/>
          <w:sz w:val="24"/>
          <w:szCs w:val="24"/>
          <w:lang w:val="en-IN"/>
          <w14:ligatures w14:val="standardContextual"/>
        </w:rPr>
        <w:t xml:space="preserve"> against the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brings out that macrolides like </w:t>
      </w:r>
      <w:proofErr w:type="spellStart"/>
      <w:r w:rsidRPr="00AE3A9F">
        <w:rPr>
          <w:rFonts w:ascii="Times New Roman" w:eastAsia="Calibri" w:hAnsi="Times New Roman" w:cs="Times New Roman"/>
          <w:kern w:val="2"/>
          <w:sz w:val="24"/>
          <w:szCs w:val="24"/>
          <w:lang w:val="en-IN"/>
          <w14:ligatures w14:val="standardContextual"/>
        </w:rPr>
        <w:t>Tylosin</w:t>
      </w:r>
      <w:proofErr w:type="spellEnd"/>
      <w:r w:rsidRPr="00AE3A9F">
        <w:rPr>
          <w:rFonts w:ascii="Times New Roman" w:eastAsia="Calibri" w:hAnsi="Times New Roman" w:cs="Times New Roman"/>
          <w:kern w:val="2"/>
          <w:sz w:val="24"/>
          <w:szCs w:val="24"/>
          <w:lang w:val="en-IN"/>
          <w14:ligatures w14:val="standardContextual"/>
        </w:rPr>
        <w:t xml:space="preserve"> exhibit very poor efficacy against gram-negative bacteria like </w:t>
      </w:r>
      <w:r w:rsidRPr="00AE3A9F">
        <w:rPr>
          <w:rFonts w:ascii="Times New Roman" w:eastAsia="Calibri" w:hAnsi="Times New Roman" w:cs="Times New Roman"/>
          <w:i/>
          <w:iCs/>
          <w:kern w:val="2"/>
          <w:sz w:val="24"/>
          <w:szCs w:val="24"/>
          <w:lang w:val="en-IN"/>
          <w14:ligatures w14:val="standardContextual"/>
        </w:rPr>
        <w:t>E. coli</w:t>
      </w:r>
      <w:r w:rsidRPr="00AE3A9F">
        <w:rPr>
          <w:rFonts w:ascii="Times New Roman" w:eastAsia="Calibri" w:hAnsi="Times New Roman" w:cs="Times New Roman"/>
          <w:kern w:val="2"/>
          <w:sz w:val="24"/>
          <w:szCs w:val="24"/>
          <w:lang w:val="en-IN"/>
          <w14:ligatures w14:val="standardContextual"/>
        </w:rPr>
        <w:t xml:space="preserve"> due to the hydrophobicity and membrane permeability, coincides with the findings of the [31]. Contrastingly, the Streptomycin, Tetracycline, Vancomycin, and </w:t>
      </w:r>
      <w:r w:rsidRPr="00FB099E">
        <w:rPr>
          <w:rFonts w:ascii="Times New Roman" w:eastAsia="Calibri" w:hAnsi="Times New Roman" w:cs="Times New Roman"/>
          <w:kern w:val="2"/>
          <w:sz w:val="24"/>
          <w:szCs w:val="24"/>
          <w:lang w:val="en-IN"/>
          <w14:ligatures w14:val="standardContextual"/>
        </w:rPr>
        <w:t xml:space="preserve">Neomycin followed a “threshold effect” means they revealed the bacteriostatic effects only in the higher concentrations may potentially leads to the resistant strain selection rather than the elimination when the lower concentrations were repeatedly administrated. An important concern highlighted in the in our results is the high sensitivity of the </w:t>
      </w:r>
      <w:r w:rsidRPr="00FB099E">
        <w:rPr>
          <w:rFonts w:ascii="Times New Roman" w:eastAsia="Calibri" w:hAnsi="Times New Roman" w:cs="Times New Roman"/>
          <w:i/>
          <w:iCs/>
          <w:kern w:val="2"/>
          <w:sz w:val="24"/>
          <w:szCs w:val="24"/>
          <w:lang w:val="en-IN"/>
          <w14:ligatures w14:val="standardContextual"/>
        </w:rPr>
        <w:t>lactobacillus spp</w:t>
      </w:r>
      <w:r w:rsidRPr="00FB099E">
        <w:rPr>
          <w:rFonts w:ascii="Times New Roman" w:eastAsia="Calibri" w:hAnsi="Times New Roman" w:cs="Times New Roman"/>
          <w:kern w:val="2"/>
          <w:sz w:val="24"/>
          <w:szCs w:val="24"/>
          <w:lang w:val="en-IN"/>
          <w14:ligatures w14:val="standardContextual"/>
        </w:rPr>
        <w:t xml:space="preserve">. against the all- tested GPAs. This outcome may arise from the resistant stillness of the </w:t>
      </w:r>
      <w:r w:rsidRPr="00FB099E">
        <w:rPr>
          <w:rFonts w:ascii="Times New Roman" w:eastAsia="Calibri" w:hAnsi="Times New Roman" w:cs="Times New Roman"/>
          <w:i/>
          <w:iCs/>
          <w:kern w:val="2"/>
          <w:sz w:val="24"/>
          <w:szCs w:val="24"/>
          <w:lang w:val="en-IN"/>
          <w14:ligatures w14:val="standardContextual"/>
        </w:rPr>
        <w:t xml:space="preserve">Lactobacillus </w:t>
      </w:r>
      <w:r w:rsidRPr="00FB099E">
        <w:rPr>
          <w:rFonts w:ascii="Times New Roman" w:eastAsia="Calibri" w:hAnsi="Times New Roman" w:cs="Times New Roman"/>
          <w:kern w:val="2"/>
          <w:sz w:val="24"/>
          <w:szCs w:val="24"/>
          <w:lang w:val="en-IN"/>
          <w14:ligatures w14:val="standardContextual"/>
        </w:rPr>
        <w:t xml:space="preserve">sp. in the broiler gut and these commensals were considered as “beneficial residents” and they may have not </w:t>
      </w:r>
      <w:r w:rsidRPr="00AE3A9F">
        <w:rPr>
          <w:rFonts w:ascii="Times New Roman" w:eastAsia="Calibri" w:hAnsi="Times New Roman" w:cs="Times New Roman"/>
          <w:kern w:val="2"/>
          <w:sz w:val="24"/>
          <w:szCs w:val="24"/>
          <w:lang w:val="en-IN"/>
          <w14:ligatures w14:val="standardContextual"/>
        </w:rPr>
        <w:t xml:space="preserve">evolved equivalent degrees of multidrug resistance like the other gut bacteria. Additionally, the same results were achieved by the [32] stating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sp</w:t>
      </w:r>
      <w:r w:rsidRPr="00AE3A9F">
        <w:rPr>
          <w:rFonts w:ascii="Times New Roman" w:eastAsia="Calibri" w:hAnsi="Times New Roman" w:cs="Times New Roman"/>
          <w:i/>
          <w:iCs/>
          <w:kern w:val="2"/>
          <w:sz w:val="24"/>
          <w:szCs w:val="24"/>
          <w:lang w:val="en-IN"/>
          <w14:ligatures w14:val="standardContextual"/>
        </w:rPr>
        <w:t xml:space="preserve">. </w:t>
      </w:r>
      <w:r w:rsidRPr="00AE3A9F">
        <w:rPr>
          <w:rFonts w:ascii="Times New Roman" w:eastAsia="Calibri" w:hAnsi="Times New Roman" w:cs="Times New Roman"/>
          <w:kern w:val="2"/>
          <w:sz w:val="24"/>
          <w:szCs w:val="24"/>
          <w:lang w:val="en-IN"/>
          <w14:ligatures w14:val="standardContextual"/>
        </w:rPr>
        <w:t xml:space="preserve">lacks the threshold resistance and this high level of inhibition may be attributed due to the initial responding behaviour of the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 xml:space="preserve">sp. in the gut against any oral antibiotic administration. furthermore, an important concern highlighted in the in our results is the high sensitivity of the </w:t>
      </w:r>
      <w:r w:rsidRPr="00AE3A9F">
        <w:rPr>
          <w:rFonts w:ascii="Times New Roman" w:eastAsia="Calibri" w:hAnsi="Times New Roman" w:cs="Times New Roman"/>
          <w:i/>
          <w:iCs/>
          <w:kern w:val="2"/>
          <w:sz w:val="24"/>
          <w:szCs w:val="24"/>
          <w:lang w:val="en-IN"/>
          <w14:ligatures w14:val="standardContextual"/>
        </w:rPr>
        <w:t xml:space="preserve">lactobacillus </w:t>
      </w:r>
      <w:r w:rsidRPr="00AE3A9F">
        <w:rPr>
          <w:rFonts w:ascii="Times New Roman" w:eastAsia="Calibri" w:hAnsi="Times New Roman" w:cs="Times New Roman"/>
          <w:kern w:val="2"/>
          <w:sz w:val="24"/>
          <w:szCs w:val="24"/>
          <w:lang w:val="en-IN"/>
          <w14:ligatures w14:val="standardContextual"/>
        </w:rPr>
        <w:t xml:space="preserve">sp. against the all-tested GPAs.  Our findings clearly </w:t>
      </w:r>
      <w:proofErr w:type="gramStart"/>
      <w:r w:rsidRPr="00AE3A9F">
        <w:rPr>
          <w:rFonts w:ascii="Times New Roman" w:eastAsia="Calibri" w:hAnsi="Times New Roman" w:cs="Times New Roman"/>
          <w:kern w:val="2"/>
          <w:sz w:val="24"/>
          <w:szCs w:val="24"/>
          <w:lang w:val="en-IN"/>
          <w14:ligatures w14:val="standardContextual"/>
        </w:rPr>
        <w:t>illustrates</w:t>
      </w:r>
      <w:proofErr w:type="gramEnd"/>
      <w:r w:rsidRPr="00AE3A9F">
        <w:rPr>
          <w:rFonts w:ascii="Times New Roman" w:eastAsia="Calibri" w:hAnsi="Times New Roman" w:cs="Times New Roman"/>
          <w:kern w:val="2"/>
          <w:sz w:val="24"/>
          <w:szCs w:val="24"/>
          <w:lang w:val="en-IN"/>
          <w14:ligatures w14:val="standardContextual"/>
        </w:rPr>
        <w:t xml:space="preserve"> that this kind of sensitivity pattern demand high concern, because these species are very crucial </w:t>
      </w:r>
      <w:r w:rsidRPr="00AE3A9F">
        <w:rPr>
          <w:rFonts w:ascii="Times New Roman" w:eastAsia="Calibri" w:hAnsi="Times New Roman" w:cs="Times New Roman"/>
          <w:kern w:val="2"/>
          <w:sz w:val="24"/>
          <w:szCs w:val="24"/>
          <w:lang w:val="en-IN"/>
          <w14:ligatures w14:val="standardContextual"/>
        </w:rPr>
        <w:lastRenderedPageBreak/>
        <w:t xml:space="preserve">for the short chain fatty acid production and the maintenance of lower intestinal pH [24, 33] and may leads to the dysbiosis, if it not systemically monitored. While provides significant quantitative data on antimicrobial susceptibility, our study has certain limitations including the </w:t>
      </w:r>
      <w:r w:rsidRPr="00FB099E">
        <w:rPr>
          <w:rFonts w:ascii="Times New Roman" w:eastAsia="Calibri" w:hAnsi="Times New Roman" w:cs="Times New Roman"/>
          <w:kern w:val="2"/>
          <w:sz w:val="24"/>
          <w:szCs w:val="24"/>
          <w:lang w:val="en-IN"/>
          <w14:ligatures w14:val="standardContextual"/>
        </w:rPr>
        <w:t>In</w:t>
      </w:r>
      <w:r w:rsidRPr="00FB099E">
        <w:rPr>
          <w:rFonts w:ascii="Times New Roman" w:eastAsia="Calibri" w:hAnsi="Times New Roman" w:cs="Times New Roman"/>
          <w:i/>
          <w:iCs/>
          <w:kern w:val="2"/>
          <w:sz w:val="24"/>
          <w:szCs w:val="24"/>
          <w:lang w:val="en-IN"/>
          <w14:ligatures w14:val="standardContextual"/>
        </w:rPr>
        <w:t xml:space="preserve"> vitro</w:t>
      </w:r>
      <w:r w:rsidRPr="00FB099E">
        <w:rPr>
          <w:rFonts w:ascii="Times New Roman" w:eastAsia="Calibri" w:hAnsi="Times New Roman" w:cs="Times New Roman"/>
          <w:kern w:val="2"/>
          <w:sz w:val="24"/>
          <w:szCs w:val="24"/>
          <w:lang w:val="en-IN"/>
          <w14:ligatures w14:val="standardContextual"/>
        </w:rPr>
        <w:t xml:space="preserve"> nature of the investigation, number of gut isolates tested, and the high reliance of the phenotypic susceptibility testing. In spite of these limitations, our study acts as a critical baseline for understanding the concentration-dependent effects of growth-promoting antibiotics and emphasize the significant risk of collateral damage to the beneficial bacteria in the broiler gut. The findings of our study also stress some important futuristic aspects like </w:t>
      </w:r>
      <w:r w:rsidRPr="00FB099E">
        <w:rPr>
          <w:rFonts w:ascii="Times New Roman" w:eastAsia="Calibri" w:hAnsi="Times New Roman" w:cs="Times New Roman"/>
          <w:i/>
          <w:iCs/>
          <w:kern w:val="2"/>
          <w:sz w:val="24"/>
          <w:szCs w:val="24"/>
          <w:lang w:val="en-IN"/>
          <w14:ligatures w14:val="standardContextual"/>
        </w:rPr>
        <w:t>In vitro</w:t>
      </w:r>
      <w:r w:rsidRPr="00FB099E">
        <w:rPr>
          <w:rFonts w:ascii="Times New Roman" w:eastAsia="Calibri" w:hAnsi="Times New Roman" w:cs="Times New Roman"/>
          <w:kern w:val="2"/>
          <w:sz w:val="24"/>
          <w:szCs w:val="24"/>
          <w:lang w:val="en-IN"/>
          <w14:ligatures w14:val="standardContextual"/>
        </w:rPr>
        <w:t xml:space="preserve"> models to </w:t>
      </w:r>
      <w:r w:rsidRPr="00FB099E">
        <w:rPr>
          <w:rFonts w:ascii="Times New Roman" w:eastAsia="Calibri" w:hAnsi="Times New Roman" w:cs="Times New Roman"/>
          <w:i/>
          <w:iCs/>
          <w:kern w:val="2"/>
          <w:sz w:val="24"/>
          <w:szCs w:val="24"/>
          <w:lang w:val="en-IN"/>
          <w14:ligatures w14:val="standardContextual"/>
        </w:rPr>
        <w:t>In vivo</w:t>
      </w:r>
      <w:r w:rsidRPr="00FB099E">
        <w:rPr>
          <w:rFonts w:ascii="Times New Roman" w:eastAsia="Calibri" w:hAnsi="Times New Roman" w:cs="Times New Roman"/>
          <w:kern w:val="2"/>
          <w:sz w:val="24"/>
          <w:szCs w:val="24"/>
          <w:lang w:val="en-IN"/>
          <w14:ligatures w14:val="standardContextual"/>
        </w:rPr>
        <w:t xml:space="preserve"> trials, integrating Molecular and Metagenomic analysis and targeted alternatives to the GPA to reduce the usage of the growth promoting antibiotics and control the emergence the antimicrobial resistance in the broiler chicken production. </w:t>
      </w:r>
    </w:p>
    <w:p w14:paraId="4D1B2D95"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 xml:space="preserve">5. Conclusion </w:t>
      </w:r>
    </w:p>
    <w:p w14:paraId="26B09582"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This investigation statistically tested and proved that antimicrobial susceptibility dynamics of eight growth-promoting antibiotics against </w:t>
      </w:r>
      <w:r w:rsidRPr="00FB099E">
        <w:rPr>
          <w:rFonts w:ascii="Times New Roman" w:eastAsia="Calibri" w:hAnsi="Times New Roman" w:cs="Times New Roman"/>
          <w:i/>
          <w:iCs/>
          <w:kern w:val="2"/>
          <w:sz w:val="24"/>
          <w:szCs w:val="24"/>
          <w:lang w:val="en-IN"/>
          <w14:ligatures w14:val="standardContextual"/>
        </w:rPr>
        <w:t>E. coli</w:t>
      </w:r>
      <w:r w:rsidRPr="00FB099E">
        <w:rPr>
          <w:rFonts w:ascii="Times New Roman" w:eastAsia="Calibri" w:hAnsi="Times New Roman" w:cs="Times New Roman"/>
          <w:kern w:val="2"/>
          <w:sz w:val="24"/>
          <w:szCs w:val="24"/>
          <w:lang w:val="en-IN"/>
          <w14:ligatures w14:val="standardContextual"/>
        </w:rPr>
        <w:t xml:space="preserve"> and the </w:t>
      </w:r>
      <w:r w:rsidRPr="00FB099E">
        <w:rPr>
          <w:rFonts w:ascii="Times New Roman" w:eastAsia="Calibri" w:hAnsi="Times New Roman" w:cs="Times New Roman"/>
          <w:i/>
          <w:iCs/>
          <w:kern w:val="2"/>
          <w:sz w:val="24"/>
          <w:szCs w:val="24"/>
          <w:lang w:val="en-IN"/>
          <w14:ligatures w14:val="standardContextual"/>
        </w:rPr>
        <w:t>Lactobacillus</w:t>
      </w:r>
      <w:r w:rsidRPr="00FB099E">
        <w:rPr>
          <w:rFonts w:ascii="Times New Roman" w:eastAsia="Calibri" w:hAnsi="Times New Roman" w:cs="Times New Roman"/>
          <w:kern w:val="2"/>
          <w:sz w:val="24"/>
          <w:szCs w:val="24"/>
          <w:lang w:val="en-IN"/>
          <w14:ligatures w14:val="standardContextual"/>
        </w:rPr>
        <w:t xml:space="preserve"> sp.</w:t>
      </w:r>
      <w:r w:rsidRPr="00FB099E">
        <w:rPr>
          <w:rFonts w:ascii="Times New Roman" w:eastAsia="Calibri" w:hAnsi="Times New Roman" w:cs="Times New Roman"/>
          <w:i/>
          <w:iCs/>
          <w:kern w:val="2"/>
          <w:sz w:val="24"/>
          <w:szCs w:val="24"/>
          <w:lang w:val="en-IN"/>
          <w14:ligatures w14:val="standardContextual"/>
        </w:rPr>
        <w:t xml:space="preserve"> </w:t>
      </w:r>
      <w:r w:rsidRPr="00FB099E">
        <w:rPr>
          <w:rFonts w:ascii="Times New Roman" w:eastAsia="Calibri" w:hAnsi="Times New Roman" w:cs="Times New Roman"/>
          <w:kern w:val="2"/>
          <w:sz w:val="24"/>
          <w:szCs w:val="24"/>
          <w:lang w:val="en-IN"/>
          <w14:ligatures w14:val="standardContextual"/>
        </w:rPr>
        <w:t>isolated from the intestine of the broiler chicken and the high coefficient of determination and the statistical significance (</w:t>
      </w:r>
      <w:r w:rsidRPr="00FB099E">
        <w:rPr>
          <w:rFonts w:ascii="Times New Roman" w:eastAsia="Calibri" w:hAnsi="Times New Roman" w:cs="Times New Roman"/>
          <w:i/>
          <w:iCs/>
          <w:kern w:val="2"/>
          <w:sz w:val="24"/>
          <w:szCs w:val="24"/>
          <w:lang w:val="en-IN"/>
          <w14:ligatures w14:val="standardContextual"/>
        </w:rPr>
        <w:t>p&lt;0.01)</w:t>
      </w:r>
      <w:r w:rsidRPr="00FB099E">
        <w:rPr>
          <w:rFonts w:ascii="Times New Roman" w:eastAsia="Calibri" w:hAnsi="Times New Roman" w:cs="Times New Roman"/>
          <w:kern w:val="2"/>
          <w:sz w:val="24"/>
          <w:szCs w:val="24"/>
          <w:lang w:val="en-IN"/>
          <w14:ligatures w14:val="standardContextual"/>
        </w:rPr>
        <w:t xml:space="preserve">, validated the reliability of the EC50 values in explaining the antibacterial potency among the all-tested concentrations. The results suggested that Enrofloxacin and Oxytetracycline showed the maximum antibacterial efficacy against the selected bacteria in </w:t>
      </w:r>
      <w:r w:rsidRPr="00FB099E">
        <w:rPr>
          <w:rFonts w:ascii="Times New Roman" w:eastAsia="Calibri" w:hAnsi="Times New Roman" w:cs="Times New Roman"/>
          <w:i/>
          <w:iCs/>
          <w:kern w:val="2"/>
          <w:sz w:val="24"/>
          <w:szCs w:val="24"/>
          <w:lang w:val="en-IN"/>
          <w14:ligatures w14:val="standardContextual"/>
        </w:rPr>
        <w:t>In vitro</w:t>
      </w:r>
      <w:r w:rsidRPr="00FB099E">
        <w:rPr>
          <w:rFonts w:ascii="Times New Roman" w:eastAsia="Calibri" w:hAnsi="Times New Roman" w:cs="Times New Roman"/>
          <w:kern w:val="2"/>
          <w:sz w:val="24"/>
          <w:szCs w:val="24"/>
          <w:lang w:val="en-IN"/>
          <w14:ligatures w14:val="standardContextual"/>
        </w:rPr>
        <w:t xml:space="preserve">, whereas </w:t>
      </w:r>
      <w:proofErr w:type="spellStart"/>
      <w:r w:rsidRPr="00FB099E">
        <w:rPr>
          <w:rFonts w:ascii="Times New Roman" w:eastAsia="Calibri" w:hAnsi="Times New Roman" w:cs="Times New Roman"/>
          <w:kern w:val="2"/>
          <w:sz w:val="24"/>
          <w:szCs w:val="24"/>
          <w:lang w:val="en-IN"/>
          <w14:ligatures w14:val="standardContextual"/>
        </w:rPr>
        <w:t>tylosin</w:t>
      </w:r>
      <w:proofErr w:type="spellEnd"/>
      <w:r w:rsidRPr="00FB099E">
        <w:rPr>
          <w:rFonts w:ascii="Times New Roman" w:eastAsia="Calibri" w:hAnsi="Times New Roman" w:cs="Times New Roman"/>
          <w:kern w:val="2"/>
          <w:sz w:val="24"/>
          <w:szCs w:val="24"/>
          <w:lang w:val="en-IN"/>
          <w14:ligatures w14:val="standardContextual"/>
        </w:rPr>
        <w:t xml:space="preserve"> demonstrated a complete resistance contrastingly. This results clearly illustrates that the regular administration of minimal concentrations of these antibiotics can leads to the non-selection and dysbiosis of the other beneficial bacterial targets and may this phenomenon replicated in vivo environment and over usage of these broad spectral antibiotics may potentially disrupt the intestinal microbial homeostasis leading to depletion of the native beneficial bacteria, secondary infections and ultimately reduce the nutrition absorption in the processing in the broiler chicken.</w:t>
      </w:r>
    </w:p>
    <w:p w14:paraId="5F6450AD" w14:textId="77777777" w:rsidR="00FB099E" w:rsidRPr="00FB099E" w:rsidRDefault="00FB099E" w:rsidP="00FB099E">
      <w:pPr>
        <w:bidi w:val="0"/>
        <w:spacing w:line="480" w:lineRule="auto"/>
        <w:jc w:val="both"/>
        <w:rPr>
          <w:rFonts w:ascii="Times New Roman" w:eastAsia="Calibri" w:hAnsi="Times New Roman" w:cs="Times New Roman"/>
          <w:b/>
          <w:bCs/>
          <w:kern w:val="2"/>
          <w:sz w:val="24"/>
          <w:szCs w:val="24"/>
          <w:lang w:val="en-IN"/>
          <w14:ligatures w14:val="standardContextual"/>
        </w:rPr>
      </w:pPr>
      <w:r w:rsidRPr="00FB099E">
        <w:rPr>
          <w:rFonts w:ascii="Times New Roman" w:eastAsia="Calibri" w:hAnsi="Times New Roman" w:cs="Times New Roman"/>
          <w:b/>
          <w:bCs/>
          <w:kern w:val="2"/>
          <w:sz w:val="24"/>
          <w:szCs w:val="24"/>
          <w:lang w:val="en-IN"/>
          <w14:ligatures w14:val="standardContextual"/>
        </w:rPr>
        <w:lastRenderedPageBreak/>
        <w:t xml:space="preserve">8. Declaration of AI use </w:t>
      </w:r>
    </w:p>
    <w:p w14:paraId="2677DC62"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Authors hereby declares that NO generative AI technologies such as Large Language Models (</w:t>
      </w:r>
      <w:proofErr w:type="spellStart"/>
      <w:r w:rsidRPr="00FB099E">
        <w:rPr>
          <w:rFonts w:ascii="Times New Roman" w:eastAsia="Calibri" w:hAnsi="Times New Roman" w:cs="Times New Roman"/>
          <w:kern w:val="2"/>
          <w:sz w:val="24"/>
          <w:szCs w:val="24"/>
          <w:lang w:val="en-IN"/>
          <w14:ligatures w14:val="standardContextual"/>
        </w:rPr>
        <w:t>ChatGPT</w:t>
      </w:r>
      <w:proofErr w:type="spellEnd"/>
      <w:r w:rsidRPr="00FB099E">
        <w:rPr>
          <w:rFonts w:ascii="Times New Roman" w:eastAsia="Calibri" w:hAnsi="Times New Roman" w:cs="Times New Roman"/>
          <w:kern w:val="2"/>
          <w:sz w:val="24"/>
          <w:szCs w:val="24"/>
          <w:lang w:val="en-IN"/>
          <w14:ligatures w14:val="standardContextual"/>
        </w:rPr>
        <w:t>, COPILOT, etc) and text-to-image generators have been used during writing or editing of this manuscript.</w:t>
      </w:r>
    </w:p>
    <w:p w14:paraId="5F4E65C7"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b/>
          <w:bCs/>
          <w:kern w:val="2"/>
          <w:sz w:val="24"/>
          <w:szCs w:val="24"/>
          <w:lang w:val="en-IN"/>
          <w14:ligatures w14:val="standardContextual"/>
        </w:rPr>
        <w:t xml:space="preserve">9. Competing interests </w:t>
      </w:r>
    </w:p>
    <w:p w14:paraId="5DA37CC0" w14:textId="77777777" w:rsidR="00FB099E" w:rsidRPr="00FB099E" w:rsidRDefault="00FB099E" w:rsidP="00FB099E">
      <w:p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Authors have declared that no competing interests exist.</w:t>
      </w:r>
    </w:p>
    <w:p w14:paraId="63F5BC72" w14:textId="77777777" w:rsidR="00FB099E" w:rsidRPr="00FB099E" w:rsidRDefault="00FB099E" w:rsidP="00FB099E">
      <w:pPr>
        <w:bidi w:val="0"/>
        <w:spacing w:line="480" w:lineRule="auto"/>
        <w:jc w:val="both"/>
        <w:rPr>
          <w:rFonts w:ascii="Times New Roman" w:eastAsia="Calibri" w:hAnsi="Times New Roman" w:cs="Times New Roman"/>
          <w:b/>
          <w:bCs/>
          <w:kern w:val="2"/>
          <w:sz w:val="28"/>
          <w:szCs w:val="28"/>
          <w:lang w:val="en-IN"/>
          <w14:ligatures w14:val="standardContextual"/>
        </w:rPr>
      </w:pPr>
      <w:r w:rsidRPr="00FB099E">
        <w:rPr>
          <w:rFonts w:ascii="Times New Roman" w:eastAsia="Calibri" w:hAnsi="Times New Roman" w:cs="Times New Roman"/>
          <w:b/>
          <w:bCs/>
          <w:kern w:val="2"/>
          <w:sz w:val="28"/>
          <w:szCs w:val="28"/>
          <w:lang w:val="en-IN"/>
          <w14:ligatures w14:val="standardContextual"/>
        </w:rPr>
        <w:t>References</w:t>
      </w:r>
    </w:p>
    <w:p w14:paraId="654B546D" w14:textId="77777777" w:rsidR="00FB099E" w:rsidRPr="00FB099E" w:rsidRDefault="00FB099E" w:rsidP="00FB099E">
      <w:pPr>
        <w:numPr>
          <w:ilvl w:val="0"/>
          <w:numId w:val="5"/>
        </w:numPr>
        <w:bidi w:val="0"/>
        <w:spacing w:line="480" w:lineRule="auto"/>
        <w:contextualSpacing/>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Tona</w:t>
      </w:r>
      <w:proofErr w:type="spellEnd"/>
      <w:r w:rsidRPr="00FB099E">
        <w:rPr>
          <w:rFonts w:ascii="Times New Roman" w:eastAsia="Calibri" w:hAnsi="Times New Roman" w:cs="Times New Roman"/>
          <w:kern w:val="2"/>
          <w:sz w:val="24"/>
          <w:szCs w:val="24"/>
          <w:lang w:val="en-IN"/>
          <w14:ligatures w14:val="standardContextual"/>
        </w:rPr>
        <w:t>, G. O. (2018). Current and Future Improvements in Livestock. </w:t>
      </w:r>
      <w:r w:rsidRPr="00FB099E">
        <w:rPr>
          <w:rFonts w:ascii="Times New Roman" w:eastAsia="Calibri" w:hAnsi="Times New Roman" w:cs="Times New Roman"/>
          <w:i/>
          <w:iCs/>
          <w:kern w:val="2"/>
          <w:sz w:val="24"/>
          <w:szCs w:val="24"/>
          <w:lang w:val="en-IN"/>
          <w14:ligatures w14:val="standardContextual"/>
        </w:rPr>
        <w:t>Animal husbandry and nutrition</w:t>
      </w:r>
      <w:r w:rsidRPr="00FB099E">
        <w:rPr>
          <w:rFonts w:ascii="Times New Roman" w:eastAsia="Calibri" w:hAnsi="Times New Roman" w:cs="Times New Roman"/>
          <w:kern w:val="2"/>
          <w:sz w:val="24"/>
          <w:szCs w:val="24"/>
          <w:lang w:val="en-IN"/>
          <w14:ligatures w14:val="standardContextual"/>
        </w:rPr>
        <w:t>, 147.</w:t>
      </w:r>
    </w:p>
    <w:p w14:paraId="15F2D2D6" w14:textId="77777777" w:rsidR="00FB099E" w:rsidRPr="00FB099E" w:rsidRDefault="00FB099E" w:rsidP="00FB099E">
      <w:pPr>
        <w:numPr>
          <w:ilvl w:val="0"/>
          <w:numId w:val="5"/>
        </w:numPr>
        <w:bidi w:val="0"/>
        <w:spacing w:line="480" w:lineRule="auto"/>
        <w:contextualSpacing/>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Meluzzi</w:t>
      </w:r>
      <w:proofErr w:type="spellEnd"/>
      <w:r w:rsidRPr="00FB099E">
        <w:rPr>
          <w:rFonts w:ascii="Times New Roman" w:eastAsia="Calibri" w:hAnsi="Times New Roman" w:cs="Times New Roman"/>
          <w:kern w:val="2"/>
          <w:sz w:val="24"/>
          <w:szCs w:val="24"/>
          <w:lang w:val="en-IN"/>
          <w14:ligatures w14:val="standardContextual"/>
        </w:rPr>
        <w:t xml:space="preserve">, A., &amp; </w:t>
      </w:r>
      <w:proofErr w:type="spellStart"/>
      <w:r w:rsidRPr="00FB099E">
        <w:rPr>
          <w:rFonts w:ascii="Times New Roman" w:eastAsia="Calibri" w:hAnsi="Times New Roman" w:cs="Times New Roman"/>
          <w:kern w:val="2"/>
          <w:sz w:val="24"/>
          <w:szCs w:val="24"/>
          <w:lang w:val="en-IN"/>
          <w14:ligatures w14:val="standardContextual"/>
        </w:rPr>
        <w:t>Sirri</w:t>
      </w:r>
      <w:proofErr w:type="spellEnd"/>
      <w:r w:rsidRPr="00FB099E">
        <w:rPr>
          <w:rFonts w:ascii="Times New Roman" w:eastAsia="Calibri" w:hAnsi="Times New Roman" w:cs="Times New Roman"/>
          <w:kern w:val="2"/>
          <w:sz w:val="24"/>
          <w:szCs w:val="24"/>
          <w:lang w:val="en-IN"/>
          <w14:ligatures w14:val="standardContextual"/>
        </w:rPr>
        <w:t>, F. (2009). Welfare of broiler chickens. </w:t>
      </w:r>
      <w:r w:rsidRPr="00FB099E">
        <w:rPr>
          <w:rFonts w:ascii="Times New Roman" w:eastAsia="Calibri" w:hAnsi="Times New Roman" w:cs="Times New Roman"/>
          <w:i/>
          <w:iCs/>
          <w:kern w:val="2"/>
          <w:sz w:val="24"/>
          <w:szCs w:val="24"/>
          <w:lang w:val="en-IN"/>
          <w14:ligatures w14:val="standardContextual"/>
        </w:rPr>
        <w:t>Italian Journal of Animal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8</w:t>
      </w:r>
      <w:r w:rsidRPr="00FB099E">
        <w:rPr>
          <w:rFonts w:ascii="Times New Roman" w:eastAsia="Calibri" w:hAnsi="Times New Roman" w:cs="Times New Roman"/>
          <w:kern w:val="2"/>
          <w:sz w:val="24"/>
          <w:szCs w:val="24"/>
          <w:lang w:val="en-IN"/>
          <w14:ligatures w14:val="standardContextual"/>
        </w:rPr>
        <w:t>(sup1), 161-173.</w:t>
      </w:r>
    </w:p>
    <w:p w14:paraId="1F8F0B2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Apalowo, O. O., Ekunseitan, D. A., &amp; Fasina, Y. O. (2024). </w:t>
      </w:r>
      <w:r w:rsidRPr="00FB099E">
        <w:rPr>
          <w:rFonts w:ascii="Times New Roman" w:eastAsia="Calibri" w:hAnsi="Times New Roman" w:cs="Times New Roman"/>
          <w:kern w:val="2"/>
          <w:sz w:val="24"/>
          <w:szCs w:val="24"/>
          <w:lang w:val="en-IN"/>
          <w14:ligatures w14:val="standardContextual"/>
        </w:rPr>
        <w:t>Impact of heat stress on broiler chicken production. </w:t>
      </w:r>
      <w:r w:rsidRPr="00FB099E">
        <w:rPr>
          <w:rFonts w:ascii="Times New Roman" w:eastAsia="Calibri" w:hAnsi="Times New Roman" w:cs="Times New Roman"/>
          <w:i/>
          <w:iCs/>
          <w:kern w:val="2"/>
          <w:sz w:val="24"/>
          <w:szCs w:val="24"/>
          <w:lang w:val="en-IN"/>
          <w14:ligatures w14:val="standardContextual"/>
        </w:rPr>
        <w:t>Poultry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3</w:t>
      </w:r>
      <w:r w:rsidRPr="00FB099E">
        <w:rPr>
          <w:rFonts w:ascii="Times New Roman" w:eastAsia="Calibri" w:hAnsi="Times New Roman" w:cs="Times New Roman"/>
          <w:kern w:val="2"/>
          <w:sz w:val="24"/>
          <w:szCs w:val="24"/>
          <w:lang w:val="en-IN"/>
          <w14:ligatures w14:val="standardContextual"/>
        </w:rPr>
        <w:t>(2), 107-128.</w:t>
      </w:r>
    </w:p>
    <w:p w14:paraId="4DAC7000"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Chattopadhyay, M. K. (2014). Use of antibiotics as feed additives: a burning question. </w:t>
      </w:r>
      <w:r w:rsidRPr="00FB099E">
        <w:rPr>
          <w:rFonts w:ascii="Times New Roman" w:eastAsia="Calibri" w:hAnsi="Times New Roman" w:cs="Times New Roman"/>
          <w:i/>
          <w:iCs/>
          <w:kern w:val="2"/>
          <w:sz w:val="24"/>
          <w:szCs w:val="24"/>
          <w:lang w:val="en-IN"/>
          <w14:ligatures w14:val="standardContextual"/>
        </w:rPr>
        <w:t>Frontiers in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5</w:t>
      </w:r>
      <w:r w:rsidRPr="00FB099E">
        <w:rPr>
          <w:rFonts w:ascii="Times New Roman" w:eastAsia="Calibri" w:hAnsi="Times New Roman" w:cs="Times New Roman"/>
          <w:kern w:val="2"/>
          <w:sz w:val="24"/>
          <w:szCs w:val="24"/>
          <w:lang w:val="en-IN"/>
          <w14:ligatures w14:val="standardContextual"/>
        </w:rPr>
        <w:t>, 334.</w:t>
      </w:r>
    </w:p>
    <w:p w14:paraId="6B5181BF"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Gaonkar, P. P., &amp; Huber, L. (2025). </w:t>
      </w:r>
      <w:r w:rsidRPr="00FB099E">
        <w:rPr>
          <w:rFonts w:ascii="Times New Roman" w:eastAsia="Calibri" w:hAnsi="Times New Roman" w:cs="Times New Roman"/>
          <w:kern w:val="2"/>
          <w:sz w:val="24"/>
          <w:szCs w:val="24"/>
          <w:lang w:val="en-IN"/>
          <w14:ligatures w14:val="standardContextual"/>
        </w:rPr>
        <w:t>Addressing antimicrobial resistance in United States poultry: the critical need for environmental surveillance. </w:t>
      </w:r>
      <w:r w:rsidRPr="00FB099E">
        <w:rPr>
          <w:rFonts w:ascii="Times New Roman" w:eastAsia="Calibri" w:hAnsi="Times New Roman" w:cs="Times New Roman"/>
          <w:i/>
          <w:iCs/>
          <w:kern w:val="2"/>
          <w:sz w:val="24"/>
          <w:szCs w:val="24"/>
          <w:lang w:val="en-IN"/>
          <w14:ligatures w14:val="standardContextual"/>
        </w:rPr>
        <w:t>Journal of the American Veterinary Medical Association</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263</w:t>
      </w:r>
      <w:r w:rsidRPr="00FB099E">
        <w:rPr>
          <w:rFonts w:ascii="Times New Roman" w:eastAsia="Calibri" w:hAnsi="Times New Roman" w:cs="Times New Roman"/>
          <w:kern w:val="2"/>
          <w:sz w:val="24"/>
          <w:szCs w:val="24"/>
          <w:lang w:val="en-IN"/>
          <w14:ligatures w14:val="standardContextual"/>
        </w:rPr>
        <w:t>(12), 1481-1489.</w:t>
      </w:r>
    </w:p>
    <w:p w14:paraId="30EB5CBF"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Graham, D. W., Bergeron, G., Bourassa, M. W., Dickson, J., Gomes, F., Howe, A., ... &amp; </w:t>
      </w:r>
      <w:proofErr w:type="spellStart"/>
      <w:r w:rsidRPr="00FB099E">
        <w:rPr>
          <w:rFonts w:ascii="Times New Roman" w:eastAsia="Calibri" w:hAnsi="Times New Roman" w:cs="Times New Roman"/>
          <w:kern w:val="2"/>
          <w:sz w:val="24"/>
          <w:szCs w:val="24"/>
          <w:lang w:val="en-IN"/>
          <w14:ligatures w14:val="standardContextual"/>
        </w:rPr>
        <w:t>Wittum</w:t>
      </w:r>
      <w:proofErr w:type="spellEnd"/>
      <w:r w:rsidRPr="00FB099E">
        <w:rPr>
          <w:rFonts w:ascii="Times New Roman" w:eastAsia="Calibri" w:hAnsi="Times New Roman" w:cs="Times New Roman"/>
          <w:kern w:val="2"/>
          <w:sz w:val="24"/>
          <w:szCs w:val="24"/>
          <w:lang w:val="en-IN"/>
          <w14:ligatures w14:val="standardContextual"/>
        </w:rPr>
        <w:t>, T. E. (2019). Complexities in understanding antimicrobial resistance across domesticated animal, human, and environmental systems. </w:t>
      </w:r>
      <w:r w:rsidRPr="00FB099E">
        <w:rPr>
          <w:rFonts w:ascii="Times New Roman" w:eastAsia="Calibri" w:hAnsi="Times New Roman" w:cs="Times New Roman"/>
          <w:i/>
          <w:iCs/>
          <w:kern w:val="2"/>
          <w:sz w:val="24"/>
          <w:szCs w:val="24"/>
          <w:lang w:val="en-IN"/>
          <w14:ligatures w14:val="standardContextual"/>
        </w:rPr>
        <w:t>Annals of the New York Academy of Sciences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1441</w:t>
      </w:r>
      <w:r w:rsidRPr="00FB099E">
        <w:rPr>
          <w:rFonts w:ascii="Times New Roman" w:eastAsia="Calibri" w:hAnsi="Times New Roman" w:cs="Times New Roman"/>
          <w:kern w:val="2"/>
          <w:sz w:val="24"/>
          <w:szCs w:val="24"/>
          <w:lang w:val="en-IN"/>
          <w14:ligatures w14:val="standardContextual"/>
        </w:rPr>
        <w:t>(1), 17-30.</w:t>
      </w:r>
    </w:p>
    <w:p w14:paraId="5051D5A4"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lastRenderedPageBreak/>
        <w:t>Butaye</w:t>
      </w:r>
      <w:proofErr w:type="spellEnd"/>
      <w:r w:rsidRPr="00FB099E">
        <w:rPr>
          <w:rFonts w:ascii="Times New Roman" w:eastAsia="Calibri" w:hAnsi="Times New Roman" w:cs="Times New Roman"/>
          <w:kern w:val="2"/>
          <w:sz w:val="24"/>
          <w:szCs w:val="24"/>
          <w:lang w:val="en-IN"/>
          <w14:ligatures w14:val="standardContextual"/>
        </w:rPr>
        <w:t xml:space="preserve">, P., </w:t>
      </w:r>
      <w:proofErr w:type="spellStart"/>
      <w:r w:rsidRPr="00FB099E">
        <w:rPr>
          <w:rFonts w:ascii="Times New Roman" w:eastAsia="Calibri" w:hAnsi="Times New Roman" w:cs="Times New Roman"/>
          <w:kern w:val="2"/>
          <w:sz w:val="24"/>
          <w:szCs w:val="24"/>
          <w:lang w:val="en-IN"/>
          <w14:ligatures w14:val="standardContextual"/>
        </w:rPr>
        <w:t>Devriese</w:t>
      </w:r>
      <w:proofErr w:type="spellEnd"/>
      <w:r w:rsidRPr="00FB099E">
        <w:rPr>
          <w:rFonts w:ascii="Times New Roman" w:eastAsia="Calibri" w:hAnsi="Times New Roman" w:cs="Times New Roman"/>
          <w:kern w:val="2"/>
          <w:sz w:val="24"/>
          <w:szCs w:val="24"/>
          <w:lang w:val="en-IN"/>
          <w14:ligatures w14:val="standardContextual"/>
        </w:rPr>
        <w:t xml:space="preserve">, L. A., &amp; </w:t>
      </w:r>
      <w:proofErr w:type="spellStart"/>
      <w:r w:rsidRPr="00FB099E">
        <w:rPr>
          <w:rFonts w:ascii="Times New Roman" w:eastAsia="Calibri" w:hAnsi="Times New Roman" w:cs="Times New Roman"/>
          <w:kern w:val="2"/>
          <w:sz w:val="24"/>
          <w:szCs w:val="24"/>
          <w:lang w:val="en-IN"/>
          <w14:ligatures w14:val="standardContextual"/>
        </w:rPr>
        <w:t>Haesebrouck</w:t>
      </w:r>
      <w:proofErr w:type="spellEnd"/>
      <w:r w:rsidRPr="00FB099E">
        <w:rPr>
          <w:rFonts w:ascii="Times New Roman" w:eastAsia="Calibri" w:hAnsi="Times New Roman" w:cs="Times New Roman"/>
          <w:kern w:val="2"/>
          <w:sz w:val="24"/>
          <w:szCs w:val="24"/>
          <w:lang w:val="en-IN"/>
          <w14:ligatures w14:val="standardContextual"/>
        </w:rPr>
        <w:t>, F. (2003). Antimicrobial growth promoters used in animal feed: effects of less well-known antibiotics on gram-positive bacteria. </w:t>
      </w:r>
      <w:r w:rsidRPr="00FB099E">
        <w:rPr>
          <w:rFonts w:ascii="Times New Roman" w:eastAsia="Calibri" w:hAnsi="Times New Roman" w:cs="Times New Roman"/>
          <w:i/>
          <w:iCs/>
          <w:kern w:val="2"/>
          <w:sz w:val="24"/>
          <w:szCs w:val="24"/>
          <w:lang w:val="en-IN"/>
          <w14:ligatures w14:val="standardContextual"/>
        </w:rPr>
        <w:t>Clinical microbiology reviews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16</w:t>
      </w:r>
      <w:r w:rsidRPr="00FB099E">
        <w:rPr>
          <w:rFonts w:ascii="Times New Roman" w:eastAsia="Calibri" w:hAnsi="Times New Roman" w:cs="Times New Roman"/>
          <w:kern w:val="2"/>
          <w:sz w:val="24"/>
          <w:szCs w:val="24"/>
          <w:lang w:val="en-IN"/>
          <w14:ligatures w14:val="standardContextual"/>
        </w:rPr>
        <w:t>(2), 175-188.</w:t>
      </w:r>
    </w:p>
    <w:p w14:paraId="6E7DCEA4"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Gupta, C. L., Blum, S. E., </w:t>
      </w:r>
      <w:proofErr w:type="spellStart"/>
      <w:r w:rsidRPr="00FB099E">
        <w:rPr>
          <w:rFonts w:ascii="Times New Roman" w:eastAsia="Calibri" w:hAnsi="Times New Roman" w:cs="Times New Roman"/>
          <w:kern w:val="2"/>
          <w:sz w:val="24"/>
          <w:szCs w:val="24"/>
          <w:lang w:val="en-IN"/>
          <w14:ligatures w14:val="standardContextual"/>
        </w:rPr>
        <w:t>Kattusamy</w:t>
      </w:r>
      <w:proofErr w:type="spellEnd"/>
      <w:r w:rsidRPr="00FB099E">
        <w:rPr>
          <w:rFonts w:ascii="Times New Roman" w:eastAsia="Calibri" w:hAnsi="Times New Roman" w:cs="Times New Roman"/>
          <w:kern w:val="2"/>
          <w:sz w:val="24"/>
          <w:szCs w:val="24"/>
          <w:lang w:val="en-IN"/>
          <w14:ligatures w14:val="standardContextual"/>
        </w:rPr>
        <w:t xml:space="preserve">, K., Daniel, T., </w:t>
      </w:r>
      <w:proofErr w:type="spellStart"/>
      <w:r w:rsidRPr="00FB099E">
        <w:rPr>
          <w:rFonts w:ascii="Times New Roman" w:eastAsia="Calibri" w:hAnsi="Times New Roman" w:cs="Times New Roman"/>
          <w:kern w:val="2"/>
          <w:sz w:val="24"/>
          <w:szCs w:val="24"/>
          <w:lang w:val="en-IN"/>
          <w14:ligatures w14:val="standardContextual"/>
        </w:rPr>
        <w:t>Druyan</w:t>
      </w:r>
      <w:proofErr w:type="spellEnd"/>
      <w:r w:rsidRPr="00FB099E">
        <w:rPr>
          <w:rFonts w:ascii="Times New Roman" w:eastAsia="Calibri" w:hAnsi="Times New Roman" w:cs="Times New Roman"/>
          <w:kern w:val="2"/>
          <w:sz w:val="24"/>
          <w:szCs w:val="24"/>
          <w:lang w:val="en-IN"/>
          <w14:ligatures w14:val="standardContextual"/>
        </w:rPr>
        <w:t xml:space="preserve">, S., Shapira, R., ... &amp; </w:t>
      </w:r>
      <w:proofErr w:type="spellStart"/>
      <w:r w:rsidRPr="00FB099E">
        <w:rPr>
          <w:rFonts w:ascii="Times New Roman" w:eastAsia="Calibri" w:hAnsi="Times New Roman" w:cs="Times New Roman"/>
          <w:kern w:val="2"/>
          <w:sz w:val="24"/>
          <w:szCs w:val="24"/>
          <w:lang w:val="en-IN"/>
          <w14:ligatures w14:val="standardContextual"/>
        </w:rPr>
        <w:t>Cytryn</w:t>
      </w:r>
      <w:proofErr w:type="spellEnd"/>
      <w:r w:rsidRPr="00FB099E">
        <w:rPr>
          <w:rFonts w:ascii="Times New Roman" w:eastAsia="Calibri" w:hAnsi="Times New Roman" w:cs="Times New Roman"/>
          <w:kern w:val="2"/>
          <w:sz w:val="24"/>
          <w:szCs w:val="24"/>
          <w:lang w:val="en-IN"/>
          <w14:ligatures w14:val="standardContextual"/>
        </w:rPr>
        <w:t xml:space="preserve">, E. (2021). Longitudinal study on the effects of growth-promoting and therapeutic antibiotics on the dynamics of chicken cloacal and litter microbiomes and </w:t>
      </w:r>
      <w:proofErr w:type="spellStart"/>
      <w:r w:rsidRPr="00FB099E">
        <w:rPr>
          <w:rFonts w:ascii="Times New Roman" w:eastAsia="Calibri" w:hAnsi="Times New Roman" w:cs="Times New Roman"/>
          <w:kern w:val="2"/>
          <w:sz w:val="24"/>
          <w:szCs w:val="24"/>
          <w:lang w:val="en-IN"/>
          <w14:ligatures w14:val="standardContextual"/>
        </w:rPr>
        <w:t>resistomes</w:t>
      </w:r>
      <w:proofErr w:type="spellEnd"/>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Microbiome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9</w:t>
      </w:r>
      <w:r w:rsidRPr="00FB099E">
        <w:rPr>
          <w:rFonts w:ascii="Times New Roman" w:eastAsia="Calibri" w:hAnsi="Times New Roman" w:cs="Times New Roman"/>
          <w:kern w:val="2"/>
          <w:sz w:val="24"/>
          <w:szCs w:val="24"/>
          <w:lang w:val="en-IN"/>
          <w14:ligatures w14:val="standardContextual"/>
        </w:rPr>
        <w:t>(1), 178.</w:t>
      </w:r>
    </w:p>
    <w:p w14:paraId="6B6D5027"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Salaheen, S., Kim, S. W., Haley, B. J., Van Kessel, J. A. S., &amp; Biswas, D. (2017). </w:t>
      </w:r>
      <w:r w:rsidRPr="00FB099E">
        <w:rPr>
          <w:rFonts w:ascii="Times New Roman" w:eastAsia="Calibri" w:hAnsi="Times New Roman" w:cs="Times New Roman"/>
          <w:kern w:val="2"/>
          <w:sz w:val="24"/>
          <w:szCs w:val="24"/>
          <w:lang w:val="en-IN"/>
          <w14:ligatures w14:val="standardContextual"/>
        </w:rPr>
        <w:t>Alternative growth promoters modulate broiler gut microbiome and enhance body weight gain. </w:t>
      </w:r>
      <w:r w:rsidRPr="00FB099E">
        <w:rPr>
          <w:rFonts w:ascii="Times New Roman" w:eastAsia="Calibri" w:hAnsi="Times New Roman" w:cs="Times New Roman"/>
          <w:i/>
          <w:iCs/>
          <w:kern w:val="2"/>
          <w:sz w:val="24"/>
          <w:szCs w:val="24"/>
          <w:lang w:val="en-IN"/>
          <w14:ligatures w14:val="standardContextual"/>
        </w:rPr>
        <w:t>Frontiers in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8</w:t>
      </w:r>
      <w:r w:rsidRPr="00FB099E">
        <w:rPr>
          <w:rFonts w:ascii="Times New Roman" w:eastAsia="Calibri" w:hAnsi="Times New Roman" w:cs="Times New Roman"/>
          <w:kern w:val="2"/>
          <w:sz w:val="24"/>
          <w:szCs w:val="24"/>
          <w:lang w:val="en-IN"/>
          <w14:ligatures w14:val="standardContextual"/>
        </w:rPr>
        <w:t>, 2088.</w:t>
      </w:r>
    </w:p>
    <w:p w14:paraId="5BA8DBA2"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Mehdi, Y., </w:t>
      </w:r>
      <w:proofErr w:type="spellStart"/>
      <w:r w:rsidRPr="00FB099E">
        <w:rPr>
          <w:rFonts w:ascii="Times New Roman" w:eastAsia="Calibri" w:hAnsi="Times New Roman" w:cs="Times New Roman"/>
          <w:kern w:val="2"/>
          <w:sz w:val="24"/>
          <w:szCs w:val="24"/>
          <w:lang w:val="en-IN"/>
          <w14:ligatures w14:val="standardContextual"/>
        </w:rPr>
        <w:t>Létourneau-Montminy</w:t>
      </w:r>
      <w:proofErr w:type="spellEnd"/>
      <w:r w:rsidRPr="00FB099E">
        <w:rPr>
          <w:rFonts w:ascii="Times New Roman" w:eastAsia="Calibri" w:hAnsi="Times New Roman" w:cs="Times New Roman"/>
          <w:kern w:val="2"/>
          <w:sz w:val="24"/>
          <w:szCs w:val="24"/>
          <w:lang w:val="en-IN"/>
          <w14:ligatures w14:val="standardContextual"/>
        </w:rPr>
        <w:t xml:space="preserve">, M. P., Gaucher, M. L., </w:t>
      </w:r>
      <w:proofErr w:type="spellStart"/>
      <w:r w:rsidRPr="00FB099E">
        <w:rPr>
          <w:rFonts w:ascii="Times New Roman" w:eastAsia="Calibri" w:hAnsi="Times New Roman" w:cs="Times New Roman"/>
          <w:kern w:val="2"/>
          <w:sz w:val="24"/>
          <w:szCs w:val="24"/>
          <w:lang w:val="en-IN"/>
          <w14:ligatures w14:val="standardContextual"/>
        </w:rPr>
        <w:t>Chorfi</w:t>
      </w:r>
      <w:proofErr w:type="spellEnd"/>
      <w:r w:rsidRPr="00FB099E">
        <w:rPr>
          <w:rFonts w:ascii="Times New Roman" w:eastAsia="Calibri" w:hAnsi="Times New Roman" w:cs="Times New Roman"/>
          <w:kern w:val="2"/>
          <w:sz w:val="24"/>
          <w:szCs w:val="24"/>
          <w:lang w:val="en-IN"/>
          <w14:ligatures w14:val="standardContextual"/>
        </w:rPr>
        <w:t xml:space="preserve">, Y., Suresh, G., </w:t>
      </w:r>
      <w:proofErr w:type="spellStart"/>
      <w:r w:rsidRPr="00FB099E">
        <w:rPr>
          <w:rFonts w:ascii="Times New Roman" w:eastAsia="Calibri" w:hAnsi="Times New Roman" w:cs="Times New Roman"/>
          <w:kern w:val="2"/>
          <w:sz w:val="24"/>
          <w:szCs w:val="24"/>
          <w:lang w:val="en-IN"/>
          <w14:ligatures w14:val="standardContextual"/>
        </w:rPr>
        <w:t>Rouissi</w:t>
      </w:r>
      <w:proofErr w:type="spellEnd"/>
      <w:r w:rsidRPr="00FB099E">
        <w:rPr>
          <w:rFonts w:ascii="Times New Roman" w:eastAsia="Calibri" w:hAnsi="Times New Roman" w:cs="Times New Roman"/>
          <w:kern w:val="2"/>
          <w:sz w:val="24"/>
          <w:szCs w:val="24"/>
          <w:lang w:val="en-IN"/>
          <w14:ligatures w14:val="standardContextual"/>
        </w:rPr>
        <w:t>, T., ... &amp; Godbout, S. (2018). Use of antibiotics in broiler production: Global impacts and alternatives. </w:t>
      </w:r>
      <w:r w:rsidRPr="00FB099E">
        <w:rPr>
          <w:rFonts w:ascii="Times New Roman" w:eastAsia="Calibri" w:hAnsi="Times New Roman" w:cs="Times New Roman"/>
          <w:i/>
          <w:iCs/>
          <w:kern w:val="2"/>
          <w:sz w:val="24"/>
          <w:szCs w:val="24"/>
          <w:lang w:val="en-IN"/>
          <w14:ligatures w14:val="standardContextual"/>
        </w:rPr>
        <w:t>Animal nutrition</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4</w:t>
      </w:r>
      <w:r w:rsidRPr="00FB099E">
        <w:rPr>
          <w:rFonts w:ascii="Times New Roman" w:eastAsia="Calibri" w:hAnsi="Times New Roman" w:cs="Times New Roman"/>
          <w:kern w:val="2"/>
          <w:sz w:val="24"/>
          <w:szCs w:val="24"/>
          <w:lang w:val="en-IN"/>
          <w14:ligatures w14:val="standardContextual"/>
        </w:rPr>
        <w:t>(2), 170-178.</w:t>
      </w:r>
    </w:p>
    <w:p w14:paraId="77FEAC3E"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Miyakawa, M. E. F., Casanova, N. A., &amp; </w:t>
      </w:r>
      <w:proofErr w:type="spellStart"/>
      <w:r w:rsidRPr="00FB099E">
        <w:rPr>
          <w:rFonts w:ascii="Times New Roman" w:eastAsia="Calibri" w:hAnsi="Times New Roman" w:cs="Times New Roman"/>
          <w:kern w:val="2"/>
          <w:sz w:val="24"/>
          <w:szCs w:val="24"/>
          <w:lang w:val="en-IN"/>
          <w14:ligatures w14:val="standardContextual"/>
        </w:rPr>
        <w:t>Kogut</w:t>
      </w:r>
      <w:proofErr w:type="spellEnd"/>
      <w:r w:rsidRPr="00FB099E">
        <w:rPr>
          <w:rFonts w:ascii="Times New Roman" w:eastAsia="Calibri" w:hAnsi="Times New Roman" w:cs="Times New Roman"/>
          <w:kern w:val="2"/>
          <w:sz w:val="24"/>
          <w:szCs w:val="24"/>
          <w:lang w:val="en-IN"/>
          <w14:ligatures w14:val="standardContextual"/>
        </w:rPr>
        <w:t>, M. H. (2024). How did antibiotic growth promoters increase growth and feed efficiency in poultry? </w:t>
      </w:r>
      <w:r w:rsidRPr="00FB099E">
        <w:rPr>
          <w:rFonts w:ascii="Times New Roman" w:eastAsia="Calibri" w:hAnsi="Times New Roman" w:cs="Times New Roman"/>
          <w:i/>
          <w:iCs/>
          <w:kern w:val="2"/>
          <w:sz w:val="24"/>
          <w:szCs w:val="24"/>
          <w:lang w:val="en-IN"/>
          <w14:ligatures w14:val="standardContextual"/>
        </w:rPr>
        <w:t>Poultry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103</w:t>
      </w:r>
      <w:r w:rsidRPr="00FB099E">
        <w:rPr>
          <w:rFonts w:ascii="Times New Roman" w:eastAsia="Calibri" w:hAnsi="Times New Roman" w:cs="Times New Roman"/>
          <w:kern w:val="2"/>
          <w:sz w:val="24"/>
          <w:szCs w:val="24"/>
          <w:lang w:val="en-IN"/>
          <w14:ligatures w14:val="standardContextual"/>
        </w:rPr>
        <w:t>(2), 103278.</w:t>
      </w:r>
    </w:p>
    <w:p w14:paraId="0022B0E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Paul, S. S., Rama Rao, S. V., Hegde, N., Williams, N. J., Chatterjee, R. N., Raju, M. V. L. N., ... &amp; Gargi, M. (2022). Effects of dietary antimicrobial growth promoters on performance parameters and abundance and diversity of broiler chicken gut microbiome and selection of antibiotic resistance genes. </w:t>
      </w:r>
      <w:r w:rsidRPr="00FB099E">
        <w:rPr>
          <w:rFonts w:ascii="Times New Roman" w:eastAsia="Calibri" w:hAnsi="Times New Roman" w:cs="Times New Roman"/>
          <w:i/>
          <w:iCs/>
          <w:kern w:val="2"/>
          <w:sz w:val="24"/>
          <w:szCs w:val="24"/>
          <w:lang w:val="en-IN"/>
          <w14:ligatures w14:val="standardContextual"/>
        </w:rPr>
        <w:t>Frontiers in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13</w:t>
      </w:r>
      <w:r w:rsidRPr="00FB099E">
        <w:rPr>
          <w:rFonts w:ascii="Times New Roman" w:eastAsia="Calibri" w:hAnsi="Times New Roman" w:cs="Times New Roman"/>
          <w:kern w:val="2"/>
          <w:sz w:val="24"/>
          <w:szCs w:val="24"/>
          <w:lang w:val="en-IN"/>
          <w14:ligatures w14:val="standardContextual"/>
        </w:rPr>
        <w:t>, 905050.</w:t>
      </w:r>
    </w:p>
    <w:p w14:paraId="4DEA24E0"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Akbar, A., &amp; Anal, A. K. (2013). </w:t>
      </w:r>
      <w:r w:rsidRPr="00FB099E">
        <w:rPr>
          <w:rFonts w:ascii="Times New Roman" w:eastAsia="Calibri" w:hAnsi="Times New Roman" w:cs="Times New Roman"/>
          <w:kern w:val="2"/>
          <w:sz w:val="24"/>
          <w:szCs w:val="24"/>
          <w:lang w:val="en-IN"/>
          <w14:ligatures w14:val="standardContextual"/>
        </w:rPr>
        <w:t>Prevalence and antibiogram study of Salmonella and Staphylococcus aureus in poultry meat. </w:t>
      </w:r>
      <w:r w:rsidRPr="00FB099E">
        <w:rPr>
          <w:rFonts w:ascii="Times New Roman" w:eastAsia="Calibri" w:hAnsi="Times New Roman" w:cs="Times New Roman"/>
          <w:i/>
          <w:iCs/>
          <w:kern w:val="2"/>
          <w:sz w:val="24"/>
          <w:szCs w:val="24"/>
          <w:lang w:val="en-IN"/>
          <w14:ligatures w14:val="standardContextual"/>
        </w:rPr>
        <w:t>Asian Pacific journal of tropical biomedicine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3</w:t>
      </w:r>
      <w:r w:rsidRPr="00FB099E">
        <w:rPr>
          <w:rFonts w:ascii="Times New Roman" w:eastAsia="Calibri" w:hAnsi="Times New Roman" w:cs="Times New Roman"/>
          <w:kern w:val="2"/>
          <w:sz w:val="24"/>
          <w:szCs w:val="24"/>
          <w:lang w:val="en-IN"/>
          <w14:ligatures w14:val="standardContextual"/>
        </w:rPr>
        <w:t>(2), 163-168.</w:t>
      </w:r>
    </w:p>
    <w:p w14:paraId="2A9588BC"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 xml:space="preserve">Roy, M., Islam, O., Rahman, M. A., Misty, S. S., </w:t>
      </w:r>
      <w:proofErr w:type="spellStart"/>
      <w:r w:rsidRPr="00FB099E">
        <w:rPr>
          <w:rFonts w:ascii="Times New Roman" w:eastAsia="Calibri" w:hAnsi="Times New Roman" w:cs="Times New Roman"/>
          <w:kern w:val="2"/>
          <w:sz w:val="24"/>
          <w:szCs w:val="24"/>
          <w:lang w:val="en-IN"/>
          <w14:ligatures w14:val="standardContextual"/>
        </w:rPr>
        <w:t>Kurmi</w:t>
      </w:r>
      <w:proofErr w:type="spellEnd"/>
      <w:r w:rsidRPr="00FB099E">
        <w:rPr>
          <w:rFonts w:ascii="Times New Roman" w:eastAsia="Calibri" w:hAnsi="Times New Roman" w:cs="Times New Roman"/>
          <w:kern w:val="2"/>
          <w:sz w:val="24"/>
          <w:szCs w:val="24"/>
          <w:lang w:val="en-IN"/>
          <w14:ligatures w14:val="standardContextual"/>
        </w:rPr>
        <w:t>, R., Islam, M. A., ... &amp; Islam, M. S. (2025). Prevalence and antimicrobial resistance patterns of Escherichia coli isolated from broiler chickens in Sylhet district of Bangladesh. </w:t>
      </w:r>
      <w:r w:rsidRPr="00FB099E">
        <w:rPr>
          <w:rFonts w:ascii="Times New Roman" w:eastAsia="Calibri" w:hAnsi="Times New Roman" w:cs="Times New Roman"/>
          <w:i/>
          <w:iCs/>
          <w:kern w:val="2"/>
          <w:sz w:val="24"/>
          <w:szCs w:val="24"/>
          <w:lang w:val="en-IN"/>
          <w14:ligatures w14:val="standardContextual"/>
        </w:rPr>
        <w:t>Veterinary Medicine and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11</w:t>
      </w:r>
      <w:r w:rsidRPr="00FB099E">
        <w:rPr>
          <w:rFonts w:ascii="Times New Roman" w:eastAsia="Calibri" w:hAnsi="Times New Roman" w:cs="Times New Roman"/>
          <w:kern w:val="2"/>
          <w:sz w:val="24"/>
          <w:szCs w:val="24"/>
          <w:lang w:val="en-IN"/>
          <w14:ligatures w14:val="standardContextual"/>
        </w:rPr>
        <w:t>(5), e70576.</w:t>
      </w:r>
    </w:p>
    <w:p w14:paraId="45AB509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Brower, C. H., Mandal, S., </w:t>
      </w:r>
      <w:proofErr w:type="spellStart"/>
      <w:r w:rsidRPr="00FB099E">
        <w:rPr>
          <w:rFonts w:ascii="Times New Roman" w:eastAsia="Calibri" w:hAnsi="Times New Roman" w:cs="Times New Roman"/>
          <w:kern w:val="2"/>
          <w:sz w:val="24"/>
          <w:szCs w:val="24"/>
          <w:lang w:val="en-IN"/>
          <w14:ligatures w14:val="standardContextual"/>
        </w:rPr>
        <w:t>Hayer</w:t>
      </w:r>
      <w:proofErr w:type="spellEnd"/>
      <w:r w:rsidRPr="00FB099E">
        <w:rPr>
          <w:rFonts w:ascii="Times New Roman" w:eastAsia="Calibri" w:hAnsi="Times New Roman" w:cs="Times New Roman"/>
          <w:kern w:val="2"/>
          <w:sz w:val="24"/>
          <w:szCs w:val="24"/>
          <w:lang w:val="en-IN"/>
          <w14:ligatures w14:val="standardContextual"/>
        </w:rPr>
        <w:t xml:space="preserve">, S., </w:t>
      </w:r>
      <w:proofErr w:type="spellStart"/>
      <w:r w:rsidRPr="00FB099E">
        <w:rPr>
          <w:rFonts w:ascii="Times New Roman" w:eastAsia="Calibri" w:hAnsi="Times New Roman" w:cs="Times New Roman"/>
          <w:kern w:val="2"/>
          <w:sz w:val="24"/>
          <w:szCs w:val="24"/>
          <w:lang w:val="en-IN"/>
          <w14:ligatures w14:val="standardContextual"/>
        </w:rPr>
        <w:t>Sran</w:t>
      </w:r>
      <w:proofErr w:type="spellEnd"/>
      <w:r w:rsidRPr="00FB099E">
        <w:rPr>
          <w:rFonts w:ascii="Times New Roman" w:eastAsia="Calibri" w:hAnsi="Times New Roman" w:cs="Times New Roman"/>
          <w:kern w:val="2"/>
          <w:sz w:val="24"/>
          <w:szCs w:val="24"/>
          <w:lang w:val="en-IN"/>
          <w14:ligatures w14:val="standardContextual"/>
        </w:rPr>
        <w:t xml:space="preserve">, M., Zehra, A., Patel, S. J., ... &amp; </w:t>
      </w:r>
      <w:proofErr w:type="spellStart"/>
      <w:r w:rsidRPr="00FB099E">
        <w:rPr>
          <w:rFonts w:ascii="Times New Roman" w:eastAsia="Calibri" w:hAnsi="Times New Roman" w:cs="Times New Roman"/>
          <w:kern w:val="2"/>
          <w:sz w:val="24"/>
          <w:szCs w:val="24"/>
          <w:lang w:val="en-IN"/>
          <w14:ligatures w14:val="standardContextual"/>
        </w:rPr>
        <w:t>Laxminarayan</w:t>
      </w:r>
      <w:proofErr w:type="spellEnd"/>
      <w:r w:rsidRPr="00FB099E">
        <w:rPr>
          <w:rFonts w:ascii="Times New Roman" w:eastAsia="Calibri" w:hAnsi="Times New Roman" w:cs="Times New Roman"/>
          <w:kern w:val="2"/>
          <w:sz w:val="24"/>
          <w:szCs w:val="24"/>
          <w:lang w:val="en-IN"/>
          <w14:ligatures w14:val="standardContextual"/>
        </w:rPr>
        <w:t>, R. (2017). The prevalence of extended-spectrum beta-lactamase-producing multidrug-resistant Escherichia coli in poultry chickens and variation according to farming practices in Punjab, India. </w:t>
      </w:r>
      <w:r w:rsidRPr="00FB099E">
        <w:rPr>
          <w:rFonts w:ascii="Times New Roman" w:eastAsia="Calibri" w:hAnsi="Times New Roman" w:cs="Times New Roman"/>
          <w:i/>
          <w:iCs/>
          <w:kern w:val="2"/>
          <w:sz w:val="24"/>
          <w:szCs w:val="24"/>
          <w:lang w:val="en-IN"/>
          <w14:ligatures w14:val="standardContextual"/>
        </w:rPr>
        <w:t>Environmental health perspectives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125</w:t>
      </w:r>
      <w:r w:rsidRPr="00FB099E">
        <w:rPr>
          <w:rFonts w:ascii="Times New Roman" w:eastAsia="Calibri" w:hAnsi="Times New Roman" w:cs="Times New Roman"/>
          <w:kern w:val="2"/>
          <w:sz w:val="24"/>
          <w:szCs w:val="24"/>
          <w:lang w:val="en-IN"/>
          <w14:ligatures w14:val="standardContextual"/>
        </w:rPr>
        <w:t>(7), 077015.</w:t>
      </w:r>
    </w:p>
    <w:p w14:paraId="58407957"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Christodoulou, M. K., &amp; CHRISTODOULOU, M. K. (2023). Comparison of antimicrobial resistance in Escherichia coli strains isolated from swine, poultry, and farm workers in the respective livestock farming units in Greece. </w:t>
      </w:r>
      <w:proofErr w:type="spellStart"/>
      <w:r w:rsidRPr="00FB099E">
        <w:rPr>
          <w:rFonts w:ascii="Times New Roman" w:eastAsia="Calibri" w:hAnsi="Times New Roman" w:cs="Times New Roman"/>
          <w:i/>
          <w:iCs/>
          <w:kern w:val="2"/>
          <w:sz w:val="24"/>
          <w:szCs w:val="24"/>
          <w:lang w:val="en-IN"/>
          <w14:ligatures w14:val="standardContextual"/>
        </w:rPr>
        <w:t>Cureus</w:t>
      </w:r>
      <w:proofErr w:type="spellEnd"/>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15</w:t>
      </w:r>
      <w:r w:rsidRPr="00FB099E">
        <w:rPr>
          <w:rFonts w:ascii="Times New Roman" w:eastAsia="Calibri" w:hAnsi="Times New Roman" w:cs="Times New Roman"/>
          <w:kern w:val="2"/>
          <w:sz w:val="24"/>
          <w:szCs w:val="24"/>
          <w:lang w:val="en-IN"/>
          <w14:ligatures w14:val="standardContextual"/>
        </w:rPr>
        <w:t>(12).</w:t>
      </w:r>
    </w:p>
    <w:p w14:paraId="3C7BE46F"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Soro</w:t>
      </w:r>
      <w:proofErr w:type="spellEnd"/>
      <w:r w:rsidRPr="00FB099E">
        <w:rPr>
          <w:rFonts w:ascii="Times New Roman" w:eastAsia="Calibri" w:hAnsi="Times New Roman" w:cs="Times New Roman"/>
          <w:kern w:val="2"/>
          <w:sz w:val="24"/>
          <w:szCs w:val="24"/>
          <w:lang w:val="en-IN"/>
          <w14:ligatures w14:val="standardContextual"/>
        </w:rPr>
        <w:t xml:space="preserve">, K. D., </w:t>
      </w:r>
      <w:proofErr w:type="spellStart"/>
      <w:r w:rsidRPr="00FB099E">
        <w:rPr>
          <w:rFonts w:ascii="Times New Roman" w:eastAsia="Calibri" w:hAnsi="Times New Roman" w:cs="Times New Roman"/>
          <w:kern w:val="2"/>
          <w:sz w:val="24"/>
          <w:szCs w:val="24"/>
          <w:lang w:val="en-IN"/>
          <w14:ligatures w14:val="standardContextual"/>
        </w:rPr>
        <w:t>Kagambega</w:t>
      </w:r>
      <w:proofErr w:type="spellEnd"/>
      <w:r w:rsidRPr="00FB099E">
        <w:rPr>
          <w:rFonts w:ascii="Times New Roman" w:eastAsia="Calibri" w:hAnsi="Times New Roman" w:cs="Times New Roman"/>
          <w:kern w:val="2"/>
          <w:sz w:val="24"/>
          <w:szCs w:val="24"/>
          <w:lang w:val="en-IN"/>
          <w14:ligatures w14:val="standardContextual"/>
        </w:rPr>
        <w:t xml:space="preserve">, A., </w:t>
      </w:r>
      <w:proofErr w:type="spellStart"/>
      <w:r w:rsidRPr="00FB099E">
        <w:rPr>
          <w:rFonts w:ascii="Times New Roman" w:eastAsia="Calibri" w:hAnsi="Times New Roman" w:cs="Times New Roman"/>
          <w:kern w:val="2"/>
          <w:sz w:val="24"/>
          <w:szCs w:val="24"/>
          <w:lang w:val="en-IN"/>
          <w14:ligatures w14:val="standardContextual"/>
        </w:rPr>
        <w:t>Nikiema</w:t>
      </w:r>
      <w:proofErr w:type="spellEnd"/>
      <w:r w:rsidRPr="00FB099E">
        <w:rPr>
          <w:rFonts w:ascii="Times New Roman" w:eastAsia="Calibri" w:hAnsi="Times New Roman" w:cs="Times New Roman"/>
          <w:kern w:val="2"/>
          <w:sz w:val="24"/>
          <w:szCs w:val="24"/>
          <w:lang w:val="en-IN"/>
          <w14:ligatures w14:val="standardContextual"/>
        </w:rPr>
        <w:t xml:space="preserve">, M. M., </w:t>
      </w:r>
      <w:proofErr w:type="spellStart"/>
      <w:r w:rsidRPr="00FB099E">
        <w:rPr>
          <w:rFonts w:ascii="Times New Roman" w:eastAsia="Calibri" w:hAnsi="Times New Roman" w:cs="Times New Roman"/>
          <w:kern w:val="2"/>
          <w:sz w:val="24"/>
          <w:szCs w:val="24"/>
          <w:lang w:val="en-IN"/>
          <w14:ligatures w14:val="standardContextual"/>
        </w:rPr>
        <w:t>Sawadogo</w:t>
      </w:r>
      <w:proofErr w:type="spellEnd"/>
      <w:r w:rsidRPr="00FB099E">
        <w:rPr>
          <w:rFonts w:ascii="Times New Roman" w:eastAsia="Calibri" w:hAnsi="Times New Roman" w:cs="Times New Roman"/>
          <w:kern w:val="2"/>
          <w:sz w:val="24"/>
          <w:szCs w:val="24"/>
          <w:lang w:val="en-IN"/>
          <w14:ligatures w14:val="standardContextual"/>
        </w:rPr>
        <w:t xml:space="preserve">, A., </w:t>
      </w:r>
      <w:proofErr w:type="spellStart"/>
      <w:r w:rsidRPr="00FB099E">
        <w:rPr>
          <w:rFonts w:ascii="Times New Roman" w:eastAsia="Calibri" w:hAnsi="Times New Roman" w:cs="Times New Roman"/>
          <w:kern w:val="2"/>
          <w:sz w:val="24"/>
          <w:szCs w:val="24"/>
          <w:lang w:val="en-IN"/>
          <w14:ligatures w14:val="standardContextual"/>
        </w:rPr>
        <w:t>Bouda</w:t>
      </w:r>
      <w:proofErr w:type="spellEnd"/>
      <w:r w:rsidRPr="00FB099E">
        <w:rPr>
          <w:rFonts w:ascii="Times New Roman" w:eastAsia="Calibri" w:hAnsi="Times New Roman" w:cs="Times New Roman"/>
          <w:kern w:val="2"/>
          <w:sz w:val="24"/>
          <w:szCs w:val="24"/>
          <w:lang w:val="en-IN"/>
          <w14:ligatures w14:val="standardContextual"/>
        </w:rPr>
        <w:t xml:space="preserve">, S. C., </w:t>
      </w:r>
      <w:proofErr w:type="spellStart"/>
      <w:r w:rsidRPr="00FB099E">
        <w:rPr>
          <w:rFonts w:ascii="Times New Roman" w:eastAsia="Calibri" w:hAnsi="Times New Roman" w:cs="Times New Roman"/>
          <w:kern w:val="2"/>
          <w:sz w:val="24"/>
          <w:szCs w:val="24"/>
          <w:lang w:val="en-IN"/>
          <w14:ligatures w14:val="standardContextual"/>
        </w:rPr>
        <w:t>Compaore</w:t>
      </w:r>
      <w:proofErr w:type="spellEnd"/>
      <w:r w:rsidRPr="00FB099E">
        <w:rPr>
          <w:rFonts w:ascii="Times New Roman" w:eastAsia="Calibri" w:hAnsi="Times New Roman" w:cs="Times New Roman"/>
          <w:kern w:val="2"/>
          <w:sz w:val="24"/>
          <w:szCs w:val="24"/>
          <w:lang w:val="en-IN"/>
          <w14:ligatures w14:val="standardContextual"/>
        </w:rPr>
        <w:t>, K. M., ... &amp; BARRO, N. (2024). Characteristics of poultry farms and use of antibiotics in Peri-urban farms in Burkina Faso. </w:t>
      </w:r>
      <w:r w:rsidRPr="00FB099E">
        <w:rPr>
          <w:rFonts w:ascii="Times New Roman" w:eastAsia="Calibri" w:hAnsi="Times New Roman" w:cs="Times New Roman"/>
          <w:i/>
          <w:iCs/>
          <w:kern w:val="2"/>
          <w:sz w:val="24"/>
          <w:szCs w:val="24"/>
          <w:lang w:val="en-IN"/>
          <w14:ligatures w14:val="standardContextual"/>
        </w:rPr>
        <w:t xml:space="preserve">Int J </w:t>
      </w:r>
      <w:proofErr w:type="spellStart"/>
      <w:r w:rsidRPr="00FB099E">
        <w:rPr>
          <w:rFonts w:ascii="Times New Roman" w:eastAsia="Calibri" w:hAnsi="Times New Roman" w:cs="Times New Roman"/>
          <w:i/>
          <w:iCs/>
          <w:kern w:val="2"/>
          <w:sz w:val="24"/>
          <w:szCs w:val="24"/>
          <w:lang w:val="en-IN"/>
          <w14:ligatures w14:val="standardContextual"/>
        </w:rPr>
        <w:t>Curr</w:t>
      </w:r>
      <w:proofErr w:type="spellEnd"/>
      <w:r w:rsidRPr="00FB099E">
        <w:rPr>
          <w:rFonts w:ascii="Times New Roman" w:eastAsia="Calibri" w:hAnsi="Times New Roman" w:cs="Times New Roman"/>
          <w:i/>
          <w:iCs/>
          <w:kern w:val="2"/>
          <w:sz w:val="24"/>
          <w:szCs w:val="24"/>
          <w:lang w:val="en-IN"/>
          <w14:ligatures w14:val="standardContextual"/>
        </w:rPr>
        <w:t xml:space="preserve"> </w:t>
      </w:r>
      <w:proofErr w:type="spellStart"/>
      <w:r w:rsidRPr="00FB099E">
        <w:rPr>
          <w:rFonts w:ascii="Times New Roman" w:eastAsia="Calibri" w:hAnsi="Times New Roman" w:cs="Times New Roman"/>
          <w:i/>
          <w:iCs/>
          <w:kern w:val="2"/>
          <w:sz w:val="24"/>
          <w:szCs w:val="24"/>
          <w:lang w:val="en-IN"/>
          <w14:ligatures w14:val="standardContextual"/>
        </w:rPr>
        <w:t>Microbiol</w:t>
      </w:r>
      <w:proofErr w:type="spellEnd"/>
      <w:r w:rsidRPr="00FB099E">
        <w:rPr>
          <w:rFonts w:ascii="Times New Roman" w:eastAsia="Calibri" w:hAnsi="Times New Roman" w:cs="Times New Roman"/>
          <w:i/>
          <w:iCs/>
          <w:kern w:val="2"/>
          <w:sz w:val="24"/>
          <w:szCs w:val="24"/>
          <w:lang w:val="en-IN"/>
          <w14:ligatures w14:val="standardContextual"/>
        </w:rPr>
        <w:t xml:space="preserve"> App Sci</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13</w:t>
      </w:r>
      <w:r w:rsidRPr="00FB099E">
        <w:rPr>
          <w:rFonts w:ascii="Times New Roman" w:eastAsia="Calibri" w:hAnsi="Times New Roman" w:cs="Times New Roman"/>
          <w:kern w:val="2"/>
          <w:sz w:val="24"/>
          <w:szCs w:val="24"/>
          <w:lang w:val="en-IN"/>
          <w14:ligatures w14:val="standardContextual"/>
        </w:rPr>
        <w:t>, 231-247.</w:t>
      </w:r>
    </w:p>
    <w:p w14:paraId="64EDD6E3"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Forder, R. E. A., Howarth, G. S., </w:t>
      </w:r>
      <w:proofErr w:type="spellStart"/>
      <w:r w:rsidRPr="00FB099E">
        <w:rPr>
          <w:rFonts w:ascii="Times New Roman" w:eastAsia="Calibri" w:hAnsi="Times New Roman" w:cs="Times New Roman"/>
          <w:kern w:val="2"/>
          <w:sz w:val="24"/>
          <w:szCs w:val="24"/>
          <w:lang w:val="en-IN"/>
          <w14:ligatures w14:val="standardContextual"/>
        </w:rPr>
        <w:t>Tivey</w:t>
      </w:r>
      <w:proofErr w:type="spellEnd"/>
      <w:r w:rsidRPr="00FB099E">
        <w:rPr>
          <w:rFonts w:ascii="Times New Roman" w:eastAsia="Calibri" w:hAnsi="Times New Roman" w:cs="Times New Roman"/>
          <w:kern w:val="2"/>
          <w:sz w:val="24"/>
          <w:szCs w:val="24"/>
          <w:lang w:val="en-IN"/>
          <w14:ligatures w14:val="standardContextual"/>
        </w:rPr>
        <w:t xml:space="preserve">, D. R., &amp; Hughes, R. J. (2007). Bacterial modulation of small intestinal goblet cells and mucin composition during early </w:t>
      </w:r>
      <w:proofErr w:type="spellStart"/>
      <w:r w:rsidRPr="00FB099E">
        <w:rPr>
          <w:rFonts w:ascii="Times New Roman" w:eastAsia="Calibri" w:hAnsi="Times New Roman" w:cs="Times New Roman"/>
          <w:kern w:val="2"/>
          <w:sz w:val="24"/>
          <w:szCs w:val="24"/>
          <w:lang w:val="en-IN"/>
          <w14:ligatures w14:val="standardContextual"/>
        </w:rPr>
        <w:t>posthatch</w:t>
      </w:r>
      <w:proofErr w:type="spellEnd"/>
      <w:r w:rsidRPr="00FB099E">
        <w:rPr>
          <w:rFonts w:ascii="Times New Roman" w:eastAsia="Calibri" w:hAnsi="Times New Roman" w:cs="Times New Roman"/>
          <w:kern w:val="2"/>
          <w:sz w:val="24"/>
          <w:szCs w:val="24"/>
          <w:lang w:val="en-IN"/>
          <w14:ligatures w14:val="standardContextual"/>
        </w:rPr>
        <w:t xml:space="preserve"> development of poultry. </w:t>
      </w:r>
      <w:r w:rsidRPr="00FB099E">
        <w:rPr>
          <w:rFonts w:ascii="Times New Roman" w:eastAsia="Calibri" w:hAnsi="Times New Roman" w:cs="Times New Roman"/>
          <w:i/>
          <w:iCs/>
          <w:kern w:val="2"/>
          <w:sz w:val="24"/>
          <w:szCs w:val="24"/>
          <w:lang w:val="en-IN"/>
          <w14:ligatures w14:val="standardContextual"/>
        </w:rPr>
        <w:t>Poultry science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86</w:t>
      </w:r>
      <w:r w:rsidRPr="00FB099E">
        <w:rPr>
          <w:rFonts w:ascii="Times New Roman" w:eastAsia="Calibri" w:hAnsi="Times New Roman" w:cs="Times New Roman"/>
          <w:kern w:val="2"/>
          <w:sz w:val="24"/>
          <w:szCs w:val="24"/>
          <w:lang w:val="en-IN"/>
          <w14:ligatures w14:val="standardContextual"/>
        </w:rPr>
        <w:t>(11), 2396-2403.</w:t>
      </w:r>
    </w:p>
    <w:p w14:paraId="1359A659"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Kwak, M. J., Park, M. Y., Choi, Y. S., Cho, J., </w:t>
      </w:r>
      <w:proofErr w:type="spellStart"/>
      <w:r w:rsidRPr="00FB099E">
        <w:rPr>
          <w:rFonts w:ascii="Times New Roman" w:eastAsia="Calibri" w:hAnsi="Times New Roman" w:cs="Times New Roman"/>
          <w:kern w:val="2"/>
          <w:sz w:val="24"/>
          <w:szCs w:val="24"/>
          <w:lang w:val="en-IN"/>
          <w14:ligatures w14:val="standardContextual"/>
        </w:rPr>
        <w:t>Pathiraja</w:t>
      </w:r>
      <w:proofErr w:type="spellEnd"/>
      <w:r w:rsidRPr="00FB099E">
        <w:rPr>
          <w:rFonts w:ascii="Times New Roman" w:eastAsia="Calibri" w:hAnsi="Times New Roman" w:cs="Times New Roman"/>
          <w:kern w:val="2"/>
          <w:sz w:val="24"/>
          <w:szCs w:val="24"/>
          <w:lang w:val="en-IN"/>
          <w14:ligatures w14:val="standardContextual"/>
        </w:rPr>
        <w:t xml:space="preserve">, D., Kim, J., ... &amp; Whang, K. Y. (2021). Dietary </w:t>
      </w:r>
      <w:proofErr w:type="spellStart"/>
      <w:r w:rsidRPr="00FB099E">
        <w:rPr>
          <w:rFonts w:ascii="Times New Roman" w:eastAsia="Calibri" w:hAnsi="Times New Roman" w:cs="Times New Roman"/>
          <w:kern w:val="2"/>
          <w:sz w:val="24"/>
          <w:szCs w:val="24"/>
          <w:lang w:val="en-IN"/>
          <w14:ligatures w14:val="standardContextual"/>
        </w:rPr>
        <w:t>sophorolipid</w:t>
      </w:r>
      <w:proofErr w:type="spellEnd"/>
      <w:r w:rsidRPr="00FB099E">
        <w:rPr>
          <w:rFonts w:ascii="Times New Roman" w:eastAsia="Calibri" w:hAnsi="Times New Roman" w:cs="Times New Roman"/>
          <w:kern w:val="2"/>
          <w:sz w:val="24"/>
          <w:szCs w:val="24"/>
          <w:lang w:val="en-IN"/>
          <w14:ligatures w14:val="standardContextual"/>
        </w:rPr>
        <w:t xml:space="preserve"> accelerates growth by modulation of gut microbiota population and intestinal environments in broiler chickens. </w:t>
      </w:r>
      <w:r w:rsidRPr="00FB099E">
        <w:rPr>
          <w:rFonts w:ascii="Times New Roman" w:eastAsia="Calibri" w:hAnsi="Times New Roman" w:cs="Times New Roman"/>
          <w:i/>
          <w:iCs/>
          <w:kern w:val="2"/>
          <w:sz w:val="24"/>
          <w:szCs w:val="24"/>
          <w:lang w:val="en-IN"/>
          <w14:ligatures w14:val="standardContextual"/>
        </w:rPr>
        <w:t>Journal of Animal Science and Biotechnology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w:t>
      </w:r>
      <w:r w:rsidRPr="00FB099E">
        <w:rPr>
          <w:rFonts w:ascii="Times New Roman" w:eastAsia="Calibri" w:hAnsi="Times New Roman" w:cs="Times New Roman"/>
          <w:kern w:val="2"/>
          <w:sz w:val="24"/>
          <w:szCs w:val="24"/>
          <w:lang w:val="en-IN"/>
          <w14:ligatures w14:val="standardContextual"/>
        </w:rPr>
        <w:t>(1), 81.</w:t>
      </w:r>
    </w:p>
    <w:p w14:paraId="714F5CAD"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Perić</w:t>
      </w:r>
      <w:proofErr w:type="spellEnd"/>
      <w:r w:rsidRPr="00FB099E">
        <w:rPr>
          <w:rFonts w:ascii="Times New Roman" w:eastAsia="Calibri" w:hAnsi="Times New Roman" w:cs="Times New Roman"/>
          <w:kern w:val="2"/>
          <w:sz w:val="24"/>
          <w:szCs w:val="24"/>
          <w:lang w:val="en-IN"/>
          <w14:ligatures w14:val="standardContextual"/>
        </w:rPr>
        <w:t xml:space="preserve">, D., </w:t>
      </w:r>
      <w:proofErr w:type="spellStart"/>
      <w:r w:rsidRPr="00FB099E">
        <w:rPr>
          <w:rFonts w:ascii="Times New Roman" w:eastAsia="Calibri" w:hAnsi="Times New Roman" w:cs="Times New Roman"/>
          <w:kern w:val="2"/>
          <w:sz w:val="24"/>
          <w:szCs w:val="24"/>
          <w:lang w:val="en-IN"/>
          <w14:ligatures w14:val="standardContextual"/>
        </w:rPr>
        <w:t>Šefer</w:t>
      </w:r>
      <w:proofErr w:type="spellEnd"/>
      <w:r w:rsidRPr="00FB099E">
        <w:rPr>
          <w:rFonts w:ascii="Times New Roman" w:eastAsia="Calibri" w:hAnsi="Times New Roman" w:cs="Times New Roman"/>
          <w:kern w:val="2"/>
          <w:sz w:val="24"/>
          <w:szCs w:val="24"/>
          <w:lang w:val="en-IN"/>
          <w14:ligatures w14:val="standardContextual"/>
        </w:rPr>
        <w:t xml:space="preserve">, D., Barea, R., </w:t>
      </w:r>
      <w:proofErr w:type="spellStart"/>
      <w:r w:rsidRPr="00FB099E">
        <w:rPr>
          <w:rFonts w:ascii="Times New Roman" w:eastAsia="Calibri" w:hAnsi="Times New Roman" w:cs="Times New Roman"/>
          <w:kern w:val="2"/>
          <w:sz w:val="24"/>
          <w:szCs w:val="24"/>
          <w:lang w:val="en-IN"/>
          <w14:ligatures w14:val="standardContextual"/>
        </w:rPr>
        <w:t>Radulović</w:t>
      </w:r>
      <w:proofErr w:type="spellEnd"/>
      <w:r w:rsidRPr="00FB099E">
        <w:rPr>
          <w:rFonts w:ascii="Times New Roman" w:eastAsia="Calibri" w:hAnsi="Times New Roman" w:cs="Times New Roman"/>
          <w:kern w:val="2"/>
          <w:sz w:val="24"/>
          <w:szCs w:val="24"/>
          <w:lang w:val="en-IN"/>
          <w14:ligatures w14:val="standardContextual"/>
        </w:rPr>
        <w:t xml:space="preserve">, S., Jovanović, D., </w:t>
      </w:r>
      <w:proofErr w:type="spellStart"/>
      <w:r w:rsidRPr="00FB099E">
        <w:rPr>
          <w:rFonts w:ascii="Times New Roman" w:eastAsia="Calibri" w:hAnsi="Times New Roman" w:cs="Times New Roman"/>
          <w:kern w:val="2"/>
          <w:sz w:val="24"/>
          <w:szCs w:val="24"/>
          <w:lang w:val="en-IN"/>
          <w14:ligatures w14:val="standardContextual"/>
        </w:rPr>
        <w:t>Grdović</w:t>
      </w:r>
      <w:proofErr w:type="spellEnd"/>
      <w:r w:rsidRPr="00FB099E">
        <w:rPr>
          <w:rFonts w:ascii="Times New Roman" w:eastAsia="Calibri" w:hAnsi="Times New Roman" w:cs="Times New Roman"/>
          <w:kern w:val="2"/>
          <w:sz w:val="24"/>
          <w:szCs w:val="24"/>
          <w:lang w:val="en-IN"/>
          <w14:ligatures w14:val="standardContextual"/>
        </w:rPr>
        <w:t xml:space="preserve">, S., &amp; </w:t>
      </w:r>
      <w:proofErr w:type="spellStart"/>
      <w:r w:rsidRPr="00FB099E">
        <w:rPr>
          <w:rFonts w:ascii="Times New Roman" w:eastAsia="Calibri" w:hAnsi="Times New Roman" w:cs="Times New Roman"/>
          <w:kern w:val="2"/>
          <w:sz w:val="24"/>
          <w:szCs w:val="24"/>
          <w:lang w:val="en-IN"/>
          <w14:ligatures w14:val="standardContextual"/>
        </w:rPr>
        <w:t>Marković</w:t>
      </w:r>
      <w:proofErr w:type="spellEnd"/>
      <w:r w:rsidRPr="00FB099E">
        <w:rPr>
          <w:rFonts w:ascii="Times New Roman" w:eastAsia="Calibri" w:hAnsi="Times New Roman" w:cs="Times New Roman"/>
          <w:kern w:val="2"/>
          <w:sz w:val="24"/>
          <w:szCs w:val="24"/>
          <w:lang w:val="en-IN"/>
          <w14:ligatures w14:val="standardContextual"/>
        </w:rPr>
        <w:t xml:space="preserve">, R. (2025). Organic trace minerals as an innovative nutritional solution for advancement </w:t>
      </w:r>
      <w:r w:rsidRPr="00FB099E">
        <w:rPr>
          <w:rFonts w:ascii="Times New Roman" w:eastAsia="Calibri" w:hAnsi="Times New Roman" w:cs="Times New Roman"/>
          <w:kern w:val="2"/>
          <w:sz w:val="24"/>
          <w:szCs w:val="24"/>
          <w:lang w:val="en-IN"/>
          <w14:ligatures w14:val="standardContextual"/>
        </w:rPr>
        <w:lastRenderedPageBreak/>
        <w:t>of production performance and intestinal microbiota in piglets. </w:t>
      </w:r>
      <w:r w:rsidRPr="00FB099E">
        <w:rPr>
          <w:rFonts w:ascii="Times New Roman" w:eastAsia="Calibri" w:hAnsi="Times New Roman" w:cs="Times New Roman"/>
          <w:i/>
          <w:iCs/>
          <w:kern w:val="2"/>
          <w:sz w:val="24"/>
          <w:szCs w:val="24"/>
          <w:lang w:val="en-IN"/>
          <w14:ligatures w14:val="standardContextual"/>
        </w:rPr>
        <w:t>Scientific journal" Meat Technology"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66</w:t>
      </w:r>
      <w:r w:rsidRPr="00FB099E">
        <w:rPr>
          <w:rFonts w:ascii="Times New Roman" w:eastAsia="Calibri" w:hAnsi="Times New Roman" w:cs="Times New Roman"/>
          <w:kern w:val="2"/>
          <w:sz w:val="24"/>
          <w:szCs w:val="24"/>
          <w:lang w:val="en-IN"/>
          <w14:ligatures w14:val="standardContextual"/>
        </w:rPr>
        <w:t>(3), 182-189.</w:t>
      </w:r>
    </w:p>
    <w:p w14:paraId="0CA34978"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Xu, Y., Chen, K., Huang, Y., Yan, Y., Zhang, W., Tian, J., ... &amp; Nie, Q. (2025). </w:t>
      </w:r>
      <w:proofErr w:type="spellStart"/>
      <w:r w:rsidRPr="00FB099E">
        <w:rPr>
          <w:rFonts w:ascii="Times New Roman" w:eastAsia="Calibri" w:hAnsi="Times New Roman" w:cs="Times New Roman"/>
          <w:kern w:val="2"/>
          <w:sz w:val="24"/>
          <w:szCs w:val="24"/>
          <w:lang w:val="en-IN"/>
          <w14:ligatures w14:val="standardContextual"/>
        </w:rPr>
        <w:t>Fecal</w:t>
      </w:r>
      <w:proofErr w:type="spellEnd"/>
      <w:r w:rsidRPr="00FB099E">
        <w:rPr>
          <w:rFonts w:ascii="Times New Roman" w:eastAsia="Calibri" w:hAnsi="Times New Roman" w:cs="Times New Roman"/>
          <w:kern w:val="2"/>
          <w:sz w:val="24"/>
          <w:szCs w:val="24"/>
          <w:lang w:val="en-IN"/>
          <w14:ligatures w14:val="standardContextual"/>
        </w:rPr>
        <w:t xml:space="preserve"> microbiota transplantation improves growth performance of chickens by increasing the intestinal Lactobacillus and glutamine. </w:t>
      </w:r>
      <w:r w:rsidRPr="00FB099E">
        <w:rPr>
          <w:rFonts w:ascii="Times New Roman" w:eastAsia="Calibri" w:hAnsi="Times New Roman" w:cs="Times New Roman"/>
          <w:i/>
          <w:iCs/>
          <w:kern w:val="2"/>
          <w:sz w:val="24"/>
          <w:szCs w:val="24"/>
          <w:lang w:val="en-IN"/>
          <w14:ligatures w14:val="standardContextual"/>
        </w:rPr>
        <w:t>Poultry Science</w:t>
      </w:r>
      <w:r w:rsidRPr="00FB099E">
        <w:rPr>
          <w:rFonts w:ascii="Times New Roman" w:eastAsia="Calibri" w:hAnsi="Times New Roman" w:cs="Times New Roman"/>
          <w:kern w:val="2"/>
          <w:sz w:val="24"/>
          <w:szCs w:val="24"/>
          <w:lang w:val="en-IN"/>
          <w14:ligatures w14:val="standardContextual"/>
        </w:rPr>
        <w:t>, 105243.</w:t>
      </w:r>
    </w:p>
    <w:p w14:paraId="6F46345E"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Lu, J., Idris, U., Harmon, B., </w:t>
      </w:r>
      <w:proofErr w:type="spellStart"/>
      <w:r w:rsidRPr="00FB099E">
        <w:rPr>
          <w:rFonts w:ascii="Times New Roman" w:eastAsia="Calibri" w:hAnsi="Times New Roman" w:cs="Times New Roman"/>
          <w:kern w:val="2"/>
          <w:sz w:val="24"/>
          <w:szCs w:val="24"/>
          <w:lang w:val="en-IN"/>
          <w14:ligatures w14:val="standardContextual"/>
        </w:rPr>
        <w:t>Hofacre</w:t>
      </w:r>
      <w:proofErr w:type="spellEnd"/>
      <w:r w:rsidRPr="00FB099E">
        <w:rPr>
          <w:rFonts w:ascii="Times New Roman" w:eastAsia="Calibri" w:hAnsi="Times New Roman" w:cs="Times New Roman"/>
          <w:kern w:val="2"/>
          <w:sz w:val="24"/>
          <w:szCs w:val="24"/>
          <w:lang w:val="en-IN"/>
          <w14:ligatures w14:val="standardContextual"/>
        </w:rPr>
        <w:t>, C., Maurer, J. J., &amp; Lee, M. D. (2003). Diversity and succession of the intestinal bacterial community of the maturing broiler chicken. </w:t>
      </w:r>
      <w:r w:rsidRPr="00FB099E">
        <w:rPr>
          <w:rFonts w:ascii="Times New Roman" w:eastAsia="Calibri" w:hAnsi="Times New Roman" w:cs="Times New Roman"/>
          <w:i/>
          <w:iCs/>
          <w:kern w:val="2"/>
          <w:sz w:val="24"/>
          <w:szCs w:val="24"/>
          <w:lang w:val="en-IN"/>
          <w14:ligatures w14:val="standardContextual"/>
        </w:rPr>
        <w:t>Applied and environmental microbiology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69</w:t>
      </w:r>
      <w:r w:rsidRPr="00FB099E">
        <w:rPr>
          <w:rFonts w:ascii="Times New Roman" w:eastAsia="Calibri" w:hAnsi="Times New Roman" w:cs="Times New Roman"/>
          <w:kern w:val="2"/>
          <w:sz w:val="24"/>
          <w:szCs w:val="24"/>
          <w:lang w:val="en-IN"/>
          <w14:ligatures w14:val="standardContextual"/>
        </w:rPr>
        <w:t>(11), 6816-6824.</w:t>
      </w:r>
    </w:p>
    <w:p w14:paraId="7353E7B1"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Stamilla</w:t>
      </w:r>
      <w:proofErr w:type="spellEnd"/>
      <w:r w:rsidRPr="00FB099E">
        <w:rPr>
          <w:rFonts w:ascii="Times New Roman" w:eastAsia="Calibri" w:hAnsi="Times New Roman" w:cs="Times New Roman"/>
          <w:kern w:val="2"/>
          <w:sz w:val="24"/>
          <w:szCs w:val="24"/>
          <w:lang w:val="en-IN"/>
          <w14:ligatures w14:val="standardContextual"/>
        </w:rPr>
        <w:t xml:space="preserve">, A., Ruiz-Ruiz, S., </w:t>
      </w:r>
      <w:proofErr w:type="spellStart"/>
      <w:r w:rsidRPr="00FB099E">
        <w:rPr>
          <w:rFonts w:ascii="Times New Roman" w:eastAsia="Calibri" w:hAnsi="Times New Roman" w:cs="Times New Roman"/>
          <w:kern w:val="2"/>
          <w:sz w:val="24"/>
          <w:szCs w:val="24"/>
          <w:lang w:val="en-IN"/>
          <w14:ligatures w14:val="standardContextual"/>
        </w:rPr>
        <w:t>Artacho</w:t>
      </w:r>
      <w:proofErr w:type="spellEnd"/>
      <w:r w:rsidRPr="00FB099E">
        <w:rPr>
          <w:rFonts w:ascii="Times New Roman" w:eastAsia="Calibri" w:hAnsi="Times New Roman" w:cs="Times New Roman"/>
          <w:kern w:val="2"/>
          <w:sz w:val="24"/>
          <w:szCs w:val="24"/>
          <w:lang w:val="en-IN"/>
          <w14:ligatures w14:val="standardContextual"/>
        </w:rPr>
        <w:t>, A., Pons, J., Messina, A., Lucia Randazzo, C., ... &amp; Moya, A. (2021). Analysis of the microbial intestinal tract in broiler chickens during the rearing period. </w:t>
      </w:r>
      <w:r w:rsidRPr="00FB099E">
        <w:rPr>
          <w:rFonts w:ascii="Times New Roman" w:eastAsia="Calibri" w:hAnsi="Times New Roman" w:cs="Times New Roman"/>
          <w:i/>
          <w:iCs/>
          <w:kern w:val="2"/>
          <w:sz w:val="24"/>
          <w:szCs w:val="24"/>
          <w:lang w:val="en-IN"/>
          <w14:ligatures w14:val="standardContextual"/>
        </w:rPr>
        <w:t>Biology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10</w:t>
      </w:r>
      <w:r w:rsidRPr="00FB099E">
        <w:rPr>
          <w:rFonts w:ascii="Times New Roman" w:eastAsia="Calibri" w:hAnsi="Times New Roman" w:cs="Times New Roman"/>
          <w:kern w:val="2"/>
          <w:sz w:val="24"/>
          <w:szCs w:val="24"/>
          <w:lang w:val="en-IN"/>
          <w14:ligatures w14:val="standardContextual"/>
        </w:rPr>
        <w:t>(9), 942.</w:t>
      </w:r>
    </w:p>
    <w:p w14:paraId="74EC60B7"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Coelho-Rocha, N. D., de Jesus, L. C. L., Barroso, F. A. L., da Silva, T. F., Ferreira, E., Gonçalves, J. E., ... &amp; Azevedo, V. A. D. C. (2023). Evaluation of probiotic properties of novel Brazilian </w:t>
      </w:r>
      <w:proofErr w:type="spellStart"/>
      <w:r w:rsidRPr="00FB099E">
        <w:rPr>
          <w:rFonts w:ascii="Times New Roman" w:eastAsia="Calibri" w:hAnsi="Times New Roman" w:cs="Times New Roman"/>
          <w:kern w:val="2"/>
          <w:sz w:val="24"/>
          <w:szCs w:val="24"/>
          <w:lang w:val="en-IN"/>
          <w14:ligatures w14:val="standardContextual"/>
        </w:rPr>
        <w:t>Lactiplantibacillus</w:t>
      </w:r>
      <w:proofErr w:type="spellEnd"/>
      <w:r w:rsidRPr="00FB099E">
        <w:rPr>
          <w:rFonts w:ascii="Times New Roman" w:eastAsia="Calibri" w:hAnsi="Times New Roman" w:cs="Times New Roman"/>
          <w:kern w:val="2"/>
          <w:sz w:val="24"/>
          <w:szCs w:val="24"/>
          <w:lang w:val="en-IN"/>
          <w14:ligatures w14:val="standardContextual"/>
        </w:rPr>
        <w:t xml:space="preserve"> plantarum strains. </w:t>
      </w:r>
      <w:r w:rsidRPr="00FB099E">
        <w:rPr>
          <w:rFonts w:ascii="Times New Roman" w:eastAsia="Calibri" w:hAnsi="Times New Roman" w:cs="Times New Roman"/>
          <w:i/>
          <w:iCs/>
          <w:kern w:val="2"/>
          <w:sz w:val="24"/>
          <w:szCs w:val="24"/>
          <w:lang w:val="en-IN"/>
          <w14:ligatures w14:val="standardContextual"/>
        </w:rPr>
        <w:t>Probiotics and Antimicrobial Proteins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15</w:t>
      </w:r>
      <w:r w:rsidRPr="00FB099E">
        <w:rPr>
          <w:rFonts w:ascii="Times New Roman" w:eastAsia="Calibri" w:hAnsi="Times New Roman" w:cs="Times New Roman"/>
          <w:kern w:val="2"/>
          <w:sz w:val="24"/>
          <w:szCs w:val="24"/>
          <w:lang w:val="en-IN"/>
          <w14:ligatures w14:val="standardContextual"/>
        </w:rPr>
        <w:t>(1), 160-174.</w:t>
      </w:r>
    </w:p>
    <w:p w14:paraId="2B475095"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Aruwa</w:t>
      </w:r>
      <w:proofErr w:type="spellEnd"/>
      <w:r w:rsidRPr="00FB099E">
        <w:rPr>
          <w:rFonts w:ascii="Times New Roman" w:eastAsia="Calibri" w:hAnsi="Times New Roman" w:cs="Times New Roman"/>
          <w:kern w:val="2"/>
          <w:sz w:val="24"/>
          <w:szCs w:val="24"/>
          <w:lang w:val="en-IN"/>
          <w14:ligatures w14:val="standardContextual"/>
        </w:rPr>
        <w:t xml:space="preserve">, C. E., Pillay, C., </w:t>
      </w:r>
      <w:proofErr w:type="spellStart"/>
      <w:r w:rsidRPr="00FB099E">
        <w:rPr>
          <w:rFonts w:ascii="Times New Roman" w:eastAsia="Calibri" w:hAnsi="Times New Roman" w:cs="Times New Roman"/>
          <w:kern w:val="2"/>
          <w:sz w:val="24"/>
          <w:szCs w:val="24"/>
          <w:lang w:val="en-IN"/>
          <w14:ligatures w14:val="standardContextual"/>
        </w:rPr>
        <w:t>Nyaga</w:t>
      </w:r>
      <w:proofErr w:type="spellEnd"/>
      <w:r w:rsidRPr="00FB099E">
        <w:rPr>
          <w:rFonts w:ascii="Times New Roman" w:eastAsia="Calibri" w:hAnsi="Times New Roman" w:cs="Times New Roman"/>
          <w:kern w:val="2"/>
          <w:sz w:val="24"/>
          <w:szCs w:val="24"/>
          <w:lang w:val="en-IN"/>
          <w14:ligatures w14:val="standardContextual"/>
        </w:rPr>
        <w:t xml:space="preserve">, M. M., &amp; </w:t>
      </w:r>
      <w:proofErr w:type="spellStart"/>
      <w:r w:rsidRPr="00FB099E">
        <w:rPr>
          <w:rFonts w:ascii="Times New Roman" w:eastAsia="Calibri" w:hAnsi="Times New Roman" w:cs="Times New Roman"/>
          <w:kern w:val="2"/>
          <w:sz w:val="24"/>
          <w:szCs w:val="24"/>
          <w:lang w:val="en-IN"/>
          <w14:ligatures w14:val="standardContextual"/>
        </w:rPr>
        <w:t>Sabiu</w:t>
      </w:r>
      <w:proofErr w:type="spellEnd"/>
      <w:r w:rsidRPr="00FB099E">
        <w:rPr>
          <w:rFonts w:ascii="Times New Roman" w:eastAsia="Calibri" w:hAnsi="Times New Roman" w:cs="Times New Roman"/>
          <w:kern w:val="2"/>
          <w:sz w:val="24"/>
          <w:szCs w:val="24"/>
          <w:lang w:val="en-IN"/>
          <w14:ligatures w14:val="standardContextual"/>
        </w:rPr>
        <w:t>, S. (2021). Poultry gut health–microbiome functions, environmental impacts, microbiome engineering and advancements in characterization technologies. </w:t>
      </w:r>
      <w:r w:rsidRPr="00FB099E">
        <w:rPr>
          <w:rFonts w:ascii="Times New Roman" w:eastAsia="Calibri" w:hAnsi="Times New Roman" w:cs="Times New Roman"/>
          <w:i/>
          <w:iCs/>
          <w:kern w:val="2"/>
          <w:sz w:val="24"/>
          <w:szCs w:val="24"/>
          <w:lang w:val="en-IN"/>
          <w14:ligatures w14:val="standardContextual"/>
        </w:rPr>
        <w:t>Journal of Animal Science and Biotechnology</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12</w:t>
      </w:r>
      <w:r w:rsidRPr="00FB099E">
        <w:rPr>
          <w:rFonts w:ascii="Times New Roman" w:eastAsia="Calibri" w:hAnsi="Times New Roman" w:cs="Times New Roman"/>
          <w:kern w:val="2"/>
          <w:sz w:val="24"/>
          <w:szCs w:val="24"/>
          <w:lang w:val="en-IN"/>
          <w14:ligatures w14:val="standardContextual"/>
        </w:rPr>
        <w:t>(1), 119.</w:t>
      </w:r>
    </w:p>
    <w:p w14:paraId="69EB2098"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de-DE"/>
          <w14:ligatures w14:val="standardContextual"/>
        </w:rPr>
        <w:t xml:space="preserve">Ma, B., Wang, D., Mei, X., Lei, C., Li, C., &amp; Wang, H. (2023). </w:t>
      </w:r>
      <w:r w:rsidRPr="00FB099E">
        <w:rPr>
          <w:rFonts w:ascii="Times New Roman" w:eastAsia="Calibri" w:hAnsi="Times New Roman" w:cs="Times New Roman"/>
          <w:kern w:val="2"/>
          <w:sz w:val="24"/>
          <w:szCs w:val="24"/>
          <w:lang w:val="en-IN"/>
          <w14:ligatures w14:val="standardContextual"/>
        </w:rPr>
        <w:t>Effect of enrofloxacin on the microbiome, metabolome, and abundance of antibiotic resistance genes in the chicken cecum. </w:t>
      </w:r>
      <w:r w:rsidRPr="00FB099E">
        <w:rPr>
          <w:rFonts w:ascii="Times New Roman" w:eastAsia="Calibri" w:hAnsi="Times New Roman" w:cs="Times New Roman"/>
          <w:i/>
          <w:iCs/>
          <w:kern w:val="2"/>
          <w:sz w:val="24"/>
          <w:szCs w:val="24"/>
          <w:lang w:val="en-IN"/>
          <w14:ligatures w14:val="standardContextual"/>
        </w:rPr>
        <w:t>Microbiology spectrum</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11</w:t>
      </w:r>
      <w:r w:rsidRPr="00FB099E">
        <w:rPr>
          <w:rFonts w:ascii="Times New Roman" w:eastAsia="Calibri" w:hAnsi="Times New Roman" w:cs="Times New Roman"/>
          <w:kern w:val="2"/>
          <w:sz w:val="24"/>
          <w:szCs w:val="24"/>
          <w:lang w:val="en-IN"/>
          <w14:ligatures w14:val="standardContextual"/>
        </w:rPr>
        <w:t>(2), e04795-22.</w:t>
      </w:r>
    </w:p>
    <w:p w14:paraId="7C4E5775"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lastRenderedPageBreak/>
        <w:t>Fletcher, S. (2015). Understanding the contribution of environmental factors in the spread of antimicrobial resistance. </w:t>
      </w:r>
      <w:r w:rsidRPr="00FB099E">
        <w:rPr>
          <w:rFonts w:ascii="Times New Roman" w:eastAsia="Calibri" w:hAnsi="Times New Roman" w:cs="Times New Roman"/>
          <w:i/>
          <w:iCs/>
          <w:kern w:val="2"/>
          <w:sz w:val="24"/>
          <w:szCs w:val="24"/>
          <w:lang w:val="en-IN"/>
          <w14:ligatures w14:val="standardContextual"/>
        </w:rPr>
        <w:t>Environmental health and preventive medicine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20</w:t>
      </w:r>
      <w:r w:rsidRPr="00FB099E">
        <w:rPr>
          <w:rFonts w:ascii="Times New Roman" w:eastAsia="Calibri" w:hAnsi="Times New Roman" w:cs="Times New Roman"/>
          <w:kern w:val="2"/>
          <w:sz w:val="24"/>
          <w:szCs w:val="24"/>
          <w:lang w:val="en-IN"/>
          <w14:ligatures w14:val="standardContextual"/>
        </w:rPr>
        <w:t>(4), 243-252.</w:t>
      </w:r>
    </w:p>
    <w:p w14:paraId="647E2773" w14:textId="2241AC8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Nicholds</w:t>
      </w:r>
      <w:proofErr w:type="spellEnd"/>
      <w:r w:rsidRPr="00FB099E">
        <w:rPr>
          <w:rFonts w:ascii="Times New Roman" w:eastAsia="Calibri" w:hAnsi="Times New Roman" w:cs="Times New Roman"/>
          <w:kern w:val="2"/>
          <w:sz w:val="24"/>
          <w:szCs w:val="24"/>
          <w:lang w:val="en-IN"/>
          <w14:ligatures w14:val="standardContextual"/>
        </w:rPr>
        <w:t>, J. A., French, D., Parker, D., &amp; O'Kane, P. (2024). Antimicrobial Therapy in Poultry. </w:t>
      </w:r>
      <w:r w:rsidRPr="00FB099E">
        <w:rPr>
          <w:rFonts w:ascii="Times New Roman" w:eastAsia="Calibri" w:hAnsi="Times New Roman" w:cs="Times New Roman"/>
          <w:i/>
          <w:iCs/>
          <w:kern w:val="2"/>
          <w:sz w:val="24"/>
          <w:szCs w:val="24"/>
          <w:lang w:val="en-IN"/>
          <w14:ligatures w14:val="standardContextual"/>
        </w:rPr>
        <w:t>Antimicrobial Therapy in Veterinary Medicine</w:t>
      </w:r>
      <w:r w:rsidRPr="00FB099E">
        <w:rPr>
          <w:rFonts w:ascii="Times New Roman" w:eastAsia="Calibri" w:hAnsi="Times New Roman" w:cs="Times New Roman"/>
          <w:kern w:val="2"/>
          <w:sz w:val="24"/>
          <w:szCs w:val="24"/>
          <w:lang w:val="en-IN"/>
          <w14:ligatures w14:val="standardContextual"/>
        </w:rPr>
        <w:t>, 697-719.</w:t>
      </w:r>
    </w:p>
    <w:p w14:paraId="56BC6209"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Untari</w:t>
      </w:r>
      <w:proofErr w:type="spellEnd"/>
      <w:r w:rsidRPr="00FB099E">
        <w:rPr>
          <w:rFonts w:ascii="Times New Roman" w:eastAsia="Calibri" w:hAnsi="Times New Roman" w:cs="Times New Roman"/>
          <w:kern w:val="2"/>
          <w:sz w:val="24"/>
          <w:szCs w:val="24"/>
          <w:lang w:val="en-IN"/>
          <w14:ligatures w14:val="standardContextual"/>
        </w:rPr>
        <w:t xml:space="preserve">, T., </w:t>
      </w:r>
      <w:proofErr w:type="spellStart"/>
      <w:r w:rsidRPr="00FB099E">
        <w:rPr>
          <w:rFonts w:ascii="Times New Roman" w:eastAsia="Calibri" w:hAnsi="Times New Roman" w:cs="Times New Roman"/>
          <w:kern w:val="2"/>
          <w:sz w:val="24"/>
          <w:szCs w:val="24"/>
          <w:lang w:val="en-IN"/>
          <w14:ligatures w14:val="standardContextual"/>
        </w:rPr>
        <w:t>Herawati</w:t>
      </w:r>
      <w:proofErr w:type="spellEnd"/>
      <w:r w:rsidRPr="00FB099E">
        <w:rPr>
          <w:rFonts w:ascii="Times New Roman" w:eastAsia="Calibri" w:hAnsi="Times New Roman" w:cs="Times New Roman"/>
          <w:kern w:val="2"/>
          <w:sz w:val="24"/>
          <w:szCs w:val="24"/>
          <w:lang w:val="en-IN"/>
          <w14:ligatures w14:val="standardContextual"/>
        </w:rPr>
        <w:t xml:space="preserve">, O., </w:t>
      </w:r>
      <w:proofErr w:type="spellStart"/>
      <w:r w:rsidRPr="00FB099E">
        <w:rPr>
          <w:rFonts w:ascii="Times New Roman" w:eastAsia="Calibri" w:hAnsi="Times New Roman" w:cs="Times New Roman"/>
          <w:kern w:val="2"/>
          <w:sz w:val="24"/>
          <w:szCs w:val="24"/>
          <w:lang w:val="en-IN"/>
          <w14:ligatures w14:val="standardContextual"/>
        </w:rPr>
        <w:t>Anggita</w:t>
      </w:r>
      <w:proofErr w:type="spellEnd"/>
      <w:r w:rsidRPr="00FB099E">
        <w:rPr>
          <w:rFonts w:ascii="Times New Roman" w:eastAsia="Calibri" w:hAnsi="Times New Roman" w:cs="Times New Roman"/>
          <w:kern w:val="2"/>
          <w:sz w:val="24"/>
          <w:szCs w:val="24"/>
          <w:lang w:val="en-IN"/>
          <w14:ligatures w14:val="standardContextual"/>
        </w:rPr>
        <w:t xml:space="preserve">, M., Asmara, W., </w:t>
      </w:r>
      <w:proofErr w:type="spellStart"/>
      <w:r w:rsidRPr="00FB099E">
        <w:rPr>
          <w:rFonts w:ascii="Times New Roman" w:eastAsia="Calibri" w:hAnsi="Times New Roman" w:cs="Times New Roman"/>
          <w:kern w:val="2"/>
          <w:sz w:val="24"/>
          <w:szCs w:val="24"/>
          <w:lang w:val="en-IN"/>
          <w14:ligatures w14:val="standardContextual"/>
        </w:rPr>
        <w:t>Wahyuni</w:t>
      </w:r>
      <w:proofErr w:type="spellEnd"/>
      <w:r w:rsidRPr="00FB099E">
        <w:rPr>
          <w:rFonts w:ascii="Times New Roman" w:eastAsia="Calibri" w:hAnsi="Times New Roman" w:cs="Times New Roman"/>
          <w:kern w:val="2"/>
          <w:sz w:val="24"/>
          <w:szCs w:val="24"/>
          <w:lang w:val="en-IN"/>
          <w14:ligatures w14:val="standardContextual"/>
        </w:rPr>
        <w:t xml:space="preserve">, A. E. T. H., &amp; </w:t>
      </w:r>
      <w:proofErr w:type="spellStart"/>
      <w:r w:rsidRPr="00FB099E">
        <w:rPr>
          <w:rFonts w:ascii="Times New Roman" w:eastAsia="Calibri" w:hAnsi="Times New Roman" w:cs="Times New Roman"/>
          <w:kern w:val="2"/>
          <w:sz w:val="24"/>
          <w:szCs w:val="24"/>
          <w:lang w:val="en-IN"/>
          <w14:ligatures w14:val="standardContextual"/>
        </w:rPr>
        <w:t>Wibowo</w:t>
      </w:r>
      <w:proofErr w:type="spellEnd"/>
      <w:r w:rsidRPr="00FB099E">
        <w:rPr>
          <w:rFonts w:ascii="Times New Roman" w:eastAsia="Calibri" w:hAnsi="Times New Roman" w:cs="Times New Roman"/>
          <w:kern w:val="2"/>
          <w:sz w:val="24"/>
          <w:szCs w:val="24"/>
          <w:lang w:val="en-IN"/>
          <w14:ligatures w14:val="standardContextual"/>
        </w:rPr>
        <w:t xml:space="preserve">, M. H. (2021). The effect of antibiotic growth promoters (AGP) on antibiotic resistance and the digestive system of broiler chicken in </w:t>
      </w:r>
      <w:proofErr w:type="spellStart"/>
      <w:r w:rsidRPr="00FB099E">
        <w:rPr>
          <w:rFonts w:ascii="Times New Roman" w:eastAsia="Calibri" w:hAnsi="Times New Roman" w:cs="Times New Roman"/>
          <w:kern w:val="2"/>
          <w:sz w:val="24"/>
          <w:szCs w:val="24"/>
          <w:lang w:val="en-IN"/>
          <w14:ligatures w14:val="standardContextual"/>
        </w:rPr>
        <w:t>Sleman</w:t>
      </w:r>
      <w:proofErr w:type="spellEnd"/>
      <w:r w:rsidRPr="00FB099E">
        <w:rPr>
          <w:rFonts w:ascii="Times New Roman" w:eastAsia="Calibri" w:hAnsi="Times New Roman" w:cs="Times New Roman"/>
          <w:kern w:val="2"/>
          <w:sz w:val="24"/>
          <w:szCs w:val="24"/>
          <w:lang w:val="en-IN"/>
          <w14:ligatures w14:val="standardContextual"/>
        </w:rPr>
        <w:t>, Yogyakarta. In </w:t>
      </w:r>
      <w:r w:rsidRPr="00FB099E">
        <w:rPr>
          <w:rFonts w:ascii="Times New Roman" w:eastAsia="Calibri" w:hAnsi="Times New Roman" w:cs="Times New Roman"/>
          <w:i/>
          <w:iCs/>
          <w:kern w:val="2"/>
          <w:sz w:val="24"/>
          <w:szCs w:val="24"/>
          <w:lang w:val="en-IN"/>
          <w14:ligatures w14:val="standardContextual"/>
        </w:rPr>
        <w:t>BIO Web of Conferences</w:t>
      </w:r>
      <w:r w:rsidRPr="00FB099E">
        <w:rPr>
          <w:rFonts w:ascii="Times New Roman" w:eastAsia="Calibri" w:hAnsi="Times New Roman" w:cs="Times New Roman"/>
          <w:kern w:val="2"/>
          <w:sz w:val="24"/>
          <w:szCs w:val="24"/>
          <w:lang w:val="en-IN"/>
          <w14:ligatures w14:val="standardContextual"/>
        </w:rPr>
        <w:t> (Vol. 33, p. 04005). EDP Sciences.</w:t>
      </w:r>
    </w:p>
    <w:p w14:paraId="1409C565"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proofErr w:type="spellStart"/>
      <w:r w:rsidRPr="00FB099E">
        <w:rPr>
          <w:rFonts w:ascii="Times New Roman" w:eastAsia="Calibri" w:hAnsi="Times New Roman" w:cs="Times New Roman"/>
          <w:kern w:val="2"/>
          <w:sz w:val="24"/>
          <w:szCs w:val="24"/>
          <w:lang w:val="en-IN"/>
          <w14:ligatures w14:val="standardContextual"/>
        </w:rPr>
        <w:t>Kerek</w:t>
      </w:r>
      <w:proofErr w:type="spellEnd"/>
      <w:r w:rsidRPr="00FB099E">
        <w:rPr>
          <w:rFonts w:ascii="Times New Roman" w:eastAsia="Calibri" w:hAnsi="Times New Roman" w:cs="Times New Roman"/>
          <w:kern w:val="2"/>
          <w:sz w:val="24"/>
          <w:szCs w:val="24"/>
          <w:lang w:val="en-IN"/>
          <w14:ligatures w14:val="standardContextual"/>
        </w:rPr>
        <w:t xml:space="preserve">, Á., </w:t>
      </w:r>
      <w:proofErr w:type="spellStart"/>
      <w:r w:rsidRPr="00FB099E">
        <w:rPr>
          <w:rFonts w:ascii="Times New Roman" w:eastAsia="Calibri" w:hAnsi="Times New Roman" w:cs="Times New Roman"/>
          <w:kern w:val="2"/>
          <w:sz w:val="24"/>
          <w:szCs w:val="24"/>
          <w:lang w:val="en-IN"/>
          <w14:ligatures w14:val="standardContextual"/>
        </w:rPr>
        <w:t>Szabó</w:t>
      </w:r>
      <w:proofErr w:type="spellEnd"/>
      <w:r w:rsidRPr="00FB099E">
        <w:rPr>
          <w:rFonts w:ascii="Times New Roman" w:eastAsia="Calibri" w:hAnsi="Times New Roman" w:cs="Times New Roman"/>
          <w:kern w:val="2"/>
          <w:sz w:val="24"/>
          <w:szCs w:val="24"/>
          <w:lang w:val="en-IN"/>
          <w14:ligatures w14:val="standardContextual"/>
        </w:rPr>
        <w:t xml:space="preserve">, Á., </w:t>
      </w:r>
      <w:proofErr w:type="spellStart"/>
      <w:r w:rsidRPr="00FB099E">
        <w:rPr>
          <w:rFonts w:ascii="Times New Roman" w:eastAsia="Calibri" w:hAnsi="Times New Roman" w:cs="Times New Roman"/>
          <w:kern w:val="2"/>
          <w:sz w:val="24"/>
          <w:szCs w:val="24"/>
          <w:lang w:val="en-IN"/>
          <w14:ligatures w14:val="standardContextual"/>
        </w:rPr>
        <w:t>Barnácz</w:t>
      </w:r>
      <w:proofErr w:type="spellEnd"/>
      <w:r w:rsidRPr="00FB099E">
        <w:rPr>
          <w:rFonts w:ascii="Times New Roman" w:eastAsia="Calibri" w:hAnsi="Times New Roman" w:cs="Times New Roman"/>
          <w:kern w:val="2"/>
          <w:sz w:val="24"/>
          <w:szCs w:val="24"/>
          <w:lang w:val="en-IN"/>
          <w14:ligatures w14:val="standardContextual"/>
        </w:rPr>
        <w:t xml:space="preserve">, F., </w:t>
      </w:r>
      <w:proofErr w:type="spellStart"/>
      <w:r w:rsidRPr="00FB099E">
        <w:rPr>
          <w:rFonts w:ascii="Times New Roman" w:eastAsia="Calibri" w:hAnsi="Times New Roman" w:cs="Times New Roman"/>
          <w:kern w:val="2"/>
          <w:sz w:val="24"/>
          <w:szCs w:val="24"/>
          <w:lang w:val="en-IN"/>
          <w14:ligatures w14:val="standardContextual"/>
        </w:rPr>
        <w:t>Csirmaz</w:t>
      </w:r>
      <w:proofErr w:type="spellEnd"/>
      <w:r w:rsidRPr="00FB099E">
        <w:rPr>
          <w:rFonts w:ascii="Times New Roman" w:eastAsia="Calibri" w:hAnsi="Times New Roman" w:cs="Times New Roman"/>
          <w:kern w:val="2"/>
          <w:sz w:val="24"/>
          <w:szCs w:val="24"/>
          <w:lang w:val="en-IN"/>
          <w14:ligatures w14:val="standardContextual"/>
        </w:rPr>
        <w:t xml:space="preserve">, B., </w:t>
      </w:r>
      <w:proofErr w:type="spellStart"/>
      <w:r w:rsidRPr="00FB099E">
        <w:rPr>
          <w:rFonts w:ascii="Times New Roman" w:eastAsia="Calibri" w:hAnsi="Times New Roman" w:cs="Times New Roman"/>
          <w:kern w:val="2"/>
          <w:sz w:val="24"/>
          <w:szCs w:val="24"/>
          <w:lang w:val="en-IN"/>
          <w14:ligatures w14:val="standardContextual"/>
        </w:rPr>
        <w:t>Kovács</w:t>
      </w:r>
      <w:proofErr w:type="spellEnd"/>
      <w:r w:rsidRPr="00FB099E">
        <w:rPr>
          <w:rFonts w:ascii="Times New Roman" w:eastAsia="Calibri" w:hAnsi="Times New Roman" w:cs="Times New Roman"/>
          <w:kern w:val="2"/>
          <w:sz w:val="24"/>
          <w:szCs w:val="24"/>
          <w:lang w:val="en-IN"/>
          <w14:ligatures w14:val="standardContextual"/>
        </w:rPr>
        <w:t xml:space="preserve">, L., &amp; </w:t>
      </w:r>
      <w:proofErr w:type="spellStart"/>
      <w:r w:rsidRPr="00FB099E">
        <w:rPr>
          <w:rFonts w:ascii="Times New Roman" w:eastAsia="Calibri" w:hAnsi="Times New Roman" w:cs="Times New Roman"/>
          <w:kern w:val="2"/>
          <w:sz w:val="24"/>
          <w:szCs w:val="24"/>
          <w:lang w:val="en-IN"/>
          <w14:ligatures w14:val="standardContextual"/>
        </w:rPr>
        <w:t>Jerzsele</w:t>
      </w:r>
      <w:proofErr w:type="spellEnd"/>
      <w:r w:rsidRPr="00FB099E">
        <w:rPr>
          <w:rFonts w:ascii="Times New Roman" w:eastAsia="Calibri" w:hAnsi="Times New Roman" w:cs="Times New Roman"/>
          <w:kern w:val="2"/>
          <w:sz w:val="24"/>
          <w:szCs w:val="24"/>
          <w:lang w:val="en-IN"/>
          <w14:ligatures w14:val="standardContextual"/>
        </w:rPr>
        <w:t>, Á. (2025). Antimicrobial Susceptibility Profiles of Commensal Enterococcus spp. Isolates from Turkeys in Hungarian Poultry Farms Between 2022 and 2023. </w:t>
      </w:r>
      <w:r w:rsidRPr="00FB099E">
        <w:rPr>
          <w:rFonts w:ascii="Times New Roman" w:eastAsia="Calibri" w:hAnsi="Times New Roman" w:cs="Times New Roman"/>
          <w:i/>
          <w:iCs/>
          <w:kern w:val="2"/>
          <w:sz w:val="24"/>
          <w:szCs w:val="24"/>
          <w:lang w:val="en-IN"/>
          <w14:ligatures w14:val="standardContextual"/>
        </w:rPr>
        <w:t>Antibiotics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14</w:t>
      </w:r>
      <w:r w:rsidRPr="00FB099E">
        <w:rPr>
          <w:rFonts w:ascii="Times New Roman" w:eastAsia="Calibri" w:hAnsi="Times New Roman" w:cs="Times New Roman"/>
          <w:kern w:val="2"/>
          <w:sz w:val="24"/>
          <w:szCs w:val="24"/>
          <w:lang w:val="en-IN"/>
          <w14:ligatures w14:val="standardContextual"/>
        </w:rPr>
        <w:t>(4), 331.</w:t>
      </w:r>
    </w:p>
    <w:p w14:paraId="55E66A2A" w14:textId="77777777" w:rsidR="00FB099E" w:rsidRPr="00FB099E"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pPr>
      <w:r w:rsidRPr="00FB099E">
        <w:rPr>
          <w:rFonts w:ascii="Times New Roman" w:eastAsia="Calibri" w:hAnsi="Times New Roman" w:cs="Times New Roman"/>
          <w:kern w:val="2"/>
          <w:sz w:val="24"/>
          <w:szCs w:val="24"/>
          <w:lang w:val="en-IN"/>
          <w14:ligatures w14:val="standardContextual"/>
        </w:rPr>
        <w:t xml:space="preserve">Hamed, F., &amp; Isa, J. K. (2024). Isolation of Lactobacillus spp. from Healthy Infants' </w:t>
      </w:r>
      <w:proofErr w:type="spellStart"/>
      <w:r w:rsidRPr="00FB099E">
        <w:rPr>
          <w:rFonts w:ascii="Times New Roman" w:eastAsia="Calibri" w:hAnsi="Times New Roman" w:cs="Times New Roman"/>
          <w:kern w:val="2"/>
          <w:sz w:val="24"/>
          <w:szCs w:val="24"/>
          <w:lang w:val="en-IN"/>
          <w14:ligatures w14:val="standardContextual"/>
        </w:rPr>
        <w:t>Feces</w:t>
      </w:r>
      <w:proofErr w:type="spellEnd"/>
      <w:r w:rsidRPr="00FB099E">
        <w:rPr>
          <w:rFonts w:ascii="Times New Roman" w:eastAsia="Calibri" w:hAnsi="Times New Roman" w:cs="Times New Roman"/>
          <w:kern w:val="2"/>
          <w:sz w:val="24"/>
          <w:szCs w:val="24"/>
          <w:lang w:val="en-IN"/>
          <w14:ligatures w14:val="standardContextual"/>
        </w:rPr>
        <w:t xml:space="preserve"> and Study of their Antibiotic Susceptibility. </w:t>
      </w:r>
      <w:proofErr w:type="spellStart"/>
      <w:r w:rsidRPr="00FB099E">
        <w:rPr>
          <w:rFonts w:ascii="Times New Roman" w:eastAsia="Calibri" w:hAnsi="Times New Roman" w:cs="Times New Roman"/>
          <w:i/>
          <w:iCs/>
          <w:kern w:val="2"/>
          <w:sz w:val="24"/>
          <w:szCs w:val="24"/>
          <w:lang w:val="en-IN"/>
          <w14:ligatures w14:val="standardContextual"/>
        </w:rPr>
        <w:t>Wasit</w:t>
      </w:r>
      <w:proofErr w:type="spellEnd"/>
      <w:r w:rsidRPr="00FB099E">
        <w:rPr>
          <w:rFonts w:ascii="Times New Roman" w:eastAsia="Calibri" w:hAnsi="Times New Roman" w:cs="Times New Roman"/>
          <w:i/>
          <w:iCs/>
          <w:kern w:val="2"/>
          <w:sz w:val="24"/>
          <w:szCs w:val="24"/>
          <w:lang w:val="en-IN"/>
          <w14:ligatures w14:val="standardContextual"/>
        </w:rPr>
        <w:t xml:space="preserve"> Journal for Pure sciences</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3</w:t>
      </w:r>
      <w:r w:rsidRPr="00FB099E">
        <w:rPr>
          <w:rFonts w:ascii="Times New Roman" w:eastAsia="Calibri" w:hAnsi="Times New Roman" w:cs="Times New Roman"/>
          <w:kern w:val="2"/>
          <w:sz w:val="24"/>
          <w:szCs w:val="24"/>
          <w:lang w:val="en-IN"/>
          <w14:ligatures w14:val="standardContextual"/>
        </w:rPr>
        <w:t>(3), 208-215.</w:t>
      </w:r>
    </w:p>
    <w:p w14:paraId="6CFBD842" w14:textId="040B6DA6" w:rsidR="00FB099E" w:rsidRPr="00CC5258" w:rsidRDefault="00FB099E" w:rsidP="00FB099E">
      <w:pPr>
        <w:numPr>
          <w:ilvl w:val="0"/>
          <w:numId w:val="5"/>
        </w:numPr>
        <w:bidi w:val="0"/>
        <w:spacing w:line="480" w:lineRule="auto"/>
        <w:jc w:val="both"/>
        <w:rPr>
          <w:rFonts w:ascii="Times New Roman" w:eastAsia="Calibri" w:hAnsi="Times New Roman" w:cs="Times New Roman"/>
          <w:kern w:val="2"/>
          <w:sz w:val="24"/>
          <w:szCs w:val="24"/>
          <w:lang w:val="en-IN"/>
          <w14:ligatures w14:val="standardContextual"/>
        </w:rPr>
        <w:sectPr w:rsidR="00FB099E" w:rsidRPr="00CC5258" w:rsidSect="00AF76EF">
          <w:pgSz w:w="11906" w:h="16838"/>
          <w:pgMar w:top="1440" w:right="1440" w:bottom="1440" w:left="1440" w:header="709" w:footer="709" w:gutter="0"/>
          <w:cols w:space="708"/>
          <w:docGrid w:linePitch="360"/>
        </w:sectPr>
      </w:pPr>
      <w:proofErr w:type="spellStart"/>
      <w:r w:rsidRPr="00FB099E">
        <w:rPr>
          <w:rFonts w:ascii="Times New Roman" w:eastAsia="Calibri" w:hAnsi="Times New Roman" w:cs="Times New Roman"/>
          <w:kern w:val="2"/>
          <w:sz w:val="24"/>
          <w:szCs w:val="24"/>
          <w:lang w:val="en-IN"/>
          <w14:ligatures w14:val="standardContextual"/>
        </w:rPr>
        <w:t>Mosa</w:t>
      </w:r>
      <w:proofErr w:type="spellEnd"/>
      <w:r w:rsidRPr="00FB099E">
        <w:rPr>
          <w:rFonts w:ascii="Times New Roman" w:eastAsia="Calibri" w:hAnsi="Times New Roman" w:cs="Times New Roman"/>
          <w:kern w:val="2"/>
          <w:sz w:val="24"/>
          <w:szCs w:val="24"/>
          <w:lang w:val="en-IN"/>
          <w14:ligatures w14:val="standardContextual"/>
        </w:rPr>
        <w:t xml:space="preserve">, M. I., Salem, H. M., Hassan, M., El-Saied, M. A., </w:t>
      </w:r>
      <w:proofErr w:type="spellStart"/>
      <w:r w:rsidRPr="00FB099E">
        <w:rPr>
          <w:rFonts w:ascii="Times New Roman" w:eastAsia="Calibri" w:hAnsi="Times New Roman" w:cs="Times New Roman"/>
          <w:kern w:val="2"/>
          <w:sz w:val="24"/>
          <w:szCs w:val="24"/>
          <w:lang w:val="en-IN"/>
          <w14:ligatures w14:val="standardContextual"/>
        </w:rPr>
        <w:t>Bastamy</w:t>
      </w:r>
      <w:proofErr w:type="spellEnd"/>
      <w:r w:rsidRPr="00FB099E">
        <w:rPr>
          <w:rFonts w:ascii="Times New Roman" w:eastAsia="Calibri" w:hAnsi="Times New Roman" w:cs="Times New Roman"/>
          <w:kern w:val="2"/>
          <w:sz w:val="24"/>
          <w:szCs w:val="24"/>
          <w:lang w:val="en-IN"/>
          <w14:ligatures w14:val="standardContextual"/>
        </w:rPr>
        <w:t xml:space="preserve">, M. A., &amp; Amer, M. M. (2025). The effect of infectious bursal disease virus infection on gut microbiota of broiler chicken and the role of prebiotics and probiotics on correction of gut dysbiosis using analysis of 16s </w:t>
      </w:r>
      <w:proofErr w:type="spellStart"/>
      <w:r w:rsidRPr="00FB099E">
        <w:rPr>
          <w:rFonts w:ascii="Times New Roman" w:eastAsia="Calibri" w:hAnsi="Times New Roman" w:cs="Times New Roman"/>
          <w:kern w:val="2"/>
          <w:sz w:val="24"/>
          <w:szCs w:val="24"/>
          <w:lang w:val="en-IN"/>
          <w14:ligatures w14:val="standardContextual"/>
        </w:rPr>
        <w:t>rrna</w:t>
      </w:r>
      <w:proofErr w:type="spellEnd"/>
      <w:r w:rsidRPr="00FB099E">
        <w:rPr>
          <w:rFonts w:ascii="Times New Roman" w:eastAsia="Calibri" w:hAnsi="Times New Roman" w:cs="Times New Roman"/>
          <w:kern w:val="2"/>
          <w:sz w:val="24"/>
          <w:szCs w:val="24"/>
          <w:lang w:val="en-IN"/>
          <w14:ligatures w14:val="standardContextual"/>
        </w:rPr>
        <w:t xml:space="preserve"> gene sequencing. </w:t>
      </w:r>
      <w:r w:rsidRPr="00FB099E">
        <w:rPr>
          <w:rFonts w:ascii="Times New Roman" w:eastAsia="Calibri" w:hAnsi="Times New Roman" w:cs="Times New Roman"/>
          <w:i/>
          <w:iCs/>
          <w:kern w:val="2"/>
          <w:sz w:val="24"/>
          <w:szCs w:val="24"/>
          <w:lang w:val="en-IN"/>
          <w14:ligatures w14:val="standardContextual"/>
        </w:rPr>
        <w:t>Bulgarian Journal of Veterinary Medicine</w:t>
      </w:r>
      <w:r w:rsidRPr="00FB099E">
        <w:rPr>
          <w:rFonts w:ascii="Times New Roman" w:eastAsia="Calibri" w:hAnsi="Times New Roman" w:cs="Times New Roman"/>
          <w:kern w:val="2"/>
          <w:sz w:val="24"/>
          <w:szCs w:val="24"/>
          <w:lang w:val="en-IN"/>
          <w14:ligatures w14:val="standardContextual"/>
        </w:rPr>
        <w:t>, </w:t>
      </w:r>
      <w:r w:rsidRPr="00FB099E">
        <w:rPr>
          <w:rFonts w:ascii="Times New Roman" w:eastAsia="Calibri" w:hAnsi="Times New Roman" w:cs="Times New Roman"/>
          <w:i/>
          <w:iCs/>
          <w:kern w:val="2"/>
          <w:sz w:val="24"/>
          <w:szCs w:val="24"/>
          <w:lang w:val="en-IN"/>
          <w14:ligatures w14:val="standardContextual"/>
        </w:rPr>
        <w:t>28</w:t>
      </w:r>
      <w:r w:rsidRPr="00FB099E">
        <w:rPr>
          <w:rFonts w:ascii="Times New Roman" w:eastAsia="Calibri" w:hAnsi="Times New Roman" w:cs="Times New Roman"/>
          <w:kern w:val="2"/>
          <w:sz w:val="24"/>
          <w:szCs w:val="24"/>
          <w:lang w:val="en-IN"/>
          <w14:ligatures w14:val="standardContextual"/>
        </w:rPr>
        <w:t>(3).</w:t>
      </w:r>
    </w:p>
    <w:p w14:paraId="27580C3E" w14:textId="12F86A4B" w:rsidR="00FB099E" w:rsidRPr="00FB099E" w:rsidRDefault="00FB099E" w:rsidP="00D80ABA">
      <w:pPr>
        <w:tabs>
          <w:tab w:val="left" w:pos="5931"/>
        </w:tabs>
        <w:bidi w:val="0"/>
        <w:rPr>
          <w:rFonts w:ascii="Times New Roman" w:eastAsia="Calibri" w:hAnsi="Times New Roman" w:cs="Times New Roman"/>
          <w:kern w:val="2"/>
          <w:sz w:val="24"/>
          <w:szCs w:val="24"/>
          <w:lang w:val="en-IN"/>
          <w14:ligatures w14:val="standardContextual"/>
        </w:rPr>
      </w:pPr>
    </w:p>
    <w:sectPr w:rsidR="00FB099E" w:rsidRPr="00FB099E" w:rsidSect="00AF76EF">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D5A2E" w16cex:dateUtc="2026-02-14T12:34:00Z"/>
  <w16cex:commentExtensible w16cex:durableId="4CB10357" w16cex:dateUtc="2026-02-14T12:37:00Z"/>
  <w16cex:commentExtensible w16cex:durableId="1DFA76CA" w16cex:dateUtc="2026-02-14T12:38:00Z"/>
  <w16cex:commentExtensible w16cex:durableId="11FEB1B4" w16cex:dateUtc="2026-02-14T12:43:00Z"/>
  <w16cex:commentExtensible w16cex:durableId="5564B115" w16cex:dateUtc="2026-02-14T12:45:00Z"/>
  <w16cex:commentExtensible w16cex:durableId="74D3330C" w16cex:dateUtc="2026-02-14T12:44:00Z"/>
  <w16cex:commentExtensible w16cex:durableId="05828541" w16cex:dateUtc="2026-02-14T12: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45BF2" w14:textId="77777777" w:rsidR="001B69F8" w:rsidRDefault="001B69F8" w:rsidP="00D80ABA">
      <w:pPr>
        <w:spacing w:after="0" w:line="240" w:lineRule="auto"/>
      </w:pPr>
      <w:r>
        <w:separator/>
      </w:r>
    </w:p>
  </w:endnote>
  <w:endnote w:type="continuationSeparator" w:id="0">
    <w:p w14:paraId="304B81B1" w14:textId="77777777" w:rsidR="001B69F8" w:rsidRDefault="001B69F8" w:rsidP="00D8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40008313"/>
      <w:docPartObj>
        <w:docPartGallery w:val="Page Numbers (Bottom of Page)"/>
        <w:docPartUnique/>
      </w:docPartObj>
    </w:sdtPr>
    <w:sdtEndPr>
      <w:rPr>
        <w:color w:val="7F7F7F" w:themeColor="background1" w:themeShade="7F"/>
        <w:spacing w:val="60"/>
      </w:rPr>
    </w:sdtEndPr>
    <w:sdtContent>
      <w:p w14:paraId="51E17EA4" w14:textId="0DF5E881" w:rsidR="00252C54" w:rsidRDefault="00252C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72C14F7" w14:textId="77777777" w:rsidR="00252C54" w:rsidRDefault="00252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490BB" w14:textId="77777777" w:rsidR="001B69F8" w:rsidRDefault="001B69F8" w:rsidP="00D80ABA">
      <w:pPr>
        <w:spacing w:after="0" w:line="240" w:lineRule="auto"/>
      </w:pPr>
      <w:r>
        <w:separator/>
      </w:r>
    </w:p>
  </w:footnote>
  <w:footnote w:type="continuationSeparator" w:id="0">
    <w:p w14:paraId="6400E14D" w14:textId="77777777" w:rsidR="001B69F8" w:rsidRDefault="001B69F8" w:rsidP="00D80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42A4"/>
    <w:multiLevelType w:val="multilevel"/>
    <w:tmpl w:val="9762F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46A18"/>
    <w:multiLevelType w:val="multilevel"/>
    <w:tmpl w:val="DBA6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E16E1"/>
    <w:multiLevelType w:val="hybridMultilevel"/>
    <w:tmpl w:val="DFF67A20"/>
    <w:lvl w:ilvl="0" w:tplc="8762494C">
      <w:start w:val="1"/>
      <w:numFmt w:val="decimal"/>
      <w:lvlText w:val="%1."/>
      <w:lvlJc w:val="left"/>
      <w:pPr>
        <w:tabs>
          <w:tab w:val="num" w:pos="720"/>
        </w:tabs>
        <w:ind w:left="720" w:hanging="360"/>
      </w:pPr>
    </w:lvl>
    <w:lvl w:ilvl="1" w:tplc="38B4C9F0" w:tentative="1">
      <w:start w:val="1"/>
      <w:numFmt w:val="decimal"/>
      <w:lvlText w:val="%2."/>
      <w:lvlJc w:val="left"/>
      <w:pPr>
        <w:tabs>
          <w:tab w:val="num" w:pos="1440"/>
        </w:tabs>
        <w:ind w:left="1440" w:hanging="360"/>
      </w:pPr>
    </w:lvl>
    <w:lvl w:ilvl="2" w:tplc="A3F43E3C" w:tentative="1">
      <w:start w:val="1"/>
      <w:numFmt w:val="decimal"/>
      <w:lvlText w:val="%3."/>
      <w:lvlJc w:val="left"/>
      <w:pPr>
        <w:tabs>
          <w:tab w:val="num" w:pos="2160"/>
        </w:tabs>
        <w:ind w:left="2160" w:hanging="360"/>
      </w:pPr>
    </w:lvl>
    <w:lvl w:ilvl="3" w:tplc="1298B946" w:tentative="1">
      <w:start w:val="1"/>
      <w:numFmt w:val="decimal"/>
      <w:lvlText w:val="%4."/>
      <w:lvlJc w:val="left"/>
      <w:pPr>
        <w:tabs>
          <w:tab w:val="num" w:pos="2880"/>
        </w:tabs>
        <w:ind w:left="2880" w:hanging="360"/>
      </w:pPr>
    </w:lvl>
    <w:lvl w:ilvl="4" w:tplc="5CB290C8" w:tentative="1">
      <w:start w:val="1"/>
      <w:numFmt w:val="decimal"/>
      <w:lvlText w:val="%5."/>
      <w:lvlJc w:val="left"/>
      <w:pPr>
        <w:tabs>
          <w:tab w:val="num" w:pos="3600"/>
        </w:tabs>
        <w:ind w:left="3600" w:hanging="360"/>
      </w:pPr>
    </w:lvl>
    <w:lvl w:ilvl="5" w:tplc="E2BE2F04" w:tentative="1">
      <w:start w:val="1"/>
      <w:numFmt w:val="decimal"/>
      <w:lvlText w:val="%6."/>
      <w:lvlJc w:val="left"/>
      <w:pPr>
        <w:tabs>
          <w:tab w:val="num" w:pos="4320"/>
        </w:tabs>
        <w:ind w:left="4320" w:hanging="360"/>
      </w:pPr>
    </w:lvl>
    <w:lvl w:ilvl="6" w:tplc="1E9A3FDC" w:tentative="1">
      <w:start w:val="1"/>
      <w:numFmt w:val="decimal"/>
      <w:lvlText w:val="%7."/>
      <w:lvlJc w:val="left"/>
      <w:pPr>
        <w:tabs>
          <w:tab w:val="num" w:pos="5040"/>
        </w:tabs>
        <w:ind w:left="5040" w:hanging="360"/>
      </w:pPr>
    </w:lvl>
    <w:lvl w:ilvl="7" w:tplc="4B1AA88C" w:tentative="1">
      <w:start w:val="1"/>
      <w:numFmt w:val="decimal"/>
      <w:lvlText w:val="%8."/>
      <w:lvlJc w:val="left"/>
      <w:pPr>
        <w:tabs>
          <w:tab w:val="num" w:pos="5760"/>
        </w:tabs>
        <w:ind w:left="5760" w:hanging="360"/>
      </w:pPr>
    </w:lvl>
    <w:lvl w:ilvl="8" w:tplc="8A323BC6" w:tentative="1">
      <w:start w:val="1"/>
      <w:numFmt w:val="decimal"/>
      <w:lvlText w:val="%9."/>
      <w:lvlJc w:val="left"/>
      <w:pPr>
        <w:tabs>
          <w:tab w:val="num" w:pos="6480"/>
        </w:tabs>
        <w:ind w:left="6480" w:hanging="360"/>
      </w:pPr>
    </w:lvl>
  </w:abstractNum>
  <w:abstractNum w:abstractNumId="3" w15:restartNumberingAfterBreak="0">
    <w:nsid w:val="7A6F3936"/>
    <w:multiLevelType w:val="hybridMultilevel"/>
    <w:tmpl w:val="1AA0E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C77658"/>
    <w:multiLevelType w:val="hybridMultilevel"/>
    <w:tmpl w:val="9E940304"/>
    <w:lvl w:ilvl="0" w:tplc="2034AD48">
      <w:start w:val="1"/>
      <w:numFmt w:val="decimal"/>
      <w:lvlText w:val="%1."/>
      <w:lvlJc w:val="left"/>
      <w:pPr>
        <w:tabs>
          <w:tab w:val="num" w:pos="720"/>
        </w:tabs>
        <w:ind w:left="720" w:hanging="360"/>
      </w:pPr>
    </w:lvl>
    <w:lvl w:ilvl="1" w:tplc="40346F1E" w:tentative="1">
      <w:start w:val="1"/>
      <w:numFmt w:val="decimal"/>
      <w:lvlText w:val="%2."/>
      <w:lvlJc w:val="left"/>
      <w:pPr>
        <w:tabs>
          <w:tab w:val="num" w:pos="1440"/>
        </w:tabs>
        <w:ind w:left="1440" w:hanging="360"/>
      </w:pPr>
    </w:lvl>
    <w:lvl w:ilvl="2" w:tplc="6D70CBEC" w:tentative="1">
      <w:start w:val="1"/>
      <w:numFmt w:val="decimal"/>
      <w:lvlText w:val="%3."/>
      <w:lvlJc w:val="left"/>
      <w:pPr>
        <w:tabs>
          <w:tab w:val="num" w:pos="2160"/>
        </w:tabs>
        <w:ind w:left="2160" w:hanging="360"/>
      </w:pPr>
    </w:lvl>
    <w:lvl w:ilvl="3" w:tplc="95568150" w:tentative="1">
      <w:start w:val="1"/>
      <w:numFmt w:val="decimal"/>
      <w:lvlText w:val="%4."/>
      <w:lvlJc w:val="left"/>
      <w:pPr>
        <w:tabs>
          <w:tab w:val="num" w:pos="2880"/>
        </w:tabs>
        <w:ind w:left="2880" w:hanging="360"/>
      </w:pPr>
    </w:lvl>
    <w:lvl w:ilvl="4" w:tplc="50EE0A9A" w:tentative="1">
      <w:start w:val="1"/>
      <w:numFmt w:val="decimal"/>
      <w:lvlText w:val="%5."/>
      <w:lvlJc w:val="left"/>
      <w:pPr>
        <w:tabs>
          <w:tab w:val="num" w:pos="3600"/>
        </w:tabs>
        <w:ind w:left="3600" w:hanging="360"/>
      </w:pPr>
    </w:lvl>
    <w:lvl w:ilvl="5" w:tplc="27926152" w:tentative="1">
      <w:start w:val="1"/>
      <w:numFmt w:val="decimal"/>
      <w:lvlText w:val="%6."/>
      <w:lvlJc w:val="left"/>
      <w:pPr>
        <w:tabs>
          <w:tab w:val="num" w:pos="4320"/>
        </w:tabs>
        <w:ind w:left="4320" w:hanging="360"/>
      </w:pPr>
    </w:lvl>
    <w:lvl w:ilvl="6" w:tplc="E750AB06" w:tentative="1">
      <w:start w:val="1"/>
      <w:numFmt w:val="decimal"/>
      <w:lvlText w:val="%7."/>
      <w:lvlJc w:val="left"/>
      <w:pPr>
        <w:tabs>
          <w:tab w:val="num" w:pos="5040"/>
        </w:tabs>
        <w:ind w:left="5040" w:hanging="360"/>
      </w:pPr>
    </w:lvl>
    <w:lvl w:ilvl="7" w:tplc="8B060E3C" w:tentative="1">
      <w:start w:val="1"/>
      <w:numFmt w:val="decimal"/>
      <w:lvlText w:val="%8."/>
      <w:lvlJc w:val="left"/>
      <w:pPr>
        <w:tabs>
          <w:tab w:val="num" w:pos="5760"/>
        </w:tabs>
        <w:ind w:left="5760" w:hanging="360"/>
      </w:pPr>
    </w:lvl>
    <w:lvl w:ilvl="8" w:tplc="605ADAB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05"/>
    <w:rsid w:val="00040705"/>
    <w:rsid w:val="000E3B0A"/>
    <w:rsid w:val="001B69F8"/>
    <w:rsid w:val="002146DC"/>
    <w:rsid w:val="00252C54"/>
    <w:rsid w:val="002C6C72"/>
    <w:rsid w:val="002E57E8"/>
    <w:rsid w:val="00344030"/>
    <w:rsid w:val="00484B1D"/>
    <w:rsid w:val="004D35C9"/>
    <w:rsid w:val="00530DA1"/>
    <w:rsid w:val="00591627"/>
    <w:rsid w:val="005A1482"/>
    <w:rsid w:val="00602DAA"/>
    <w:rsid w:val="006E6425"/>
    <w:rsid w:val="00751C61"/>
    <w:rsid w:val="007D7A3C"/>
    <w:rsid w:val="008645A7"/>
    <w:rsid w:val="00AE3A9F"/>
    <w:rsid w:val="00AF76EF"/>
    <w:rsid w:val="00B13A22"/>
    <w:rsid w:val="00C60147"/>
    <w:rsid w:val="00CC5258"/>
    <w:rsid w:val="00D80ABA"/>
    <w:rsid w:val="00DF6F69"/>
    <w:rsid w:val="00E549D3"/>
    <w:rsid w:val="00EF0690"/>
    <w:rsid w:val="00FB0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4E77"/>
  <w15:chartTrackingRefBased/>
  <w15:docId w15:val="{410D5F4E-1A1F-CE4D-B282-866CF80B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FB099E"/>
    <w:pPr>
      <w:keepNext/>
      <w:keepLines/>
      <w:spacing w:before="240" w:after="0"/>
      <w:outlineLvl w:val="0"/>
    </w:pPr>
    <w:rPr>
      <w:rFonts w:ascii="Calibri Light" w:eastAsia="Times New Roman" w:hAnsi="Calibri Light" w:cs="Latha"/>
      <w:color w:val="2F5496"/>
      <w:sz w:val="40"/>
      <w:szCs w:val="40"/>
    </w:rPr>
  </w:style>
  <w:style w:type="paragraph" w:styleId="Heading2">
    <w:name w:val="heading 2"/>
    <w:basedOn w:val="Normal"/>
    <w:next w:val="Normal"/>
    <w:link w:val="Heading2Char"/>
    <w:uiPriority w:val="9"/>
    <w:semiHidden/>
    <w:unhideWhenUsed/>
    <w:qFormat/>
    <w:rsid w:val="00FB099E"/>
    <w:pPr>
      <w:keepNext/>
      <w:keepLines/>
      <w:spacing w:before="40" w:after="0"/>
      <w:outlineLvl w:val="1"/>
    </w:pPr>
    <w:rPr>
      <w:rFonts w:ascii="Calibri Light" w:eastAsia="Times New Roman" w:hAnsi="Calibri Light" w:cs="Latha"/>
      <w:color w:val="2F5496"/>
      <w:sz w:val="32"/>
      <w:szCs w:val="32"/>
    </w:rPr>
  </w:style>
  <w:style w:type="paragraph" w:styleId="Heading3">
    <w:name w:val="heading 3"/>
    <w:basedOn w:val="Normal"/>
    <w:next w:val="Normal"/>
    <w:link w:val="Heading3Char"/>
    <w:uiPriority w:val="9"/>
    <w:semiHidden/>
    <w:unhideWhenUsed/>
    <w:qFormat/>
    <w:rsid w:val="00FB099E"/>
    <w:pPr>
      <w:keepNext/>
      <w:keepLines/>
      <w:spacing w:before="40" w:after="0"/>
      <w:outlineLvl w:val="2"/>
    </w:pPr>
    <w:rPr>
      <w:rFonts w:eastAsia="Times New Roman" w:cs="Latha"/>
      <w:color w:val="2F5496"/>
      <w:sz w:val="28"/>
      <w:szCs w:val="28"/>
    </w:rPr>
  </w:style>
  <w:style w:type="paragraph" w:styleId="Heading4">
    <w:name w:val="heading 4"/>
    <w:basedOn w:val="Normal"/>
    <w:next w:val="Normal"/>
    <w:link w:val="Heading4Char"/>
    <w:uiPriority w:val="9"/>
    <w:semiHidden/>
    <w:unhideWhenUsed/>
    <w:qFormat/>
    <w:rsid w:val="00FB099E"/>
    <w:pPr>
      <w:keepNext/>
      <w:keepLines/>
      <w:spacing w:before="40" w:after="0"/>
      <w:outlineLvl w:val="3"/>
    </w:pPr>
    <w:rPr>
      <w:rFonts w:eastAsia="Times New Roman" w:cs="Latha"/>
      <w:i/>
      <w:iCs/>
      <w:color w:val="2F5496"/>
    </w:rPr>
  </w:style>
  <w:style w:type="paragraph" w:styleId="Heading5">
    <w:name w:val="heading 5"/>
    <w:basedOn w:val="Normal"/>
    <w:next w:val="Normal"/>
    <w:link w:val="Heading5Char"/>
    <w:uiPriority w:val="9"/>
    <w:semiHidden/>
    <w:unhideWhenUsed/>
    <w:qFormat/>
    <w:rsid w:val="00FB099E"/>
    <w:pPr>
      <w:keepNext/>
      <w:keepLines/>
      <w:spacing w:before="40" w:after="0"/>
      <w:outlineLvl w:val="4"/>
    </w:pPr>
    <w:rPr>
      <w:rFonts w:eastAsia="Times New Roman" w:cs="Latha"/>
      <w:color w:val="2F5496"/>
    </w:rPr>
  </w:style>
  <w:style w:type="paragraph" w:styleId="Heading6">
    <w:name w:val="heading 6"/>
    <w:basedOn w:val="Normal"/>
    <w:next w:val="Normal"/>
    <w:link w:val="Heading6Char"/>
    <w:uiPriority w:val="9"/>
    <w:semiHidden/>
    <w:unhideWhenUsed/>
    <w:qFormat/>
    <w:rsid w:val="00FB099E"/>
    <w:pPr>
      <w:keepNext/>
      <w:keepLines/>
      <w:spacing w:before="40" w:after="0"/>
      <w:outlineLvl w:val="5"/>
    </w:pPr>
    <w:rPr>
      <w:rFonts w:eastAsia="Times New Roman" w:cs="Latha"/>
      <w:i/>
      <w:iCs/>
      <w:color w:val="595959"/>
    </w:rPr>
  </w:style>
  <w:style w:type="paragraph" w:styleId="Heading7">
    <w:name w:val="heading 7"/>
    <w:basedOn w:val="Normal"/>
    <w:next w:val="Normal"/>
    <w:link w:val="Heading7Char"/>
    <w:uiPriority w:val="9"/>
    <w:semiHidden/>
    <w:unhideWhenUsed/>
    <w:qFormat/>
    <w:rsid w:val="00FB099E"/>
    <w:pPr>
      <w:keepNext/>
      <w:keepLines/>
      <w:spacing w:before="40" w:after="0"/>
      <w:outlineLvl w:val="6"/>
    </w:pPr>
    <w:rPr>
      <w:rFonts w:eastAsia="Times New Roman" w:cs="Latha"/>
      <w:color w:val="595959"/>
    </w:rPr>
  </w:style>
  <w:style w:type="paragraph" w:styleId="Heading8">
    <w:name w:val="heading 8"/>
    <w:basedOn w:val="Normal"/>
    <w:next w:val="Normal"/>
    <w:link w:val="Heading8Char"/>
    <w:uiPriority w:val="9"/>
    <w:semiHidden/>
    <w:unhideWhenUsed/>
    <w:qFormat/>
    <w:rsid w:val="00FB099E"/>
    <w:pPr>
      <w:keepNext/>
      <w:keepLines/>
      <w:spacing w:before="40" w:after="0"/>
      <w:outlineLvl w:val="7"/>
    </w:pPr>
    <w:rPr>
      <w:rFonts w:eastAsia="Times New Roman" w:cs="Latha"/>
      <w:i/>
      <w:iCs/>
      <w:color w:val="272727"/>
    </w:rPr>
  </w:style>
  <w:style w:type="paragraph" w:styleId="Heading9">
    <w:name w:val="heading 9"/>
    <w:basedOn w:val="Normal"/>
    <w:next w:val="Normal"/>
    <w:link w:val="Heading9Char"/>
    <w:uiPriority w:val="9"/>
    <w:semiHidden/>
    <w:unhideWhenUsed/>
    <w:qFormat/>
    <w:rsid w:val="00FB099E"/>
    <w:pPr>
      <w:keepNext/>
      <w:keepLines/>
      <w:spacing w:before="40" w:after="0"/>
      <w:outlineLvl w:val="8"/>
    </w:pPr>
    <w:rPr>
      <w:rFonts w:eastAsia="Times New Roman" w:cs="Latha"/>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العنوان 11"/>
    <w:basedOn w:val="Normal"/>
    <w:next w:val="Normal"/>
    <w:uiPriority w:val="9"/>
    <w:qFormat/>
    <w:rsid w:val="00FB099E"/>
    <w:pPr>
      <w:keepNext/>
      <w:keepLines/>
      <w:bidi w:val="0"/>
      <w:spacing w:before="360" w:after="80"/>
      <w:outlineLvl w:val="0"/>
    </w:pPr>
    <w:rPr>
      <w:rFonts w:ascii="Calibri Light" w:eastAsia="Times New Roman" w:hAnsi="Calibri Light" w:cs="Latha"/>
      <w:color w:val="2F5496"/>
      <w:kern w:val="2"/>
      <w:sz w:val="40"/>
      <w:szCs w:val="40"/>
      <w:lang w:val="en-IN"/>
      <w14:ligatures w14:val="standardContextual"/>
    </w:rPr>
  </w:style>
  <w:style w:type="paragraph" w:customStyle="1" w:styleId="21">
    <w:name w:val="عنوان 21"/>
    <w:basedOn w:val="Normal"/>
    <w:next w:val="Normal"/>
    <w:uiPriority w:val="9"/>
    <w:semiHidden/>
    <w:unhideWhenUsed/>
    <w:qFormat/>
    <w:rsid w:val="00FB099E"/>
    <w:pPr>
      <w:keepNext/>
      <w:keepLines/>
      <w:bidi w:val="0"/>
      <w:spacing w:before="160" w:after="80"/>
      <w:outlineLvl w:val="1"/>
    </w:pPr>
    <w:rPr>
      <w:rFonts w:ascii="Calibri Light" w:eastAsia="Times New Roman" w:hAnsi="Calibri Light" w:cs="Latha"/>
      <w:color w:val="2F5496"/>
      <w:kern w:val="2"/>
      <w:sz w:val="32"/>
      <w:szCs w:val="32"/>
      <w:lang w:val="en-IN"/>
      <w14:ligatures w14:val="standardContextual"/>
    </w:rPr>
  </w:style>
  <w:style w:type="paragraph" w:customStyle="1" w:styleId="31">
    <w:name w:val="عنوان 31"/>
    <w:basedOn w:val="Normal"/>
    <w:next w:val="Normal"/>
    <w:uiPriority w:val="9"/>
    <w:semiHidden/>
    <w:unhideWhenUsed/>
    <w:qFormat/>
    <w:rsid w:val="00FB099E"/>
    <w:pPr>
      <w:keepNext/>
      <w:keepLines/>
      <w:bidi w:val="0"/>
      <w:spacing w:before="160" w:after="80"/>
      <w:outlineLvl w:val="2"/>
    </w:pPr>
    <w:rPr>
      <w:rFonts w:eastAsia="Times New Roman" w:cs="Latha"/>
      <w:color w:val="2F5496"/>
      <w:kern w:val="2"/>
      <w:sz w:val="28"/>
      <w:szCs w:val="28"/>
      <w:lang w:val="en-IN"/>
      <w14:ligatures w14:val="standardContextual"/>
    </w:rPr>
  </w:style>
  <w:style w:type="paragraph" w:customStyle="1" w:styleId="41">
    <w:name w:val="عنوان 41"/>
    <w:basedOn w:val="Normal"/>
    <w:next w:val="Normal"/>
    <w:uiPriority w:val="9"/>
    <w:semiHidden/>
    <w:unhideWhenUsed/>
    <w:qFormat/>
    <w:rsid w:val="00FB099E"/>
    <w:pPr>
      <w:keepNext/>
      <w:keepLines/>
      <w:bidi w:val="0"/>
      <w:spacing w:before="80" w:after="40"/>
      <w:outlineLvl w:val="3"/>
    </w:pPr>
    <w:rPr>
      <w:rFonts w:eastAsia="Times New Roman" w:cs="Latha"/>
      <w:i/>
      <w:iCs/>
      <w:color w:val="2F5496"/>
      <w:kern w:val="2"/>
      <w:lang w:val="en-IN"/>
      <w14:ligatures w14:val="standardContextual"/>
    </w:rPr>
  </w:style>
  <w:style w:type="paragraph" w:customStyle="1" w:styleId="51">
    <w:name w:val="عنوان 51"/>
    <w:basedOn w:val="Normal"/>
    <w:next w:val="Normal"/>
    <w:uiPriority w:val="9"/>
    <w:semiHidden/>
    <w:unhideWhenUsed/>
    <w:qFormat/>
    <w:rsid w:val="00FB099E"/>
    <w:pPr>
      <w:keepNext/>
      <w:keepLines/>
      <w:bidi w:val="0"/>
      <w:spacing w:before="80" w:after="40"/>
      <w:outlineLvl w:val="4"/>
    </w:pPr>
    <w:rPr>
      <w:rFonts w:eastAsia="Times New Roman" w:cs="Latha"/>
      <w:color w:val="2F5496"/>
      <w:kern w:val="2"/>
      <w:lang w:val="en-IN"/>
      <w14:ligatures w14:val="standardContextual"/>
    </w:rPr>
  </w:style>
  <w:style w:type="paragraph" w:customStyle="1" w:styleId="61">
    <w:name w:val="عنوان 61"/>
    <w:basedOn w:val="Normal"/>
    <w:next w:val="Normal"/>
    <w:uiPriority w:val="9"/>
    <w:semiHidden/>
    <w:unhideWhenUsed/>
    <w:qFormat/>
    <w:rsid w:val="00FB099E"/>
    <w:pPr>
      <w:keepNext/>
      <w:keepLines/>
      <w:bidi w:val="0"/>
      <w:spacing w:before="40" w:after="0"/>
      <w:outlineLvl w:val="5"/>
    </w:pPr>
    <w:rPr>
      <w:rFonts w:eastAsia="Times New Roman" w:cs="Latha"/>
      <w:i/>
      <w:iCs/>
      <w:color w:val="595959"/>
      <w:kern w:val="2"/>
      <w:lang w:val="en-IN"/>
      <w14:ligatures w14:val="standardContextual"/>
    </w:rPr>
  </w:style>
  <w:style w:type="paragraph" w:customStyle="1" w:styleId="71">
    <w:name w:val="عنوان 71"/>
    <w:basedOn w:val="Normal"/>
    <w:next w:val="Normal"/>
    <w:uiPriority w:val="9"/>
    <w:semiHidden/>
    <w:unhideWhenUsed/>
    <w:qFormat/>
    <w:rsid w:val="00FB099E"/>
    <w:pPr>
      <w:keepNext/>
      <w:keepLines/>
      <w:bidi w:val="0"/>
      <w:spacing w:before="40" w:after="0"/>
      <w:outlineLvl w:val="6"/>
    </w:pPr>
    <w:rPr>
      <w:rFonts w:eastAsia="Times New Roman" w:cs="Latha"/>
      <w:color w:val="595959"/>
      <w:kern w:val="2"/>
      <w:lang w:val="en-IN"/>
      <w14:ligatures w14:val="standardContextual"/>
    </w:rPr>
  </w:style>
  <w:style w:type="paragraph" w:customStyle="1" w:styleId="81">
    <w:name w:val="عنوان 81"/>
    <w:basedOn w:val="Normal"/>
    <w:next w:val="Normal"/>
    <w:uiPriority w:val="9"/>
    <w:semiHidden/>
    <w:unhideWhenUsed/>
    <w:qFormat/>
    <w:rsid w:val="00FB099E"/>
    <w:pPr>
      <w:keepNext/>
      <w:keepLines/>
      <w:bidi w:val="0"/>
      <w:spacing w:after="0"/>
      <w:outlineLvl w:val="7"/>
    </w:pPr>
    <w:rPr>
      <w:rFonts w:eastAsia="Times New Roman" w:cs="Latha"/>
      <w:i/>
      <w:iCs/>
      <w:color w:val="272727"/>
      <w:kern w:val="2"/>
      <w:lang w:val="en-IN"/>
      <w14:ligatures w14:val="standardContextual"/>
    </w:rPr>
  </w:style>
  <w:style w:type="paragraph" w:customStyle="1" w:styleId="91">
    <w:name w:val="عنوان 91"/>
    <w:basedOn w:val="Normal"/>
    <w:next w:val="Normal"/>
    <w:uiPriority w:val="9"/>
    <w:semiHidden/>
    <w:unhideWhenUsed/>
    <w:qFormat/>
    <w:rsid w:val="00FB099E"/>
    <w:pPr>
      <w:keepNext/>
      <w:keepLines/>
      <w:bidi w:val="0"/>
      <w:spacing w:after="0"/>
      <w:outlineLvl w:val="8"/>
    </w:pPr>
    <w:rPr>
      <w:rFonts w:eastAsia="Times New Roman" w:cs="Latha"/>
      <w:color w:val="272727"/>
      <w:kern w:val="2"/>
      <w:lang w:val="en-IN"/>
      <w14:ligatures w14:val="standardContextual"/>
    </w:rPr>
  </w:style>
  <w:style w:type="numbering" w:customStyle="1" w:styleId="1">
    <w:name w:val="بلا قائمة1"/>
    <w:next w:val="NoList"/>
    <w:uiPriority w:val="99"/>
    <w:semiHidden/>
    <w:unhideWhenUsed/>
    <w:rsid w:val="00FB099E"/>
  </w:style>
  <w:style w:type="character" w:customStyle="1" w:styleId="Heading1Char">
    <w:name w:val="Heading 1 Char"/>
    <w:basedOn w:val="DefaultParagraphFont"/>
    <w:link w:val="Heading1"/>
    <w:uiPriority w:val="9"/>
    <w:rsid w:val="00FB099E"/>
    <w:rPr>
      <w:rFonts w:ascii="Calibri Light" w:eastAsia="Times New Roman" w:hAnsi="Calibri Light" w:cs="Latha"/>
      <w:color w:val="2F5496"/>
      <w:sz w:val="40"/>
      <w:szCs w:val="40"/>
    </w:rPr>
  </w:style>
  <w:style w:type="character" w:customStyle="1" w:styleId="Heading2Char">
    <w:name w:val="Heading 2 Char"/>
    <w:basedOn w:val="DefaultParagraphFont"/>
    <w:link w:val="Heading2"/>
    <w:uiPriority w:val="9"/>
    <w:semiHidden/>
    <w:rsid w:val="00FB099E"/>
    <w:rPr>
      <w:rFonts w:ascii="Calibri Light" w:eastAsia="Times New Roman" w:hAnsi="Calibri Light" w:cs="Latha"/>
      <w:color w:val="2F5496"/>
      <w:sz w:val="32"/>
      <w:szCs w:val="32"/>
    </w:rPr>
  </w:style>
  <w:style w:type="character" w:customStyle="1" w:styleId="Heading3Char">
    <w:name w:val="Heading 3 Char"/>
    <w:basedOn w:val="DefaultParagraphFont"/>
    <w:link w:val="Heading3"/>
    <w:uiPriority w:val="9"/>
    <w:semiHidden/>
    <w:rsid w:val="00FB099E"/>
    <w:rPr>
      <w:rFonts w:eastAsia="Times New Roman" w:cs="Latha"/>
      <w:color w:val="2F5496"/>
      <w:sz w:val="28"/>
      <w:szCs w:val="28"/>
    </w:rPr>
  </w:style>
  <w:style w:type="character" w:customStyle="1" w:styleId="Heading4Char">
    <w:name w:val="Heading 4 Char"/>
    <w:basedOn w:val="DefaultParagraphFont"/>
    <w:link w:val="Heading4"/>
    <w:uiPriority w:val="9"/>
    <w:semiHidden/>
    <w:rsid w:val="00FB099E"/>
    <w:rPr>
      <w:rFonts w:eastAsia="Times New Roman" w:cs="Latha"/>
      <w:i/>
      <w:iCs/>
      <w:color w:val="2F5496"/>
    </w:rPr>
  </w:style>
  <w:style w:type="character" w:customStyle="1" w:styleId="Heading5Char">
    <w:name w:val="Heading 5 Char"/>
    <w:basedOn w:val="DefaultParagraphFont"/>
    <w:link w:val="Heading5"/>
    <w:uiPriority w:val="9"/>
    <w:semiHidden/>
    <w:rsid w:val="00FB099E"/>
    <w:rPr>
      <w:rFonts w:eastAsia="Times New Roman" w:cs="Latha"/>
      <w:color w:val="2F5496"/>
    </w:rPr>
  </w:style>
  <w:style w:type="character" w:customStyle="1" w:styleId="Heading6Char">
    <w:name w:val="Heading 6 Char"/>
    <w:basedOn w:val="DefaultParagraphFont"/>
    <w:link w:val="Heading6"/>
    <w:uiPriority w:val="9"/>
    <w:semiHidden/>
    <w:rsid w:val="00FB099E"/>
    <w:rPr>
      <w:rFonts w:eastAsia="Times New Roman" w:cs="Latha"/>
      <w:i/>
      <w:iCs/>
      <w:color w:val="595959"/>
    </w:rPr>
  </w:style>
  <w:style w:type="character" w:customStyle="1" w:styleId="Heading7Char">
    <w:name w:val="Heading 7 Char"/>
    <w:basedOn w:val="DefaultParagraphFont"/>
    <w:link w:val="Heading7"/>
    <w:uiPriority w:val="9"/>
    <w:semiHidden/>
    <w:rsid w:val="00FB099E"/>
    <w:rPr>
      <w:rFonts w:eastAsia="Times New Roman" w:cs="Latha"/>
      <w:color w:val="595959"/>
    </w:rPr>
  </w:style>
  <w:style w:type="character" w:customStyle="1" w:styleId="Heading8Char">
    <w:name w:val="Heading 8 Char"/>
    <w:basedOn w:val="DefaultParagraphFont"/>
    <w:link w:val="Heading8"/>
    <w:uiPriority w:val="9"/>
    <w:semiHidden/>
    <w:rsid w:val="00FB099E"/>
    <w:rPr>
      <w:rFonts w:eastAsia="Times New Roman" w:cs="Latha"/>
      <w:i/>
      <w:iCs/>
      <w:color w:val="272727"/>
    </w:rPr>
  </w:style>
  <w:style w:type="character" w:customStyle="1" w:styleId="Heading9Char">
    <w:name w:val="Heading 9 Char"/>
    <w:basedOn w:val="DefaultParagraphFont"/>
    <w:link w:val="Heading9"/>
    <w:uiPriority w:val="9"/>
    <w:semiHidden/>
    <w:rsid w:val="00FB099E"/>
    <w:rPr>
      <w:rFonts w:eastAsia="Times New Roman" w:cs="Latha"/>
      <w:color w:val="272727"/>
    </w:rPr>
  </w:style>
  <w:style w:type="paragraph" w:customStyle="1" w:styleId="10">
    <w:name w:val="العنوان1"/>
    <w:basedOn w:val="Normal"/>
    <w:next w:val="Normal"/>
    <w:uiPriority w:val="10"/>
    <w:qFormat/>
    <w:rsid w:val="00FB099E"/>
    <w:pPr>
      <w:bidi w:val="0"/>
      <w:spacing w:after="80" w:line="240" w:lineRule="auto"/>
      <w:contextualSpacing/>
    </w:pPr>
    <w:rPr>
      <w:rFonts w:ascii="Calibri Light" w:eastAsia="Times New Roman" w:hAnsi="Calibri Light" w:cs="Latha"/>
      <w:spacing w:val="-10"/>
      <w:kern w:val="28"/>
      <w:sz w:val="56"/>
      <w:szCs w:val="56"/>
      <w:lang w:val="en-IN"/>
      <w14:ligatures w14:val="standardContextual"/>
    </w:rPr>
  </w:style>
  <w:style w:type="character" w:customStyle="1" w:styleId="TitleChar">
    <w:name w:val="Title Char"/>
    <w:basedOn w:val="DefaultParagraphFont"/>
    <w:link w:val="Title"/>
    <w:uiPriority w:val="10"/>
    <w:rsid w:val="00FB099E"/>
    <w:rPr>
      <w:rFonts w:ascii="Calibri Light" w:eastAsia="Times New Roman" w:hAnsi="Calibri Light" w:cs="Latha"/>
      <w:spacing w:val="-10"/>
      <w:kern w:val="28"/>
      <w:sz w:val="56"/>
      <w:szCs w:val="56"/>
    </w:rPr>
  </w:style>
  <w:style w:type="paragraph" w:customStyle="1" w:styleId="12">
    <w:name w:val="عنوان فرعي1"/>
    <w:basedOn w:val="Normal"/>
    <w:next w:val="Normal"/>
    <w:uiPriority w:val="11"/>
    <w:qFormat/>
    <w:rsid w:val="00FB099E"/>
    <w:pPr>
      <w:numPr>
        <w:ilvl w:val="1"/>
      </w:numPr>
      <w:bidi w:val="0"/>
    </w:pPr>
    <w:rPr>
      <w:rFonts w:eastAsia="Times New Roman" w:cs="Latha"/>
      <w:color w:val="595959"/>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FB099E"/>
    <w:rPr>
      <w:rFonts w:eastAsia="Times New Roman" w:cs="Latha"/>
      <w:color w:val="595959"/>
      <w:spacing w:val="15"/>
      <w:sz w:val="28"/>
      <w:szCs w:val="28"/>
    </w:rPr>
  </w:style>
  <w:style w:type="paragraph" w:customStyle="1" w:styleId="13">
    <w:name w:val="اقتباس1"/>
    <w:basedOn w:val="Normal"/>
    <w:next w:val="Normal"/>
    <w:uiPriority w:val="29"/>
    <w:qFormat/>
    <w:rsid w:val="00FB099E"/>
    <w:pPr>
      <w:bidi w:val="0"/>
      <w:spacing w:before="160"/>
      <w:jc w:val="center"/>
    </w:pPr>
    <w:rPr>
      <w:rFonts w:eastAsia="Calibri"/>
      <w:i/>
      <w:iCs/>
      <w:color w:val="404040"/>
      <w:kern w:val="2"/>
      <w:lang w:val="en-IN"/>
      <w14:ligatures w14:val="standardContextual"/>
    </w:rPr>
  </w:style>
  <w:style w:type="character" w:customStyle="1" w:styleId="QuoteChar">
    <w:name w:val="Quote Char"/>
    <w:basedOn w:val="DefaultParagraphFont"/>
    <w:link w:val="Quote"/>
    <w:uiPriority w:val="29"/>
    <w:rsid w:val="00FB099E"/>
    <w:rPr>
      <w:i/>
      <w:iCs/>
      <w:color w:val="404040"/>
    </w:rPr>
  </w:style>
  <w:style w:type="paragraph" w:customStyle="1" w:styleId="14">
    <w:name w:val="سرد الفقرات1"/>
    <w:basedOn w:val="Normal"/>
    <w:next w:val="ListParagraph"/>
    <w:uiPriority w:val="34"/>
    <w:qFormat/>
    <w:rsid w:val="00FB099E"/>
    <w:pPr>
      <w:bidi w:val="0"/>
      <w:ind w:left="720"/>
      <w:contextualSpacing/>
    </w:pPr>
    <w:rPr>
      <w:rFonts w:eastAsia="Calibri"/>
      <w:kern w:val="2"/>
      <w:lang w:val="en-IN"/>
      <w14:ligatures w14:val="standardContextual"/>
    </w:rPr>
  </w:style>
  <w:style w:type="character" w:customStyle="1" w:styleId="15">
    <w:name w:val="تأكيد مكثف1"/>
    <w:basedOn w:val="DefaultParagraphFont"/>
    <w:uiPriority w:val="21"/>
    <w:qFormat/>
    <w:rsid w:val="00FB099E"/>
    <w:rPr>
      <w:i/>
      <w:iCs/>
      <w:color w:val="2F5496"/>
    </w:rPr>
  </w:style>
  <w:style w:type="paragraph" w:customStyle="1" w:styleId="16">
    <w:name w:val="اقتباس مكثف1"/>
    <w:basedOn w:val="Normal"/>
    <w:next w:val="Normal"/>
    <w:uiPriority w:val="30"/>
    <w:qFormat/>
    <w:rsid w:val="00FB099E"/>
    <w:pPr>
      <w:pBdr>
        <w:top w:val="single" w:sz="4" w:space="10" w:color="2F5496"/>
        <w:bottom w:val="single" w:sz="4" w:space="10" w:color="2F5496"/>
      </w:pBdr>
      <w:bidi w:val="0"/>
      <w:spacing w:before="360" w:after="360"/>
      <w:ind w:left="864" w:right="864"/>
      <w:jc w:val="center"/>
    </w:pPr>
    <w:rPr>
      <w:rFonts w:eastAsia="Calibri"/>
      <w:i/>
      <w:iCs/>
      <w:color w:val="2F5496"/>
      <w:kern w:val="2"/>
      <w:lang w:val="en-IN"/>
      <w14:ligatures w14:val="standardContextual"/>
    </w:rPr>
  </w:style>
  <w:style w:type="character" w:customStyle="1" w:styleId="IntenseQuoteChar">
    <w:name w:val="Intense Quote Char"/>
    <w:basedOn w:val="DefaultParagraphFont"/>
    <w:link w:val="IntenseQuote"/>
    <w:uiPriority w:val="30"/>
    <w:rsid w:val="00FB099E"/>
    <w:rPr>
      <w:i/>
      <w:iCs/>
      <w:color w:val="2F5496"/>
    </w:rPr>
  </w:style>
  <w:style w:type="character" w:customStyle="1" w:styleId="17">
    <w:name w:val="مرجع مكثف1"/>
    <w:basedOn w:val="DefaultParagraphFont"/>
    <w:uiPriority w:val="32"/>
    <w:qFormat/>
    <w:rsid w:val="00FB099E"/>
    <w:rPr>
      <w:b/>
      <w:bCs/>
      <w:smallCaps/>
      <w:color w:val="2F5496"/>
      <w:spacing w:val="5"/>
    </w:rPr>
  </w:style>
  <w:style w:type="table" w:customStyle="1" w:styleId="18">
    <w:name w:val="شبكة جدول1"/>
    <w:basedOn w:val="TableNormal"/>
    <w:next w:val="TableGrid"/>
    <w:uiPriority w:val="39"/>
    <w:rsid w:val="00FB099E"/>
    <w:pPr>
      <w:spacing w:after="0" w:line="240" w:lineRule="auto"/>
    </w:pPr>
    <w:rPr>
      <w:rFonts w:eastAsia="Calibr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رأس الصفحة1"/>
    <w:basedOn w:val="Normal"/>
    <w:next w:val="Header"/>
    <w:link w:val="Char"/>
    <w:uiPriority w:val="99"/>
    <w:unhideWhenUsed/>
    <w:rsid w:val="00FB099E"/>
    <w:pPr>
      <w:tabs>
        <w:tab w:val="center" w:pos="4513"/>
        <w:tab w:val="right" w:pos="9026"/>
      </w:tabs>
      <w:bidi w:val="0"/>
      <w:spacing w:after="0" w:line="240" w:lineRule="auto"/>
    </w:pPr>
  </w:style>
  <w:style w:type="character" w:customStyle="1" w:styleId="Char">
    <w:name w:val="رأس الصفحة Char"/>
    <w:basedOn w:val="DefaultParagraphFont"/>
    <w:link w:val="19"/>
    <w:uiPriority w:val="99"/>
    <w:rsid w:val="00FB099E"/>
  </w:style>
  <w:style w:type="paragraph" w:customStyle="1" w:styleId="1a">
    <w:name w:val="تذييل الصفحة1"/>
    <w:basedOn w:val="Normal"/>
    <w:next w:val="Footer"/>
    <w:link w:val="Char0"/>
    <w:uiPriority w:val="99"/>
    <w:unhideWhenUsed/>
    <w:rsid w:val="00FB099E"/>
    <w:pPr>
      <w:tabs>
        <w:tab w:val="center" w:pos="4513"/>
        <w:tab w:val="right" w:pos="9026"/>
      </w:tabs>
      <w:bidi w:val="0"/>
      <w:spacing w:after="0" w:line="240" w:lineRule="auto"/>
    </w:pPr>
  </w:style>
  <w:style w:type="character" w:customStyle="1" w:styleId="Char0">
    <w:name w:val="تذييل الصفحة Char"/>
    <w:basedOn w:val="DefaultParagraphFont"/>
    <w:link w:val="1a"/>
    <w:uiPriority w:val="99"/>
    <w:rsid w:val="00FB099E"/>
  </w:style>
  <w:style w:type="character" w:customStyle="1" w:styleId="Hyperlink1">
    <w:name w:val="Hyperlink1"/>
    <w:basedOn w:val="DefaultParagraphFont"/>
    <w:uiPriority w:val="99"/>
    <w:unhideWhenUsed/>
    <w:rsid w:val="00FB099E"/>
    <w:rPr>
      <w:color w:val="0563C1"/>
      <w:u w:val="single"/>
    </w:rPr>
  </w:style>
  <w:style w:type="character" w:customStyle="1" w:styleId="UnresolvedMention1">
    <w:name w:val="Unresolved Mention1"/>
    <w:basedOn w:val="DefaultParagraphFont"/>
    <w:uiPriority w:val="99"/>
    <w:semiHidden/>
    <w:unhideWhenUsed/>
    <w:rsid w:val="00FB099E"/>
    <w:rPr>
      <w:color w:val="605E5C"/>
      <w:shd w:val="clear" w:color="auto" w:fill="E1DFDD"/>
    </w:rPr>
  </w:style>
  <w:style w:type="paragraph" w:customStyle="1" w:styleId="1b">
    <w:name w:val="مراجع1"/>
    <w:basedOn w:val="Normal"/>
    <w:next w:val="Normal"/>
    <w:uiPriority w:val="37"/>
    <w:unhideWhenUsed/>
    <w:rsid w:val="00FB099E"/>
    <w:pPr>
      <w:bidi w:val="0"/>
      <w:spacing w:after="0" w:line="480" w:lineRule="auto"/>
      <w:ind w:left="720" w:hanging="720"/>
    </w:pPr>
    <w:rPr>
      <w:rFonts w:eastAsia="Calibri"/>
      <w:kern w:val="2"/>
      <w:lang w:val="en-IN"/>
      <w14:ligatures w14:val="standardContextual"/>
    </w:rPr>
  </w:style>
  <w:style w:type="character" w:customStyle="1" w:styleId="1Char1">
    <w:name w:val="العنوان 1 Char1"/>
    <w:basedOn w:val="DefaultParagraphFont"/>
    <w:uiPriority w:val="9"/>
    <w:rsid w:val="00FB099E"/>
    <w:rPr>
      <w:rFonts w:asciiTheme="majorHAnsi" w:eastAsiaTheme="majorEastAsia" w:hAnsiTheme="majorHAnsi" w:cstheme="majorBidi"/>
      <w:color w:val="2F5496" w:themeColor="accent1" w:themeShade="BF"/>
      <w:sz w:val="32"/>
      <w:szCs w:val="32"/>
    </w:rPr>
  </w:style>
  <w:style w:type="character" w:customStyle="1" w:styleId="2Char1">
    <w:name w:val="عنوان 2 Char1"/>
    <w:basedOn w:val="DefaultParagraphFont"/>
    <w:uiPriority w:val="9"/>
    <w:semiHidden/>
    <w:rsid w:val="00FB099E"/>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DefaultParagraphFont"/>
    <w:uiPriority w:val="9"/>
    <w:semiHidden/>
    <w:rsid w:val="00FB099E"/>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DefaultParagraphFont"/>
    <w:uiPriority w:val="9"/>
    <w:semiHidden/>
    <w:rsid w:val="00FB099E"/>
    <w:rPr>
      <w:rFonts w:asciiTheme="majorHAnsi" w:eastAsiaTheme="majorEastAsia" w:hAnsiTheme="majorHAnsi" w:cstheme="majorBidi"/>
      <w:i/>
      <w:iCs/>
      <w:color w:val="2F5496" w:themeColor="accent1" w:themeShade="BF"/>
    </w:rPr>
  </w:style>
  <w:style w:type="character" w:customStyle="1" w:styleId="5Char1">
    <w:name w:val="عنوان 5 Char1"/>
    <w:basedOn w:val="DefaultParagraphFont"/>
    <w:uiPriority w:val="9"/>
    <w:semiHidden/>
    <w:rsid w:val="00FB099E"/>
    <w:rPr>
      <w:rFonts w:asciiTheme="majorHAnsi" w:eastAsiaTheme="majorEastAsia" w:hAnsiTheme="majorHAnsi" w:cstheme="majorBidi"/>
      <w:color w:val="2F5496" w:themeColor="accent1" w:themeShade="BF"/>
    </w:rPr>
  </w:style>
  <w:style w:type="character" w:customStyle="1" w:styleId="6Char1">
    <w:name w:val="عنوان 6 Char1"/>
    <w:basedOn w:val="DefaultParagraphFont"/>
    <w:uiPriority w:val="9"/>
    <w:semiHidden/>
    <w:rsid w:val="00FB099E"/>
    <w:rPr>
      <w:rFonts w:asciiTheme="majorHAnsi" w:eastAsiaTheme="majorEastAsia" w:hAnsiTheme="majorHAnsi" w:cstheme="majorBidi"/>
      <w:color w:val="1F3763" w:themeColor="accent1" w:themeShade="7F"/>
    </w:rPr>
  </w:style>
  <w:style w:type="character" w:customStyle="1" w:styleId="7Char1">
    <w:name w:val="عنوان 7 Char1"/>
    <w:basedOn w:val="DefaultParagraphFont"/>
    <w:uiPriority w:val="9"/>
    <w:semiHidden/>
    <w:rsid w:val="00FB099E"/>
    <w:rPr>
      <w:rFonts w:asciiTheme="majorHAnsi" w:eastAsiaTheme="majorEastAsia" w:hAnsiTheme="majorHAnsi" w:cstheme="majorBidi"/>
      <w:i/>
      <w:iCs/>
      <w:color w:val="1F3763" w:themeColor="accent1" w:themeShade="7F"/>
    </w:rPr>
  </w:style>
  <w:style w:type="character" w:customStyle="1" w:styleId="8Char1">
    <w:name w:val="عنوان 8 Char1"/>
    <w:basedOn w:val="DefaultParagraphFont"/>
    <w:uiPriority w:val="9"/>
    <w:semiHidden/>
    <w:rsid w:val="00FB099E"/>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DefaultParagraphFont"/>
    <w:uiPriority w:val="9"/>
    <w:semiHidden/>
    <w:rsid w:val="00FB099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B099E"/>
    <w:pPr>
      <w:spacing w:after="0" w:line="240" w:lineRule="auto"/>
      <w:contextualSpacing/>
    </w:pPr>
    <w:rPr>
      <w:rFonts w:ascii="Calibri Light" w:eastAsia="Times New Roman" w:hAnsi="Calibri Light" w:cs="Latha"/>
      <w:spacing w:val="-10"/>
      <w:kern w:val="28"/>
      <w:sz w:val="56"/>
      <w:szCs w:val="56"/>
    </w:rPr>
  </w:style>
  <w:style w:type="character" w:customStyle="1" w:styleId="Char1">
    <w:name w:val="العنوان Char1"/>
    <w:basedOn w:val="DefaultParagraphFont"/>
    <w:uiPriority w:val="10"/>
    <w:rsid w:val="00FB0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99E"/>
    <w:pPr>
      <w:numPr>
        <w:ilvl w:val="1"/>
      </w:numPr>
    </w:pPr>
    <w:rPr>
      <w:rFonts w:eastAsia="Times New Roman" w:cs="Latha"/>
      <w:color w:val="595959"/>
      <w:spacing w:val="15"/>
      <w:sz w:val="28"/>
      <w:szCs w:val="28"/>
    </w:rPr>
  </w:style>
  <w:style w:type="character" w:customStyle="1" w:styleId="Char10">
    <w:name w:val="عنوان فرعي Char1"/>
    <w:basedOn w:val="DefaultParagraphFont"/>
    <w:uiPriority w:val="11"/>
    <w:rsid w:val="00FB099E"/>
    <w:rPr>
      <w:color w:val="5A5A5A" w:themeColor="text1" w:themeTint="A5"/>
      <w:spacing w:val="15"/>
    </w:rPr>
  </w:style>
  <w:style w:type="paragraph" w:styleId="Quote">
    <w:name w:val="Quote"/>
    <w:basedOn w:val="Normal"/>
    <w:next w:val="Normal"/>
    <w:link w:val="QuoteChar"/>
    <w:uiPriority w:val="29"/>
    <w:qFormat/>
    <w:rsid w:val="00FB099E"/>
    <w:pPr>
      <w:spacing w:before="200"/>
      <w:ind w:left="864" w:right="864"/>
      <w:jc w:val="center"/>
    </w:pPr>
    <w:rPr>
      <w:i/>
      <w:iCs/>
      <w:color w:val="404040"/>
    </w:rPr>
  </w:style>
  <w:style w:type="character" w:customStyle="1" w:styleId="Char11">
    <w:name w:val="اقتباس Char1"/>
    <w:basedOn w:val="DefaultParagraphFont"/>
    <w:uiPriority w:val="29"/>
    <w:rsid w:val="00FB099E"/>
    <w:rPr>
      <w:i/>
      <w:iCs/>
      <w:color w:val="404040" w:themeColor="text1" w:themeTint="BF"/>
    </w:rPr>
  </w:style>
  <w:style w:type="paragraph" w:styleId="ListParagraph">
    <w:name w:val="List Paragraph"/>
    <w:basedOn w:val="Normal"/>
    <w:uiPriority w:val="34"/>
    <w:qFormat/>
    <w:rsid w:val="00FB099E"/>
    <w:pPr>
      <w:ind w:left="720"/>
      <w:contextualSpacing/>
    </w:pPr>
  </w:style>
  <w:style w:type="character" w:styleId="IntenseEmphasis">
    <w:name w:val="Intense Emphasis"/>
    <w:basedOn w:val="DefaultParagraphFont"/>
    <w:uiPriority w:val="21"/>
    <w:qFormat/>
    <w:rsid w:val="00FB099E"/>
    <w:rPr>
      <w:i/>
      <w:iCs/>
      <w:color w:val="4472C4" w:themeColor="accent1"/>
    </w:rPr>
  </w:style>
  <w:style w:type="paragraph" w:styleId="IntenseQuote">
    <w:name w:val="Intense Quote"/>
    <w:basedOn w:val="Normal"/>
    <w:next w:val="Normal"/>
    <w:link w:val="IntenseQuoteChar"/>
    <w:uiPriority w:val="30"/>
    <w:qFormat/>
    <w:rsid w:val="00FB099E"/>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har12">
    <w:name w:val="اقتباس مكثف Char1"/>
    <w:basedOn w:val="DefaultParagraphFont"/>
    <w:uiPriority w:val="30"/>
    <w:rsid w:val="00FB099E"/>
    <w:rPr>
      <w:i/>
      <w:iCs/>
      <w:color w:val="4472C4" w:themeColor="accent1"/>
    </w:rPr>
  </w:style>
  <w:style w:type="character" w:styleId="IntenseReference">
    <w:name w:val="Intense Reference"/>
    <w:basedOn w:val="DefaultParagraphFont"/>
    <w:uiPriority w:val="32"/>
    <w:qFormat/>
    <w:rsid w:val="00FB099E"/>
    <w:rPr>
      <w:b/>
      <w:bCs/>
      <w:smallCaps/>
      <w:color w:val="4472C4" w:themeColor="accent1"/>
      <w:spacing w:val="5"/>
    </w:rPr>
  </w:style>
  <w:style w:type="table" w:styleId="TableGrid">
    <w:name w:val="Table Grid"/>
    <w:basedOn w:val="TableNormal"/>
    <w:uiPriority w:val="39"/>
    <w:rsid w:val="00FB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9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099E"/>
  </w:style>
  <w:style w:type="paragraph" w:styleId="Footer">
    <w:name w:val="footer"/>
    <w:basedOn w:val="Normal"/>
    <w:link w:val="FooterChar"/>
    <w:uiPriority w:val="99"/>
    <w:unhideWhenUsed/>
    <w:rsid w:val="00FB09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099E"/>
  </w:style>
  <w:style w:type="character" w:styleId="Hyperlink">
    <w:name w:val="Hyperlink"/>
    <w:basedOn w:val="DefaultParagraphFont"/>
    <w:uiPriority w:val="99"/>
    <w:semiHidden/>
    <w:unhideWhenUsed/>
    <w:rsid w:val="00FB099E"/>
    <w:rPr>
      <w:color w:val="0563C1" w:themeColor="hyperlink"/>
      <w:u w:val="single"/>
    </w:rPr>
  </w:style>
  <w:style w:type="character" w:styleId="CommentReference">
    <w:name w:val="annotation reference"/>
    <w:basedOn w:val="DefaultParagraphFont"/>
    <w:uiPriority w:val="99"/>
    <w:semiHidden/>
    <w:unhideWhenUsed/>
    <w:rsid w:val="00484B1D"/>
    <w:rPr>
      <w:sz w:val="16"/>
      <w:szCs w:val="16"/>
    </w:rPr>
  </w:style>
  <w:style w:type="paragraph" w:styleId="CommentText">
    <w:name w:val="annotation text"/>
    <w:basedOn w:val="Normal"/>
    <w:link w:val="CommentTextChar"/>
    <w:uiPriority w:val="99"/>
    <w:unhideWhenUsed/>
    <w:rsid w:val="00484B1D"/>
    <w:pPr>
      <w:spacing w:line="240" w:lineRule="auto"/>
    </w:pPr>
    <w:rPr>
      <w:sz w:val="20"/>
      <w:szCs w:val="20"/>
    </w:rPr>
  </w:style>
  <w:style w:type="character" w:customStyle="1" w:styleId="CommentTextChar">
    <w:name w:val="Comment Text Char"/>
    <w:basedOn w:val="DefaultParagraphFont"/>
    <w:link w:val="CommentText"/>
    <w:uiPriority w:val="99"/>
    <w:rsid w:val="00484B1D"/>
    <w:rPr>
      <w:sz w:val="20"/>
      <w:szCs w:val="20"/>
    </w:rPr>
  </w:style>
  <w:style w:type="paragraph" w:styleId="CommentSubject">
    <w:name w:val="annotation subject"/>
    <w:basedOn w:val="CommentText"/>
    <w:next w:val="CommentText"/>
    <w:link w:val="CommentSubjectChar"/>
    <w:uiPriority w:val="99"/>
    <w:semiHidden/>
    <w:unhideWhenUsed/>
    <w:rsid w:val="00484B1D"/>
    <w:rPr>
      <w:b/>
      <w:bCs/>
    </w:rPr>
  </w:style>
  <w:style w:type="character" w:customStyle="1" w:styleId="CommentSubjectChar">
    <w:name w:val="Comment Subject Char"/>
    <w:basedOn w:val="CommentTextChar"/>
    <w:link w:val="CommentSubject"/>
    <w:uiPriority w:val="99"/>
    <w:semiHidden/>
    <w:rsid w:val="00484B1D"/>
    <w:rPr>
      <w:b/>
      <w:bCs/>
      <w:sz w:val="20"/>
      <w:szCs w:val="20"/>
    </w:rPr>
  </w:style>
  <w:style w:type="paragraph" w:styleId="BalloonText">
    <w:name w:val="Balloon Text"/>
    <w:basedOn w:val="Normal"/>
    <w:link w:val="BalloonTextChar"/>
    <w:uiPriority w:val="99"/>
    <w:semiHidden/>
    <w:unhideWhenUsed/>
    <w:rsid w:val="00484B1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84B1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81D4-EBD9-4E25-9CC3-35E3C8F1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19</Pages>
  <Words>4378</Words>
  <Characters>24955</Characters>
  <Application>Microsoft Office Word</Application>
  <DocSecurity>0</DocSecurity>
  <Lines>207</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SDI 1022</cp:lastModifiedBy>
  <cp:revision>17</cp:revision>
  <dcterms:created xsi:type="dcterms:W3CDTF">2026-02-11T21:09:00Z</dcterms:created>
  <dcterms:modified xsi:type="dcterms:W3CDTF">2026-02-17T10:49:00Z</dcterms:modified>
</cp:coreProperties>
</file>