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94" w:rsidRDefault="009E3B94" w:rsidP="004F6B31">
      <w:pPr>
        <w:spacing w:after="0" w:line="240" w:lineRule="auto"/>
        <w:jc w:val="center"/>
        <w:rPr>
          <w:rFonts w:ascii="Times New Roman" w:eastAsia="Times New Roman" w:hAnsi="Times New Roman" w:cs="Times New Roman"/>
          <w:b/>
          <w:color w:val="222222"/>
          <w:sz w:val="24"/>
          <w:szCs w:val="24"/>
          <w:lang w:bidi="ar-SA"/>
        </w:rPr>
      </w:pPr>
      <w:r w:rsidRPr="009E3B94">
        <w:rPr>
          <w:rFonts w:ascii="Times New Roman" w:eastAsia="Times New Roman" w:hAnsi="Times New Roman" w:cs="Times New Roman"/>
          <w:b/>
          <w:color w:val="222222"/>
          <w:sz w:val="24"/>
          <w:szCs w:val="24"/>
          <w:lang w:bidi="ar-SA"/>
        </w:rPr>
        <w:t>Original Research Article</w:t>
      </w:r>
    </w:p>
    <w:p w:rsidR="009E3B94" w:rsidRDefault="009E3B94" w:rsidP="004F6B31">
      <w:pPr>
        <w:spacing w:after="0" w:line="240" w:lineRule="auto"/>
        <w:jc w:val="center"/>
        <w:rPr>
          <w:rFonts w:ascii="Times New Roman" w:eastAsia="Times New Roman" w:hAnsi="Times New Roman" w:cs="Times New Roman"/>
          <w:b/>
          <w:color w:val="222222"/>
          <w:sz w:val="24"/>
          <w:szCs w:val="24"/>
          <w:lang w:bidi="ar-SA"/>
        </w:rPr>
      </w:pPr>
    </w:p>
    <w:p w:rsidR="00D073EB" w:rsidRDefault="00D073EB" w:rsidP="004F6B31">
      <w:pPr>
        <w:spacing w:after="0" w:line="240" w:lineRule="auto"/>
        <w:jc w:val="center"/>
        <w:rPr>
          <w:rFonts w:ascii="Times New Roman" w:eastAsia="Times New Roman" w:hAnsi="Times New Roman" w:cs="Times New Roman"/>
          <w:b/>
          <w:color w:val="222222"/>
          <w:sz w:val="24"/>
          <w:szCs w:val="24"/>
          <w:lang w:bidi="ar-SA"/>
        </w:rPr>
      </w:pPr>
      <w:r w:rsidRPr="00D073EB">
        <w:rPr>
          <w:rFonts w:ascii="Times New Roman" w:eastAsia="Times New Roman" w:hAnsi="Times New Roman" w:cs="Times New Roman"/>
          <w:b/>
          <w:color w:val="222222"/>
          <w:sz w:val="24"/>
          <w:szCs w:val="24"/>
          <w:lang w:bidi="ar-SA"/>
        </w:rPr>
        <w:t>MATHEMATICAL MODELING OF WATER POLLUTION AND ITS IMPACTS ON AQUAT</w:t>
      </w:r>
      <w:r>
        <w:rPr>
          <w:rFonts w:ascii="Times New Roman" w:eastAsia="Times New Roman" w:hAnsi="Times New Roman" w:cs="Times New Roman"/>
          <w:b/>
          <w:color w:val="222222"/>
          <w:sz w:val="24"/>
          <w:szCs w:val="24"/>
          <w:lang w:bidi="ar-SA"/>
        </w:rPr>
        <w:t xml:space="preserve">IC SPECIES: A COUPLED POLLUTION </w:t>
      </w:r>
      <w:r w:rsidRPr="00D073EB">
        <w:rPr>
          <w:rFonts w:ascii="Times New Roman" w:eastAsia="Times New Roman" w:hAnsi="Times New Roman" w:cs="Times New Roman"/>
          <w:b/>
          <w:color w:val="222222"/>
          <w:sz w:val="24"/>
          <w:szCs w:val="24"/>
          <w:lang w:bidi="ar-SA"/>
        </w:rPr>
        <w:t>POPULATION DYNAMICS APPROACH</w:t>
      </w:r>
    </w:p>
    <w:p w:rsidR="00D073EB" w:rsidRDefault="00D073EB" w:rsidP="004F6B31">
      <w:pPr>
        <w:spacing w:after="0" w:line="240" w:lineRule="auto"/>
        <w:jc w:val="center"/>
        <w:rPr>
          <w:rFonts w:ascii="Times New Roman" w:eastAsia="Times New Roman" w:hAnsi="Times New Roman" w:cs="Times New Roman"/>
          <w:b/>
          <w:color w:val="222222"/>
          <w:sz w:val="24"/>
          <w:szCs w:val="24"/>
          <w:lang w:bidi="ar-SA"/>
        </w:rPr>
      </w:pPr>
      <w:bookmarkStart w:id="0" w:name="_GoBack"/>
      <w:bookmarkEnd w:id="0"/>
    </w:p>
    <w:p w:rsidR="0072351D" w:rsidRPr="004F6B31" w:rsidRDefault="0072351D" w:rsidP="004F6B31">
      <w:pPr>
        <w:pBdr>
          <w:bottom w:val="single" w:sz="12" w:space="1" w:color="auto"/>
        </w:pBdr>
        <w:spacing w:after="0" w:line="240" w:lineRule="auto"/>
        <w:jc w:val="center"/>
        <w:rPr>
          <w:rFonts w:ascii="Times New Roman" w:eastAsia="Times New Roman" w:hAnsi="Times New Roman" w:cs="Times New Roman"/>
          <w:sz w:val="20"/>
          <w:lang w:val="en-US" w:bidi="ar-SA"/>
        </w:rPr>
      </w:pPr>
    </w:p>
    <w:p w:rsidR="00905D11" w:rsidRDefault="00697C5C" w:rsidP="00905D11">
      <w:pPr>
        <w:pStyle w:val="NormalWeb"/>
        <w:spacing w:line="360" w:lineRule="auto"/>
        <w:jc w:val="both"/>
      </w:pPr>
      <w:r>
        <w:rPr>
          <w:rStyle w:val="Strong"/>
        </w:rPr>
        <w:t>Abstract</w:t>
      </w:r>
      <w:r>
        <w:br/>
      </w:r>
      <w:r w:rsidR="00685AC0">
        <w:t>Water pollution has emerged as a critical environmental challenge, exerting increasing pressure on the stability and biodiversity of aquatic ecosystems. This study proposes a coupled mathematical framework designed to analyse pollutant transport mechanisms and their associated ecological impacts on aquatic species.</w:t>
      </w:r>
      <w:r w:rsidR="00905D11">
        <w:t xml:space="preserve"> </w:t>
      </w:r>
      <w:r w:rsidR="007E4BC7">
        <w:t>The framework combines advection–diffusion-based pollutant transport dynamics with population-level biological models that incorporate toxicity-driven dose response relationships.</w:t>
      </w:r>
      <w:r w:rsidR="00905D11">
        <w:t xml:space="preserve"> </w:t>
      </w:r>
      <w:r w:rsidR="006D41EC">
        <w:t>Numerical simulations conducted under multiple pollution scenarios are employed to examine spatial and temporal variations in contaminant concentrations and corresponding population responses.</w:t>
      </w:r>
      <w:r w:rsidR="00905D11">
        <w:t xml:space="preserve"> </w:t>
      </w:r>
      <w:r w:rsidR="004B504F">
        <w:t xml:space="preserve">A case study examining ammonia toxicity in </w:t>
      </w:r>
      <w:r w:rsidR="004B504F">
        <w:rPr>
          <w:rStyle w:val="Emphasis"/>
        </w:rPr>
        <w:t>Daphnia magna</w:t>
      </w:r>
      <w:r w:rsidR="004B504F">
        <w:t xml:space="preserve"> demonstrates the model’s capability to identify critical concentration thresholds beyond which pronounced ecological degradation is observed. </w:t>
      </w:r>
      <w:r w:rsidR="00743D91">
        <w:t>Sensitivity analysis further demonstrates the influence of key model parameters on simulation outcomes. The proposed framework serves as an effective decision-support tool for ecological risk assessment and water pollution management, offering insights relevant to environmental conservation and policy formulation.</w:t>
      </w:r>
    </w:p>
    <w:p w:rsidR="00697C5C" w:rsidRDefault="00697C5C" w:rsidP="00905D11">
      <w:pPr>
        <w:pStyle w:val="NormalWeb"/>
        <w:pBdr>
          <w:bottom w:val="single" w:sz="12" w:space="1" w:color="auto"/>
        </w:pBdr>
        <w:spacing w:line="360" w:lineRule="auto"/>
        <w:jc w:val="both"/>
        <w:rPr>
          <w:rStyle w:val="Emphasis"/>
          <w:i w:val="0"/>
        </w:rPr>
      </w:pPr>
      <w:r>
        <w:rPr>
          <w:rStyle w:val="Strong"/>
        </w:rPr>
        <w:t>Keywords:</w:t>
      </w:r>
      <w:r>
        <w:t xml:space="preserve"> Mathematical modeling; Water pollution; Aquatic species; Population dynamics; </w:t>
      </w:r>
      <w:r>
        <w:rPr>
          <w:rStyle w:val="Emphasis"/>
        </w:rPr>
        <w:t>Daphnia magna.</w:t>
      </w:r>
    </w:p>
    <w:p w:rsidR="00E31C23" w:rsidRPr="00E31C23" w:rsidRDefault="00E31C23" w:rsidP="0031355A">
      <w:pPr>
        <w:spacing w:after="0"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1. Introduction</w:t>
      </w:r>
    </w:p>
    <w:p w:rsidR="00E31C23" w:rsidRPr="00E31C23" w:rsidRDefault="00E31C23" w:rsidP="0031355A">
      <w:pPr>
        <w:spacing w:after="0"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1.1 Background</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Water pollution is one of the most pressing environmental issues worldwide, adversely affecting both human health and aquatic ecosystems. The </w:t>
      </w:r>
      <w:r w:rsidR="00531829" w:rsidRPr="0031355A">
        <w:rPr>
          <w:rFonts w:ascii="Times New Roman" w:hAnsi="Times New Roman" w:cs="Times New Roman"/>
          <w:sz w:val="24"/>
          <w:szCs w:val="24"/>
        </w:rPr>
        <w:t xml:space="preserve">Continuous inputs from industrial effluents, agricultural runoff, and domestic sewage have contributed significantly to the degradation of water quality in aquatic systems. </w:t>
      </w:r>
      <w:r w:rsidRPr="00E31C23">
        <w:rPr>
          <w:rFonts w:ascii="Times New Roman" w:eastAsia="Times New Roman" w:hAnsi="Times New Roman" w:cs="Times New Roman"/>
          <w:sz w:val="24"/>
          <w:szCs w:val="24"/>
          <w:lang w:eastAsia="en-IN" w:bidi="ar-SA"/>
        </w:rPr>
        <w:t>Aquatic organisms are particularly vulnerable to such contamination, as pollutants can disrupt physiological processes, reduce reproductive success, and ultimately lead to population declines and loss of biodiversity.</w:t>
      </w:r>
    </w:p>
    <w:p w:rsidR="00E31C23" w:rsidRPr="00E31C23" w:rsidRDefault="00AE7C72"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31355A">
        <w:rPr>
          <w:rFonts w:ascii="Times New Roman" w:hAnsi="Times New Roman" w:cs="Times New Roman"/>
          <w:sz w:val="24"/>
          <w:szCs w:val="24"/>
        </w:rPr>
        <w:lastRenderedPageBreak/>
        <w:t xml:space="preserve">Aquatic ecosystems operate as highly complex and interconnected systems governed by physical, chemical, and biological interactions. </w:t>
      </w:r>
      <w:r w:rsidR="00E31C23" w:rsidRPr="00E31C23">
        <w:rPr>
          <w:rFonts w:ascii="Times New Roman" w:eastAsia="Times New Roman" w:hAnsi="Times New Roman" w:cs="Times New Roman"/>
          <w:sz w:val="24"/>
          <w:szCs w:val="24"/>
          <w:lang w:eastAsia="en-IN" w:bidi="ar-SA"/>
        </w:rPr>
        <w:t xml:space="preserve"> Even moderate increases in pollutant concentrations may trigger cascading ecological effects, altering species composition and destabilizing food webs. Therefore, understanding the dynamics of water pollution and its ecological consequences is essential for effective environmental management and conservation planning.</w:t>
      </w:r>
    </w:p>
    <w:p w:rsidR="00E31C23" w:rsidRPr="00E31C23" w:rsidRDefault="00E31C23" w:rsidP="0031355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1.2 Importance of Mathematical Modeling</w:t>
      </w:r>
    </w:p>
    <w:p w:rsidR="00E31C23" w:rsidRPr="00E31C23" w:rsidRDefault="00D15135"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31355A">
        <w:rPr>
          <w:rFonts w:ascii="Times New Roman" w:hAnsi="Times New Roman" w:cs="Times New Roman"/>
          <w:sz w:val="24"/>
          <w:szCs w:val="24"/>
        </w:rPr>
        <w:t xml:space="preserve">Mathematical modeling offers a robust analytical framework for investigating complex environmental systems and their dynamic </w:t>
      </w:r>
      <w:r w:rsidR="00CC4AAF" w:rsidRPr="0031355A">
        <w:rPr>
          <w:rFonts w:ascii="Times New Roman" w:hAnsi="Times New Roman" w:cs="Times New Roman"/>
          <w:sz w:val="24"/>
          <w:szCs w:val="24"/>
        </w:rPr>
        <w:t>behaviour</w:t>
      </w:r>
      <w:r w:rsidRPr="0031355A">
        <w:rPr>
          <w:rFonts w:ascii="Times New Roman" w:hAnsi="Times New Roman" w:cs="Times New Roman"/>
          <w:sz w:val="24"/>
          <w:szCs w:val="24"/>
        </w:rPr>
        <w:t xml:space="preserve">. </w:t>
      </w:r>
      <w:r w:rsidR="00E31C23" w:rsidRPr="00E31C23">
        <w:rPr>
          <w:rFonts w:ascii="Times New Roman" w:eastAsia="Times New Roman" w:hAnsi="Times New Roman" w:cs="Times New Roman"/>
          <w:sz w:val="24"/>
          <w:szCs w:val="24"/>
          <w:lang w:eastAsia="en-IN" w:bidi="ar-SA"/>
        </w:rPr>
        <w:t>Models based on advection–diffusion equations enable the simulation of pollutant transport and dispersion, while reaction terms account for processes such as decay, transformation, and accumulation. When coupled with biological models, mathematical approaches allow researchers to quantify how pollutant exposure influences population dynamics of aquatic species.</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Such models are particularly valuable because they enable the evaluation of multiple pollution scenarios, assessment of long-term ecological impacts, and comparison of mitigation strategies without the need for extensive field experimentation. By offering a quantitative basis for prediction, mathematical modeling supports informed decision-making in water quality management and environmental policy development.</w:t>
      </w:r>
    </w:p>
    <w:p w:rsidR="00E31C23" w:rsidRPr="00E31C23" w:rsidRDefault="00E31C23" w:rsidP="0031355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1.3 Objectives of the Study</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primary objectives of the present study are to:</w:t>
      </w:r>
    </w:p>
    <w:p w:rsidR="00E31C23" w:rsidRPr="00E31C23" w:rsidRDefault="00E31C23" w:rsidP="0031355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Develop a mathematical model describing the transport, dispersion, and transformation of pollutants in aquatic systems.</w:t>
      </w:r>
    </w:p>
    <w:p w:rsidR="00E31C23" w:rsidRPr="00E31C23" w:rsidRDefault="00E31C23" w:rsidP="0031355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Integrate biological population dynamics and toxicity-based dose–response relationships to evaluate the effects of pollution on aquatic species.</w:t>
      </w:r>
    </w:p>
    <w:p w:rsidR="00E31C23" w:rsidRPr="00E31C23" w:rsidRDefault="00E31C23" w:rsidP="0031355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Apply numerical simulations and sensitivity analysis to assess the ecological implications of different pollution scenarios and evaluate model robustness.</w:t>
      </w:r>
    </w:p>
    <w:p w:rsidR="00E31C23" w:rsidRPr="00B16FE7"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By combining physical pollution processes with biological responses, this study aims to </w:t>
      </w:r>
      <w:r w:rsidRPr="00B16FE7">
        <w:rPr>
          <w:rFonts w:ascii="Times New Roman" w:eastAsia="Times New Roman" w:hAnsi="Times New Roman" w:cs="Times New Roman"/>
          <w:sz w:val="24"/>
          <w:szCs w:val="24"/>
          <w:lang w:eastAsia="en-IN" w:bidi="ar-SA"/>
        </w:rPr>
        <w:t>provide a unified framework for assessing ecological risks associated with water pollution.</w:t>
      </w:r>
    </w:p>
    <w:p w:rsidR="00B16FE7" w:rsidRPr="00B16FE7" w:rsidRDefault="00B16FE7"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B16FE7">
        <w:rPr>
          <w:rFonts w:ascii="Times New Roman" w:hAnsi="Times New Roman" w:cs="Times New Roman"/>
          <w:sz w:val="24"/>
          <w:szCs w:val="24"/>
        </w:rPr>
        <w:lastRenderedPageBreak/>
        <w:t xml:space="preserve">Rapid urbanization, industrial expansion, and agricultural intensification have significantly increased pollutant loads entering freshwater ecosystems worldwide. Rivers, lakes, and reservoirs are increasingly exposed to nutrient enrichment, heavy metals, and organic contaminants, which collectively influence ecosystem functioning and biodiversity. Predictive </w:t>
      </w:r>
      <w:r w:rsidR="000620CA" w:rsidRPr="00B16FE7">
        <w:rPr>
          <w:rFonts w:ascii="Times New Roman" w:hAnsi="Times New Roman" w:cs="Times New Roman"/>
          <w:sz w:val="24"/>
          <w:szCs w:val="24"/>
        </w:rPr>
        <w:t>modelling</w:t>
      </w:r>
      <w:r w:rsidRPr="00B16FE7">
        <w:rPr>
          <w:rFonts w:ascii="Times New Roman" w:hAnsi="Times New Roman" w:cs="Times New Roman"/>
          <w:sz w:val="24"/>
          <w:szCs w:val="24"/>
        </w:rPr>
        <w:t xml:space="preserve"> tools therefore play a critical role in understanding potential long-term ecological consequences of pollution scenarios and in designing effective management strategies. By integrating physical transport processes with biological population dynamics, mathematical models provide a systematic framework for evaluating ecosystem responses under varying environmental conditions and for identifying pollution thresholds beyond which ecological recovery becomes difficult.</w:t>
      </w:r>
    </w:p>
    <w:p w:rsidR="00E31C23" w:rsidRPr="00E31C23" w:rsidRDefault="00E31C23" w:rsidP="0031355A">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t xml:space="preserve">2. Literature Review </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Mathematical modeling has long been used as a tool to understand the transport and ecological effects of water pollutants. </w:t>
      </w:r>
      <w:r w:rsidR="00344781" w:rsidRPr="0031355A">
        <w:rPr>
          <w:rFonts w:ascii="Times New Roman" w:hAnsi="Times New Roman" w:cs="Times New Roman"/>
          <w:sz w:val="24"/>
          <w:szCs w:val="24"/>
        </w:rPr>
        <w:t xml:space="preserve">The foundational work of </w:t>
      </w:r>
      <w:r w:rsidR="00344781" w:rsidRPr="00490073">
        <w:rPr>
          <w:rFonts w:ascii="Times New Roman" w:hAnsi="Times New Roman" w:cs="Times New Roman"/>
          <w:sz w:val="24"/>
          <w:szCs w:val="24"/>
        </w:rPr>
        <w:t>Streeter and Phelps (1925)</w:t>
      </w:r>
      <w:r w:rsidR="00344781" w:rsidRPr="0031355A">
        <w:rPr>
          <w:rFonts w:ascii="Times New Roman" w:hAnsi="Times New Roman" w:cs="Times New Roman"/>
          <w:sz w:val="24"/>
          <w:szCs w:val="24"/>
        </w:rPr>
        <w:t xml:space="preserve"> introduced an early quantitative approach for representing oxygen dynamics in polluted river systems.</w:t>
      </w:r>
      <w:r w:rsidRPr="00E31C23">
        <w:rPr>
          <w:rFonts w:ascii="Times New Roman" w:eastAsia="Times New Roman" w:hAnsi="Times New Roman" w:cs="Times New Roman"/>
          <w:sz w:val="24"/>
          <w:szCs w:val="24"/>
          <w:lang w:eastAsia="en-IN" w:bidi="ar-SA"/>
        </w:rPr>
        <w:t xml:space="preserve"> This classical approach laid the groundwork for subsequent water quality models that incorporate advection, diffusion, and biochemical reactions.</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Over time, water quality models evolved to include a wider range of pollutants and environmental processes. </w:t>
      </w:r>
      <w:r w:rsidR="00450E9A" w:rsidRPr="0031355A">
        <w:rPr>
          <w:rFonts w:ascii="Times New Roman" w:hAnsi="Times New Roman" w:cs="Times New Roman"/>
          <w:sz w:val="24"/>
          <w:szCs w:val="24"/>
        </w:rPr>
        <w:t xml:space="preserve">Modeling platforms such as </w:t>
      </w:r>
      <w:r w:rsidRPr="00E31C23">
        <w:rPr>
          <w:rFonts w:ascii="Times New Roman" w:eastAsia="Times New Roman" w:hAnsi="Times New Roman" w:cs="Times New Roman"/>
          <w:bCs/>
          <w:sz w:val="24"/>
          <w:szCs w:val="24"/>
          <w:lang w:eastAsia="en-IN" w:bidi="ar-SA"/>
        </w:rPr>
        <w:t>Water Quality Analysis Simulation Program (WASP)</w:t>
      </w:r>
      <w:r w:rsidRPr="00E31C23">
        <w:rPr>
          <w:rFonts w:ascii="Times New Roman" w:eastAsia="Times New Roman" w:hAnsi="Times New Roman" w:cs="Times New Roman"/>
          <w:sz w:val="24"/>
          <w:szCs w:val="24"/>
          <w:lang w:eastAsia="en-IN" w:bidi="ar-SA"/>
        </w:rPr>
        <w:t xml:space="preserve"> </w:t>
      </w:r>
      <w:r w:rsidR="00450E9A" w:rsidRPr="0031355A">
        <w:rPr>
          <w:rFonts w:ascii="Times New Roman" w:hAnsi="Times New Roman" w:cs="Times New Roman"/>
          <w:sz w:val="24"/>
          <w:szCs w:val="24"/>
        </w:rPr>
        <w:t>and QUAL2K have been extensively applied to simulate pollutant transport and transformation processes in aquatic environments</w:t>
      </w:r>
      <w:r w:rsidR="00081D39">
        <w:rPr>
          <w:rFonts w:ascii="Times New Roman" w:hAnsi="Times New Roman" w:cs="Times New Roman"/>
          <w:sz w:val="24"/>
          <w:szCs w:val="24"/>
        </w:rPr>
        <w:t xml:space="preserve"> (Chapra, 2008)</w:t>
      </w:r>
      <w:r w:rsidR="00450E9A" w:rsidRPr="0031355A">
        <w:rPr>
          <w:rFonts w:ascii="Times New Roman" w:hAnsi="Times New Roman" w:cs="Times New Roman"/>
          <w:sz w:val="24"/>
          <w:szCs w:val="24"/>
        </w:rPr>
        <w:t xml:space="preserve">. </w:t>
      </w:r>
      <w:r w:rsidRPr="00E31C23">
        <w:rPr>
          <w:rFonts w:ascii="Times New Roman" w:eastAsia="Times New Roman" w:hAnsi="Times New Roman" w:cs="Times New Roman"/>
          <w:sz w:val="24"/>
          <w:szCs w:val="24"/>
          <w:lang w:eastAsia="en-IN" w:bidi="ar-SA"/>
        </w:rPr>
        <w:t>Recent research has increasingly focused on integrating biological responses into pollution models. Studies combining population dynamics with contaminant exposure have demonstrated that pollutants can significantly alter growth rates, mortality, and reproductive success of aquatic organisms. Logistic growth model</w:t>
      </w:r>
      <w:r w:rsidR="00AF2E8D" w:rsidRPr="0031355A">
        <w:rPr>
          <w:rFonts w:ascii="Times New Roman" w:eastAsia="Times New Roman" w:hAnsi="Times New Roman" w:cs="Times New Roman"/>
          <w:sz w:val="24"/>
          <w:szCs w:val="24"/>
          <w:lang w:eastAsia="en-IN" w:bidi="ar-SA"/>
        </w:rPr>
        <w:t xml:space="preserve">s and </w:t>
      </w:r>
      <w:proofErr w:type="spellStart"/>
      <w:r w:rsidR="00AF2E8D" w:rsidRPr="0031355A">
        <w:rPr>
          <w:rFonts w:ascii="Times New Roman" w:eastAsia="Times New Roman" w:hAnsi="Times New Roman" w:cs="Times New Roman"/>
          <w:sz w:val="24"/>
          <w:szCs w:val="24"/>
          <w:lang w:eastAsia="en-IN" w:bidi="ar-SA"/>
        </w:rPr>
        <w:t>Lotka</w:t>
      </w:r>
      <w:proofErr w:type="spellEnd"/>
      <w:r w:rsidR="00AF2E8D" w:rsidRPr="0031355A">
        <w:rPr>
          <w:rFonts w:ascii="Times New Roman" w:eastAsia="Times New Roman" w:hAnsi="Times New Roman" w:cs="Times New Roman"/>
          <w:sz w:val="24"/>
          <w:szCs w:val="24"/>
          <w:lang w:eastAsia="en-IN" w:bidi="ar-SA"/>
        </w:rPr>
        <w:t xml:space="preserve"> </w:t>
      </w:r>
      <w:proofErr w:type="spellStart"/>
      <w:r w:rsidR="00B8723B">
        <w:rPr>
          <w:rFonts w:ascii="Times New Roman" w:eastAsia="Times New Roman" w:hAnsi="Times New Roman" w:cs="Times New Roman"/>
          <w:sz w:val="24"/>
          <w:szCs w:val="24"/>
          <w:lang w:eastAsia="en-IN" w:bidi="ar-SA"/>
        </w:rPr>
        <w:t>Volterra</w:t>
      </w:r>
      <w:proofErr w:type="spellEnd"/>
      <w:r w:rsidR="00B8723B">
        <w:rPr>
          <w:rFonts w:ascii="Times New Roman" w:eastAsia="Times New Roman" w:hAnsi="Times New Roman" w:cs="Times New Roman"/>
          <w:sz w:val="24"/>
          <w:szCs w:val="24"/>
          <w:lang w:eastAsia="en-IN" w:bidi="ar-SA"/>
        </w:rPr>
        <w:t xml:space="preserve"> </w:t>
      </w:r>
      <w:r w:rsidRPr="00E31C23">
        <w:rPr>
          <w:rFonts w:ascii="Times New Roman" w:eastAsia="Times New Roman" w:hAnsi="Times New Roman" w:cs="Times New Roman"/>
          <w:sz w:val="24"/>
          <w:szCs w:val="24"/>
          <w:lang w:eastAsia="en-IN" w:bidi="ar-SA"/>
        </w:rPr>
        <w:t>type formulations have been widely adopted to represent species dynamics under e</w:t>
      </w:r>
      <w:r w:rsidR="00960F06" w:rsidRPr="0031355A">
        <w:rPr>
          <w:rFonts w:ascii="Times New Roman" w:eastAsia="Times New Roman" w:hAnsi="Times New Roman" w:cs="Times New Roman"/>
          <w:sz w:val="24"/>
          <w:szCs w:val="24"/>
          <w:lang w:eastAsia="en-IN" w:bidi="ar-SA"/>
        </w:rPr>
        <w:t xml:space="preserve">nvironmental stress, while dose </w:t>
      </w:r>
      <w:r w:rsidRPr="00E31C23">
        <w:rPr>
          <w:rFonts w:ascii="Times New Roman" w:eastAsia="Times New Roman" w:hAnsi="Times New Roman" w:cs="Times New Roman"/>
          <w:sz w:val="24"/>
          <w:szCs w:val="24"/>
          <w:lang w:eastAsia="en-IN" w:bidi="ar-SA"/>
        </w:rPr>
        <w:t>response relationships are commonly used to quantify toxicity effects</w:t>
      </w:r>
      <w:r w:rsidR="00081D39">
        <w:rPr>
          <w:rFonts w:ascii="Times New Roman" w:eastAsia="Times New Roman" w:hAnsi="Times New Roman" w:cs="Times New Roman"/>
          <w:sz w:val="24"/>
          <w:szCs w:val="24"/>
          <w:lang w:eastAsia="en-IN" w:bidi="ar-SA"/>
        </w:rPr>
        <w:t xml:space="preserve"> (Jorgensen &amp; Bendoricchio, 2001)</w:t>
      </w:r>
      <w:r w:rsidRPr="00E31C23">
        <w:rPr>
          <w:rFonts w:ascii="Times New Roman" w:eastAsia="Times New Roman" w:hAnsi="Times New Roman" w:cs="Times New Roman"/>
          <w:sz w:val="24"/>
          <w:szCs w:val="24"/>
          <w:lang w:eastAsia="en-IN" w:bidi="ar-SA"/>
        </w:rPr>
        <w:t>.</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Despite these advances, several limitations remain. Many existing models treat biological components in a simplified manner or focus on a single pollutant or species. Additionally, long-term ecological impacts such as population resilience and threshold </w:t>
      </w:r>
      <w:r w:rsidR="00AF2E8D" w:rsidRPr="0031355A">
        <w:rPr>
          <w:rFonts w:ascii="Times New Roman" w:eastAsia="Times New Roman" w:hAnsi="Times New Roman" w:cs="Times New Roman"/>
          <w:sz w:val="24"/>
          <w:szCs w:val="24"/>
          <w:lang w:eastAsia="en-IN" w:bidi="ar-SA"/>
        </w:rPr>
        <w:t>behaviour</w:t>
      </w:r>
      <w:r w:rsidRPr="00E31C23">
        <w:rPr>
          <w:rFonts w:ascii="Times New Roman" w:eastAsia="Times New Roman" w:hAnsi="Times New Roman" w:cs="Times New Roman"/>
          <w:sz w:val="24"/>
          <w:szCs w:val="24"/>
          <w:lang w:eastAsia="en-IN" w:bidi="ar-SA"/>
        </w:rPr>
        <w:t xml:space="preserve"> are often inadequately addressed. There is a need for modeling frameworks that explicitly couple </w:t>
      </w:r>
      <w:r w:rsidRPr="00E31C23">
        <w:rPr>
          <w:rFonts w:ascii="Times New Roman" w:eastAsia="Times New Roman" w:hAnsi="Times New Roman" w:cs="Times New Roman"/>
          <w:sz w:val="24"/>
          <w:szCs w:val="24"/>
          <w:lang w:eastAsia="en-IN" w:bidi="ar-SA"/>
        </w:rPr>
        <w:lastRenderedPageBreak/>
        <w:t>pollutant transport mechanisms with species-level biological responses while remaining flexible enough to be applied across diverse aquatic systems.</w:t>
      </w:r>
    </w:p>
    <w:p w:rsidR="00E31C23" w:rsidRPr="00A35CDE" w:rsidRDefault="00E31C23" w:rsidP="0031355A">
      <w:pPr>
        <w:spacing w:before="100" w:beforeAutospacing="1" w:after="100" w:afterAutospacing="1" w:line="360" w:lineRule="auto"/>
        <w:jc w:val="both"/>
        <w:rPr>
          <w:rFonts w:ascii="Times New Roman" w:eastAsia="Times New Roman" w:hAnsi="Times New Roman" w:cs="Times New Roman"/>
          <w:b/>
          <w:sz w:val="24"/>
          <w:szCs w:val="24"/>
          <w:lang w:eastAsia="en-IN" w:bidi="ar-SA"/>
        </w:rPr>
      </w:pPr>
      <w:r w:rsidRPr="00E31C23">
        <w:rPr>
          <w:rFonts w:ascii="Times New Roman" w:eastAsia="Times New Roman" w:hAnsi="Times New Roman" w:cs="Times New Roman"/>
          <w:sz w:val="24"/>
          <w:szCs w:val="24"/>
          <w:lang w:eastAsia="en-IN" w:bidi="ar-SA"/>
        </w:rPr>
        <w:t>The present study addresses these gaps by developing a coupled mathematical framework that integrates pollutant transport dynamics with aquatic population models, enabling a more comprehensive assessment of ecological risks associated with water pollution</w:t>
      </w:r>
      <w:r w:rsidR="00A35CDE">
        <w:rPr>
          <w:rFonts w:ascii="Times New Roman" w:eastAsia="Times New Roman" w:hAnsi="Times New Roman" w:cs="Times New Roman"/>
          <w:sz w:val="24"/>
          <w:szCs w:val="24"/>
          <w:lang w:eastAsia="en-IN" w:bidi="ar-SA"/>
        </w:rPr>
        <w:t xml:space="preserve"> </w:t>
      </w:r>
      <w:r w:rsidR="00A35CDE" w:rsidRPr="00A35CDE">
        <w:rPr>
          <w:rStyle w:val="Strong"/>
          <w:rFonts w:ascii="Times New Roman" w:hAnsi="Times New Roman" w:cs="Times New Roman"/>
          <w:b w:val="0"/>
          <w:sz w:val="24"/>
          <w:szCs w:val="24"/>
        </w:rPr>
        <w:t>(Karim et al., 2024)</w:t>
      </w:r>
      <w:r w:rsidR="00A35CDE" w:rsidRPr="00A35CDE">
        <w:rPr>
          <w:rFonts w:ascii="Times New Roman" w:hAnsi="Times New Roman" w:cs="Times New Roman"/>
          <w:b/>
          <w:sz w:val="24"/>
          <w:szCs w:val="24"/>
        </w:rPr>
        <w:t>.</w:t>
      </w:r>
    </w:p>
    <w:p w:rsidR="00E31C23" w:rsidRPr="00E31C23" w:rsidRDefault="00E31C23" w:rsidP="0031355A">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t>3. Mathematical Modeling of Water Pollution</w:t>
      </w:r>
    </w:p>
    <w:p w:rsidR="00E31C23" w:rsidRPr="00E31C23" w:rsidRDefault="00E31C23" w:rsidP="0031355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3.1 Model Formulation</w:t>
      </w:r>
    </w:p>
    <w:p w:rsidR="00E31C23" w:rsidRPr="00E31C23" w:rsidRDefault="00E31C23" w:rsidP="0031355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3.1.1 Governing Equations</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transport and fate of pollutants in an aquatic system are described using the advection–diffusion equation with reaction terms:</w:t>
      </w:r>
    </w:p>
    <w:p w:rsidR="00B8723B" w:rsidRPr="00B8723B" w:rsidRDefault="00801109" w:rsidP="00B8723B">
      <w:pPr>
        <w:spacing w:after="0" w:line="360" w:lineRule="auto"/>
        <w:ind w:left="720"/>
        <w:contextualSpacing/>
        <w:jc w:val="center"/>
        <w:rPr>
          <w:rFonts w:ascii="Times New Roman" w:eastAsia="Times New Roman" w:hAnsi="Times New Roman" w:cs="Times New Roman"/>
          <w:color w:val="222222"/>
          <w:sz w:val="24"/>
          <w:szCs w:val="24"/>
          <w:lang w:val="en-US" w:bidi="ar-SA"/>
        </w:rPr>
      </w:pPr>
      <m:oMathPara>
        <m:oMath>
          <m:f>
            <m:fPr>
              <m:ctrlPr>
                <w:rPr>
                  <w:rFonts w:ascii="Cambria Math" w:eastAsia="Times New Roman" w:hAnsi="Cambria Math" w:cs="Times New Roman"/>
                  <w:i/>
                  <w:color w:val="222222"/>
                  <w:sz w:val="24"/>
                  <w:szCs w:val="24"/>
                  <w:lang w:val="en-US" w:bidi="ar-SA"/>
                </w:rPr>
              </m:ctrlPr>
            </m:fPr>
            <m:num>
              <m:r>
                <w:rPr>
                  <w:rFonts w:ascii="Cambria Math" w:eastAsia="Times New Roman" w:hAnsi="Cambria Math" w:cs="Times New Roman"/>
                  <w:color w:val="222222"/>
                  <w:sz w:val="24"/>
                  <w:szCs w:val="24"/>
                  <w:lang w:val="en-US" w:bidi="ar-SA"/>
                </w:rPr>
                <m:t>∂C</m:t>
              </m:r>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xt</m:t>
              </m:r>
              <m:r>
                <w:rPr>
                  <w:rFonts w:ascii="Cambria Math" w:eastAsia="Times New Roman" w:hAnsi="Cambria Math" w:cs="Times New Roman"/>
                  <w:color w:val="222222"/>
                  <w:sz w:val="24"/>
                  <w:szCs w:val="24"/>
                  <w:lang w:val="en-US" w:bidi="ar-SA"/>
                </w:rPr>
                <m:t>)</m:t>
              </m:r>
            </m:num>
            <m:den>
              <m:r>
                <w:rPr>
                  <w:rFonts w:ascii="Cambria Math" w:eastAsia="Times New Roman" w:hAnsi="Cambria Math" w:cs="Times New Roman"/>
                  <w:color w:val="222222"/>
                  <w:sz w:val="24"/>
                  <w:szCs w:val="24"/>
                  <w:lang w:val="en-US" w:bidi="ar-SA"/>
                </w:rPr>
                <m:t>∂t</m:t>
              </m:r>
            </m:den>
          </m:f>
          <m:r>
            <w:rPr>
              <w:rFonts w:ascii="Cambria Math" w:eastAsia="Times New Roman" w:hAnsi="Cambria Math" w:cs="Times New Roman"/>
              <w:color w:val="222222"/>
              <w:sz w:val="24"/>
              <w:szCs w:val="24"/>
              <w:lang w:val="en-US" w:bidi="ar-SA"/>
            </w:rPr>
            <m:t xml:space="preserve">+ </m:t>
          </m:r>
          <m:r>
            <w:rPr>
              <w:rFonts w:ascii="Cambria Math" w:eastAsia="Times New Roman" w:hAnsi="Cambria Math" w:cs="Times New Roman"/>
              <w:color w:val="222222"/>
              <w:sz w:val="24"/>
              <w:szCs w:val="24"/>
              <w:lang w:val="en-US" w:bidi="ar-SA"/>
            </w:rPr>
            <m:t>u</m:t>
          </m:r>
          <m:d>
            <m:dPr>
              <m:ctrlPr>
                <w:rPr>
                  <w:rFonts w:ascii="Cambria Math" w:eastAsia="Times New Roman" w:hAnsi="Cambria Math" w:cs="Times New Roman"/>
                  <w:i/>
                  <w:color w:val="222222"/>
                  <w:sz w:val="24"/>
                  <w:szCs w:val="24"/>
                  <w:lang w:val="en-US" w:bidi="ar-SA"/>
                </w:rPr>
              </m:ctrlPr>
            </m:dPr>
            <m:e>
              <m:r>
                <w:rPr>
                  <w:rFonts w:ascii="Cambria Math" w:eastAsia="Times New Roman" w:hAnsi="Cambria Math" w:cs="Times New Roman"/>
                  <w:color w:val="222222"/>
                  <w:sz w:val="24"/>
                  <w:szCs w:val="24"/>
                  <w:lang w:val="en-US" w:bidi="ar-SA"/>
                </w:rPr>
                <m:t>x</m:t>
              </m:r>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t</m:t>
              </m:r>
            </m:e>
          </m:d>
          <m:f>
            <m:fPr>
              <m:ctrlPr>
                <w:rPr>
                  <w:rFonts w:ascii="Cambria Math" w:eastAsia="Times New Roman" w:hAnsi="Cambria Math" w:cs="Times New Roman"/>
                  <w:i/>
                  <w:color w:val="222222"/>
                  <w:sz w:val="24"/>
                  <w:szCs w:val="24"/>
                  <w:lang w:val="en-US" w:bidi="ar-SA"/>
                </w:rPr>
              </m:ctrlPr>
            </m:fPr>
            <m:num>
              <m:r>
                <w:rPr>
                  <w:rFonts w:ascii="Cambria Math" w:eastAsia="Times New Roman" w:hAnsi="Cambria Math" w:cs="Times New Roman"/>
                  <w:color w:val="222222"/>
                  <w:sz w:val="24"/>
                  <w:szCs w:val="24"/>
                  <w:lang w:val="en-US" w:bidi="ar-SA"/>
                </w:rPr>
                <m:t>∂C</m:t>
              </m:r>
              <m:d>
                <m:dPr>
                  <m:ctrlPr>
                    <w:rPr>
                      <w:rFonts w:ascii="Cambria Math" w:eastAsia="Times New Roman" w:hAnsi="Cambria Math" w:cs="Times New Roman"/>
                      <w:i/>
                      <w:color w:val="222222"/>
                      <w:sz w:val="24"/>
                      <w:szCs w:val="24"/>
                      <w:lang w:val="en-US" w:bidi="ar-SA"/>
                    </w:rPr>
                  </m:ctrlPr>
                </m:dPr>
                <m:e>
                  <m:r>
                    <w:rPr>
                      <w:rFonts w:ascii="Cambria Math" w:eastAsia="Times New Roman" w:hAnsi="Cambria Math" w:cs="Times New Roman"/>
                      <w:color w:val="222222"/>
                      <w:sz w:val="24"/>
                      <w:szCs w:val="24"/>
                      <w:lang w:val="en-US" w:bidi="ar-SA"/>
                    </w:rPr>
                    <m:t>x</m:t>
                  </m:r>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t</m:t>
                  </m:r>
                </m:e>
              </m:d>
            </m:num>
            <m:den>
              <m:r>
                <w:rPr>
                  <w:rFonts w:ascii="Cambria Math" w:eastAsia="Times New Roman" w:hAnsi="Cambria Math" w:cs="Times New Roman"/>
                  <w:color w:val="222222"/>
                  <w:sz w:val="24"/>
                  <w:szCs w:val="24"/>
                  <w:lang w:val="en-US" w:bidi="ar-SA"/>
                </w:rPr>
                <m:t>∂x</m:t>
              </m:r>
            </m:den>
          </m:f>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D</m:t>
          </m:r>
          <m:f>
            <m:fPr>
              <m:ctrlPr>
                <w:rPr>
                  <w:rFonts w:ascii="Cambria Math" w:eastAsia="Times New Roman" w:hAnsi="Cambria Math" w:cs="Times New Roman"/>
                  <w:i/>
                  <w:color w:val="222222"/>
                  <w:sz w:val="24"/>
                  <w:szCs w:val="24"/>
                  <w:lang w:val="en-US" w:bidi="ar-SA"/>
                </w:rPr>
              </m:ctrlPr>
            </m:fPr>
            <m:num>
              <m:sSup>
                <m:sSupPr>
                  <m:ctrlPr>
                    <w:rPr>
                      <w:rFonts w:ascii="Cambria Math" w:eastAsia="Times New Roman" w:hAnsi="Cambria Math" w:cs="Times New Roman"/>
                      <w:i/>
                      <w:color w:val="222222"/>
                      <w:sz w:val="24"/>
                      <w:szCs w:val="24"/>
                      <w:lang w:val="en-US" w:bidi="ar-SA"/>
                    </w:rPr>
                  </m:ctrlPr>
                </m:sSupPr>
                <m:e>
                  <m:r>
                    <w:rPr>
                      <w:rFonts w:ascii="Cambria Math" w:eastAsia="Times New Roman" w:hAnsi="Cambria Math" w:cs="Times New Roman"/>
                      <w:color w:val="222222"/>
                      <w:sz w:val="24"/>
                      <w:szCs w:val="24"/>
                      <w:lang w:val="en-US" w:bidi="ar-SA"/>
                    </w:rPr>
                    <m:t>∂</m:t>
                  </m:r>
                </m:e>
                <m:sup>
                  <m:r>
                    <w:rPr>
                      <w:rFonts w:ascii="Cambria Math" w:eastAsia="Times New Roman" w:hAnsi="Cambria Math" w:cs="Times New Roman"/>
                      <w:color w:val="222222"/>
                      <w:sz w:val="24"/>
                      <w:szCs w:val="24"/>
                      <w:lang w:val="en-US" w:bidi="ar-SA"/>
                    </w:rPr>
                    <m:t>2</m:t>
                  </m:r>
                </m:sup>
              </m:sSup>
              <m:r>
                <w:rPr>
                  <w:rFonts w:ascii="Cambria Math" w:eastAsia="Times New Roman" w:hAnsi="Cambria Math" w:cs="Times New Roman"/>
                  <w:color w:val="222222"/>
                  <w:sz w:val="24"/>
                  <w:szCs w:val="24"/>
                  <w:lang w:val="en-US" w:bidi="ar-SA"/>
                </w:rPr>
                <m:t>C</m:t>
              </m:r>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x</m:t>
              </m:r>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t</m:t>
              </m:r>
              <m:r>
                <w:rPr>
                  <w:rFonts w:ascii="Cambria Math" w:eastAsia="Times New Roman" w:hAnsi="Cambria Math" w:cs="Times New Roman"/>
                  <w:color w:val="222222"/>
                  <w:sz w:val="24"/>
                  <w:szCs w:val="24"/>
                  <w:lang w:val="en-US" w:bidi="ar-SA"/>
                </w:rPr>
                <m:t>)</m:t>
              </m:r>
            </m:num>
            <m:den>
              <m:r>
                <w:rPr>
                  <w:rFonts w:ascii="Cambria Math" w:eastAsia="Times New Roman" w:hAnsi="Cambria Math" w:cs="Times New Roman"/>
                  <w:color w:val="222222"/>
                  <w:sz w:val="24"/>
                  <w:szCs w:val="24"/>
                  <w:lang w:val="en-US" w:bidi="ar-SA"/>
                </w:rPr>
                <m:t>∂</m:t>
              </m:r>
              <m:sSup>
                <m:sSupPr>
                  <m:ctrlPr>
                    <w:rPr>
                      <w:rFonts w:ascii="Cambria Math" w:eastAsia="Times New Roman" w:hAnsi="Cambria Math" w:cs="Times New Roman"/>
                      <w:i/>
                      <w:color w:val="222222"/>
                      <w:sz w:val="24"/>
                      <w:szCs w:val="24"/>
                      <w:lang w:val="en-US" w:bidi="ar-SA"/>
                    </w:rPr>
                  </m:ctrlPr>
                </m:sSupPr>
                <m:e>
                  <m:r>
                    <w:rPr>
                      <w:rFonts w:ascii="Cambria Math" w:eastAsia="Times New Roman" w:hAnsi="Cambria Math" w:cs="Times New Roman"/>
                      <w:color w:val="222222"/>
                      <w:sz w:val="24"/>
                      <w:szCs w:val="24"/>
                      <w:lang w:val="en-US" w:bidi="ar-SA"/>
                    </w:rPr>
                    <m:t>x</m:t>
                  </m:r>
                </m:e>
                <m:sup>
                  <m:r>
                    <w:rPr>
                      <w:rFonts w:ascii="Cambria Math" w:eastAsia="Times New Roman" w:hAnsi="Cambria Math" w:cs="Times New Roman"/>
                      <w:color w:val="222222"/>
                      <w:sz w:val="24"/>
                      <w:szCs w:val="24"/>
                      <w:lang w:val="en-US" w:bidi="ar-SA"/>
                    </w:rPr>
                    <m:t>2</m:t>
                  </m:r>
                </m:sup>
              </m:sSup>
            </m:den>
          </m:f>
          <m:r>
            <w:rPr>
              <w:rFonts w:ascii="Cambria Math" w:eastAsia="Times New Roman" w:hAnsi="Cambria Math" w:cs="Times New Roman"/>
              <w:color w:val="222222"/>
              <w:sz w:val="24"/>
              <w:szCs w:val="24"/>
              <w:lang w:val="en-US" w:bidi="ar-SA"/>
            </w:rPr>
            <m:t xml:space="preserve">+ </m:t>
          </m:r>
          <m:r>
            <w:rPr>
              <w:rFonts w:ascii="Cambria Math" w:eastAsia="Times New Roman" w:hAnsi="Cambria Math" w:cs="Times New Roman"/>
              <w:color w:val="222222"/>
              <w:sz w:val="24"/>
              <w:szCs w:val="24"/>
              <w:lang w:val="en-US" w:bidi="ar-SA"/>
            </w:rPr>
            <m:t>R</m:t>
          </m:r>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C</m:t>
          </m:r>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t</m:t>
          </m:r>
          <m:r>
            <w:rPr>
              <w:rFonts w:ascii="Cambria Math" w:eastAsia="Times New Roman" w:hAnsi="Cambria Math" w:cs="Times New Roman"/>
              <w:color w:val="222222"/>
              <w:sz w:val="24"/>
              <w:szCs w:val="24"/>
              <w:lang w:val="en-US" w:bidi="ar-SA"/>
            </w:rPr>
            <m:t>)</m:t>
          </m:r>
        </m:oMath>
      </m:oMathPara>
    </w:p>
    <w:p w:rsidR="00F77254" w:rsidRPr="00F77254" w:rsidRDefault="00F77254" w:rsidP="00F77254">
      <w:p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eastAsia="Times New Roman" w:hAnsi="Times New Roman" w:cs="Times New Roman"/>
          <w:color w:val="222222"/>
          <w:sz w:val="24"/>
          <w:szCs w:val="24"/>
          <w:lang w:val="en-US" w:bidi="ar-SA"/>
        </w:rPr>
        <w:t xml:space="preserve">Where: </w:t>
      </w:r>
    </w:p>
    <w:p w:rsidR="00F77254" w:rsidRPr="00F77254" w:rsidRDefault="00F77254" w:rsidP="00F77254">
      <w:pPr>
        <w:numPr>
          <w:ilvl w:val="0"/>
          <w:numId w:val="6"/>
        </w:num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eastAsia="Times New Roman" w:hAnsi="Times New Roman" w:cs="Times New Roman"/>
          <w:i/>
          <w:color w:val="222222"/>
          <w:sz w:val="24"/>
          <w:szCs w:val="24"/>
          <w:lang w:val="en-US" w:bidi="ar-SA"/>
        </w:rPr>
        <w:t>C(</w:t>
      </w:r>
      <w:proofErr w:type="spellStart"/>
      <w:r w:rsidRPr="00F77254">
        <w:rPr>
          <w:rFonts w:ascii="Times New Roman" w:eastAsia="Times New Roman" w:hAnsi="Times New Roman" w:cs="Times New Roman"/>
          <w:i/>
          <w:color w:val="222222"/>
          <w:sz w:val="24"/>
          <w:szCs w:val="24"/>
          <w:lang w:val="en-US" w:bidi="ar-SA"/>
        </w:rPr>
        <w:t>x</w:t>
      </w:r>
      <w:proofErr w:type="gramStart"/>
      <w:r w:rsidRPr="00F77254">
        <w:rPr>
          <w:rFonts w:ascii="Times New Roman" w:eastAsia="Times New Roman" w:hAnsi="Times New Roman" w:cs="Times New Roman"/>
          <w:i/>
          <w:color w:val="222222"/>
          <w:sz w:val="24"/>
          <w:szCs w:val="24"/>
          <w:lang w:val="en-US" w:bidi="ar-SA"/>
        </w:rPr>
        <w:t>,t</w:t>
      </w:r>
      <w:proofErr w:type="spellEnd"/>
      <w:proofErr w:type="gramEnd"/>
      <w:r w:rsidRPr="00F77254">
        <w:rPr>
          <w:rFonts w:ascii="Times New Roman" w:eastAsia="Times New Roman" w:hAnsi="Times New Roman" w:cs="Times New Roman"/>
          <w:i/>
          <w:color w:val="222222"/>
          <w:sz w:val="24"/>
          <w:szCs w:val="24"/>
          <w:lang w:val="en-US" w:bidi="ar-SA"/>
        </w:rPr>
        <w:t>)</w:t>
      </w:r>
      <w:r w:rsidRPr="00F77254">
        <w:rPr>
          <w:rFonts w:ascii="Times New Roman" w:eastAsia="Times New Roman" w:hAnsi="Times New Roman" w:cs="Times New Roman"/>
          <w:color w:val="222222"/>
          <w:sz w:val="24"/>
          <w:szCs w:val="24"/>
          <w:lang w:val="en-US" w:bidi="ar-SA"/>
        </w:rPr>
        <w:t xml:space="preserve"> is the pollutant concentration at location </w:t>
      </w:r>
      <w:r w:rsidRPr="00F77254">
        <w:rPr>
          <w:rFonts w:ascii="Times New Roman" w:eastAsia="Times New Roman" w:hAnsi="Times New Roman" w:cs="Times New Roman"/>
          <w:i/>
          <w:color w:val="222222"/>
          <w:sz w:val="24"/>
          <w:szCs w:val="24"/>
          <w:lang w:val="en-US" w:bidi="ar-SA"/>
        </w:rPr>
        <w:t>x</w:t>
      </w:r>
      <w:r w:rsidRPr="00F77254">
        <w:rPr>
          <w:rFonts w:ascii="Times New Roman" w:eastAsia="Times New Roman" w:hAnsi="Times New Roman" w:cs="Times New Roman"/>
          <w:color w:val="222222"/>
          <w:sz w:val="24"/>
          <w:szCs w:val="24"/>
          <w:lang w:val="en-US" w:bidi="ar-SA"/>
        </w:rPr>
        <w:t xml:space="preserve"> and time </w:t>
      </w:r>
      <w:r w:rsidRPr="00F77254">
        <w:rPr>
          <w:rFonts w:ascii="Times New Roman" w:eastAsia="Times New Roman" w:hAnsi="Times New Roman" w:cs="Times New Roman"/>
          <w:i/>
          <w:color w:val="222222"/>
          <w:sz w:val="24"/>
          <w:szCs w:val="24"/>
          <w:lang w:val="en-US" w:bidi="ar-SA"/>
        </w:rPr>
        <w:t>t</w:t>
      </w:r>
      <w:r w:rsidRPr="00F77254">
        <w:rPr>
          <w:rFonts w:ascii="Times New Roman" w:eastAsia="Times New Roman" w:hAnsi="Times New Roman" w:cs="Times New Roman"/>
          <w:color w:val="222222"/>
          <w:sz w:val="24"/>
          <w:szCs w:val="24"/>
          <w:lang w:val="en-US" w:bidi="ar-SA"/>
        </w:rPr>
        <w:t>.</w:t>
      </w:r>
    </w:p>
    <w:p w:rsidR="00F77254" w:rsidRPr="00F77254" w:rsidRDefault="00F77254" w:rsidP="00F77254">
      <w:pPr>
        <w:numPr>
          <w:ilvl w:val="0"/>
          <w:numId w:val="6"/>
        </w:num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eastAsia="Times New Roman" w:hAnsi="Times New Roman" w:cs="Times New Roman"/>
          <w:i/>
          <w:color w:val="222222"/>
          <w:sz w:val="24"/>
          <w:szCs w:val="24"/>
          <w:lang w:val="en-US" w:bidi="ar-SA"/>
        </w:rPr>
        <w:t>U(x, t)</w:t>
      </w:r>
      <w:r w:rsidRPr="00F77254">
        <w:rPr>
          <w:rFonts w:ascii="Times New Roman" w:eastAsia="Times New Roman" w:hAnsi="Times New Roman" w:cs="Times New Roman"/>
          <w:color w:val="222222"/>
          <w:sz w:val="24"/>
          <w:szCs w:val="24"/>
          <w:lang w:val="en-US" w:bidi="ar-SA"/>
        </w:rPr>
        <w:t xml:space="preserve"> is the velocity of water flow.</w:t>
      </w:r>
    </w:p>
    <w:p w:rsidR="00F77254" w:rsidRDefault="00F77254" w:rsidP="00F77254">
      <w:pPr>
        <w:numPr>
          <w:ilvl w:val="0"/>
          <w:numId w:val="6"/>
        </w:num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eastAsia="Times New Roman" w:hAnsi="Times New Roman" w:cs="Times New Roman"/>
          <w:i/>
          <w:color w:val="222222"/>
          <w:sz w:val="24"/>
          <w:szCs w:val="24"/>
          <w:lang w:val="en-US" w:bidi="ar-SA"/>
        </w:rPr>
        <w:t>D</w:t>
      </w:r>
      <w:r w:rsidRPr="00F77254">
        <w:rPr>
          <w:rFonts w:ascii="Times New Roman" w:eastAsia="Times New Roman" w:hAnsi="Times New Roman" w:cs="Times New Roman"/>
          <w:color w:val="222222"/>
          <w:sz w:val="24"/>
          <w:szCs w:val="24"/>
          <w:lang w:val="en-US" w:bidi="ar-SA"/>
        </w:rPr>
        <w:t xml:space="preserve"> is the diffusion coefficient.</w:t>
      </w:r>
    </w:p>
    <w:p w:rsidR="00F77254" w:rsidRDefault="00F77254" w:rsidP="00F77254">
      <w:pPr>
        <w:numPr>
          <w:ilvl w:val="0"/>
          <w:numId w:val="6"/>
        </w:num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eastAsia="Times New Roman" w:hAnsi="Times New Roman" w:cs="Times New Roman"/>
          <w:i/>
          <w:color w:val="222222"/>
          <w:sz w:val="24"/>
          <w:szCs w:val="24"/>
          <w:lang w:val="en-US" w:bidi="ar-SA"/>
        </w:rPr>
        <w:t>R(C, t)</w:t>
      </w:r>
      <w:r w:rsidRPr="00F77254">
        <w:rPr>
          <w:rFonts w:ascii="Times New Roman" w:eastAsia="Times New Roman" w:hAnsi="Times New Roman" w:cs="Times New Roman"/>
          <w:color w:val="222222"/>
          <w:sz w:val="24"/>
          <w:szCs w:val="24"/>
          <w:lang w:val="en-US" w:bidi="ar-SA"/>
        </w:rPr>
        <w:t xml:space="preserve"> represents source/sink terms, including pollutant input and reaction kinetics.</w:t>
      </w:r>
    </w:p>
    <w:p w:rsidR="00E31C23" w:rsidRPr="00F77254" w:rsidRDefault="00092380" w:rsidP="00F77254">
      <w:p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hAnsi="Times New Roman" w:cs="Times New Roman"/>
          <w:sz w:val="24"/>
          <w:szCs w:val="24"/>
        </w:rPr>
        <w:t>This formulation represents the combined influence of advective transport by water flow and dispersive spreading due to diffusion</w:t>
      </w:r>
      <w:r w:rsidR="00E31C23" w:rsidRPr="00F77254">
        <w:rPr>
          <w:rFonts w:ascii="Times New Roman" w:eastAsia="Times New Roman" w:hAnsi="Times New Roman" w:cs="Times New Roman"/>
          <w:sz w:val="24"/>
          <w:szCs w:val="24"/>
          <w:lang w:eastAsia="en-IN" w:bidi="ar-SA"/>
        </w:rPr>
        <w:t>, and biochemical or physical reactions influencing pollutant concentrations.</w:t>
      </w:r>
    </w:p>
    <w:p w:rsidR="00E31C23" w:rsidRPr="00E31C23" w:rsidRDefault="00E31C23" w:rsidP="0031355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3.1.2 Assumptions and Simplifications</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To ensure computational feasibility while retaining ecological relevance, the following assumptions are adopted:</w:t>
      </w:r>
    </w:p>
    <w:p w:rsidR="00E31C23" w:rsidRPr="00E31C23" w:rsidRDefault="00E31C23" w:rsidP="0031355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water body is vertically well-mixed, allowing for a one-dimensional spatial representation.</w:t>
      </w:r>
    </w:p>
    <w:p w:rsidR="00E31C23" w:rsidRPr="00E31C23" w:rsidRDefault="00E31C23" w:rsidP="0031355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Flow velocity is assumed to be steady or slowly varying over time.</w:t>
      </w:r>
    </w:p>
    <w:p w:rsidR="00E31C23" w:rsidRPr="00E31C23" w:rsidRDefault="00E31C23" w:rsidP="0031355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lastRenderedPageBreak/>
        <w:t>Pollutant decay follows first-order kinetics.</w:t>
      </w:r>
    </w:p>
    <w:p w:rsidR="00E31C23" w:rsidRPr="00E31C23" w:rsidRDefault="006447F7" w:rsidP="0031355A">
      <w:pPr>
        <w:spacing w:after="0" w:line="360" w:lineRule="auto"/>
        <w:jc w:val="both"/>
        <w:rPr>
          <w:rFonts w:ascii="Times New Roman" w:eastAsia="Times New Roman" w:hAnsi="Times New Roman" w:cs="Times New Roman"/>
          <w:sz w:val="24"/>
          <w:szCs w:val="24"/>
          <w:lang w:eastAsia="en-IN" w:bidi="ar-SA"/>
        </w:rPr>
      </w:pPr>
      <w:r w:rsidRPr="0031355A">
        <w:rPr>
          <w:rFonts w:ascii="Times New Roman" w:hAnsi="Times New Roman" w:cs="Times New Roman"/>
          <w:sz w:val="24"/>
          <w:szCs w:val="24"/>
        </w:rPr>
        <w:t>Such assumptions are commonly adopted in river and lake modeling studies to balance realism with computational feasibility.</w:t>
      </w:r>
    </w:p>
    <w:p w:rsidR="00E31C23" w:rsidRPr="00E31C23" w:rsidRDefault="00E31C23" w:rsidP="0031355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3.2 Model Parameters</w:t>
      </w:r>
    </w:p>
    <w:p w:rsidR="00E31C23" w:rsidRPr="00E31C23" w:rsidRDefault="00E31C23" w:rsidP="0031355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3.2.1 Pollution Sources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Pollutant inputs originate from both point sources, such as industrial discharges and wastewater treatment plants, and non-point sources, including agricultural runoff and urban </w:t>
      </w:r>
      <w:r w:rsidR="00E62BC8" w:rsidRPr="0031355A">
        <w:rPr>
          <w:rFonts w:ascii="Times New Roman" w:eastAsia="Times New Roman" w:hAnsi="Times New Roman" w:cs="Times New Roman"/>
          <w:sz w:val="24"/>
          <w:szCs w:val="24"/>
          <w:lang w:eastAsia="en-IN" w:bidi="ar-SA"/>
        </w:rPr>
        <w:t>storm water</w:t>
      </w:r>
      <w:r w:rsidRPr="00E31C23">
        <w:rPr>
          <w:rFonts w:ascii="Times New Roman" w:eastAsia="Times New Roman" w:hAnsi="Times New Roman" w:cs="Times New Roman"/>
          <w:sz w:val="24"/>
          <w:szCs w:val="24"/>
          <w:lang w:eastAsia="en-IN" w:bidi="ar-SA"/>
        </w:rPr>
        <w:t>. These inputs are incorporated into the model through boundary conditions or source terms in the governing equation.</w:t>
      </w:r>
    </w:p>
    <w:p w:rsidR="00E31C23" w:rsidRPr="00E31C23" w:rsidRDefault="00E31C23" w:rsidP="00EB776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3.2.2 Pollutant Dispersion</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Dispersion processes are represented by the diffusion coefficient DDD, which accounts for molecular diffusion and turbulent mixing. The magnitude of DDD varies with hydrodynamic conditions, such as flow velocity and channel morphology, influencing the spatial distribution of pollutants.</w:t>
      </w:r>
    </w:p>
    <w:p w:rsidR="00E31C23" w:rsidRPr="00E31C23" w:rsidRDefault="00E31C23" w:rsidP="00EB776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3.2.3 Decay and Transformation</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Pollutant degradation and transformation processes, including biodegradation and chemical reactions, are modeled using a first-order decay term:</w:t>
      </w:r>
    </w:p>
    <w:p w:rsidR="00C11717" w:rsidRPr="00C11717" w:rsidRDefault="00C11717" w:rsidP="00C11717">
      <w:pPr>
        <w:spacing w:after="0" w:line="360" w:lineRule="auto"/>
        <w:ind w:left="720"/>
        <w:jc w:val="center"/>
        <w:rPr>
          <w:rFonts w:ascii="Times New Roman" w:eastAsia="Times New Roman" w:hAnsi="Times New Roman" w:cs="Times New Roman"/>
          <w:i/>
          <w:color w:val="222222"/>
          <w:sz w:val="24"/>
          <w:szCs w:val="24"/>
          <w:lang w:val="en-US" w:bidi="ar-SA"/>
        </w:rPr>
      </w:pPr>
      <w:r w:rsidRPr="00C11717">
        <w:rPr>
          <w:rFonts w:ascii="Times New Roman" w:eastAsia="Times New Roman" w:hAnsi="Times New Roman" w:cs="Times New Roman"/>
          <w:i/>
          <w:color w:val="222222"/>
          <w:sz w:val="24"/>
          <w:szCs w:val="24"/>
          <w:lang w:val="en-US" w:bidi="ar-SA"/>
        </w:rPr>
        <w:t>R(C, t) = -</w:t>
      </w:r>
      <w:proofErr w:type="spellStart"/>
      <w:r w:rsidRPr="00C11717">
        <w:rPr>
          <w:rFonts w:ascii="Times New Roman" w:eastAsia="Times New Roman" w:hAnsi="Times New Roman" w:cs="Times New Roman"/>
          <w:i/>
          <w:color w:val="222222"/>
          <w:sz w:val="24"/>
          <w:szCs w:val="24"/>
          <w:lang w:val="en-US" w:bidi="ar-SA"/>
        </w:rPr>
        <w:t>kC</w:t>
      </w:r>
      <w:proofErr w:type="spellEnd"/>
      <w:r w:rsidRPr="00C11717">
        <w:rPr>
          <w:rFonts w:ascii="Times New Roman" w:eastAsia="Times New Roman" w:hAnsi="Times New Roman" w:cs="Times New Roman"/>
          <w:i/>
          <w:color w:val="222222"/>
          <w:sz w:val="24"/>
          <w:szCs w:val="24"/>
          <w:lang w:val="en-US" w:bidi="ar-SA"/>
        </w:rPr>
        <w:t xml:space="preserve"> (x, t)</w:t>
      </w:r>
    </w:p>
    <w:p w:rsidR="00C11717" w:rsidRDefault="00C11717" w:rsidP="00C11717">
      <w:pPr>
        <w:spacing w:after="0" w:line="360" w:lineRule="auto"/>
        <w:jc w:val="both"/>
        <w:rPr>
          <w:rFonts w:ascii="Times New Roman" w:eastAsia="Times New Roman" w:hAnsi="Times New Roman" w:cs="Times New Roman"/>
          <w:color w:val="222222"/>
          <w:sz w:val="24"/>
          <w:szCs w:val="24"/>
          <w:lang w:val="en-US" w:bidi="ar-SA"/>
        </w:rPr>
      </w:pPr>
      <w:r w:rsidRPr="00C11717">
        <w:rPr>
          <w:rFonts w:ascii="Times New Roman" w:eastAsia="Times New Roman" w:hAnsi="Times New Roman" w:cs="Times New Roman"/>
          <w:color w:val="222222"/>
          <w:sz w:val="24"/>
          <w:szCs w:val="24"/>
          <w:lang w:val="en-US" w:bidi="ar-SA"/>
        </w:rPr>
        <w:t xml:space="preserve">Where </w:t>
      </w:r>
      <w:r w:rsidRPr="00C11717">
        <w:rPr>
          <w:rFonts w:ascii="Times New Roman" w:eastAsia="Times New Roman" w:hAnsi="Times New Roman" w:cs="Times New Roman"/>
          <w:i/>
          <w:color w:val="222222"/>
          <w:sz w:val="24"/>
          <w:szCs w:val="24"/>
          <w:lang w:val="en-US" w:bidi="ar-SA"/>
        </w:rPr>
        <w:t>k</w:t>
      </w:r>
      <w:r w:rsidRPr="00C11717">
        <w:rPr>
          <w:rFonts w:ascii="Times New Roman" w:eastAsia="Times New Roman" w:hAnsi="Times New Roman" w:cs="Times New Roman"/>
          <w:color w:val="222222"/>
          <w:sz w:val="24"/>
          <w:szCs w:val="24"/>
          <w:lang w:val="en-US" w:bidi="ar-SA"/>
        </w:rPr>
        <w:t xml:space="preserve"> is the decay rate constant.</w:t>
      </w:r>
      <w:r>
        <w:rPr>
          <w:rFonts w:ascii="Times New Roman" w:eastAsia="Times New Roman" w:hAnsi="Times New Roman" w:cs="Times New Roman"/>
          <w:color w:val="222222"/>
          <w:sz w:val="24"/>
          <w:szCs w:val="24"/>
          <w:lang w:val="en-US" w:bidi="ar-SA"/>
        </w:rPr>
        <w:t xml:space="preserve"> </w:t>
      </w:r>
    </w:p>
    <w:p w:rsidR="00E31C23" w:rsidRPr="00C11717" w:rsidRDefault="00E31C23" w:rsidP="00C11717">
      <w:pPr>
        <w:spacing w:after="0" w:line="360" w:lineRule="auto"/>
        <w:jc w:val="both"/>
        <w:rPr>
          <w:rFonts w:ascii="Times New Roman" w:eastAsia="Times New Roman" w:hAnsi="Times New Roman" w:cs="Times New Roman"/>
          <w:color w:val="222222"/>
          <w:sz w:val="24"/>
          <w:szCs w:val="24"/>
          <w:lang w:val="en-US" w:bidi="ar-SA"/>
        </w:rPr>
      </w:pPr>
      <w:r w:rsidRPr="00E31C23">
        <w:rPr>
          <w:rFonts w:ascii="Times New Roman" w:eastAsia="Times New Roman" w:hAnsi="Times New Roman" w:cs="Times New Roman"/>
          <w:sz w:val="24"/>
          <w:szCs w:val="24"/>
          <w:lang w:eastAsia="en-IN" w:bidi="ar-SA"/>
        </w:rPr>
        <w:t>This formulation allows the model to simulate reductions in pollutant concentrations over time due to natural attenuation processes.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3.3 Numerical Solution Approach</w:t>
      </w:r>
    </w:p>
    <w:p w:rsid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governing partial differential equations are solved numerically using finite difference or finite element methods</w:t>
      </w:r>
      <w:r w:rsidR="00E81A9A">
        <w:rPr>
          <w:rFonts w:ascii="Times New Roman" w:eastAsia="Times New Roman" w:hAnsi="Times New Roman" w:cs="Times New Roman"/>
          <w:sz w:val="24"/>
          <w:szCs w:val="24"/>
          <w:lang w:eastAsia="en-IN" w:bidi="ar-SA"/>
        </w:rPr>
        <w:t xml:space="preserve"> (Wang &amp; Zhang, 2018)</w:t>
      </w:r>
      <w:r w:rsidRPr="00E31C23">
        <w:rPr>
          <w:rFonts w:ascii="Times New Roman" w:eastAsia="Times New Roman" w:hAnsi="Times New Roman" w:cs="Times New Roman"/>
          <w:sz w:val="24"/>
          <w:szCs w:val="24"/>
          <w:lang w:eastAsia="en-IN" w:bidi="ar-SA"/>
        </w:rPr>
        <w:t>. Temporal integration can be achieved through the Crank–Nicolson scheme, which provides a balance between numerical stability and accuracy. Spatial and temporal discretization enables the simulation of pollutant concentration profiles under various environmental scenarios.</w:t>
      </w:r>
    </w:p>
    <w:p w:rsidR="00B37F09" w:rsidRDefault="00B37F09" w:rsidP="00EB7764">
      <w:pPr>
        <w:spacing w:before="100" w:beforeAutospacing="1" w:after="100" w:afterAutospacing="1" w:line="360" w:lineRule="auto"/>
        <w:jc w:val="both"/>
        <w:rPr>
          <w:rFonts w:ascii="Times New Roman" w:hAnsi="Times New Roman" w:cs="Times New Roman"/>
          <w:sz w:val="24"/>
          <w:szCs w:val="24"/>
        </w:rPr>
      </w:pPr>
      <w:r w:rsidRPr="00B37F09">
        <w:rPr>
          <w:rFonts w:ascii="Times New Roman" w:hAnsi="Times New Roman" w:cs="Times New Roman"/>
          <w:sz w:val="24"/>
          <w:szCs w:val="24"/>
        </w:rPr>
        <w:lastRenderedPageBreak/>
        <w:t>The coupled modelling framework developed in this study allows simultaneous representation of pollutant transport processes and biological population responses within a unified analytical structure. Such integration is particularly important because ecological impacts are rarely determined solely by contaminant concentration; instead, they depend on exposure duration, environmental variability, and species-specific sensitivity. The present formulation enables the examination of spatial heterogeneity in pollutant distribution while accounting for nonlinear biological responses associated with toxicity effects. Consequently, the model provides a flexible platform for evaluating multiple pollution scenarios and assessing their potential ecological implications under realistic environmental conditions.</w:t>
      </w:r>
    </w:p>
    <w:p w:rsidR="00BF0907" w:rsidRPr="00BF0907" w:rsidRDefault="00BF0907" w:rsidP="00BF0907">
      <w:pPr>
        <w:spacing w:before="100" w:beforeAutospacing="1" w:after="100" w:afterAutospacing="1"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b/>
          <w:bCs/>
          <w:sz w:val="24"/>
          <w:szCs w:val="24"/>
          <w:lang w:val="en-US" w:bidi="ar-SA"/>
        </w:rPr>
        <w:t>Table 1.</w:t>
      </w:r>
      <w:r w:rsidRPr="00BF0907">
        <w:rPr>
          <w:rFonts w:ascii="Times New Roman" w:eastAsia="Times New Roman" w:hAnsi="Times New Roman" w:cs="Times New Roman"/>
          <w:sz w:val="24"/>
          <w:szCs w:val="24"/>
          <w:lang w:val="en-US" w:bidi="ar-SA"/>
        </w:rPr>
        <w:t xml:space="preserve"> Description of parameters used in the coupled pollution–population dynamics model.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1956"/>
        <w:gridCol w:w="1536"/>
        <w:gridCol w:w="4456"/>
      </w:tblGrid>
      <w:tr w:rsidR="00BF0907" w:rsidRPr="00BF0907" w:rsidTr="00BF0907">
        <w:trPr>
          <w:tblHeader/>
          <w:tblCellSpacing w:w="15" w:type="dxa"/>
        </w:trPr>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b/>
                <w:bCs/>
                <w:sz w:val="24"/>
                <w:szCs w:val="24"/>
                <w:lang w:val="en-US" w:bidi="ar-SA"/>
              </w:rPr>
            </w:pPr>
            <w:r w:rsidRPr="00BF0907">
              <w:rPr>
                <w:rFonts w:ascii="Times New Roman" w:eastAsia="Times New Roman" w:hAnsi="Times New Roman" w:cs="Times New Roman"/>
                <w:b/>
                <w:bCs/>
                <w:sz w:val="24"/>
                <w:szCs w:val="24"/>
                <w:lang w:val="en-US" w:bidi="ar-SA"/>
              </w:rPr>
              <w:t>Parameter</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b/>
                <w:bCs/>
                <w:sz w:val="24"/>
                <w:szCs w:val="24"/>
                <w:lang w:val="en-US" w:bidi="ar-SA"/>
              </w:rPr>
            </w:pPr>
            <w:r w:rsidRPr="00BF0907">
              <w:rPr>
                <w:rFonts w:ascii="Times New Roman" w:eastAsia="Times New Roman" w:hAnsi="Times New Roman" w:cs="Times New Roman"/>
                <w:b/>
                <w:bCs/>
                <w:sz w:val="24"/>
                <w:szCs w:val="24"/>
                <w:lang w:val="en-US" w:bidi="ar-SA"/>
              </w:rPr>
              <w:t>Description</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b/>
                <w:bCs/>
                <w:sz w:val="24"/>
                <w:szCs w:val="24"/>
                <w:lang w:val="en-US" w:bidi="ar-SA"/>
              </w:rPr>
            </w:pPr>
            <w:r w:rsidRPr="00BF0907">
              <w:rPr>
                <w:rFonts w:ascii="Times New Roman" w:eastAsia="Times New Roman" w:hAnsi="Times New Roman" w:cs="Times New Roman"/>
                <w:b/>
                <w:bCs/>
                <w:sz w:val="24"/>
                <w:szCs w:val="24"/>
                <w:lang w:val="en-US" w:bidi="ar-SA"/>
              </w:rPr>
              <w:t>Units</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b/>
                <w:bCs/>
                <w:sz w:val="24"/>
                <w:szCs w:val="24"/>
                <w:lang w:val="en-US" w:bidi="ar-SA"/>
              </w:rPr>
            </w:pPr>
            <w:r w:rsidRPr="00BF0907">
              <w:rPr>
                <w:rFonts w:ascii="Times New Roman" w:eastAsia="Times New Roman" w:hAnsi="Times New Roman" w:cs="Times New Roman"/>
                <w:b/>
                <w:bCs/>
                <w:sz w:val="24"/>
                <w:szCs w:val="24"/>
                <w:lang w:val="en-US" w:bidi="ar-SA"/>
              </w:rPr>
              <w:t>Ecological interpretation</w:t>
            </w:r>
          </w:p>
        </w:tc>
      </w:tr>
      <w:tr w:rsidR="00BF0907" w:rsidRPr="00BF0907" w:rsidTr="00BF0907">
        <w:trPr>
          <w:tblCellSpacing w:w="15" w:type="dxa"/>
        </w:trPr>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DDD</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Diffusion coefficient</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m² s</w:t>
            </w:r>
            <w:r w:rsidRPr="00BF0907">
              <w:rPr>
                <w:rFonts w:ascii="Cambria Math" w:eastAsia="Times New Roman" w:hAnsi="Cambria Math" w:cs="Cambria Math"/>
                <w:sz w:val="24"/>
                <w:szCs w:val="24"/>
                <w:lang w:val="en-US" w:bidi="ar-SA"/>
              </w:rPr>
              <w:t>⁻</w:t>
            </w:r>
            <w:r w:rsidRPr="00BF0907">
              <w:rPr>
                <w:rFonts w:ascii="Times New Roman" w:eastAsia="Times New Roman" w:hAnsi="Times New Roman" w:cs="Times New Roman"/>
                <w:sz w:val="24"/>
                <w:szCs w:val="24"/>
                <w:lang w:val="en-US" w:bidi="ar-SA"/>
              </w:rPr>
              <w:t>¹</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Represents spatial spreading of pollutants in water</w:t>
            </w:r>
          </w:p>
        </w:tc>
      </w:tr>
      <w:tr w:rsidR="00BF0907" w:rsidRPr="00BF0907" w:rsidTr="00BF0907">
        <w:trPr>
          <w:tblCellSpacing w:w="15" w:type="dxa"/>
        </w:trPr>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proofErr w:type="spellStart"/>
            <w:r w:rsidRPr="00BF0907">
              <w:rPr>
                <w:rFonts w:ascii="Times New Roman" w:eastAsia="Times New Roman" w:hAnsi="Times New Roman" w:cs="Times New Roman"/>
                <w:sz w:val="24"/>
                <w:szCs w:val="24"/>
                <w:lang w:val="en-US" w:bidi="ar-SA"/>
              </w:rPr>
              <w:t>vvv</w:t>
            </w:r>
            <w:proofErr w:type="spellEnd"/>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Flow velocity</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m s</w:t>
            </w:r>
            <w:r w:rsidRPr="00BF0907">
              <w:rPr>
                <w:rFonts w:ascii="Cambria Math" w:eastAsia="Times New Roman" w:hAnsi="Cambria Math" w:cs="Cambria Math"/>
                <w:sz w:val="24"/>
                <w:szCs w:val="24"/>
                <w:lang w:val="en-US" w:bidi="ar-SA"/>
              </w:rPr>
              <w:t>⁻</w:t>
            </w:r>
            <w:r w:rsidRPr="00BF0907">
              <w:rPr>
                <w:rFonts w:ascii="Times New Roman" w:eastAsia="Times New Roman" w:hAnsi="Times New Roman" w:cs="Times New Roman"/>
                <w:sz w:val="24"/>
                <w:szCs w:val="24"/>
                <w:lang w:val="en-US" w:bidi="ar-SA"/>
              </w:rPr>
              <w:t>¹</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Indicates advective transport of contaminants</w:t>
            </w:r>
          </w:p>
        </w:tc>
      </w:tr>
      <w:tr w:rsidR="00BF0907" w:rsidRPr="00BF0907" w:rsidTr="00BF0907">
        <w:trPr>
          <w:tblCellSpacing w:w="15" w:type="dxa"/>
        </w:trPr>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proofErr w:type="spellStart"/>
            <w:r w:rsidRPr="00BF0907">
              <w:rPr>
                <w:rFonts w:ascii="Times New Roman" w:eastAsia="Times New Roman" w:hAnsi="Times New Roman" w:cs="Times New Roman"/>
                <w:sz w:val="24"/>
                <w:szCs w:val="24"/>
                <w:lang w:val="en-US" w:bidi="ar-SA"/>
              </w:rPr>
              <w:t>rrr</w:t>
            </w:r>
            <w:proofErr w:type="spellEnd"/>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Intrinsic growth rate</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time</w:t>
            </w:r>
            <w:r w:rsidRPr="00BF0907">
              <w:rPr>
                <w:rFonts w:ascii="Cambria Math" w:eastAsia="Times New Roman" w:hAnsi="Cambria Math" w:cs="Cambria Math"/>
                <w:sz w:val="24"/>
                <w:szCs w:val="24"/>
                <w:lang w:val="en-US" w:bidi="ar-SA"/>
              </w:rPr>
              <w:t>⁻</w:t>
            </w:r>
            <w:r w:rsidRPr="00BF0907">
              <w:rPr>
                <w:rFonts w:ascii="Times New Roman" w:eastAsia="Times New Roman" w:hAnsi="Times New Roman" w:cs="Times New Roman"/>
                <w:sz w:val="24"/>
                <w:szCs w:val="24"/>
                <w:lang w:val="en-US" w:bidi="ar-SA"/>
              </w:rPr>
              <w:t>¹</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Natural growth rate of aquatic species</w:t>
            </w:r>
          </w:p>
        </w:tc>
      </w:tr>
      <w:tr w:rsidR="00BF0907" w:rsidRPr="00BF0907" w:rsidTr="00BF0907">
        <w:trPr>
          <w:tblCellSpacing w:w="15" w:type="dxa"/>
        </w:trPr>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KKK</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Carrying capacity</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individuals</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Maximum sustainable population size</w:t>
            </w:r>
          </w:p>
        </w:tc>
      </w:tr>
      <w:tr w:rsidR="00BF0907" w:rsidRPr="00BF0907" w:rsidTr="00BF0907">
        <w:trPr>
          <w:tblCellSpacing w:w="15" w:type="dxa"/>
        </w:trPr>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α\alphaα</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Toxicity coefficient</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concentration</w:t>
            </w:r>
            <w:r w:rsidRPr="00BF0907">
              <w:rPr>
                <w:rFonts w:ascii="Cambria Math" w:eastAsia="Times New Roman" w:hAnsi="Cambria Math" w:cs="Cambria Math"/>
                <w:sz w:val="24"/>
                <w:szCs w:val="24"/>
                <w:lang w:val="en-US" w:bidi="ar-SA"/>
              </w:rPr>
              <w:t>⁻</w:t>
            </w:r>
            <w:r w:rsidRPr="00BF0907">
              <w:rPr>
                <w:rFonts w:ascii="Times New Roman" w:eastAsia="Times New Roman" w:hAnsi="Times New Roman" w:cs="Times New Roman"/>
                <w:sz w:val="24"/>
                <w:szCs w:val="24"/>
                <w:lang w:val="en-US" w:bidi="ar-SA"/>
              </w:rPr>
              <w:t>¹</w:t>
            </w:r>
          </w:p>
        </w:tc>
        <w:tc>
          <w:tcPr>
            <w:tcW w:w="0" w:type="auto"/>
            <w:vAlign w:val="center"/>
            <w:hideMark/>
          </w:tcPr>
          <w:p w:rsidR="00BF0907" w:rsidRPr="00BF0907" w:rsidRDefault="00BF0907" w:rsidP="00BF0907">
            <w:pPr>
              <w:spacing w:after="0" w:line="240" w:lineRule="auto"/>
              <w:jc w:val="center"/>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Strength of pollutant-induced mortality</w:t>
            </w:r>
          </w:p>
        </w:tc>
      </w:tr>
    </w:tbl>
    <w:p w:rsidR="00BF0907" w:rsidRPr="00BF0907" w:rsidRDefault="00BF0907" w:rsidP="00BF0907">
      <w:pPr>
        <w:spacing w:before="100" w:beforeAutospacing="1" w:after="100" w:afterAutospacing="1" w:line="240" w:lineRule="auto"/>
        <w:rPr>
          <w:rFonts w:ascii="Times New Roman" w:eastAsia="Times New Roman" w:hAnsi="Times New Roman" w:cs="Times New Roman"/>
          <w:sz w:val="24"/>
          <w:szCs w:val="24"/>
          <w:lang w:val="en-US" w:bidi="ar-SA"/>
        </w:rPr>
      </w:pPr>
      <w:r w:rsidRPr="00BF0907">
        <w:rPr>
          <w:rFonts w:ascii="Times New Roman" w:eastAsia="Times New Roman" w:hAnsi="Times New Roman" w:cs="Times New Roman"/>
          <w:sz w:val="24"/>
          <w:szCs w:val="24"/>
          <w:lang w:val="en-US" w:bidi="ar-SA"/>
        </w:rPr>
        <w:t>Table 1 summarizes the key physical and biological parameters used in the model and their ecological significance.</w:t>
      </w:r>
    </w:p>
    <w:p w:rsidR="00E31C23" w:rsidRPr="00E31C23" w:rsidRDefault="00E31C23" w:rsidP="00EB7764">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t>4. Impact of Water Pollution on Aquatic Species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4.1 Biological Modeling Framework</w:t>
      </w:r>
    </w:p>
    <w:p w:rsidR="00E31C23" w:rsidRPr="00E31C23" w:rsidRDefault="00E31C23" w:rsidP="00EB776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4.1.1 Species Population Dynamics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To assess the ecological consequences of water pollution, the pollutant transport model is coupled with biological population dynamics. The population size of an aquatic species, denoted by </w:t>
      </w:r>
      <w:r w:rsidR="00214FD6" w:rsidRPr="00214FD6">
        <w:rPr>
          <w:rFonts w:ascii="Times New Roman" w:eastAsia="Times New Roman" w:hAnsi="Times New Roman" w:cs="Times New Roman"/>
          <w:i/>
          <w:color w:val="222222"/>
          <w:sz w:val="24"/>
          <w:szCs w:val="24"/>
          <w:lang w:val="en-US" w:bidi="ar-SA"/>
        </w:rPr>
        <w:t>N(t)</w:t>
      </w:r>
      <w:r w:rsidR="00214FD6" w:rsidRPr="00214FD6">
        <w:rPr>
          <w:rFonts w:ascii="Times New Roman" w:eastAsia="Times New Roman" w:hAnsi="Times New Roman" w:cs="Times New Roman"/>
          <w:color w:val="222222"/>
          <w:sz w:val="24"/>
          <w:szCs w:val="24"/>
          <w:lang w:val="en-US" w:bidi="ar-SA"/>
        </w:rPr>
        <w:t xml:space="preserve"> </w:t>
      </w:r>
      <w:r w:rsidRPr="00E31C23">
        <w:rPr>
          <w:rFonts w:ascii="Times New Roman" w:eastAsia="Times New Roman" w:hAnsi="Times New Roman" w:cs="Times New Roman"/>
          <w:sz w:val="24"/>
          <w:szCs w:val="24"/>
          <w:lang w:eastAsia="en-IN" w:bidi="ar-SA"/>
        </w:rPr>
        <w:t>is represented using a logistic growth model modified to account for pollution-induced mortality:</w:t>
      </w:r>
    </w:p>
    <w:p w:rsidR="00690516" w:rsidRPr="00690516" w:rsidRDefault="00801109" w:rsidP="00690516">
      <w:pPr>
        <w:spacing w:after="0" w:line="360" w:lineRule="auto"/>
        <w:ind w:firstLine="720"/>
        <w:jc w:val="both"/>
        <w:rPr>
          <w:rFonts w:ascii="Times New Roman" w:eastAsia="Times New Roman" w:hAnsi="Times New Roman" w:cs="Times New Roman"/>
          <w:color w:val="222222"/>
          <w:sz w:val="24"/>
          <w:szCs w:val="24"/>
          <w:lang w:val="en-US" w:bidi="ar-SA"/>
        </w:rPr>
      </w:pPr>
      <m:oMathPara>
        <m:oMath>
          <m:f>
            <m:fPr>
              <m:ctrlPr>
                <w:rPr>
                  <w:rFonts w:ascii="Cambria Math" w:eastAsia="Times New Roman" w:hAnsi="Cambria Math" w:cs="Times New Roman"/>
                  <w:i/>
                  <w:color w:val="222222"/>
                  <w:sz w:val="24"/>
                  <w:szCs w:val="24"/>
                  <w:lang w:val="en-US" w:bidi="ar-SA"/>
                </w:rPr>
              </m:ctrlPr>
            </m:fPr>
            <m:num>
              <m:r>
                <w:rPr>
                  <w:rFonts w:ascii="Cambria Math" w:eastAsia="Times New Roman" w:hAnsi="Cambria Math" w:cs="Times New Roman"/>
                  <w:color w:val="222222"/>
                  <w:sz w:val="24"/>
                  <w:szCs w:val="24"/>
                  <w:lang w:val="en-US" w:bidi="ar-SA"/>
                </w:rPr>
                <m:t>dN</m:t>
              </m:r>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t</m:t>
              </m:r>
              <m:r>
                <w:rPr>
                  <w:rFonts w:ascii="Cambria Math" w:eastAsia="Times New Roman" w:hAnsi="Cambria Math" w:cs="Times New Roman"/>
                  <w:color w:val="222222"/>
                  <w:sz w:val="24"/>
                  <w:szCs w:val="24"/>
                  <w:lang w:val="en-US" w:bidi="ar-SA"/>
                </w:rPr>
                <m:t>)</m:t>
              </m:r>
            </m:num>
            <m:den>
              <m:r>
                <w:rPr>
                  <w:rFonts w:ascii="Cambria Math" w:eastAsia="Times New Roman" w:hAnsi="Cambria Math" w:cs="Times New Roman"/>
                  <w:color w:val="222222"/>
                  <w:sz w:val="24"/>
                  <w:szCs w:val="24"/>
                  <w:lang w:val="en-US" w:bidi="ar-SA"/>
                </w:rPr>
                <m:t>dt</m:t>
              </m:r>
            </m:den>
          </m:f>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rN</m:t>
          </m:r>
          <m:d>
            <m:dPr>
              <m:ctrlPr>
                <w:rPr>
                  <w:rFonts w:ascii="Cambria Math" w:eastAsia="Times New Roman" w:hAnsi="Cambria Math" w:cs="Times New Roman"/>
                  <w:i/>
                  <w:color w:val="222222"/>
                  <w:sz w:val="24"/>
                  <w:szCs w:val="24"/>
                  <w:lang w:val="en-US" w:bidi="ar-SA"/>
                </w:rPr>
              </m:ctrlPr>
            </m:dPr>
            <m:e>
              <m:r>
                <w:rPr>
                  <w:rFonts w:ascii="Cambria Math" w:eastAsia="Times New Roman" w:hAnsi="Cambria Math" w:cs="Times New Roman"/>
                  <w:color w:val="222222"/>
                  <w:sz w:val="24"/>
                  <w:szCs w:val="24"/>
                  <w:lang w:val="en-US" w:bidi="ar-SA"/>
                </w:rPr>
                <m:t>t</m:t>
              </m:r>
            </m:e>
          </m:d>
          <m:d>
            <m:dPr>
              <m:ctrlPr>
                <w:rPr>
                  <w:rFonts w:ascii="Cambria Math" w:eastAsia="Times New Roman" w:hAnsi="Cambria Math" w:cs="Times New Roman"/>
                  <w:i/>
                  <w:color w:val="222222"/>
                  <w:sz w:val="24"/>
                  <w:szCs w:val="24"/>
                  <w:lang w:val="en-US" w:bidi="ar-SA"/>
                </w:rPr>
              </m:ctrlPr>
            </m:dPr>
            <m:e>
              <m:r>
                <w:rPr>
                  <w:rFonts w:ascii="Cambria Math" w:eastAsia="Times New Roman" w:hAnsi="Cambria Math" w:cs="Times New Roman"/>
                  <w:color w:val="222222"/>
                  <w:sz w:val="24"/>
                  <w:szCs w:val="24"/>
                  <w:lang w:val="en-US" w:bidi="ar-SA"/>
                </w:rPr>
                <m:t>1-</m:t>
              </m:r>
              <m:f>
                <m:fPr>
                  <m:ctrlPr>
                    <w:rPr>
                      <w:rFonts w:ascii="Cambria Math" w:eastAsia="Times New Roman" w:hAnsi="Cambria Math" w:cs="Times New Roman"/>
                      <w:i/>
                      <w:color w:val="222222"/>
                      <w:sz w:val="24"/>
                      <w:szCs w:val="24"/>
                      <w:lang w:val="en-US" w:bidi="ar-SA"/>
                    </w:rPr>
                  </m:ctrlPr>
                </m:fPr>
                <m:num>
                  <m:r>
                    <w:rPr>
                      <w:rFonts w:ascii="Cambria Math" w:eastAsia="Times New Roman" w:hAnsi="Cambria Math" w:cs="Times New Roman"/>
                      <w:color w:val="222222"/>
                      <w:sz w:val="24"/>
                      <w:szCs w:val="24"/>
                      <w:lang w:val="en-US" w:bidi="ar-SA"/>
                    </w:rPr>
                    <m:t>N</m:t>
                  </m:r>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t</m:t>
                  </m:r>
                  <m:r>
                    <w:rPr>
                      <w:rFonts w:ascii="Cambria Math" w:eastAsia="Times New Roman" w:hAnsi="Cambria Math" w:cs="Times New Roman"/>
                      <w:color w:val="222222"/>
                      <w:sz w:val="24"/>
                      <w:szCs w:val="24"/>
                      <w:lang w:val="en-US" w:bidi="ar-SA"/>
                    </w:rPr>
                    <m:t>)</m:t>
                  </m:r>
                </m:num>
                <m:den>
                  <m:r>
                    <w:rPr>
                      <w:rFonts w:ascii="Cambria Math" w:eastAsia="Times New Roman" w:hAnsi="Cambria Math" w:cs="Times New Roman"/>
                      <w:color w:val="222222"/>
                      <w:sz w:val="24"/>
                      <w:szCs w:val="24"/>
                      <w:lang w:val="en-US" w:bidi="ar-SA"/>
                    </w:rPr>
                    <m:t>K</m:t>
                  </m:r>
                </m:den>
              </m:f>
            </m:e>
          </m:d>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dN</m:t>
          </m:r>
          <m:r>
            <w:rPr>
              <w:rFonts w:ascii="Cambria Math" w:eastAsia="Times New Roman" w:hAnsi="Cambria Math" w:cs="Times New Roman"/>
              <w:color w:val="222222"/>
              <w:sz w:val="24"/>
              <w:szCs w:val="24"/>
              <w:lang w:val="en-US" w:bidi="ar-SA"/>
            </w:rPr>
            <m:t>(</m:t>
          </m:r>
          <m:r>
            <w:rPr>
              <w:rFonts w:ascii="Cambria Math" w:eastAsia="Times New Roman" w:hAnsi="Cambria Math" w:cs="Times New Roman"/>
              <w:color w:val="222222"/>
              <w:sz w:val="24"/>
              <w:szCs w:val="24"/>
              <w:lang w:val="en-US" w:bidi="ar-SA"/>
            </w:rPr>
            <m:t>t</m:t>
          </m:r>
          <m:r>
            <w:rPr>
              <w:rFonts w:ascii="Cambria Math" w:eastAsia="Times New Roman" w:hAnsi="Cambria Math" w:cs="Times New Roman"/>
              <w:color w:val="222222"/>
              <w:sz w:val="24"/>
              <w:szCs w:val="24"/>
              <w:lang w:val="en-US" w:bidi="ar-SA"/>
            </w:rPr>
            <m:t>)</m:t>
          </m:r>
        </m:oMath>
      </m:oMathPara>
    </w:p>
    <w:p w:rsidR="00D41C81" w:rsidRPr="00D41C81" w:rsidRDefault="00D41C81" w:rsidP="00D41C81">
      <w:pPr>
        <w:spacing w:after="0" w:line="360" w:lineRule="auto"/>
        <w:jc w:val="both"/>
        <w:rPr>
          <w:rFonts w:ascii="Times New Roman" w:eastAsia="Times New Roman" w:hAnsi="Times New Roman" w:cs="Times New Roman"/>
          <w:color w:val="222222"/>
          <w:sz w:val="24"/>
          <w:szCs w:val="24"/>
          <w:lang w:val="en-US" w:bidi="ar-SA"/>
        </w:rPr>
      </w:pPr>
      <w:r w:rsidRPr="00D41C81">
        <w:rPr>
          <w:rFonts w:ascii="Times New Roman" w:eastAsia="Times New Roman" w:hAnsi="Times New Roman" w:cs="Times New Roman"/>
          <w:color w:val="222222"/>
          <w:sz w:val="24"/>
          <w:szCs w:val="24"/>
          <w:lang w:val="en-US" w:bidi="ar-SA"/>
        </w:rPr>
        <w:t>Where:</w:t>
      </w:r>
    </w:p>
    <w:p w:rsidR="00D41C81" w:rsidRPr="00D41C81" w:rsidRDefault="00D41C81" w:rsidP="00D41C81">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D41C81">
        <w:rPr>
          <w:rFonts w:ascii="Times New Roman" w:eastAsia="Times New Roman" w:hAnsi="Times New Roman" w:cs="Times New Roman"/>
          <w:i/>
          <w:color w:val="222222"/>
          <w:sz w:val="24"/>
          <w:szCs w:val="24"/>
          <w:lang w:val="en-US" w:bidi="ar-SA"/>
        </w:rPr>
        <w:lastRenderedPageBreak/>
        <w:t>r</w:t>
      </w:r>
      <w:r w:rsidRPr="00D41C81">
        <w:rPr>
          <w:rFonts w:ascii="Times New Roman" w:eastAsia="Times New Roman" w:hAnsi="Times New Roman" w:cs="Times New Roman"/>
          <w:color w:val="222222"/>
          <w:sz w:val="24"/>
          <w:szCs w:val="24"/>
          <w:lang w:val="en-US" w:bidi="ar-SA"/>
        </w:rPr>
        <w:t xml:space="preserve"> is the intrinsic growth rate of the species.</w:t>
      </w:r>
    </w:p>
    <w:p w:rsidR="00D41C81" w:rsidRPr="00D41C81" w:rsidRDefault="00D41C81" w:rsidP="00D41C81">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D41C81">
        <w:rPr>
          <w:rFonts w:ascii="Times New Roman" w:eastAsia="Times New Roman" w:hAnsi="Times New Roman" w:cs="Times New Roman"/>
          <w:i/>
          <w:color w:val="222222"/>
          <w:sz w:val="24"/>
          <w:szCs w:val="24"/>
          <w:lang w:val="en-US" w:bidi="ar-SA"/>
        </w:rPr>
        <w:t>K</w:t>
      </w:r>
      <w:r w:rsidRPr="00D41C81">
        <w:rPr>
          <w:rFonts w:ascii="Times New Roman" w:eastAsia="Times New Roman" w:hAnsi="Times New Roman" w:cs="Times New Roman"/>
          <w:color w:val="222222"/>
          <w:sz w:val="24"/>
          <w:szCs w:val="24"/>
          <w:lang w:val="en-US" w:bidi="ar-SA"/>
        </w:rPr>
        <w:t xml:space="preserve"> is the carrying capacity of the environment.</w:t>
      </w:r>
    </w:p>
    <w:p w:rsidR="00D41C81" w:rsidRPr="00D41C81" w:rsidRDefault="00D41C81" w:rsidP="00D41C81">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D41C81">
        <w:rPr>
          <w:rFonts w:ascii="Times New Roman" w:eastAsia="Times New Roman" w:hAnsi="Times New Roman" w:cs="Times New Roman"/>
          <w:i/>
          <w:color w:val="222222"/>
          <w:sz w:val="24"/>
          <w:szCs w:val="24"/>
          <w:lang w:val="en-US" w:bidi="ar-SA"/>
        </w:rPr>
        <w:t>d</w:t>
      </w:r>
      <w:r w:rsidRPr="00D41C81">
        <w:rPr>
          <w:rFonts w:ascii="Times New Roman" w:eastAsia="Times New Roman" w:hAnsi="Times New Roman" w:cs="Times New Roman"/>
          <w:color w:val="222222"/>
          <w:sz w:val="24"/>
          <w:szCs w:val="24"/>
          <w:lang w:val="en-US" w:bidi="ar-SA"/>
        </w:rPr>
        <w:t xml:space="preserve"> represents the death rate due to pollution exposure.</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This formulation captures both natural population regulation and stress-induced population decline.</w:t>
      </w:r>
    </w:p>
    <w:p w:rsidR="00E31C23" w:rsidRPr="00E31C23" w:rsidRDefault="00E31C23" w:rsidP="00AF7C8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model can be extended to multi-species systems by incorporating interaction terms that describe competition or predation. However, the present study focuses on single-species dynamics to clearly illustrate pollution impacts.</w:t>
      </w:r>
    </w:p>
    <w:p w:rsidR="00E31C23" w:rsidRPr="00E31C23" w:rsidRDefault="00D41C81" w:rsidP="00EB776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Pr>
          <w:rFonts w:ascii="Times New Roman" w:eastAsia="Times New Roman" w:hAnsi="Times New Roman" w:cs="Times New Roman"/>
          <w:b/>
          <w:bCs/>
          <w:sz w:val="24"/>
          <w:szCs w:val="24"/>
          <w:lang w:eastAsia="en-IN" w:bidi="ar-SA"/>
        </w:rPr>
        <w:t xml:space="preserve">4.1.2 Toxicity and Dose </w:t>
      </w:r>
      <w:r w:rsidR="00E31C23" w:rsidRPr="00E31C23">
        <w:rPr>
          <w:rFonts w:ascii="Times New Roman" w:eastAsia="Times New Roman" w:hAnsi="Times New Roman" w:cs="Times New Roman"/>
          <w:b/>
          <w:bCs/>
          <w:sz w:val="24"/>
          <w:szCs w:val="24"/>
          <w:lang w:eastAsia="en-IN" w:bidi="ar-SA"/>
        </w:rPr>
        <w:t>Response Relationships</w:t>
      </w:r>
    </w:p>
    <w:p w:rsidR="009B3111" w:rsidRPr="009B3111" w:rsidRDefault="00E31C23" w:rsidP="009B3111">
      <w:pPr>
        <w:spacing w:after="0" w:line="360" w:lineRule="auto"/>
        <w:ind w:firstLine="720"/>
        <w:jc w:val="both"/>
        <w:rPr>
          <w:rFonts w:ascii="Times New Roman" w:eastAsia="Times New Roman" w:hAnsi="Times New Roman" w:cs="Times New Roman"/>
          <w:color w:val="222222"/>
          <w:sz w:val="24"/>
          <w:szCs w:val="24"/>
          <w:lang w:val="en-US" w:bidi="ar-SA"/>
        </w:rPr>
      </w:pPr>
      <w:r w:rsidRPr="00E31C23">
        <w:rPr>
          <w:rFonts w:ascii="Times New Roman" w:eastAsia="Times New Roman" w:hAnsi="Times New Roman" w:cs="Times New Roman"/>
          <w:sz w:val="24"/>
          <w:szCs w:val="24"/>
          <w:lang w:eastAsia="en-IN" w:bidi="ar-SA"/>
        </w:rPr>
        <w:t>The toxic effects of pollutants on aquatic organi</w:t>
      </w:r>
      <w:r w:rsidR="009B3111">
        <w:rPr>
          <w:rFonts w:ascii="Times New Roman" w:eastAsia="Times New Roman" w:hAnsi="Times New Roman" w:cs="Times New Roman"/>
          <w:sz w:val="24"/>
          <w:szCs w:val="24"/>
          <w:lang w:eastAsia="en-IN" w:bidi="ar-SA"/>
        </w:rPr>
        <w:t xml:space="preserve">sms are incorporated using dose </w:t>
      </w:r>
      <w:r w:rsidRPr="00E31C23">
        <w:rPr>
          <w:rFonts w:ascii="Times New Roman" w:eastAsia="Times New Roman" w:hAnsi="Times New Roman" w:cs="Times New Roman"/>
          <w:sz w:val="24"/>
          <w:szCs w:val="24"/>
          <w:lang w:eastAsia="en-IN" w:bidi="ar-SA"/>
        </w:rPr>
        <w:t xml:space="preserve">response relationships that link pollutant concentration to biological response. A commonly used </w:t>
      </w:r>
      <w:r w:rsidR="009B3111" w:rsidRPr="009B3111">
        <w:rPr>
          <w:rFonts w:ascii="Times New Roman" w:eastAsia="Times New Roman" w:hAnsi="Times New Roman" w:cs="Times New Roman"/>
          <w:color w:val="222222"/>
          <w:sz w:val="24"/>
          <w:szCs w:val="24"/>
          <w:lang w:val="en-US" w:bidi="ar-SA"/>
        </w:rPr>
        <w:t xml:space="preserve">where the response </w:t>
      </w:r>
      <w:r w:rsidR="009B3111" w:rsidRPr="009B3111">
        <w:rPr>
          <w:rFonts w:ascii="Times New Roman" w:eastAsia="Times New Roman" w:hAnsi="Times New Roman" w:cs="Times New Roman"/>
          <w:i/>
          <w:color w:val="222222"/>
          <w:sz w:val="24"/>
          <w:szCs w:val="24"/>
          <w:lang w:val="en-US" w:bidi="ar-SA"/>
        </w:rPr>
        <w:t>R(C)</w:t>
      </w:r>
      <w:r w:rsidR="009B3111" w:rsidRPr="009B3111">
        <w:rPr>
          <w:rFonts w:ascii="Times New Roman" w:eastAsia="Times New Roman" w:hAnsi="Times New Roman" w:cs="Times New Roman"/>
          <w:color w:val="222222"/>
          <w:sz w:val="24"/>
          <w:szCs w:val="24"/>
          <w:lang w:val="en-US" w:bidi="ar-SA"/>
        </w:rPr>
        <w:t xml:space="preserve"> of a species to a pollutant concentration </w:t>
      </w:r>
      <w:r w:rsidR="009B3111" w:rsidRPr="009B3111">
        <w:rPr>
          <w:rFonts w:ascii="Times New Roman" w:eastAsia="Times New Roman" w:hAnsi="Times New Roman" w:cs="Times New Roman"/>
          <w:i/>
          <w:color w:val="222222"/>
          <w:sz w:val="24"/>
          <w:szCs w:val="24"/>
          <w:lang w:val="en-US" w:bidi="ar-SA"/>
        </w:rPr>
        <w:t>C</w:t>
      </w:r>
      <w:r w:rsidR="009B3111" w:rsidRPr="009B3111">
        <w:rPr>
          <w:rFonts w:ascii="Times New Roman" w:eastAsia="Times New Roman" w:hAnsi="Times New Roman" w:cs="Times New Roman"/>
          <w:color w:val="222222"/>
          <w:sz w:val="24"/>
          <w:szCs w:val="24"/>
          <w:lang w:val="en-US" w:bidi="ar-SA"/>
        </w:rPr>
        <w:t xml:space="preserve"> is described by:</w:t>
      </w:r>
    </w:p>
    <w:p w:rsidR="009B3111" w:rsidRPr="009B3111" w:rsidRDefault="009B3111" w:rsidP="009B3111">
      <w:pPr>
        <w:spacing w:after="0" w:line="360" w:lineRule="auto"/>
        <w:ind w:left="720" w:firstLine="720"/>
        <w:jc w:val="center"/>
        <w:rPr>
          <w:rFonts w:ascii="Times New Roman" w:eastAsia="Times New Roman" w:hAnsi="Times New Roman" w:cs="Times New Roman"/>
          <w:color w:val="222222"/>
          <w:sz w:val="24"/>
          <w:szCs w:val="24"/>
          <w:lang w:val="en-US" w:bidi="ar-SA"/>
        </w:rPr>
      </w:pPr>
      <m:oMathPara>
        <m:oMath>
          <m:r>
            <w:rPr>
              <w:rFonts w:ascii="Cambria Math" w:eastAsia="Times New Roman" w:hAnsi="Cambria Math" w:cs="Times New Roman"/>
              <w:color w:val="222222"/>
              <w:sz w:val="24"/>
              <w:szCs w:val="24"/>
              <w:lang w:val="en-US" w:bidi="ar-SA"/>
            </w:rPr>
            <m:t>R</m:t>
          </m:r>
          <m:d>
            <m:dPr>
              <m:ctrlPr>
                <w:rPr>
                  <w:rFonts w:ascii="Cambria Math" w:eastAsia="Times New Roman" w:hAnsi="Cambria Math" w:cs="Times New Roman"/>
                  <w:i/>
                  <w:color w:val="222222"/>
                  <w:sz w:val="24"/>
                  <w:szCs w:val="24"/>
                  <w:lang w:val="en-US" w:bidi="ar-SA"/>
                </w:rPr>
              </m:ctrlPr>
            </m:dPr>
            <m:e>
              <m:r>
                <w:rPr>
                  <w:rFonts w:ascii="Cambria Math" w:eastAsia="Times New Roman" w:hAnsi="Cambria Math" w:cs="Times New Roman"/>
                  <w:color w:val="222222"/>
                  <w:sz w:val="24"/>
                  <w:szCs w:val="24"/>
                  <w:lang w:val="en-US" w:bidi="ar-SA"/>
                </w:rPr>
                <m:t>C</m:t>
              </m:r>
            </m:e>
          </m:d>
          <m:r>
            <w:rPr>
              <w:rFonts w:ascii="Cambria Math" w:eastAsia="Times New Roman" w:hAnsi="Cambria Math" w:cs="Times New Roman"/>
              <w:color w:val="222222"/>
              <w:sz w:val="24"/>
              <w:szCs w:val="24"/>
              <w:lang w:val="en-US" w:bidi="ar-SA"/>
            </w:rPr>
            <m:t>=</m:t>
          </m:r>
          <m:f>
            <m:fPr>
              <m:ctrlPr>
                <w:rPr>
                  <w:rFonts w:ascii="Cambria Math" w:eastAsia="Times New Roman" w:hAnsi="Cambria Math" w:cs="Times New Roman"/>
                  <w:i/>
                  <w:color w:val="222222"/>
                  <w:sz w:val="24"/>
                  <w:szCs w:val="24"/>
                  <w:lang w:val="en-US" w:bidi="ar-SA"/>
                </w:rPr>
              </m:ctrlPr>
            </m:fPr>
            <m:num>
              <m:sSub>
                <m:sSubPr>
                  <m:ctrlPr>
                    <w:rPr>
                      <w:rFonts w:ascii="Cambria Math" w:eastAsia="Times New Roman" w:hAnsi="Cambria Math" w:cs="Times New Roman"/>
                      <w:i/>
                      <w:color w:val="222222"/>
                      <w:sz w:val="24"/>
                      <w:szCs w:val="24"/>
                      <w:lang w:val="en-US" w:bidi="ar-SA"/>
                    </w:rPr>
                  </m:ctrlPr>
                </m:sSubPr>
                <m:e>
                  <m:r>
                    <w:rPr>
                      <w:rFonts w:ascii="Cambria Math" w:eastAsia="Times New Roman" w:hAnsi="Cambria Math" w:cs="Times New Roman"/>
                      <w:color w:val="222222"/>
                      <w:sz w:val="24"/>
                      <w:szCs w:val="24"/>
                      <w:lang w:val="en-US" w:bidi="ar-SA"/>
                    </w:rPr>
                    <m:t>E</m:t>
                  </m:r>
                </m:e>
                <m:sub>
                  <m:r>
                    <w:rPr>
                      <w:rFonts w:ascii="Cambria Math" w:eastAsia="Times New Roman" w:hAnsi="Cambria Math" w:cs="Times New Roman"/>
                      <w:color w:val="222222"/>
                      <w:sz w:val="24"/>
                      <w:szCs w:val="24"/>
                      <w:lang w:val="en-US" w:bidi="ar-SA"/>
                    </w:rPr>
                    <m:t>max</m:t>
                  </m:r>
                </m:sub>
              </m:sSub>
              <m:r>
                <w:rPr>
                  <w:rFonts w:ascii="Cambria Math" w:eastAsia="Times New Roman" w:hAnsi="Cambria Math" w:cs="Times New Roman"/>
                  <w:color w:val="222222"/>
                  <w:sz w:val="24"/>
                  <w:szCs w:val="24"/>
                  <w:lang w:val="en-US" w:bidi="ar-SA"/>
                </w:rPr>
                <m:t xml:space="preserve"> C</m:t>
              </m:r>
            </m:num>
            <m:den>
              <m:r>
                <w:rPr>
                  <w:rFonts w:ascii="Cambria Math" w:eastAsia="Times New Roman" w:hAnsi="Cambria Math" w:cs="Times New Roman"/>
                  <w:color w:val="222222"/>
                  <w:sz w:val="24"/>
                  <w:szCs w:val="24"/>
                  <w:lang w:val="en-US" w:bidi="ar-SA"/>
                </w:rPr>
                <m:t>C+E</m:t>
              </m:r>
              <m:sSub>
                <m:sSubPr>
                  <m:ctrlPr>
                    <w:rPr>
                      <w:rFonts w:ascii="Cambria Math" w:eastAsia="Times New Roman" w:hAnsi="Cambria Math" w:cs="Times New Roman"/>
                      <w:i/>
                      <w:color w:val="222222"/>
                      <w:sz w:val="24"/>
                      <w:szCs w:val="24"/>
                      <w:lang w:val="en-US" w:bidi="ar-SA"/>
                    </w:rPr>
                  </m:ctrlPr>
                </m:sSubPr>
                <m:e>
                  <m:r>
                    <w:rPr>
                      <w:rFonts w:ascii="Cambria Math" w:eastAsia="Times New Roman" w:hAnsi="Cambria Math" w:cs="Times New Roman"/>
                      <w:color w:val="222222"/>
                      <w:sz w:val="24"/>
                      <w:szCs w:val="24"/>
                      <w:lang w:val="en-US" w:bidi="ar-SA"/>
                    </w:rPr>
                    <m:t>C</m:t>
                  </m:r>
                </m:e>
                <m:sub>
                  <m:r>
                    <w:rPr>
                      <w:rFonts w:ascii="Cambria Math" w:eastAsia="Times New Roman" w:hAnsi="Cambria Math" w:cs="Times New Roman"/>
                      <w:color w:val="222222"/>
                      <w:sz w:val="24"/>
                      <w:szCs w:val="24"/>
                      <w:lang w:val="en-US" w:bidi="ar-SA"/>
                    </w:rPr>
                    <m:t>50</m:t>
                  </m:r>
                </m:sub>
              </m:sSub>
            </m:den>
          </m:f>
        </m:oMath>
      </m:oMathPara>
    </w:p>
    <w:p w:rsidR="009B3111" w:rsidRPr="009B3111" w:rsidRDefault="009B3111" w:rsidP="009B3111">
      <w:pPr>
        <w:spacing w:after="0" w:line="360" w:lineRule="auto"/>
        <w:jc w:val="both"/>
        <w:rPr>
          <w:rFonts w:ascii="Times New Roman" w:eastAsia="Times New Roman" w:hAnsi="Times New Roman" w:cs="Times New Roman"/>
          <w:color w:val="222222"/>
          <w:sz w:val="24"/>
          <w:szCs w:val="24"/>
          <w:lang w:val="en-US" w:bidi="ar-SA"/>
        </w:rPr>
      </w:pPr>
      <w:r w:rsidRPr="009B3111">
        <w:rPr>
          <w:rFonts w:ascii="Times New Roman" w:eastAsia="Times New Roman" w:hAnsi="Times New Roman" w:cs="Times New Roman"/>
          <w:color w:val="222222"/>
          <w:sz w:val="24"/>
          <w:szCs w:val="24"/>
          <w:lang w:val="en-US" w:bidi="ar-SA"/>
        </w:rPr>
        <w:t>Where:</w:t>
      </w:r>
    </w:p>
    <w:p w:rsidR="009B3111" w:rsidRPr="009B3111" w:rsidRDefault="009B3111" w:rsidP="009B3111">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proofErr w:type="spellStart"/>
      <w:r w:rsidRPr="009B3111">
        <w:rPr>
          <w:rFonts w:ascii="Times New Roman" w:eastAsia="Times New Roman" w:hAnsi="Times New Roman" w:cs="Times New Roman"/>
          <w:i/>
          <w:color w:val="222222"/>
          <w:sz w:val="24"/>
          <w:szCs w:val="24"/>
          <w:lang w:val="en-US" w:bidi="ar-SA"/>
        </w:rPr>
        <w:t>E</w:t>
      </w:r>
      <w:r w:rsidRPr="009B3111">
        <w:rPr>
          <w:rFonts w:ascii="Times New Roman" w:eastAsia="Times New Roman" w:hAnsi="Times New Roman" w:cs="Times New Roman"/>
          <w:color w:val="222222"/>
          <w:sz w:val="24"/>
          <w:szCs w:val="24"/>
          <w:vertAlign w:val="subscript"/>
          <w:lang w:val="en-US" w:bidi="ar-SA"/>
        </w:rPr>
        <w:t>max</w:t>
      </w:r>
      <w:proofErr w:type="spellEnd"/>
      <w:r w:rsidRPr="009B3111">
        <w:rPr>
          <w:rFonts w:ascii="Times New Roman" w:eastAsia="Times New Roman" w:hAnsi="Times New Roman" w:cs="Times New Roman"/>
          <w:color w:val="222222"/>
          <w:sz w:val="24"/>
          <w:szCs w:val="24"/>
          <w:lang w:val="en-US" w:bidi="ar-SA"/>
        </w:rPr>
        <w:t xml:space="preserve"> is the maximum possible response (e.g., mortality rate).</w:t>
      </w:r>
    </w:p>
    <w:p w:rsidR="009B3111" w:rsidRPr="009B3111" w:rsidRDefault="009B3111" w:rsidP="009B3111">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9B3111">
        <w:rPr>
          <w:rFonts w:ascii="Times New Roman" w:eastAsia="Times New Roman" w:hAnsi="Times New Roman" w:cs="Times New Roman"/>
          <w:i/>
          <w:color w:val="222222"/>
          <w:sz w:val="24"/>
          <w:szCs w:val="24"/>
          <w:lang w:val="en-US" w:bidi="ar-SA"/>
        </w:rPr>
        <w:t>EC</w:t>
      </w:r>
      <w:r w:rsidRPr="009B3111">
        <w:rPr>
          <w:rFonts w:ascii="Times New Roman" w:eastAsia="Times New Roman" w:hAnsi="Times New Roman" w:cs="Times New Roman"/>
          <w:i/>
          <w:color w:val="222222"/>
          <w:sz w:val="24"/>
          <w:szCs w:val="24"/>
          <w:vertAlign w:val="subscript"/>
          <w:lang w:val="en-US" w:bidi="ar-SA"/>
        </w:rPr>
        <w:t>50</w:t>
      </w:r>
      <w:r w:rsidRPr="009B3111">
        <w:rPr>
          <w:rFonts w:ascii="Times New Roman" w:eastAsia="Times New Roman" w:hAnsi="Times New Roman" w:cs="Times New Roman"/>
          <w:color w:val="222222"/>
          <w:sz w:val="24"/>
          <w:szCs w:val="24"/>
          <w:lang w:val="en-US" w:bidi="ar-SA"/>
        </w:rPr>
        <w:t xml:space="preserve"> is the concentration at which 50% of the maximum response is observed.</w:t>
      </w:r>
    </w:p>
    <w:p w:rsidR="00107F15" w:rsidRPr="0031355A" w:rsidRDefault="00E31C23" w:rsidP="009B3111">
      <w:pPr>
        <w:spacing w:before="100" w:beforeAutospacing="1" w:after="100" w:afterAutospacing="1" w:line="360" w:lineRule="auto"/>
        <w:jc w:val="both"/>
        <w:rPr>
          <w:rFonts w:ascii="Times New Roman" w:hAnsi="Times New Roman" w:cs="Times New Roman"/>
          <w:sz w:val="24"/>
          <w:szCs w:val="24"/>
        </w:rPr>
      </w:pPr>
      <w:r w:rsidRPr="00E31C23">
        <w:rPr>
          <w:rFonts w:ascii="Times New Roman" w:eastAsia="Times New Roman" w:hAnsi="Times New Roman" w:cs="Times New Roman"/>
          <w:sz w:val="24"/>
          <w:szCs w:val="24"/>
          <w:lang w:eastAsia="en-IN" w:bidi="ar-SA"/>
        </w:rPr>
        <w:t xml:space="preserve"> </w:t>
      </w:r>
      <w:r w:rsidR="00107F15" w:rsidRPr="0031355A">
        <w:rPr>
          <w:rFonts w:ascii="Times New Roman" w:hAnsi="Times New Roman" w:cs="Times New Roman"/>
          <w:sz w:val="24"/>
          <w:szCs w:val="24"/>
        </w:rPr>
        <w:t xml:space="preserve">This formulation enables the model to represent non-linear toxicity responses commonly observed in experimental studies. </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pollution-induced mortality term is then expressed as a function of pollutant concentration:</w:t>
      </w:r>
    </w:p>
    <w:p w:rsidR="00390A08" w:rsidRDefault="00390A08" w:rsidP="00390A08">
      <w:pPr>
        <w:spacing w:before="100" w:beforeAutospacing="1" w:after="100" w:afterAutospacing="1" w:line="360" w:lineRule="auto"/>
        <w:jc w:val="center"/>
        <w:rPr>
          <w:rFonts w:ascii="Times New Roman" w:eastAsia="Times New Roman" w:hAnsi="Times New Roman" w:cs="Times New Roman"/>
          <w:i/>
          <w:color w:val="222222"/>
          <w:sz w:val="24"/>
          <w:szCs w:val="24"/>
          <w:lang w:val="en-US" w:bidi="ar-SA"/>
        </w:rPr>
      </w:pPr>
      <w:proofErr w:type="gramStart"/>
      <w:r w:rsidRPr="00390A08">
        <w:rPr>
          <w:rFonts w:ascii="Times New Roman" w:eastAsia="Times New Roman" w:hAnsi="Times New Roman" w:cs="Times New Roman"/>
          <w:i/>
          <w:color w:val="222222"/>
          <w:sz w:val="24"/>
          <w:szCs w:val="24"/>
          <w:lang w:val="en-US" w:bidi="ar-SA"/>
        </w:rPr>
        <w:t>d(</w:t>
      </w:r>
      <w:proofErr w:type="gramEnd"/>
      <w:r w:rsidRPr="00390A08">
        <w:rPr>
          <w:rFonts w:ascii="Times New Roman" w:eastAsia="Times New Roman" w:hAnsi="Times New Roman" w:cs="Times New Roman"/>
          <w:i/>
          <w:color w:val="222222"/>
          <w:sz w:val="24"/>
          <w:szCs w:val="24"/>
          <w:lang w:val="en-US" w:bidi="ar-SA"/>
        </w:rPr>
        <w:t>C) = d</w:t>
      </w:r>
      <w:r w:rsidRPr="00390A08">
        <w:rPr>
          <w:rFonts w:ascii="Times New Roman" w:eastAsia="Times New Roman" w:hAnsi="Times New Roman" w:cs="Times New Roman"/>
          <w:i/>
          <w:color w:val="222222"/>
          <w:sz w:val="24"/>
          <w:szCs w:val="24"/>
          <w:vertAlign w:val="subscript"/>
          <w:lang w:val="en-US" w:bidi="ar-SA"/>
        </w:rPr>
        <w:t>0</w:t>
      </w:r>
      <w:r w:rsidRPr="00390A08">
        <w:rPr>
          <w:rFonts w:ascii="Times New Roman" w:eastAsia="Times New Roman" w:hAnsi="Times New Roman" w:cs="Times New Roman"/>
          <w:i/>
          <w:color w:val="222222"/>
          <w:sz w:val="24"/>
          <w:szCs w:val="24"/>
          <w:lang w:val="en-US" w:bidi="ar-SA"/>
        </w:rPr>
        <w:t xml:space="preserve"> + alpha . R(C)</w:t>
      </w:r>
    </w:p>
    <w:p w:rsidR="00390A08" w:rsidRPr="00390A08" w:rsidRDefault="00390A08" w:rsidP="00390A08">
      <w:pPr>
        <w:spacing w:after="0" w:line="360" w:lineRule="auto"/>
        <w:contextualSpacing/>
        <w:jc w:val="both"/>
        <w:rPr>
          <w:rFonts w:ascii="Times New Roman" w:eastAsia="Times New Roman" w:hAnsi="Times New Roman" w:cs="Times New Roman"/>
          <w:color w:val="222222"/>
          <w:sz w:val="24"/>
          <w:szCs w:val="24"/>
          <w:lang w:val="en-US" w:bidi="ar-SA"/>
        </w:rPr>
      </w:pPr>
      <w:r w:rsidRPr="00390A08">
        <w:rPr>
          <w:rFonts w:ascii="Times New Roman" w:eastAsia="Times New Roman" w:hAnsi="Times New Roman" w:cs="Times New Roman"/>
          <w:color w:val="222222"/>
          <w:sz w:val="24"/>
          <w:szCs w:val="24"/>
          <w:lang w:val="en-US" w:bidi="ar-SA"/>
        </w:rPr>
        <w:t>Where:</w:t>
      </w:r>
    </w:p>
    <w:p w:rsidR="00390A08" w:rsidRPr="00390A08" w:rsidRDefault="00390A08" w:rsidP="00390A08">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390A08">
        <w:rPr>
          <w:rFonts w:ascii="Times New Roman" w:eastAsia="Times New Roman" w:hAnsi="Times New Roman" w:cs="Times New Roman"/>
          <w:i/>
          <w:color w:val="222222"/>
          <w:sz w:val="24"/>
          <w:szCs w:val="24"/>
          <w:lang w:val="en-US" w:bidi="ar-SA"/>
        </w:rPr>
        <w:t>d</w:t>
      </w:r>
      <w:r w:rsidRPr="00390A08">
        <w:rPr>
          <w:rFonts w:ascii="Times New Roman" w:eastAsia="Times New Roman" w:hAnsi="Times New Roman" w:cs="Times New Roman"/>
          <w:i/>
          <w:color w:val="222222"/>
          <w:sz w:val="24"/>
          <w:szCs w:val="24"/>
          <w:vertAlign w:val="subscript"/>
          <w:lang w:val="en-US" w:bidi="ar-SA"/>
        </w:rPr>
        <w:t>0</w:t>
      </w:r>
      <w:r w:rsidRPr="00390A08">
        <w:rPr>
          <w:rFonts w:ascii="Times New Roman" w:eastAsia="Times New Roman" w:hAnsi="Times New Roman" w:cs="Times New Roman"/>
          <w:color w:val="222222"/>
          <w:sz w:val="24"/>
          <w:szCs w:val="24"/>
          <w:lang w:val="en-US" w:bidi="ar-SA"/>
        </w:rPr>
        <w:t xml:space="preserve"> is the baseline death rate in the absence of pollution.</w:t>
      </w:r>
    </w:p>
    <w:p w:rsidR="00390A08" w:rsidRPr="00390A08" w:rsidRDefault="00390A08" w:rsidP="00390A08">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390A08">
        <w:rPr>
          <w:rFonts w:ascii="Times New Roman" w:eastAsia="Times New Roman" w:hAnsi="Times New Roman" w:cs="Times New Roman"/>
          <w:color w:val="222222"/>
          <w:sz w:val="24"/>
          <w:szCs w:val="24"/>
          <w:lang w:val="en-US" w:bidi="ar-SA"/>
        </w:rPr>
        <w:t>Alpha is a scaling factor that adjusts the impact of pollution on mortality.</w:t>
      </w:r>
    </w:p>
    <w:p w:rsidR="00AF7C83" w:rsidRDefault="00E31C23" w:rsidP="00AF7C83">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4.2 Coupling Pollution and Biological Models</w:t>
      </w:r>
    </w:p>
    <w:p w:rsidR="00E31C23" w:rsidRPr="00E31C23" w:rsidRDefault="00E31C23" w:rsidP="00AF7C83">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sz w:val="24"/>
          <w:szCs w:val="24"/>
          <w:lang w:eastAsia="en-IN" w:bidi="ar-SA"/>
        </w:rPr>
        <w:lastRenderedPageBreak/>
        <w:t>The pollutant concentration C(</w:t>
      </w:r>
      <w:proofErr w:type="spellStart"/>
      <w:r w:rsidRPr="00E31C23">
        <w:rPr>
          <w:rFonts w:ascii="Times New Roman" w:eastAsia="Times New Roman" w:hAnsi="Times New Roman" w:cs="Times New Roman"/>
          <w:sz w:val="24"/>
          <w:szCs w:val="24"/>
          <w:lang w:eastAsia="en-IN" w:bidi="ar-SA"/>
        </w:rPr>
        <w:t>x</w:t>
      </w:r>
      <w:proofErr w:type="gramStart"/>
      <w:r w:rsidRPr="00E31C23">
        <w:rPr>
          <w:rFonts w:ascii="Times New Roman" w:eastAsia="Times New Roman" w:hAnsi="Times New Roman" w:cs="Times New Roman"/>
          <w:sz w:val="24"/>
          <w:szCs w:val="24"/>
          <w:lang w:eastAsia="en-IN" w:bidi="ar-SA"/>
        </w:rPr>
        <w:t>,t</w:t>
      </w:r>
      <w:proofErr w:type="spellEnd"/>
      <w:proofErr w:type="gramEnd"/>
      <w:r w:rsidRPr="00E31C23">
        <w:rPr>
          <w:rFonts w:ascii="Times New Roman" w:eastAsia="Times New Roman" w:hAnsi="Times New Roman" w:cs="Times New Roman"/>
          <w:sz w:val="24"/>
          <w:szCs w:val="24"/>
          <w:lang w:eastAsia="en-IN" w:bidi="ar-SA"/>
        </w:rPr>
        <w:t xml:space="preserve">), obtained from the advection–diffusion equation, directly influences biological parameters in the population model. By allowing mortality rates and growth parameters to vary with local pollutant concentration, </w:t>
      </w:r>
      <w:r w:rsidR="006470EF" w:rsidRPr="0031355A">
        <w:rPr>
          <w:rFonts w:ascii="Times New Roman" w:hAnsi="Times New Roman" w:cs="Times New Roman"/>
          <w:sz w:val="24"/>
          <w:szCs w:val="24"/>
        </w:rPr>
        <w:t xml:space="preserve">the coupled framework dynamically simulates how variations in pollution levels influence aquatic population dynamics </w:t>
      </w:r>
      <w:r w:rsidRPr="00E31C23">
        <w:rPr>
          <w:rFonts w:ascii="Times New Roman" w:eastAsia="Times New Roman" w:hAnsi="Times New Roman" w:cs="Times New Roman"/>
          <w:sz w:val="24"/>
          <w:szCs w:val="24"/>
          <w:lang w:eastAsia="en-IN" w:bidi="ar-SA"/>
        </w:rPr>
        <w:t>across space and time.</w:t>
      </w:r>
    </w:p>
    <w:p w:rsidR="00E31C23" w:rsidRPr="00E31C23" w:rsidRDefault="00E31C23" w:rsidP="00AF7C8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This integrated framework enables the identification of critical pollution thresholds beyond which population decline accelerates, providing a mechanistic understanding of ecological risk.</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 xml:space="preserve">4.3 Case Study: Effects of Ammonia on </w:t>
      </w:r>
      <w:r w:rsidRPr="00E31C23">
        <w:rPr>
          <w:rFonts w:ascii="Times New Roman" w:eastAsia="Times New Roman" w:hAnsi="Times New Roman" w:cs="Times New Roman"/>
          <w:b/>
          <w:bCs/>
          <w:i/>
          <w:iCs/>
          <w:sz w:val="24"/>
          <w:szCs w:val="24"/>
          <w:lang w:eastAsia="en-IN" w:bidi="ar-SA"/>
        </w:rPr>
        <w:t>Daphnia magna</w:t>
      </w:r>
    </w:p>
    <w:p w:rsidR="00BB5A54" w:rsidRPr="00BB5A54" w:rsidRDefault="00E31C23" w:rsidP="00EB7764">
      <w:pPr>
        <w:spacing w:before="100" w:beforeAutospacing="1" w:after="100" w:afterAutospacing="1" w:line="360" w:lineRule="auto"/>
        <w:jc w:val="both"/>
        <w:rPr>
          <w:rFonts w:ascii="Times New Roman" w:hAnsi="Times New Roman" w:cs="Times New Roman"/>
          <w:b/>
          <w:sz w:val="24"/>
          <w:szCs w:val="24"/>
        </w:rPr>
      </w:pPr>
      <w:r w:rsidRPr="00E31C23">
        <w:rPr>
          <w:rFonts w:ascii="Times New Roman" w:eastAsia="Times New Roman" w:hAnsi="Times New Roman" w:cs="Times New Roman"/>
          <w:sz w:val="24"/>
          <w:szCs w:val="24"/>
          <w:lang w:eastAsia="en-IN" w:bidi="ar-SA"/>
        </w:rPr>
        <w:t xml:space="preserve">To demonstrate the applicability of the proposed framework, the model is applied to assess the impact of ammonia pollution on </w:t>
      </w:r>
      <w:r w:rsidRPr="00E31C23">
        <w:rPr>
          <w:rFonts w:ascii="Times New Roman" w:eastAsia="Times New Roman" w:hAnsi="Times New Roman" w:cs="Times New Roman"/>
          <w:i/>
          <w:iCs/>
          <w:sz w:val="24"/>
          <w:szCs w:val="24"/>
          <w:lang w:eastAsia="en-IN" w:bidi="ar-SA"/>
        </w:rPr>
        <w:t>Daphnia magna</w:t>
      </w:r>
      <w:r w:rsidRPr="00E31C23">
        <w:rPr>
          <w:rFonts w:ascii="Times New Roman" w:eastAsia="Times New Roman" w:hAnsi="Times New Roman" w:cs="Times New Roman"/>
          <w:sz w:val="24"/>
          <w:szCs w:val="24"/>
          <w:lang w:eastAsia="en-IN" w:bidi="ar-SA"/>
        </w:rPr>
        <w:t xml:space="preserve">, a widely used indicator species in aquatic toxicology. </w:t>
      </w:r>
      <w:r w:rsidR="00BB5A54" w:rsidRPr="00BB5A54">
        <w:rPr>
          <w:rFonts w:ascii="Times New Roman" w:hAnsi="Times New Roman" w:cs="Times New Roman"/>
          <w:sz w:val="24"/>
          <w:szCs w:val="24"/>
        </w:rPr>
        <w:t xml:space="preserve">Ammonia is a common pollutant originating from agricultural runoff, sewage discharge, and industrial effluents, and is known to cause acute and chronic toxicity in freshwater organisms </w:t>
      </w:r>
      <w:r w:rsidR="00BB5A54" w:rsidRPr="00BB5A54">
        <w:rPr>
          <w:rStyle w:val="Strong"/>
          <w:rFonts w:ascii="Times New Roman" w:hAnsi="Times New Roman" w:cs="Times New Roman"/>
          <w:sz w:val="24"/>
          <w:szCs w:val="24"/>
        </w:rPr>
        <w:t>(</w:t>
      </w:r>
      <w:r w:rsidR="00BB5A54" w:rsidRPr="00BB5A54">
        <w:rPr>
          <w:rStyle w:val="Strong"/>
          <w:rFonts w:ascii="Times New Roman" w:hAnsi="Times New Roman" w:cs="Times New Roman"/>
          <w:b w:val="0"/>
          <w:sz w:val="24"/>
          <w:szCs w:val="24"/>
        </w:rPr>
        <w:t xml:space="preserve">Zhao &amp; </w:t>
      </w:r>
      <w:proofErr w:type="spellStart"/>
      <w:r w:rsidR="00BB5A54" w:rsidRPr="00BB5A54">
        <w:rPr>
          <w:rStyle w:val="Strong"/>
          <w:rFonts w:ascii="Times New Roman" w:hAnsi="Times New Roman" w:cs="Times New Roman"/>
          <w:b w:val="0"/>
          <w:sz w:val="24"/>
          <w:szCs w:val="24"/>
        </w:rPr>
        <w:t>Jin</w:t>
      </w:r>
      <w:proofErr w:type="spellEnd"/>
      <w:r w:rsidR="00BB5A54" w:rsidRPr="00BB5A54">
        <w:rPr>
          <w:rStyle w:val="Strong"/>
          <w:rFonts w:ascii="Times New Roman" w:hAnsi="Times New Roman" w:cs="Times New Roman"/>
          <w:b w:val="0"/>
          <w:sz w:val="24"/>
          <w:szCs w:val="24"/>
        </w:rPr>
        <w:t>, 2009; OECD, 2023; EPA, 2022)</w:t>
      </w:r>
      <w:r w:rsidR="00BB5A54" w:rsidRPr="00BB5A54">
        <w:rPr>
          <w:rFonts w:ascii="Times New Roman" w:hAnsi="Times New Roman" w:cs="Times New Roman"/>
          <w:b/>
          <w:sz w:val="24"/>
          <w:szCs w:val="24"/>
        </w:rPr>
        <w:t>.</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Species-specific toxicity par</w:t>
      </w:r>
      <w:r w:rsidR="00AA7B62">
        <w:rPr>
          <w:rFonts w:ascii="Times New Roman" w:eastAsia="Times New Roman" w:hAnsi="Times New Roman" w:cs="Times New Roman"/>
          <w:sz w:val="24"/>
          <w:szCs w:val="24"/>
          <w:lang w:eastAsia="en-IN" w:bidi="ar-SA"/>
        </w:rPr>
        <w:t xml:space="preserve">ameters, such as </w:t>
      </w:r>
      <w:r w:rsidR="00AA7B62" w:rsidRPr="00AA7B62">
        <w:rPr>
          <w:rFonts w:ascii="Times New Roman" w:eastAsia="Times New Roman" w:hAnsi="Times New Roman" w:cs="Times New Roman"/>
          <w:i/>
          <w:color w:val="222222"/>
          <w:sz w:val="24"/>
          <w:szCs w:val="24"/>
          <w:lang w:val="en-US" w:bidi="ar-SA"/>
        </w:rPr>
        <w:t>EC</w:t>
      </w:r>
      <w:r w:rsidR="00AA7B62" w:rsidRPr="00AA7B62">
        <w:rPr>
          <w:rFonts w:ascii="Times New Roman" w:eastAsia="Times New Roman" w:hAnsi="Times New Roman" w:cs="Times New Roman"/>
          <w:i/>
          <w:color w:val="222222"/>
          <w:sz w:val="24"/>
          <w:szCs w:val="24"/>
          <w:vertAlign w:val="subscript"/>
          <w:lang w:val="en-US" w:bidi="ar-SA"/>
        </w:rPr>
        <w:t>50</w:t>
      </w:r>
      <w:r w:rsidRPr="00E31C23">
        <w:rPr>
          <w:rFonts w:ascii="Times New Roman" w:eastAsia="Times New Roman" w:hAnsi="Times New Roman" w:cs="Times New Roman"/>
          <w:sz w:val="24"/>
          <w:szCs w:val="24"/>
          <w:lang w:eastAsia="en-IN" w:bidi="ar-SA"/>
        </w:rPr>
        <w:t>​ and Emax</w:t>
      </w:r>
      <w:r w:rsidR="009F122E" w:rsidRPr="00E31C23">
        <w:rPr>
          <w:rFonts w:ascii="Times New Roman" w:eastAsia="Times New Roman" w:hAnsi="Times New Roman" w:cs="Times New Roman"/>
          <w:sz w:val="24"/>
          <w:szCs w:val="24"/>
          <w:lang w:eastAsia="en-IN" w:bidi="ar-SA"/>
        </w:rPr>
        <w:t xml:space="preserve"> </w:t>
      </w:r>
      <w:r w:rsidRPr="00E31C23">
        <w:rPr>
          <w:rFonts w:ascii="Times New Roman" w:eastAsia="Times New Roman" w:hAnsi="Times New Roman" w:cs="Times New Roman"/>
          <w:sz w:val="24"/>
          <w:szCs w:val="24"/>
          <w:lang w:eastAsia="en-IN" w:bidi="ar-SA"/>
        </w:rPr>
        <w:t xml:space="preserve">​, are obtained from published laboratory studies. A pollution scenario is simulated in which ammonia concentrations increase along a river continuum due to upstream inputs. The model predicts spatial variations in </w:t>
      </w:r>
      <w:r w:rsidRPr="00E31C23">
        <w:rPr>
          <w:rFonts w:ascii="Times New Roman" w:eastAsia="Times New Roman" w:hAnsi="Times New Roman" w:cs="Times New Roman"/>
          <w:i/>
          <w:iCs/>
          <w:sz w:val="24"/>
          <w:szCs w:val="24"/>
          <w:lang w:eastAsia="en-IN" w:bidi="ar-SA"/>
        </w:rPr>
        <w:t>Daphnia</w:t>
      </w:r>
      <w:r w:rsidRPr="00E31C23">
        <w:rPr>
          <w:rFonts w:ascii="Times New Roman" w:eastAsia="Times New Roman" w:hAnsi="Times New Roman" w:cs="Times New Roman"/>
          <w:sz w:val="24"/>
          <w:szCs w:val="24"/>
          <w:lang w:eastAsia="en-IN" w:bidi="ar-SA"/>
        </w:rPr>
        <w:t xml:space="preserve"> population density, revealing zones of population stress and potential local extinction at elevated ammonia levels.</w:t>
      </w:r>
    </w:p>
    <w:p w:rsidR="00E31C23" w:rsidRPr="00E31C23" w:rsidRDefault="00E31C23" w:rsidP="00AF7C8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This case study illustrates the capacity of the model to translate pollutant concentration patterns into biologically meaningful outcomes.</w:t>
      </w:r>
    </w:p>
    <w:p w:rsidR="00E31C23" w:rsidRPr="00E31C23" w:rsidRDefault="00E31C23" w:rsidP="00EB7764">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t>5. Simulation Design and Results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5.1 Model Implementation</w:t>
      </w:r>
    </w:p>
    <w:p w:rsidR="00E31C23" w:rsidRPr="00E31C23" w:rsidRDefault="00E31C23" w:rsidP="00AF7C8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coupled pollution–biological model is implemented using numerical computing platforms such as MATLAB or Python. Finite difference schemes are employed to solve the advection–diffusion equation, while ordinary differential equation solvers are used for population dynamics. The simulations are designed to capture both short-term pollutant dispersion and long-term population responses.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lastRenderedPageBreak/>
        <w:t>5.2 Pollution Scenarios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Three representative scenarios are examined:</w:t>
      </w:r>
    </w:p>
    <w:p w:rsidR="00E31C23" w:rsidRPr="00E31C23" w:rsidRDefault="00E31C23" w:rsidP="00EB7764">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Scenario 1 (Baseline):</w:t>
      </w:r>
      <w:r w:rsidRPr="00E31C23">
        <w:rPr>
          <w:rFonts w:ascii="Times New Roman" w:eastAsia="Times New Roman" w:hAnsi="Times New Roman" w:cs="Times New Roman"/>
          <w:sz w:val="24"/>
          <w:szCs w:val="24"/>
          <w:lang w:eastAsia="en-IN" w:bidi="ar-SA"/>
        </w:rPr>
        <w:t xml:space="preserve"> Current pollution levels with limited ecological stress.</w:t>
      </w:r>
    </w:p>
    <w:p w:rsidR="00E31C23" w:rsidRPr="00E31C23" w:rsidRDefault="00E31C23" w:rsidP="00EB7764">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Scenario 2 (High Pollution):</w:t>
      </w:r>
      <w:r w:rsidRPr="00E31C23">
        <w:rPr>
          <w:rFonts w:ascii="Times New Roman" w:eastAsia="Times New Roman" w:hAnsi="Times New Roman" w:cs="Times New Roman"/>
          <w:sz w:val="24"/>
          <w:szCs w:val="24"/>
          <w:lang w:eastAsia="en-IN" w:bidi="ar-SA"/>
        </w:rPr>
        <w:t xml:space="preserve"> Increased pollutant input simulating an industrial or agricultural discharge event.</w:t>
      </w:r>
    </w:p>
    <w:p w:rsidR="00E31C23" w:rsidRPr="00E31C23" w:rsidRDefault="00E31C23" w:rsidP="00AF7C8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Scenario 3 (Mitigation):</w:t>
      </w:r>
      <w:r w:rsidRPr="00E31C23">
        <w:rPr>
          <w:rFonts w:ascii="Times New Roman" w:eastAsia="Times New Roman" w:hAnsi="Times New Roman" w:cs="Times New Roman"/>
          <w:sz w:val="24"/>
          <w:szCs w:val="24"/>
          <w:lang w:eastAsia="en-IN" w:bidi="ar-SA"/>
        </w:rPr>
        <w:t xml:space="preserve"> Reduced pollutant input representing management or treatment interventions.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5.3 Results and Interpretation</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Simulation results indicate that under baseline conditions, pollutant concentrations remain below toxicity thresholds, allowing aquatic populations to persist with minimal stress. In contrast, elevated pollution levels result in pronounced declines in population density, particularly downstream of pollutant sources. Mitigation scenarios demonstrate partial or complete recovery of populations, emphasizing the effectiveness of pollution control measures.</w:t>
      </w:r>
    </w:p>
    <w:p w:rsidR="00E31C23" w:rsidRPr="00E31C23" w:rsidRDefault="00E31C23" w:rsidP="00AF7C8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The results highlight threshold </w:t>
      </w:r>
      <w:r w:rsidR="00AF7C83" w:rsidRPr="00E31C23">
        <w:rPr>
          <w:rFonts w:ascii="Times New Roman" w:eastAsia="Times New Roman" w:hAnsi="Times New Roman" w:cs="Times New Roman"/>
          <w:sz w:val="24"/>
          <w:szCs w:val="24"/>
          <w:lang w:eastAsia="en-IN" w:bidi="ar-SA"/>
        </w:rPr>
        <w:t>behaviour</w:t>
      </w:r>
      <w:r w:rsidRPr="00E31C23">
        <w:rPr>
          <w:rFonts w:ascii="Times New Roman" w:eastAsia="Times New Roman" w:hAnsi="Times New Roman" w:cs="Times New Roman"/>
          <w:sz w:val="24"/>
          <w:szCs w:val="24"/>
          <w:lang w:eastAsia="en-IN" w:bidi="ar-SA"/>
        </w:rPr>
        <w:t>, where small increases in pollutant concentration beyond critical levels lead to disproportionately large biological impacts.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5.4 Sensitivity Analysis</w:t>
      </w:r>
    </w:p>
    <w:p w:rsid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Sensitivity analysis reveals that model predictions are particularly influenced by diffusion coefficients, decay rates, and toxicity parameters such as </w:t>
      </w:r>
      <w:r w:rsidR="00B217AD" w:rsidRPr="00B217AD">
        <w:rPr>
          <w:rFonts w:ascii="Times New Roman" w:eastAsia="Times New Roman" w:hAnsi="Times New Roman" w:cs="Times New Roman"/>
          <w:i/>
          <w:color w:val="222222"/>
          <w:sz w:val="24"/>
          <w:szCs w:val="24"/>
          <w:lang w:val="en-US" w:bidi="ar-SA"/>
        </w:rPr>
        <w:t>EC</w:t>
      </w:r>
      <w:r w:rsidR="00B217AD" w:rsidRPr="00B217AD">
        <w:rPr>
          <w:rFonts w:ascii="Times New Roman" w:eastAsia="Times New Roman" w:hAnsi="Times New Roman" w:cs="Times New Roman"/>
          <w:i/>
          <w:color w:val="222222"/>
          <w:sz w:val="24"/>
          <w:szCs w:val="24"/>
          <w:vertAlign w:val="subscript"/>
          <w:lang w:val="en-US" w:bidi="ar-SA"/>
        </w:rPr>
        <w:t>50</w:t>
      </w:r>
      <w:r w:rsidRPr="00E31C23">
        <w:rPr>
          <w:rFonts w:ascii="Times New Roman" w:eastAsia="Times New Roman" w:hAnsi="Times New Roman" w:cs="Times New Roman"/>
          <w:sz w:val="24"/>
          <w:szCs w:val="24"/>
          <w:lang w:eastAsia="en-IN" w:bidi="ar-SA"/>
        </w:rPr>
        <w:t>​. Variations in these parameters significantly affect predicted population outcomes, underscoring the importance of accurate empirical data for reliable ecological risk assessment.</w:t>
      </w:r>
    </w:p>
    <w:p w:rsidR="00BE3C14" w:rsidRPr="00BE3C14" w:rsidRDefault="00BE3C14"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BE3C14">
        <w:rPr>
          <w:rFonts w:ascii="Times New Roman" w:hAnsi="Times New Roman" w:cs="Times New Roman"/>
          <w:sz w:val="24"/>
          <w:szCs w:val="24"/>
        </w:rPr>
        <w:t>The simulation outcomes indicate that aquatic population dynamics are highly sensitive to variations in pollutant concentration levels. Under low pollution scenarios, the model predicts relatively stable population behaviour, whereas moderate contamination results in gradual population decline. High pollution conditions produce pronounced reductions in population density, highlighting the existence of critical ecological thresholds beyond which ecosystem stability may be significantly compromised. The summarized scenario-based responses are presented in Table 2.</w:t>
      </w:r>
    </w:p>
    <w:p w:rsidR="002811B4" w:rsidRPr="002811B4" w:rsidRDefault="002811B4" w:rsidP="002811B4">
      <w:pPr>
        <w:spacing w:before="100" w:beforeAutospacing="1" w:after="100" w:afterAutospacing="1"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bCs/>
          <w:sz w:val="24"/>
          <w:szCs w:val="24"/>
          <w:lang w:val="en-US" w:bidi="ar-SA"/>
        </w:rPr>
        <w:lastRenderedPageBreak/>
        <w:t>Table 2.</w:t>
      </w:r>
      <w:r w:rsidRPr="002811B4">
        <w:rPr>
          <w:rFonts w:ascii="Times New Roman" w:eastAsia="Times New Roman" w:hAnsi="Times New Roman" w:cs="Times New Roman"/>
          <w:sz w:val="24"/>
          <w:szCs w:val="24"/>
          <w:lang w:val="en-US" w:bidi="ar-SA"/>
        </w:rPr>
        <w:t xml:space="preserve"> Predicted ecological responses of aquatic populations under different pollution scenarios.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8"/>
        <w:gridCol w:w="2396"/>
        <w:gridCol w:w="2372"/>
        <w:gridCol w:w="2630"/>
      </w:tblGrid>
      <w:tr w:rsidR="002811B4" w:rsidRPr="002811B4" w:rsidTr="002811B4">
        <w:trPr>
          <w:tblHeader/>
          <w:tblCellSpacing w:w="15" w:type="dxa"/>
        </w:trPr>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b/>
                <w:bCs/>
                <w:sz w:val="24"/>
                <w:szCs w:val="24"/>
                <w:lang w:val="en-US" w:bidi="ar-SA"/>
              </w:rPr>
            </w:pPr>
            <w:r w:rsidRPr="002811B4">
              <w:rPr>
                <w:rFonts w:ascii="Times New Roman" w:eastAsia="Times New Roman" w:hAnsi="Times New Roman" w:cs="Times New Roman"/>
                <w:b/>
                <w:bCs/>
                <w:sz w:val="24"/>
                <w:szCs w:val="24"/>
                <w:lang w:val="en-US" w:bidi="ar-SA"/>
              </w:rPr>
              <w:t>Scenario</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b/>
                <w:bCs/>
                <w:sz w:val="24"/>
                <w:szCs w:val="24"/>
                <w:lang w:val="en-US" w:bidi="ar-SA"/>
              </w:rPr>
            </w:pPr>
            <w:r w:rsidRPr="002811B4">
              <w:rPr>
                <w:rFonts w:ascii="Times New Roman" w:eastAsia="Times New Roman" w:hAnsi="Times New Roman" w:cs="Times New Roman"/>
                <w:b/>
                <w:bCs/>
                <w:sz w:val="24"/>
                <w:szCs w:val="24"/>
                <w:lang w:val="en-US" w:bidi="ar-SA"/>
              </w:rPr>
              <w:t>Pollution level</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b/>
                <w:bCs/>
                <w:sz w:val="24"/>
                <w:szCs w:val="24"/>
                <w:lang w:val="en-US" w:bidi="ar-SA"/>
              </w:rPr>
            </w:pPr>
            <w:r w:rsidRPr="002811B4">
              <w:rPr>
                <w:rFonts w:ascii="Times New Roman" w:eastAsia="Times New Roman" w:hAnsi="Times New Roman" w:cs="Times New Roman"/>
                <w:b/>
                <w:bCs/>
                <w:sz w:val="24"/>
                <w:szCs w:val="24"/>
                <w:lang w:val="en-US" w:bidi="ar-SA"/>
              </w:rPr>
              <w:t>Model prediction</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b/>
                <w:bCs/>
                <w:sz w:val="24"/>
                <w:szCs w:val="24"/>
                <w:lang w:val="en-US" w:bidi="ar-SA"/>
              </w:rPr>
            </w:pPr>
            <w:r w:rsidRPr="002811B4">
              <w:rPr>
                <w:rFonts w:ascii="Times New Roman" w:eastAsia="Times New Roman" w:hAnsi="Times New Roman" w:cs="Times New Roman"/>
                <w:b/>
                <w:bCs/>
                <w:sz w:val="24"/>
                <w:szCs w:val="24"/>
                <w:lang w:val="en-US" w:bidi="ar-SA"/>
              </w:rPr>
              <w:t>Ecological implication</w:t>
            </w:r>
          </w:p>
        </w:tc>
      </w:tr>
      <w:tr w:rsidR="002811B4" w:rsidRPr="002811B4" w:rsidTr="002811B4">
        <w:trPr>
          <w:tblCellSpacing w:w="15" w:type="dxa"/>
        </w:trPr>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Low pollution</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Background contamination</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Stable population dynamics</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Ecosystem remains resilient</w:t>
            </w:r>
          </w:p>
        </w:tc>
      </w:tr>
      <w:tr w:rsidR="002811B4" w:rsidRPr="002811B4" w:rsidTr="002811B4">
        <w:trPr>
          <w:tblCellSpacing w:w="15" w:type="dxa"/>
        </w:trPr>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Moderate pollution</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Agricultural runoff input</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Gradual population decline</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Reduced reproductive success</w:t>
            </w:r>
          </w:p>
        </w:tc>
      </w:tr>
      <w:tr w:rsidR="002811B4" w:rsidRPr="002811B4" w:rsidTr="002811B4">
        <w:trPr>
          <w:tblCellSpacing w:w="15" w:type="dxa"/>
        </w:trPr>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High pollution</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Industrial discharge</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Sharp population reduction</w:t>
            </w:r>
          </w:p>
        </w:tc>
        <w:tc>
          <w:tcPr>
            <w:tcW w:w="0" w:type="auto"/>
            <w:vAlign w:val="center"/>
            <w:hideMark/>
          </w:tcPr>
          <w:p w:rsidR="002811B4" w:rsidRPr="002811B4" w:rsidRDefault="002811B4" w:rsidP="002811B4">
            <w:pPr>
              <w:spacing w:after="0" w:line="240" w:lineRule="auto"/>
              <w:jc w:val="center"/>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Potential ecosystem instability</w:t>
            </w:r>
          </w:p>
        </w:tc>
      </w:tr>
    </w:tbl>
    <w:p w:rsidR="002811B4" w:rsidRPr="000E75D3" w:rsidRDefault="002811B4" w:rsidP="000E75D3">
      <w:pPr>
        <w:spacing w:before="100" w:beforeAutospacing="1" w:after="100" w:afterAutospacing="1" w:line="240" w:lineRule="auto"/>
        <w:rPr>
          <w:rFonts w:ascii="Times New Roman" w:eastAsia="Times New Roman" w:hAnsi="Times New Roman" w:cs="Times New Roman"/>
          <w:sz w:val="24"/>
          <w:szCs w:val="24"/>
          <w:lang w:val="en-US" w:bidi="ar-SA"/>
        </w:rPr>
      </w:pPr>
      <w:r w:rsidRPr="002811B4">
        <w:rPr>
          <w:rFonts w:ascii="Times New Roman" w:eastAsia="Times New Roman" w:hAnsi="Times New Roman" w:cs="Times New Roman"/>
          <w:sz w:val="24"/>
          <w:szCs w:val="24"/>
          <w:lang w:val="en-US" w:bidi="ar-SA"/>
        </w:rPr>
        <w:t>Table 2 presents representative simulation outcomes illustrating the sensitivity of aquatic populations to increasing pollutant concentrations.</w:t>
      </w:r>
    </w:p>
    <w:p w:rsidR="00E31C23" w:rsidRPr="00E31C23" w:rsidRDefault="00E31C23" w:rsidP="00EB7764">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t>6. Discussion</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6.1 Model Validity and Reliability</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proposed coupled pollution–population model provides a coherent framework for evaluating the ecological impacts of water pollution. By integrating advection–diffusion-based pollutant transport with biologically meaningful population dynamics, the model captures essential interactions between water quality and aquatic species responses. Calibration using toxicity parameters derived from experimental studies enhances the ecological relevance of the simulations.</w:t>
      </w:r>
    </w:p>
    <w:p w:rsidR="005511C9" w:rsidRPr="0031355A" w:rsidRDefault="00E31C23" w:rsidP="00EB7764">
      <w:pPr>
        <w:pStyle w:val="NormalWeb"/>
        <w:spacing w:line="360" w:lineRule="auto"/>
        <w:jc w:val="both"/>
      </w:pPr>
      <w:r w:rsidRPr="00E31C23">
        <w:t>Ne</w:t>
      </w:r>
      <w:r w:rsidR="00D73D6D" w:rsidRPr="0031355A">
        <w:t xml:space="preserve">vertheless, certain assumptions </w:t>
      </w:r>
      <w:r w:rsidRPr="00E31C23">
        <w:t>such as one-dimensional flow representation and</w:t>
      </w:r>
      <w:r w:rsidR="00D73D6D" w:rsidRPr="0031355A">
        <w:t xml:space="preserve"> steady hydrodynamic conditions </w:t>
      </w:r>
      <w:r w:rsidRPr="00E31C23">
        <w:t xml:space="preserve">introduce limitations. These simplifications are necessary for tractability but may not fully represent complex environments such as estuaries or stratified water bodies. </w:t>
      </w:r>
      <w:r w:rsidR="005511C9" w:rsidRPr="0031355A">
        <w:t>The model successfully reproduces general trends reported in empirical studies, particularly with respect to pollution-induced population decline.</w:t>
      </w:r>
    </w:p>
    <w:p w:rsidR="00E31C23" w:rsidRPr="00E31C23" w:rsidRDefault="00E31C23" w:rsidP="001D1F4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Numerical stability is maintained through established solution techniques, ensuring reliable simulation outcomes across the tested scenarios. Overall, the framework is suitable for comparative assessments and scenario analysis in environmental management contexts.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6.2 Ecological Implications</w:t>
      </w:r>
    </w:p>
    <w:p w:rsidR="00E31C23" w:rsidRPr="00BC75CA" w:rsidRDefault="00E31C23" w:rsidP="00EB7764">
      <w:pPr>
        <w:spacing w:before="100" w:beforeAutospacing="1" w:after="100" w:afterAutospacing="1" w:line="360" w:lineRule="auto"/>
        <w:jc w:val="both"/>
        <w:rPr>
          <w:rFonts w:ascii="Times New Roman" w:eastAsia="Times New Roman" w:hAnsi="Times New Roman" w:cs="Times New Roman"/>
          <w:b/>
          <w:sz w:val="24"/>
          <w:szCs w:val="24"/>
          <w:lang w:eastAsia="en-IN" w:bidi="ar-SA"/>
        </w:rPr>
      </w:pPr>
      <w:r w:rsidRPr="00E31C23">
        <w:rPr>
          <w:rFonts w:ascii="Times New Roman" w:eastAsia="Times New Roman" w:hAnsi="Times New Roman" w:cs="Times New Roman"/>
          <w:sz w:val="24"/>
          <w:szCs w:val="24"/>
          <w:lang w:eastAsia="en-IN" w:bidi="ar-SA"/>
        </w:rPr>
        <w:t xml:space="preserve">The results demonstrate that aquatic species are highly sensitive to changes in pollutant concentrations, especially beyond critical toxicity thresholds. The </w:t>
      </w:r>
      <w:r w:rsidRPr="00E31C23">
        <w:rPr>
          <w:rFonts w:ascii="Times New Roman" w:eastAsia="Times New Roman" w:hAnsi="Times New Roman" w:cs="Times New Roman"/>
          <w:i/>
          <w:iCs/>
          <w:sz w:val="24"/>
          <w:szCs w:val="24"/>
          <w:lang w:eastAsia="en-IN" w:bidi="ar-SA"/>
        </w:rPr>
        <w:t>Daphnia magna</w:t>
      </w:r>
      <w:r w:rsidRPr="00E31C23">
        <w:rPr>
          <w:rFonts w:ascii="Times New Roman" w:eastAsia="Times New Roman" w:hAnsi="Times New Roman" w:cs="Times New Roman"/>
          <w:sz w:val="24"/>
          <w:szCs w:val="24"/>
          <w:lang w:eastAsia="en-IN" w:bidi="ar-SA"/>
        </w:rPr>
        <w:t xml:space="preserve"> case study </w:t>
      </w:r>
      <w:r w:rsidRPr="00E31C23">
        <w:rPr>
          <w:rFonts w:ascii="Times New Roman" w:eastAsia="Times New Roman" w:hAnsi="Times New Roman" w:cs="Times New Roman"/>
          <w:sz w:val="24"/>
          <w:szCs w:val="24"/>
          <w:lang w:eastAsia="en-IN" w:bidi="ar-SA"/>
        </w:rPr>
        <w:lastRenderedPageBreak/>
        <w:t>illustrates how even moderate increases in ammonia levels can lead to substantial population declines, with potential cascading effects on aquatic food webs. Such population-level impacts may alter species composition, reduce ecosystem resilience, and impair essential ecosystem services</w:t>
      </w:r>
      <w:r w:rsidR="00BC75CA">
        <w:rPr>
          <w:rFonts w:ascii="Times New Roman" w:eastAsia="Times New Roman" w:hAnsi="Times New Roman" w:cs="Times New Roman"/>
          <w:sz w:val="24"/>
          <w:szCs w:val="24"/>
          <w:lang w:eastAsia="en-IN" w:bidi="ar-SA"/>
        </w:rPr>
        <w:t xml:space="preserve"> </w:t>
      </w:r>
      <w:r w:rsidR="00BC75CA" w:rsidRPr="00BC75CA">
        <w:rPr>
          <w:rStyle w:val="Strong"/>
          <w:rFonts w:ascii="Times New Roman" w:hAnsi="Times New Roman" w:cs="Times New Roman"/>
          <w:b w:val="0"/>
          <w:sz w:val="24"/>
          <w:szCs w:val="24"/>
        </w:rPr>
        <w:t>(</w:t>
      </w:r>
      <w:proofErr w:type="spellStart"/>
      <w:r w:rsidR="00F82ACF">
        <w:rPr>
          <w:rStyle w:val="Strong"/>
          <w:rFonts w:ascii="Times New Roman" w:hAnsi="Times New Roman" w:cs="Times New Roman"/>
          <w:b w:val="0"/>
          <w:sz w:val="24"/>
          <w:szCs w:val="24"/>
        </w:rPr>
        <w:t>Briffa</w:t>
      </w:r>
      <w:proofErr w:type="spellEnd"/>
      <w:r w:rsidR="00BC75CA" w:rsidRPr="00BC75CA">
        <w:rPr>
          <w:rStyle w:val="Strong"/>
          <w:rFonts w:ascii="Times New Roman" w:hAnsi="Times New Roman" w:cs="Times New Roman"/>
          <w:b w:val="0"/>
          <w:sz w:val="24"/>
          <w:szCs w:val="24"/>
        </w:rPr>
        <w:t xml:space="preserve"> et al., 202</w:t>
      </w:r>
      <w:r w:rsidR="00F82ACF">
        <w:rPr>
          <w:rStyle w:val="Strong"/>
          <w:rFonts w:ascii="Times New Roman" w:hAnsi="Times New Roman" w:cs="Times New Roman"/>
          <w:b w:val="0"/>
          <w:sz w:val="24"/>
          <w:szCs w:val="24"/>
        </w:rPr>
        <w:t>0</w:t>
      </w:r>
      <w:r w:rsidR="00BC75CA" w:rsidRPr="00BC75CA">
        <w:rPr>
          <w:rStyle w:val="Strong"/>
          <w:rFonts w:ascii="Times New Roman" w:hAnsi="Times New Roman" w:cs="Times New Roman"/>
          <w:b w:val="0"/>
          <w:sz w:val="24"/>
          <w:szCs w:val="24"/>
        </w:rPr>
        <w:t>)</w:t>
      </w:r>
      <w:r w:rsidR="00BC75CA" w:rsidRPr="00BC75CA">
        <w:rPr>
          <w:rFonts w:ascii="Times New Roman" w:hAnsi="Times New Roman" w:cs="Times New Roman"/>
          <w:b/>
          <w:sz w:val="24"/>
          <w:szCs w:val="24"/>
        </w:rPr>
        <w:t>.</w:t>
      </w:r>
    </w:p>
    <w:p w:rsidR="00E31C23" w:rsidRPr="00E31C23" w:rsidRDefault="00E31C23" w:rsidP="001D1F4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Spatial variability in pollutant distribution further emphasizes the need for targeted management strategies. Regions downstream of pollution sources are particularly vulnerable, highlighting the importance of localized mitigation efforts. The model also underscores the potential for ecological recovery when pollution inputs are reduced, reinforcing the value of effective pollution control and remediation measures.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6.3 Comparison with Empirical Observations</w:t>
      </w:r>
    </w:p>
    <w:p w:rsidR="00E31C23" w:rsidRPr="00E31C23" w:rsidRDefault="00E31C23" w:rsidP="001D1F4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Comparison of model predictions with reported field and laboratory observations reveals strong agreement in overall trends</w:t>
      </w:r>
      <w:r w:rsidR="00997B71">
        <w:rPr>
          <w:rFonts w:ascii="Times New Roman" w:eastAsia="Times New Roman" w:hAnsi="Times New Roman" w:cs="Times New Roman"/>
          <w:sz w:val="24"/>
          <w:szCs w:val="24"/>
          <w:lang w:eastAsia="en-IN" w:bidi="ar-SA"/>
        </w:rPr>
        <w:t xml:space="preserve"> (Arhonditsis &amp; Brett, 2004)</w:t>
      </w:r>
      <w:r w:rsidRPr="00E31C23">
        <w:rPr>
          <w:rFonts w:ascii="Times New Roman" w:eastAsia="Times New Roman" w:hAnsi="Times New Roman" w:cs="Times New Roman"/>
          <w:sz w:val="24"/>
          <w:szCs w:val="24"/>
          <w:lang w:eastAsia="en-IN" w:bidi="ar-SA"/>
        </w:rPr>
        <w:t>, particularly the relationship between pollutant exposure and reduced species abundance. While discrepancies may arise due to unmodeled factors such as temperature variability, predation pressure, or sediment interactions, the consistency between modeled outcomes and empirical evidence supports the framework’s applicability for ecological risk assessment.</w:t>
      </w:r>
    </w:p>
    <w:p w:rsidR="00E31C23" w:rsidRPr="00E31C23" w:rsidRDefault="00E31C23" w:rsidP="00EB7764">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t>7. Conclusion</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7.1 Summary of Findings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This study presents a comprehensive mathematical framework for assessing the impacts of water pollution on aquatic species. By coupling pollutant transport dynamics with population-based biological models, the framework enables the simulation of both environmental processes and ecological responses. Key findings include:</w:t>
      </w:r>
    </w:p>
    <w:p w:rsidR="00E31C23" w:rsidRPr="00E31C23" w:rsidRDefault="00E31C23" w:rsidP="00EB7764">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Effective representation of pollutant transport, dispersion, and decay in aquatic systems.</w:t>
      </w:r>
    </w:p>
    <w:p w:rsidR="00E31C23" w:rsidRPr="00E31C23" w:rsidRDefault="00E31C23" w:rsidP="00EB7764">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Quantitative linkage between pollutant concentrations and species population dynamics through toxicity-based mortality functions.</w:t>
      </w:r>
    </w:p>
    <w:p w:rsidR="00E31C23" w:rsidRPr="00E31C23" w:rsidRDefault="00E31C23" w:rsidP="00EB7764">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Identification of critical concentration thresholds beyond which rapid population decline occurs.</w:t>
      </w:r>
    </w:p>
    <w:p w:rsidR="00E31C23" w:rsidRPr="00E31C23" w:rsidRDefault="00E31C23" w:rsidP="001D1F43">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lastRenderedPageBreak/>
        <w:t>Demonstration of the potential for population recovery under pollution mitigation scenarios.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7.2 Recommendations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Based on the findings, the following recommendations are proposed:</w:t>
      </w:r>
    </w:p>
    <w:p w:rsidR="00E31C23" w:rsidRPr="00E31C23" w:rsidRDefault="00E31C23" w:rsidP="00EB7764">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Targeted Pollution Control:</w:t>
      </w:r>
      <w:r w:rsidRPr="00E31C23">
        <w:rPr>
          <w:rFonts w:ascii="Times New Roman" w:eastAsia="Times New Roman" w:hAnsi="Times New Roman" w:cs="Times New Roman"/>
          <w:sz w:val="24"/>
          <w:szCs w:val="24"/>
          <w:lang w:eastAsia="en-IN" w:bidi="ar-SA"/>
        </w:rPr>
        <w:t xml:space="preserve"> Management efforts should prioritize regions identified as high-risk by model simulations, particularly downstream of major pollutant sources.</w:t>
      </w:r>
    </w:p>
    <w:p w:rsidR="00E31C23" w:rsidRPr="00E31C23" w:rsidRDefault="00E31C23" w:rsidP="00EB7764">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Species-Specific Conservation:</w:t>
      </w:r>
      <w:r w:rsidRPr="00E31C23">
        <w:rPr>
          <w:rFonts w:ascii="Times New Roman" w:eastAsia="Times New Roman" w:hAnsi="Times New Roman" w:cs="Times New Roman"/>
          <w:sz w:val="24"/>
          <w:szCs w:val="24"/>
          <w:lang w:eastAsia="en-IN" w:bidi="ar-SA"/>
        </w:rPr>
        <w:t xml:space="preserve"> Conservation strategies should consider species sensitivity to specific pollutants, as highlighted by dose–response relationships.</w:t>
      </w:r>
    </w:p>
    <w:p w:rsidR="00E31C23" w:rsidRPr="00E31C23" w:rsidRDefault="00E31C23" w:rsidP="001D1F43">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Enhanced Monitoring:</w:t>
      </w:r>
      <w:r w:rsidRPr="00E31C23">
        <w:rPr>
          <w:rFonts w:ascii="Times New Roman" w:eastAsia="Times New Roman" w:hAnsi="Times New Roman" w:cs="Times New Roman"/>
          <w:sz w:val="24"/>
          <w:szCs w:val="24"/>
          <w:lang w:eastAsia="en-IN" w:bidi="ar-SA"/>
        </w:rPr>
        <w:t xml:space="preserve"> Improved collection of water quality and biological data will strengthen model calibration and predictive accuracy.</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7.3 Future Research Directions</w:t>
      </w:r>
    </w:p>
    <w:p w:rsid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Future work should focus on extending the model to incorporate additional environmental variables such as temperature, salinity, and sediment interactions. Expanding the framework to include multiple species and interacting pollutants will further enhance its applicability across diverse aquatic ecosystems. Long-term empirical validation is also recommended to improve predictions of ecosystem resilience under chronic pollution stress.</w:t>
      </w:r>
    </w:p>
    <w:p w:rsidR="00874F0D" w:rsidRPr="00874F0D" w:rsidRDefault="00874F0D"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874F0D">
        <w:rPr>
          <w:rFonts w:ascii="Times New Roman" w:hAnsi="Times New Roman" w:cs="Times New Roman"/>
          <w:sz w:val="24"/>
          <w:szCs w:val="24"/>
        </w:rPr>
        <w:t xml:space="preserve">The </w:t>
      </w:r>
      <w:r w:rsidR="002E6704" w:rsidRPr="00874F0D">
        <w:rPr>
          <w:rFonts w:ascii="Times New Roman" w:hAnsi="Times New Roman" w:cs="Times New Roman"/>
          <w:sz w:val="24"/>
          <w:szCs w:val="24"/>
        </w:rPr>
        <w:t>modelling</w:t>
      </w:r>
      <w:r w:rsidRPr="00874F0D">
        <w:rPr>
          <w:rFonts w:ascii="Times New Roman" w:hAnsi="Times New Roman" w:cs="Times New Roman"/>
          <w:sz w:val="24"/>
          <w:szCs w:val="24"/>
        </w:rPr>
        <w:t xml:space="preserve"> framework presented in this study offers valuable insights for environmental monitoring and management programs aimed at protecting aquatic biodiversity. By identifying critical pollution thresholds and population response patterns, the approach can assist regulatory agencies in establishing scientifically informed water quality standards. The methodology can be extended to multi-species systems and to additional pollutant classes, enabling broader ecosystem-level assessments. Future research may incorporate climate-driven hydrological variability and adaptive species responses to improve predictive accuracy. Overall, the integration of pollutant transport dynamics with population </w:t>
      </w:r>
      <w:r w:rsidR="002E6704" w:rsidRPr="00874F0D">
        <w:rPr>
          <w:rFonts w:ascii="Times New Roman" w:hAnsi="Times New Roman" w:cs="Times New Roman"/>
          <w:sz w:val="24"/>
          <w:szCs w:val="24"/>
        </w:rPr>
        <w:t>modelling</w:t>
      </w:r>
      <w:r w:rsidRPr="00874F0D">
        <w:rPr>
          <w:rFonts w:ascii="Times New Roman" w:hAnsi="Times New Roman" w:cs="Times New Roman"/>
          <w:sz w:val="24"/>
          <w:szCs w:val="24"/>
        </w:rPr>
        <w:t xml:space="preserve"> provides a useful decision-support tool for sustainable freshwater ecosystem management.</w:t>
      </w:r>
    </w:p>
    <w:p w:rsidR="00476AAB" w:rsidRDefault="00476AAB" w:rsidP="005B1B0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bidi="ar-SA"/>
        </w:rPr>
      </w:pPr>
    </w:p>
    <w:p w:rsidR="00476AAB" w:rsidRDefault="00476AAB" w:rsidP="005B1B0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US" w:bidi="ar-SA"/>
        </w:rPr>
      </w:pPr>
    </w:p>
    <w:p w:rsidR="005B1B07" w:rsidRPr="005B1B07" w:rsidRDefault="005B1B07" w:rsidP="005B1B07">
      <w:pPr>
        <w:spacing w:before="100" w:beforeAutospacing="1" w:after="100" w:afterAutospacing="1" w:line="240" w:lineRule="auto"/>
        <w:jc w:val="both"/>
        <w:outlineLvl w:val="1"/>
        <w:rPr>
          <w:rFonts w:ascii="Times New Roman" w:eastAsia="Times New Roman" w:hAnsi="Times New Roman" w:cs="Times New Roman"/>
          <w:b/>
          <w:bCs/>
          <w:sz w:val="24"/>
          <w:szCs w:val="24"/>
          <w:lang w:val="en-US" w:bidi="ar-SA"/>
        </w:rPr>
      </w:pPr>
      <w:r w:rsidRPr="005B1B07">
        <w:rPr>
          <w:rFonts w:ascii="Times New Roman" w:eastAsia="Times New Roman" w:hAnsi="Times New Roman" w:cs="Times New Roman"/>
          <w:b/>
          <w:bCs/>
          <w:sz w:val="24"/>
          <w:szCs w:val="24"/>
          <w:lang w:val="en-US" w:bidi="ar-SA"/>
        </w:rPr>
        <w:lastRenderedPageBreak/>
        <w:t>Conflict of Interest</w:t>
      </w:r>
    </w:p>
    <w:p w:rsidR="005B1B07" w:rsidRPr="005B1B07" w:rsidRDefault="005B1B07" w:rsidP="005B1B07">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5B1B07">
        <w:rPr>
          <w:rFonts w:ascii="Times New Roman" w:eastAsia="Times New Roman" w:hAnsi="Times New Roman" w:cs="Times New Roman"/>
          <w:sz w:val="24"/>
          <w:szCs w:val="24"/>
          <w:lang w:val="en-US" w:bidi="ar-SA"/>
        </w:rPr>
        <w:t>The author(s) declare that there are no conflicts of interest regarding the publication of this paper.</w:t>
      </w:r>
    </w:p>
    <w:p w:rsidR="005B1B07" w:rsidRPr="005B1B07" w:rsidRDefault="005B1B07" w:rsidP="005B1B07">
      <w:pPr>
        <w:spacing w:before="100" w:beforeAutospacing="1" w:after="100" w:afterAutospacing="1" w:line="240" w:lineRule="auto"/>
        <w:jc w:val="both"/>
        <w:outlineLvl w:val="1"/>
        <w:rPr>
          <w:rFonts w:ascii="Times New Roman" w:eastAsia="Times New Roman" w:hAnsi="Times New Roman" w:cs="Times New Roman"/>
          <w:b/>
          <w:bCs/>
          <w:sz w:val="24"/>
          <w:szCs w:val="24"/>
          <w:lang w:val="en-US" w:bidi="ar-SA"/>
        </w:rPr>
      </w:pPr>
      <w:r w:rsidRPr="005B1B07">
        <w:rPr>
          <w:rFonts w:ascii="Times New Roman" w:eastAsia="Times New Roman" w:hAnsi="Times New Roman" w:cs="Times New Roman"/>
          <w:b/>
          <w:bCs/>
          <w:sz w:val="24"/>
          <w:szCs w:val="24"/>
          <w:lang w:val="en-US" w:bidi="ar-SA"/>
        </w:rPr>
        <w:t>Data Availability</w:t>
      </w:r>
    </w:p>
    <w:p w:rsidR="005B1B07" w:rsidRPr="005B1B07" w:rsidRDefault="005B1B07" w:rsidP="005B1B07">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5B1B07">
        <w:rPr>
          <w:rFonts w:ascii="Times New Roman" w:eastAsia="Times New Roman" w:hAnsi="Times New Roman" w:cs="Times New Roman"/>
          <w:sz w:val="24"/>
          <w:szCs w:val="24"/>
          <w:lang w:val="en-US" w:bidi="ar-SA"/>
        </w:rPr>
        <w:t>No new experimental datasets were generated for this study. All analyses were based on mathematical modeling and publicly available scientific knowledge.</w:t>
      </w:r>
    </w:p>
    <w:p w:rsidR="005B1B07" w:rsidRPr="005B1B07" w:rsidRDefault="005B1B07" w:rsidP="005B1B07">
      <w:pPr>
        <w:spacing w:before="100" w:beforeAutospacing="1" w:after="100" w:afterAutospacing="1" w:line="240" w:lineRule="auto"/>
        <w:jc w:val="both"/>
        <w:outlineLvl w:val="1"/>
        <w:rPr>
          <w:rFonts w:ascii="Times New Roman" w:eastAsia="Times New Roman" w:hAnsi="Times New Roman" w:cs="Times New Roman"/>
          <w:b/>
          <w:bCs/>
          <w:sz w:val="24"/>
          <w:szCs w:val="24"/>
          <w:lang w:val="en-US" w:bidi="ar-SA"/>
        </w:rPr>
      </w:pPr>
      <w:r w:rsidRPr="005B1B07">
        <w:rPr>
          <w:rFonts w:ascii="Times New Roman" w:eastAsia="Times New Roman" w:hAnsi="Times New Roman" w:cs="Times New Roman"/>
          <w:b/>
          <w:bCs/>
          <w:sz w:val="24"/>
          <w:szCs w:val="24"/>
          <w:lang w:val="en-US" w:bidi="ar-SA"/>
        </w:rPr>
        <w:t>Author Contributions</w:t>
      </w:r>
    </w:p>
    <w:p w:rsidR="005B1B07" w:rsidRPr="005B1B07" w:rsidRDefault="005B1B07" w:rsidP="005B1B07">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5B1B07">
        <w:rPr>
          <w:rFonts w:ascii="Times New Roman" w:eastAsia="Times New Roman" w:hAnsi="Times New Roman" w:cs="Times New Roman"/>
          <w:sz w:val="24"/>
          <w:szCs w:val="24"/>
          <w:lang w:val="en-US" w:bidi="ar-SA"/>
        </w:rPr>
        <w:t>The author conceived the study, developed the mathematical model, performed the simulations, analyzed the results, and prepared the manuscript.</w:t>
      </w:r>
    </w:p>
    <w:p w:rsidR="0011207C" w:rsidRDefault="0011207C" w:rsidP="0011207C">
      <w:pPr>
        <w:pStyle w:val="NormalWeb"/>
        <w:spacing w:line="360" w:lineRule="auto"/>
      </w:pPr>
      <w:r>
        <w:rPr>
          <w:rStyle w:val="Strong"/>
        </w:rPr>
        <w:t>Disclaimer (Artificial Intelligence)</w:t>
      </w:r>
      <w:r>
        <w:br/>
        <w:t>Author(s) hereby declare that NO generative AI technologies such as Large Language Models (</w:t>
      </w:r>
      <w:proofErr w:type="spellStart"/>
      <w:r>
        <w:t>ChatGPT</w:t>
      </w:r>
      <w:proofErr w:type="spellEnd"/>
      <w:r>
        <w:t xml:space="preserve">, </w:t>
      </w:r>
      <w:proofErr w:type="spellStart"/>
      <w:r>
        <w:t>Copilot</w:t>
      </w:r>
      <w:proofErr w:type="spellEnd"/>
      <w:r>
        <w:t>, etc.) and text-to-image generators have been used during the writing or editing of this manuscript.</w:t>
      </w:r>
    </w:p>
    <w:p w:rsidR="00697C5C" w:rsidRDefault="001D1F43" w:rsidP="00CB69EC">
      <w:pPr>
        <w:pStyle w:val="NormalWeb"/>
        <w:spacing w:line="360" w:lineRule="auto"/>
        <w:jc w:val="both"/>
        <w:rPr>
          <w:b/>
        </w:rPr>
      </w:pPr>
      <w:r>
        <w:rPr>
          <w:b/>
        </w:rPr>
        <w:t xml:space="preserve">8. </w:t>
      </w:r>
      <w:r w:rsidR="00E31C23" w:rsidRPr="00E31C23">
        <w:rPr>
          <w:b/>
        </w:rPr>
        <w:t>References</w:t>
      </w:r>
    </w:p>
    <w:p w:rsidR="009945D4" w:rsidRDefault="001D1F43" w:rsidP="00CB69EC">
      <w:pPr>
        <w:spacing w:before="100" w:beforeAutospacing="1" w:after="100" w:afterAutospacing="1" w:line="240" w:lineRule="auto"/>
        <w:jc w:val="both"/>
        <w:rPr>
          <w:rFonts w:ascii="Times New Roman" w:eastAsia="Times New Roman" w:hAnsi="Times New Roman" w:cs="Times New Roman"/>
          <w:sz w:val="24"/>
          <w:szCs w:val="24"/>
          <w:lang w:eastAsia="en-IN" w:bidi="ar-SA"/>
        </w:rPr>
      </w:pPr>
      <w:r>
        <w:rPr>
          <w:rFonts w:ascii="Times New Roman" w:eastAsia="Times New Roman" w:hAnsi="Symbol" w:cs="Times New Roman"/>
          <w:sz w:val="24"/>
          <w:szCs w:val="24"/>
          <w:lang w:eastAsia="en-IN" w:bidi="ar-SA"/>
        </w:rPr>
        <w:t xml:space="preserve">1. </w:t>
      </w:r>
      <w:r w:rsidR="00184948">
        <w:rPr>
          <w:rFonts w:ascii="Times New Roman" w:eastAsia="Times New Roman" w:hAnsi="Times New Roman" w:cs="Times New Roman"/>
          <w:sz w:val="24"/>
          <w:szCs w:val="24"/>
          <w:lang w:eastAsia="en-IN" w:bidi="ar-SA"/>
        </w:rPr>
        <w:t xml:space="preserve">Arhonditsis, G. B., &amp; Brett, M. T. (2004). Evaluation of the current state of mechanistic aquatic biogeochemical modelling. </w:t>
      </w:r>
      <w:r w:rsidR="00184948">
        <w:rPr>
          <w:rFonts w:ascii="Times New Roman" w:eastAsia="Times New Roman" w:hAnsi="Times New Roman" w:cs="Times New Roman"/>
          <w:i/>
          <w:sz w:val="24"/>
          <w:szCs w:val="24"/>
          <w:lang w:eastAsia="en-IN" w:bidi="ar-SA"/>
        </w:rPr>
        <w:t>Marine Ecology Progress Series</w:t>
      </w:r>
      <w:r w:rsidR="00184948">
        <w:rPr>
          <w:rFonts w:ascii="Times New Roman" w:eastAsia="Times New Roman" w:hAnsi="Times New Roman" w:cs="Times New Roman"/>
          <w:sz w:val="24"/>
          <w:szCs w:val="24"/>
          <w:lang w:eastAsia="en-IN" w:bidi="ar-SA"/>
        </w:rPr>
        <w:t xml:space="preserve">, 271, 13-26. </w:t>
      </w:r>
      <w:hyperlink r:id="rId8" w:history="1">
        <w:r w:rsidR="00184948" w:rsidRPr="004254DD">
          <w:rPr>
            <w:rStyle w:val="Hyperlink"/>
            <w:rFonts w:ascii="Times New Roman" w:eastAsia="Times New Roman" w:hAnsi="Times New Roman" w:cs="Times New Roman"/>
            <w:sz w:val="24"/>
            <w:szCs w:val="24"/>
            <w:lang w:eastAsia="en-IN" w:bidi="ar-SA"/>
          </w:rPr>
          <w:t>https://doi.org/10.3354/meps271013</w:t>
        </w:r>
      </w:hyperlink>
      <w:r w:rsidR="00184948">
        <w:rPr>
          <w:rFonts w:ascii="Times New Roman" w:eastAsia="Times New Roman" w:hAnsi="Times New Roman" w:cs="Times New Roman"/>
          <w:sz w:val="24"/>
          <w:szCs w:val="24"/>
          <w:lang w:eastAsia="en-IN" w:bidi="ar-SA"/>
        </w:rPr>
        <w:t xml:space="preserve">. </w:t>
      </w:r>
    </w:p>
    <w:p w:rsidR="009945D4" w:rsidRPr="009945D4" w:rsidRDefault="009945D4" w:rsidP="009945D4">
      <w:pPr>
        <w:spacing w:before="100" w:beforeAutospacing="1" w:after="100" w:afterAutospacing="1" w:line="240" w:lineRule="auto"/>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2. </w:t>
      </w:r>
      <w:proofErr w:type="spellStart"/>
      <w:r w:rsidRPr="009945D4">
        <w:rPr>
          <w:rFonts w:ascii="Times New Roman" w:hAnsi="Times New Roman" w:cs="Times New Roman"/>
          <w:sz w:val="24"/>
          <w:szCs w:val="24"/>
        </w:rPr>
        <w:t>Briffa</w:t>
      </w:r>
      <w:proofErr w:type="spellEnd"/>
      <w:r w:rsidRPr="009945D4">
        <w:rPr>
          <w:rFonts w:ascii="Times New Roman" w:hAnsi="Times New Roman" w:cs="Times New Roman"/>
          <w:sz w:val="24"/>
          <w:szCs w:val="24"/>
        </w:rPr>
        <w:t xml:space="preserve">, J., </w:t>
      </w:r>
      <w:proofErr w:type="spellStart"/>
      <w:r w:rsidRPr="009945D4">
        <w:rPr>
          <w:rFonts w:ascii="Times New Roman" w:hAnsi="Times New Roman" w:cs="Times New Roman"/>
          <w:sz w:val="24"/>
          <w:szCs w:val="24"/>
        </w:rPr>
        <w:t>Sina</w:t>
      </w:r>
      <w:r>
        <w:rPr>
          <w:rFonts w:ascii="Times New Roman" w:hAnsi="Times New Roman" w:cs="Times New Roman"/>
          <w:sz w:val="24"/>
          <w:szCs w:val="24"/>
        </w:rPr>
        <w:t>gra</w:t>
      </w:r>
      <w:proofErr w:type="spellEnd"/>
      <w:r>
        <w:rPr>
          <w:rFonts w:ascii="Times New Roman" w:hAnsi="Times New Roman" w:cs="Times New Roman"/>
          <w:sz w:val="24"/>
          <w:szCs w:val="24"/>
        </w:rPr>
        <w:t xml:space="preserve">, E., &amp; Blundell, R. (2020). </w:t>
      </w:r>
      <w:r w:rsidRPr="009945D4">
        <w:rPr>
          <w:rFonts w:ascii="Times New Roman" w:hAnsi="Times New Roman" w:cs="Times New Roman"/>
          <w:sz w:val="24"/>
          <w:szCs w:val="24"/>
        </w:rPr>
        <w:t>Heavy met</w:t>
      </w:r>
      <w:r>
        <w:rPr>
          <w:rFonts w:ascii="Times New Roman" w:hAnsi="Times New Roman" w:cs="Times New Roman"/>
          <w:sz w:val="24"/>
          <w:szCs w:val="24"/>
        </w:rPr>
        <w:t xml:space="preserve">al pollution in the environment </w:t>
      </w:r>
      <w:r w:rsidRPr="009945D4">
        <w:rPr>
          <w:rFonts w:ascii="Times New Roman" w:hAnsi="Times New Roman" w:cs="Times New Roman"/>
          <w:sz w:val="24"/>
          <w:szCs w:val="24"/>
        </w:rPr>
        <w:t xml:space="preserve">and their toxicological effects on humans and aquatic organisms. </w:t>
      </w:r>
      <w:proofErr w:type="spellStart"/>
      <w:r w:rsidRPr="009945D4">
        <w:rPr>
          <w:rFonts w:ascii="Times New Roman" w:hAnsi="Times New Roman" w:cs="Times New Roman"/>
          <w:i/>
          <w:iCs/>
          <w:sz w:val="24"/>
          <w:szCs w:val="24"/>
        </w:rPr>
        <w:t>Heliyon</w:t>
      </w:r>
      <w:proofErr w:type="spellEnd"/>
      <w:r>
        <w:rPr>
          <w:rFonts w:ascii="Times New Roman" w:hAnsi="Times New Roman" w:cs="Times New Roman"/>
          <w:sz w:val="24"/>
          <w:szCs w:val="24"/>
        </w:rPr>
        <w:t xml:space="preserve">, 6(9), e04691. </w:t>
      </w:r>
      <w:hyperlink r:id="rId9" w:tgtFrame="_new" w:history="1">
        <w:r w:rsidRPr="009945D4">
          <w:rPr>
            <w:rFonts w:ascii="Times New Roman" w:hAnsi="Times New Roman" w:cs="Times New Roman"/>
            <w:color w:val="0000FF"/>
            <w:sz w:val="24"/>
            <w:szCs w:val="24"/>
            <w:u w:val="single"/>
          </w:rPr>
          <w:t>https://doi.org/10.1016/j.heliyon.2020.e04691</w:t>
        </w:r>
      </w:hyperlink>
      <w:r>
        <w:rPr>
          <w:rFonts w:ascii="Times New Roman" w:hAnsi="Times New Roman" w:cs="Times New Roman"/>
          <w:sz w:val="24"/>
          <w:szCs w:val="24"/>
        </w:rPr>
        <w:t>.</w:t>
      </w:r>
    </w:p>
    <w:p w:rsidR="00E31C23" w:rsidRDefault="000B7533" w:rsidP="00CB69EC">
      <w:pPr>
        <w:spacing w:before="100" w:beforeAutospacing="1" w:after="100" w:afterAutospacing="1" w:line="240" w:lineRule="auto"/>
        <w:jc w:val="both"/>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3</w:t>
      </w:r>
      <w:r w:rsidR="001D1F43">
        <w:rPr>
          <w:rFonts w:ascii="Times New Roman" w:eastAsia="Times New Roman" w:hAnsi="Times New Roman" w:cs="Times New Roman"/>
          <w:sz w:val="24"/>
          <w:szCs w:val="24"/>
          <w:lang w:eastAsia="en-IN" w:bidi="ar-SA"/>
        </w:rPr>
        <w:t xml:space="preserve">. </w:t>
      </w:r>
      <w:r w:rsidR="00073E2B">
        <w:rPr>
          <w:rFonts w:ascii="Times New Roman" w:eastAsia="Times New Roman" w:hAnsi="Times New Roman" w:cs="Times New Roman"/>
          <w:sz w:val="24"/>
          <w:szCs w:val="24"/>
          <w:lang w:eastAsia="en-IN" w:bidi="ar-SA"/>
        </w:rPr>
        <w:t xml:space="preserve">Chapra, S. C. (2008). </w:t>
      </w:r>
      <w:r w:rsidR="00073E2B">
        <w:rPr>
          <w:rFonts w:ascii="Times New Roman" w:eastAsia="Times New Roman" w:hAnsi="Times New Roman" w:cs="Times New Roman"/>
          <w:i/>
          <w:sz w:val="24"/>
          <w:szCs w:val="24"/>
          <w:lang w:eastAsia="en-IN" w:bidi="ar-SA"/>
        </w:rPr>
        <w:t>Surface Water-Quality Mode</w:t>
      </w:r>
      <w:r w:rsidR="0034494A">
        <w:rPr>
          <w:rFonts w:ascii="Times New Roman" w:eastAsia="Times New Roman" w:hAnsi="Times New Roman" w:cs="Times New Roman"/>
          <w:i/>
          <w:sz w:val="24"/>
          <w:szCs w:val="24"/>
          <w:lang w:eastAsia="en-IN" w:bidi="ar-SA"/>
        </w:rPr>
        <w:t>l</w:t>
      </w:r>
      <w:r w:rsidR="00073E2B">
        <w:rPr>
          <w:rFonts w:ascii="Times New Roman" w:eastAsia="Times New Roman" w:hAnsi="Times New Roman" w:cs="Times New Roman"/>
          <w:i/>
          <w:sz w:val="24"/>
          <w:szCs w:val="24"/>
          <w:lang w:eastAsia="en-IN" w:bidi="ar-SA"/>
        </w:rPr>
        <w:t>ling</w:t>
      </w:r>
      <w:r w:rsidR="00073E2B">
        <w:rPr>
          <w:rFonts w:ascii="Times New Roman" w:eastAsia="Times New Roman" w:hAnsi="Times New Roman" w:cs="Times New Roman"/>
          <w:sz w:val="24"/>
          <w:szCs w:val="24"/>
          <w:lang w:eastAsia="en-IN" w:bidi="ar-SA"/>
        </w:rPr>
        <w:t xml:space="preserve">. Waveland Press, Long Grove, Illinois. </w:t>
      </w:r>
    </w:p>
    <w:p w:rsidR="00764DC7" w:rsidRPr="00073E2B" w:rsidRDefault="000B7533" w:rsidP="00CB69EC">
      <w:pPr>
        <w:pStyle w:val="NormalWeb"/>
        <w:jc w:val="both"/>
      </w:pPr>
      <w:r>
        <w:t>4</w:t>
      </w:r>
      <w:r w:rsidR="00764DC7" w:rsidRPr="006C5F72">
        <w:rPr>
          <w:b/>
        </w:rPr>
        <w:t xml:space="preserve">. </w:t>
      </w:r>
      <w:r w:rsidR="006C5F72" w:rsidRPr="006C5F72">
        <w:rPr>
          <w:rStyle w:val="Strong"/>
          <w:b w:val="0"/>
        </w:rPr>
        <w:t>EPA, (2022).</w:t>
      </w:r>
      <w:r w:rsidR="006C5F72" w:rsidRPr="006C5F72">
        <w:rPr>
          <w:b/>
        </w:rPr>
        <w:t xml:space="preserve"> </w:t>
      </w:r>
      <w:r w:rsidR="00764DC7" w:rsidRPr="006C5F72">
        <w:rPr>
          <w:rStyle w:val="Strong"/>
          <w:b w:val="0"/>
        </w:rPr>
        <w:t>U.S. Enviro</w:t>
      </w:r>
      <w:r w:rsidR="006C5F72" w:rsidRPr="006C5F72">
        <w:rPr>
          <w:rStyle w:val="Strong"/>
          <w:b w:val="0"/>
        </w:rPr>
        <w:t xml:space="preserve">nmental Protection Agency </w:t>
      </w:r>
      <w:r w:rsidR="00764DC7" w:rsidRPr="006C5F72">
        <w:rPr>
          <w:rStyle w:val="Emphasis"/>
        </w:rPr>
        <w:t>Aquatic</w:t>
      </w:r>
      <w:r w:rsidR="00764DC7">
        <w:rPr>
          <w:rStyle w:val="Emphasis"/>
        </w:rPr>
        <w:t xml:space="preserve"> Life Ambient Water Quality Criteria for Ammonia.</w:t>
      </w:r>
      <w:r w:rsidR="00764DC7">
        <w:t xml:space="preserve"> Office of Water, Washington, DC.</w:t>
      </w:r>
    </w:p>
    <w:p w:rsidR="00E31C23" w:rsidRDefault="000B7533" w:rsidP="00CB69EC">
      <w:pPr>
        <w:spacing w:before="100" w:beforeAutospacing="1" w:after="100" w:afterAutospacing="1" w:line="240" w:lineRule="auto"/>
        <w:jc w:val="both"/>
        <w:rPr>
          <w:rFonts w:ascii="Times New Roman" w:eastAsia="Times New Roman" w:hAnsi="Times New Roman" w:cs="Times New Roman"/>
          <w:i/>
          <w:sz w:val="24"/>
          <w:szCs w:val="24"/>
          <w:lang w:eastAsia="en-IN" w:bidi="ar-SA"/>
        </w:rPr>
      </w:pPr>
      <w:r>
        <w:rPr>
          <w:rFonts w:ascii="Times New Roman" w:eastAsia="Times New Roman" w:hAnsi="Symbol" w:cs="Times New Roman"/>
          <w:sz w:val="24"/>
          <w:szCs w:val="24"/>
          <w:lang w:eastAsia="en-IN" w:bidi="ar-SA"/>
        </w:rPr>
        <w:t>5</w:t>
      </w:r>
      <w:r w:rsidR="001D1F43">
        <w:rPr>
          <w:rFonts w:ascii="Times New Roman" w:eastAsia="Times New Roman" w:hAnsi="Symbol" w:cs="Times New Roman"/>
          <w:sz w:val="24"/>
          <w:szCs w:val="24"/>
          <w:lang w:eastAsia="en-IN" w:bidi="ar-SA"/>
        </w:rPr>
        <w:t xml:space="preserve">. </w:t>
      </w:r>
      <w:r w:rsidR="0034494A">
        <w:rPr>
          <w:rFonts w:ascii="Times New Roman" w:eastAsia="Times New Roman" w:hAnsi="Times New Roman" w:cs="Times New Roman"/>
          <w:sz w:val="24"/>
          <w:szCs w:val="24"/>
          <w:lang w:eastAsia="en-IN" w:bidi="ar-SA"/>
        </w:rPr>
        <w:t xml:space="preserve">Jorgensen, S. E., &amp; Bendoricchio, G. (2001). </w:t>
      </w:r>
      <w:r w:rsidR="0034494A">
        <w:rPr>
          <w:rFonts w:ascii="Times New Roman" w:eastAsia="Times New Roman" w:hAnsi="Times New Roman" w:cs="Times New Roman"/>
          <w:i/>
          <w:sz w:val="24"/>
          <w:szCs w:val="24"/>
          <w:lang w:eastAsia="en-IN" w:bidi="ar-SA"/>
        </w:rPr>
        <w:t xml:space="preserve">Fundamentals of Ecological Modelling </w:t>
      </w:r>
      <w:r w:rsidR="0034494A">
        <w:rPr>
          <w:rFonts w:ascii="Times New Roman" w:eastAsia="Times New Roman" w:hAnsi="Times New Roman" w:cs="Times New Roman"/>
          <w:sz w:val="24"/>
          <w:szCs w:val="24"/>
          <w:lang w:eastAsia="en-IN" w:bidi="ar-SA"/>
        </w:rPr>
        <w:t>(3</w:t>
      </w:r>
      <w:r w:rsidR="0034494A" w:rsidRPr="0034494A">
        <w:rPr>
          <w:rFonts w:ascii="Times New Roman" w:eastAsia="Times New Roman" w:hAnsi="Times New Roman" w:cs="Times New Roman"/>
          <w:sz w:val="24"/>
          <w:szCs w:val="24"/>
          <w:vertAlign w:val="superscript"/>
          <w:lang w:eastAsia="en-IN" w:bidi="ar-SA"/>
        </w:rPr>
        <w:t>rd</w:t>
      </w:r>
      <w:r w:rsidR="0034494A">
        <w:rPr>
          <w:rFonts w:ascii="Times New Roman" w:eastAsia="Times New Roman" w:hAnsi="Times New Roman" w:cs="Times New Roman"/>
          <w:sz w:val="24"/>
          <w:szCs w:val="24"/>
          <w:lang w:eastAsia="en-IN" w:bidi="ar-SA"/>
        </w:rPr>
        <w:t xml:space="preserve"> ed.). Elsevier, Amsterdam.</w:t>
      </w:r>
      <w:r w:rsidR="0034494A">
        <w:rPr>
          <w:rFonts w:ascii="Times New Roman" w:eastAsia="Times New Roman" w:hAnsi="Times New Roman" w:cs="Times New Roman"/>
          <w:i/>
          <w:sz w:val="24"/>
          <w:szCs w:val="24"/>
          <w:lang w:eastAsia="en-IN" w:bidi="ar-SA"/>
        </w:rPr>
        <w:t xml:space="preserve">  </w:t>
      </w:r>
    </w:p>
    <w:p w:rsidR="00CB69EC" w:rsidRDefault="000B7533" w:rsidP="00CB69EC">
      <w:pPr>
        <w:spacing w:before="100" w:beforeAutospacing="1" w:after="100" w:afterAutospacing="1"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bidi="ar-SA"/>
        </w:rPr>
        <w:t>6</w:t>
      </w:r>
      <w:r w:rsidR="00CB69EC" w:rsidRPr="00CB69EC">
        <w:rPr>
          <w:rFonts w:ascii="Times New Roman" w:eastAsia="Times New Roman" w:hAnsi="Times New Roman" w:cs="Times New Roman"/>
          <w:sz w:val="24"/>
          <w:szCs w:val="24"/>
          <w:lang w:eastAsia="en-IN" w:bidi="ar-SA"/>
        </w:rPr>
        <w:t xml:space="preserve">. </w:t>
      </w:r>
      <w:r w:rsidR="00CB69EC" w:rsidRPr="00CB69EC">
        <w:rPr>
          <w:rFonts w:ascii="Times New Roman" w:hAnsi="Times New Roman" w:cs="Times New Roman"/>
          <w:bCs/>
          <w:sz w:val="24"/>
          <w:szCs w:val="24"/>
        </w:rPr>
        <w:t xml:space="preserve">Karim, M., </w:t>
      </w:r>
      <w:proofErr w:type="spellStart"/>
      <w:r w:rsidR="00CB69EC" w:rsidRPr="00CB69EC">
        <w:rPr>
          <w:rFonts w:ascii="Times New Roman" w:hAnsi="Times New Roman" w:cs="Times New Roman"/>
          <w:bCs/>
          <w:sz w:val="24"/>
          <w:szCs w:val="24"/>
        </w:rPr>
        <w:t>Dehaj</w:t>
      </w:r>
      <w:proofErr w:type="spellEnd"/>
      <w:r w:rsidR="00CB69EC" w:rsidRPr="00CB69EC">
        <w:rPr>
          <w:rFonts w:ascii="Times New Roman" w:hAnsi="Times New Roman" w:cs="Times New Roman"/>
          <w:bCs/>
          <w:sz w:val="24"/>
          <w:szCs w:val="24"/>
        </w:rPr>
        <w:t xml:space="preserve">, I., </w:t>
      </w:r>
      <w:proofErr w:type="spellStart"/>
      <w:r w:rsidR="00CB69EC" w:rsidRPr="00CB69EC">
        <w:rPr>
          <w:rFonts w:ascii="Times New Roman" w:hAnsi="Times New Roman" w:cs="Times New Roman"/>
          <w:bCs/>
          <w:sz w:val="24"/>
          <w:szCs w:val="24"/>
        </w:rPr>
        <w:t>Akgül</w:t>
      </w:r>
      <w:proofErr w:type="spellEnd"/>
      <w:r w:rsidR="00CB69EC" w:rsidRPr="00CB69EC">
        <w:rPr>
          <w:rFonts w:ascii="Times New Roman" w:hAnsi="Times New Roman" w:cs="Times New Roman"/>
          <w:bCs/>
          <w:sz w:val="24"/>
          <w:szCs w:val="24"/>
        </w:rPr>
        <w:t xml:space="preserve">, A., </w:t>
      </w:r>
      <w:proofErr w:type="spellStart"/>
      <w:r w:rsidR="00CB69EC" w:rsidRPr="00CB69EC">
        <w:rPr>
          <w:rFonts w:ascii="Times New Roman" w:hAnsi="Times New Roman" w:cs="Times New Roman"/>
          <w:bCs/>
          <w:sz w:val="24"/>
          <w:szCs w:val="24"/>
        </w:rPr>
        <w:t>Hassani</w:t>
      </w:r>
      <w:proofErr w:type="spellEnd"/>
      <w:r w:rsidR="00CB69EC" w:rsidRPr="00CB69EC">
        <w:rPr>
          <w:rFonts w:ascii="Times New Roman" w:hAnsi="Times New Roman" w:cs="Times New Roman"/>
          <w:bCs/>
          <w:sz w:val="24"/>
          <w:szCs w:val="24"/>
        </w:rPr>
        <w:t xml:space="preserve">, M. K., </w:t>
      </w:r>
      <w:proofErr w:type="spellStart"/>
      <w:r w:rsidR="00CB69EC" w:rsidRPr="00CB69EC">
        <w:rPr>
          <w:rFonts w:ascii="Times New Roman" w:hAnsi="Times New Roman" w:cs="Times New Roman"/>
          <w:bCs/>
          <w:sz w:val="24"/>
          <w:szCs w:val="24"/>
        </w:rPr>
        <w:t>Ferjouchia</w:t>
      </w:r>
      <w:proofErr w:type="spellEnd"/>
      <w:r w:rsidR="00CB69EC" w:rsidRPr="00CB69EC">
        <w:rPr>
          <w:rFonts w:ascii="Times New Roman" w:hAnsi="Times New Roman" w:cs="Times New Roman"/>
          <w:bCs/>
          <w:sz w:val="24"/>
          <w:szCs w:val="24"/>
        </w:rPr>
        <w:t xml:space="preserve">, H., &amp; </w:t>
      </w:r>
      <w:proofErr w:type="spellStart"/>
      <w:r w:rsidR="00CB69EC" w:rsidRPr="00CB69EC">
        <w:rPr>
          <w:rFonts w:ascii="Times New Roman" w:hAnsi="Times New Roman" w:cs="Times New Roman"/>
          <w:bCs/>
          <w:sz w:val="24"/>
          <w:szCs w:val="24"/>
        </w:rPr>
        <w:t>Rachik</w:t>
      </w:r>
      <w:proofErr w:type="spellEnd"/>
      <w:r w:rsidR="00CB69EC" w:rsidRPr="00CB69EC">
        <w:rPr>
          <w:rFonts w:ascii="Times New Roman" w:hAnsi="Times New Roman" w:cs="Times New Roman"/>
          <w:bCs/>
          <w:sz w:val="24"/>
          <w:szCs w:val="24"/>
        </w:rPr>
        <w:t>, M. (2024).</w:t>
      </w:r>
      <w:r w:rsidR="00CB69EC" w:rsidRPr="00CB69EC">
        <w:rPr>
          <w:rFonts w:ascii="Times New Roman" w:hAnsi="Times New Roman" w:cs="Times New Roman"/>
          <w:sz w:val="24"/>
          <w:szCs w:val="24"/>
        </w:rPr>
        <w:t xml:space="preserve"> Mathematical modelling and control approach for sustainable ecosystems in mitigating the impact of pollutants on aquatic species in rivers. </w:t>
      </w:r>
      <w:r w:rsidR="00CB69EC" w:rsidRPr="00CB69EC">
        <w:rPr>
          <w:rFonts w:ascii="Times New Roman" w:hAnsi="Times New Roman" w:cs="Times New Roman"/>
          <w:i/>
          <w:iCs/>
          <w:sz w:val="24"/>
          <w:szCs w:val="24"/>
        </w:rPr>
        <w:t>Scientific Reports</w:t>
      </w:r>
      <w:r w:rsidR="00CB69EC" w:rsidRPr="00CB69EC">
        <w:rPr>
          <w:rFonts w:ascii="Times New Roman" w:hAnsi="Times New Roman" w:cs="Times New Roman"/>
          <w:sz w:val="24"/>
          <w:szCs w:val="24"/>
        </w:rPr>
        <w:t xml:space="preserve">, </w:t>
      </w:r>
      <w:r w:rsidR="00CB69EC" w:rsidRPr="00CB69EC">
        <w:rPr>
          <w:rFonts w:ascii="Times New Roman" w:hAnsi="Times New Roman" w:cs="Times New Roman"/>
          <w:bCs/>
          <w:sz w:val="24"/>
          <w:szCs w:val="24"/>
        </w:rPr>
        <w:t>14</w:t>
      </w:r>
      <w:r w:rsidR="00CB69EC" w:rsidRPr="00CB69EC">
        <w:rPr>
          <w:rFonts w:ascii="Times New Roman" w:hAnsi="Times New Roman" w:cs="Times New Roman"/>
          <w:sz w:val="24"/>
          <w:szCs w:val="24"/>
        </w:rPr>
        <w:t xml:space="preserve">(1), 17327. </w:t>
      </w:r>
      <w:hyperlink r:id="rId10" w:tgtFrame="_new" w:history="1">
        <w:r w:rsidR="00CB69EC" w:rsidRPr="00CB69EC">
          <w:rPr>
            <w:rFonts w:ascii="Times New Roman" w:hAnsi="Times New Roman" w:cs="Times New Roman"/>
            <w:color w:val="0000FF"/>
            <w:sz w:val="24"/>
            <w:szCs w:val="24"/>
            <w:u w:val="single"/>
          </w:rPr>
          <w:t>https://doi.org/10.1038/s41598-024-66547-3</w:t>
        </w:r>
      </w:hyperlink>
      <w:r w:rsidR="00CB69EC">
        <w:rPr>
          <w:rFonts w:ascii="Times New Roman" w:hAnsi="Times New Roman" w:cs="Times New Roman"/>
          <w:sz w:val="24"/>
          <w:szCs w:val="24"/>
        </w:rPr>
        <w:t>.</w:t>
      </w:r>
    </w:p>
    <w:p w:rsidR="00CB69EC" w:rsidRDefault="000B7533" w:rsidP="00CB69EC">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7</w:t>
      </w:r>
      <w:r w:rsidR="00CB69EC" w:rsidRPr="00CB69EC">
        <w:rPr>
          <w:rFonts w:ascii="Times New Roman" w:hAnsi="Times New Roman" w:cs="Times New Roman"/>
          <w:sz w:val="24"/>
          <w:szCs w:val="24"/>
        </w:rPr>
        <w:t xml:space="preserve">. </w:t>
      </w:r>
      <w:r w:rsidR="00CB69EC" w:rsidRPr="00CB69EC">
        <w:rPr>
          <w:rStyle w:val="Strong"/>
          <w:rFonts w:ascii="Times New Roman" w:hAnsi="Times New Roman" w:cs="Times New Roman"/>
          <w:b w:val="0"/>
          <w:sz w:val="24"/>
          <w:szCs w:val="24"/>
        </w:rPr>
        <w:t>OECD (2023).</w:t>
      </w:r>
      <w:r w:rsidR="00CB69EC">
        <w:rPr>
          <w:rFonts w:ascii="Times New Roman" w:hAnsi="Times New Roman" w:cs="Times New Roman"/>
          <w:sz w:val="24"/>
          <w:szCs w:val="24"/>
        </w:rPr>
        <w:t xml:space="preserve"> </w:t>
      </w:r>
      <w:r w:rsidR="00CB69EC" w:rsidRPr="00CB69EC">
        <w:rPr>
          <w:rStyle w:val="Emphasis"/>
          <w:rFonts w:ascii="Times New Roman" w:hAnsi="Times New Roman" w:cs="Times New Roman"/>
          <w:sz w:val="24"/>
          <w:szCs w:val="24"/>
        </w:rPr>
        <w:t>Test No. 202: Daphnia sp. Acute Immobilisation Test.</w:t>
      </w:r>
      <w:r w:rsidR="00CB69EC">
        <w:rPr>
          <w:rFonts w:ascii="Times New Roman" w:hAnsi="Times New Roman" w:cs="Times New Roman"/>
          <w:sz w:val="24"/>
          <w:szCs w:val="24"/>
        </w:rPr>
        <w:t xml:space="preserve"> OECD Guidelines </w:t>
      </w:r>
      <w:r w:rsidR="00CB69EC" w:rsidRPr="00CB69EC">
        <w:rPr>
          <w:rFonts w:ascii="Times New Roman" w:hAnsi="Times New Roman" w:cs="Times New Roman"/>
          <w:sz w:val="24"/>
          <w:szCs w:val="24"/>
        </w:rPr>
        <w:t>for the Testing of Chemicals, Paris.</w:t>
      </w:r>
    </w:p>
    <w:p w:rsidR="00E31C23" w:rsidRPr="00590D69" w:rsidRDefault="000B7533" w:rsidP="00CB69EC">
      <w:pPr>
        <w:spacing w:before="100" w:beforeAutospacing="1" w:after="100" w:afterAutospacing="1" w:line="240" w:lineRule="auto"/>
        <w:jc w:val="both"/>
        <w:rPr>
          <w:rFonts w:ascii="Times New Roman" w:eastAsia="Times New Roman" w:hAnsi="Times New Roman" w:cs="Times New Roman"/>
          <w:sz w:val="24"/>
          <w:szCs w:val="24"/>
          <w:lang w:eastAsia="en-IN" w:bidi="ar-SA"/>
        </w:rPr>
      </w:pPr>
      <w:r>
        <w:rPr>
          <w:rFonts w:ascii="Times New Roman" w:eastAsia="Times New Roman" w:hAnsi="Symbol" w:cs="Times New Roman"/>
          <w:sz w:val="24"/>
          <w:szCs w:val="24"/>
          <w:lang w:eastAsia="en-IN" w:bidi="ar-SA"/>
        </w:rPr>
        <w:lastRenderedPageBreak/>
        <w:t>8</w:t>
      </w:r>
      <w:r w:rsidR="001D1F43">
        <w:rPr>
          <w:rFonts w:ascii="Times New Roman" w:eastAsia="Times New Roman" w:hAnsi="Symbol" w:cs="Times New Roman"/>
          <w:sz w:val="24"/>
          <w:szCs w:val="24"/>
          <w:lang w:eastAsia="en-IN" w:bidi="ar-SA"/>
        </w:rPr>
        <w:t xml:space="preserve">. </w:t>
      </w:r>
      <w:r w:rsidR="00590D69">
        <w:rPr>
          <w:rFonts w:ascii="Times New Roman" w:eastAsia="Times New Roman" w:hAnsi="Times New Roman" w:cs="Times New Roman"/>
          <w:sz w:val="24"/>
          <w:szCs w:val="24"/>
          <w:lang w:eastAsia="en-IN" w:bidi="ar-SA"/>
        </w:rPr>
        <w:t xml:space="preserve">Streeter, H. W., &amp; Phelps, E. B. (1925). </w:t>
      </w:r>
      <w:r w:rsidR="00590D69">
        <w:rPr>
          <w:rFonts w:ascii="Times New Roman" w:eastAsia="Times New Roman" w:hAnsi="Times New Roman" w:cs="Times New Roman"/>
          <w:i/>
          <w:sz w:val="24"/>
          <w:szCs w:val="24"/>
          <w:lang w:eastAsia="en-IN" w:bidi="ar-SA"/>
        </w:rPr>
        <w:t>A study of the pollution and natural purification of the Ohio River.</w:t>
      </w:r>
      <w:r w:rsidR="008417DA">
        <w:rPr>
          <w:rFonts w:ascii="Times New Roman" w:eastAsia="Times New Roman" w:hAnsi="Times New Roman" w:cs="Times New Roman"/>
          <w:sz w:val="24"/>
          <w:szCs w:val="24"/>
          <w:lang w:eastAsia="en-IN" w:bidi="ar-SA"/>
        </w:rPr>
        <w:t xml:space="preserve"> Public Health Bulletin No. 146, U.S. Public Health Service, Washington, DC.</w:t>
      </w:r>
    </w:p>
    <w:p w:rsidR="00E31C23" w:rsidRPr="00540A00" w:rsidRDefault="000B7533" w:rsidP="00CB69EC">
      <w:pPr>
        <w:spacing w:before="100" w:beforeAutospacing="1" w:after="100" w:afterAutospacing="1" w:line="240" w:lineRule="auto"/>
        <w:jc w:val="both"/>
        <w:rPr>
          <w:rFonts w:ascii="Times New Roman" w:eastAsia="Times New Roman" w:hAnsi="Times New Roman" w:cs="Times New Roman"/>
          <w:sz w:val="24"/>
          <w:szCs w:val="24"/>
          <w:lang w:eastAsia="en-IN" w:bidi="ar-SA"/>
        </w:rPr>
      </w:pPr>
      <w:r>
        <w:rPr>
          <w:rFonts w:ascii="Times New Roman" w:eastAsia="Times New Roman" w:hAnsi="Symbol" w:cs="Times New Roman"/>
          <w:sz w:val="24"/>
          <w:szCs w:val="24"/>
          <w:lang w:eastAsia="en-IN" w:bidi="ar-SA"/>
        </w:rPr>
        <w:t>9</w:t>
      </w:r>
      <w:r w:rsidR="001D1F43">
        <w:rPr>
          <w:rFonts w:ascii="Times New Roman" w:eastAsia="Times New Roman" w:hAnsi="Symbol" w:cs="Times New Roman"/>
          <w:sz w:val="24"/>
          <w:szCs w:val="24"/>
          <w:lang w:eastAsia="en-IN" w:bidi="ar-SA"/>
        </w:rPr>
        <w:t xml:space="preserve">. </w:t>
      </w:r>
      <w:r w:rsidR="00443FF3">
        <w:rPr>
          <w:rFonts w:ascii="Times New Roman" w:eastAsia="Times New Roman" w:hAnsi="Times New Roman" w:cs="Times New Roman"/>
          <w:sz w:val="24"/>
          <w:szCs w:val="24"/>
          <w:lang w:eastAsia="en-IN" w:bidi="ar-SA"/>
        </w:rPr>
        <w:t xml:space="preserve">Wang, X., &amp; Zhang, Y. (2018). </w:t>
      </w:r>
      <w:r w:rsidR="00540A00">
        <w:rPr>
          <w:rFonts w:ascii="Times New Roman" w:eastAsia="Times New Roman" w:hAnsi="Times New Roman" w:cs="Times New Roman"/>
          <w:sz w:val="24"/>
          <w:szCs w:val="24"/>
          <w:lang w:eastAsia="en-IN" w:bidi="ar-SA"/>
        </w:rPr>
        <w:t xml:space="preserve">Advances in numerical modelling of water quality in rivers. </w:t>
      </w:r>
      <w:r w:rsidR="00540A00">
        <w:rPr>
          <w:rFonts w:ascii="Times New Roman" w:eastAsia="Times New Roman" w:hAnsi="Times New Roman" w:cs="Times New Roman"/>
          <w:i/>
          <w:sz w:val="24"/>
          <w:szCs w:val="24"/>
          <w:lang w:eastAsia="en-IN" w:bidi="ar-SA"/>
        </w:rPr>
        <w:t>Journal of Hydrology,</w:t>
      </w:r>
      <w:r w:rsidR="00540A00">
        <w:rPr>
          <w:rFonts w:ascii="Times New Roman" w:eastAsia="Times New Roman" w:hAnsi="Times New Roman" w:cs="Times New Roman"/>
          <w:sz w:val="24"/>
          <w:szCs w:val="24"/>
          <w:lang w:eastAsia="en-IN" w:bidi="ar-SA"/>
        </w:rPr>
        <w:t xml:space="preserve">562, 330-344. </w:t>
      </w:r>
      <w:hyperlink r:id="rId11" w:history="1">
        <w:r w:rsidR="00540A00" w:rsidRPr="004254DD">
          <w:rPr>
            <w:rStyle w:val="Hyperlink"/>
            <w:rFonts w:ascii="Times New Roman" w:eastAsia="Times New Roman" w:hAnsi="Times New Roman" w:cs="Times New Roman"/>
            <w:sz w:val="24"/>
            <w:szCs w:val="24"/>
            <w:lang w:eastAsia="en-IN" w:bidi="ar-SA"/>
          </w:rPr>
          <w:t>https://doi.org/10.1016/j.jhydrol.2018.05.016</w:t>
        </w:r>
      </w:hyperlink>
      <w:r w:rsidR="00540A00">
        <w:rPr>
          <w:rFonts w:ascii="Times New Roman" w:eastAsia="Times New Roman" w:hAnsi="Times New Roman" w:cs="Times New Roman"/>
          <w:sz w:val="24"/>
          <w:szCs w:val="24"/>
          <w:lang w:eastAsia="en-IN" w:bidi="ar-SA"/>
        </w:rPr>
        <w:t xml:space="preserve"> .</w:t>
      </w:r>
    </w:p>
    <w:p w:rsidR="00E31C23" w:rsidRPr="00FE43CC" w:rsidRDefault="000B7533" w:rsidP="00CB69EC">
      <w:pPr>
        <w:spacing w:before="100" w:beforeAutospacing="1" w:after="100" w:afterAutospacing="1" w:line="240" w:lineRule="auto"/>
        <w:jc w:val="both"/>
        <w:rPr>
          <w:rFonts w:ascii="Times New Roman" w:eastAsia="Times New Roman" w:hAnsi="Times New Roman" w:cs="Times New Roman"/>
          <w:sz w:val="24"/>
          <w:szCs w:val="24"/>
          <w:lang w:eastAsia="en-IN" w:bidi="ar-SA"/>
        </w:rPr>
      </w:pPr>
      <w:r>
        <w:rPr>
          <w:rFonts w:ascii="Times New Roman" w:eastAsia="Times New Roman" w:hAnsi="Symbol" w:cs="Times New Roman"/>
          <w:sz w:val="24"/>
          <w:szCs w:val="24"/>
          <w:lang w:eastAsia="en-IN" w:bidi="ar-SA"/>
        </w:rPr>
        <w:t>10</w:t>
      </w:r>
      <w:r w:rsidR="001D1F43">
        <w:rPr>
          <w:rFonts w:ascii="Times New Roman" w:eastAsia="Times New Roman" w:hAnsi="Symbol" w:cs="Times New Roman"/>
          <w:sz w:val="24"/>
          <w:szCs w:val="24"/>
          <w:lang w:eastAsia="en-IN" w:bidi="ar-SA"/>
        </w:rPr>
        <w:t xml:space="preserve">. </w:t>
      </w:r>
      <w:r w:rsidR="000E7036">
        <w:rPr>
          <w:rFonts w:ascii="Times New Roman" w:eastAsia="Times New Roman" w:hAnsi="Times New Roman" w:cs="Times New Roman"/>
          <w:sz w:val="24"/>
          <w:szCs w:val="24"/>
          <w:lang w:eastAsia="en-IN" w:bidi="ar-SA"/>
        </w:rPr>
        <w:t xml:space="preserve">Zhao, D., &amp; </w:t>
      </w:r>
      <w:proofErr w:type="spellStart"/>
      <w:r w:rsidR="000E7036">
        <w:rPr>
          <w:rFonts w:ascii="Times New Roman" w:eastAsia="Times New Roman" w:hAnsi="Times New Roman" w:cs="Times New Roman"/>
          <w:sz w:val="24"/>
          <w:szCs w:val="24"/>
          <w:lang w:eastAsia="en-IN" w:bidi="ar-SA"/>
        </w:rPr>
        <w:t>Jin</w:t>
      </w:r>
      <w:proofErr w:type="spellEnd"/>
      <w:r w:rsidR="000E7036">
        <w:rPr>
          <w:rFonts w:ascii="Times New Roman" w:eastAsia="Times New Roman" w:hAnsi="Times New Roman" w:cs="Times New Roman"/>
          <w:sz w:val="24"/>
          <w:szCs w:val="24"/>
          <w:lang w:eastAsia="en-IN" w:bidi="ar-SA"/>
        </w:rPr>
        <w:t xml:space="preserve">, J. (2009). </w:t>
      </w:r>
      <w:r w:rsidR="00FE43CC">
        <w:rPr>
          <w:rFonts w:ascii="Times New Roman" w:eastAsia="Times New Roman" w:hAnsi="Times New Roman" w:cs="Times New Roman"/>
          <w:sz w:val="24"/>
          <w:szCs w:val="24"/>
          <w:lang w:eastAsia="en-IN" w:bidi="ar-SA"/>
        </w:rPr>
        <w:t xml:space="preserve">Mathematical modelling of ammonia nitrogen in rivers. </w:t>
      </w:r>
      <w:r w:rsidR="00FE43CC">
        <w:rPr>
          <w:rFonts w:ascii="Times New Roman" w:eastAsia="Times New Roman" w:hAnsi="Times New Roman" w:cs="Times New Roman"/>
          <w:i/>
          <w:sz w:val="24"/>
          <w:szCs w:val="24"/>
          <w:lang w:eastAsia="en-IN" w:bidi="ar-SA"/>
        </w:rPr>
        <w:t>Journal of Environmental Engineering</w:t>
      </w:r>
      <w:r w:rsidR="00FE43CC">
        <w:rPr>
          <w:rFonts w:ascii="Times New Roman" w:eastAsia="Times New Roman" w:hAnsi="Times New Roman" w:cs="Times New Roman"/>
          <w:sz w:val="24"/>
          <w:szCs w:val="24"/>
          <w:lang w:eastAsia="en-IN" w:bidi="ar-SA"/>
        </w:rPr>
        <w:t xml:space="preserve">, 135(7), 558-563. </w:t>
      </w:r>
      <w:hyperlink r:id="rId12" w:history="1">
        <w:r w:rsidR="00FE43CC" w:rsidRPr="004254DD">
          <w:rPr>
            <w:rStyle w:val="Hyperlink"/>
            <w:rFonts w:ascii="Times New Roman" w:eastAsia="Times New Roman" w:hAnsi="Times New Roman" w:cs="Times New Roman"/>
            <w:sz w:val="24"/>
            <w:szCs w:val="24"/>
            <w:lang w:eastAsia="en-IN" w:bidi="ar-SA"/>
          </w:rPr>
          <w:t>https://doi.org/10.1061/(ASCE)EE.1943-7870.0000015</w:t>
        </w:r>
      </w:hyperlink>
      <w:r w:rsidR="00FE43CC">
        <w:rPr>
          <w:rFonts w:ascii="Times New Roman" w:eastAsia="Times New Roman" w:hAnsi="Times New Roman" w:cs="Times New Roman"/>
          <w:sz w:val="24"/>
          <w:szCs w:val="24"/>
          <w:lang w:eastAsia="en-IN" w:bidi="ar-SA"/>
        </w:rPr>
        <w:t xml:space="preserve"> .</w:t>
      </w:r>
    </w:p>
    <w:p w:rsidR="00E31C23" w:rsidRPr="00E31C23" w:rsidRDefault="00E31C23" w:rsidP="00CB69EC">
      <w:pPr>
        <w:pStyle w:val="NormalWeb"/>
        <w:spacing w:line="360" w:lineRule="auto"/>
        <w:jc w:val="both"/>
        <w:rPr>
          <w:b/>
        </w:rPr>
      </w:pPr>
    </w:p>
    <w:p w:rsidR="00697C5C" w:rsidRPr="009B3479" w:rsidRDefault="00697C5C" w:rsidP="009B3479">
      <w:pPr>
        <w:jc w:val="both"/>
        <w:rPr>
          <w:rFonts w:ascii="Times New Roman" w:hAnsi="Times New Roman" w:cs="Times New Roman"/>
          <w:sz w:val="24"/>
          <w:szCs w:val="24"/>
        </w:rPr>
      </w:pPr>
    </w:p>
    <w:sectPr w:rsidR="00697C5C" w:rsidRPr="009B347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109" w:rsidRDefault="00801109" w:rsidP="009939BA">
      <w:pPr>
        <w:spacing w:after="0" w:line="240" w:lineRule="auto"/>
      </w:pPr>
      <w:r>
        <w:separator/>
      </w:r>
    </w:p>
  </w:endnote>
  <w:endnote w:type="continuationSeparator" w:id="0">
    <w:p w:rsidR="00801109" w:rsidRDefault="00801109" w:rsidP="0099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9BA" w:rsidRDefault="00993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9BA" w:rsidRDefault="00993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9BA" w:rsidRDefault="00993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109" w:rsidRDefault="00801109" w:rsidP="009939BA">
      <w:pPr>
        <w:spacing w:after="0" w:line="240" w:lineRule="auto"/>
      </w:pPr>
      <w:r>
        <w:separator/>
      </w:r>
    </w:p>
  </w:footnote>
  <w:footnote w:type="continuationSeparator" w:id="0">
    <w:p w:rsidR="00801109" w:rsidRDefault="00801109" w:rsidP="00993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9BA" w:rsidRDefault="008011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9BA" w:rsidRDefault="008011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9BA" w:rsidRDefault="008011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4294"/>
    <w:multiLevelType w:val="multilevel"/>
    <w:tmpl w:val="EC3671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01D8B"/>
    <w:multiLevelType w:val="multilevel"/>
    <w:tmpl w:val="39EA3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C33F27"/>
    <w:multiLevelType w:val="multilevel"/>
    <w:tmpl w:val="0346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1154E"/>
    <w:multiLevelType w:val="hybridMultilevel"/>
    <w:tmpl w:val="063A53D0"/>
    <w:lvl w:ilvl="0" w:tplc="7674ACA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4D6447"/>
    <w:multiLevelType w:val="multilevel"/>
    <w:tmpl w:val="86A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A32204"/>
    <w:multiLevelType w:val="hybridMultilevel"/>
    <w:tmpl w:val="63227086"/>
    <w:lvl w:ilvl="0" w:tplc="1A8E285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D812E96"/>
    <w:multiLevelType w:val="multilevel"/>
    <w:tmpl w:val="E658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F7645B"/>
    <w:multiLevelType w:val="multilevel"/>
    <w:tmpl w:val="821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6"/>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67A"/>
    <w:rsid w:val="0000553A"/>
    <w:rsid w:val="00011582"/>
    <w:rsid w:val="000225E4"/>
    <w:rsid w:val="0002438C"/>
    <w:rsid w:val="00043D78"/>
    <w:rsid w:val="000620CA"/>
    <w:rsid w:val="00073E2B"/>
    <w:rsid w:val="00076593"/>
    <w:rsid w:val="00081D39"/>
    <w:rsid w:val="00084373"/>
    <w:rsid w:val="00092380"/>
    <w:rsid w:val="000B26B3"/>
    <w:rsid w:val="000B5A44"/>
    <w:rsid w:val="000B7533"/>
    <w:rsid w:val="000C3717"/>
    <w:rsid w:val="000D1172"/>
    <w:rsid w:val="000E7036"/>
    <w:rsid w:val="000E75D3"/>
    <w:rsid w:val="000F191D"/>
    <w:rsid w:val="00107F15"/>
    <w:rsid w:val="0011207C"/>
    <w:rsid w:val="00116219"/>
    <w:rsid w:val="0014006B"/>
    <w:rsid w:val="00184948"/>
    <w:rsid w:val="001918DC"/>
    <w:rsid w:val="0019788D"/>
    <w:rsid w:val="001B2B71"/>
    <w:rsid w:val="001D1F43"/>
    <w:rsid w:val="00214FD6"/>
    <w:rsid w:val="0026057E"/>
    <w:rsid w:val="00265577"/>
    <w:rsid w:val="002704F9"/>
    <w:rsid w:val="002811B4"/>
    <w:rsid w:val="002B16CD"/>
    <w:rsid w:val="002E6704"/>
    <w:rsid w:val="0031355A"/>
    <w:rsid w:val="00327DE1"/>
    <w:rsid w:val="00344781"/>
    <w:rsid w:val="0034494A"/>
    <w:rsid w:val="003617DB"/>
    <w:rsid w:val="00365E69"/>
    <w:rsid w:val="00390A08"/>
    <w:rsid w:val="003F19BA"/>
    <w:rsid w:val="00443FF3"/>
    <w:rsid w:val="00450E9A"/>
    <w:rsid w:val="00476AAB"/>
    <w:rsid w:val="00490073"/>
    <w:rsid w:val="004B504F"/>
    <w:rsid w:val="004F6B31"/>
    <w:rsid w:val="004F7399"/>
    <w:rsid w:val="004F7554"/>
    <w:rsid w:val="00521F5D"/>
    <w:rsid w:val="005314D6"/>
    <w:rsid w:val="00531829"/>
    <w:rsid w:val="00540A00"/>
    <w:rsid w:val="005440B3"/>
    <w:rsid w:val="005511C9"/>
    <w:rsid w:val="00554CE2"/>
    <w:rsid w:val="00590D69"/>
    <w:rsid w:val="005A767A"/>
    <w:rsid w:val="005B1B07"/>
    <w:rsid w:val="005B4217"/>
    <w:rsid w:val="005E18BA"/>
    <w:rsid w:val="00625192"/>
    <w:rsid w:val="006447F7"/>
    <w:rsid w:val="006470EF"/>
    <w:rsid w:val="00667E20"/>
    <w:rsid w:val="00685AC0"/>
    <w:rsid w:val="00690516"/>
    <w:rsid w:val="00697C5C"/>
    <w:rsid w:val="006C5F72"/>
    <w:rsid w:val="006D41EC"/>
    <w:rsid w:val="00701AE7"/>
    <w:rsid w:val="0071258F"/>
    <w:rsid w:val="0072351D"/>
    <w:rsid w:val="00737530"/>
    <w:rsid w:val="00743D91"/>
    <w:rsid w:val="00764DC7"/>
    <w:rsid w:val="007741F2"/>
    <w:rsid w:val="007D4141"/>
    <w:rsid w:val="007E4BC7"/>
    <w:rsid w:val="0080090A"/>
    <w:rsid w:val="00801109"/>
    <w:rsid w:val="008417DA"/>
    <w:rsid w:val="00874F0D"/>
    <w:rsid w:val="008D603C"/>
    <w:rsid w:val="00905D11"/>
    <w:rsid w:val="00920FB4"/>
    <w:rsid w:val="0093507C"/>
    <w:rsid w:val="00960F06"/>
    <w:rsid w:val="009939BA"/>
    <w:rsid w:val="009945D4"/>
    <w:rsid w:val="00995015"/>
    <w:rsid w:val="00997B71"/>
    <w:rsid w:val="009B3111"/>
    <w:rsid w:val="009B3479"/>
    <w:rsid w:val="009E3B94"/>
    <w:rsid w:val="009F122E"/>
    <w:rsid w:val="009F2A65"/>
    <w:rsid w:val="00A35CDE"/>
    <w:rsid w:val="00A57404"/>
    <w:rsid w:val="00A71CD2"/>
    <w:rsid w:val="00AA7B62"/>
    <w:rsid w:val="00AB13E9"/>
    <w:rsid w:val="00AE7C72"/>
    <w:rsid w:val="00AF2E8D"/>
    <w:rsid w:val="00AF7C83"/>
    <w:rsid w:val="00B16FE7"/>
    <w:rsid w:val="00B217AD"/>
    <w:rsid w:val="00B36D91"/>
    <w:rsid w:val="00B37F09"/>
    <w:rsid w:val="00B833D2"/>
    <w:rsid w:val="00B8723B"/>
    <w:rsid w:val="00BA0BAF"/>
    <w:rsid w:val="00BB5A54"/>
    <w:rsid w:val="00BC75CA"/>
    <w:rsid w:val="00BE3C14"/>
    <w:rsid w:val="00BF0907"/>
    <w:rsid w:val="00BF4A0A"/>
    <w:rsid w:val="00C11717"/>
    <w:rsid w:val="00C9388B"/>
    <w:rsid w:val="00CA0F6A"/>
    <w:rsid w:val="00CB69EC"/>
    <w:rsid w:val="00CC4AAF"/>
    <w:rsid w:val="00CC6895"/>
    <w:rsid w:val="00D073EB"/>
    <w:rsid w:val="00D15135"/>
    <w:rsid w:val="00D30E1C"/>
    <w:rsid w:val="00D41C81"/>
    <w:rsid w:val="00D42472"/>
    <w:rsid w:val="00D73D6D"/>
    <w:rsid w:val="00D95EA9"/>
    <w:rsid w:val="00D96BF1"/>
    <w:rsid w:val="00DB1E9F"/>
    <w:rsid w:val="00DB487E"/>
    <w:rsid w:val="00DD63CA"/>
    <w:rsid w:val="00DE7A83"/>
    <w:rsid w:val="00DF7BBB"/>
    <w:rsid w:val="00E00264"/>
    <w:rsid w:val="00E01D78"/>
    <w:rsid w:val="00E04145"/>
    <w:rsid w:val="00E2643D"/>
    <w:rsid w:val="00E31C23"/>
    <w:rsid w:val="00E46CEA"/>
    <w:rsid w:val="00E62BC8"/>
    <w:rsid w:val="00E81A9A"/>
    <w:rsid w:val="00EB7764"/>
    <w:rsid w:val="00EC7EA9"/>
    <w:rsid w:val="00F67CB9"/>
    <w:rsid w:val="00F77254"/>
    <w:rsid w:val="00F82ACF"/>
    <w:rsid w:val="00FA5663"/>
    <w:rsid w:val="00FA6292"/>
    <w:rsid w:val="00FE43C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276CAA"/>
  <w15:docId w15:val="{63182BEA-A8D3-4948-9552-D47A9865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7C5C"/>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697C5C"/>
    <w:rPr>
      <w:b/>
      <w:bCs/>
    </w:rPr>
  </w:style>
  <w:style w:type="character" w:styleId="Emphasis">
    <w:name w:val="Emphasis"/>
    <w:basedOn w:val="DefaultParagraphFont"/>
    <w:uiPriority w:val="20"/>
    <w:qFormat/>
    <w:rsid w:val="00697C5C"/>
    <w:rPr>
      <w:i/>
      <w:iCs/>
    </w:rPr>
  </w:style>
  <w:style w:type="paragraph" w:styleId="BalloonText">
    <w:name w:val="Balloon Text"/>
    <w:basedOn w:val="Normal"/>
    <w:link w:val="BalloonTextChar"/>
    <w:uiPriority w:val="99"/>
    <w:semiHidden/>
    <w:unhideWhenUsed/>
    <w:rsid w:val="00B8723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8723B"/>
    <w:rPr>
      <w:rFonts w:ascii="Tahoma" w:hAnsi="Tahoma" w:cs="Tahoma"/>
      <w:sz w:val="16"/>
      <w:szCs w:val="14"/>
    </w:rPr>
  </w:style>
  <w:style w:type="character" w:styleId="Hyperlink">
    <w:name w:val="Hyperlink"/>
    <w:basedOn w:val="DefaultParagraphFont"/>
    <w:uiPriority w:val="99"/>
    <w:unhideWhenUsed/>
    <w:rsid w:val="00184948"/>
    <w:rPr>
      <w:color w:val="0000FF" w:themeColor="hyperlink"/>
      <w:u w:val="single"/>
    </w:rPr>
  </w:style>
  <w:style w:type="table" w:styleId="TableGrid">
    <w:name w:val="Table Grid"/>
    <w:basedOn w:val="TableNormal"/>
    <w:uiPriority w:val="39"/>
    <w:rsid w:val="0072351D"/>
    <w:pPr>
      <w:spacing w:after="0" w:line="240" w:lineRule="auto"/>
    </w:pPr>
    <w:rPr>
      <w:rFonts w:ascii="Calibri" w:eastAsia="Calibri" w:hAnsi="Calibri" w:cs="Mangal"/>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9BA"/>
    <w:rPr>
      <w:rFonts w:cs="Mangal"/>
    </w:rPr>
  </w:style>
  <w:style w:type="paragraph" w:styleId="Footer">
    <w:name w:val="footer"/>
    <w:basedOn w:val="Normal"/>
    <w:link w:val="FooterChar"/>
    <w:uiPriority w:val="99"/>
    <w:unhideWhenUsed/>
    <w:rsid w:val="00993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9B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30522">
      <w:bodyDiv w:val="1"/>
      <w:marLeft w:val="0"/>
      <w:marRight w:val="0"/>
      <w:marTop w:val="0"/>
      <w:marBottom w:val="0"/>
      <w:divBdr>
        <w:top w:val="none" w:sz="0" w:space="0" w:color="auto"/>
        <w:left w:val="none" w:sz="0" w:space="0" w:color="auto"/>
        <w:bottom w:val="none" w:sz="0" w:space="0" w:color="auto"/>
        <w:right w:val="none" w:sz="0" w:space="0" w:color="auto"/>
      </w:divBdr>
    </w:div>
    <w:div w:id="293026596">
      <w:bodyDiv w:val="1"/>
      <w:marLeft w:val="0"/>
      <w:marRight w:val="0"/>
      <w:marTop w:val="0"/>
      <w:marBottom w:val="0"/>
      <w:divBdr>
        <w:top w:val="none" w:sz="0" w:space="0" w:color="auto"/>
        <w:left w:val="none" w:sz="0" w:space="0" w:color="auto"/>
        <w:bottom w:val="none" w:sz="0" w:space="0" w:color="auto"/>
        <w:right w:val="none" w:sz="0" w:space="0" w:color="auto"/>
      </w:divBdr>
    </w:div>
    <w:div w:id="596593395">
      <w:bodyDiv w:val="1"/>
      <w:marLeft w:val="0"/>
      <w:marRight w:val="0"/>
      <w:marTop w:val="0"/>
      <w:marBottom w:val="0"/>
      <w:divBdr>
        <w:top w:val="none" w:sz="0" w:space="0" w:color="auto"/>
        <w:left w:val="none" w:sz="0" w:space="0" w:color="auto"/>
        <w:bottom w:val="none" w:sz="0" w:space="0" w:color="auto"/>
        <w:right w:val="none" w:sz="0" w:space="0" w:color="auto"/>
      </w:divBdr>
      <w:divsChild>
        <w:div w:id="1603802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147923">
      <w:bodyDiv w:val="1"/>
      <w:marLeft w:val="0"/>
      <w:marRight w:val="0"/>
      <w:marTop w:val="0"/>
      <w:marBottom w:val="0"/>
      <w:divBdr>
        <w:top w:val="none" w:sz="0" w:space="0" w:color="auto"/>
        <w:left w:val="none" w:sz="0" w:space="0" w:color="auto"/>
        <w:bottom w:val="none" w:sz="0" w:space="0" w:color="auto"/>
        <w:right w:val="none" w:sz="0" w:space="0" w:color="auto"/>
      </w:divBdr>
    </w:div>
    <w:div w:id="825048368">
      <w:bodyDiv w:val="1"/>
      <w:marLeft w:val="0"/>
      <w:marRight w:val="0"/>
      <w:marTop w:val="0"/>
      <w:marBottom w:val="0"/>
      <w:divBdr>
        <w:top w:val="none" w:sz="0" w:space="0" w:color="auto"/>
        <w:left w:val="none" w:sz="0" w:space="0" w:color="auto"/>
        <w:bottom w:val="none" w:sz="0" w:space="0" w:color="auto"/>
        <w:right w:val="none" w:sz="0" w:space="0" w:color="auto"/>
      </w:divBdr>
    </w:div>
    <w:div w:id="914052711">
      <w:bodyDiv w:val="1"/>
      <w:marLeft w:val="0"/>
      <w:marRight w:val="0"/>
      <w:marTop w:val="0"/>
      <w:marBottom w:val="0"/>
      <w:divBdr>
        <w:top w:val="none" w:sz="0" w:space="0" w:color="auto"/>
        <w:left w:val="none" w:sz="0" w:space="0" w:color="auto"/>
        <w:bottom w:val="none" w:sz="0" w:space="0" w:color="auto"/>
        <w:right w:val="none" w:sz="0" w:space="0" w:color="auto"/>
      </w:divBdr>
    </w:div>
    <w:div w:id="1025785043">
      <w:bodyDiv w:val="1"/>
      <w:marLeft w:val="0"/>
      <w:marRight w:val="0"/>
      <w:marTop w:val="0"/>
      <w:marBottom w:val="0"/>
      <w:divBdr>
        <w:top w:val="none" w:sz="0" w:space="0" w:color="auto"/>
        <w:left w:val="none" w:sz="0" w:space="0" w:color="auto"/>
        <w:bottom w:val="none" w:sz="0" w:space="0" w:color="auto"/>
        <w:right w:val="none" w:sz="0" w:space="0" w:color="auto"/>
      </w:divBdr>
    </w:div>
    <w:div w:id="1113204872">
      <w:bodyDiv w:val="1"/>
      <w:marLeft w:val="0"/>
      <w:marRight w:val="0"/>
      <w:marTop w:val="0"/>
      <w:marBottom w:val="0"/>
      <w:divBdr>
        <w:top w:val="none" w:sz="0" w:space="0" w:color="auto"/>
        <w:left w:val="none" w:sz="0" w:space="0" w:color="auto"/>
        <w:bottom w:val="none" w:sz="0" w:space="0" w:color="auto"/>
        <w:right w:val="none" w:sz="0" w:space="0" w:color="auto"/>
      </w:divBdr>
    </w:div>
    <w:div w:id="1216626799">
      <w:bodyDiv w:val="1"/>
      <w:marLeft w:val="0"/>
      <w:marRight w:val="0"/>
      <w:marTop w:val="0"/>
      <w:marBottom w:val="0"/>
      <w:divBdr>
        <w:top w:val="none" w:sz="0" w:space="0" w:color="auto"/>
        <w:left w:val="none" w:sz="0" w:space="0" w:color="auto"/>
        <w:bottom w:val="none" w:sz="0" w:space="0" w:color="auto"/>
        <w:right w:val="none" w:sz="0" w:space="0" w:color="auto"/>
      </w:divBdr>
    </w:div>
    <w:div w:id="1579443586">
      <w:bodyDiv w:val="1"/>
      <w:marLeft w:val="0"/>
      <w:marRight w:val="0"/>
      <w:marTop w:val="0"/>
      <w:marBottom w:val="0"/>
      <w:divBdr>
        <w:top w:val="none" w:sz="0" w:space="0" w:color="auto"/>
        <w:left w:val="none" w:sz="0" w:space="0" w:color="auto"/>
        <w:bottom w:val="none" w:sz="0" w:space="0" w:color="auto"/>
        <w:right w:val="none" w:sz="0" w:space="0" w:color="auto"/>
      </w:divBdr>
      <w:divsChild>
        <w:div w:id="12609459">
          <w:marLeft w:val="0"/>
          <w:marRight w:val="0"/>
          <w:marTop w:val="0"/>
          <w:marBottom w:val="0"/>
          <w:divBdr>
            <w:top w:val="none" w:sz="0" w:space="0" w:color="auto"/>
            <w:left w:val="none" w:sz="0" w:space="0" w:color="auto"/>
            <w:bottom w:val="none" w:sz="0" w:space="0" w:color="auto"/>
            <w:right w:val="none" w:sz="0" w:space="0" w:color="auto"/>
          </w:divBdr>
          <w:divsChild>
            <w:div w:id="566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0240">
      <w:bodyDiv w:val="1"/>
      <w:marLeft w:val="0"/>
      <w:marRight w:val="0"/>
      <w:marTop w:val="0"/>
      <w:marBottom w:val="0"/>
      <w:divBdr>
        <w:top w:val="none" w:sz="0" w:space="0" w:color="auto"/>
        <w:left w:val="none" w:sz="0" w:space="0" w:color="auto"/>
        <w:bottom w:val="none" w:sz="0" w:space="0" w:color="auto"/>
        <w:right w:val="none" w:sz="0" w:space="0" w:color="auto"/>
      </w:divBdr>
      <w:divsChild>
        <w:div w:id="2109345125">
          <w:marLeft w:val="0"/>
          <w:marRight w:val="0"/>
          <w:marTop w:val="0"/>
          <w:marBottom w:val="0"/>
          <w:divBdr>
            <w:top w:val="none" w:sz="0" w:space="0" w:color="auto"/>
            <w:left w:val="none" w:sz="0" w:space="0" w:color="auto"/>
            <w:bottom w:val="none" w:sz="0" w:space="0" w:color="auto"/>
            <w:right w:val="none" w:sz="0" w:space="0" w:color="auto"/>
          </w:divBdr>
          <w:divsChild>
            <w:div w:id="18822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3015">
      <w:bodyDiv w:val="1"/>
      <w:marLeft w:val="0"/>
      <w:marRight w:val="0"/>
      <w:marTop w:val="0"/>
      <w:marBottom w:val="0"/>
      <w:divBdr>
        <w:top w:val="none" w:sz="0" w:space="0" w:color="auto"/>
        <w:left w:val="none" w:sz="0" w:space="0" w:color="auto"/>
        <w:bottom w:val="none" w:sz="0" w:space="0" w:color="auto"/>
        <w:right w:val="none" w:sz="0" w:space="0" w:color="auto"/>
      </w:divBdr>
    </w:div>
    <w:div w:id="21043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meps27101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61/(ASCE)EE.1943-7870.000001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hydrol.2018.05.0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38/s41598-024-66547-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heliyon.2020.e0469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93EF1-7C47-4152-BA6C-00DB1EDC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3857</Words>
  <Characters>21987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NSB</dc:creator>
  <cp:keywords/>
  <dc:description/>
  <cp:lastModifiedBy>SDI CPU 1117</cp:lastModifiedBy>
  <cp:revision>160</cp:revision>
  <dcterms:created xsi:type="dcterms:W3CDTF">2026-01-22T04:37:00Z</dcterms:created>
  <dcterms:modified xsi:type="dcterms:W3CDTF">2026-02-10T11:12:00Z</dcterms:modified>
</cp:coreProperties>
</file>