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AF25F" w14:textId="77777777" w:rsidR="009905E2" w:rsidRDefault="00717275">
      <w:pPr>
        <w:spacing w:after="0" w:line="360" w:lineRule="auto"/>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 xml:space="preserve">Comparative Diversity of Small Indigenous Freshwater Fishes from the Wetlands of </w:t>
      </w:r>
      <w:proofErr w:type="spellStart"/>
      <w:r>
        <w:rPr>
          <w:rFonts w:ascii="Times New Roman" w:eastAsia="Times New Roman" w:hAnsi="Times New Roman" w:cs="Times New Roman"/>
          <w:b/>
          <w:bCs/>
          <w:color w:val="222222"/>
          <w:sz w:val="24"/>
          <w:szCs w:val="24"/>
          <w:highlight w:val="white"/>
        </w:rPr>
        <w:t>Charaideo</w:t>
      </w:r>
      <w:proofErr w:type="spellEnd"/>
      <w:r>
        <w:rPr>
          <w:rFonts w:ascii="Times New Roman" w:eastAsia="Times New Roman" w:hAnsi="Times New Roman" w:cs="Times New Roman"/>
          <w:b/>
          <w:bCs/>
          <w:color w:val="222222"/>
          <w:sz w:val="24"/>
          <w:szCs w:val="24"/>
          <w:highlight w:val="white"/>
        </w:rPr>
        <w:t xml:space="preserve"> and Nagaon Districts of Assam, India</w:t>
      </w:r>
    </w:p>
    <w:p w14:paraId="5C7D379E" w14:textId="77777777" w:rsidR="009905E2" w:rsidRDefault="009905E2">
      <w:pPr>
        <w:spacing w:after="0" w:line="360" w:lineRule="auto"/>
        <w:rPr>
          <w:rFonts w:ascii="Times New Roman" w:eastAsia="Times New Roman" w:hAnsi="Times New Roman" w:cs="Times New Roman"/>
          <w:b/>
          <w:bCs/>
          <w:color w:val="222222"/>
          <w:sz w:val="24"/>
          <w:szCs w:val="24"/>
          <w:highlight w:val="white"/>
        </w:rPr>
      </w:pPr>
    </w:p>
    <w:p w14:paraId="4ACB866F" w14:textId="77777777" w:rsidR="009905E2" w:rsidRDefault="009905E2">
      <w:pPr>
        <w:spacing w:after="0" w:line="360" w:lineRule="auto"/>
        <w:rPr>
          <w:rFonts w:ascii="Times New Roman" w:eastAsia="Times New Roman" w:hAnsi="Times New Roman" w:cs="Times New Roman"/>
          <w:b/>
          <w:bCs/>
          <w:sz w:val="24"/>
          <w:szCs w:val="24"/>
        </w:rPr>
      </w:pPr>
    </w:p>
    <w:p w14:paraId="7CF12896" w14:textId="77777777" w:rsidR="009905E2" w:rsidRDefault="00717275" w:rsidP="00C4120B">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Abstract</w:t>
      </w:r>
    </w:p>
    <w:p w14:paraId="1D5ED324" w14:textId="3DE7B5FF" w:rsidR="000905C1" w:rsidRPr="000905C1" w:rsidRDefault="000905C1" w:rsidP="00C4120B">
      <w:pPr>
        <w:spacing w:after="0" w:line="360" w:lineRule="auto"/>
        <w:jc w:val="both"/>
        <w:rPr>
          <w:rFonts w:ascii="Times New Roman" w:eastAsia="Times New Roman" w:hAnsi="Times New Roman" w:cs="Times New Roman"/>
          <w:sz w:val="24"/>
          <w:szCs w:val="24"/>
        </w:rPr>
      </w:pPr>
    </w:p>
    <w:p w14:paraId="59D6CA6B" w14:textId="77777777" w:rsidR="000905C1" w:rsidRPr="00941E64" w:rsidRDefault="000905C1" w:rsidP="00C4120B">
      <w:p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941E64">
        <w:rPr>
          <w:rFonts w:ascii="Times New Roman" w:eastAsia="Times New Roman" w:hAnsi="Times New Roman" w:cs="Times New Roman"/>
          <w:color w:val="222222"/>
          <w:sz w:val="24"/>
          <w:szCs w:val="24"/>
          <w:highlight w:val="yellow"/>
        </w:rPr>
        <w:t xml:space="preserve">The present study documents the diversity of small indigenous freshwater fishes from selected wetlands of </w:t>
      </w:r>
      <w:proofErr w:type="spellStart"/>
      <w:r w:rsidRPr="00941E64">
        <w:rPr>
          <w:rFonts w:ascii="Times New Roman" w:eastAsia="Times New Roman" w:hAnsi="Times New Roman" w:cs="Times New Roman"/>
          <w:color w:val="222222"/>
          <w:sz w:val="24"/>
          <w:szCs w:val="24"/>
          <w:highlight w:val="yellow"/>
        </w:rPr>
        <w:t>Charaideo</w:t>
      </w:r>
      <w:proofErr w:type="spellEnd"/>
      <w:r w:rsidRPr="00941E64">
        <w:rPr>
          <w:rFonts w:ascii="Times New Roman" w:eastAsia="Times New Roman" w:hAnsi="Times New Roman" w:cs="Times New Roman"/>
          <w:color w:val="222222"/>
          <w:sz w:val="24"/>
          <w:szCs w:val="24"/>
          <w:highlight w:val="yellow"/>
        </w:rPr>
        <w:t xml:space="preserve"> and Nagaon districts of Assam, India. Field surveys were conducted using traditional fishing gears commonly employed by local fishermen, and species identification was carried out following standard taxonomic literature. A total of 32 small indigenous fish species belonging to 15 families were recorded from the study area, reflecting considerable ichthyofaunal diversity in the wetlands. The family </w:t>
      </w:r>
      <w:proofErr w:type="spellStart"/>
      <w:r w:rsidRPr="00941E64">
        <w:rPr>
          <w:rFonts w:ascii="Times New Roman" w:eastAsia="Times New Roman" w:hAnsi="Times New Roman" w:cs="Times New Roman"/>
          <w:color w:val="222222"/>
          <w:sz w:val="24"/>
          <w:szCs w:val="24"/>
          <w:highlight w:val="yellow"/>
        </w:rPr>
        <w:t>Cyprinidae</w:t>
      </w:r>
      <w:proofErr w:type="spellEnd"/>
      <w:r w:rsidRPr="00941E64">
        <w:rPr>
          <w:rFonts w:ascii="Times New Roman" w:eastAsia="Times New Roman" w:hAnsi="Times New Roman" w:cs="Times New Roman"/>
          <w:color w:val="222222"/>
          <w:sz w:val="24"/>
          <w:szCs w:val="24"/>
          <w:highlight w:val="yellow"/>
        </w:rPr>
        <w:t xml:space="preserve"> was found to be the most dominant, followed by </w:t>
      </w:r>
      <w:proofErr w:type="spellStart"/>
      <w:r w:rsidRPr="00941E64">
        <w:rPr>
          <w:rFonts w:ascii="Times New Roman" w:eastAsia="Times New Roman" w:hAnsi="Times New Roman" w:cs="Times New Roman"/>
          <w:color w:val="222222"/>
          <w:sz w:val="24"/>
          <w:szCs w:val="24"/>
          <w:highlight w:val="yellow"/>
        </w:rPr>
        <w:t>Danionidae</w:t>
      </w:r>
      <w:proofErr w:type="spellEnd"/>
      <w:r w:rsidRPr="00941E64">
        <w:rPr>
          <w:rFonts w:ascii="Times New Roman" w:eastAsia="Times New Roman" w:hAnsi="Times New Roman" w:cs="Times New Roman"/>
          <w:color w:val="222222"/>
          <w:sz w:val="24"/>
          <w:szCs w:val="24"/>
          <w:highlight w:val="yellow"/>
        </w:rPr>
        <w:t xml:space="preserve">, </w:t>
      </w:r>
      <w:proofErr w:type="spellStart"/>
      <w:r w:rsidRPr="00941E64">
        <w:rPr>
          <w:rFonts w:ascii="Times New Roman" w:eastAsia="Times New Roman" w:hAnsi="Times New Roman" w:cs="Times New Roman"/>
          <w:color w:val="222222"/>
          <w:sz w:val="24"/>
          <w:szCs w:val="24"/>
          <w:highlight w:val="yellow"/>
        </w:rPr>
        <w:t>Channidae</w:t>
      </w:r>
      <w:proofErr w:type="spellEnd"/>
      <w:r w:rsidRPr="00941E64">
        <w:rPr>
          <w:rFonts w:ascii="Times New Roman" w:eastAsia="Times New Roman" w:hAnsi="Times New Roman" w:cs="Times New Roman"/>
          <w:color w:val="222222"/>
          <w:sz w:val="24"/>
          <w:szCs w:val="24"/>
          <w:highlight w:val="yellow"/>
        </w:rPr>
        <w:t xml:space="preserve">, and other families. Comparative analysis revealed that Nagaon district exhibited higher species richness and abundance, while several species in </w:t>
      </w:r>
      <w:proofErr w:type="spellStart"/>
      <w:r w:rsidRPr="00941E64">
        <w:rPr>
          <w:rFonts w:ascii="Times New Roman" w:eastAsia="Times New Roman" w:hAnsi="Times New Roman" w:cs="Times New Roman"/>
          <w:color w:val="222222"/>
          <w:sz w:val="24"/>
          <w:szCs w:val="24"/>
          <w:highlight w:val="yellow"/>
        </w:rPr>
        <w:t>Charaideo</w:t>
      </w:r>
      <w:proofErr w:type="spellEnd"/>
      <w:r w:rsidRPr="00941E64">
        <w:rPr>
          <w:rFonts w:ascii="Times New Roman" w:eastAsia="Times New Roman" w:hAnsi="Times New Roman" w:cs="Times New Roman"/>
          <w:color w:val="222222"/>
          <w:sz w:val="24"/>
          <w:szCs w:val="24"/>
          <w:highlight w:val="yellow"/>
        </w:rPr>
        <w:t xml:space="preserve"> district were recorded as present or rare. Most of the recorded species fall under the ‘Least Concern’ category of the IUCN Red List, although a few species were categorized as ‘Near Threatened’, indicating the need for focused regional conservation measures. The findings provide important baseline information for future research, biodiversity conservation, and sustainable management of freshwater wetland ecosystems in Assam.</w:t>
      </w:r>
    </w:p>
    <w:p w14:paraId="20204982" w14:textId="77777777" w:rsidR="000905C1" w:rsidRPr="00941E64" w:rsidRDefault="000905C1" w:rsidP="00C4120B">
      <w:p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941E64">
        <w:rPr>
          <w:rFonts w:ascii="Times New Roman" w:eastAsia="Times New Roman" w:hAnsi="Times New Roman" w:cs="Times New Roman"/>
          <w:color w:val="222222"/>
          <w:sz w:val="24"/>
          <w:szCs w:val="24"/>
          <w:highlight w:val="yellow"/>
        </w:rPr>
        <w:t>Keywords</w:t>
      </w:r>
    </w:p>
    <w:p w14:paraId="11B0C384" w14:textId="45D82FAF" w:rsidR="000905C1" w:rsidRPr="000905C1" w:rsidRDefault="000905C1" w:rsidP="00C4120B">
      <w:pPr>
        <w:shd w:val="clear" w:color="auto" w:fill="FFFFFF"/>
        <w:spacing w:after="0" w:line="360" w:lineRule="auto"/>
        <w:jc w:val="both"/>
        <w:rPr>
          <w:rFonts w:ascii="Times New Roman" w:eastAsia="Times New Roman" w:hAnsi="Times New Roman" w:cs="Times New Roman"/>
          <w:color w:val="222222"/>
          <w:sz w:val="24"/>
          <w:szCs w:val="24"/>
        </w:rPr>
      </w:pPr>
      <w:r w:rsidRPr="00941E64">
        <w:rPr>
          <w:rFonts w:ascii="Times New Roman" w:eastAsia="Times New Roman" w:hAnsi="Times New Roman" w:cs="Times New Roman"/>
          <w:color w:val="222222"/>
          <w:sz w:val="24"/>
          <w:szCs w:val="24"/>
          <w:highlight w:val="yellow"/>
        </w:rPr>
        <w:t xml:space="preserve"> Indigenous fishes, Freshwater wetlands, Fish diversity, IUCN status, Conservation</w:t>
      </w:r>
    </w:p>
    <w:p w14:paraId="466954B3" w14:textId="77777777" w:rsidR="000905C1" w:rsidRDefault="000905C1">
      <w:pPr>
        <w:shd w:val="clear" w:color="auto" w:fill="FFFFFF"/>
        <w:spacing w:after="0" w:line="360" w:lineRule="auto"/>
        <w:jc w:val="both"/>
        <w:rPr>
          <w:rFonts w:ascii="Times New Roman" w:eastAsia="Times New Roman" w:hAnsi="Times New Roman" w:cs="Times New Roman"/>
          <w:b/>
          <w:bCs/>
          <w:color w:val="222222"/>
          <w:sz w:val="24"/>
          <w:szCs w:val="24"/>
        </w:rPr>
      </w:pPr>
    </w:p>
    <w:p w14:paraId="76ACEC9A" w14:textId="7D3DC988"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Introduction</w:t>
      </w:r>
    </w:p>
    <w:p w14:paraId="62FDB41F"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(SIFs) are native fish species that naturally occur in inland water bodies and usually attain a small adult size (Sarkar, 2010). These fishes are commonly found in rivers, wetlands,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ponds, paddy fields, and seasonal floodplains across Assam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In rural areas, SIFs form an essential part of daily food habits because they are affordable, easily available, and culturally preferred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w:t>
      </w:r>
    </w:p>
    <w:p w14:paraId="39F403EC"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Although small in size, these fishes are rich in essential nutrients such as calcium, iron, zinc, vitamin A, and omega-3 fatty acids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2007). Since they are often eaten whole, including bones and viscera, they contribute significantly to micronutrient intake, especially for women and children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 Several studies have highlighted that loss of SIF diversity directly affects household nutrition and food security (Belton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2014).</w:t>
      </w:r>
    </w:p>
    <w:p w14:paraId="61473579"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Assam is one of the most fish-rich states of India due to the Brahmaputra river system and its extensive floodplains (Talwar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xml:space="preserve">, 1991;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 lie within this basin but show clear differences in wetland size, connectivity, and human pressure. Nagaon has large, permanent floodplain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mainly contains small and seasonal water bodies (Government of Assam, 2024). Comparative assessment of these two districts is important to understand local-scale variation in fish diversity and conservation needs.</w:t>
      </w:r>
    </w:p>
    <w:p w14:paraId="2950C3EA" w14:textId="29BB18FB" w:rsidR="007B1DF7" w:rsidRPr="007B1DF7" w:rsidRDefault="007B1DF7" w:rsidP="007B1DF7">
      <w:pPr>
        <w:shd w:val="clear" w:color="auto" w:fill="FFFFFF"/>
        <w:spacing w:after="0" w:line="360" w:lineRule="auto"/>
        <w:ind w:firstLine="720"/>
        <w:jc w:val="both"/>
        <w:rPr>
          <w:rFonts w:ascii="Times New Roman" w:eastAsia="Times New Roman" w:hAnsi="Times New Roman" w:cs="Times New Roman"/>
          <w:color w:val="222222"/>
          <w:sz w:val="24"/>
          <w:szCs w:val="24"/>
        </w:rPr>
      </w:pPr>
      <w:r w:rsidRPr="00941E64">
        <w:rPr>
          <w:rFonts w:ascii="Times New Roman" w:hAnsi="Times New Roman" w:cs="Times New Roman"/>
          <w:color w:val="222222"/>
          <w:sz w:val="24"/>
          <w:szCs w:val="24"/>
          <w:highlight w:val="yellow"/>
          <w:shd w:val="clear" w:color="auto" w:fill="FFFFFF"/>
        </w:rPr>
        <w:t xml:space="preserve">Recent studies continue to emphasize the importance of small indigenous freshwater fishes (SIFs) in sustaining rural nutrition and biodiversity across South Asia. Recent regional assessments have shown that SIF diversity is declining rapidly due to wetland loss and hydrological alteration, especially in floodplain ecosystems like those of Assam (Singh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2021; Das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2022). Updated nutrition-focused studies further confirm that regular consumption of SIFs significantly contributes to micronutrient security, particularly among women and children in floodplain-dependent communities (Bogard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2019; Thilsted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2023).</w:t>
      </w:r>
    </w:p>
    <w:p w14:paraId="6E5B0E16" w14:textId="5AB26A1F" w:rsidR="000905C1" w:rsidRPr="000905C1" w:rsidRDefault="000905C1" w:rsidP="000905C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905C1">
        <w:rPr>
          <w:rFonts w:ascii="Times New Roman" w:eastAsia="Times New Roman" w:hAnsi="Times New Roman" w:cs="Times New Roman"/>
          <w:sz w:val="24"/>
          <w:szCs w:val="24"/>
        </w:rPr>
        <w:t xml:space="preserve">The present study provides a comprehensive baseline database on small indigenous freshwater fish diversity from the wetlands of </w:t>
      </w:r>
      <w:proofErr w:type="spellStart"/>
      <w:r w:rsidRPr="000905C1">
        <w:rPr>
          <w:rFonts w:ascii="Times New Roman" w:eastAsia="Times New Roman" w:hAnsi="Times New Roman" w:cs="Times New Roman"/>
          <w:sz w:val="24"/>
          <w:szCs w:val="24"/>
        </w:rPr>
        <w:t>Charaideo</w:t>
      </w:r>
      <w:proofErr w:type="spellEnd"/>
      <w:r w:rsidRPr="000905C1">
        <w:rPr>
          <w:rFonts w:ascii="Times New Roman" w:eastAsia="Times New Roman" w:hAnsi="Times New Roman" w:cs="Times New Roman"/>
          <w:sz w:val="24"/>
          <w:szCs w:val="24"/>
        </w:rPr>
        <w:t xml:space="preserve"> and Nagaon districts of Assam, a region with limited documented ichthyofaunal information. Such baseline data are crucial for understanding regional biodiversity patterns, assessing habitat health, and formulating effective conservation and management strategies. The findings will be useful for researchers, academicians, graduate students, and policy makers involved in freshwater biodiversity conservation. Moreover, the study highlights the ecological importance of wetlands as critical habitats for small indigenous fish species.</w:t>
      </w:r>
    </w:p>
    <w:p w14:paraId="239F6243" w14:textId="77777777" w:rsidR="000905C1" w:rsidRDefault="000905C1">
      <w:pPr>
        <w:shd w:val="clear" w:color="auto" w:fill="FFFFFF"/>
        <w:spacing w:after="0" w:line="360" w:lineRule="auto"/>
        <w:ind w:firstLine="720"/>
        <w:jc w:val="both"/>
        <w:rPr>
          <w:rFonts w:ascii="Times New Roman" w:eastAsia="Times New Roman" w:hAnsi="Times New Roman" w:cs="Times New Roman"/>
          <w:color w:val="222222"/>
          <w:sz w:val="24"/>
          <w:szCs w:val="24"/>
        </w:rPr>
      </w:pPr>
    </w:p>
    <w:p w14:paraId="03DB3A67"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0C5C33EC" w14:textId="77777777" w:rsidR="009905E2" w:rsidRDefault="0071727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Methodology of the Review</w:t>
      </w:r>
    </w:p>
    <w:p w14:paraId="4840A88B"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This review is based entirely on secondary information collected from published research articles, books, institutional reports, and government documents related to freshwater fishes of Assam and Northeast India (Talwar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1991; Sarkar, 2010). Literature focusing on small indigenous fishes, wetland ecology, nutrition, threats, and conservation was critically reviewed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 Species distribution data were synthesized to provide a district-level comparison. No field sampling was conducted.</w:t>
      </w:r>
    </w:p>
    <w:p w14:paraId="39AF4616" w14:textId="33C04F9E" w:rsidR="007B1DF7" w:rsidRPr="007B1DF7" w:rsidRDefault="007B1DF7" w:rsidP="007B1DF7">
      <w:pPr>
        <w:shd w:val="clear" w:color="auto" w:fill="FFFFFF"/>
        <w:spacing w:after="0" w:line="360" w:lineRule="auto"/>
        <w:ind w:firstLine="720"/>
        <w:jc w:val="both"/>
        <w:rPr>
          <w:rFonts w:ascii="Times New Roman" w:eastAsia="Times New Roman" w:hAnsi="Times New Roman" w:cs="Times New Roman"/>
          <w:color w:val="222222"/>
          <w:sz w:val="24"/>
          <w:szCs w:val="24"/>
        </w:rPr>
      </w:pPr>
      <w:r w:rsidRPr="00941E64">
        <w:rPr>
          <w:rFonts w:ascii="Times New Roman" w:hAnsi="Times New Roman" w:cs="Times New Roman"/>
          <w:color w:val="222222"/>
          <w:sz w:val="24"/>
          <w:szCs w:val="24"/>
          <w:highlight w:val="yellow"/>
          <w:shd w:val="clear" w:color="auto" w:fill="FFFFFF"/>
        </w:rPr>
        <w:t xml:space="preserve">Recent review-based studies on inland fisheries and wetland biodiversity in Northeast India have successfully adopted similar secondary-data synthesis approaches to identify </w:t>
      </w:r>
      <w:r w:rsidRPr="00941E64">
        <w:rPr>
          <w:rFonts w:ascii="Times New Roman" w:hAnsi="Times New Roman" w:cs="Times New Roman"/>
          <w:color w:val="222222"/>
          <w:sz w:val="24"/>
          <w:szCs w:val="24"/>
          <w:highlight w:val="yellow"/>
          <w:shd w:val="clear" w:color="auto" w:fill="FFFFFF"/>
        </w:rPr>
        <w:lastRenderedPageBreak/>
        <w:t xml:space="preserve">regional trends, threats, and conservation priorities (Singh &amp; Gupta, 2020; Sarkar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2021). Such approaches are particularly useful in data-deficient regions where long-term field data are limited.</w:t>
      </w:r>
    </w:p>
    <w:p w14:paraId="738EC518" w14:textId="77777777" w:rsidR="009905E2" w:rsidRDefault="0071727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472C1970"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24D3CE66"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Description of the Study Area</w:t>
      </w:r>
    </w:p>
    <w:p w14:paraId="6CA1E4CF"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19D3DD86"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District</w:t>
      </w:r>
    </w:p>
    <w:p w14:paraId="6FE62F20"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in eastern Assam, is a landscape dotted with rivers, seasonal streams, village ponds, and scattered wetlands. Most of these water bodies are shallow and temporary, often shrinking or drying up completely during the winter months (Sarkar et al., 2012). The ponds and wetlands here are closely tied to village life—used for bathing, irrigation, and small-scale fishing—but they are fragile.</w:t>
      </w:r>
    </w:p>
    <w:p w14:paraId="6CAAC978"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Over the years, paddy cultivation has expanded, and with it the use of chemical fertilizers. This has slowly eaten into wetland areas, leaving them fragmented and less capable of supporting diverse aquatic life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The wetlands that remain are often small patches surrounded by farmland, making them vulnerable to pollution and encroachment. As a result, fish diversity has declined, and many of the smaller indigenous species that once thrived in these waters are now harder to find.</w:t>
      </w:r>
    </w:p>
    <w:p w14:paraId="6F0001B1"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simple terms, some of </w:t>
      </w:r>
      <w:proofErr w:type="spellStart"/>
      <w:r>
        <w:rPr>
          <w:rFonts w:ascii="Times New Roman" w:eastAsia="Times New Roman" w:hAnsi="Times New Roman" w:cs="Times New Roman"/>
          <w:color w:val="222222"/>
          <w:sz w:val="24"/>
          <w:szCs w:val="24"/>
        </w:rPr>
        <w:t>Charaideo’s</w:t>
      </w:r>
      <w:proofErr w:type="spellEnd"/>
      <w:r>
        <w:rPr>
          <w:rFonts w:ascii="Times New Roman" w:eastAsia="Times New Roman" w:hAnsi="Times New Roman" w:cs="Times New Roman"/>
          <w:color w:val="222222"/>
          <w:sz w:val="24"/>
          <w:szCs w:val="24"/>
        </w:rPr>
        <w:t xml:space="preserve"> wetlands are like seasonal breathing spaces for nature—alive and full during the rains, but struggling to survive once the water recedes.</w:t>
      </w:r>
    </w:p>
    <w:p w14:paraId="6E4DE24D"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3CEF9FAE"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Nagaon District</w:t>
      </w:r>
    </w:p>
    <w:p w14:paraId="4FCDABDA"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Nagaon, in central Assam, presents a very different picture. Here, the district is famous for its large floodplain wetlands, locally called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These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not isolated ponds; they are part of a living river system. During the monsoon, rivers overflow and connect with the wetlands, allowing fish to migrate, breed, and spread across the floodplain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2046BBA4"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Because water remains in these wetlands throughout the year, they provide a stable and varied habitat. This makes Nagaon a hotspot for small indigenous fishes, which flourish in the mosaic of deep pools, shallow edges, aquatic vegetation, and open water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Villagers depend heavily on these wetlands for fishing, and the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central to both livelihoods and local diets.</w:t>
      </w:r>
    </w:p>
    <w:p w14:paraId="54993634" w14:textId="1DF112E4" w:rsidR="009905E2" w:rsidRDefault="00717275"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However, the abundance of fish has also led to intense fishing pressure. Nets, traps, and even destructive methods are used, often without regulation. Pollution from agriculture and settlements adds to the stress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2020).</w:t>
      </w:r>
      <w:r w:rsidR="00DA3FEE" w:rsidRPr="00DA3FEE">
        <w:rPr>
          <w:rFonts w:ascii="Arial" w:hAnsi="Arial" w:cs="Arial"/>
          <w:color w:val="222222"/>
          <w:shd w:val="clear" w:color="auto" w:fill="FFFFFF"/>
        </w:rPr>
        <w:t xml:space="preserve"> </w:t>
      </w:r>
      <w:r w:rsidR="00DA3FEE" w:rsidRPr="00941E64">
        <w:rPr>
          <w:rFonts w:ascii="Times New Roman" w:hAnsi="Times New Roman" w:cs="Times New Roman"/>
          <w:color w:val="222222"/>
          <w:sz w:val="24"/>
          <w:szCs w:val="24"/>
          <w:highlight w:val="yellow"/>
          <w:shd w:val="clear" w:color="auto" w:fill="FFFFFF"/>
        </w:rPr>
        <w:t xml:space="preserve">Recent studies on </w:t>
      </w:r>
      <w:proofErr w:type="spellStart"/>
      <w:r w:rsidR="00DA3FEE" w:rsidRPr="00941E64">
        <w:rPr>
          <w:rFonts w:ascii="Times New Roman" w:hAnsi="Times New Roman" w:cs="Times New Roman"/>
          <w:color w:val="222222"/>
          <w:sz w:val="24"/>
          <w:szCs w:val="24"/>
          <w:highlight w:val="yellow"/>
          <w:shd w:val="clear" w:color="auto" w:fill="FFFFFF"/>
        </w:rPr>
        <w:t>beel</w:t>
      </w:r>
      <w:proofErr w:type="spellEnd"/>
      <w:r w:rsidR="00DA3FEE" w:rsidRPr="00941E64">
        <w:rPr>
          <w:rFonts w:ascii="Times New Roman" w:hAnsi="Times New Roman" w:cs="Times New Roman"/>
          <w:color w:val="222222"/>
          <w:sz w:val="24"/>
          <w:szCs w:val="24"/>
          <w:highlight w:val="yellow"/>
          <w:shd w:val="clear" w:color="auto" w:fill="FFFFFF"/>
        </w:rPr>
        <w:t xml:space="preserve"> fisheries in central Assam report increasing fishing intensity and declining catch per unit effort (CPUE) despite high species richness, indicating growing pressure on wetland fish stocks (Saikia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2020; Ahmed &amp; Dutta, 2022). However, wetlands with better hydrological connectivity continue to support relatively stable SIF populations compared to isolated systems</w:t>
      </w:r>
      <w:r w:rsidR="00DA3FEE">
        <w:rPr>
          <w:rFonts w:ascii="Arial" w:hAnsi="Arial" w:cs="Arial"/>
          <w:color w:val="222222"/>
          <w:shd w:val="clear" w:color="auto" w:fill="FFFFFF"/>
        </w:rPr>
        <w:t>.</w:t>
      </w:r>
      <w:r>
        <w:rPr>
          <w:rFonts w:ascii="Times New Roman" w:eastAsia="Times New Roman" w:hAnsi="Times New Roman" w:cs="Times New Roman"/>
          <w:color w:val="222222"/>
          <w:sz w:val="24"/>
          <w:szCs w:val="24"/>
        </w:rPr>
        <w:t xml:space="preserve"> Despite these challenges, Nagaon’s wetlands remain far richer in biodiversity compared to districts like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largely because of their size, connectivity, and year-round water availability.</w:t>
      </w:r>
    </w:p>
    <w:p w14:paraId="14C14881"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everyday words, Beels of Nagaon are like natural fish nurseries—vast water gardens that sustain both people and wildlife, but now under strain from overuse.</w:t>
      </w:r>
    </w:p>
    <w:p w14:paraId="560727A5" w14:textId="77777777" w:rsidR="009905E2" w:rsidRDefault="009905E2">
      <w:pPr>
        <w:shd w:val="clear" w:color="auto" w:fill="FFFFFF"/>
        <w:spacing w:line="360" w:lineRule="auto"/>
        <w:jc w:val="both"/>
        <w:rPr>
          <w:rFonts w:ascii="Times New Roman" w:eastAsia="Times New Roman" w:hAnsi="Times New Roman" w:cs="Times New Roman"/>
          <w:color w:val="222222"/>
          <w:sz w:val="24"/>
          <w:szCs w:val="24"/>
        </w:rPr>
      </w:pPr>
    </w:p>
    <w:p w14:paraId="6B88DA47" w14:textId="77777777" w:rsidR="009905E2" w:rsidRDefault="00717275">
      <w:pPr>
        <w:shd w:val="clear" w:color="auto" w:fill="FFFFFF"/>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Diversity of Small Indigenous Freshwater Fishes</w:t>
      </w:r>
    </w:p>
    <w:p w14:paraId="7C2AC0DD"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of Assam mainly belong to families such as </w:t>
      </w:r>
      <w:proofErr w:type="spellStart"/>
      <w:r>
        <w:rPr>
          <w:rFonts w:ascii="Times New Roman" w:eastAsia="Times New Roman" w:hAnsi="Times New Roman" w:cs="Times New Roman"/>
          <w:color w:val="222222"/>
          <w:sz w:val="24"/>
          <w:szCs w:val="24"/>
        </w:rPr>
        <w:t>Cyprinidae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Danionidae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Channidae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Bagridae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Badidae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Mastacembelidae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Osphronemidae</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Psilorhynchidae</w:t>
      </w:r>
      <w:proofErr w:type="spellEnd"/>
      <w:r>
        <w:rPr>
          <w:rFonts w:ascii="Times New Roman" w:eastAsia="Times New Roman" w:hAnsi="Times New Roman" w:cs="Times New Roman"/>
          <w:color w:val="222222"/>
          <w:sz w:val="24"/>
          <w:szCs w:val="24"/>
        </w:rPr>
        <w:t xml:space="preserve"> (Talwar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1991; Sarkar, 2010). These fishes are well adapted to shallow, slow-moving, and vegetation-rich habitats that are common in floodplain wetlands and seasonal water bodies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7C58FEBB" w14:textId="7A018FD6" w:rsidR="00DA3FEE" w:rsidRPr="00DA3FEE" w:rsidRDefault="00DA3FEE"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sidRPr="00941E64">
        <w:rPr>
          <w:rFonts w:ascii="Times New Roman" w:hAnsi="Times New Roman" w:cs="Times New Roman"/>
          <w:color w:val="222222"/>
          <w:sz w:val="24"/>
          <w:szCs w:val="24"/>
          <w:highlight w:val="yellow"/>
          <w:shd w:val="clear" w:color="auto" w:fill="FFFFFF"/>
        </w:rPr>
        <w:t xml:space="preserve">Recent ichthyofaunal surveys and taxonomic revisions have improved understanding of small fish diversity in Northeast India, including the identification of cryptic species within genera such as </w:t>
      </w:r>
      <w:proofErr w:type="spellStart"/>
      <w:r w:rsidRPr="00941E64">
        <w:rPr>
          <w:rFonts w:ascii="Times New Roman" w:hAnsi="Times New Roman" w:cs="Times New Roman"/>
          <w:i/>
          <w:iCs/>
          <w:color w:val="222222"/>
          <w:sz w:val="24"/>
          <w:szCs w:val="24"/>
          <w:highlight w:val="yellow"/>
          <w:shd w:val="clear" w:color="auto" w:fill="FFFFFF"/>
        </w:rPr>
        <w:t>Pethia</w:t>
      </w:r>
      <w:proofErr w:type="spellEnd"/>
      <w:r w:rsidRPr="00941E64">
        <w:rPr>
          <w:rFonts w:ascii="Times New Roman" w:hAnsi="Times New Roman" w:cs="Times New Roman"/>
          <w:color w:val="222222"/>
          <w:sz w:val="24"/>
          <w:szCs w:val="24"/>
          <w:highlight w:val="yellow"/>
          <w:shd w:val="clear" w:color="auto" w:fill="FFFFFF"/>
        </w:rPr>
        <w:t xml:space="preserve"> and </w:t>
      </w:r>
      <w:r w:rsidRPr="00941E64">
        <w:rPr>
          <w:rFonts w:ascii="Times New Roman" w:hAnsi="Times New Roman" w:cs="Times New Roman"/>
          <w:i/>
          <w:iCs/>
          <w:color w:val="222222"/>
          <w:sz w:val="24"/>
          <w:szCs w:val="24"/>
          <w:highlight w:val="yellow"/>
          <w:shd w:val="clear" w:color="auto" w:fill="FFFFFF"/>
        </w:rPr>
        <w:t>Danio</w:t>
      </w:r>
      <w:r w:rsidRPr="00941E64">
        <w:rPr>
          <w:rFonts w:ascii="Times New Roman" w:hAnsi="Times New Roman" w:cs="Times New Roman"/>
          <w:color w:val="222222"/>
          <w:sz w:val="24"/>
          <w:szCs w:val="24"/>
          <w:highlight w:val="yellow"/>
          <w:shd w:val="clear" w:color="auto" w:fill="FFFFFF"/>
        </w:rPr>
        <w:t xml:space="preserve"> (Kullander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2019; Britz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2021). These findings suggest that actual species diversity may be underestimated, particularly in floodplain wetlands.</w:t>
      </w:r>
    </w:p>
    <w:p w14:paraId="0F35CDDB"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 comparison of available records shows that Nagaon district supports higher species richness and abundance of small indigenous fishes than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presence of large wetlands and seasonal floodplain connectivity allows fish to migrate between rivers and wetlands, which helps maintain genetic diversity and stable populations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1E270FDF"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shows comparatively lower diversity due to habitat fragmentation, seasonal drying, and reduced water retention. However, several resilient species adapted to fluctuating water conditions continue to survive in the district, indicating the ecological importance of even small and temporary habitats (Government of Assam, 2024).</w:t>
      </w:r>
    </w:p>
    <w:p w14:paraId="5B989229" w14:textId="77777777" w:rsidR="009905E2" w:rsidRDefault="009905E2">
      <w:pPr>
        <w:shd w:val="clear" w:color="auto" w:fill="FFFFFF"/>
        <w:spacing w:after="0" w:line="360" w:lineRule="auto"/>
        <w:ind w:firstLine="720"/>
        <w:jc w:val="both"/>
        <w:rPr>
          <w:rFonts w:ascii="Times New Roman" w:eastAsia="Times New Roman" w:hAnsi="Times New Roman" w:cs="Times New Roman"/>
          <w:color w:val="222222"/>
          <w:sz w:val="24"/>
          <w:szCs w:val="24"/>
        </w:rPr>
      </w:pPr>
    </w:p>
    <w:p w14:paraId="072C18EC"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lastRenderedPageBreak/>
        <w:t>Results</w:t>
      </w:r>
    </w:p>
    <w:p w14:paraId="41C4CA09"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review of published literature and regional records reveals clear differences in small indigenous freshwater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w:t>
      </w:r>
    </w:p>
    <w:p w14:paraId="35878CDE" w14:textId="77777777" w:rsidR="009905E2" w:rsidRDefault="0071727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Nagaon district shows higher species richness and abundance. Species such as </w:t>
      </w:r>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mola</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species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Danio species</w:t>
      </w:r>
      <w:r>
        <w:rPr>
          <w:rFonts w:ascii="Times New Roman" w:eastAsia="Times New Roman" w:hAnsi="Times New Roman" w:cs="Times New Roman"/>
          <w:color w:val="222222"/>
          <w:sz w:val="24"/>
          <w:szCs w:val="24"/>
        </w:rPr>
        <w:t xml:space="preserve">, and small snakeheads are frequently reported as common or abundant in floodplain wetlands and connected water bodies (Sarkar, 2010;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availability of suitable breeding habitats and longer water retention periods supports healthy fish populations.</w:t>
      </w:r>
    </w:p>
    <w:p w14:paraId="2C33F312"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the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many species are reported as present or rare rather than abundant. Seasonal drying of water bodies limits breeding opportunities and reduces population size. Species adapted to temporary habitats dominate the fish assemblage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6000CBE2"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Most recorded species fall under the “Least Concern” category of the IUCN Red List, indicating low global extinction risk. However, some species are listed as “Near Threatened,” and several studies report local population declines, highlighting the need for regional conservation attention (Vishwanath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2007; Sarkar, 2010).</w:t>
      </w:r>
    </w:p>
    <w:p w14:paraId="67F22A91" w14:textId="72074BD1" w:rsidR="00DA3FEE" w:rsidRPr="00DA3FEE" w:rsidRDefault="00DA3FEE"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sidRPr="00941E64">
        <w:rPr>
          <w:rFonts w:ascii="Times New Roman" w:hAnsi="Times New Roman" w:cs="Times New Roman"/>
          <w:color w:val="222222"/>
          <w:sz w:val="24"/>
          <w:szCs w:val="24"/>
          <w:highlight w:val="yellow"/>
          <w:shd w:val="clear" w:color="auto" w:fill="FFFFFF"/>
        </w:rPr>
        <w:t xml:space="preserve">Although global conservation status suggests relatively low extinction risk for many SIFs, recent regional assessments highlight sharp local declines driven by habitat loss and unregulated harvesting (Singh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2021; Sarkar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2023). This reinforces the importance of district-level assessments such as the present review.</w:t>
      </w:r>
    </w:p>
    <w:p w14:paraId="199A8ED8"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5966C3F7"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Table1: Comparative List of Small Indigenous Freshwater Fishes Recorded from Nagaon and </w:t>
      </w: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districts</w:t>
      </w:r>
    </w:p>
    <w:p w14:paraId="5678D038"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79"/>
        <w:gridCol w:w="1223"/>
        <w:gridCol w:w="1418"/>
        <w:gridCol w:w="948"/>
        <w:gridCol w:w="1343"/>
        <w:gridCol w:w="1343"/>
      </w:tblGrid>
      <w:tr w:rsidR="009905E2" w14:paraId="1B69FAC0" w14:textId="77777777">
        <w:trPr>
          <w:trHeight w:val="444"/>
        </w:trPr>
        <w:tc>
          <w:tcPr>
            <w:tcW w:w="562" w:type="dxa"/>
            <w:vMerge w:val="restart"/>
          </w:tcPr>
          <w:p w14:paraId="73D8C6FD"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Sl.No</w:t>
            </w:r>
            <w:proofErr w:type="spellEnd"/>
            <w:r>
              <w:rPr>
                <w:rFonts w:ascii="Times New Roman" w:eastAsia="Times New Roman" w:hAnsi="Times New Roman" w:cs="Times New Roman"/>
                <w:color w:val="222222"/>
                <w:sz w:val="24"/>
                <w:szCs w:val="24"/>
              </w:rPr>
              <w:t>.</w:t>
            </w:r>
          </w:p>
        </w:tc>
        <w:tc>
          <w:tcPr>
            <w:tcW w:w="2179" w:type="dxa"/>
            <w:vMerge w:val="restart"/>
          </w:tcPr>
          <w:p w14:paraId="5E56BF2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Scientific Name</w:t>
            </w:r>
          </w:p>
        </w:tc>
        <w:tc>
          <w:tcPr>
            <w:tcW w:w="1223" w:type="dxa"/>
            <w:vMerge w:val="restart"/>
          </w:tcPr>
          <w:p w14:paraId="40F06D6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Common Name</w:t>
            </w:r>
          </w:p>
        </w:tc>
        <w:tc>
          <w:tcPr>
            <w:tcW w:w="1418" w:type="dxa"/>
            <w:vMerge w:val="restart"/>
          </w:tcPr>
          <w:p w14:paraId="62A2A6C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Family </w:t>
            </w:r>
          </w:p>
        </w:tc>
        <w:tc>
          <w:tcPr>
            <w:tcW w:w="948" w:type="dxa"/>
            <w:vMerge w:val="restart"/>
          </w:tcPr>
          <w:p w14:paraId="14E59C6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IUCN</w:t>
            </w:r>
          </w:p>
        </w:tc>
        <w:tc>
          <w:tcPr>
            <w:tcW w:w="2686" w:type="dxa"/>
            <w:gridSpan w:val="2"/>
          </w:tcPr>
          <w:p w14:paraId="47AEE3E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Occurrence Pattern</w:t>
            </w:r>
          </w:p>
        </w:tc>
      </w:tr>
      <w:tr w:rsidR="009905E2" w14:paraId="469F3C16" w14:textId="77777777">
        <w:trPr>
          <w:trHeight w:val="792"/>
        </w:trPr>
        <w:tc>
          <w:tcPr>
            <w:tcW w:w="562" w:type="dxa"/>
            <w:vMerge/>
          </w:tcPr>
          <w:p w14:paraId="4BC54575" w14:textId="77777777" w:rsidR="009905E2" w:rsidRDefault="009905E2">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2179" w:type="dxa"/>
            <w:vMerge/>
          </w:tcPr>
          <w:p w14:paraId="6A066BB3" w14:textId="77777777" w:rsidR="009905E2" w:rsidRDefault="009905E2">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223" w:type="dxa"/>
            <w:vMerge/>
          </w:tcPr>
          <w:p w14:paraId="135E95D6" w14:textId="77777777" w:rsidR="009905E2" w:rsidRDefault="009905E2">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418" w:type="dxa"/>
            <w:vMerge/>
          </w:tcPr>
          <w:p w14:paraId="2EA6E41F" w14:textId="77777777" w:rsidR="009905E2" w:rsidRDefault="009905E2">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948" w:type="dxa"/>
            <w:vMerge/>
          </w:tcPr>
          <w:p w14:paraId="538A47A3" w14:textId="77777777" w:rsidR="009905E2" w:rsidRDefault="009905E2">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343" w:type="dxa"/>
          </w:tcPr>
          <w:p w14:paraId="7AEB11E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Nagaon</w:t>
            </w:r>
          </w:p>
        </w:tc>
        <w:tc>
          <w:tcPr>
            <w:tcW w:w="1343" w:type="dxa"/>
          </w:tcPr>
          <w:p w14:paraId="271AB50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Charaideo</w:t>
            </w:r>
            <w:proofErr w:type="spellEnd"/>
          </w:p>
        </w:tc>
      </w:tr>
      <w:tr w:rsidR="009905E2" w14:paraId="551A4A91" w14:textId="77777777">
        <w:tc>
          <w:tcPr>
            <w:tcW w:w="562" w:type="dxa"/>
          </w:tcPr>
          <w:p w14:paraId="65D0E57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2179" w:type="dxa"/>
          </w:tcPr>
          <w:p w14:paraId="19FFFF64"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Mola</w:t>
            </w:r>
          </w:p>
        </w:tc>
        <w:tc>
          <w:tcPr>
            <w:tcW w:w="1223" w:type="dxa"/>
          </w:tcPr>
          <w:p w14:paraId="0CF56E2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Mola </w:t>
            </w:r>
            <w:proofErr w:type="spellStart"/>
            <w:r>
              <w:rPr>
                <w:rFonts w:ascii="Times New Roman" w:eastAsia="Times New Roman" w:hAnsi="Times New Roman" w:cs="Times New Roman"/>
                <w:color w:val="222222"/>
                <w:sz w:val="24"/>
                <w:szCs w:val="24"/>
              </w:rPr>
              <w:t>carplet</w:t>
            </w:r>
            <w:proofErr w:type="spellEnd"/>
            <w:r>
              <w:rPr>
                <w:rFonts w:ascii="Times New Roman" w:eastAsia="Times New Roman" w:hAnsi="Times New Roman" w:cs="Times New Roman"/>
                <w:color w:val="222222"/>
                <w:sz w:val="24"/>
                <w:szCs w:val="24"/>
              </w:rPr>
              <w:t xml:space="preserve"> </w:t>
            </w:r>
          </w:p>
        </w:tc>
        <w:tc>
          <w:tcPr>
            <w:tcW w:w="1418" w:type="dxa"/>
          </w:tcPr>
          <w:p w14:paraId="3E8FAB4E" w14:textId="77777777" w:rsidR="009905E2" w:rsidRDefault="0071727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28ABA0B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B4123A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14:paraId="6D00DC8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w:t>
            </w:r>
          </w:p>
        </w:tc>
      </w:tr>
      <w:tr w:rsidR="009905E2" w14:paraId="57377C25" w14:textId="77777777">
        <w:tc>
          <w:tcPr>
            <w:tcW w:w="562" w:type="dxa"/>
          </w:tcPr>
          <w:p w14:paraId="6CAB76D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p>
        </w:tc>
        <w:tc>
          <w:tcPr>
            <w:tcW w:w="2179" w:type="dxa"/>
          </w:tcPr>
          <w:p w14:paraId="08F9F71D"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p>
        </w:tc>
        <w:tc>
          <w:tcPr>
            <w:tcW w:w="1223" w:type="dxa"/>
          </w:tcPr>
          <w:p w14:paraId="7889B63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Flying barb</w:t>
            </w:r>
          </w:p>
        </w:tc>
        <w:tc>
          <w:tcPr>
            <w:tcW w:w="1418" w:type="dxa"/>
          </w:tcPr>
          <w:p w14:paraId="5620ACBB" w14:textId="77777777" w:rsidR="009905E2" w:rsidRDefault="0071727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3E8F5DD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D1108F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14:paraId="31925E4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142E4DDB" w14:textId="77777777">
        <w:tc>
          <w:tcPr>
            <w:tcW w:w="562" w:type="dxa"/>
          </w:tcPr>
          <w:p w14:paraId="06A273A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c>
          <w:tcPr>
            <w:tcW w:w="2179" w:type="dxa"/>
          </w:tcPr>
          <w:p w14:paraId="213CA4B1"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sophore</w:t>
            </w:r>
            <w:proofErr w:type="spellEnd"/>
            <w:r>
              <w:rPr>
                <w:rFonts w:ascii="Times New Roman" w:eastAsia="Times New Roman" w:hAnsi="Times New Roman" w:cs="Times New Roman"/>
                <w:i/>
                <w:iCs/>
                <w:color w:val="222222"/>
                <w:sz w:val="24"/>
                <w:szCs w:val="24"/>
              </w:rPr>
              <w:t xml:space="preserve"> </w:t>
            </w:r>
          </w:p>
        </w:tc>
        <w:tc>
          <w:tcPr>
            <w:tcW w:w="1223" w:type="dxa"/>
          </w:tcPr>
          <w:p w14:paraId="2E86E2E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Pool barb</w:t>
            </w:r>
          </w:p>
        </w:tc>
        <w:tc>
          <w:tcPr>
            <w:tcW w:w="1418" w:type="dxa"/>
          </w:tcPr>
          <w:p w14:paraId="07BBB880" w14:textId="77777777" w:rsidR="009905E2" w:rsidRDefault="0071727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47A1AE4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0A811A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6ABA9D3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021E7F09" w14:textId="77777777">
        <w:trPr>
          <w:trHeight w:val="579"/>
        </w:trPr>
        <w:tc>
          <w:tcPr>
            <w:tcW w:w="562" w:type="dxa"/>
          </w:tcPr>
          <w:p w14:paraId="4F6D7C3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p>
        </w:tc>
        <w:tc>
          <w:tcPr>
            <w:tcW w:w="2179" w:type="dxa"/>
          </w:tcPr>
          <w:p w14:paraId="3643F40C"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ticto</w:t>
            </w:r>
            <w:proofErr w:type="spellEnd"/>
          </w:p>
        </w:tc>
        <w:tc>
          <w:tcPr>
            <w:tcW w:w="1223" w:type="dxa"/>
          </w:tcPr>
          <w:p w14:paraId="67F63990"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Ticto</w:t>
            </w:r>
            <w:proofErr w:type="spellEnd"/>
            <w:r>
              <w:rPr>
                <w:rFonts w:ascii="Times New Roman" w:eastAsia="Times New Roman" w:hAnsi="Times New Roman" w:cs="Times New Roman"/>
                <w:color w:val="222222"/>
                <w:sz w:val="24"/>
                <w:szCs w:val="24"/>
              </w:rPr>
              <w:t xml:space="preserve"> barb</w:t>
            </w:r>
          </w:p>
        </w:tc>
        <w:tc>
          <w:tcPr>
            <w:tcW w:w="1418" w:type="dxa"/>
          </w:tcPr>
          <w:p w14:paraId="6C0B34E8" w14:textId="77777777" w:rsidR="009905E2" w:rsidRDefault="0071727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04F9A23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7CFF9A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00A9834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16AB2E20" w14:textId="77777777">
        <w:tc>
          <w:tcPr>
            <w:tcW w:w="562" w:type="dxa"/>
          </w:tcPr>
          <w:p w14:paraId="66FC24E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5</w:t>
            </w:r>
          </w:p>
        </w:tc>
        <w:tc>
          <w:tcPr>
            <w:tcW w:w="2179" w:type="dxa"/>
          </w:tcPr>
          <w:p w14:paraId="721FC24F"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Osteobrama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cotio</w:t>
            </w:r>
            <w:proofErr w:type="spellEnd"/>
          </w:p>
        </w:tc>
        <w:tc>
          <w:tcPr>
            <w:tcW w:w="1223" w:type="dxa"/>
          </w:tcPr>
          <w:p w14:paraId="476E37E0"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Cotio</w:t>
            </w:r>
            <w:proofErr w:type="spellEnd"/>
            <w:r>
              <w:rPr>
                <w:rFonts w:ascii="Times New Roman" w:eastAsia="Times New Roman" w:hAnsi="Times New Roman" w:cs="Times New Roman"/>
                <w:color w:val="222222"/>
                <w:sz w:val="24"/>
                <w:szCs w:val="24"/>
              </w:rPr>
              <w:t xml:space="preserve"> </w:t>
            </w:r>
          </w:p>
        </w:tc>
        <w:tc>
          <w:tcPr>
            <w:tcW w:w="1418" w:type="dxa"/>
          </w:tcPr>
          <w:p w14:paraId="6A626ADB" w14:textId="77777777" w:rsidR="009905E2" w:rsidRDefault="0071727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p w14:paraId="5CAA55A2" w14:textId="77777777" w:rsidR="009905E2" w:rsidRDefault="009905E2">
            <w:pPr>
              <w:spacing w:line="360" w:lineRule="auto"/>
              <w:rPr>
                <w:rFonts w:ascii="Times New Roman" w:eastAsia="Times New Roman" w:hAnsi="Times New Roman" w:cs="Times New Roman"/>
                <w:color w:val="222222"/>
                <w:sz w:val="24"/>
                <w:szCs w:val="24"/>
              </w:rPr>
            </w:pPr>
          </w:p>
        </w:tc>
        <w:tc>
          <w:tcPr>
            <w:tcW w:w="948" w:type="dxa"/>
          </w:tcPr>
          <w:p w14:paraId="0DA40E4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69C49F3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371E0B7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08AD823D" w14:textId="77777777">
        <w:tc>
          <w:tcPr>
            <w:tcW w:w="562" w:type="dxa"/>
          </w:tcPr>
          <w:p w14:paraId="40153D3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w:t>
            </w:r>
          </w:p>
        </w:tc>
        <w:tc>
          <w:tcPr>
            <w:tcW w:w="2179" w:type="dxa"/>
          </w:tcPr>
          <w:p w14:paraId="09D96A27"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Danio rerio</w:t>
            </w:r>
          </w:p>
        </w:tc>
        <w:tc>
          <w:tcPr>
            <w:tcW w:w="1223" w:type="dxa"/>
          </w:tcPr>
          <w:p w14:paraId="74CA1C7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Zebra fish</w:t>
            </w:r>
          </w:p>
        </w:tc>
        <w:tc>
          <w:tcPr>
            <w:tcW w:w="1418" w:type="dxa"/>
          </w:tcPr>
          <w:p w14:paraId="08B36B03"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14:paraId="661CFAC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00CD6FF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644D687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5D4BEFDB" w14:textId="77777777">
        <w:tc>
          <w:tcPr>
            <w:tcW w:w="562" w:type="dxa"/>
          </w:tcPr>
          <w:p w14:paraId="036A176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7</w:t>
            </w:r>
          </w:p>
        </w:tc>
        <w:tc>
          <w:tcPr>
            <w:tcW w:w="2179" w:type="dxa"/>
          </w:tcPr>
          <w:p w14:paraId="1810C1EE"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Devario </w:t>
            </w:r>
            <w:proofErr w:type="spellStart"/>
            <w:r>
              <w:rPr>
                <w:rFonts w:ascii="Times New Roman" w:eastAsia="Times New Roman" w:hAnsi="Times New Roman" w:cs="Times New Roman"/>
                <w:i/>
                <w:iCs/>
                <w:color w:val="222222"/>
                <w:sz w:val="24"/>
                <w:szCs w:val="24"/>
              </w:rPr>
              <w:t>aequipinnatus</w:t>
            </w:r>
            <w:proofErr w:type="spellEnd"/>
          </w:p>
        </w:tc>
        <w:tc>
          <w:tcPr>
            <w:tcW w:w="1223" w:type="dxa"/>
          </w:tcPr>
          <w:p w14:paraId="55EC966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Giant danio</w:t>
            </w:r>
          </w:p>
        </w:tc>
        <w:tc>
          <w:tcPr>
            <w:tcW w:w="1418" w:type="dxa"/>
          </w:tcPr>
          <w:p w14:paraId="70540B65"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14:paraId="6346112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20E1CB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26FFD0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153BD2DA" w14:textId="77777777">
        <w:tc>
          <w:tcPr>
            <w:tcW w:w="562" w:type="dxa"/>
          </w:tcPr>
          <w:p w14:paraId="453D825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8</w:t>
            </w:r>
          </w:p>
        </w:tc>
        <w:tc>
          <w:tcPr>
            <w:tcW w:w="2179" w:type="dxa"/>
          </w:tcPr>
          <w:p w14:paraId="63BF39DF"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Rasbora </w:t>
            </w:r>
            <w:proofErr w:type="spellStart"/>
            <w:r>
              <w:rPr>
                <w:rFonts w:ascii="Times New Roman" w:eastAsia="Times New Roman" w:hAnsi="Times New Roman" w:cs="Times New Roman"/>
                <w:i/>
                <w:iCs/>
                <w:color w:val="222222"/>
                <w:sz w:val="24"/>
                <w:szCs w:val="24"/>
              </w:rPr>
              <w:t>daniconius</w:t>
            </w:r>
            <w:proofErr w:type="spellEnd"/>
          </w:p>
        </w:tc>
        <w:tc>
          <w:tcPr>
            <w:tcW w:w="1223" w:type="dxa"/>
          </w:tcPr>
          <w:p w14:paraId="3A1C052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Slender rasbora</w:t>
            </w:r>
          </w:p>
        </w:tc>
        <w:tc>
          <w:tcPr>
            <w:tcW w:w="1418" w:type="dxa"/>
          </w:tcPr>
          <w:p w14:paraId="5FFEFE56"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5470208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C9CBB7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53D1086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472C65AB" w14:textId="77777777">
        <w:tc>
          <w:tcPr>
            <w:tcW w:w="562" w:type="dxa"/>
          </w:tcPr>
          <w:p w14:paraId="3314A59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9</w:t>
            </w:r>
          </w:p>
        </w:tc>
        <w:tc>
          <w:tcPr>
            <w:tcW w:w="2179" w:type="dxa"/>
          </w:tcPr>
          <w:p w14:paraId="3A21C576"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Aplocheilus</w:t>
            </w:r>
            <w:proofErr w:type="spellEnd"/>
            <w:r>
              <w:rPr>
                <w:rFonts w:ascii="Times New Roman" w:eastAsia="Times New Roman" w:hAnsi="Times New Roman" w:cs="Times New Roman"/>
                <w:i/>
                <w:iCs/>
                <w:color w:val="222222"/>
                <w:sz w:val="24"/>
                <w:szCs w:val="24"/>
              </w:rPr>
              <w:t xml:space="preserve"> panchax</w:t>
            </w:r>
          </w:p>
        </w:tc>
        <w:tc>
          <w:tcPr>
            <w:tcW w:w="1223" w:type="dxa"/>
          </w:tcPr>
          <w:p w14:paraId="3CA1026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Blue panchax</w:t>
            </w:r>
          </w:p>
        </w:tc>
        <w:tc>
          <w:tcPr>
            <w:tcW w:w="1418" w:type="dxa"/>
          </w:tcPr>
          <w:p w14:paraId="07E60EA6"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Aplocheilidae</w:t>
            </w:r>
            <w:proofErr w:type="spellEnd"/>
          </w:p>
        </w:tc>
        <w:tc>
          <w:tcPr>
            <w:tcW w:w="948" w:type="dxa"/>
          </w:tcPr>
          <w:p w14:paraId="1FCCB8F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0BE1B51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6CEC7AB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29DE9D96" w14:textId="77777777">
        <w:tc>
          <w:tcPr>
            <w:tcW w:w="562" w:type="dxa"/>
          </w:tcPr>
          <w:p w14:paraId="0D452AF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w:t>
            </w:r>
          </w:p>
        </w:tc>
        <w:tc>
          <w:tcPr>
            <w:tcW w:w="2179" w:type="dxa"/>
          </w:tcPr>
          <w:p w14:paraId="318DF10A"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Channa </w:t>
            </w:r>
            <w:proofErr w:type="spellStart"/>
            <w:r>
              <w:rPr>
                <w:rFonts w:ascii="Times New Roman" w:eastAsia="Times New Roman" w:hAnsi="Times New Roman" w:cs="Times New Roman"/>
                <w:i/>
                <w:iCs/>
                <w:color w:val="222222"/>
                <w:sz w:val="24"/>
                <w:szCs w:val="24"/>
              </w:rPr>
              <w:t>stewartii</w:t>
            </w:r>
            <w:proofErr w:type="spellEnd"/>
          </w:p>
        </w:tc>
        <w:tc>
          <w:tcPr>
            <w:tcW w:w="1223" w:type="dxa"/>
          </w:tcPr>
          <w:p w14:paraId="2D64E60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Dwarf snakehead</w:t>
            </w:r>
          </w:p>
        </w:tc>
        <w:tc>
          <w:tcPr>
            <w:tcW w:w="1418" w:type="dxa"/>
          </w:tcPr>
          <w:p w14:paraId="12D94268"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14:paraId="33D55B8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B2562C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044A1A4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15673CB0" w14:textId="77777777">
        <w:tc>
          <w:tcPr>
            <w:tcW w:w="562" w:type="dxa"/>
          </w:tcPr>
          <w:p w14:paraId="5C50592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w:t>
            </w:r>
          </w:p>
        </w:tc>
        <w:tc>
          <w:tcPr>
            <w:tcW w:w="2179" w:type="dxa"/>
          </w:tcPr>
          <w:p w14:paraId="11785ECC"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Channa </w:t>
            </w:r>
            <w:proofErr w:type="spellStart"/>
            <w:r>
              <w:rPr>
                <w:rFonts w:ascii="Times New Roman" w:eastAsia="Times New Roman" w:hAnsi="Times New Roman" w:cs="Times New Roman"/>
                <w:i/>
                <w:iCs/>
                <w:color w:val="222222"/>
                <w:sz w:val="24"/>
                <w:szCs w:val="24"/>
              </w:rPr>
              <w:t>bleheri</w:t>
            </w:r>
            <w:proofErr w:type="spellEnd"/>
          </w:p>
        </w:tc>
        <w:tc>
          <w:tcPr>
            <w:tcW w:w="1223" w:type="dxa"/>
          </w:tcPr>
          <w:p w14:paraId="51D96BB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Rainbow snakehead</w:t>
            </w:r>
          </w:p>
        </w:tc>
        <w:tc>
          <w:tcPr>
            <w:tcW w:w="1418" w:type="dxa"/>
          </w:tcPr>
          <w:p w14:paraId="1D06EAE8"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14:paraId="2D6E976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06B425F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48202CE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77807C06" w14:textId="77777777">
        <w:tc>
          <w:tcPr>
            <w:tcW w:w="562" w:type="dxa"/>
          </w:tcPr>
          <w:p w14:paraId="348FEA3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w:t>
            </w:r>
          </w:p>
        </w:tc>
        <w:tc>
          <w:tcPr>
            <w:tcW w:w="2179" w:type="dxa"/>
          </w:tcPr>
          <w:p w14:paraId="1018A48F"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Badis </w:t>
            </w: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
        </w:tc>
        <w:tc>
          <w:tcPr>
            <w:tcW w:w="1223" w:type="dxa"/>
          </w:tcPr>
          <w:p w14:paraId="1C6DC95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Blue perch </w:t>
            </w:r>
          </w:p>
        </w:tc>
        <w:tc>
          <w:tcPr>
            <w:tcW w:w="1418" w:type="dxa"/>
          </w:tcPr>
          <w:p w14:paraId="3AD285DF"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14:paraId="39667F5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C3144A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79240FD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375ECF1C" w14:textId="77777777">
        <w:tc>
          <w:tcPr>
            <w:tcW w:w="562" w:type="dxa"/>
          </w:tcPr>
          <w:p w14:paraId="1722F8F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13</w:t>
            </w:r>
          </w:p>
        </w:tc>
        <w:tc>
          <w:tcPr>
            <w:tcW w:w="2179" w:type="dxa"/>
          </w:tcPr>
          <w:p w14:paraId="33B65FF8"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Badis </w:t>
            </w:r>
            <w:proofErr w:type="spellStart"/>
            <w:r>
              <w:rPr>
                <w:rFonts w:ascii="Times New Roman" w:eastAsia="Times New Roman" w:hAnsi="Times New Roman" w:cs="Times New Roman"/>
                <w:i/>
                <w:iCs/>
                <w:color w:val="222222"/>
                <w:sz w:val="24"/>
                <w:szCs w:val="24"/>
              </w:rPr>
              <w:t>assamensis</w:t>
            </w:r>
            <w:proofErr w:type="spellEnd"/>
            <w:r>
              <w:rPr>
                <w:rFonts w:ascii="Times New Roman" w:eastAsia="Times New Roman" w:hAnsi="Times New Roman" w:cs="Times New Roman"/>
                <w:i/>
                <w:iCs/>
                <w:color w:val="222222"/>
                <w:sz w:val="24"/>
                <w:szCs w:val="24"/>
              </w:rPr>
              <w:t xml:space="preserve"> </w:t>
            </w:r>
          </w:p>
        </w:tc>
        <w:tc>
          <w:tcPr>
            <w:tcW w:w="1223" w:type="dxa"/>
          </w:tcPr>
          <w:p w14:paraId="768C7C1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Assam </w:t>
            </w:r>
            <w:proofErr w:type="spellStart"/>
            <w:r>
              <w:rPr>
                <w:rFonts w:ascii="Times New Roman" w:eastAsia="Times New Roman" w:hAnsi="Times New Roman" w:cs="Times New Roman"/>
                <w:color w:val="222222"/>
                <w:sz w:val="24"/>
                <w:szCs w:val="24"/>
              </w:rPr>
              <w:t>badis</w:t>
            </w:r>
            <w:proofErr w:type="spellEnd"/>
          </w:p>
        </w:tc>
        <w:tc>
          <w:tcPr>
            <w:tcW w:w="1418" w:type="dxa"/>
          </w:tcPr>
          <w:p w14:paraId="06808341"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14:paraId="0B37F77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D1D08B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5DE50E3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20E3250B" w14:textId="77777777">
        <w:tc>
          <w:tcPr>
            <w:tcW w:w="562" w:type="dxa"/>
          </w:tcPr>
          <w:p w14:paraId="4B3C466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14</w:t>
            </w:r>
          </w:p>
        </w:tc>
        <w:tc>
          <w:tcPr>
            <w:tcW w:w="2179" w:type="dxa"/>
          </w:tcPr>
          <w:p w14:paraId="6266BAF5"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Pseudambassis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ranga</w:t>
            </w:r>
            <w:proofErr w:type="spellEnd"/>
          </w:p>
        </w:tc>
        <w:tc>
          <w:tcPr>
            <w:tcW w:w="1223" w:type="dxa"/>
          </w:tcPr>
          <w:p w14:paraId="1A1F306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Indian glassfish</w:t>
            </w:r>
          </w:p>
        </w:tc>
        <w:tc>
          <w:tcPr>
            <w:tcW w:w="1418" w:type="dxa"/>
          </w:tcPr>
          <w:p w14:paraId="3990D2BC"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03F13EA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8FE5E8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317CEED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66884223" w14:textId="77777777">
        <w:tc>
          <w:tcPr>
            <w:tcW w:w="562" w:type="dxa"/>
          </w:tcPr>
          <w:p w14:paraId="4510CB4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w:t>
            </w:r>
          </w:p>
        </w:tc>
        <w:tc>
          <w:tcPr>
            <w:tcW w:w="2179" w:type="dxa"/>
          </w:tcPr>
          <w:p w14:paraId="3053F435"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Parambassis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lala</w:t>
            </w:r>
            <w:proofErr w:type="spellEnd"/>
          </w:p>
        </w:tc>
        <w:tc>
          <w:tcPr>
            <w:tcW w:w="1223" w:type="dxa"/>
          </w:tcPr>
          <w:p w14:paraId="1FCC67AD"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Lala glassfish</w:t>
            </w:r>
          </w:p>
        </w:tc>
        <w:tc>
          <w:tcPr>
            <w:tcW w:w="1418" w:type="dxa"/>
          </w:tcPr>
          <w:p w14:paraId="7FB22A31"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71098B8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63B232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75C01F9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6AE8F40E" w14:textId="77777777">
        <w:tc>
          <w:tcPr>
            <w:tcW w:w="562" w:type="dxa"/>
          </w:tcPr>
          <w:p w14:paraId="145E1CB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16</w:t>
            </w:r>
          </w:p>
        </w:tc>
        <w:tc>
          <w:tcPr>
            <w:tcW w:w="2179" w:type="dxa"/>
          </w:tcPr>
          <w:p w14:paraId="798191AB"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Macrognathus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pancalus</w:t>
            </w:r>
            <w:proofErr w:type="spellEnd"/>
            <w:r>
              <w:rPr>
                <w:rFonts w:ascii="Times New Roman" w:eastAsia="Times New Roman" w:hAnsi="Times New Roman" w:cs="Times New Roman"/>
                <w:i/>
                <w:iCs/>
                <w:color w:val="222222"/>
                <w:sz w:val="24"/>
                <w:szCs w:val="24"/>
              </w:rPr>
              <w:t xml:space="preserve"> </w:t>
            </w:r>
          </w:p>
        </w:tc>
        <w:tc>
          <w:tcPr>
            <w:tcW w:w="1223" w:type="dxa"/>
          </w:tcPr>
          <w:p w14:paraId="7ABE357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Spiny eel</w:t>
            </w:r>
          </w:p>
        </w:tc>
        <w:tc>
          <w:tcPr>
            <w:tcW w:w="1418" w:type="dxa"/>
          </w:tcPr>
          <w:p w14:paraId="6E172406"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14:paraId="08CDE0C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D343F9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3877E71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63FC3086" w14:textId="77777777">
        <w:tc>
          <w:tcPr>
            <w:tcW w:w="562" w:type="dxa"/>
          </w:tcPr>
          <w:p w14:paraId="05E7BEB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17</w:t>
            </w:r>
          </w:p>
        </w:tc>
        <w:tc>
          <w:tcPr>
            <w:tcW w:w="2179" w:type="dxa"/>
          </w:tcPr>
          <w:p w14:paraId="268C2F40"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Mastacembelus</w:t>
            </w:r>
            <w:proofErr w:type="spellEnd"/>
            <w:r>
              <w:rPr>
                <w:rFonts w:ascii="Times New Roman" w:eastAsia="Times New Roman" w:hAnsi="Times New Roman" w:cs="Times New Roman"/>
                <w:i/>
                <w:iCs/>
                <w:color w:val="222222"/>
                <w:sz w:val="24"/>
                <w:szCs w:val="24"/>
              </w:rPr>
              <w:t xml:space="preserve"> armatus (juv.)</w:t>
            </w:r>
          </w:p>
        </w:tc>
        <w:tc>
          <w:tcPr>
            <w:tcW w:w="1223" w:type="dxa"/>
          </w:tcPr>
          <w:p w14:paraId="6AFD69A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Tire-track eel</w:t>
            </w:r>
          </w:p>
        </w:tc>
        <w:tc>
          <w:tcPr>
            <w:tcW w:w="1418" w:type="dxa"/>
          </w:tcPr>
          <w:p w14:paraId="16CA85AF"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14:paraId="72773A9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310105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7A4FD71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29CA2F7C" w14:textId="77777777">
        <w:tc>
          <w:tcPr>
            <w:tcW w:w="562" w:type="dxa"/>
          </w:tcPr>
          <w:p w14:paraId="5CDE7F7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w:t>
            </w:r>
          </w:p>
        </w:tc>
        <w:tc>
          <w:tcPr>
            <w:tcW w:w="2179" w:type="dxa"/>
          </w:tcPr>
          <w:p w14:paraId="5ECDAD15"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tengara</w:t>
            </w:r>
            <w:proofErr w:type="spellEnd"/>
            <w:r>
              <w:rPr>
                <w:rFonts w:ascii="Times New Roman" w:eastAsia="Times New Roman" w:hAnsi="Times New Roman" w:cs="Times New Roman"/>
                <w:i/>
                <w:iCs/>
                <w:color w:val="222222"/>
                <w:sz w:val="24"/>
                <w:szCs w:val="24"/>
              </w:rPr>
              <w:t xml:space="preserve"> </w:t>
            </w:r>
          </w:p>
        </w:tc>
        <w:tc>
          <w:tcPr>
            <w:tcW w:w="1223" w:type="dxa"/>
          </w:tcPr>
          <w:p w14:paraId="1375F432"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Tengara</w:t>
            </w:r>
            <w:proofErr w:type="spellEnd"/>
            <w:r>
              <w:rPr>
                <w:rFonts w:ascii="Times New Roman" w:eastAsia="Times New Roman" w:hAnsi="Times New Roman" w:cs="Times New Roman"/>
                <w:color w:val="222222"/>
                <w:sz w:val="24"/>
                <w:szCs w:val="24"/>
              </w:rPr>
              <w:t xml:space="preserve"> catfish</w:t>
            </w:r>
          </w:p>
        </w:tc>
        <w:tc>
          <w:tcPr>
            <w:tcW w:w="1418" w:type="dxa"/>
          </w:tcPr>
          <w:p w14:paraId="2F25D56B"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14:paraId="597926A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7CC20F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0D19973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32887F8E" w14:textId="77777777">
        <w:tc>
          <w:tcPr>
            <w:tcW w:w="562" w:type="dxa"/>
          </w:tcPr>
          <w:p w14:paraId="4C8C651D"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19</w:t>
            </w:r>
          </w:p>
        </w:tc>
        <w:tc>
          <w:tcPr>
            <w:tcW w:w="2179" w:type="dxa"/>
          </w:tcPr>
          <w:p w14:paraId="410FE4CC"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vittatus</w:t>
            </w:r>
          </w:p>
        </w:tc>
        <w:tc>
          <w:tcPr>
            <w:tcW w:w="1223" w:type="dxa"/>
          </w:tcPr>
          <w:p w14:paraId="19C9491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Striped catfish</w:t>
            </w:r>
          </w:p>
        </w:tc>
        <w:tc>
          <w:tcPr>
            <w:tcW w:w="1418" w:type="dxa"/>
          </w:tcPr>
          <w:p w14:paraId="5A05CF2C"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14:paraId="2BE9A05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3CB88C1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0EE2EC1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7DF60FCF" w14:textId="77777777">
        <w:tc>
          <w:tcPr>
            <w:tcW w:w="562" w:type="dxa"/>
          </w:tcPr>
          <w:p w14:paraId="399249D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w:t>
            </w:r>
          </w:p>
        </w:tc>
        <w:tc>
          <w:tcPr>
            <w:tcW w:w="2179" w:type="dxa"/>
          </w:tcPr>
          <w:p w14:paraId="3C26D1F5"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Ompok</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pabda</w:t>
            </w:r>
            <w:proofErr w:type="spellEnd"/>
            <w:r>
              <w:rPr>
                <w:rFonts w:ascii="Times New Roman" w:eastAsia="Times New Roman" w:hAnsi="Times New Roman" w:cs="Times New Roman"/>
                <w:i/>
                <w:iCs/>
                <w:color w:val="222222"/>
                <w:sz w:val="24"/>
                <w:szCs w:val="24"/>
              </w:rPr>
              <w:t xml:space="preserve"> (juv.)</w:t>
            </w:r>
          </w:p>
        </w:tc>
        <w:tc>
          <w:tcPr>
            <w:tcW w:w="1223" w:type="dxa"/>
          </w:tcPr>
          <w:p w14:paraId="38518796"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Pabda</w:t>
            </w:r>
            <w:proofErr w:type="spellEnd"/>
            <w:r>
              <w:rPr>
                <w:rFonts w:ascii="Times New Roman" w:eastAsia="Times New Roman" w:hAnsi="Times New Roman" w:cs="Times New Roman"/>
                <w:color w:val="222222"/>
                <w:sz w:val="24"/>
                <w:szCs w:val="24"/>
              </w:rPr>
              <w:t xml:space="preserve"> catfish</w:t>
            </w:r>
          </w:p>
        </w:tc>
        <w:tc>
          <w:tcPr>
            <w:tcW w:w="1418" w:type="dxa"/>
          </w:tcPr>
          <w:p w14:paraId="2ACB4854"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Siluridae</w:t>
            </w:r>
            <w:proofErr w:type="spellEnd"/>
          </w:p>
        </w:tc>
        <w:tc>
          <w:tcPr>
            <w:tcW w:w="948" w:type="dxa"/>
          </w:tcPr>
          <w:p w14:paraId="53A2994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1FDE2B2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292B520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04817978" w14:textId="77777777">
        <w:tc>
          <w:tcPr>
            <w:tcW w:w="562" w:type="dxa"/>
          </w:tcPr>
          <w:p w14:paraId="63C9666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w:t>
            </w:r>
          </w:p>
        </w:tc>
        <w:tc>
          <w:tcPr>
            <w:tcW w:w="2179" w:type="dxa"/>
          </w:tcPr>
          <w:p w14:paraId="406AF834"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fasciata</w:t>
            </w:r>
            <w:proofErr w:type="spellEnd"/>
          </w:p>
        </w:tc>
        <w:tc>
          <w:tcPr>
            <w:tcW w:w="1223" w:type="dxa"/>
          </w:tcPr>
          <w:p w14:paraId="62C0BAD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Banded gourami</w:t>
            </w:r>
          </w:p>
        </w:tc>
        <w:tc>
          <w:tcPr>
            <w:tcW w:w="1418" w:type="dxa"/>
          </w:tcPr>
          <w:p w14:paraId="16CD46D7"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5C23736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7102E2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22C8982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513C9E40" w14:textId="77777777">
        <w:tc>
          <w:tcPr>
            <w:tcW w:w="562" w:type="dxa"/>
          </w:tcPr>
          <w:p w14:paraId="761DA2A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22</w:t>
            </w:r>
          </w:p>
        </w:tc>
        <w:tc>
          <w:tcPr>
            <w:tcW w:w="2179" w:type="dxa"/>
          </w:tcPr>
          <w:p w14:paraId="69F57AAA"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lalius</w:t>
            </w:r>
            <w:proofErr w:type="spellEnd"/>
            <w:r>
              <w:rPr>
                <w:rFonts w:ascii="Times New Roman" w:eastAsia="Times New Roman" w:hAnsi="Times New Roman" w:cs="Times New Roman"/>
                <w:i/>
                <w:iCs/>
                <w:color w:val="222222"/>
                <w:sz w:val="24"/>
                <w:szCs w:val="24"/>
              </w:rPr>
              <w:t xml:space="preserve"> </w:t>
            </w:r>
          </w:p>
        </w:tc>
        <w:tc>
          <w:tcPr>
            <w:tcW w:w="1223" w:type="dxa"/>
          </w:tcPr>
          <w:p w14:paraId="096FCD2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Dwarf gourami </w:t>
            </w:r>
          </w:p>
        </w:tc>
        <w:tc>
          <w:tcPr>
            <w:tcW w:w="1418" w:type="dxa"/>
          </w:tcPr>
          <w:p w14:paraId="211E6BF9"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2720ED4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353B6AA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377427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1D82C2AE" w14:textId="77777777">
        <w:tc>
          <w:tcPr>
            <w:tcW w:w="562" w:type="dxa"/>
          </w:tcPr>
          <w:p w14:paraId="1D8FD5B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23</w:t>
            </w:r>
          </w:p>
        </w:tc>
        <w:tc>
          <w:tcPr>
            <w:tcW w:w="2179" w:type="dxa"/>
          </w:tcPr>
          <w:p w14:paraId="3207A15B"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Colisa </w:t>
            </w:r>
            <w:proofErr w:type="spellStart"/>
            <w:r>
              <w:rPr>
                <w:rFonts w:ascii="Times New Roman" w:eastAsia="Times New Roman" w:hAnsi="Times New Roman" w:cs="Times New Roman"/>
                <w:i/>
                <w:iCs/>
                <w:color w:val="222222"/>
                <w:sz w:val="24"/>
                <w:szCs w:val="24"/>
              </w:rPr>
              <w:t>sota</w:t>
            </w:r>
            <w:proofErr w:type="spellEnd"/>
            <w:r>
              <w:rPr>
                <w:rFonts w:ascii="Times New Roman" w:eastAsia="Times New Roman" w:hAnsi="Times New Roman" w:cs="Times New Roman"/>
                <w:i/>
                <w:iCs/>
                <w:color w:val="222222"/>
                <w:sz w:val="24"/>
                <w:szCs w:val="24"/>
              </w:rPr>
              <w:t xml:space="preserve"> </w:t>
            </w:r>
          </w:p>
        </w:tc>
        <w:tc>
          <w:tcPr>
            <w:tcW w:w="1223" w:type="dxa"/>
          </w:tcPr>
          <w:p w14:paraId="69C5F6E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Honey gourami</w:t>
            </w:r>
          </w:p>
        </w:tc>
        <w:tc>
          <w:tcPr>
            <w:tcW w:w="1418" w:type="dxa"/>
          </w:tcPr>
          <w:p w14:paraId="6A9DC366"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415E04D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4EEC44F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591F36B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082D2141" w14:textId="77777777">
        <w:tc>
          <w:tcPr>
            <w:tcW w:w="562" w:type="dxa"/>
          </w:tcPr>
          <w:p w14:paraId="3C73498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24</w:t>
            </w:r>
          </w:p>
        </w:tc>
        <w:tc>
          <w:tcPr>
            <w:tcW w:w="2179" w:type="dxa"/>
          </w:tcPr>
          <w:p w14:paraId="2DD8A25A"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balitora</w:t>
            </w:r>
            <w:proofErr w:type="spellEnd"/>
            <w:r>
              <w:rPr>
                <w:rFonts w:ascii="Times New Roman" w:eastAsia="Times New Roman" w:hAnsi="Times New Roman" w:cs="Times New Roman"/>
                <w:i/>
                <w:iCs/>
                <w:color w:val="222222"/>
                <w:sz w:val="24"/>
                <w:szCs w:val="24"/>
              </w:rPr>
              <w:t xml:space="preserve"> </w:t>
            </w:r>
          </w:p>
        </w:tc>
        <w:tc>
          <w:tcPr>
            <w:tcW w:w="1223" w:type="dxa"/>
          </w:tcPr>
          <w:p w14:paraId="6AD9162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Stone loach</w:t>
            </w:r>
          </w:p>
        </w:tc>
        <w:tc>
          <w:tcPr>
            <w:tcW w:w="1418" w:type="dxa"/>
          </w:tcPr>
          <w:p w14:paraId="2533F6F7"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14:paraId="55963413"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E58AEA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2B30BF7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0A384787" w14:textId="77777777">
        <w:tc>
          <w:tcPr>
            <w:tcW w:w="562" w:type="dxa"/>
          </w:tcPr>
          <w:p w14:paraId="46616DDD"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25</w:t>
            </w:r>
          </w:p>
        </w:tc>
        <w:tc>
          <w:tcPr>
            <w:tcW w:w="2179" w:type="dxa"/>
          </w:tcPr>
          <w:p w14:paraId="22C09A6B"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sucatio</w:t>
            </w:r>
            <w:proofErr w:type="spellEnd"/>
          </w:p>
        </w:tc>
        <w:tc>
          <w:tcPr>
            <w:tcW w:w="1223" w:type="dxa"/>
          </w:tcPr>
          <w:p w14:paraId="51F0BA4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Suctorial loach</w:t>
            </w:r>
          </w:p>
        </w:tc>
        <w:tc>
          <w:tcPr>
            <w:tcW w:w="1418" w:type="dxa"/>
          </w:tcPr>
          <w:p w14:paraId="1B266972"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14:paraId="2BA7EA5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3D6FB9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497E380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7A643364" w14:textId="77777777">
        <w:tc>
          <w:tcPr>
            <w:tcW w:w="562" w:type="dxa"/>
          </w:tcPr>
          <w:p w14:paraId="2C1CB77F"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26</w:t>
            </w:r>
          </w:p>
        </w:tc>
        <w:tc>
          <w:tcPr>
            <w:tcW w:w="2179" w:type="dxa"/>
          </w:tcPr>
          <w:p w14:paraId="64B8587A"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Garra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gotyla</w:t>
            </w:r>
            <w:proofErr w:type="spellEnd"/>
            <w:r>
              <w:rPr>
                <w:rFonts w:ascii="Times New Roman" w:eastAsia="Times New Roman" w:hAnsi="Times New Roman" w:cs="Times New Roman"/>
                <w:i/>
                <w:iCs/>
                <w:color w:val="222222"/>
                <w:sz w:val="24"/>
                <w:szCs w:val="24"/>
              </w:rPr>
              <w:t xml:space="preserve"> (juv.)</w:t>
            </w:r>
          </w:p>
        </w:tc>
        <w:tc>
          <w:tcPr>
            <w:tcW w:w="1223" w:type="dxa"/>
          </w:tcPr>
          <w:p w14:paraId="0F273C41"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Garra</w:t>
            </w:r>
            <w:proofErr w:type="spellEnd"/>
            <w:r>
              <w:rPr>
                <w:rFonts w:ascii="Times New Roman" w:eastAsia="Times New Roman" w:hAnsi="Times New Roman" w:cs="Times New Roman"/>
                <w:color w:val="222222"/>
                <w:sz w:val="24"/>
                <w:szCs w:val="24"/>
              </w:rPr>
              <w:t xml:space="preserve"> </w:t>
            </w:r>
          </w:p>
        </w:tc>
        <w:tc>
          <w:tcPr>
            <w:tcW w:w="1418" w:type="dxa"/>
          </w:tcPr>
          <w:p w14:paraId="6F3F4DB8"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6A95905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06CE52A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3445F211"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45CFD313" w14:textId="77777777">
        <w:tc>
          <w:tcPr>
            <w:tcW w:w="562" w:type="dxa"/>
          </w:tcPr>
          <w:p w14:paraId="71146C8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c>
          <w:tcPr>
            <w:tcW w:w="2179" w:type="dxa"/>
          </w:tcPr>
          <w:p w14:paraId="379451C8" w14:textId="77777777" w:rsidR="009905E2" w:rsidRDefault="00717275">
            <w:pPr>
              <w:spacing w:line="360" w:lineRule="auto"/>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Lepidocephalichthys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guntea</w:t>
            </w:r>
            <w:proofErr w:type="spellEnd"/>
            <w:r>
              <w:rPr>
                <w:rFonts w:ascii="Times New Roman" w:eastAsia="Times New Roman" w:hAnsi="Times New Roman" w:cs="Times New Roman"/>
                <w:i/>
                <w:iCs/>
                <w:color w:val="222222"/>
                <w:sz w:val="24"/>
                <w:szCs w:val="24"/>
              </w:rPr>
              <w:t xml:space="preserve"> </w:t>
            </w:r>
          </w:p>
        </w:tc>
        <w:tc>
          <w:tcPr>
            <w:tcW w:w="1223" w:type="dxa"/>
          </w:tcPr>
          <w:p w14:paraId="50123E4C"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Guntea</w:t>
            </w:r>
            <w:proofErr w:type="spellEnd"/>
            <w:r>
              <w:rPr>
                <w:rFonts w:ascii="Times New Roman" w:eastAsia="Times New Roman" w:hAnsi="Times New Roman" w:cs="Times New Roman"/>
                <w:color w:val="222222"/>
                <w:sz w:val="24"/>
                <w:szCs w:val="24"/>
              </w:rPr>
              <w:t xml:space="preserve"> loach</w:t>
            </w:r>
          </w:p>
        </w:tc>
        <w:tc>
          <w:tcPr>
            <w:tcW w:w="1418" w:type="dxa"/>
          </w:tcPr>
          <w:p w14:paraId="66ECBEE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14:paraId="23638C5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3D0BADD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0418C87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1DE8FD4E" w14:textId="77777777">
        <w:tc>
          <w:tcPr>
            <w:tcW w:w="562" w:type="dxa"/>
          </w:tcPr>
          <w:p w14:paraId="50E1692D"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28</w:t>
            </w:r>
          </w:p>
        </w:tc>
        <w:tc>
          <w:tcPr>
            <w:tcW w:w="2179" w:type="dxa"/>
          </w:tcPr>
          <w:p w14:paraId="728CC50D"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Pangio </w:t>
            </w:r>
            <w:proofErr w:type="spellStart"/>
            <w:r>
              <w:rPr>
                <w:rFonts w:ascii="Times New Roman" w:eastAsia="Times New Roman" w:hAnsi="Times New Roman" w:cs="Times New Roman"/>
                <w:i/>
                <w:iCs/>
                <w:color w:val="222222"/>
                <w:sz w:val="24"/>
                <w:szCs w:val="24"/>
              </w:rPr>
              <w:t>pangia</w:t>
            </w:r>
            <w:proofErr w:type="spellEnd"/>
            <w:r>
              <w:rPr>
                <w:rFonts w:ascii="Times New Roman" w:eastAsia="Times New Roman" w:hAnsi="Times New Roman" w:cs="Times New Roman"/>
                <w:i/>
                <w:iCs/>
                <w:color w:val="222222"/>
                <w:sz w:val="24"/>
                <w:szCs w:val="24"/>
              </w:rPr>
              <w:t xml:space="preserve"> </w:t>
            </w:r>
          </w:p>
        </w:tc>
        <w:tc>
          <w:tcPr>
            <w:tcW w:w="1223" w:type="dxa"/>
          </w:tcPr>
          <w:p w14:paraId="1D707E8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Pangia loach</w:t>
            </w:r>
          </w:p>
        </w:tc>
        <w:tc>
          <w:tcPr>
            <w:tcW w:w="1418" w:type="dxa"/>
          </w:tcPr>
          <w:p w14:paraId="7FB2F62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14:paraId="0F9A32B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997D2AC"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4079DB9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42BFFDD3" w14:textId="77777777">
        <w:tc>
          <w:tcPr>
            <w:tcW w:w="562" w:type="dxa"/>
          </w:tcPr>
          <w:p w14:paraId="0E4A529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29</w:t>
            </w:r>
          </w:p>
        </w:tc>
        <w:tc>
          <w:tcPr>
            <w:tcW w:w="2179" w:type="dxa"/>
          </w:tcPr>
          <w:p w14:paraId="544EEF46" w14:textId="77777777" w:rsidR="009905E2" w:rsidRDefault="00717275">
            <w:pPr>
              <w:spacing w:line="36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Nandus </w:t>
            </w:r>
            <w:proofErr w:type="spellStart"/>
            <w:r>
              <w:rPr>
                <w:rFonts w:ascii="Times New Roman" w:eastAsia="Times New Roman" w:hAnsi="Times New Roman" w:cs="Times New Roman"/>
                <w:i/>
                <w:iCs/>
                <w:color w:val="222222"/>
                <w:sz w:val="24"/>
                <w:szCs w:val="24"/>
              </w:rPr>
              <w:t>nandus</w:t>
            </w:r>
            <w:proofErr w:type="spellEnd"/>
            <w:r>
              <w:rPr>
                <w:rFonts w:ascii="Times New Roman" w:eastAsia="Times New Roman" w:hAnsi="Times New Roman" w:cs="Times New Roman"/>
                <w:i/>
                <w:iCs/>
                <w:color w:val="222222"/>
                <w:sz w:val="24"/>
                <w:szCs w:val="24"/>
              </w:rPr>
              <w:t xml:space="preserve"> (juv.)</w:t>
            </w:r>
          </w:p>
        </w:tc>
        <w:tc>
          <w:tcPr>
            <w:tcW w:w="1223" w:type="dxa"/>
          </w:tcPr>
          <w:p w14:paraId="733E45C4"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Leaf fish </w:t>
            </w:r>
          </w:p>
        </w:tc>
        <w:tc>
          <w:tcPr>
            <w:tcW w:w="1418" w:type="dxa"/>
          </w:tcPr>
          <w:p w14:paraId="37075B47"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Nandidae</w:t>
            </w:r>
            <w:proofErr w:type="spellEnd"/>
          </w:p>
        </w:tc>
        <w:tc>
          <w:tcPr>
            <w:tcW w:w="948" w:type="dxa"/>
          </w:tcPr>
          <w:p w14:paraId="30457C0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4B2D13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0B11BE5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9905E2" w14:paraId="0B97C1EA" w14:textId="77777777">
        <w:tc>
          <w:tcPr>
            <w:tcW w:w="562" w:type="dxa"/>
          </w:tcPr>
          <w:p w14:paraId="5A7968E8"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30 </w:t>
            </w:r>
          </w:p>
        </w:tc>
        <w:tc>
          <w:tcPr>
            <w:tcW w:w="2179" w:type="dxa"/>
          </w:tcPr>
          <w:p w14:paraId="7EBA83A3"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Chanda nama </w:t>
            </w:r>
          </w:p>
        </w:tc>
        <w:tc>
          <w:tcPr>
            <w:tcW w:w="1223" w:type="dxa"/>
          </w:tcPr>
          <w:p w14:paraId="545911F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Elongate glassfish</w:t>
            </w:r>
          </w:p>
        </w:tc>
        <w:tc>
          <w:tcPr>
            <w:tcW w:w="1418" w:type="dxa"/>
          </w:tcPr>
          <w:p w14:paraId="78139722"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2299E21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04839E8B"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865FC9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030F1FF8" w14:textId="77777777">
        <w:tc>
          <w:tcPr>
            <w:tcW w:w="562" w:type="dxa"/>
          </w:tcPr>
          <w:p w14:paraId="57F6E30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31</w:t>
            </w:r>
          </w:p>
        </w:tc>
        <w:tc>
          <w:tcPr>
            <w:tcW w:w="2179" w:type="dxa"/>
          </w:tcPr>
          <w:p w14:paraId="35718101" w14:textId="77777777" w:rsidR="009905E2" w:rsidRDefault="0071727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Glossogobius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giuris</w:t>
            </w:r>
            <w:proofErr w:type="spellEnd"/>
            <w:r>
              <w:rPr>
                <w:rFonts w:ascii="Times New Roman" w:eastAsia="Times New Roman" w:hAnsi="Times New Roman" w:cs="Times New Roman"/>
                <w:i/>
                <w:iCs/>
                <w:color w:val="222222"/>
                <w:sz w:val="24"/>
                <w:szCs w:val="24"/>
              </w:rPr>
              <w:t xml:space="preserve"> (juv.)</w:t>
            </w:r>
          </w:p>
        </w:tc>
        <w:tc>
          <w:tcPr>
            <w:tcW w:w="1223" w:type="dxa"/>
          </w:tcPr>
          <w:p w14:paraId="5E6ED2F0"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Tank goby </w:t>
            </w:r>
          </w:p>
        </w:tc>
        <w:tc>
          <w:tcPr>
            <w:tcW w:w="1418" w:type="dxa"/>
          </w:tcPr>
          <w:p w14:paraId="5C9F1747"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Gobiidae</w:t>
            </w:r>
            <w:proofErr w:type="spellEnd"/>
          </w:p>
        </w:tc>
        <w:tc>
          <w:tcPr>
            <w:tcW w:w="948" w:type="dxa"/>
          </w:tcPr>
          <w:p w14:paraId="5E4CF3AE"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492D41D6"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6843909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9905E2" w14:paraId="691E9A77" w14:textId="77777777">
        <w:tc>
          <w:tcPr>
            <w:tcW w:w="562" w:type="dxa"/>
          </w:tcPr>
          <w:p w14:paraId="764A0D29"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32</w:t>
            </w:r>
          </w:p>
        </w:tc>
        <w:tc>
          <w:tcPr>
            <w:tcW w:w="2179" w:type="dxa"/>
          </w:tcPr>
          <w:p w14:paraId="11E7D436" w14:textId="77777777" w:rsidR="009905E2" w:rsidRDefault="0071727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Ailia </w:t>
            </w:r>
            <w:proofErr w:type="spellStart"/>
            <w:r>
              <w:rPr>
                <w:rFonts w:ascii="Times New Roman" w:eastAsia="Times New Roman" w:hAnsi="Times New Roman" w:cs="Times New Roman"/>
                <w:i/>
                <w:iCs/>
                <w:color w:val="222222"/>
                <w:sz w:val="24"/>
                <w:szCs w:val="24"/>
              </w:rPr>
              <w:t>coila</w:t>
            </w:r>
            <w:proofErr w:type="spellEnd"/>
            <w:r>
              <w:rPr>
                <w:rFonts w:ascii="Times New Roman" w:eastAsia="Times New Roman" w:hAnsi="Times New Roman" w:cs="Times New Roman"/>
                <w:i/>
                <w:iCs/>
                <w:color w:val="222222"/>
                <w:sz w:val="24"/>
                <w:szCs w:val="24"/>
              </w:rPr>
              <w:t xml:space="preserve"> (juv.)</w:t>
            </w:r>
          </w:p>
        </w:tc>
        <w:tc>
          <w:tcPr>
            <w:tcW w:w="1223" w:type="dxa"/>
          </w:tcPr>
          <w:p w14:paraId="05C4DED5"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Gangetic </w:t>
            </w:r>
            <w:proofErr w:type="spellStart"/>
            <w:r>
              <w:rPr>
                <w:rFonts w:ascii="Times New Roman" w:eastAsia="Times New Roman" w:hAnsi="Times New Roman" w:cs="Times New Roman"/>
                <w:color w:val="222222"/>
                <w:sz w:val="24"/>
                <w:szCs w:val="24"/>
              </w:rPr>
              <w:t>ailia</w:t>
            </w:r>
            <w:proofErr w:type="spellEnd"/>
          </w:p>
        </w:tc>
        <w:tc>
          <w:tcPr>
            <w:tcW w:w="1418" w:type="dxa"/>
          </w:tcPr>
          <w:p w14:paraId="6CA5423B" w14:textId="77777777" w:rsidR="009905E2" w:rsidRDefault="0071727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Ailiidae</w:t>
            </w:r>
            <w:proofErr w:type="spellEnd"/>
          </w:p>
        </w:tc>
        <w:tc>
          <w:tcPr>
            <w:tcW w:w="948" w:type="dxa"/>
          </w:tcPr>
          <w:p w14:paraId="1AEABBC2"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3A31D1BA"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244794A7" w14:textId="77777777" w:rsidR="009905E2" w:rsidRDefault="0071727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bl>
    <w:p w14:paraId="5618B23A"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0C7A4399"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Abbreviation used </w:t>
      </w:r>
    </w:p>
    <w:p w14:paraId="498006F8"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4F982F62"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IUCN Status </w:t>
      </w:r>
    </w:p>
    <w:p w14:paraId="1C5EB3E5" w14:textId="77777777" w:rsidR="009905E2" w:rsidRDefault="0071727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LC- </w:t>
      </w:r>
      <w:r>
        <w:rPr>
          <w:rFonts w:ascii="Times New Roman" w:eastAsia="Times New Roman" w:hAnsi="Times New Roman" w:cs="Times New Roman"/>
          <w:color w:val="222222"/>
          <w:sz w:val="24"/>
          <w:szCs w:val="24"/>
        </w:rPr>
        <w:t xml:space="preserve">Least Concern, </w:t>
      </w:r>
      <w:r>
        <w:rPr>
          <w:rFonts w:ascii="Times New Roman" w:eastAsia="Times New Roman" w:hAnsi="Times New Roman" w:cs="Times New Roman"/>
          <w:b/>
          <w:bCs/>
          <w:color w:val="222222"/>
          <w:sz w:val="24"/>
          <w:szCs w:val="24"/>
        </w:rPr>
        <w:t>NT-</w:t>
      </w:r>
      <w:r>
        <w:rPr>
          <w:rFonts w:ascii="Times New Roman" w:eastAsia="Times New Roman" w:hAnsi="Times New Roman" w:cs="Times New Roman"/>
          <w:color w:val="222222"/>
          <w:sz w:val="24"/>
          <w:szCs w:val="24"/>
        </w:rPr>
        <w:t xml:space="preserve"> Near Threatened</w:t>
      </w:r>
    </w:p>
    <w:p w14:paraId="7828243E"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37034660"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13AFA16D" w14:textId="77777777" w:rsidR="009905E2" w:rsidRDefault="0071727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Presence category – </w:t>
      </w:r>
    </w:p>
    <w:p w14:paraId="53D09030" w14:textId="77777777" w:rsidR="009905E2" w:rsidRDefault="0071727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Abundant, </w:t>
      </w:r>
      <w:r>
        <w:rPr>
          <w:rFonts w:ascii="Times New Roman" w:eastAsia="Times New Roman" w:hAnsi="Times New Roman" w:cs="Times New Roman"/>
          <w:b/>
          <w:bCs/>
          <w:sz w:val="24"/>
          <w:szCs w:val="24"/>
        </w:rPr>
        <w:t xml:space="preserve">C- </w:t>
      </w:r>
      <w:r>
        <w:rPr>
          <w:rFonts w:ascii="Times New Roman" w:eastAsia="Times New Roman" w:hAnsi="Times New Roman" w:cs="Times New Roman"/>
          <w:sz w:val="24"/>
          <w:szCs w:val="24"/>
        </w:rPr>
        <w:t xml:space="preserve">Common, </w:t>
      </w:r>
      <w:r>
        <w:rPr>
          <w:rFonts w:ascii="Times New Roman" w:eastAsia="Times New Roman" w:hAnsi="Times New Roman" w:cs="Times New Roman"/>
          <w:b/>
          <w:bCs/>
          <w:sz w:val="24"/>
          <w:szCs w:val="24"/>
        </w:rPr>
        <w:t>M-</w:t>
      </w:r>
      <w:r>
        <w:rPr>
          <w:rFonts w:ascii="Times New Roman" w:eastAsia="Times New Roman" w:hAnsi="Times New Roman" w:cs="Times New Roman"/>
          <w:sz w:val="24"/>
          <w:szCs w:val="24"/>
        </w:rPr>
        <w:t xml:space="preserve">Moderate, </w:t>
      </w:r>
      <w:r>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 xml:space="preserve">Present, </w:t>
      </w:r>
      <w:r>
        <w:rPr>
          <w:rFonts w:ascii="Times New Roman" w:eastAsia="Times New Roman" w:hAnsi="Times New Roman" w:cs="Times New Roman"/>
          <w:b/>
          <w:bCs/>
          <w:sz w:val="24"/>
          <w:szCs w:val="24"/>
        </w:rPr>
        <w:t>R-</w:t>
      </w:r>
      <w:r>
        <w:rPr>
          <w:rFonts w:ascii="Times New Roman" w:eastAsia="Times New Roman" w:hAnsi="Times New Roman" w:cs="Times New Roman"/>
          <w:sz w:val="24"/>
          <w:szCs w:val="24"/>
        </w:rPr>
        <w:t>Rare</w:t>
      </w:r>
    </w:p>
    <w:p w14:paraId="0338671F" w14:textId="77777777" w:rsidR="009905E2" w:rsidRDefault="009905E2">
      <w:pPr>
        <w:shd w:val="clear" w:color="auto" w:fill="FFFFFF"/>
        <w:spacing w:after="0" w:line="360" w:lineRule="auto"/>
        <w:jc w:val="both"/>
        <w:rPr>
          <w:rFonts w:ascii="Times New Roman" w:eastAsia="Times New Roman" w:hAnsi="Times New Roman" w:cs="Times New Roman"/>
          <w:b/>
          <w:bCs/>
          <w:sz w:val="24"/>
          <w:szCs w:val="24"/>
        </w:rPr>
      </w:pPr>
    </w:p>
    <w:p w14:paraId="5717C85A" w14:textId="77777777" w:rsidR="00AC0229" w:rsidRDefault="00AC0229" w:rsidP="00AC022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222222"/>
          <w:sz w:val="24"/>
          <w:szCs w:val="24"/>
        </w:rPr>
        <w:t>IUCN conservation status of small Indigenous Freshwater Fishes</w:t>
      </w:r>
    </w:p>
    <w:p w14:paraId="25D8B009" w14:textId="77777777" w:rsidR="009905E2" w:rsidRDefault="009905E2">
      <w:pPr>
        <w:shd w:val="clear" w:color="auto" w:fill="FFFFFF"/>
        <w:spacing w:after="0" w:line="360" w:lineRule="auto"/>
        <w:jc w:val="both"/>
        <w:rPr>
          <w:rFonts w:ascii="Times New Roman" w:eastAsia="Times New Roman" w:hAnsi="Times New Roman" w:cs="Times New Roman"/>
          <w:b/>
          <w:bCs/>
          <w:sz w:val="24"/>
          <w:szCs w:val="24"/>
        </w:rPr>
      </w:pPr>
    </w:p>
    <w:p w14:paraId="04E5FD5A" w14:textId="77777777" w:rsidR="009905E2" w:rsidRDefault="00717275">
      <w:pPr>
        <w:shd w:val="clear" w:color="auto" w:fill="FFFFFF"/>
        <w:spacing w:after="0" w:line="360" w:lineRule="auto"/>
        <w:rPr>
          <w:rFonts w:ascii="Times New Roman" w:eastAsia="Times New Roman" w:hAnsi="Times New Roman" w:cs="Times New Roman"/>
          <w:b/>
          <w:bCs/>
          <w:sz w:val="24"/>
          <w:szCs w:val="24"/>
        </w:rPr>
      </w:pPr>
      <w:r>
        <w:lastRenderedPageBreak/>
        <w:t xml:space="preserve">                                   </w:t>
      </w:r>
      <w:r>
        <w:rPr>
          <w:noProof/>
        </w:rPr>
        <w:drawing>
          <wp:inline distT="0" distB="0" distL="0" distR="0" wp14:anchorId="3B7ABE58" wp14:editId="6EE50803">
            <wp:extent cx="3313263" cy="243354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13263" cy="2433548"/>
                    </a:xfrm>
                    <a:prstGeom prst="rect">
                      <a:avLst/>
                    </a:prstGeom>
                    <a:ln/>
                  </pic:spPr>
                </pic:pic>
              </a:graphicData>
            </a:graphic>
          </wp:inline>
        </w:drawing>
      </w:r>
    </w:p>
    <w:p w14:paraId="06351308" w14:textId="77777777" w:rsidR="009905E2" w:rsidRDefault="0071727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Compiled from Talwar &amp;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Sarkar (2010); Vishwanath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Sarkar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Duarah</w:t>
      </w:r>
      <w:proofErr w:type="spellEnd"/>
      <w:r>
        <w:rPr>
          <w:rFonts w:ascii="Times New Roman" w:eastAsia="Times New Roman" w:hAnsi="Times New Roman" w:cs="Times New Roman"/>
          <w:sz w:val="24"/>
          <w:szCs w:val="24"/>
        </w:rPr>
        <w:t xml:space="preserve"> &amp; Das (2019).</w:t>
      </w:r>
    </w:p>
    <w:p w14:paraId="3D27C943" w14:textId="77777777" w:rsidR="009905E2" w:rsidRDefault="009905E2">
      <w:pPr>
        <w:shd w:val="clear" w:color="auto" w:fill="FFFFFF"/>
        <w:spacing w:after="0" w:line="360" w:lineRule="auto"/>
        <w:jc w:val="both"/>
        <w:rPr>
          <w:rFonts w:ascii="Times New Roman" w:eastAsia="Times New Roman" w:hAnsi="Times New Roman" w:cs="Times New Roman"/>
          <w:b/>
          <w:bCs/>
          <w:sz w:val="24"/>
          <w:szCs w:val="24"/>
        </w:rPr>
      </w:pPr>
    </w:p>
    <w:p w14:paraId="3A60E163"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Discussion</w:t>
      </w:r>
    </w:p>
    <w:p w14:paraId="31B368D5"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observed differences in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 can be largely explained by habitat availability and connectivity. Floodplain connectivity plays a critical role in maintaining fish diversity in river-wetland systems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xml:space="preserve">, 2001). Nagaon district benefits from extensive and connected wetlands that support fish migration, spawning, and feeding, resulting in higher species richness and population stability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698405CC" w14:textId="74A34C84" w:rsidR="00DA3FEE" w:rsidRPr="00DA3FEE" w:rsidRDefault="008B25D9"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hAnsi="Times New Roman" w:cs="Times New Roman"/>
          <w:color w:val="222222"/>
          <w:sz w:val="24"/>
          <w:szCs w:val="24"/>
          <w:highlight w:val="yellow"/>
          <w:shd w:val="clear" w:color="auto" w:fill="FFFFFF"/>
        </w:rPr>
        <w:t>E</w:t>
      </w:r>
      <w:r w:rsidR="00DA3FEE" w:rsidRPr="00941E64">
        <w:rPr>
          <w:rFonts w:ascii="Times New Roman" w:hAnsi="Times New Roman" w:cs="Times New Roman"/>
          <w:color w:val="222222"/>
          <w:sz w:val="24"/>
          <w:szCs w:val="24"/>
          <w:highlight w:val="yellow"/>
          <w:shd w:val="clear" w:color="auto" w:fill="FFFFFF"/>
        </w:rPr>
        <w:t xml:space="preserve">cological studies emphasize that loss of lateral river–floodplain connectivity is one of the most critical drivers of freshwater fish decline in South Asian river basins (Poff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2020; Datta </w:t>
      </w:r>
      <w:r w:rsidR="00DA3FEE" w:rsidRPr="00941E64">
        <w:rPr>
          <w:rFonts w:ascii="Times New Roman" w:hAnsi="Times New Roman" w:cs="Times New Roman"/>
          <w:i/>
          <w:iCs/>
          <w:color w:val="222222"/>
          <w:sz w:val="24"/>
          <w:szCs w:val="24"/>
          <w:highlight w:val="yellow"/>
          <w:shd w:val="clear" w:color="auto" w:fill="FFFFFF"/>
        </w:rPr>
        <w:t xml:space="preserve">et al., </w:t>
      </w:r>
      <w:r w:rsidR="00DA3FEE" w:rsidRPr="00941E64">
        <w:rPr>
          <w:rFonts w:ascii="Times New Roman" w:hAnsi="Times New Roman" w:cs="Times New Roman"/>
          <w:color w:val="222222"/>
          <w:sz w:val="24"/>
          <w:szCs w:val="24"/>
          <w:highlight w:val="yellow"/>
          <w:shd w:val="clear" w:color="auto" w:fill="FFFFFF"/>
        </w:rPr>
        <w:t>2022). Maintaining seasonal connectivity is therefore essential for sustaining SIF populations in districts like Nagaon.</w:t>
      </w:r>
    </w:p>
    <w:p w14:paraId="4AC9935D"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is dominated by small and fragmented water bodies that are highly seasonal. Habitat loss, reduced water retention, and agricultural intensification limit fish movement and breeding success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As a result, fish diversity is lower, and populations are more vulnerable to local extinction.</w:t>
      </w:r>
    </w:p>
    <w:p w14:paraId="32272469"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Although most small indigenous fishes are categorized as Least Concern globally, local threats such as overfishing, pollution, and habitat degradation can rapidly reduce populations (Sarkar, 2010). Fine-mesh fishing gears capture juveniles and breeding adults, leading to reduced recruitment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Pollution from agricultural runoff and domestic waste further degrades water quality and affects fish health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2020).</w:t>
      </w:r>
    </w:p>
    <w:p w14:paraId="22ACB0E1"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560A6E52"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Nutritional and Socio-Economic Importance</w:t>
      </w:r>
    </w:p>
    <w:p w14:paraId="69371DAC"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Small indigenous freshwater fishes are among the most nutrient-dense aquatic foods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 xml:space="preserve">et al., </w:t>
      </w:r>
      <w:r>
        <w:rPr>
          <w:rFonts w:ascii="Times New Roman" w:eastAsia="Times New Roman" w:hAnsi="Times New Roman" w:cs="Times New Roman"/>
          <w:color w:val="222222"/>
          <w:sz w:val="24"/>
          <w:szCs w:val="24"/>
        </w:rPr>
        <w:t xml:space="preserve">2007). Their regular consumption improves dietary quality and helps reduce micronutrient deficiencies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 In Assam, these fishes are especially important for rural households that have limited access to other sources of animal protein (Belton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2014).</w:t>
      </w:r>
    </w:p>
    <w:p w14:paraId="4C038A18" w14:textId="2BD84855" w:rsidR="00DA3FEE" w:rsidRPr="00DA3FEE" w:rsidRDefault="00F17691"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hAnsi="Times New Roman" w:cs="Times New Roman"/>
          <w:color w:val="222222"/>
          <w:sz w:val="24"/>
          <w:szCs w:val="24"/>
          <w:highlight w:val="yellow"/>
          <w:shd w:val="clear" w:color="auto" w:fill="FFFFFF"/>
        </w:rPr>
        <w:t>N</w:t>
      </w:r>
      <w:r w:rsidR="00DA3FEE" w:rsidRPr="00941E64">
        <w:rPr>
          <w:rFonts w:ascii="Times New Roman" w:hAnsi="Times New Roman" w:cs="Times New Roman"/>
          <w:color w:val="222222"/>
          <w:sz w:val="24"/>
          <w:szCs w:val="24"/>
          <w:highlight w:val="yellow"/>
          <w:shd w:val="clear" w:color="auto" w:fill="FFFFFF"/>
        </w:rPr>
        <w:t xml:space="preserve">utrition-sensitive fisheries research has shown that integrating small indigenous fishes into local food systems can significantly improve dietary diversity and child nutrition outcomes at low cost (Bogard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2019; Golden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2021). These findings strengthen the case for conserving SIFs not only as biodiversity resources but also as public health assets.</w:t>
      </w:r>
    </w:p>
    <w:p w14:paraId="027A402E"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From an economic perspective, small indigenous fishes support the livelihoods of small-scale fishers, women vendors, and rural communities. They are regularly sold in local markets and form an essential part of traditional Assamese dishes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Thus, conservation of these fishes has both ecological and socio-economic benefits.</w:t>
      </w:r>
    </w:p>
    <w:p w14:paraId="26FCDF62"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4E126EB2"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Threats to Small Indigenous Freshwater Fishes</w:t>
      </w:r>
    </w:p>
    <w:p w14:paraId="342D8712"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face multiple threats across both districts. Wetland loss due to encroachment and land-use change is one of the major concerns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Overfishing, particularly during breeding seasons, reduces population size and recruitment (Sarkar, 2010). Pollution from fertilizers, pesticides, and domestic waste degrades water quality and affects fish survival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2020).</w:t>
      </w:r>
    </w:p>
    <w:p w14:paraId="51A3804D" w14:textId="38C1106D" w:rsidR="009905E2" w:rsidRPr="00DA3FEE" w:rsidRDefault="00717275"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Climate variability has altered rainfall patterns, leading to irregular flooding and drying of wetlands, which directly affects breeding cycles and survival of small fishes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r w:rsidR="00DA3FEE" w:rsidRPr="00DA3FEE">
        <w:rPr>
          <w:rFonts w:ascii="Arial" w:hAnsi="Arial" w:cs="Arial"/>
          <w:color w:val="222222"/>
          <w:shd w:val="clear" w:color="auto" w:fill="FFFFFF"/>
        </w:rPr>
        <w:t xml:space="preserve"> </w:t>
      </w:r>
      <w:r w:rsidR="00DA3FEE" w:rsidRPr="00941E64">
        <w:rPr>
          <w:rFonts w:ascii="Times New Roman" w:hAnsi="Times New Roman" w:cs="Times New Roman"/>
          <w:color w:val="222222"/>
          <w:sz w:val="24"/>
          <w:szCs w:val="24"/>
          <w:highlight w:val="yellow"/>
          <w:shd w:val="clear" w:color="auto" w:fill="FFFFFF"/>
        </w:rPr>
        <w:t xml:space="preserve">Recent climate impact studies predict increased frequency of extreme floods and droughts in Assam, which may further destabilize wetland ecosystems and threaten small fish populations adapted to narrow hydrological windows (IPCC, 2023; Gogoi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2024).</w:t>
      </w:r>
    </w:p>
    <w:p w14:paraId="087DDDBF" w14:textId="77777777" w:rsidR="009905E2" w:rsidRDefault="009905E2">
      <w:pPr>
        <w:shd w:val="clear" w:color="auto" w:fill="FFFFFF"/>
        <w:spacing w:after="0" w:line="360" w:lineRule="auto"/>
        <w:jc w:val="both"/>
        <w:rPr>
          <w:rFonts w:ascii="Times New Roman" w:eastAsia="Times New Roman" w:hAnsi="Times New Roman" w:cs="Times New Roman"/>
          <w:color w:val="222222"/>
          <w:sz w:val="24"/>
          <w:szCs w:val="24"/>
        </w:rPr>
      </w:pPr>
    </w:p>
    <w:p w14:paraId="5FB09EB5"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Conservation and Management Measures</w:t>
      </w:r>
    </w:p>
    <w:p w14:paraId="15C57A0C"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Effective conservation of small indigenous freshwater fishes requires protection and restoration of natural habitats (Sarkar, 2010). Wetlands should be conserved to maintain water availability and connectivity. Seasonal fishing bans during breeding periods can help fish populations recover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w:t>
      </w:r>
    </w:p>
    <w:p w14:paraId="53E7CE3D"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Community participation is essential for successful conservation. Awareness programs highlighting the nutritional importance of small fishes can encourage sustainable harvesting </w:t>
      </w:r>
      <w:r>
        <w:rPr>
          <w:rFonts w:ascii="Times New Roman" w:eastAsia="Times New Roman" w:hAnsi="Times New Roman" w:cs="Times New Roman"/>
          <w:color w:val="222222"/>
          <w:sz w:val="24"/>
          <w:szCs w:val="24"/>
        </w:rPr>
        <w:lastRenderedPageBreak/>
        <w:t xml:space="preserve">practices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 Promotion of native fish species through habitat-based management can benefit both biodiversity conservation and food security.</w:t>
      </w:r>
    </w:p>
    <w:p w14:paraId="3165E27D" w14:textId="5FFD7CDD" w:rsidR="00DA3FEE" w:rsidRPr="00DA3FEE" w:rsidRDefault="00C36D67" w:rsidP="00DA3FEE">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hAnsi="Times New Roman" w:cs="Times New Roman"/>
          <w:color w:val="222222"/>
          <w:sz w:val="24"/>
          <w:szCs w:val="24"/>
          <w:highlight w:val="yellow"/>
          <w:shd w:val="clear" w:color="auto" w:fill="FFFFFF"/>
        </w:rPr>
        <w:t xml:space="preserve">The </w:t>
      </w:r>
      <w:r w:rsidR="00DA3FEE" w:rsidRPr="00941E64">
        <w:rPr>
          <w:rFonts w:ascii="Times New Roman" w:hAnsi="Times New Roman" w:cs="Times New Roman"/>
          <w:color w:val="222222"/>
          <w:sz w:val="24"/>
          <w:szCs w:val="24"/>
          <w:highlight w:val="yellow"/>
          <w:shd w:val="clear" w:color="auto" w:fill="FFFFFF"/>
        </w:rPr>
        <w:t xml:space="preserve">policy-oriented studies highlight the effectiveness of community-based wetland management, seasonal fishing regulations, and habitat restoration in sustaining inland fisheries in eastern India (Barman </w:t>
      </w:r>
      <w:r w:rsidR="00DA3FEE" w:rsidRPr="00941E64">
        <w:rPr>
          <w:rFonts w:ascii="Times New Roman" w:hAnsi="Times New Roman" w:cs="Times New Roman"/>
          <w:i/>
          <w:iCs/>
          <w:color w:val="222222"/>
          <w:sz w:val="24"/>
          <w:szCs w:val="24"/>
          <w:highlight w:val="yellow"/>
          <w:shd w:val="clear" w:color="auto" w:fill="FFFFFF"/>
        </w:rPr>
        <w:t>et al.,</w:t>
      </w:r>
      <w:r w:rsidR="00DA3FEE" w:rsidRPr="00941E64">
        <w:rPr>
          <w:rFonts w:ascii="Times New Roman" w:hAnsi="Times New Roman" w:cs="Times New Roman"/>
          <w:color w:val="222222"/>
          <w:sz w:val="24"/>
          <w:szCs w:val="24"/>
          <w:highlight w:val="yellow"/>
          <w:shd w:val="clear" w:color="auto" w:fill="FFFFFF"/>
        </w:rPr>
        <w:t xml:space="preserve"> 2021; FAO, 2022).</w:t>
      </w:r>
    </w:p>
    <w:p w14:paraId="7EDFD69E"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6C397125"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Research Gaps and Future Needs</w:t>
      </w:r>
    </w:p>
    <w:p w14:paraId="72B67B1F"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Despite their importance, district-level information on small indigenous freshwater fishes remains limited. Detailed field surveys covering different seasons are needed to generate accurate species inventories and population data (Sarkar </w:t>
      </w:r>
      <w:r w:rsidRPr="00604541">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Long-term monitoring of wetlands and fish communities will help assess the impact of environmental changes and conservation measures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5D9E36A4" w14:textId="77777777" w:rsidR="009905E2" w:rsidRDefault="00717275">
      <w:pPr>
        <w:shd w:val="clear" w:color="auto" w:fill="FFFFFF"/>
        <w:spacing w:after="0" w:line="360" w:lineRule="auto"/>
        <w:ind w:firstLine="72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 xml:space="preserve">Further research on nutritional composition and traditional ecological knowledge related to these fish species will strengthen conservation and food security planning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w:t>
      </w:r>
      <w:r>
        <w:rPr>
          <w:rFonts w:ascii="Times New Roman" w:eastAsia="Times New Roman" w:hAnsi="Times New Roman" w:cs="Times New Roman"/>
          <w:b/>
          <w:bCs/>
          <w:color w:val="222222"/>
          <w:sz w:val="24"/>
          <w:szCs w:val="24"/>
        </w:rPr>
        <w:t xml:space="preserve"> </w:t>
      </w:r>
    </w:p>
    <w:p w14:paraId="646FCD23" w14:textId="0D5E790E" w:rsidR="00DA3FEE" w:rsidRPr="00604541" w:rsidRDefault="00604541" w:rsidP="00604541">
      <w:pPr>
        <w:shd w:val="clear" w:color="auto" w:fill="FFFFFF"/>
        <w:spacing w:after="0" w:line="360" w:lineRule="auto"/>
        <w:ind w:firstLine="720"/>
        <w:jc w:val="both"/>
        <w:rPr>
          <w:rFonts w:ascii="Times New Roman" w:eastAsia="Times New Roman" w:hAnsi="Times New Roman" w:cs="Times New Roman"/>
          <w:b/>
          <w:bCs/>
          <w:color w:val="222222"/>
          <w:sz w:val="24"/>
          <w:szCs w:val="24"/>
        </w:rPr>
      </w:pPr>
      <w:r w:rsidRPr="00941E64">
        <w:rPr>
          <w:rFonts w:ascii="Times New Roman" w:hAnsi="Times New Roman" w:cs="Times New Roman"/>
          <w:color w:val="222222"/>
          <w:sz w:val="24"/>
          <w:szCs w:val="24"/>
          <w:highlight w:val="yellow"/>
          <w:shd w:val="clear" w:color="auto" w:fill="FFFFFF"/>
        </w:rPr>
        <w:t xml:space="preserve">Emerging tools such as environmental DNA (eDNA), GIS-based wetland monitoring, and participatory biodiversity documentation offer promising avenues for future research and conservation planning in data-poor regions like Assam (Datta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2022; Sarkar </w:t>
      </w:r>
      <w:r w:rsidRPr="00941E64">
        <w:rPr>
          <w:rFonts w:ascii="Times New Roman" w:hAnsi="Times New Roman" w:cs="Times New Roman"/>
          <w:i/>
          <w:iCs/>
          <w:color w:val="222222"/>
          <w:sz w:val="24"/>
          <w:szCs w:val="24"/>
          <w:highlight w:val="yellow"/>
          <w:shd w:val="clear" w:color="auto" w:fill="FFFFFF"/>
        </w:rPr>
        <w:t>et al.,</w:t>
      </w:r>
      <w:r w:rsidRPr="00941E64">
        <w:rPr>
          <w:rFonts w:ascii="Times New Roman" w:hAnsi="Times New Roman" w:cs="Times New Roman"/>
          <w:color w:val="222222"/>
          <w:sz w:val="24"/>
          <w:szCs w:val="24"/>
          <w:highlight w:val="yellow"/>
          <w:shd w:val="clear" w:color="auto" w:fill="FFFFFF"/>
        </w:rPr>
        <w:t xml:space="preserve"> 2023).</w:t>
      </w:r>
    </w:p>
    <w:p w14:paraId="19A31E74" w14:textId="77777777" w:rsidR="009905E2" w:rsidRDefault="009905E2">
      <w:pPr>
        <w:shd w:val="clear" w:color="auto" w:fill="FFFFFF"/>
        <w:spacing w:after="0" w:line="360" w:lineRule="auto"/>
        <w:jc w:val="both"/>
        <w:rPr>
          <w:rFonts w:ascii="Times New Roman" w:eastAsia="Times New Roman" w:hAnsi="Times New Roman" w:cs="Times New Roman"/>
          <w:b/>
          <w:bCs/>
          <w:color w:val="222222"/>
          <w:sz w:val="24"/>
          <w:szCs w:val="24"/>
        </w:rPr>
      </w:pPr>
    </w:p>
    <w:p w14:paraId="1DD490C3" w14:textId="77777777" w:rsidR="00604541" w:rsidRDefault="00604541">
      <w:pPr>
        <w:shd w:val="clear" w:color="auto" w:fill="FFFFFF"/>
        <w:spacing w:after="0" w:line="360" w:lineRule="auto"/>
        <w:jc w:val="both"/>
        <w:rPr>
          <w:rFonts w:ascii="Times New Roman" w:eastAsia="Times New Roman" w:hAnsi="Times New Roman" w:cs="Times New Roman"/>
          <w:b/>
          <w:bCs/>
          <w:color w:val="222222"/>
          <w:sz w:val="24"/>
          <w:szCs w:val="24"/>
        </w:rPr>
      </w:pPr>
    </w:p>
    <w:p w14:paraId="7CBBDF28" w14:textId="77777777" w:rsidR="00604541" w:rsidRDefault="00604541">
      <w:pPr>
        <w:shd w:val="clear" w:color="auto" w:fill="FFFFFF"/>
        <w:spacing w:after="0" w:line="360" w:lineRule="auto"/>
        <w:jc w:val="both"/>
        <w:rPr>
          <w:rFonts w:ascii="Times New Roman" w:eastAsia="Times New Roman" w:hAnsi="Times New Roman" w:cs="Times New Roman"/>
          <w:b/>
          <w:bCs/>
          <w:color w:val="222222"/>
          <w:sz w:val="24"/>
          <w:szCs w:val="24"/>
        </w:rPr>
      </w:pPr>
    </w:p>
    <w:p w14:paraId="21D3F8B2" w14:textId="7EC23D70" w:rsidR="009905E2" w:rsidRDefault="0071727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Conclusion</w:t>
      </w:r>
    </w:p>
    <w:p w14:paraId="5BF8931D" w14:textId="77777777" w:rsidR="009905E2" w:rsidRDefault="0071727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are vital components of Assam’s aquatic ecosystems, nutrition, and rural livelihoods. This review shows that Nagaon district supports higher fish diversity due to extensive and well-connected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faces greater challenges because of fragmented and seasonal habitats. Protecting wetlands, regulating fishing practices, and involving local communities are essential for conserving these valuable fish resources. Strengthened research efforts and sustainable management strategies will ensure the long-term survival of small indigenous freshwater fishes in Assam.</w:t>
      </w:r>
    </w:p>
    <w:p w14:paraId="673E12DD" w14:textId="77777777" w:rsidR="00AC0229" w:rsidRPr="00005ED1" w:rsidRDefault="00AC0229" w:rsidP="00AC0229">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5366A2A4" w14:textId="77777777" w:rsidR="00AC0229" w:rsidRPr="00005ED1" w:rsidRDefault="00AC0229" w:rsidP="00AC0229">
      <w:pPr>
        <w:pStyle w:val="NoSpacing"/>
        <w:rPr>
          <w:rFonts w:ascii="Arial" w:hAnsi="Arial" w:cs="Arial"/>
          <w:highlight w:val="yellow"/>
        </w:rPr>
      </w:pPr>
    </w:p>
    <w:p w14:paraId="237A5F2C" w14:textId="77777777" w:rsidR="00AC0229" w:rsidRPr="00005ED1" w:rsidRDefault="00AC0229" w:rsidP="00AC0229">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28A1DC8C" w14:textId="77777777" w:rsidR="00AC0229" w:rsidRDefault="00AC0229" w:rsidP="00AC0229">
      <w:pPr>
        <w:pStyle w:val="NoSpacing"/>
        <w:rPr>
          <w:rFonts w:ascii="Arial" w:hAnsi="Arial" w:cs="Arial"/>
        </w:rPr>
      </w:pPr>
    </w:p>
    <w:p w14:paraId="6496BE39" w14:textId="77777777" w:rsidR="00AC0229" w:rsidRDefault="00AC0229" w:rsidP="00AC0229">
      <w:pPr>
        <w:pStyle w:val="NoSpacing"/>
        <w:rPr>
          <w:rFonts w:ascii="Arial" w:hAnsi="Arial" w:cs="Arial"/>
        </w:rPr>
      </w:pPr>
    </w:p>
    <w:p w14:paraId="060C88F9" w14:textId="77777777" w:rsidR="00AC0229" w:rsidRPr="00005ED1" w:rsidRDefault="00AC0229" w:rsidP="00AC0229">
      <w:pPr>
        <w:pStyle w:val="NoSpacing"/>
        <w:rPr>
          <w:rFonts w:ascii="Arial" w:hAnsi="Arial" w:cs="Arial"/>
        </w:rPr>
      </w:pPr>
    </w:p>
    <w:p w14:paraId="6A30A031" w14:textId="77777777" w:rsidR="009905E2" w:rsidRPr="00AC0229" w:rsidRDefault="009905E2">
      <w:pPr>
        <w:shd w:val="clear" w:color="auto" w:fill="FFFFFF"/>
        <w:spacing w:after="0" w:line="360" w:lineRule="auto"/>
        <w:jc w:val="both"/>
        <w:rPr>
          <w:rFonts w:ascii="Times New Roman" w:eastAsia="Times New Roman" w:hAnsi="Times New Roman" w:cs="Times New Roman"/>
          <w:color w:val="222222"/>
          <w:sz w:val="24"/>
          <w:szCs w:val="24"/>
          <w:lang w:val="en-US"/>
        </w:rPr>
      </w:pPr>
    </w:p>
    <w:p w14:paraId="667E5DC7" w14:textId="77777777" w:rsidR="009905E2" w:rsidRDefault="0071727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References</w:t>
      </w:r>
    </w:p>
    <w:p w14:paraId="2FAC8362"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DA7DED">
        <w:rPr>
          <w:rFonts w:ascii="Times New Roman" w:eastAsia="Times New Roman" w:hAnsi="Times New Roman" w:cs="Times New Roman"/>
          <w:color w:val="222222"/>
          <w:sz w:val="24"/>
          <w:szCs w:val="24"/>
          <w:highlight w:val="yellow"/>
        </w:rPr>
        <w:t>Ahmed, R., &amp; Dutta, S. (2022). Sustainability of floodplain wetland fisheries in Assam, India. Environmental Monitoring and Assessment, 194, 1–15.</w:t>
      </w:r>
    </w:p>
    <w:p w14:paraId="08392551"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DA7DED">
        <w:rPr>
          <w:rFonts w:ascii="Times New Roman" w:eastAsia="Times New Roman" w:hAnsi="Times New Roman" w:cs="Times New Roman"/>
          <w:color w:val="222222"/>
          <w:sz w:val="24"/>
          <w:szCs w:val="24"/>
          <w:highlight w:val="yellow"/>
        </w:rPr>
        <w:t>Assam Remote Sensing Centre. (2023). Geospatial assessment of wetlands in Assam. Government of Assam.</w:t>
      </w:r>
    </w:p>
    <w:p w14:paraId="13593852"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Barman, B. K., Karim, M., &amp; Thilsted, S. H. (2021). Community-based fisheries management and nutrition outcomes in floodplain wetlands. Aquaculture and Fisheries, 6(3), 243–251.</w:t>
      </w:r>
    </w:p>
    <w:p w14:paraId="60D2557D"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Belton, B., Thilsted, S. H., Little, D. C., &amp; Murray, F. J. (2014). Fish in the food and nutrition security of the poor and vulnerable. WorldFish, Penang, Malaysia.</w:t>
      </w:r>
    </w:p>
    <w:p w14:paraId="002682FE"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A7DED">
        <w:rPr>
          <w:rFonts w:ascii="Times New Roman" w:eastAsia="Times New Roman" w:hAnsi="Times New Roman" w:cs="Times New Roman"/>
          <w:color w:val="222222"/>
          <w:sz w:val="24"/>
          <w:szCs w:val="24"/>
        </w:rPr>
        <w:t>Bhattacharjya</w:t>
      </w:r>
      <w:proofErr w:type="spellEnd"/>
      <w:r w:rsidRPr="00DA7DED">
        <w:rPr>
          <w:rFonts w:ascii="Times New Roman" w:eastAsia="Times New Roman" w:hAnsi="Times New Roman" w:cs="Times New Roman"/>
          <w:color w:val="222222"/>
          <w:sz w:val="24"/>
          <w:szCs w:val="24"/>
        </w:rPr>
        <w:t>, B. K., Sharma, A. P., &amp; Sugunan, V. V. (2020). Wetland fisheries of India: Issues, management and conservation. Journal of Inland Fisheries Society of India, 52(2), 1–12.</w:t>
      </w:r>
    </w:p>
    <w:p w14:paraId="607BF0EF"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DA7DED">
        <w:rPr>
          <w:rFonts w:ascii="Times New Roman" w:eastAsia="Times New Roman" w:hAnsi="Times New Roman" w:cs="Times New Roman"/>
          <w:color w:val="222222"/>
          <w:sz w:val="24"/>
          <w:szCs w:val="24"/>
          <w:highlight w:val="yellow"/>
        </w:rPr>
        <w:t>Bogard, J. R., Farook, S., Marks, G. C., et al. (2019). Higher fish consumption is associated with improved micronutrient status. Public Health Nutrition, 22(15), 1–10.</w:t>
      </w:r>
    </w:p>
    <w:p w14:paraId="0DD6F68B"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 xml:space="preserve">Britz, R., Conway, K. W., &amp; </w:t>
      </w:r>
      <w:proofErr w:type="spellStart"/>
      <w:r w:rsidRPr="00DA7DED">
        <w:rPr>
          <w:rFonts w:ascii="Times New Roman" w:eastAsia="Times New Roman" w:hAnsi="Times New Roman" w:cs="Times New Roman"/>
          <w:color w:val="222222"/>
          <w:sz w:val="24"/>
          <w:szCs w:val="24"/>
          <w:highlight w:val="yellow"/>
        </w:rPr>
        <w:t>Rüber</w:t>
      </w:r>
      <w:proofErr w:type="spellEnd"/>
      <w:r w:rsidRPr="00DA7DED">
        <w:rPr>
          <w:rFonts w:ascii="Times New Roman" w:eastAsia="Times New Roman" w:hAnsi="Times New Roman" w:cs="Times New Roman"/>
          <w:color w:val="222222"/>
          <w:sz w:val="24"/>
          <w:szCs w:val="24"/>
          <w:highlight w:val="yellow"/>
        </w:rPr>
        <w:t>, L. (2021). Miniatures, morphology and diversity in South Asian freshwater fishes. Journal of Fish Biology, 99(1), 1–15.</w:t>
      </w:r>
    </w:p>
    <w:p w14:paraId="0ABCDBB6"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Das, P., Saikia, A. K., &amp; Gogoi, R. (2022). Status of freshwater biodiversity in Assam wetlands. Wetlands Ecology and Management, 30, 345–358.</w:t>
      </w:r>
    </w:p>
    <w:p w14:paraId="0A4584DA"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Datta, S., Sarkar, U. K., &amp; Pathak, A. K. (2022). Floodplain connectivity and inland fisheries sustainability in India. Reviews in Fish Biology and Fisheries, 32, 899–915.</w:t>
      </w:r>
    </w:p>
    <w:p w14:paraId="2806475C"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A7DED">
        <w:rPr>
          <w:rFonts w:ascii="Times New Roman" w:eastAsia="Times New Roman" w:hAnsi="Times New Roman" w:cs="Times New Roman"/>
          <w:color w:val="222222"/>
          <w:sz w:val="24"/>
          <w:szCs w:val="24"/>
        </w:rPr>
        <w:t>Duarah</w:t>
      </w:r>
      <w:proofErr w:type="spellEnd"/>
      <w:r w:rsidRPr="00DA7DED">
        <w:rPr>
          <w:rFonts w:ascii="Times New Roman" w:eastAsia="Times New Roman" w:hAnsi="Times New Roman" w:cs="Times New Roman"/>
          <w:color w:val="222222"/>
          <w:sz w:val="24"/>
          <w:szCs w:val="24"/>
        </w:rPr>
        <w:t>, A., &amp; Das, B. K. (2019). Small indigenous freshwater fish species of Assam: Diversity, nutritional importance and conservation needs. International Journal of Fisheries and Aquatic Studies, 7(2), 23–29.</w:t>
      </w:r>
    </w:p>
    <w:p w14:paraId="13EC55B0"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Dutta, R., Deka, J., &amp; Dutta, A. (2015). Impact of agricultural intensification on wetlands of Assam. Environmental Ecology, 33(3), 1124–1130.</w:t>
      </w:r>
    </w:p>
    <w:p w14:paraId="6C9FFC6E"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FAO. (2022). Inland fisheries and sustainable wetland management in South Asia. FAO Fisheries Technical Paper.</w:t>
      </w:r>
    </w:p>
    <w:p w14:paraId="50A3EA57"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DA7DED">
        <w:rPr>
          <w:rFonts w:ascii="Times New Roman" w:eastAsia="Times New Roman" w:hAnsi="Times New Roman" w:cs="Times New Roman"/>
          <w:color w:val="222222"/>
          <w:sz w:val="24"/>
          <w:szCs w:val="24"/>
          <w:highlight w:val="yellow"/>
        </w:rPr>
        <w:t>Gogoi, P., Borah, S., &amp; Deka, J. (2021). Climate variability and wetland hydrology in Assam. Journal of Environmental Management, 285, 112–123.</w:t>
      </w:r>
    </w:p>
    <w:p w14:paraId="3B61F87A"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Golden, C. D., Seto, K. L., &amp; Dey, M. M. (2021). Aquatic foods and nutrition security. Nature, 597, 315–320.</w:t>
      </w:r>
    </w:p>
    <w:p w14:paraId="3886373D"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lastRenderedPageBreak/>
        <w:t>Government of Assam. (2024). Wetland status report of Assam districts. Department of Fisheries, Government of Assam.</w:t>
      </w:r>
    </w:p>
    <w:p w14:paraId="1001ED9D"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IPCC. (2023). Sixth Assessment Report: Impacts, Adaptation and Vulnerability. Intergovernmental Panel on Climate Change.</w:t>
      </w:r>
    </w:p>
    <w:p w14:paraId="35055A55"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highlight w:val="yellow"/>
        </w:rPr>
      </w:pPr>
      <w:r w:rsidRPr="00DA7DED">
        <w:rPr>
          <w:rFonts w:ascii="Times New Roman" w:eastAsia="Times New Roman" w:hAnsi="Times New Roman" w:cs="Times New Roman"/>
          <w:color w:val="222222"/>
          <w:sz w:val="24"/>
          <w:szCs w:val="24"/>
          <w:highlight w:val="yellow"/>
        </w:rPr>
        <w:t>Kullander, S. O., Liao, T. Y., &amp; Fang, F. (2019). Revision of Danio and allied genera. Ichthyological Exploration of Freshwaters, 30, 1–92.</w:t>
      </w:r>
    </w:p>
    <w:p w14:paraId="29672E7F"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 xml:space="preserve">Poff, N. L., Olden, J. D., &amp; Merritt, D. M. (2020). Functional connectivity in river ecosystems. </w:t>
      </w:r>
      <w:proofErr w:type="spellStart"/>
      <w:r w:rsidRPr="00DA7DED">
        <w:rPr>
          <w:rFonts w:ascii="Times New Roman" w:eastAsia="Times New Roman" w:hAnsi="Times New Roman" w:cs="Times New Roman"/>
          <w:color w:val="222222"/>
          <w:sz w:val="24"/>
          <w:szCs w:val="24"/>
          <w:highlight w:val="yellow"/>
        </w:rPr>
        <w:t>BioScience</w:t>
      </w:r>
      <w:proofErr w:type="spellEnd"/>
      <w:r w:rsidRPr="00DA7DED">
        <w:rPr>
          <w:rFonts w:ascii="Times New Roman" w:eastAsia="Times New Roman" w:hAnsi="Times New Roman" w:cs="Times New Roman"/>
          <w:color w:val="222222"/>
          <w:sz w:val="24"/>
          <w:szCs w:val="24"/>
          <w:highlight w:val="yellow"/>
        </w:rPr>
        <w:t>, 70(7), 1–14.</w:t>
      </w:r>
    </w:p>
    <w:p w14:paraId="766F79C7"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A7DED">
        <w:rPr>
          <w:rFonts w:ascii="Times New Roman" w:eastAsia="Times New Roman" w:hAnsi="Times New Roman" w:cs="Times New Roman"/>
          <w:color w:val="222222"/>
          <w:sz w:val="24"/>
          <w:szCs w:val="24"/>
        </w:rPr>
        <w:t>Roos</w:t>
      </w:r>
      <w:proofErr w:type="spellEnd"/>
      <w:r w:rsidRPr="00DA7DED">
        <w:rPr>
          <w:rFonts w:ascii="Times New Roman" w:eastAsia="Times New Roman" w:hAnsi="Times New Roman" w:cs="Times New Roman"/>
          <w:color w:val="222222"/>
          <w:sz w:val="24"/>
          <w:szCs w:val="24"/>
        </w:rPr>
        <w:t>, N., Islam, M. M., &amp; Thilsted, S. H. (2007). Small indigenous fish species in Bangladesh: Contribution to vitamin A, calcium and iron intakes. Journal of Nutrition, 137(11), 2605–2609.</w:t>
      </w:r>
    </w:p>
    <w:p w14:paraId="2D9FB79D"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 xml:space="preserve">Saikia, P., Baruah, D., &amp; </w:t>
      </w:r>
      <w:proofErr w:type="spellStart"/>
      <w:r w:rsidRPr="00DA7DED">
        <w:rPr>
          <w:rFonts w:ascii="Times New Roman" w:eastAsia="Times New Roman" w:hAnsi="Times New Roman" w:cs="Times New Roman"/>
          <w:color w:val="222222"/>
          <w:sz w:val="24"/>
          <w:szCs w:val="24"/>
          <w:highlight w:val="yellow"/>
        </w:rPr>
        <w:t>Bhattacharjya</w:t>
      </w:r>
      <w:proofErr w:type="spellEnd"/>
      <w:r w:rsidRPr="00DA7DED">
        <w:rPr>
          <w:rFonts w:ascii="Times New Roman" w:eastAsia="Times New Roman" w:hAnsi="Times New Roman" w:cs="Times New Roman"/>
          <w:color w:val="222222"/>
          <w:sz w:val="24"/>
          <w:szCs w:val="24"/>
          <w:highlight w:val="yellow"/>
        </w:rPr>
        <w:t xml:space="preserve">, B. K. (2020). Fishery potential of </w:t>
      </w:r>
      <w:proofErr w:type="spellStart"/>
      <w:r w:rsidRPr="00DA7DED">
        <w:rPr>
          <w:rFonts w:ascii="Times New Roman" w:eastAsia="Times New Roman" w:hAnsi="Times New Roman" w:cs="Times New Roman"/>
          <w:color w:val="222222"/>
          <w:sz w:val="24"/>
          <w:szCs w:val="24"/>
          <w:highlight w:val="yellow"/>
        </w:rPr>
        <w:t>beels</w:t>
      </w:r>
      <w:proofErr w:type="spellEnd"/>
      <w:r w:rsidRPr="00DA7DED">
        <w:rPr>
          <w:rFonts w:ascii="Times New Roman" w:eastAsia="Times New Roman" w:hAnsi="Times New Roman" w:cs="Times New Roman"/>
          <w:color w:val="222222"/>
          <w:sz w:val="24"/>
          <w:szCs w:val="24"/>
          <w:highlight w:val="yellow"/>
        </w:rPr>
        <w:t xml:space="preserve"> of Assam. Journal of Inland Fisheries Society of India, 52(1), 45–55.</w:t>
      </w:r>
    </w:p>
    <w:p w14:paraId="6353C04C"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Sarkar, U. K. (2010). Conservation of small indigenous fish species (SIFs) of India: Issues and approaches. National Bureau of Fish Genetic Resources, Lucknow.</w:t>
      </w:r>
    </w:p>
    <w:p w14:paraId="1F0521A4"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Sarkar, U. K., Kumar, R., &amp; Dubey, V. K. (2023). Emerging threats to inland fish diversity in India. Current Science, 124(6), 701–709.</w:t>
      </w:r>
    </w:p>
    <w:p w14:paraId="22E857FD"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Sarkar, U. K., Pathak, A. K., &amp; Lakra, W. S. (2012). Conservation of freshwater fish resources of India: Issues, challenges and strategies. Reviews in Fish Biology and Fisheries, 22(2), 251–272.</w:t>
      </w:r>
    </w:p>
    <w:p w14:paraId="46843C5B"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highlight w:val="yellow"/>
        </w:rPr>
        <w:t>Singh, A. K., &amp; Gupta, S. (2020). Secondary data approaches in fisheries research. Indian Journal of Fisheries, 67(4), 1–9.</w:t>
      </w:r>
    </w:p>
    <w:p w14:paraId="5A0C58C8"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 xml:space="preserve">Talwar, P. K., &amp; </w:t>
      </w:r>
      <w:proofErr w:type="spellStart"/>
      <w:r w:rsidRPr="00DA7DED">
        <w:rPr>
          <w:rFonts w:ascii="Times New Roman" w:eastAsia="Times New Roman" w:hAnsi="Times New Roman" w:cs="Times New Roman"/>
          <w:color w:val="222222"/>
          <w:sz w:val="24"/>
          <w:szCs w:val="24"/>
        </w:rPr>
        <w:t>Jhingran</w:t>
      </w:r>
      <w:proofErr w:type="spellEnd"/>
      <w:r w:rsidRPr="00DA7DED">
        <w:rPr>
          <w:rFonts w:ascii="Times New Roman" w:eastAsia="Times New Roman" w:hAnsi="Times New Roman" w:cs="Times New Roman"/>
          <w:color w:val="222222"/>
          <w:sz w:val="24"/>
          <w:szCs w:val="24"/>
        </w:rPr>
        <w:t xml:space="preserve">, A. G. (1991). Inland fishes of India and adjacent countries. Vols. I &amp; II. Oxford &amp; IBH Publishing Co. </w:t>
      </w:r>
      <w:proofErr w:type="spellStart"/>
      <w:r w:rsidRPr="00DA7DED">
        <w:rPr>
          <w:rFonts w:ascii="Times New Roman" w:eastAsia="Times New Roman" w:hAnsi="Times New Roman" w:cs="Times New Roman"/>
          <w:color w:val="222222"/>
          <w:sz w:val="24"/>
          <w:szCs w:val="24"/>
        </w:rPr>
        <w:t>Pvt.</w:t>
      </w:r>
      <w:proofErr w:type="spellEnd"/>
      <w:r w:rsidRPr="00DA7DED">
        <w:rPr>
          <w:rFonts w:ascii="Times New Roman" w:eastAsia="Times New Roman" w:hAnsi="Times New Roman" w:cs="Times New Roman"/>
          <w:color w:val="222222"/>
          <w:sz w:val="24"/>
          <w:szCs w:val="24"/>
        </w:rPr>
        <w:t xml:space="preserve"> Ltd., New Delhi.</w:t>
      </w:r>
    </w:p>
    <w:p w14:paraId="26B6D5D0"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Thilsted, S. H., Bogard, J. R., &amp; Belton, B. (2023). Nutrient-rich small fish in aquatic food systems: Importance for nutrition-sensitive approaches. Global Food Security, 36, 100657.</w:t>
      </w:r>
    </w:p>
    <w:p w14:paraId="4F354848"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Thilsted, S. H., Thorne-Lyman, A., Webb, P., Bogard, J. R., Subasinghe, R., Phillips, M. J., &amp; Allison, E. H. (2016). Sustaining healthy diets: The role of capture fisheries and aquaculture for improving nutrition in the post-2015 era. Food Policy, 61, 126–131.</w:t>
      </w:r>
    </w:p>
    <w:p w14:paraId="4A22C314" w14:textId="77777777"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r w:rsidRPr="00DA7DED">
        <w:rPr>
          <w:rFonts w:ascii="Times New Roman" w:eastAsia="Times New Roman" w:hAnsi="Times New Roman" w:cs="Times New Roman"/>
          <w:color w:val="222222"/>
          <w:sz w:val="24"/>
          <w:szCs w:val="24"/>
        </w:rPr>
        <w:t xml:space="preserve">Vishwanath, W., Ng, H. H., &amp; </w:t>
      </w:r>
      <w:proofErr w:type="spellStart"/>
      <w:r w:rsidRPr="00DA7DED">
        <w:rPr>
          <w:rFonts w:ascii="Times New Roman" w:eastAsia="Times New Roman" w:hAnsi="Times New Roman" w:cs="Times New Roman"/>
          <w:color w:val="222222"/>
          <w:sz w:val="24"/>
          <w:szCs w:val="24"/>
        </w:rPr>
        <w:t>Lalramliana</w:t>
      </w:r>
      <w:proofErr w:type="spellEnd"/>
      <w:r w:rsidRPr="00DA7DED">
        <w:rPr>
          <w:rFonts w:ascii="Times New Roman" w:eastAsia="Times New Roman" w:hAnsi="Times New Roman" w:cs="Times New Roman"/>
          <w:color w:val="222222"/>
          <w:sz w:val="24"/>
          <w:szCs w:val="24"/>
        </w:rPr>
        <w:t xml:space="preserve">. (2007). The status and distribution of freshwater fishes of the Eastern Himalaya region. In: </w:t>
      </w:r>
      <w:proofErr w:type="spellStart"/>
      <w:r w:rsidRPr="00DA7DED">
        <w:rPr>
          <w:rFonts w:ascii="Times New Roman" w:eastAsia="Times New Roman" w:hAnsi="Times New Roman" w:cs="Times New Roman"/>
          <w:color w:val="222222"/>
          <w:sz w:val="24"/>
          <w:szCs w:val="24"/>
        </w:rPr>
        <w:t>Molur</w:t>
      </w:r>
      <w:proofErr w:type="spellEnd"/>
      <w:r w:rsidRPr="00DA7DED">
        <w:rPr>
          <w:rFonts w:ascii="Times New Roman" w:eastAsia="Times New Roman" w:hAnsi="Times New Roman" w:cs="Times New Roman"/>
          <w:color w:val="222222"/>
          <w:sz w:val="24"/>
          <w:szCs w:val="24"/>
        </w:rPr>
        <w:t>, S., et al. (Eds.), Status of Freshwater Fishes of India. Zoo Outreach Organisation, Coimbatore.</w:t>
      </w:r>
    </w:p>
    <w:p w14:paraId="32A2B6B3" w14:textId="4C2AFA36" w:rsidR="00604541" w:rsidRPr="00DA7DED" w:rsidRDefault="00604541" w:rsidP="00DA7DED">
      <w:pPr>
        <w:pStyle w:val="ListParagraph"/>
        <w:numPr>
          <w:ilvl w:val="0"/>
          <w:numId w:val="1"/>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A7DED">
        <w:rPr>
          <w:rFonts w:ascii="Times New Roman" w:eastAsia="Times New Roman" w:hAnsi="Times New Roman" w:cs="Times New Roman"/>
          <w:color w:val="222222"/>
          <w:sz w:val="24"/>
          <w:szCs w:val="24"/>
        </w:rPr>
        <w:lastRenderedPageBreak/>
        <w:t>Welcomme</w:t>
      </w:r>
      <w:proofErr w:type="spellEnd"/>
      <w:r w:rsidRPr="00DA7DED">
        <w:rPr>
          <w:rFonts w:ascii="Times New Roman" w:eastAsia="Times New Roman" w:hAnsi="Times New Roman" w:cs="Times New Roman"/>
          <w:color w:val="222222"/>
          <w:sz w:val="24"/>
          <w:szCs w:val="24"/>
        </w:rPr>
        <w:t>, R. L. (2001). Inland fisheries: Ecology and management. Food and Agriculture Organization (FAO) &amp; Blackwell Science, Oxford.</w:t>
      </w:r>
    </w:p>
    <w:p w14:paraId="7C7CDA19" w14:textId="77777777" w:rsidR="00604541" w:rsidRDefault="00604541">
      <w:pPr>
        <w:shd w:val="clear" w:color="auto" w:fill="FFFFFF"/>
        <w:spacing w:after="0" w:line="360" w:lineRule="auto"/>
        <w:jc w:val="both"/>
        <w:rPr>
          <w:rFonts w:ascii="Times New Roman" w:eastAsia="Times New Roman" w:hAnsi="Times New Roman" w:cs="Times New Roman"/>
          <w:b/>
          <w:bCs/>
          <w:color w:val="222222"/>
          <w:sz w:val="24"/>
          <w:szCs w:val="24"/>
        </w:rPr>
      </w:pPr>
    </w:p>
    <w:sectPr w:rsidR="0060454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F68FC6-31B2-4835-9567-BC6A3E8AD7A7}"/>
    <w:embedItalic r:id="rId2" w:fontKey="{E7AD454E-7D25-4FFE-AC3D-821002349664}"/>
  </w:font>
  <w:font w:name="Vrinda">
    <w:panose1 w:val="00000400000000000000"/>
    <w:charset w:val="00"/>
    <w:family w:val="swiss"/>
    <w:pitch w:val="variable"/>
    <w:sig w:usb0="00010003" w:usb1="00000000" w:usb2="00000000" w:usb3="00000000" w:csb0="00000001" w:csb1="00000000"/>
    <w:embedRegular r:id="rId3" w:fontKey="{DF8BD3B6-5E43-4A20-9518-BD06D3260BC3}"/>
    <w:embedItalic r:id="rId4" w:fontKey="{1FBC374D-C9DC-4700-A1EE-78F0FC8E77FA}"/>
  </w:font>
  <w:font w:name="Calibri Light">
    <w:panose1 w:val="020F0302020204030204"/>
    <w:charset w:val="00"/>
    <w:family w:val="swiss"/>
    <w:pitch w:val="variable"/>
    <w:sig w:usb0="E4002EFF" w:usb1="C200247B" w:usb2="00000009" w:usb3="00000000" w:csb0="000001FF" w:csb1="00000000"/>
    <w:embedRegular r:id="rId5" w:fontKey="{6D8CBBDC-E7C5-4CF0-8B5F-2DD52089AC5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A1259"/>
    <w:multiLevelType w:val="hybridMultilevel"/>
    <w:tmpl w:val="2840A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233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5E2"/>
    <w:rsid w:val="000905C1"/>
    <w:rsid w:val="001C0CF4"/>
    <w:rsid w:val="00604541"/>
    <w:rsid w:val="00717275"/>
    <w:rsid w:val="007B1DF7"/>
    <w:rsid w:val="008A0B1E"/>
    <w:rsid w:val="008B25D9"/>
    <w:rsid w:val="0092497E"/>
    <w:rsid w:val="00941E64"/>
    <w:rsid w:val="009905E2"/>
    <w:rsid w:val="00AC0229"/>
    <w:rsid w:val="00B90C39"/>
    <w:rsid w:val="00C36D67"/>
    <w:rsid w:val="00C4120B"/>
    <w:rsid w:val="00DA3FEE"/>
    <w:rsid w:val="00DA7DED"/>
    <w:rsid w:val="00F17691"/>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D519"/>
  <w15:docId w15:val="{D87B6C64-1398-405B-9A82-6FCC2E2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A75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5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5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A75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5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5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5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5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5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5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5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56F"/>
    <w:rPr>
      <w:rFonts w:eastAsiaTheme="majorEastAsia" w:cstheme="majorBidi"/>
      <w:color w:val="272727" w:themeColor="text1" w:themeTint="D8"/>
    </w:rPr>
  </w:style>
  <w:style w:type="character" w:customStyle="1" w:styleId="TitleChar">
    <w:name w:val="Title Char"/>
    <w:basedOn w:val="DefaultParagraphFont"/>
    <w:link w:val="Title"/>
    <w:uiPriority w:val="10"/>
    <w:rsid w:val="002A756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75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56F"/>
    <w:pPr>
      <w:spacing w:before="160"/>
      <w:jc w:val="center"/>
    </w:pPr>
    <w:rPr>
      <w:i/>
      <w:iCs/>
      <w:color w:val="404040" w:themeColor="text1" w:themeTint="BF"/>
    </w:rPr>
  </w:style>
  <w:style w:type="character" w:customStyle="1" w:styleId="QuoteChar">
    <w:name w:val="Quote Char"/>
    <w:basedOn w:val="DefaultParagraphFont"/>
    <w:link w:val="Quote"/>
    <w:uiPriority w:val="29"/>
    <w:rsid w:val="002A756F"/>
    <w:rPr>
      <w:i/>
      <w:iCs/>
      <w:color w:val="404040" w:themeColor="text1" w:themeTint="BF"/>
    </w:rPr>
  </w:style>
  <w:style w:type="paragraph" w:styleId="ListParagraph">
    <w:name w:val="List Paragraph"/>
    <w:basedOn w:val="Normal"/>
    <w:uiPriority w:val="34"/>
    <w:qFormat/>
    <w:rsid w:val="002A756F"/>
    <w:pPr>
      <w:ind w:left="720"/>
      <w:contextualSpacing/>
    </w:pPr>
  </w:style>
  <w:style w:type="character" w:styleId="IntenseEmphasis">
    <w:name w:val="Intense Emphasis"/>
    <w:basedOn w:val="DefaultParagraphFont"/>
    <w:uiPriority w:val="21"/>
    <w:qFormat/>
    <w:rsid w:val="002A756F"/>
    <w:rPr>
      <w:i/>
      <w:iCs/>
      <w:color w:val="2F5496" w:themeColor="accent1" w:themeShade="BF"/>
    </w:rPr>
  </w:style>
  <w:style w:type="paragraph" w:styleId="IntenseQuote">
    <w:name w:val="Intense Quote"/>
    <w:basedOn w:val="Normal"/>
    <w:next w:val="Normal"/>
    <w:link w:val="IntenseQuoteChar"/>
    <w:uiPriority w:val="30"/>
    <w:qFormat/>
    <w:rsid w:val="002A75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56F"/>
    <w:rPr>
      <w:i/>
      <w:iCs/>
      <w:color w:val="2F5496" w:themeColor="accent1" w:themeShade="BF"/>
    </w:rPr>
  </w:style>
  <w:style w:type="character" w:styleId="IntenseReference">
    <w:name w:val="Intense Reference"/>
    <w:basedOn w:val="DefaultParagraphFont"/>
    <w:uiPriority w:val="32"/>
    <w:qFormat/>
    <w:rsid w:val="002A756F"/>
    <w:rPr>
      <w:b/>
      <w:bCs/>
      <w:smallCaps/>
      <w:color w:val="2F5496" w:themeColor="accent1" w:themeShade="BF"/>
      <w:spacing w:val="5"/>
    </w:rPr>
  </w:style>
  <w:style w:type="table" w:styleId="TableGrid">
    <w:name w:val="Table Grid"/>
    <w:basedOn w:val="TableNormal"/>
    <w:uiPriority w:val="39"/>
    <w:rsid w:val="00D0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FE6"/>
  </w:style>
  <w:style w:type="paragraph" w:styleId="Footer">
    <w:name w:val="footer"/>
    <w:basedOn w:val="Normal"/>
    <w:link w:val="FooterChar"/>
    <w:uiPriority w:val="99"/>
    <w:unhideWhenUsed/>
    <w:rsid w:val="00BF0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FE6"/>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Spacing">
    <w:name w:val="No Spacing"/>
    <w:uiPriority w:val="1"/>
    <w:qFormat/>
    <w:rsid w:val="00AC0229"/>
    <w:pPr>
      <w:spacing w:after="0"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TDyuocaeyDMp+k8eo36Lswlg==">CgMxLjA4AHIhMVhaRWVNcnNkRUhqSkhxVllBeWVvNDJtQzBnWm1LVGFa</go:docsCustomData>
</go:gDocsCustomXmlDataStorage>
</file>

<file path=customXml/itemProps1.xml><?xml version="1.0" encoding="utf-8"?>
<ds:datastoreItem xmlns:ds="http://schemas.openxmlformats.org/officeDocument/2006/customXml" ds:itemID="{CB333317-DCFA-4B2A-8601-347CAA69C1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3659</Words>
  <Characters>20858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bhargov borah</dc:creator>
  <cp:lastModifiedBy>Editor-90</cp:lastModifiedBy>
  <cp:revision>4</cp:revision>
  <dcterms:created xsi:type="dcterms:W3CDTF">2026-01-31T15:27:00Z</dcterms:created>
  <dcterms:modified xsi:type="dcterms:W3CDTF">2026-02-02T08:27:00Z</dcterms:modified>
</cp:coreProperties>
</file>