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783D" w14:textId="3BBA2C75" w:rsidR="00E162D8" w:rsidRPr="00E162D8" w:rsidRDefault="00902182" w:rsidP="00E162D8">
      <w:pPr>
        <w:pStyle w:val="Title"/>
        <w:jc w:val="center"/>
        <w:rPr>
          <w:rFonts w:ascii="Arial" w:hAnsi="Arial" w:cs="Arial"/>
          <w:sz w:val="30"/>
          <w:szCs w:val="30"/>
        </w:rPr>
      </w:pPr>
      <w:r w:rsidRPr="00E162D8">
        <w:rPr>
          <w:rFonts w:ascii="Arial" w:hAnsi="Arial" w:cs="Arial"/>
          <w:sz w:val="30"/>
          <w:szCs w:val="30"/>
        </w:rPr>
        <w:t xml:space="preserve">Effect of Jeevamruth and Millet-Based Biofloc on Hepatosomatic and Intestinal Somatic Indices of </w:t>
      </w:r>
      <w:r w:rsidRPr="00E162D8">
        <w:rPr>
          <w:rFonts w:ascii="Arial" w:hAnsi="Arial" w:cs="Arial"/>
          <w:i/>
          <w:iCs/>
          <w:sz w:val="30"/>
          <w:szCs w:val="30"/>
        </w:rPr>
        <w:t>Labeo rohita</w:t>
      </w:r>
      <w:r w:rsidRPr="00E162D8">
        <w:rPr>
          <w:rFonts w:ascii="Arial" w:hAnsi="Arial" w:cs="Arial"/>
          <w:sz w:val="30"/>
          <w:szCs w:val="30"/>
        </w:rPr>
        <w:t xml:space="preserve"> in </w:t>
      </w:r>
      <w:r w:rsidR="00E162D8" w:rsidRPr="00E162D8">
        <w:rPr>
          <w:rFonts w:ascii="Arial" w:hAnsi="Arial" w:cs="Arial"/>
          <w:sz w:val="30"/>
          <w:szCs w:val="30"/>
          <w:lang w:val="en-US"/>
        </w:rPr>
        <w:t>Integrated Aquaculture</w:t>
      </w:r>
      <w:r w:rsidR="00E162D8" w:rsidRPr="00E162D8">
        <w:rPr>
          <w:rFonts w:ascii="Arial" w:hAnsi="Arial" w:cs="Arial"/>
          <w:sz w:val="30"/>
          <w:szCs w:val="30"/>
        </w:rPr>
        <w:t xml:space="preserve"> </w:t>
      </w:r>
    </w:p>
    <w:p w14:paraId="20334BDB" w14:textId="77777777" w:rsidR="00E162D8" w:rsidRDefault="00E162D8" w:rsidP="00E162D8">
      <w:pPr>
        <w:pStyle w:val="Title"/>
        <w:jc w:val="center"/>
        <w:rPr>
          <w:rFonts w:ascii="Arial" w:hAnsi="Arial" w:cs="Arial"/>
          <w:sz w:val="20"/>
          <w:szCs w:val="20"/>
        </w:rPr>
      </w:pPr>
    </w:p>
    <w:p w14:paraId="7A203387" w14:textId="6C65EBDD" w:rsidR="00352F59" w:rsidRPr="000F1DEA" w:rsidRDefault="00352F59" w:rsidP="00352F59">
      <w:pPr>
        <w:rPr>
          <w:rFonts w:ascii="Arial" w:hAnsi="Arial" w:cs="Arial"/>
          <w:b/>
          <w:bCs/>
          <w:sz w:val="22"/>
          <w:szCs w:val="22"/>
        </w:rPr>
      </w:pPr>
      <w:r w:rsidRPr="000F1DEA">
        <w:rPr>
          <w:rFonts w:ascii="Arial" w:eastAsiaTheme="majorEastAsia" w:hAnsi="Arial" w:cs="Arial"/>
          <w:noProof/>
          <w:color w:val="000000" w:themeColor="text1"/>
          <w:spacing w:val="-10"/>
          <w:kern w:val="28"/>
        </w:rPr>
        <mc:AlternateContent>
          <mc:Choice Requires="wps">
            <w:drawing>
              <wp:anchor distT="0" distB="0" distL="114300" distR="114300" simplePos="0" relativeHeight="251659264" behindDoc="0" locked="0" layoutInCell="1" allowOverlap="1" wp14:anchorId="4065C04C" wp14:editId="02631B8A">
                <wp:simplePos x="0" y="0"/>
                <wp:positionH relativeFrom="column">
                  <wp:posOffset>40640</wp:posOffset>
                </wp:positionH>
                <wp:positionV relativeFrom="paragraph">
                  <wp:posOffset>57997</wp:posOffset>
                </wp:positionV>
                <wp:extent cx="5760720" cy="0"/>
                <wp:effectExtent l="0" t="0" r="0" b="0"/>
                <wp:wrapNone/>
                <wp:docPr id="90658471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0C87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4.55pt" to="4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" strokecolor="black [3200]" strokeweight="1pt">
                <v:stroke joinstyle="miter"/>
              </v:line>
            </w:pict>
          </mc:Fallback>
        </mc:AlternateContent>
      </w:r>
    </w:p>
    <w:p w14:paraId="794A6F96" w14:textId="580BF848" w:rsidR="00902182" w:rsidRPr="000F1DEA" w:rsidRDefault="0070616B" w:rsidP="0090218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1" locked="0" layoutInCell="1" allowOverlap="1" wp14:anchorId="44584006" wp14:editId="36F2A5AC">
                <wp:simplePos x="0" y="0"/>
                <wp:positionH relativeFrom="margin">
                  <wp:posOffset>-62345</wp:posOffset>
                </wp:positionH>
                <wp:positionV relativeFrom="paragraph">
                  <wp:posOffset>237375</wp:posOffset>
                </wp:positionV>
                <wp:extent cx="5872595" cy="2250497"/>
                <wp:effectExtent l="0" t="0" r="13970" b="16510"/>
                <wp:wrapNone/>
                <wp:docPr id="1239204923" name="Rectangle 2"/>
                <wp:cNvGraphicFramePr/>
                <a:graphic xmlns:a="http://schemas.openxmlformats.org/drawingml/2006/main">
                  <a:graphicData uri="http://schemas.microsoft.com/office/word/2010/wordprocessingShape">
                    <wps:wsp>
                      <wps:cNvSpPr/>
                      <wps:spPr>
                        <a:xfrm>
                          <a:off x="0" y="0"/>
                          <a:ext cx="5872595" cy="2250497"/>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0E026" id="Rectangle 2" o:spid="_x0000_s1026" style="position:absolute;margin-left:-4.9pt;margin-top:18.7pt;width:462.4pt;height:177.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" fillcolor="#e7e6e6 [3214]" strokecolor="#09101d [484]" strokeweight="1pt">
                <w10:wrap anchorx="margin"/>
              </v:rect>
            </w:pict>
          </mc:Fallback>
        </mc:AlternateContent>
      </w:r>
      <w:r w:rsidR="00902182" w:rsidRPr="000F1DEA">
        <w:rPr>
          <w:rFonts w:ascii="Arial" w:hAnsi="Arial" w:cs="Arial"/>
          <w:b/>
          <w:bCs/>
          <w:sz w:val="22"/>
          <w:szCs w:val="22"/>
        </w:rPr>
        <w:t xml:space="preserve">Abstract </w:t>
      </w:r>
    </w:p>
    <w:p w14:paraId="67612595" w14:textId="5D0E0ABA" w:rsidR="00902182" w:rsidRDefault="00BF2468" w:rsidP="0083337B">
      <w:pPr>
        <w:jc w:val="both"/>
        <w:rPr>
          <w:rFonts w:ascii="Arial" w:hAnsi="Arial" w:cs="Arial"/>
          <w:sz w:val="20"/>
          <w:szCs w:val="20"/>
        </w:rPr>
      </w:pPr>
      <w:r w:rsidRPr="00BF2468">
        <w:rPr>
          <w:rFonts w:ascii="Arial" w:hAnsi="Arial" w:cs="Arial"/>
          <w:sz w:val="20"/>
          <w:szCs w:val="20"/>
        </w:rPr>
        <w:t xml:space="preserve">This study evaluated the physiological effects of integrating Jeevamruth (a traditional microbial consortium) and millet-based biofloc technology on </w:t>
      </w:r>
      <w:r w:rsidRPr="00BF2468">
        <w:rPr>
          <w:rFonts w:ascii="Arial" w:hAnsi="Arial" w:cs="Arial"/>
          <w:i/>
          <w:iCs/>
          <w:sz w:val="20"/>
          <w:szCs w:val="20"/>
        </w:rPr>
        <w:t>Labeo rohita</w:t>
      </w:r>
      <w:r w:rsidRPr="00BF2468">
        <w:rPr>
          <w:rFonts w:ascii="Arial" w:hAnsi="Arial" w:cs="Arial"/>
          <w:sz w:val="20"/>
          <w:szCs w:val="20"/>
        </w:rPr>
        <w:t xml:space="preserve">. The experiment utilized a Completely Randomized Design (CRD) with five treatments: Control (C), Biofloc (T1), 0.5% Jeevamruth (T2), 1% Jeevamruth (T3), and Biofloc + 0.5% Jeevamruth (T4). A total of 45 fish (n=3 per tank) were sampled for Organosomatic analysis after a 60-day culture period. Results indicated that the Hepatosomatic Index (HSI) remained stable across all treatments (p &gt; 0.05), ranging from 1.19% to 1.62%, demonstrating that the organic amendments did not induce hepatic stress or toxicity. Conversely, the Intestinosomatic Index (ISI) showed significant variation (p &lt; 0.05), with the lowest value recorded in T4 (6.29 ± 0.37%) compared to the Control (9.57 ± 0.07%). This reduction in intestinal mass suggests enhanced nutrient assimilation and digestive efficiency driven by the synergistic microbial environment. The study concludes that combining Jeevamruth with biofloc creates a bio-secure, nutrient-rich rearing system that supports optimal physiological health in </w:t>
      </w:r>
      <w:r w:rsidRPr="00BF2468">
        <w:rPr>
          <w:rFonts w:ascii="Arial" w:hAnsi="Arial" w:cs="Arial"/>
          <w:i/>
          <w:iCs/>
          <w:sz w:val="20"/>
          <w:szCs w:val="20"/>
        </w:rPr>
        <w:t>Labeo rohita</w:t>
      </w:r>
      <w:r w:rsidRPr="00BF2468">
        <w:rPr>
          <w:rFonts w:ascii="Arial" w:hAnsi="Arial" w:cs="Arial"/>
          <w:sz w:val="20"/>
          <w:szCs w:val="20"/>
        </w:rPr>
        <w:t>, validating its potential for sustainable, low-input aquaculture.</w:t>
      </w:r>
    </w:p>
    <w:p w14:paraId="1905DAE8" w14:textId="7A6D264C" w:rsidR="00902182" w:rsidRPr="00EA7A34" w:rsidRDefault="00E62899" w:rsidP="00EA7A34">
      <w:pPr>
        <w:jc w:val="both"/>
        <w:rPr>
          <w:rFonts w:ascii="Arial" w:hAnsi="Arial" w:cs="Arial"/>
          <w:i/>
          <w:iCs/>
          <w:sz w:val="20"/>
          <w:szCs w:val="20"/>
        </w:rPr>
        <w:sectPr w:rsidR="00902182" w:rsidRPr="00EA7A34" w:rsidSect="00766E3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1964">
        <w:rPr>
          <w:rFonts w:ascii="Arial" w:hAnsi="Arial" w:cs="Arial"/>
          <w:i/>
          <w:iCs/>
          <w:sz w:val="20"/>
          <w:szCs w:val="20"/>
        </w:rPr>
        <w:t xml:space="preserve">Keywords: </w:t>
      </w:r>
      <w:r w:rsidR="00EA7A34" w:rsidRPr="00EA7A34">
        <w:rPr>
          <w:rFonts w:ascii="Arial" w:hAnsi="Arial" w:cs="Arial"/>
          <w:i/>
          <w:iCs/>
          <w:sz w:val="20"/>
          <w:szCs w:val="20"/>
        </w:rPr>
        <w:t xml:space="preserve">Jeevamruth; biofloc technology; </w:t>
      </w:r>
      <w:r w:rsidR="00636FA4" w:rsidRPr="00EA7A34">
        <w:rPr>
          <w:rFonts w:ascii="Arial" w:hAnsi="Arial" w:cs="Arial"/>
          <w:i/>
          <w:iCs/>
          <w:sz w:val="20"/>
          <w:szCs w:val="20"/>
        </w:rPr>
        <w:t>Organosomatic</w:t>
      </w:r>
      <w:r w:rsidR="00EA7A34" w:rsidRPr="00EA7A34">
        <w:rPr>
          <w:rFonts w:ascii="Arial" w:hAnsi="Arial" w:cs="Arial"/>
          <w:i/>
          <w:iCs/>
          <w:sz w:val="20"/>
          <w:szCs w:val="20"/>
        </w:rPr>
        <w:t xml:space="preserve"> indices; hepatosomatic index (HSI); intestinosomatic index (ISI); Labeo rohita; gut health; nutrient assimilation; sustainable aquaculture</w:t>
      </w:r>
    </w:p>
    <w:p w14:paraId="7FE1D0A4" w14:textId="7758ABD6" w:rsidR="00902182" w:rsidRPr="00432943" w:rsidRDefault="00B4644B" w:rsidP="00432943">
      <w:pPr>
        <w:pStyle w:val="ListParagraph"/>
        <w:numPr>
          <w:ilvl w:val="0"/>
          <w:numId w:val="1"/>
        </w:numPr>
        <w:rPr>
          <w:rFonts w:ascii="Arial" w:hAnsi="Arial" w:cs="Arial"/>
          <w:b/>
          <w:bCs/>
          <w:sz w:val="22"/>
          <w:szCs w:val="22"/>
        </w:rPr>
      </w:pPr>
      <w:r w:rsidRPr="00432943">
        <w:rPr>
          <w:rFonts w:ascii="Arial" w:hAnsi="Arial" w:cs="Arial"/>
          <w:b/>
          <w:bCs/>
          <w:sz w:val="22"/>
          <w:szCs w:val="22"/>
        </w:rPr>
        <w:t>INTRODUCTION</w:t>
      </w:r>
    </w:p>
    <w:p w14:paraId="44EAC62B" w14:textId="77777777" w:rsidR="00902182" w:rsidRPr="000F1DEA" w:rsidRDefault="00902182" w:rsidP="00902182">
      <w:pPr>
        <w:jc w:val="both"/>
        <w:rPr>
          <w:rFonts w:ascii="Arial" w:hAnsi="Arial" w:cs="Arial"/>
          <w:sz w:val="22"/>
          <w:szCs w:val="22"/>
        </w:rPr>
        <w:sectPr w:rsidR="00902182" w:rsidRPr="000F1DEA" w:rsidSect="00766E3E">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63A302BD" w14:textId="77777777" w:rsidR="009804AD" w:rsidRPr="009804AD" w:rsidRDefault="009804AD" w:rsidP="009804AD">
      <w:pPr>
        <w:ind w:firstLine="720"/>
        <w:jc w:val="both"/>
        <w:rPr>
          <w:rFonts w:ascii="Arial" w:hAnsi="Arial" w:cs="Arial"/>
          <w:sz w:val="20"/>
          <w:szCs w:val="20"/>
        </w:rPr>
      </w:pPr>
      <w:r w:rsidRPr="009804AD">
        <w:rPr>
          <w:rFonts w:ascii="Arial" w:hAnsi="Arial" w:cs="Arial"/>
          <w:sz w:val="20"/>
          <w:szCs w:val="20"/>
        </w:rPr>
        <w:t>Aquaculture is among the fastest-growing food production sectors worldwide and plays a crucial role in meeting the increasing demand for animal protein amid the stagnation and decline of capture fisheries. Intensive aquaculture practices, characterized by high stocking densities, often require frequent water exchange to control the accumulation of nitrogenous wastes. This practice results in the release of nutrient-rich effluents into adjacent natural water bodies, contributing to environmental degradation. In addition, feed costs represent a major component of operational expenditure, substantially reducing profit margins, particularly for small-scale farmers.</w:t>
      </w:r>
    </w:p>
    <w:p w14:paraId="7FAD03B8" w14:textId="2CDB68F7" w:rsidR="009804AD" w:rsidRPr="009804AD" w:rsidRDefault="009804AD" w:rsidP="009804AD">
      <w:pPr>
        <w:ind w:firstLine="720"/>
        <w:jc w:val="both"/>
        <w:rPr>
          <w:rFonts w:ascii="Arial" w:hAnsi="Arial" w:cs="Arial"/>
          <w:sz w:val="20"/>
          <w:szCs w:val="20"/>
        </w:rPr>
      </w:pPr>
      <w:r w:rsidRPr="009804AD">
        <w:rPr>
          <w:rFonts w:ascii="Arial" w:hAnsi="Arial" w:cs="Arial"/>
          <w:sz w:val="20"/>
          <w:szCs w:val="20"/>
        </w:rPr>
        <w:t>Biofloc Technology (BFT) is based on the manipulation of the carbon-to-nitrogen (C: N) ratio to promote the proliferation of heterotrophic bacteria that assimilate toxic ammonia into microbial biomass, thereby improving water quality while simultaneously providing an additional protein source (Avnimelech, 2009). Although BFT has proven effective, its dependence on commercially available probiotic inoculums increases production costs. Consequently, there is growing interest in exploring indigenous, low-cost microbial formulations such as Jeevamruth. Prepared using cow dung, cow urine, jaggery, pulse flour, and native soil, Jeevamruth is a diverse microbial consortium traditionally employed in natural farming systems. Despite its widespread use in agriculture, its application in aquaculture</w:t>
      </w:r>
      <w:r w:rsidR="003E7A4E">
        <w:rPr>
          <w:rFonts w:ascii="Arial" w:hAnsi="Arial" w:cs="Arial"/>
          <w:sz w:val="20"/>
          <w:szCs w:val="20"/>
        </w:rPr>
        <w:t xml:space="preserve"> </w:t>
      </w:r>
      <w:r w:rsidRPr="009804AD">
        <w:rPr>
          <w:rFonts w:ascii="Arial" w:hAnsi="Arial" w:cs="Arial"/>
          <w:sz w:val="20"/>
          <w:szCs w:val="20"/>
        </w:rPr>
        <w:t>particularly its physiological effects on cultured fish</w:t>
      </w:r>
      <w:r>
        <w:rPr>
          <w:rFonts w:ascii="Arial" w:hAnsi="Arial" w:cs="Arial"/>
          <w:sz w:val="20"/>
          <w:szCs w:val="20"/>
        </w:rPr>
        <w:t xml:space="preserve"> </w:t>
      </w:r>
      <w:r w:rsidRPr="009804AD">
        <w:rPr>
          <w:rFonts w:ascii="Arial" w:hAnsi="Arial" w:cs="Arial"/>
          <w:sz w:val="20"/>
          <w:szCs w:val="20"/>
        </w:rPr>
        <w:t>remains inadequately investigated.</w:t>
      </w:r>
    </w:p>
    <w:p w14:paraId="2B749BBD" w14:textId="77777777" w:rsidR="009804AD" w:rsidRPr="009804AD" w:rsidRDefault="009804AD" w:rsidP="009804AD">
      <w:pPr>
        <w:ind w:firstLine="720"/>
        <w:jc w:val="both"/>
        <w:rPr>
          <w:rFonts w:ascii="Arial" w:hAnsi="Arial" w:cs="Arial"/>
          <w:sz w:val="20"/>
          <w:szCs w:val="20"/>
        </w:rPr>
      </w:pPr>
      <w:r w:rsidRPr="009804AD">
        <w:rPr>
          <w:rFonts w:ascii="Arial" w:hAnsi="Arial" w:cs="Arial"/>
          <w:sz w:val="20"/>
          <w:szCs w:val="20"/>
        </w:rPr>
        <w:t>Physiological indices such as the hepatosomatic index (HSI) and intestinal somatic index (ISI) are commonly used in aquaculture to evaluate metabolic status, organ development, and overall health of fish. These indices serve as reliable indicators of nutritional condition, energy reserves, and digestive efficiency under varying dietary and environmental regimes (Manzoor et al., 2020; Yadav et al., 2025). The liver, as a primary site of lipid and glycogen metabolism, is highly responsive to changes in feed composition and water quality, whereas intestinal weight and morphology reflect nutrient absorption capacity and digestive performance (Gupta et al., 2025; Ramasubburayan &amp; Prakash, 2025).</w:t>
      </w:r>
    </w:p>
    <w:p w14:paraId="38981C0B" w14:textId="108B8151" w:rsidR="001722FD" w:rsidRDefault="00902182" w:rsidP="00245CE4">
      <w:pPr>
        <w:ind w:firstLine="720"/>
        <w:jc w:val="both"/>
        <w:rPr>
          <w:rFonts w:ascii="Arial" w:hAnsi="Arial" w:cs="Arial"/>
          <w:sz w:val="20"/>
          <w:szCs w:val="20"/>
        </w:rPr>
      </w:pPr>
      <w:r w:rsidRPr="00937E62">
        <w:rPr>
          <w:rFonts w:ascii="Arial" w:hAnsi="Arial" w:cs="Arial"/>
          <w:sz w:val="20"/>
          <w:szCs w:val="20"/>
        </w:rPr>
        <w:t xml:space="preserve">In </w:t>
      </w:r>
      <w:r w:rsidRPr="001722FD">
        <w:rPr>
          <w:rFonts w:ascii="Arial" w:hAnsi="Arial" w:cs="Arial"/>
          <w:i/>
          <w:iCs/>
          <w:sz w:val="20"/>
          <w:szCs w:val="20"/>
        </w:rPr>
        <w:t>Labeo rohita</w:t>
      </w:r>
      <w:r w:rsidRPr="00937E62">
        <w:rPr>
          <w:rFonts w:ascii="Arial" w:hAnsi="Arial" w:cs="Arial"/>
          <w:sz w:val="20"/>
          <w:szCs w:val="20"/>
        </w:rPr>
        <w:t xml:space="preserve"> (rohu), one of India’s most important aquaculture species, HSI and ISI have been used to monitor the effects of probiotic supplementation, plant extracts, and biofloc-mediated </w:t>
      </w:r>
      <w:r w:rsidRPr="00937E62">
        <w:rPr>
          <w:rFonts w:ascii="Arial" w:hAnsi="Arial" w:cs="Arial"/>
          <w:sz w:val="20"/>
          <w:szCs w:val="20"/>
        </w:rPr>
        <w:lastRenderedPageBreak/>
        <w:t xml:space="preserve">nutrition on fish health and performance. For instance, dietary supplementation with chia seed oil improved hepatosomatic and intestinal indices while modulating gut microbiota toward beneficial genera such as </w:t>
      </w:r>
      <w:r w:rsidRPr="00937E62">
        <w:rPr>
          <w:rFonts w:ascii="Arial" w:hAnsi="Arial" w:cs="Arial"/>
          <w:i/>
          <w:iCs/>
          <w:sz w:val="20"/>
          <w:szCs w:val="20"/>
        </w:rPr>
        <w:t>Lactobacillus</w:t>
      </w:r>
      <w:r w:rsidRPr="00937E62">
        <w:rPr>
          <w:rFonts w:ascii="Arial" w:hAnsi="Arial" w:cs="Arial"/>
          <w:sz w:val="20"/>
          <w:szCs w:val="20"/>
        </w:rPr>
        <w:t xml:space="preserve"> and </w:t>
      </w:r>
      <w:r w:rsidRPr="00937E62">
        <w:rPr>
          <w:rFonts w:ascii="Arial" w:hAnsi="Arial" w:cs="Arial"/>
          <w:i/>
          <w:iCs/>
          <w:sz w:val="20"/>
          <w:szCs w:val="20"/>
        </w:rPr>
        <w:t>Bacillus</w:t>
      </w:r>
      <w:r w:rsidRPr="00937E62">
        <w:rPr>
          <w:rFonts w:ascii="Arial" w:hAnsi="Arial" w:cs="Arial"/>
          <w:sz w:val="20"/>
          <w:szCs w:val="20"/>
        </w:rPr>
        <w:t xml:space="preserve"> (Gupta et al. 2025). Similarly, </w:t>
      </w:r>
      <w:proofErr w:type="spellStart"/>
      <w:r w:rsidRPr="00937E62">
        <w:rPr>
          <w:rFonts w:ascii="Arial" w:hAnsi="Arial" w:cs="Arial"/>
          <w:sz w:val="20"/>
          <w:szCs w:val="20"/>
        </w:rPr>
        <w:t>Khejri</w:t>
      </w:r>
      <w:proofErr w:type="spellEnd"/>
      <w:r w:rsidRPr="00937E62">
        <w:rPr>
          <w:rFonts w:ascii="Arial" w:hAnsi="Arial" w:cs="Arial"/>
          <w:sz w:val="20"/>
          <w:szCs w:val="20"/>
        </w:rPr>
        <w:t xml:space="preserve"> (</w:t>
      </w:r>
      <w:r w:rsidRPr="00937E62">
        <w:rPr>
          <w:rFonts w:ascii="Arial" w:hAnsi="Arial" w:cs="Arial"/>
          <w:i/>
          <w:iCs/>
          <w:sz w:val="20"/>
          <w:szCs w:val="20"/>
        </w:rPr>
        <w:t>Prosopis cineraria</w:t>
      </w:r>
      <w:r w:rsidRPr="00937E62">
        <w:rPr>
          <w:rFonts w:ascii="Arial" w:hAnsi="Arial" w:cs="Arial"/>
          <w:sz w:val="20"/>
          <w:szCs w:val="20"/>
        </w:rPr>
        <w:t>) seed extract enhanced metabolic enzyme activities and raised HSI and ISI values, indicating improved energy utilization and gut development (Yadav et al. 2025).</w:t>
      </w:r>
      <w:r w:rsidR="00245CE4">
        <w:rPr>
          <w:rFonts w:ascii="Arial" w:hAnsi="Arial" w:cs="Arial"/>
          <w:sz w:val="20"/>
          <w:szCs w:val="20"/>
        </w:rPr>
        <w:t xml:space="preserve"> </w:t>
      </w:r>
      <w:r w:rsidRPr="00937E62">
        <w:rPr>
          <w:rFonts w:ascii="Arial" w:hAnsi="Arial" w:cs="Arial"/>
          <w:sz w:val="20"/>
          <w:szCs w:val="20"/>
        </w:rPr>
        <w:t xml:space="preserve">The integration of microbial inputs either as probiotics, </w:t>
      </w:r>
      <w:r w:rsidR="0060498D" w:rsidRPr="00937E62">
        <w:rPr>
          <w:rFonts w:ascii="Arial" w:hAnsi="Arial" w:cs="Arial"/>
          <w:sz w:val="20"/>
          <w:szCs w:val="20"/>
        </w:rPr>
        <w:t>symbiotic</w:t>
      </w:r>
      <w:r w:rsidRPr="00937E62">
        <w:rPr>
          <w:rFonts w:ascii="Arial" w:hAnsi="Arial" w:cs="Arial"/>
          <w:sz w:val="20"/>
          <w:szCs w:val="20"/>
        </w:rPr>
        <w:t xml:space="preserve">, or through biofloc systems has been shown to support hepatointestinal health by promoting balanced gut flora, stabilizing water parameters, and enhancing nutrient recycling (Nayak 2021; </w:t>
      </w:r>
      <w:proofErr w:type="spellStart"/>
      <w:r w:rsidRPr="00937E62">
        <w:rPr>
          <w:rFonts w:ascii="Arial" w:hAnsi="Arial" w:cs="Arial"/>
          <w:sz w:val="20"/>
          <w:szCs w:val="20"/>
        </w:rPr>
        <w:t>Khanjani</w:t>
      </w:r>
      <w:proofErr w:type="spellEnd"/>
      <w:r w:rsidRPr="00937E62">
        <w:rPr>
          <w:rFonts w:ascii="Arial" w:hAnsi="Arial" w:cs="Arial"/>
          <w:sz w:val="20"/>
          <w:szCs w:val="20"/>
        </w:rPr>
        <w:t xml:space="preserve"> &amp; </w:t>
      </w:r>
      <w:proofErr w:type="spellStart"/>
      <w:r w:rsidRPr="00937E62">
        <w:rPr>
          <w:rFonts w:ascii="Arial" w:hAnsi="Arial" w:cs="Arial"/>
          <w:sz w:val="20"/>
          <w:szCs w:val="20"/>
        </w:rPr>
        <w:t>Sharifinia</w:t>
      </w:r>
      <w:proofErr w:type="spellEnd"/>
      <w:r w:rsidRPr="00937E62">
        <w:rPr>
          <w:rFonts w:ascii="Arial" w:hAnsi="Arial" w:cs="Arial"/>
          <w:sz w:val="20"/>
          <w:szCs w:val="20"/>
        </w:rPr>
        <w:t xml:space="preserve"> 2024). Probiotics such as </w:t>
      </w:r>
      <w:r w:rsidRPr="00937E62">
        <w:rPr>
          <w:rFonts w:ascii="Arial" w:hAnsi="Arial" w:cs="Arial"/>
          <w:i/>
          <w:iCs/>
          <w:sz w:val="20"/>
          <w:szCs w:val="20"/>
        </w:rPr>
        <w:t>Bacillus subtilis</w:t>
      </w:r>
      <w:r w:rsidRPr="00937E62">
        <w:rPr>
          <w:rFonts w:ascii="Arial" w:hAnsi="Arial" w:cs="Arial"/>
          <w:sz w:val="20"/>
          <w:szCs w:val="20"/>
        </w:rPr>
        <w:t xml:space="preserve">, </w:t>
      </w:r>
      <w:r w:rsidRPr="00937E62">
        <w:rPr>
          <w:rFonts w:ascii="Arial" w:hAnsi="Arial" w:cs="Arial"/>
          <w:i/>
          <w:iCs/>
          <w:sz w:val="20"/>
          <w:szCs w:val="20"/>
        </w:rPr>
        <w:t>Lactobacillus plantarum</w:t>
      </w:r>
      <w:r w:rsidRPr="00937E62">
        <w:rPr>
          <w:rFonts w:ascii="Arial" w:hAnsi="Arial" w:cs="Arial"/>
          <w:sz w:val="20"/>
          <w:szCs w:val="20"/>
        </w:rPr>
        <w:t xml:space="preserve">, and </w:t>
      </w:r>
      <w:r w:rsidRPr="00937E62">
        <w:rPr>
          <w:rFonts w:ascii="Arial" w:hAnsi="Arial" w:cs="Arial"/>
          <w:i/>
          <w:iCs/>
          <w:sz w:val="20"/>
          <w:szCs w:val="20"/>
        </w:rPr>
        <w:t>Pseudomonas fluorescens</w:t>
      </w:r>
      <w:r w:rsidRPr="00937E62">
        <w:rPr>
          <w:rFonts w:ascii="Arial" w:hAnsi="Arial" w:cs="Arial"/>
          <w:sz w:val="20"/>
          <w:szCs w:val="20"/>
        </w:rPr>
        <w:t xml:space="preserve"> improve liver morphology and intestinal </w:t>
      </w:r>
      <w:r w:rsidR="00636FA4" w:rsidRPr="00937E62">
        <w:rPr>
          <w:rFonts w:ascii="Arial" w:hAnsi="Arial" w:cs="Arial"/>
          <w:sz w:val="20"/>
          <w:szCs w:val="20"/>
        </w:rPr>
        <w:t>histometric</w:t>
      </w:r>
      <w:r w:rsidRPr="00937E62">
        <w:rPr>
          <w:rFonts w:ascii="Arial" w:hAnsi="Arial" w:cs="Arial"/>
          <w:sz w:val="20"/>
          <w:szCs w:val="20"/>
        </w:rPr>
        <w:t>, supporting better feed conversion and immunity (Ferdous et al. 2025; Sharna et al. 2025).</w:t>
      </w:r>
      <w:r w:rsidR="00245CE4">
        <w:rPr>
          <w:rFonts w:ascii="Arial" w:hAnsi="Arial" w:cs="Arial"/>
          <w:sz w:val="20"/>
          <w:szCs w:val="20"/>
        </w:rPr>
        <w:t xml:space="preserve"> </w:t>
      </w:r>
      <w:r w:rsidRPr="00937E62">
        <w:rPr>
          <w:rFonts w:ascii="Arial" w:hAnsi="Arial" w:cs="Arial"/>
          <w:sz w:val="20"/>
          <w:szCs w:val="20"/>
        </w:rPr>
        <w:t xml:space="preserve">Monitoring </w:t>
      </w:r>
      <w:r w:rsidR="00636FA4" w:rsidRPr="00937E62">
        <w:rPr>
          <w:rFonts w:ascii="Arial" w:hAnsi="Arial" w:cs="Arial"/>
          <w:sz w:val="20"/>
          <w:szCs w:val="20"/>
        </w:rPr>
        <w:t>Organosomatic</w:t>
      </w:r>
      <w:r w:rsidRPr="00937E62">
        <w:rPr>
          <w:rFonts w:ascii="Arial" w:hAnsi="Arial" w:cs="Arial"/>
          <w:sz w:val="20"/>
          <w:szCs w:val="20"/>
        </w:rPr>
        <w:t xml:space="preserve"> indices like HSI and ISI can therefore provide early insights into physiological adaptation to alternative aquaculture inputs, including natural biofertilizers such as Jeevamruth. </w:t>
      </w:r>
    </w:p>
    <w:p w14:paraId="56DD7A7F" w14:textId="1852B936" w:rsidR="00902182" w:rsidRPr="00937E62" w:rsidRDefault="00902182" w:rsidP="00245CE4">
      <w:pPr>
        <w:ind w:firstLine="720"/>
        <w:jc w:val="both"/>
        <w:rPr>
          <w:rFonts w:ascii="Arial" w:hAnsi="Arial" w:cs="Arial"/>
          <w:sz w:val="20"/>
          <w:szCs w:val="20"/>
        </w:rPr>
      </w:pPr>
      <w:r w:rsidRPr="00937E62">
        <w:rPr>
          <w:rFonts w:ascii="Arial" w:hAnsi="Arial" w:cs="Arial"/>
          <w:sz w:val="20"/>
          <w:szCs w:val="20"/>
        </w:rPr>
        <w:t>Given its rich microbial consortium of nutrient-cycling bacteria, Jeevamruth may influence hepatointestinal physiology by optimizing digestion, detoxification, and microbial balance. The present study was thus undertaken to evaluate the impact of Jeevamruth supplementation on HSI and ISI of Labeo rohita, aiming to elucidate how natural microbial amendments affect organ-level health and energy allocation in aquaculture system.</w:t>
      </w:r>
    </w:p>
    <w:p w14:paraId="09B13EFE" w14:textId="6BD0DBA0" w:rsidR="00902182" w:rsidRPr="00432943" w:rsidRDefault="00B4644B" w:rsidP="00432943">
      <w:pPr>
        <w:pStyle w:val="ListParagraph"/>
        <w:numPr>
          <w:ilvl w:val="0"/>
          <w:numId w:val="1"/>
        </w:numPr>
        <w:rPr>
          <w:rFonts w:ascii="Arial" w:hAnsi="Arial" w:cs="Arial"/>
          <w:b/>
          <w:bCs/>
          <w:sz w:val="22"/>
          <w:szCs w:val="22"/>
        </w:rPr>
      </w:pPr>
      <w:r w:rsidRPr="00432943">
        <w:rPr>
          <w:rFonts w:ascii="Arial" w:hAnsi="Arial" w:cs="Arial"/>
          <w:b/>
          <w:bCs/>
          <w:sz w:val="22"/>
          <w:szCs w:val="22"/>
        </w:rPr>
        <w:t>MATERIALS AND METHODS</w:t>
      </w:r>
    </w:p>
    <w:p w14:paraId="1AEA93AC" w14:textId="77777777" w:rsidR="00E14C33" w:rsidRDefault="00902182" w:rsidP="00245CE4">
      <w:pPr>
        <w:ind w:firstLine="720"/>
        <w:jc w:val="both"/>
        <w:rPr>
          <w:rFonts w:ascii="Arial" w:hAnsi="Arial" w:cs="Arial"/>
          <w:sz w:val="20"/>
          <w:szCs w:val="20"/>
        </w:rPr>
      </w:pPr>
      <w:r w:rsidRPr="00937E62">
        <w:rPr>
          <w:rFonts w:ascii="Arial" w:hAnsi="Arial" w:cs="Arial"/>
          <w:sz w:val="20"/>
          <w:szCs w:val="20"/>
        </w:rPr>
        <w:t>The study was conducted at the College of Fisheries Science (</w:t>
      </w:r>
      <w:proofErr w:type="spellStart"/>
      <w:r w:rsidRPr="00937E62">
        <w:rPr>
          <w:rFonts w:ascii="Arial" w:hAnsi="Arial" w:cs="Arial"/>
          <w:sz w:val="20"/>
          <w:szCs w:val="20"/>
        </w:rPr>
        <w:t>CoFS</w:t>
      </w:r>
      <w:proofErr w:type="spellEnd"/>
      <w:r w:rsidRPr="00937E62">
        <w:rPr>
          <w:rFonts w:ascii="Arial" w:hAnsi="Arial" w:cs="Arial"/>
          <w:sz w:val="20"/>
          <w:szCs w:val="20"/>
        </w:rPr>
        <w:t xml:space="preserve">), Kamdhenu University, Rajpur (Nava), Himmatnagar, Gujarat, India. All aquaculture experiments were performed in the wet-laboratory facility, while water quality analyses were carried out in the Soil and Water Chemistry Laboratory. The experiment lasted 60 days (March-May,2025). </w:t>
      </w:r>
    </w:p>
    <w:p w14:paraId="308D643A" w14:textId="77777777" w:rsidR="00E14C33" w:rsidRDefault="00902182" w:rsidP="00245CE4">
      <w:pPr>
        <w:ind w:firstLine="720"/>
        <w:jc w:val="both"/>
        <w:rPr>
          <w:rFonts w:ascii="Arial" w:hAnsi="Arial" w:cs="Arial"/>
          <w:sz w:val="20"/>
          <w:szCs w:val="20"/>
        </w:rPr>
      </w:pPr>
      <w:r w:rsidRPr="00937E62">
        <w:rPr>
          <w:rFonts w:ascii="Arial" w:hAnsi="Arial" w:cs="Arial"/>
          <w:sz w:val="20"/>
          <w:szCs w:val="20"/>
        </w:rPr>
        <w:t>A Completely Randomized Design (CRD) was used comprising one control and four treatments, each in triplicate. Each 1000-L FRP tank was hydraulically connected to three respective horticulture plots to enable nutrient transfer for the integrated fish–horticulture model.</w:t>
      </w:r>
      <w:r w:rsidR="00245CE4">
        <w:rPr>
          <w:rFonts w:ascii="Arial" w:hAnsi="Arial" w:cs="Arial"/>
          <w:sz w:val="20"/>
          <w:szCs w:val="20"/>
        </w:rPr>
        <w:t xml:space="preserve"> </w:t>
      </w:r>
      <w:r w:rsidRPr="00937E62">
        <w:rPr>
          <w:rFonts w:ascii="Arial" w:hAnsi="Arial" w:cs="Arial"/>
          <w:sz w:val="20"/>
          <w:szCs w:val="20"/>
        </w:rPr>
        <w:t xml:space="preserve">Healthy </w:t>
      </w:r>
      <w:r w:rsidRPr="00937E62">
        <w:rPr>
          <w:rFonts w:ascii="Arial" w:hAnsi="Arial" w:cs="Arial"/>
          <w:i/>
          <w:iCs/>
          <w:sz w:val="20"/>
          <w:szCs w:val="20"/>
        </w:rPr>
        <w:t>Labeo rohita</w:t>
      </w:r>
      <w:r w:rsidRPr="00937E62">
        <w:rPr>
          <w:rFonts w:ascii="Arial" w:hAnsi="Arial" w:cs="Arial"/>
          <w:sz w:val="20"/>
          <w:szCs w:val="20"/>
        </w:rPr>
        <w:t xml:space="preserve"> (rohu) fingerlings (8.8 ± 0.2 g) were procured from the Department of Aquaculture, </w:t>
      </w:r>
      <w:proofErr w:type="spellStart"/>
      <w:r w:rsidRPr="00937E62">
        <w:rPr>
          <w:rFonts w:ascii="Arial" w:hAnsi="Arial" w:cs="Arial"/>
          <w:sz w:val="20"/>
          <w:szCs w:val="20"/>
        </w:rPr>
        <w:t>CoFS</w:t>
      </w:r>
      <w:proofErr w:type="spellEnd"/>
      <w:r w:rsidRPr="00937E62">
        <w:rPr>
          <w:rFonts w:ascii="Arial" w:hAnsi="Arial" w:cs="Arial"/>
          <w:sz w:val="20"/>
          <w:szCs w:val="20"/>
        </w:rPr>
        <w:t xml:space="preserve">, Kamdhenu University. Fish were disinfected in 0.05 % </w:t>
      </w:r>
      <w:proofErr w:type="spellStart"/>
      <w:r w:rsidRPr="00937E62">
        <w:rPr>
          <w:rFonts w:ascii="Arial" w:hAnsi="Arial" w:cs="Arial"/>
          <w:sz w:val="20"/>
          <w:szCs w:val="20"/>
        </w:rPr>
        <w:t>KMnO</w:t>
      </w:r>
      <w:proofErr w:type="spellEnd"/>
      <w:r w:rsidRPr="00937E62">
        <w:rPr>
          <w:rFonts w:ascii="Cambria Math" w:hAnsi="Cambria Math" w:cs="Cambria Math"/>
          <w:sz w:val="20"/>
          <w:szCs w:val="20"/>
        </w:rPr>
        <w:t>₄</w:t>
      </w:r>
      <w:r w:rsidRPr="00937E62">
        <w:rPr>
          <w:rFonts w:ascii="Arial" w:hAnsi="Arial" w:cs="Arial"/>
          <w:sz w:val="20"/>
          <w:szCs w:val="20"/>
        </w:rPr>
        <w:t xml:space="preserve"> for 2 min and acclimatized for two months under laboratory conditions. Fish were stocked at 1 g L</w:t>
      </w:r>
      <w:r w:rsidRPr="00937E62">
        <w:rPr>
          <w:rFonts w:ascii="Cambria Math" w:hAnsi="Cambria Math" w:cs="Cambria Math"/>
          <w:sz w:val="20"/>
          <w:szCs w:val="20"/>
        </w:rPr>
        <w:t>⁻</w:t>
      </w:r>
      <w:r w:rsidRPr="00937E62">
        <w:rPr>
          <w:rFonts w:ascii="Arial" w:hAnsi="Arial" w:cs="Arial"/>
          <w:sz w:val="20"/>
          <w:szCs w:val="20"/>
        </w:rPr>
        <w:t>¹ density (approximately 500 fish tank</w:t>
      </w:r>
      <w:r w:rsidRPr="00937E62">
        <w:rPr>
          <w:rFonts w:ascii="Cambria Math" w:hAnsi="Cambria Math" w:cs="Cambria Math"/>
          <w:sz w:val="20"/>
          <w:szCs w:val="20"/>
        </w:rPr>
        <w:t>⁻</w:t>
      </w:r>
      <w:r w:rsidRPr="00937E62">
        <w:rPr>
          <w:rFonts w:ascii="Arial" w:hAnsi="Arial" w:cs="Arial"/>
          <w:sz w:val="20"/>
          <w:szCs w:val="20"/>
        </w:rPr>
        <w:t xml:space="preserve">¹) and maintained under continuous aeration. </w:t>
      </w:r>
    </w:p>
    <w:p w14:paraId="3E0AE3C9" w14:textId="77777777" w:rsidR="00E14C33" w:rsidRDefault="00902182" w:rsidP="00245CE4">
      <w:pPr>
        <w:ind w:firstLine="720"/>
        <w:jc w:val="both"/>
        <w:rPr>
          <w:rFonts w:ascii="Arial" w:hAnsi="Arial" w:cs="Arial"/>
          <w:sz w:val="20"/>
          <w:szCs w:val="20"/>
        </w:rPr>
      </w:pPr>
      <w:r w:rsidRPr="00937E62">
        <w:rPr>
          <w:rFonts w:ascii="Arial" w:hAnsi="Arial" w:cs="Arial"/>
          <w:sz w:val="20"/>
          <w:szCs w:val="20"/>
        </w:rPr>
        <w:t>Tanks were filled with bore-well water (previously quality tested), and water losses were compensated daily. The control received a 10 % water exchange per day; all other treatments were operated as zero-water-exchange biofloc systems. Fish were fed a commercial floating feed containing 32 % crude protein twice daily at 5 % body weight day</w:t>
      </w:r>
      <w:r w:rsidRPr="00937E62">
        <w:rPr>
          <w:rFonts w:ascii="Cambria Math" w:hAnsi="Cambria Math" w:cs="Cambria Math"/>
          <w:sz w:val="20"/>
          <w:szCs w:val="20"/>
        </w:rPr>
        <w:t>⁻</w:t>
      </w:r>
      <w:r w:rsidRPr="00937E62">
        <w:rPr>
          <w:rFonts w:ascii="Arial" w:hAnsi="Arial" w:cs="Arial"/>
          <w:sz w:val="20"/>
          <w:szCs w:val="20"/>
        </w:rPr>
        <w:t>¹ for the first 20 days.</w:t>
      </w:r>
      <w:r w:rsidR="00245CE4">
        <w:rPr>
          <w:rFonts w:ascii="Arial" w:hAnsi="Arial" w:cs="Arial"/>
          <w:sz w:val="20"/>
          <w:szCs w:val="20"/>
        </w:rPr>
        <w:t xml:space="preserve"> </w:t>
      </w:r>
      <w:r w:rsidRPr="00937E62">
        <w:rPr>
          <w:rFonts w:ascii="Arial" w:hAnsi="Arial" w:cs="Arial"/>
          <w:sz w:val="20"/>
          <w:szCs w:val="20"/>
        </w:rPr>
        <w:t>Biofloc was prepared following Avnimelech (1999) and Hargreaves (2013). Tanks were filled to 500 L, aerated for 5 days, and inoculated with a commercial probiotic mixture (5 g tank</w:t>
      </w:r>
      <w:r w:rsidRPr="00937E62">
        <w:rPr>
          <w:rFonts w:ascii="Cambria Math" w:hAnsi="Cambria Math" w:cs="Cambria Math"/>
          <w:sz w:val="20"/>
          <w:szCs w:val="20"/>
        </w:rPr>
        <w:t>⁻</w:t>
      </w:r>
      <w:r w:rsidRPr="00937E62">
        <w:rPr>
          <w:rFonts w:ascii="Arial" w:hAnsi="Arial" w:cs="Arial"/>
          <w:sz w:val="20"/>
          <w:szCs w:val="20"/>
        </w:rPr>
        <w:t>¹). Millet flour was used as a carbon source containing approximately 64 % C (</w:t>
      </w:r>
      <w:proofErr w:type="spellStart"/>
      <w:r w:rsidRPr="00937E62">
        <w:rPr>
          <w:rFonts w:ascii="Arial" w:hAnsi="Arial" w:cs="Arial"/>
          <w:sz w:val="20"/>
          <w:szCs w:val="20"/>
        </w:rPr>
        <w:t>Lukiwati</w:t>
      </w:r>
      <w:proofErr w:type="spellEnd"/>
      <w:r w:rsidRPr="00937E62">
        <w:rPr>
          <w:rFonts w:ascii="Arial" w:hAnsi="Arial" w:cs="Arial"/>
          <w:sz w:val="20"/>
          <w:szCs w:val="20"/>
        </w:rPr>
        <w:t xml:space="preserve"> et al., 2018). The C:N ratio was adjusted to 20:1 by adding ~100 g millet tank</w:t>
      </w:r>
      <w:r w:rsidRPr="00937E62">
        <w:rPr>
          <w:rFonts w:ascii="Cambria Math" w:hAnsi="Cambria Math" w:cs="Cambria Math"/>
          <w:sz w:val="20"/>
          <w:szCs w:val="20"/>
        </w:rPr>
        <w:t>⁻</w:t>
      </w:r>
      <w:r w:rsidRPr="00937E62">
        <w:rPr>
          <w:rFonts w:ascii="Arial" w:hAnsi="Arial" w:cs="Arial"/>
          <w:sz w:val="20"/>
          <w:szCs w:val="20"/>
        </w:rPr>
        <w:t>¹ day</w:t>
      </w:r>
      <w:r w:rsidRPr="00937E62">
        <w:rPr>
          <w:rFonts w:ascii="Cambria Math" w:hAnsi="Cambria Math" w:cs="Cambria Math"/>
          <w:sz w:val="20"/>
          <w:szCs w:val="20"/>
        </w:rPr>
        <w:t>⁻</w:t>
      </w:r>
      <w:r w:rsidRPr="00937E62">
        <w:rPr>
          <w:rFonts w:ascii="Arial" w:hAnsi="Arial" w:cs="Arial"/>
          <w:sz w:val="20"/>
          <w:szCs w:val="20"/>
        </w:rPr>
        <w:t xml:space="preserve">¹, calculated from the protein content (32 %) of feed assuming 16 % N in protein and 75 % feed waste contribution. </w:t>
      </w:r>
    </w:p>
    <w:p w14:paraId="754D58A8" w14:textId="77777777" w:rsidR="00E14C33" w:rsidRDefault="00902182" w:rsidP="00245CE4">
      <w:pPr>
        <w:ind w:firstLine="720"/>
        <w:jc w:val="both"/>
        <w:rPr>
          <w:rFonts w:ascii="Arial" w:hAnsi="Arial" w:cs="Arial"/>
          <w:sz w:val="20"/>
          <w:szCs w:val="20"/>
        </w:rPr>
      </w:pPr>
      <w:r w:rsidRPr="00937E62">
        <w:rPr>
          <w:rFonts w:ascii="Arial" w:hAnsi="Arial" w:cs="Arial"/>
          <w:sz w:val="20"/>
          <w:szCs w:val="20"/>
        </w:rPr>
        <w:t>Floc maturity was confirmed when floc volume reached 10</w:t>
      </w:r>
      <w:r w:rsidR="00D33CAE" w:rsidRPr="00937E62">
        <w:rPr>
          <w:rFonts w:ascii="Arial" w:hAnsi="Arial" w:cs="Arial"/>
          <w:sz w:val="20"/>
          <w:szCs w:val="20"/>
        </w:rPr>
        <w:t>-</w:t>
      </w:r>
      <w:r w:rsidRPr="00937E62">
        <w:rPr>
          <w:rFonts w:ascii="Arial" w:hAnsi="Arial" w:cs="Arial"/>
          <w:sz w:val="20"/>
          <w:szCs w:val="20"/>
        </w:rPr>
        <w:t>15 mL L</w:t>
      </w:r>
      <w:r w:rsidRPr="00937E62">
        <w:rPr>
          <w:rFonts w:ascii="Cambria Math" w:hAnsi="Cambria Math" w:cs="Cambria Math"/>
          <w:sz w:val="20"/>
          <w:szCs w:val="20"/>
        </w:rPr>
        <w:t>⁻</w:t>
      </w:r>
      <w:r w:rsidRPr="00937E62">
        <w:rPr>
          <w:rFonts w:ascii="Arial" w:hAnsi="Arial" w:cs="Arial"/>
          <w:sz w:val="20"/>
          <w:szCs w:val="20"/>
        </w:rPr>
        <w:t>¹ and total ammonia nitrogen &lt; 0.5 mg L</w:t>
      </w:r>
      <w:r w:rsidRPr="00937E62">
        <w:rPr>
          <w:rFonts w:ascii="Cambria Math" w:hAnsi="Cambria Math" w:cs="Cambria Math"/>
          <w:sz w:val="20"/>
          <w:szCs w:val="20"/>
        </w:rPr>
        <w:t>⁻</w:t>
      </w:r>
      <w:r w:rsidRPr="00937E62">
        <w:rPr>
          <w:rFonts w:ascii="Arial" w:hAnsi="Arial" w:cs="Arial"/>
          <w:sz w:val="20"/>
          <w:szCs w:val="20"/>
        </w:rPr>
        <w:t>¹, measured with Imhoff cones and spectrophotometric tests (Avnimelech &amp; Kochba, 2009).</w:t>
      </w:r>
      <w:r w:rsidR="00245CE4">
        <w:rPr>
          <w:rFonts w:ascii="Arial" w:hAnsi="Arial" w:cs="Arial"/>
          <w:sz w:val="20"/>
          <w:szCs w:val="20"/>
        </w:rPr>
        <w:t xml:space="preserve"> </w:t>
      </w:r>
      <w:r w:rsidRPr="00937E62">
        <w:rPr>
          <w:rFonts w:ascii="Arial" w:hAnsi="Arial" w:cs="Arial"/>
          <w:sz w:val="20"/>
          <w:szCs w:val="20"/>
        </w:rPr>
        <w:t>Jeevamruth was prepared per the NITI Aayog (2019) formulation: 2 kg cow dung, 1 L cow urine, 400 g jaggery, 400 g pulse flour, 200 g native soil, 10 g lime, and water up to 40 L. The mixture was fermented aerobically for 7 days with daily stirring and then filtered through cloth. The filtrate was applied to treatment tanks at 0.5 % (T</w:t>
      </w:r>
      <w:r w:rsidRPr="00937E62">
        <w:rPr>
          <w:rFonts w:ascii="Cambria Math" w:hAnsi="Cambria Math" w:cs="Cambria Math"/>
          <w:sz w:val="20"/>
          <w:szCs w:val="20"/>
        </w:rPr>
        <w:t>₂</w:t>
      </w:r>
      <w:r w:rsidRPr="00937E62">
        <w:rPr>
          <w:rFonts w:ascii="Arial" w:hAnsi="Arial" w:cs="Arial"/>
          <w:sz w:val="20"/>
          <w:szCs w:val="20"/>
        </w:rPr>
        <w:t>) and 1 % (T</w:t>
      </w:r>
      <w:r w:rsidRPr="00937E62">
        <w:rPr>
          <w:rFonts w:ascii="Cambria Math" w:hAnsi="Cambria Math" w:cs="Cambria Math"/>
          <w:sz w:val="20"/>
          <w:szCs w:val="20"/>
        </w:rPr>
        <w:t>₃</w:t>
      </w:r>
      <w:r w:rsidRPr="00937E62">
        <w:rPr>
          <w:rFonts w:ascii="Arial" w:hAnsi="Arial" w:cs="Arial"/>
          <w:sz w:val="20"/>
          <w:szCs w:val="20"/>
        </w:rPr>
        <w:t>) concentrations every 10 days; the combined treatment (T</w:t>
      </w:r>
      <w:r w:rsidRPr="00937E62">
        <w:rPr>
          <w:rFonts w:ascii="Cambria Math" w:hAnsi="Cambria Math" w:cs="Cambria Math"/>
          <w:sz w:val="20"/>
          <w:szCs w:val="20"/>
        </w:rPr>
        <w:t>₄</w:t>
      </w:r>
      <w:r w:rsidRPr="00937E62">
        <w:rPr>
          <w:rFonts w:ascii="Arial" w:hAnsi="Arial" w:cs="Arial"/>
          <w:sz w:val="20"/>
          <w:szCs w:val="20"/>
        </w:rPr>
        <w:t>) received 0.5 % Jeevamruth along with millet-based biofloc.</w:t>
      </w:r>
      <w:r w:rsidR="00245CE4">
        <w:rPr>
          <w:rFonts w:ascii="Arial" w:hAnsi="Arial" w:cs="Arial"/>
          <w:sz w:val="20"/>
          <w:szCs w:val="20"/>
        </w:rPr>
        <w:t xml:space="preserve"> </w:t>
      </w:r>
      <w:r w:rsidRPr="00937E62">
        <w:rPr>
          <w:rFonts w:ascii="Arial" w:hAnsi="Arial" w:cs="Arial"/>
          <w:sz w:val="20"/>
          <w:szCs w:val="20"/>
        </w:rPr>
        <w:t>A 200 m² field adjacent to the aquaculture setup was divided into 15 plots (3 replicates treatment</w:t>
      </w:r>
      <w:r w:rsidRPr="00937E62">
        <w:rPr>
          <w:rFonts w:ascii="Cambria Math" w:hAnsi="Cambria Math" w:cs="Cambria Math"/>
          <w:sz w:val="20"/>
          <w:szCs w:val="20"/>
        </w:rPr>
        <w:t>⁻</w:t>
      </w:r>
      <w:r w:rsidRPr="00937E62">
        <w:rPr>
          <w:rFonts w:ascii="Arial" w:hAnsi="Arial" w:cs="Arial"/>
          <w:sz w:val="20"/>
          <w:szCs w:val="20"/>
        </w:rPr>
        <w:t>¹). Cluster bean (</w:t>
      </w:r>
      <w:r w:rsidRPr="00937E62">
        <w:rPr>
          <w:rFonts w:ascii="Arial" w:hAnsi="Arial" w:cs="Arial"/>
          <w:i/>
          <w:iCs/>
          <w:sz w:val="20"/>
          <w:szCs w:val="20"/>
        </w:rPr>
        <w:t>Cyamopsis tetragonoloba</w:t>
      </w:r>
      <w:r w:rsidRPr="00937E62">
        <w:rPr>
          <w:rFonts w:ascii="Arial" w:hAnsi="Arial" w:cs="Arial"/>
          <w:sz w:val="20"/>
          <w:szCs w:val="20"/>
        </w:rPr>
        <w:t xml:space="preserve">) was grown as the test crop. </w:t>
      </w:r>
    </w:p>
    <w:p w14:paraId="459F1234" w14:textId="6F115C61" w:rsidR="00A222F1" w:rsidRDefault="00902182" w:rsidP="00245CE4">
      <w:pPr>
        <w:ind w:firstLine="720"/>
        <w:jc w:val="both"/>
        <w:rPr>
          <w:rFonts w:ascii="Arial" w:hAnsi="Arial" w:cs="Arial"/>
          <w:sz w:val="20"/>
          <w:szCs w:val="20"/>
        </w:rPr>
      </w:pPr>
      <w:r w:rsidRPr="00937E62">
        <w:rPr>
          <w:rFonts w:ascii="Arial" w:hAnsi="Arial" w:cs="Arial"/>
          <w:sz w:val="20"/>
          <w:szCs w:val="20"/>
        </w:rPr>
        <w:lastRenderedPageBreak/>
        <w:t>Each plot was irrigated with corresponding aquaculture effluents through a mild-slope pipeline system ensuring gravitational flow.</w:t>
      </w:r>
      <w:r w:rsidR="00937E62">
        <w:rPr>
          <w:rFonts w:ascii="Arial" w:hAnsi="Arial" w:cs="Arial"/>
          <w:sz w:val="20"/>
          <w:szCs w:val="20"/>
        </w:rPr>
        <w:t xml:space="preserve"> </w:t>
      </w:r>
      <w:r w:rsidRPr="00937E62">
        <w:rPr>
          <w:rFonts w:ascii="Arial" w:hAnsi="Arial" w:cs="Arial"/>
          <w:sz w:val="20"/>
          <w:szCs w:val="20"/>
        </w:rPr>
        <w:t>Physico-chemical parameters were measured every 10 days using standard methods (APHA, 1998). Soil samples were collected pre- and post-experiment from 0</w:t>
      </w:r>
      <w:r w:rsidR="00D33CAE" w:rsidRPr="00937E62">
        <w:rPr>
          <w:rFonts w:ascii="Arial" w:hAnsi="Arial" w:cs="Arial"/>
          <w:sz w:val="20"/>
          <w:szCs w:val="20"/>
        </w:rPr>
        <w:t>-</w:t>
      </w:r>
      <w:r w:rsidRPr="00937E62">
        <w:rPr>
          <w:rFonts w:ascii="Arial" w:hAnsi="Arial" w:cs="Arial"/>
          <w:sz w:val="20"/>
          <w:szCs w:val="20"/>
        </w:rPr>
        <w:t xml:space="preserve">15 cm depth using a zig-zag pattern, composited, air-dried, and </w:t>
      </w:r>
      <w:r w:rsidR="00EF6A80" w:rsidRPr="00937E62">
        <w:rPr>
          <w:rFonts w:ascii="Arial" w:hAnsi="Arial" w:cs="Arial"/>
          <w:sz w:val="20"/>
          <w:szCs w:val="20"/>
        </w:rPr>
        <w:t>analysed</w:t>
      </w:r>
      <w:r w:rsidRPr="00937E62">
        <w:rPr>
          <w:rFonts w:ascii="Arial" w:hAnsi="Arial" w:cs="Arial"/>
          <w:sz w:val="20"/>
          <w:szCs w:val="20"/>
        </w:rPr>
        <w:t xml:space="preserve"> for pH, EC, and N-P-K status (Jackson, 1973). Every 20 days, 15 fish tanks</w:t>
      </w:r>
      <w:r w:rsidRPr="00937E62">
        <w:rPr>
          <w:rFonts w:ascii="Cambria Math" w:hAnsi="Cambria Math" w:cs="Cambria Math"/>
          <w:sz w:val="20"/>
          <w:szCs w:val="20"/>
        </w:rPr>
        <w:t>⁻</w:t>
      </w:r>
      <w:r w:rsidRPr="00937E62">
        <w:rPr>
          <w:rFonts w:ascii="Arial" w:hAnsi="Arial" w:cs="Arial"/>
          <w:sz w:val="20"/>
          <w:szCs w:val="20"/>
        </w:rPr>
        <w:t>¹ were sampled to determine growth indices (Hopkins, 1992)</w:t>
      </w:r>
      <w:r w:rsidR="00245CE4">
        <w:rPr>
          <w:rFonts w:ascii="Arial" w:hAnsi="Arial" w:cs="Arial"/>
          <w:sz w:val="20"/>
          <w:szCs w:val="20"/>
        </w:rPr>
        <w:t xml:space="preserve"> </w:t>
      </w:r>
      <w:r w:rsidR="00D33CAE" w:rsidRPr="00937E62">
        <w:rPr>
          <w:rFonts w:ascii="Arial" w:hAnsi="Arial" w:cs="Arial"/>
          <w:sz w:val="20"/>
          <w:szCs w:val="20"/>
        </w:rPr>
        <w:t xml:space="preserve">At the end of the experimental period, three fish were randomly collected from each tank for </w:t>
      </w:r>
      <w:r w:rsidR="00EF6A80" w:rsidRPr="00937E62">
        <w:rPr>
          <w:rFonts w:ascii="Arial" w:hAnsi="Arial" w:cs="Arial"/>
          <w:sz w:val="20"/>
          <w:szCs w:val="20"/>
        </w:rPr>
        <w:t>Organosomatic</w:t>
      </w:r>
      <w:r w:rsidR="00D33CAE" w:rsidRPr="00937E62">
        <w:rPr>
          <w:rFonts w:ascii="Arial" w:hAnsi="Arial" w:cs="Arial"/>
          <w:sz w:val="20"/>
          <w:szCs w:val="20"/>
        </w:rPr>
        <w:t xml:space="preserve"> measurements. </w:t>
      </w:r>
    </w:p>
    <w:p w14:paraId="45A63F4A" w14:textId="663D7D29" w:rsidR="00D33CAE" w:rsidRPr="00937E62" w:rsidRDefault="00EF6A80" w:rsidP="00245CE4">
      <w:pPr>
        <w:ind w:firstLine="720"/>
        <w:jc w:val="both"/>
        <w:rPr>
          <w:rFonts w:ascii="Arial" w:hAnsi="Arial" w:cs="Arial"/>
          <w:sz w:val="20"/>
          <w:szCs w:val="20"/>
        </w:rPr>
      </w:pPr>
      <w:r w:rsidRPr="00EF6A80">
        <w:rPr>
          <w:rFonts w:ascii="Arial" w:hAnsi="Arial" w:cs="Arial"/>
          <w:sz w:val="20"/>
          <w:szCs w:val="20"/>
        </w:rPr>
        <w:t>At the conclusion of the 60-day experimental period, sampling was conducted to assess Organosomatic indices. Three fish were randomly selected from each tank (N=9 per treatment). To minimize physiological stress and handling artifacts</w:t>
      </w:r>
      <w:r>
        <w:rPr>
          <w:rFonts w:ascii="Arial" w:hAnsi="Arial" w:cs="Arial"/>
          <w:sz w:val="20"/>
          <w:szCs w:val="20"/>
        </w:rPr>
        <w:t xml:space="preserve">, </w:t>
      </w:r>
      <w:r w:rsidR="00D33CAE" w:rsidRPr="00937E62">
        <w:rPr>
          <w:rFonts w:ascii="Arial" w:hAnsi="Arial" w:cs="Arial"/>
          <w:sz w:val="20"/>
          <w:szCs w:val="20"/>
        </w:rPr>
        <w:t>Fish were anesthetized with MS-222 (100 mg L</w:t>
      </w:r>
      <w:r w:rsidR="00D33CAE" w:rsidRPr="00937E62">
        <w:rPr>
          <w:rFonts w:ascii="Cambria Math" w:hAnsi="Cambria Math" w:cs="Cambria Math"/>
          <w:sz w:val="20"/>
          <w:szCs w:val="20"/>
        </w:rPr>
        <w:t>⁻</w:t>
      </w:r>
      <w:r w:rsidR="00D33CAE" w:rsidRPr="00937E62">
        <w:rPr>
          <w:rFonts w:ascii="Arial" w:hAnsi="Arial" w:cs="Arial"/>
          <w:sz w:val="20"/>
          <w:szCs w:val="20"/>
        </w:rPr>
        <w:t>¹) before dissection to minimize stress. Each fish was carefully dissected to remove the liver and intestine, which were rinsed in distilled water and blotted dry with absorbent paper to remove surface moisture. The organs were immediately weighed to the nearest 0.001 g using a calibrated electronic balance (Aczet CY220).</w:t>
      </w:r>
      <w:r w:rsidR="00937E62">
        <w:rPr>
          <w:rFonts w:ascii="Arial" w:hAnsi="Arial" w:cs="Arial"/>
          <w:sz w:val="20"/>
          <w:szCs w:val="20"/>
        </w:rPr>
        <w:t xml:space="preserve"> </w:t>
      </w:r>
      <w:r w:rsidR="00D33CAE" w:rsidRPr="00937E62">
        <w:rPr>
          <w:rFonts w:ascii="Arial" w:hAnsi="Arial" w:cs="Arial"/>
          <w:sz w:val="20"/>
          <w:szCs w:val="20"/>
        </w:rPr>
        <w:t>The Hepatosomatic Index (HSI) and Intestinal Somatic Index (ISI) were calculated as per Shearer (1994) and Manzoor et al. (2020):</w:t>
      </w:r>
    </w:p>
    <w:p w14:paraId="512AB42A" w14:textId="4FC9229E" w:rsidR="00D33CAE" w:rsidRPr="00937E62" w:rsidRDefault="00D33CAE" w:rsidP="00902182">
      <w:pPr>
        <w:jc w:val="both"/>
        <w:rPr>
          <w:rFonts w:ascii="Arial" w:hAnsi="Arial" w:cs="Arial"/>
          <w:sz w:val="20"/>
          <w:szCs w:val="20"/>
        </w:rPr>
      </w:pPr>
      <m:oMathPara>
        <m:oMath>
          <m:r>
            <m:rPr>
              <m:nor/>
            </m:rPr>
            <w:rPr>
              <w:rFonts w:ascii="Arial" w:hAnsi="Arial" w:cs="Arial"/>
              <w:sz w:val="20"/>
              <w:szCs w:val="20"/>
            </w:rPr>
            <m:t>HSI (%)</m:t>
          </m:r>
          <m:r>
            <w:rPr>
              <w:rFonts w:ascii="Cambria Math" w:hAnsi="Cambria Math" w:cs="Arial"/>
              <w:sz w:val="20"/>
              <w:szCs w:val="20"/>
            </w:rPr>
            <m:t>=</m:t>
          </m:r>
          <m:f>
            <m:fPr>
              <m:ctrlPr>
                <w:rPr>
                  <w:rFonts w:ascii="Cambria Math" w:hAnsi="Cambria Math" w:cs="Arial"/>
                  <w:sz w:val="20"/>
                  <w:szCs w:val="20"/>
                </w:rPr>
              </m:ctrlPr>
            </m:fPr>
            <m:num>
              <m:r>
                <m:rPr>
                  <m:nor/>
                </m:rPr>
                <w:rPr>
                  <w:rFonts w:ascii="Arial" w:hAnsi="Arial" w:cs="Arial"/>
                  <w:sz w:val="20"/>
                  <w:szCs w:val="20"/>
                </w:rPr>
                <m:t>Liver weight (g)</m:t>
              </m:r>
            </m:num>
            <m:den>
              <m:r>
                <m:rPr>
                  <m:nor/>
                </m:rPr>
                <w:rPr>
                  <w:rFonts w:ascii="Arial" w:hAnsi="Arial" w:cs="Arial"/>
                  <w:sz w:val="20"/>
                  <w:szCs w:val="20"/>
                </w:rPr>
                <m:t>Total body weight (g)</m:t>
              </m:r>
            </m:den>
          </m:f>
          <m:r>
            <w:rPr>
              <w:rFonts w:ascii="Cambria Math" w:hAnsi="Cambria Math" w:cs="Arial"/>
              <w:sz w:val="20"/>
              <w:szCs w:val="20"/>
            </w:rPr>
            <m:t>×100</m:t>
          </m:r>
          <m:r>
            <m:rPr>
              <m:sty m:val="p"/>
            </m:rPr>
            <w:rPr>
              <w:rFonts w:ascii="Cambria Math" w:hAnsi="Cambria Math" w:cs="Arial"/>
              <w:sz w:val="20"/>
              <w:szCs w:val="20"/>
            </w:rPr>
            <w:br/>
          </m:r>
        </m:oMath>
        <m:oMath>
          <m:r>
            <m:rPr>
              <m:nor/>
            </m:rPr>
            <w:rPr>
              <w:rFonts w:ascii="Arial" w:hAnsi="Arial" w:cs="Arial"/>
              <w:sz w:val="20"/>
              <w:szCs w:val="20"/>
            </w:rPr>
            <m:t>ISI (%)</m:t>
          </m:r>
          <m:r>
            <w:rPr>
              <w:rFonts w:ascii="Cambria Math" w:hAnsi="Cambria Math" w:cs="Arial"/>
              <w:sz w:val="20"/>
              <w:szCs w:val="20"/>
            </w:rPr>
            <m:t>=</m:t>
          </m:r>
          <m:f>
            <m:fPr>
              <m:ctrlPr>
                <w:rPr>
                  <w:rFonts w:ascii="Cambria Math" w:hAnsi="Cambria Math" w:cs="Arial"/>
                  <w:sz w:val="20"/>
                  <w:szCs w:val="20"/>
                </w:rPr>
              </m:ctrlPr>
            </m:fPr>
            <m:num>
              <m:r>
                <m:rPr>
                  <m:nor/>
                </m:rPr>
                <w:rPr>
                  <w:rFonts w:ascii="Arial" w:hAnsi="Arial" w:cs="Arial"/>
                  <w:sz w:val="20"/>
                  <w:szCs w:val="20"/>
                </w:rPr>
                <m:t>Intestine weight (g)</m:t>
              </m:r>
            </m:num>
            <m:den>
              <m:r>
                <m:rPr>
                  <m:nor/>
                </m:rPr>
                <w:rPr>
                  <w:rFonts w:ascii="Arial" w:hAnsi="Arial" w:cs="Arial"/>
                  <w:sz w:val="20"/>
                  <w:szCs w:val="20"/>
                </w:rPr>
                <m:t>Total body weight (g)</m:t>
              </m:r>
            </m:den>
          </m:f>
          <m:r>
            <w:rPr>
              <w:rFonts w:ascii="Cambria Math" w:hAnsi="Cambria Math" w:cs="Arial"/>
              <w:sz w:val="20"/>
              <w:szCs w:val="20"/>
            </w:rPr>
            <m:t>×100</m:t>
          </m:r>
        </m:oMath>
      </m:oMathPara>
    </w:p>
    <w:p w14:paraId="5210B664" w14:textId="609F3B9D" w:rsidR="00902182" w:rsidRPr="000F1DEA" w:rsidRDefault="00902182" w:rsidP="00902182">
      <w:pPr>
        <w:jc w:val="both"/>
        <w:rPr>
          <w:rFonts w:ascii="Arial" w:hAnsi="Arial" w:cs="Arial"/>
          <w:sz w:val="22"/>
          <w:szCs w:val="22"/>
        </w:rPr>
      </w:pPr>
      <w:r w:rsidRPr="00937E62">
        <w:rPr>
          <w:rFonts w:ascii="Arial" w:hAnsi="Arial" w:cs="Arial"/>
          <w:sz w:val="20"/>
          <w:szCs w:val="20"/>
        </w:rPr>
        <w:t>All data were subjected to One-way ANOVA using SPSS v</w:t>
      </w:r>
      <w:r w:rsidR="00D33CAE" w:rsidRPr="00937E62">
        <w:rPr>
          <w:rFonts w:ascii="Arial" w:hAnsi="Arial" w:cs="Arial"/>
          <w:sz w:val="20"/>
          <w:szCs w:val="20"/>
        </w:rPr>
        <w:t>30</w:t>
      </w:r>
      <w:r w:rsidRPr="00937E62">
        <w:rPr>
          <w:rFonts w:ascii="Arial" w:hAnsi="Arial" w:cs="Arial"/>
          <w:sz w:val="20"/>
          <w:szCs w:val="20"/>
        </w:rPr>
        <w:t xml:space="preserve">, and mean differences were evaluated by Tukey’s HSD at </w:t>
      </w:r>
      <w:r w:rsidRPr="00937E62">
        <w:rPr>
          <w:rFonts w:ascii="Arial" w:hAnsi="Arial" w:cs="Arial"/>
          <w:i/>
          <w:iCs/>
          <w:sz w:val="20"/>
          <w:szCs w:val="20"/>
        </w:rPr>
        <w:t>p</w:t>
      </w:r>
      <w:r w:rsidRPr="00937E62">
        <w:rPr>
          <w:rFonts w:ascii="Arial" w:hAnsi="Arial" w:cs="Arial"/>
          <w:sz w:val="20"/>
          <w:szCs w:val="20"/>
        </w:rPr>
        <w:t xml:space="preserve"> &lt; 0.05. Results are presented as mean ± standard error</w:t>
      </w:r>
      <w:r w:rsidRPr="000F1DEA">
        <w:rPr>
          <w:rFonts w:ascii="Arial" w:hAnsi="Arial" w:cs="Arial"/>
          <w:sz w:val="22"/>
          <w:szCs w:val="22"/>
        </w:rPr>
        <w:t>.</w:t>
      </w:r>
    </w:p>
    <w:p w14:paraId="10ABA830" w14:textId="3ADED1F3" w:rsidR="00902182" w:rsidRPr="000F1DEA" w:rsidRDefault="00902182" w:rsidP="00902182">
      <w:pPr>
        <w:jc w:val="both"/>
        <w:rPr>
          <w:rFonts w:ascii="Arial" w:hAnsi="Arial" w:cs="Arial"/>
          <w:sz w:val="22"/>
          <w:szCs w:val="22"/>
        </w:rPr>
        <w:sectPr w:rsidR="00902182" w:rsidRPr="000F1DEA" w:rsidSect="00937E62">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08154D1" w14:textId="2B309113" w:rsidR="00822212" w:rsidRDefault="00B4644B" w:rsidP="005447BE">
      <w:pPr>
        <w:pStyle w:val="ListParagraph"/>
        <w:numPr>
          <w:ilvl w:val="0"/>
          <w:numId w:val="1"/>
        </w:numPr>
        <w:jc w:val="both"/>
        <w:rPr>
          <w:rFonts w:ascii="Arial" w:hAnsi="Arial" w:cs="Arial"/>
          <w:b/>
          <w:bCs/>
          <w:sz w:val="22"/>
          <w:szCs w:val="22"/>
        </w:rPr>
      </w:pPr>
      <w:r w:rsidRPr="00432943">
        <w:rPr>
          <w:rFonts w:ascii="Arial" w:hAnsi="Arial" w:cs="Arial"/>
          <w:b/>
          <w:bCs/>
          <w:sz w:val="22"/>
          <w:szCs w:val="22"/>
        </w:rPr>
        <w:t>RESULT</w:t>
      </w:r>
      <w:r>
        <w:rPr>
          <w:rFonts w:ascii="Arial" w:hAnsi="Arial" w:cs="Arial"/>
          <w:b/>
          <w:bCs/>
          <w:sz w:val="22"/>
          <w:szCs w:val="22"/>
        </w:rPr>
        <w:t xml:space="preserve"> AND </w:t>
      </w:r>
      <w:r w:rsidRPr="00550651">
        <w:rPr>
          <w:rFonts w:ascii="Arial" w:hAnsi="Arial" w:cs="Arial"/>
          <w:b/>
          <w:bCs/>
          <w:sz w:val="22"/>
          <w:szCs w:val="22"/>
        </w:rPr>
        <w:t>DISCUSSION</w:t>
      </w:r>
    </w:p>
    <w:p w14:paraId="00C31104" w14:textId="77777777" w:rsidR="005447BE" w:rsidRPr="005447BE" w:rsidRDefault="005447BE" w:rsidP="005447BE">
      <w:pPr>
        <w:pStyle w:val="ListParagraph"/>
        <w:ind w:left="360" w:firstLine="360"/>
        <w:jc w:val="both"/>
        <w:rPr>
          <w:rFonts w:ascii="Arial" w:hAnsi="Arial" w:cs="Arial"/>
          <w:sz w:val="20"/>
          <w:szCs w:val="20"/>
        </w:rPr>
      </w:pPr>
      <w:r w:rsidRPr="005447BE">
        <w:rPr>
          <w:rFonts w:ascii="Arial" w:hAnsi="Arial" w:cs="Arial"/>
          <w:sz w:val="20"/>
          <w:szCs w:val="20"/>
        </w:rPr>
        <w:t xml:space="preserve">Organosomatic indices such as the Hepatosomatic Index (HSI) and Intestinosomatic Index (ISI) are vital indicators of fish metabolic status, nutrient utilization, and general health. In the present study, HSI and ISI values varied slightly among treatments but remained within physiological norms for </w:t>
      </w:r>
      <w:r w:rsidRPr="005447BE">
        <w:rPr>
          <w:rFonts w:ascii="Arial" w:hAnsi="Arial" w:cs="Arial"/>
          <w:i/>
          <w:iCs/>
          <w:sz w:val="20"/>
          <w:szCs w:val="20"/>
        </w:rPr>
        <w:t>Labeo rohita</w:t>
      </w:r>
      <w:r w:rsidRPr="005447BE">
        <w:rPr>
          <w:rFonts w:ascii="Arial" w:hAnsi="Arial" w:cs="Arial"/>
          <w:sz w:val="20"/>
          <w:szCs w:val="20"/>
        </w:rPr>
        <w:t>. The variations observed can be attributed to differences in microbial activity, nutrient assimilation, and metabolic efficiency associated with Jeevamruth and biofloc supplementation.</w:t>
      </w:r>
    </w:p>
    <w:p w14:paraId="2B629A38" w14:textId="77777777" w:rsidR="005447BE" w:rsidRPr="005447BE" w:rsidRDefault="005447BE" w:rsidP="005447BE">
      <w:pPr>
        <w:pStyle w:val="ListParagraph"/>
        <w:ind w:left="360"/>
        <w:jc w:val="both"/>
        <w:rPr>
          <w:rFonts w:ascii="Arial" w:hAnsi="Arial" w:cs="Arial"/>
          <w:b/>
          <w:bCs/>
          <w:sz w:val="22"/>
          <w:szCs w:val="22"/>
        </w:rPr>
      </w:pPr>
    </w:p>
    <w:p w14:paraId="5457696D" w14:textId="0A673602" w:rsidR="00BF368D" w:rsidRPr="00AF79F1" w:rsidRDefault="00AF79F1" w:rsidP="00AF79F1">
      <w:pPr>
        <w:spacing w:line="360" w:lineRule="auto"/>
        <w:rPr>
          <w:rFonts w:ascii="Arial" w:hAnsi="Arial" w:cs="Arial"/>
          <w:b/>
          <w:bCs/>
          <w:sz w:val="22"/>
          <w:szCs w:val="22"/>
        </w:rPr>
      </w:pPr>
      <w:r>
        <w:rPr>
          <w:rFonts w:ascii="Arial" w:hAnsi="Arial" w:cs="Arial"/>
          <w:b/>
          <w:bCs/>
          <w:sz w:val="22"/>
          <w:szCs w:val="22"/>
        </w:rPr>
        <w:t xml:space="preserve">Table 1: </w:t>
      </w:r>
      <w:r w:rsidR="00822212" w:rsidRPr="00AF79F1">
        <w:rPr>
          <w:rFonts w:ascii="Arial" w:hAnsi="Arial" w:cs="Arial"/>
          <w:b/>
          <w:bCs/>
          <w:sz w:val="22"/>
          <w:szCs w:val="22"/>
        </w:rPr>
        <w:t xml:space="preserve"> </w:t>
      </w:r>
      <w:r w:rsidR="00BF368D" w:rsidRPr="00AF79F1">
        <w:rPr>
          <w:rFonts w:ascii="Arial" w:hAnsi="Arial" w:cs="Arial"/>
          <w:b/>
          <w:bCs/>
          <w:sz w:val="22"/>
          <w:szCs w:val="22"/>
        </w:rPr>
        <w:t>Hepatosomatic index recorded during experimental period.</w:t>
      </w:r>
    </w:p>
    <w:tbl>
      <w:tblPr>
        <w:tblW w:w="5000" w:type="pct"/>
        <w:tblLook w:val="04A0" w:firstRow="1" w:lastRow="0" w:firstColumn="1" w:lastColumn="0" w:noHBand="0" w:noVBand="1"/>
      </w:tblPr>
      <w:tblGrid>
        <w:gridCol w:w="2764"/>
        <w:gridCol w:w="2625"/>
        <w:gridCol w:w="3637"/>
      </w:tblGrid>
      <w:tr w:rsidR="00BF368D" w:rsidRPr="000F1DEA" w14:paraId="72A90E56" w14:textId="77777777" w:rsidTr="00EF3FDC">
        <w:trPr>
          <w:trHeight w:val="146"/>
        </w:trPr>
        <w:tc>
          <w:tcPr>
            <w:tcW w:w="1531" w:type="pct"/>
            <w:tcBorders>
              <w:top w:val="single" w:sz="4" w:space="0" w:color="auto"/>
              <w:bottom w:val="single" w:sz="4" w:space="0" w:color="auto"/>
              <w:right w:val="single" w:sz="4" w:space="0" w:color="auto"/>
            </w:tcBorders>
            <w:hideMark/>
          </w:tcPr>
          <w:p w14:paraId="3874532A" w14:textId="548D96F1" w:rsidR="00BF368D" w:rsidRPr="008A16D3" w:rsidRDefault="00BF368D" w:rsidP="008A16D3">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Parameters</w:t>
            </w:r>
          </w:p>
        </w:tc>
        <w:tc>
          <w:tcPr>
            <w:tcW w:w="1454" w:type="pct"/>
            <w:tcBorders>
              <w:top w:val="single" w:sz="4" w:space="0" w:color="auto"/>
              <w:left w:val="single" w:sz="4" w:space="0" w:color="auto"/>
              <w:bottom w:val="single" w:sz="4" w:space="0" w:color="auto"/>
            </w:tcBorders>
            <w:hideMark/>
          </w:tcPr>
          <w:p w14:paraId="61A7408E" w14:textId="56E486EC" w:rsidR="00BF368D" w:rsidRPr="008A16D3" w:rsidRDefault="00BF368D" w:rsidP="008A16D3">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Treatments</w:t>
            </w:r>
          </w:p>
        </w:tc>
        <w:tc>
          <w:tcPr>
            <w:tcW w:w="2015" w:type="pct"/>
            <w:tcBorders>
              <w:top w:val="single" w:sz="4" w:space="0" w:color="auto"/>
              <w:bottom w:val="single" w:sz="4" w:space="0" w:color="auto"/>
            </w:tcBorders>
            <w:hideMark/>
          </w:tcPr>
          <w:p w14:paraId="686480AB" w14:textId="1818F0BE" w:rsidR="00BF368D" w:rsidRPr="008A16D3" w:rsidRDefault="00BF368D" w:rsidP="008A16D3">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Mean ± SE</w:t>
            </w:r>
          </w:p>
        </w:tc>
      </w:tr>
      <w:tr w:rsidR="00BF368D" w:rsidRPr="000F1DEA" w14:paraId="6A0C02AE" w14:textId="77777777" w:rsidTr="00EF3FDC">
        <w:trPr>
          <w:trHeight w:val="314"/>
        </w:trPr>
        <w:tc>
          <w:tcPr>
            <w:tcW w:w="1531" w:type="pct"/>
            <w:vMerge w:val="restart"/>
            <w:tcBorders>
              <w:top w:val="single" w:sz="4" w:space="0" w:color="auto"/>
              <w:right w:val="single" w:sz="4" w:space="0" w:color="auto"/>
            </w:tcBorders>
            <w:vAlign w:val="center"/>
            <w:hideMark/>
          </w:tcPr>
          <w:p w14:paraId="5A9800DC" w14:textId="77777777" w:rsidR="00BF368D" w:rsidRPr="008A16D3" w:rsidRDefault="00BF368D" w:rsidP="00BF368D">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HSI%</w:t>
            </w:r>
          </w:p>
        </w:tc>
        <w:tc>
          <w:tcPr>
            <w:tcW w:w="1454" w:type="pct"/>
            <w:tcBorders>
              <w:top w:val="single" w:sz="4" w:space="0" w:color="auto"/>
              <w:left w:val="single" w:sz="4" w:space="0" w:color="auto"/>
            </w:tcBorders>
            <w:vAlign w:val="center"/>
            <w:hideMark/>
          </w:tcPr>
          <w:p w14:paraId="1465EF6F" w14:textId="77777777" w:rsidR="00BF368D" w:rsidRPr="008A16D3" w:rsidRDefault="00BF368D" w:rsidP="00BF368D">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eastAsia="Times New Roman" w:hAnsi="Arial" w:cs="Arial"/>
                <w:color w:val="000000"/>
                <w:kern w:val="0"/>
                <w:sz w:val="20"/>
                <w:szCs w:val="20"/>
                <w:lang w:eastAsia="en-IN"/>
                <w14:ligatures w14:val="none"/>
              </w:rPr>
              <w:t>C</w:t>
            </w:r>
          </w:p>
        </w:tc>
        <w:tc>
          <w:tcPr>
            <w:tcW w:w="2015" w:type="pct"/>
            <w:tcBorders>
              <w:top w:val="single" w:sz="4" w:space="0" w:color="auto"/>
            </w:tcBorders>
            <w:vAlign w:val="center"/>
            <w:hideMark/>
          </w:tcPr>
          <w:p w14:paraId="259F444D" w14:textId="77777777" w:rsidR="00BF368D" w:rsidRPr="008A16D3" w:rsidRDefault="00BF368D" w:rsidP="00BF368D">
            <w:pPr>
              <w:spacing w:after="0" w:line="240" w:lineRule="auto"/>
              <w:jc w:val="center"/>
              <w:rPr>
                <w:rFonts w:ascii="Arial" w:eastAsia="Times New Roman" w:hAnsi="Arial" w:cs="Arial"/>
                <w:color w:val="010205"/>
                <w:kern w:val="0"/>
                <w:sz w:val="20"/>
                <w:szCs w:val="20"/>
                <w:lang w:eastAsia="en-IN"/>
                <w14:ligatures w14:val="none"/>
              </w:rPr>
            </w:pPr>
            <w:r w:rsidRPr="008A16D3">
              <w:rPr>
                <w:rFonts w:ascii="Arial" w:eastAsia="Arial" w:hAnsi="Arial" w:cs="Arial"/>
                <w:color w:val="010205"/>
                <w:kern w:val="0"/>
                <w:sz w:val="20"/>
                <w:szCs w:val="20"/>
                <w:lang w:eastAsia="en-IN"/>
                <w14:ligatures w14:val="none"/>
              </w:rPr>
              <w:t>1.6197±0.09</w:t>
            </w:r>
            <w:r w:rsidRPr="008A16D3">
              <w:rPr>
                <w:rFonts w:ascii="Arial" w:eastAsia="Arial" w:hAnsi="Arial" w:cs="Arial"/>
                <w:color w:val="010205"/>
                <w:kern w:val="0"/>
                <w:sz w:val="20"/>
                <w:szCs w:val="20"/>
                <w:vertAlign w:val="superscript"/>
                <w:lang w:eastAsia="en-IN"/>
                <w14:ligatures w14:val="none"/>
              </w:rPr>
              <w:t>a</w:t>
            </w:r>
          </w:p>
        </w:tc>
      </w:tr>
      <w:tr w:rsidR="00BF368D" w:rsidRPr="000F1DEA" w14:paraId="269B3175" w14:textId="77777777" w:rsidTr="00EF3FDC">
        <w:trPr>
          <w:trHeight w:val="314"/>
        </w:trPr>
        <w:tc>
          <w:tcPr>
            <w:tcW w:w="1531" w:type="pct"/>
            <w:vMerge/>
            <w:tcBorders>
              <w:right w:val="single" w:sz="4" w:space="0" w:color="auto"/>
            </w:tcBorders>
            <w:vAlign w:val="center"/>
            <w:hideMark/>
          </w:tcPr>
          <w:p w14:paraId="69CFBCB4" w14:textId="77777777" w:rsidR="00BF368D" w:rsidRPr="008A16D3" w:rsidRDefault="00BF368D" w:rsidP="007056F0">
            <w:pPr>
              <w:spacing w:after="0" w:line="360" w:lineRule="auto"/>
              <w:rPr>
                <w:rFonts w:ascii="Arial" w:eastAsia="Times New Roman" w:hAnsi="Arial" w:cs="Arial"/>
                <w:color w:val="000000"/>
                <w:kern w:val="0"/>
                <w:sz w:val="20"/>
                <w:szCs w:val="20"/>
                <w:lang w:eastAsia="en-IN"/>
                <w14:ligatures w14:val="none"/>
              </w:rPr>
            </w:pPr>
          </w:p>
        </w:tc>
        <w:tc>
          <w:tcPr>
            <w:tcW w:w="1454" w:type="pct"/>
            <w:tcBorders>
              <w:left w:val="single" w:sz="4" w:space="0" w:color="auto"/>
            </w:tcBorders>
            <w:vAlign w:val="center"/>
            <w:hideMark/>
          </w:tcPr>
          <w:p w14:paraId="61872A05" w14:textId="77777777" w:rsidR="00BF368D" w:rsidRPr="008A16D3" w:rsidRDefault="00BF368D" w:rsidP="00BF368D">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eastAsia="Times New Roman" w:hAnsi="Arial" w:cs="Arial"/>
                <w:color w:val="000000"/>
                <w:kern w:val="0"/>
                <w:sz w:val="20"/>
                <w:szCs w:val="20"/>
                <w:lang w:eastAsia="en-IN"/>
                <w14:ligatures w14:val="none"/>
              </w:rPr>
              <w:t>T1</w:t>
            </w:r>
          </w:p>
        </w:tc>
        <w:tc>
          <w:tcPr>
            <w:tcW w:w="2015" w:type="pct"/>
            <w:vAlign w:val="center"/>
            <w:hideMark/>
          </w:tcPr>
          <w:p w14:paraId="1963D97C" w14:textId="77777777" w:rsidR="00BF368D" w:rsidRPr="008A16D3" w:rsidRDefault="00BF368D" w:rsidP="00BF368D">
            <w:pPr>
              <w:spacing w:after="0" w:line="240" w:lineRule="auto"/>
              <w:jc w:val="center"/>
              <w:rPr>
                <w:rFonts w:ascii="Arial" w:eastAsia="Times New Roman" w:hAnsi="Arial" w:cs="Arial"/>
                <w:color w:val="010205"/>
                <w:kern w:val="0"/>
                <w:sz w:val="20"/>
                <w:szCs w:val="20"/>
                <w:lang w:eastAsia="en-IN"/>
                <w14:ligatures w14:val="none"/>
              </w:rPr>
            </w:pPr>
            <w:r w:rsidRPr="008A16D3">
              <w:rPr>
                <w:rFonts w:ascii="Arial" w:eastAsia="Arial" w:hAnsi="Arial" w:cs="Arial"/>
                <w:color w:val="010205"/>
                <w:kern w:val="0"/>
                <w:sz w:val="20"/>
                <w:szCs w:val="20"/>
                <w:lang w:eastAsia="en-IN"/>
                <w14:ligatures w14:val="none"/>
              </w:rPr>
              <w:t>1.5173±0.25</w:t>
            </w:r>
            <w:r w:rsidRPr="008A16D3">
              <w:rPr>
                <w:rFonts w:ascii="Arial" w:eastAsia="Arial" w:hAnsi="Arial" w:cs="Arial"/>
                <w:color w:val="010205"/>
                <w:kern w:val="0"/>
                <w:sz w:val="20"/>
                <w:szCs w:val="20"/>
                <w:vertAlign w:val="superscript"/>
                <w:lang w:eastAsia="en-IN"/>
                <w14:ligatures w14:val="none"/>
              </w:rPr>
              <w:t>a</w:t>
            </w:r>
          </w:p>
        </w:tc>
      </w:tr>
      <w:tr w:rsidR="00BF368D" w:rsidRPr="000F1DEA" w14:paraId="74B81B3F" w14:textId="77777777" w:rsidTr="00EF3FDC">
        <w:trPr>
          <w:trHeight w:val="314"/>
        </w:trPr>
        <w:tc>
          <w:tcPr>
            <w:tcW w:w="1531" w:type="pct"/>
            <w:vMerge/>
            <w:tcBorders>
              <w:right w:val="single" w:sz="4" w:space="0" w:color="auto"/>
            </w:tcBorders>
            <w:vAlign w:val="center"/>
            <w:hideMark/>
          </w:tcPr>
          <w:p w14:paraId="2AC50CF4" w14:textId="77777777" w:rsidR="00BF368D" w:rsidRPr="008A16D3" w:rsidRDefault="00BF368D" w:rsidP="007056F0">
            <w:pPr>
              <w:spacing w:after="0" w:line="360" w:lineRule="auto"/>
              <w:rPr>
                <w:rFonts w:ascii="Arial" w:eastAsia="Times New Roman" w:hAnsi="Arial" w:cs="Arial"/>
                <w:color w:val="000000"/>
                <w:kern w:val="0"/>
                <w:sz w:val="20"/>
                <w:szCs w:val="20"/>
                <w:lang w:eastAsia="en-IN"/>
                <w14:ligatures w14:val="none"/>
              </w:rPr>
            </w:pPr>
          </w:p>
        </w:tc>
        <w:tc>
          <w:tcPr>
            <w:tcW w:w="1454" w:type="pct"/>
            <w:tcBorders>
              <w:left w:val="single" w:sz="4" w:space="0" w:color="auto"/>
            </w:tcBorders>
            <w:vAlign w:val="center"/>
            <w:hideMark/>
          </w:tcPr>
          <w:p w14:paraId="648EB000" w14:textId="77777777" w:rsidR="00BF368D" w:rsidRPr="008A16D3" w:rsidRDefault="00BF368D" w:rsidP="00BF368D">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eastAsia="Times New Roman" w:hAnsi="Arial" w:cs="Arial"/>
                <w:color w:val="000000"/>
                <w:kern w:val="0"/>
                <w:sz w:val="20"/>
                <w:szCs w:val="20"/>
                <w:lang w:eastAsia="en-IN"/>
                <w14:ligatures w14:val="none"/>
              </w:rPr>
              <w:t>T2</w:t>
            </w:r>
          </w:p>
        </w:tc>
        <w:tc>
          <w:tcPr>
            <w:tcW w:w="2015" w:type="pct"/>
            <w:vAlign w:val="center"/>
            <w:hideMark/>
          </w:tcPr>
          <w:p w14:paraId="5102D527" w14:textId="77777777" w:rsidR="00BF368D" w:rsidRPr="008A16D3" w:rsidRDefault="00BF368D" w:rsidP="00BF368D">
            <w:pPr>
              <w:spacing w:after="0" w:line="240" w:lineRule="auto"/>
              <w:jc w:val="center"/>
              <w:rPr>
                <w:rFonts w:ascii="Arial" w:eastAsia="Times New Roman" w:hAnsi="Arial" w:cs="Arial"/>
                <w:color w:val="010205"/>
                <w:kern w:val="0"/>
                <w:sz w:val="20"/>
                <w:szCs w:val="20"/>
                <w:lang w:eastAsia="en-IN"/>
                <w14:ligatures w14:val="none"/>
              </w:rPr>
            </w:pPr>
            <w:r w:rsidRPr="008A16D3">
              <w:rPr>
                <w:rFonts w:ascii="Arial" w:eastAsia="Arial" w:hAnsi="Arial" w:cs="Arial"/>
                <w:color w:val="010205"/>
                <w:kern w:val="0"/>
                <w:sz w:val="20"/>
                <w:szCs w:val="20"/>
                <w:lang w:eastAsia="en-IN"/>
                <w14:ligatures w14:val="none"/>
              </w:rPr>
              <w:t>1.2527±0.24</w:t>
            </w:r>
            <w:r w:rsidRPr="008A16D3">
              <w:rPr>
                <w:rFonts w:ascii="Arial" w:eastAsia="Arial" w:hAnsi="Arial" w:cs="Arial"/>
                <w:color w:val="010205"/>
                <w:kern w:val="0"/>
                <w:sz w:val="20"/>
                <w:szCs w:val="20"/>
                <w:vertAlign w:val="superscript"/>
                <w:lang w:eastAsia="en-IN"/>
                <w14:ligatures w14:val="none"/>
              </w:rPr>
              <w:t>a</w:t>
            </w:r>
          </w:p>
        </w:tc>
      </w:tr>
      <w:tr w:rsidR="00BF368D" w:rsidRPr="000F1DEA" w14:paraId="649E2C11" w14:textId="77777777" w:rsidTr="00EF3FDC">
        <w:trPr>
          <w:trHeight w:val="314"/>
        </w:trPr>
        <w:tc>
          <w:tcPr>
            <w:tcW w:w="1531" w:type="pct"/>
            <w:vMerge/>
            <w:tcBorders>
              <w:right w:val="single" w:sz="4" w:space="0" w:color="auto"/>
            </w:tcBorders>
            <w:vAlign w:val="center"/>
            <w:hideMark/>
          </w:tcPr>
          <w:p w14:paraId="55FA372C" w14:textId="77777777" w:rsidR="00BF368D" w:rsidRPr="008A16D3" w:rsidRDefault="00BF368D" w:rsidP="007056F0">
            <w:pPr>
              <w:spacing w:after="0" w:line="360" w:lineRule="auto"/>
              <w:rPr>
                <w:rFonts w:ascii="Arial" w:eastAsia="Times New Roman" w:hAnsi="Arial" w:cs="Arial"/>
                <w:color w:val="000000"/>
                <w:kern w:val="0"/>
                <w:sz w:val="20"/>
                <w:szCs w:val="20"/>
                <w:lang w:eastAsia="en-IN"/>
                <w14:ligatures w14:val="none"/>
              </w:rPr>
            </w:pPr>
          </w:p>
        </w:tc>
        <w:tc>
          <w:tcPr>
            <w:tcW w:w="1454" w:type="pct"/>
            <w:tcBorders>
              <w:left w:val="single" w:sz="4" w:space="0" w:color="auto"/>
            </w:tcBorders>
            <w:vAlign w:val="center"/>
            <w:hideMark/>
          </w:tcPr>
          <w:p w14:paraId="7B23736A" w14:textId="77777777" w:rsidR="00BF368D" w:rsidRPr="008A16D3" w:rsidRDefault="00BF368D" w:rsidP="00BF368D">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eastAsia="Times New Roman" w:hAnsi="Arial" w:cs="Arial"/>
                <w:color w:val="000000"/>
                <w:kern w:val="0"/>
                <w:sz w:val="20"/>
                <w:szCs w:val="20"/>
                <w:lang w:eastAsia="en-IN"/>
                <w14:ligatures w14:val="none"/>
              </w:rPr>
              <w:t>T3</w:t>
            </w:r>
          </w:p>
        </w:tc>
        <w:tc>
          <w:tcPr>
            <w:tcW w:w="2015" w:type="pct"/>
            <w:vAlign w:val="center"/>
            <w:hideMark/>
          </w:tcPr>
          <w:p w14:paraId="1A0FA0F2" w14:textId="77777777" w:rsidR="00BF368D" w:rsidRPr="008A16D3" w:rsidRDefault="00BF368D" w:rsidP="00BF368D">
            <w:pPr>
              <w:spacing w:after="0" w:line="240" w:lineRule="auto"/>
              <w:jc w:val="center"/>
              <w:rPr>
                <w:rFonts w:ascii="Arial" w:eastAsia="Times New Roman" w:hAnsi="Arial" w:cs="Arial"/>
                <w:color w:val="010205"/>
                <w:kern w:val="0"/>
                <w:sz w:val="20"/>
                <w:szCs w:val="20"/>
                <w:lang w:eastAsia="en-IN"/>
                <w14:ligatures w14:val="none"/>
              </w:rPr>
            </w:pPr>
            <w:r w:rsidRPr="008A16D3">
              <w:rPr>
                <w:rFonts w:ascii="Arial" w:eastAsia="Arial" w:hAnsi="Arial" w:cs="Arial"/>
                <w:color w:val="010205"/>
                <w:kern w:val="0"/>
                <w:sz w:val="20"/>
                <w:szCs w:val="20"/>
                <w:lang w:eastAsia="en-IN"/>
                <w14:ligatures w14:val="none"/>
              </w:rPr>
              <w:t>1.1977±0.26</w:t>
            </w:r>
            <w:r w:rsidRPr="008A16D3">
              <w:rPr>
                <w:rFonts w:ascii="Arial" w:eastAsia="Arial" w:hAnsi="Arial" w:cs="Arial"/>
                <w:color w:val="010205"/>
                <w:kern w:val="0"/>
                <w:sz w:val="20"/>
                <w:szCs w:val="20"/>
                <w:vertAlign w:val="superscript"/>
                <w:lang w:eastAsia="en-IN"/>
                <w14:ligatures w14:val="none"/>
              </w:rPr>
              <w:t>a</w:t>
            </w:r>
          </w:p>
        </w:tc>
      </w:tr>
      <w:tr w:rsidR="00BF368D" w:rsidRPr="000F1DEA" w14:paraId="04B6D52F" w14:textId="77777777" w:rsidTr="00EF3FDC">
        <w:trPr>
          <w:trHeight w:val="314"/>
        </w:trPr>
        <w:tc>
          <w:tcPr>
            <w:tcW w:w="1531" w:type="pct"/>
            <w:vMerge/>
            <w:tcBorders>
              <w:bottom w:val="single" w:sz="4" w:space="0" w:color="auto"/>
              <w:right w:val="single" w:sz="4" w:space="0" w:color="auto"/>
            </w:tcBorders>
            <w:vAlign w:val="center"/>
            <w:hideMark/>
          </w:tcPr>
          <w:p w14:paraId="230D854F" w14:textId="77777777" w:rsidR="00BF368D" w:rsidRPr="008A16D3" w:rsidRDefault="00BF368D" w:rsidP="007056F0">
            <w:pPr>
              <w:spacing w:after="0" w:line="360" w:lineRule="auto"/>
              <w:rPr>
                <w:rFonts w:ascii="Arial" w:eastAsia="Times New Roman" w:hAnsi="Arial" w:cs="Arial"/>
                <w:color w:val="000000"/>
                <w:kern w:val="0"/>
                <w:sz w:val="20"/>
                <w:szCs w:val="20"/>
                <w:lang w:eastAsia="en-IN"/>
                <w14:ligatures w14:val="none"/>
              </w:rPr>
            </w:pPr>
          </w:p>
        </w:tc>
        <w:tc>
          <w:tcPr>
            <w:tcW w:w="1454" w:type="pct"/>
            <w:tcBorders>
              <w:left w:val="single" w:sz="4" w:space="0" w:color="auto"/>
              <w:bottom w:val="single" w:sz="4" w:space="0" w:color="auto"/>
            </w:tcBorders>
            <w:vAlign w:val="center"/>
            <w:hideMark/>
          </w:tcPr>
          <w:p w14:paraId="58BFE836" w14:textId="77777777" w:rsidR="00BF368D" w:rsidRPr="008A16D3" w:rsidRDefault="00BF368D" w:rsidP="00BF368D">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eastAsia="Times New Roman" w:hAnsi="Arial" w:cs="Arial"/>
                <w:color w:val="000000"/>
                <w:kern w:val="0"/>
                <w:sz w:val="20"/>
                <w:szCs w:val="20"/>
                <w:lang w:eastAsia="en-IN"/>
                <w14:ligatures w14:val="none"/>
              </w:rPr>
              <w:t>T4</w:t>
            </w:r>
          </w:p>
        </w:tc>
        <w:tc>
          <w:tcPr>
            <w:tcW w:w="2015" w:type="pct"/>
            <w:tcBorders>
              <w:bottom w:val="single" w:sz="4" w:space="0" w:color="auto"/>
            </w:tcBorders>
            <w:vAlign w:val="center"/>
            <w:hideMark/>
          </w:tcPr>
          <w:p w14:paraId="553C4884" w14:textId="77777777" w:rsidR="00BF368D" w:rsidRPr="008A16D3" w:rsidRDefault="00BF368D" w:rsidP="00BF368D">
            <w:pPr>
              <w:spacing w:after="0" w:line="240" w:lineRule="auto"/>
              <w:jc w:val="center"/>
              <w:rPr>
                <w:rFonts w:ascii="Arial" w:eastAsia="Times New Roman" w:hAnsi="Arial" w:cs="Arial"/>
                <w:color w:val="010205"/>
                <w:kern w:val="0"/>
                <w:sz w:val="20"/>
                <w:szCs w:val="20"/>
                <w:lang w:eastAsia="en-IN"/>
                <w14:ligatures w14:val="none"/>
              </w:rPr>
            </w:pPr>
            <w:r w:rsidRPr="008A16D3">
              <w:rPr>
                <w:rFonts w:ascii="Arial" w:eastAsia="Arial" w:hAnsi="Arial" w:cs="Arial"/>
                <w:color w:val="010205"/>
                <w:kern w:val="0"/>
                <w:sz w:val="20"/>
                <w:szCs w:val="20"/>
                <w:lang w:eastAsia="en-IN"/>
                <w14:ligatures w14:val="none"/>
              </w:rPr>
              <w:t>1.4053±0.44</w:t>
            </w:r>
            <w:r w:rsidRPr="008A16D3">
              <w:rPr>
                <w:rFonts w:ascii="Arial" w:eastAsia="Arial" w:hAnsi="Arial" w:cs="Arial"/>
                <w:color w:val="010205"/>
                <w:kern w:val="0"/>
                <w:sz w:val="20"/>
                <w:szCs w:val="20"/>
                <w:vertAlign w:val="superscript"/>
                <w:lang w:eastAsia="en-IN"/>
                <w14:ligatures w14:val="none"/>
              </w:rPr>
              <w:t>a</w:t>
            </w:r>
          </w:p>
        </w:tc>
      </w:tr>
    </w:tbl>
    <w:p w14:paraId="7B97BBA3" w14:textId="597399D1" w:rsidR="00BF368D" w:rsidRDefault="00BF368D" w:rsidP="003978B6">
      <w:pPr>
        <w:spacing w:after="4" w:line="249" w:lineRule="auto"/>
        <w:ind w:left="-5" w:right="-123" w:hanging="10"/>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HIS = Hepatosomatic index, </w:t>
      </w:r>
      <w:r w:rsidR="00FA6808">
        <w:rPr>
          <w:rFonts w:ascii="Arial" w:hAnsi="Arial" w:cs="Arial"/>
          <w:bCs/>
          <w:sz w:val="20"/>
          <w:szCs w:val="20"/>
        </w:rPr>
        <w:t xml:space="preserve">C = Control, </w:t>
      </w:r>
      <w:r w:rsidRPr="008A16D3">
        <w:rPr>
          <w:rFonts w:ascii="Arial" w:hAnsi="Arial" w:cs="Arial"/>
          <w:bCs/>
          <w:sz w:val="20"/>
          <w:szCs w:val="20"/>
        </w:rPr>
        <w:t>T1= Bio-floc (20:1); T2= 0.5% Jeevamruth; T3=1% Jeevamruth, T4=Biofloc (20:1) + 0.5% Jeevamruth; The mean values followed by the different superscript letters in each factor indicate significant difference at 0.05.)</w:t>
      </w:r>
    </w:p>
    <w:p w14:paraId="6A803C13" w14:textId="77777777" w:rsidR="008A16D3" w:rsidRPr="008A16D3" w:rsidRDefault="008A16D3" w:rsidP="003978B6">
      <w:pPr>
        <w:spacing w:after="4" w:line="249" w:lineRule="auto"/>
        <w:ind w:left="-5" w:right="-123" w:hanging="10"/>
        <w:rPr>
          <w:rFonts w:ascii="Arial" w:hAnsi="Arial" w:cs="Arial"/>
          <w:b/>
          <w:sz w:val="20"/>
          <w:szCs w:val="20"/>
        </w:rPr>
      </w:pPr>
    </w:p>
    <w:p w14:paraId="07066377" w14:textId="77777777" w:rsidR="00BF368D" w:rsidRDefault="00BF368D" w:rsidP="0083337B">
      <w:pPr>
        <w:spacing w:line="240" w:lineRule="auto"/>
        <w:jc w:val="both"/>
        <w:rPr>
          <w:rFonts w:ascii="Arial" w:hAnsi="Arial" w:cs="Arial"/>
          <w:sz w:val="22"/>
          <w:szCs w:val="22"/>
        </w:rPr>
      </w:pPr>
      <w:r w:rsidRPr="000F1DEA">
        <w:rPr>
          <w:rFonts w:ascii="Arial" w:hAnsi="Arial" w:cs="Arial"/>
          <w:noProof/>
          <w:sz w:val="22"/>
          <w:szCs w:val="22"/>
        </w:rPr>
        <w:lastRenderedPageBreak/>
        <w:drawing>
          <wp:inline distT="0" distB="0" distL="0" distR="0" wp14:anchorId="14C0DD7B" wp14:editId="2626F39C">
            <wp:extent cx="5502910" cy="3209925"/>
            <wp:effectExtent l="0" t="0" r="2540" b="9525"/>
            <wp:docPr id="178215775" name="Chart 1">
              <a:extLst xmlns:a="http://schemas.openxmlformats.org/drawingml/2006/main">
                <a:ext uri="{FF2B5EF4-FFF2-40B4-BE49-F238E27FC236}">
                  <a16:creationId xmlns:a16="http://schemas.microsoft.com/office/drawing/2014/main" id="{737F2BDB-E65E-7BFE-D6AA-95E5BF537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08E559" w14:textId="3CE2DA05" w:rsidR="00580222" w:rsidRPr="00580222" w:rsidRDefault="00580222" w:rsidP="00580222">
      <w:pPr>
        <w:spacing w:line="276" w:lineRule="auto"/>
        <w:jc w:val="center"/>
        <w:rPr>
          <w:rFonts w:ascii="Arial" w:hAnsi="Arial" w:cs="Arial"/>
          <w:sz w:val="22"/>
          <w:szCs w:val="22"/>
        </w:rPr>
      </w:pPr>
      <w:r w:rsidRPr="00580222">
        <w:rPr>
          <w:rFonts w:ascii="Arial" w:hAnsi="Arial" w:cs="Arial"/>
          <w:sz w:val="22"/>
          <w:szCs w:val="22"/>
        </w:rPr>
        <w:t>Figur</w:t>
      </w:r>
      <w:r>
        <w:rPr>
          <w:rFonts w:ascii="Arial" w:hAnsi="Arial" w:cs="Arial"/>
          <w:sz w:val="22"/>
          <w:szCs w:val="22"/>
        </w:rPr>
        <w:t>e</w:t>
      </w:r>
      <w:r w:rsidRPr="00580222">
        <w:rPr>
          <w:rFonts w:ascii="Arial" w:hAnsi="Arial" w:cs="Arial"/>
          <w:sz w:val="22"/>
          <w:szCs w:val="22"/>
        </w:rPr>
        <w:t xml:space="preserve"> </w:t>
      </w:r>
      <w:r>
        <w:rPr>
          <w:rFonts w:ascii="Arial" w:hAnsi="Arial" w:cs="Arial"/>
          <w:sz w:val="22"/>
          <w:szCs w:val="22"/>
        </w:rPr>
        <w:t>1</w:t>
      </w:r>
      <w:r w:rsidRPr="00580222">
        <w:rPr>
          <w:rFonts w:ascii="Arial" w:hAnsi="Arial" w:cs="Arial"/>
          <w:sz w:val="22"/>
          <w:szCs w:val="22"/>
        </w:rPr>
        <w:t>: Hepatosomatic index</w:t>
      </w:r>
    </w:p>
    <w:p w14:paraId="0B725C73" w14:textId="5116495A" w:rsidR="00BF12B9" w:rsidRDefault="00BF12B9" w:rsidP="00BF12B9">
      <w:pPr>
        <w:spacing w:line="276" w:lineRule="auto"/>
        <w:ind w:firstLine="720"/>
        <w:jc w:val="both"/>
        <w:rPr>
          <w:rFonts w:ascii="Arial" w:hAnsi="Arial" w:cs="Arial"/>
          <w:sz w:val="20"/>
          <w:szCs w:val="20"/>
        </w:rPr>
      </w:pPr>
      <w:r w:rsidRPr="00060882">
        <w:rPr>
          <w:rFonts w:ascii="Arial" w:hAnsi="Arial" w:cs="Arial"/>
          <w:sz w:val="20"/>
          <w:szCs w:val="20"/>
        </w:rPr>
        <w:t>the HSI values ranged from 1.19 ± 0.26% (T3) to 1.62 ± 0.09% (Control). Statistical analysis revealed no significant differences (p &gt; 0.05) among the treatments. The lack of significant variation in HSI values is a positive indicator of physiological stability, suggesting that the inclusion of Jeevamruth (at both 0.5% and 1%) and biofloc did not induce hepatic stress, hypertrophy due to toxin accumulation, or atrophy due to nutritional deficits. The liver is a sensitive organ that often enlarges in response to toxins or excessive lipid accumulation. The consistent HSI values across the treatment groups (T1</w:t>
      </w:r>
      <w:r>
        <w:rPr>
          <w:rFonts w:ascii="Arial" w:hAnsi="Arial" w:cs="Arial"/>
          <w:sz w:val="20"/>
          <w:szCs w:val="20"/>
        </w:rPr>
        <w:t>-</w:t>
      </w:r>
      <w:r w:rsidRPr="00060882">
        <w:rPr>
          <w:rFonts w:ascii="Arial" w:hAnsi="Arial" w:cs="Arial"/>
          <w:sz w:val="20"/>
          <w:szCs w:val="20"/>
        </w:rPr>
        <w:t>T4) and the Control indicate that the microbial amendments maintained a non-toxic rearing environment. While numerically lower HSI values were observed in the Jeevamruth-treated groups compared to the Control, these values remained within the normal physiological norms for Labeo rohita. This trend, although not statistically significant, aligns with observations by Panigrahi et al. (2018) and Zaki et al. (2024), who noted that biofloc systems often prevent excessive hepatic lipid deposition by providing a balanced protein-to-energy ratio through microbial protein consumption.</w:t>
      </w:r>
      <w:r>
        <w:rPr>
          <w:rFonts w:ascii="Arial" w:hAnsi="Arial" w:cs="Arial"/>
          <w:sz w:val="20"/>
          <w:szCs w:val="20"/>
        </w:rPr>
        <w:t xml:space="preserve"> </w:t>
      </w:r>
    </w:p>
    <w:p w14:paraId="3D515F4D" w14:textId="77777777" w:rsidR="00BF12B9" w:rsidRDefault="00BF12B9" w:rsidP="00BF12B9">
      <w:pPr>
        <w:spacing w:line="276" w:lineRule="auto"/>
        <w:ind w:firstLine="720"/>
        <w:jc w:val="both"/>
        <w:rPr>
          <w:rFonts w:ascii="Arial" w:hAnsi="Arial" w:cs="Arial"/>
          <w:sz w:val="20"/>
          <w:szCs w:val="20"/>
        </w:rPr>
      </w:pPr>
      <w:r>
        <w:rPr>
          <w:rFonts w:ascii="Arial" w:hAnsi="Arial" w:cs="Arial"/>
          <w:sz w:val="20"/>
          <w:szCs w:val="20"/>
        </w:rPr>
        <w:t>T</w:t>
      </w:r>
      <w:r w:rsidRPr="00060882">
        <w:rPr>
          <w:rFonts w:ascii="Arial" w:hAnsi="Arial" w:cs="Arial"/>
          <w:sz w:val="20"/>
          <w:szCs w:val="20"/>
        </w:rPr>
        <w:t xml:space="preserve">he stable HSI in the combined treatment (T4: 1.40 ± 0.44%) suggests that the synergistic use of millet-based carbon and Jeevamruth did not impose an additional metabolic load on the fish. Instead, it supported normal hepatic function, likely by maintaining optimal water quality and reducing the oxidative stress often associated with intensive culture systems. Consequently, the HSI results confirm the biosafety of Jeevamruth as an aquaculture input, demonstrating that it can be integrated into biofloc systems without compromising the metabolic health or organ integrity of the fish </w:t>
      </w:r>
    </w:p>
    <w:p w14:paraId="4F0C3189" w14:textId="77777777" w:rsidR="00BF12B9" w:rsidRDefault="00BF12B9" w:rsidP="0083337B">
      <w:pPr>
        <w:spacing w:line="240" w:lineRule="auto"/>
        <w:jc w:val="both"/>
        <w:rPr>
          <w:rFonts w:ascii="Arial" w:hAnsi="Arial" w:cs="Arial"/>
          <w:sz w:val="22"/>
          <w:szCs w:val="22"/>
        </w:rPr>
      </w:pPr>
    </w:p>
    <w:p w14:paraId="3076A2D8" w14:textId="55BF3985" w:rsidR="00BF368D" w:rsidRPr="000F1DEA" w:rsidRDefault="00AF79F1" w:rsidP="003A1AC0">
      <w:pPr>
        <w:spacing w:line="360" w:lineRule="auto"/>
        <w:rPr>
          <w:rFonts w:ascii="Arial" w:hAnsi="Arial" w:cs="Arial"/>
          <w:b/>
          <w:bCs/>
          <w:sz w:val="22"/>
          <w:szCs w:val="22"/>
        </w:rPr>
      </w:pPr>
      <w:r>
        <w:rPr>
          <w:rFonts w:ascii="Arial" w:hAnsi="Arial" w:cs="Arial"/>
          <w:b/>
          <w:bCs/>
          <w:sz w:val="22"/>
          <w:szCs w:val="22"/>
        </w:rPr>
        <w:t xml:space="preserve">Table 2: </w:t>
      </w:r>
      <w:r w:rsidR="00BF368D" w:rsidRPr="000F1DEA">
        <w:rPr>
          <w:rFonts w:ascii="Arial" w:hAnsi="Arial" w:cs="Arial"/>
          <w:b/>
          <w:bCs/>
          <w:sz w:val="22"/>
          <w:szCs w:val="22"/>
        </w:rPr>
        <w:t>Intestinal somatic index recorded during experimental period.</w:t>
      </w:r>
    </w:p>
    <w:tbl>
      <w:tblPr>
        <w:tblW w:w="8646" w:type="dxa"/>
        <w:tblLook w:val="04A0" w:firstRow="1" w:lastRow="0" w:firstColumn="1" w:lastColumn="0" w:noHBand="0" w:noVBand="1"/>
      </w:tblPr>
      <w:tblGrid>
        <w:gridCol w:w="2646"/>
        <w:gridCol w:w="2514"/>
        <w:gridCol w:w="3486"/>
      </w:tblGrid>
      <w:tr w:rsidR="00BF368D" w:rsidRPr="000F1DEA" w14:paraId="1FD4AB7F" w14:textId="77777777" w:rsidTr="00EF3FDC">
        <w:trPr>
          <w:trHeight w:val="134"/>
        </w:trPr>
        <w:tc>
          <w:tcPr>
            <w:tcW w:w="2646" w:type="dxa"/>
            <w:tcBorders>
              <w:top w:val="single" w:sz="4" w:space="0" w:color="auto"/>
              <w:bottom w:val="single" w:sz="4" w:space="0" w:color="auto"/>
              <w:right w:val="single" w:sz="4" w:space="0" w:color="auto"/>
            </w:tcBorders>
            <w:vAlign w:val="center"/>
            <w:hideMark/>
          </w:tcPr>
          <w:p w14:paraId="525210F5" w14:textId="77777777" w:rsidR="00BF368D" w:rsidRPr="008A16D3" w:rsidRDefault="00BF368D" w:rsidP="007739AF">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Parameters</w:t>
            </w:r>
          </w:p>
        </w:tc>
        <w:tc>
          <w:tcPr>
            <w:tcW w:w="2514" w:type="dxa"/>
            <w:tcBorders>
              <w:top w:val="single" w:sz="4" w:space="0" w:color="auto"/>
              <w:left w:val="single" w:sz="4" w:space="0" w:color="auto"/>
              <w:bottom w:val="single" w:sz="4" w:space="0" w:color="auto"/>
            </w:tcBorders>
            <w:vAlign w:val="center"/>
            <w:hideMark/>
          </w:tcPr>
          <w:p w14:paraId="316174B3" w14:textId="77777777" w:rsidR="00BF368D" w:rsidRPr="008A16D3" w:rsidRDefault="00BF368D" w:rsidP="007739AF">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Treatments</w:t>
            </w:r>
          </w:p>
        </w:tc>
        <w:tc>
          <w:tcPr>
            <w:tcW w:w="3486" w:type="dxa"/>
            <w:tcBorders>
              <w:top w:val="single" w:sz="4" w:space="0" w:color="auto"/>
              <w:bottom w:val="single" w:sz="4" w:space="0" w:color="auto"/>
            </w:tcBorders>
            <w:vAlign w:val="center"/>
            <w:hideMark/>
          </w:tcPr>
          <w:p w14:paraId="02C6CDE0" w14:textId="77777777" w:rsidR="00BF368D" w:rsidRPr="008A16D3" w:rsidRDefault="00BF368D" w:rsidP="007739AF">
            <w:pPr>
              <w:spacing w:after="0" w:line="240" w:lineRule="auto"/>
              <w:jc w:val="center"/>
              <w:rPr>
                <w:rFonts w:ascii="Arial" w:eastAsia="Times New Roman" w:hAnsi="Arial" w:cs="Arial"/>
                <w:b/>
                <w:bCs/>
                <w:color w:val="000000"/>
                <w:kern w:val="0"/>
                <w:sz w:val="20"/>
                <w:szCs w:val="20"/>
                <w:lang w:eastAsia="en-IN"/>
                <w14:ligatures w14:val="none"/>
              </w:rPr>
            </w:pPr>
            <w:r w:rsidRPr="008A16D3">
              <w:rPr>
                <w:rFonts w:ascii="Arial" w:eastAsia="Times New Roman" w:hAnsi="Arial" w:cs="Arial"/>
                <w:b/>
                <w:bCs/>
                <w:color w:val="000000"/>
                <w:kern w:val="0"/>
                <w:sz w:val="20"/>
                <w:szCs w:val="20"/>
                <w:lang w:eastAsia="en-IN"/>
                <w14:ligatures w14:val="none"/>
              </w:rPr>
              <w:t>Mean ± SE</w:t>
            </w:r>
          </w:p>
        </w:tc>
      </w:tr>
      <w:tr w:rsidR="00BF368D" w:rsidRPr="000F1DEA" w14:paraId="709BC467" w14:textId="77777777" w:rsidTr="00EF3FDC">
        <w:trPr>
          <w:trHeight w:val="292"/>
        </w:trPr>
        <w:tc>
          <w:tcPr>
            <w:tcW w:w="2646" w:type="dxa"/>
            <w:vMerge w:val="restart"/>
            <w:tcBorders>
              <w:top w:val="single" w:sz="4" w:space="0" w:color="auto"/>
              <w:right w:val="single" w:sz="4" w:space="0" w:color="auto"/>
            </w:tcBorders>
            <w:vAlign w:val="center"/>
            <w:hideMark/>
          </w:tcPr>
          <w:p w14:paraId="3428E2B4"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ISI%</w:t>
            </w:r>
          </w:p>
        </w:tc>
        <w:tc>
          <w:tcPr>
            <w:tcW w:w="2514" w:type="dxa"/>
            <w:tcBorders>
              <w:top w:val="single" w:sz="4" w:space="0" w:color="auto"/>
              <w:left w:val="single" w:sz="4" w:space="0" w:color="auto"/>
            </w:tcBorders>
            <w:hideMark/>
          </w:tcPr>
          <w:p w14:paraId="1F8DF600"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C</w:t>
            </w:r>
          </w:p>
        </w:tc>
        <w:tc>
          <w:tcPr>
            <w:tcW w:w="3486" w:type="dxa"/>
            <w:tcBorders>
              <w:top w:val="single" w:sz="4" w:space="0" w:color="auto"/>
            </w:tcBorders>
            <w:hideMark/>
          </w:tcPr>
          <w:p w14:paraId="242312FA" w14:textId="77777777" w:rsidR="00BF368D" w:rsidRPr="008A16D3" w:rsidRDefault="00BF368D" w:rsidP="007739AF">
            <w:pPr>
              <w:spacing w:after="0" w:line="240" w:lineRule="auto"/>
              <w:jc w:val="center"/>
              <w:rPr>
                <w:rFonts w:ascii="Arial" w:eastAsia="Times New Roman" w:hAnsi="Arial" w:cs="Arial"/>
                <w:kern w:val="0"/>
                <w:sz w:val="20"/>
                <w:szCs w:val="20"/>
                <w:lang w:eastAsia="en-IN"/>
                <w14:ligatures w14:val="none"/>
              </w:rPr>
            </w:pPr>
            <w:r w:rsidRPr="008A16D3">
              <w:rPr>
                <w:rFonts w:ascii="Arial" w:eastAsia="Arial" w:hAnsi="Arial" w:cs="Arial"/>
                <w:sz w:val="20"/>
                <w:szCs w:val="20"/>
              </w:rPr>
              <w:t>9.57±0.07</w:t>
            </w:r>
            <w:r w:rsidRPr="008A16D3">
              <w:rPr>
                <w:rFonts w:ascii="Arial" w:eastAsia="Arial" w:hAnsi="Arial" w:cs="Arial"/>
                <w:position w:val="10"/>
                <w:sz w:val="20"/>
                <w:szCs w:val="20"/>
                <w:vertAlign w:val="superscript"/>
              </w:rPr>
              <w:t>a</w:t>
            </w:r>
          </w:p>
        </w:tc>
      </w:tr>
      <w:tr w:rsidR="00BF368D" w:rsidRPr="000F1DEA" w14:paraId="03D85EF9" w14:textId="77777777" w:rsidTr="00EF3FDC">
        <w:trPr>
          <w:trHeight w:val="292"/>
        </w:trPr>
        <w:tc>
          <w:tcPr>
            <w:tcW w:w="2646" w:type="dxa"/>
            <w:vMerge/>
            <w:tcBorders>
              <w:right w:val="single" w:sz="4" w:space="0" w:color="auto"/>
            </w:tcBorders>
            <w:hideMark/>
          </w:tcPr>
          <w:p w14:paraId="22CA9D7A" w14:textId="77777777" w:rsidR="00BF368D" w:rsidRPr="008A16D3" w:rsidRDefault="00BF368D" w:rsidP="007739AF">
            <w:pPr>
              <w:spacing w:after="0" w:line="240" w:lineRule="auto"/>
              <w:rPr>
                <w:rFonts w:ascii="Arial" w:eastAsia="Times New Roman" w:hAnsi="Arial" w:cs="Arial"/>
                <w:color w:val="000000"/>
                <w:kern w:val="0"/>
                <w:sz w:val="20"/>
                <w:szCs w:val="20"/>
                <w:lang w:eastAsia="en-IN"/>
                <w14:ligatures w14:val="none"/>
              </w:rPr>
            </w:pPr>
          </w:p>
        </w:tc>
        <w:tc>
          <w:tcPr>
            <w:tcW w:w="2514" w:type="dxa"/>
            <w:tcBorders>
              <w:left w:val="single" w:sz="4" w:space="0" w:color="auto"/>
            </w:tcBorders>
            <w:hideMark/>
          </w:tcPr>
          <w:p w14:paraId="5208271D"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T1</w:t>
            </w:r>
          </w:p>
        </w:tc>
        <w:tc>
          <w:tcPr>
            <w:tcW w:w="3486" w:type="dxa"/>
            <w:hideMark/>
          </w:tcPr>
          <w:p w14:paraId="1DD15C8D" w14:textId="77777777" w:rsidR="00BF368D" w:rsidRPr="008A16D3" w:rsidRDefault="00BF368D" w:rsidP="007739AF">
            <w:pPr>
              <w:spacing w:after="0" w:line="240" w:lineRule="auto"/>
              <w:jc w:val="center"/>
              <w:rPr>
                <w:rFonts w:ascii="Arial" w:eastAsia="Times New Roman" w:hAnsi="Arial" w:cs="Arial"/>
                <w:kern w:val="0"/>
                <w:sz w:val="20"/>
                <w:szCs w:val="20"/>
                <w:lang w:eastAsia="en-IN"/>
                <w14:ligatures w14:val="none"/>
              </w:rPr>
            </w:pPr>
            <w:r w:rsidRPr="008A16D3">
              <w:rPr>
                <w:rFonts w:ascii="Arial" w:eastAsia="Arial" w:hAnsi="Arial" w:cs="Arial"/>
                <w:sz w:val="20"/>
                <w:szCs w:val="20"/>
              </w:rPr>
              <w:t>8.51±0.36</w:t>
            </w:r>
            <w:r w:rsidRPr="008A16D3">
              <w:rPr>
                <w:rFonts w:ascii="Arial" w:eastAsia="Arial" w:hAnsi="Arial" w:cs="Arial"/>
                <w:position w:val="10"/>
                <w:sz w:val="20"/>
                <w:szCs w:val="20"/>
                <w:vertAlign w:val="superscript"/>
              </w:rPr>
              <w:t>ab</w:t>
            </w:r>
          </w:p>
        </w:tc>
      </w:tr>
      <w:tr w:rsidR="00BF368D" w:rsidRPr="000F1DEA" w14:paraId="739D06E8" w14:textId="77777777" w:rsidTr="00EF3FDC">
        <w:trPr>
          <w:trHeight w:val="292"/>
        </w:trPr>
        <w:tc>
          <w:tcPr>
            <w:tcW w:w="2646" w:type="dxa"/>
            <w:vMerge/>
            <w:tcBorders>
              <w:right w:val="single" w:sz="4" w:space="0" w:color="auto"/>
            </w:tcBorders>
            <w:hideMark/>
          </w:tcPr>
          <w:p w14:paraId="1EC03074" w14:textId="77777777" w:rsidR="00BF368D" w:rsidRPr="008A16D3" w:rsidRDefault="00BF368D" w:rsidP="007739AF">
            <w:pPr>
              <w:spacing w:after="0" w:line="240" w:lineRule="auto"/>
              <w:rPr>
                <w:rFonts w:ascii="Arial" w:eastAsia="Times New Roman" w:hAnsi="Arial" w:cs="Arial"/>
                <w:color w:val="000000"/>
                <w:kern w:val="0"/>
                <w:sz w:val="20"/>
                <w:szCs w:val="20"/>
                <w:lang w:eastAsia="en-IN"/>
                <w14:ligatures w14:val="none"/>
              </w:rPr>
            </w:pPr>
          </w:p>
        </w:tc>
        <w:tc>
          <w:tcPr>
            <w:tcW w:w="2514" w:type="dxa"/>
            <w:tcBorders>
              <w:left w:val="single" w:sz="4" w:space="0" w:color="auto"/>
            </w:tcBorders>
            <w:hideMark/>
          </w:tcPr>
          <w:p w14:paraId="4E0F9C3F"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T2</w:t>
            </w:r>
          </w:p>
        </w:tc>
        <w:tc>
          <w:tcPr>
            <w:tcW w:w="3486" w:type="dxa"/>
            <w:hideMark/>
          </w:tcPr>
          <w:p w14:paraId="47E9E904" w14:textId="77777777" w:rsidR="00BF368D" w:rsidRPr="008A16D3" w:rsidRDefault="00BF368D" w:rsidP="007739AF">
            <w:pPr>
              <w:spacing w:after="0" w:line="240" w:lineRule="auto"/>
              <w:jc w:val="center"/>
              <w:rPr>
                <w:rFonts w:ascii="Arial" w:eastAsia="Times New Roman" w:hAnsi="Arial" w:cs="Arial"/>
                <w:kern w:val="0"/>
                <w:sz w:val="20"/>
                <w:szCs w:val="20"/>
                <w:lang w:eastAsia="en-IN"/>
                <w14:ligatures w14:val="none"/>
              </w:rPr>
            </w:pPr>
            <w:r w:rsidRPr="008A16D3">
              <w:rPr>
                <w:rFonts w:ascii="Arial" w:eastAsia="Arial" w:hAnsi="Arial" w:cs="Arial"/>
                <w:sz w:val="20"/>
                <w:szCs w:val="20"/>
              </w:rPr>
              <w:t>9.56±0.86</w:t>
            </w:r>
            <w:r w:rsidRPr="008A16D3">
              <w:rPr>
                <w:rFonts w:ascii="Arial" w:eastAsia="Arial" w:hAnsi="Arial" w:cs="Arial"/>
                <w:position w:val="10"/>
                <w:sz w:val="20"/>
                <w:szCs w:val="20"/>
                <w:vertAlign w:val="superscript"/>
              </w:rPr>
              <w:t>a</w:t>
            </w:r>
          </w:p>
        </w:tc>
      </w:tr>
      <w:tr w:rsidR="00BF368D" w:rsidRPr="000F1DEA" w14:paraId="4A04F71A" w14:textId="77777777" w:rsidTr="00EF3FDC">
        <w:trPr>
          <w:trHeight w:val="292"/>
        </w:trPr>
        <w:tc>
          <w:tcPr>
            <w:tcW w:w="2646" w:type="dxa"/>
            <w:vMerge/>
            <w:tcBorders>
              <w:right w:val="single" w:sz="4" w:space="0" w:color="auto"/>
            </w:tcBorders>
            <w:hideMark/>
          </w:tcPr>
          <w:p w14:paraId="6A1EE4EB" w14:textId="77777777" w:rsidR="00BF368D" w:rsidRPr="008A16D3" w:rsidRDefault="00BF368D" w:rsidP="007739AF">
            <w:pPr>
              <w:spacing w:after="0" w:line="240" w:lineRule="auto"/>
              <w:rPr>
                <w:rFonts w:ascii="Arial" w:eastAsia="Times New Roman" w:hAnsi="Arial" w:cs="Arial"/>
                <w:color w:val="000000"/>
                <w:kern w:val="0"/>
                <w:sz w:val="20"/>
                <w:szCs w:val="20"/>
                <w:lang w:eastAsia="en-IN"/>
                <w14:ligatures w14:val="none"/>
              </w:rPr>
            </w:pPr>
          </w:p>
        </w:tc>
        <w:tc>
          <w:tcPr>
            <w:tcW w:w="2514" w:type="dxa"/>
            <w:tcBorders>
              <w:left w:val="single" w:sz="4" w:space="0" w:color="auto"/>
            </w:tcBorders>
            <w:hideMark/>
          </w:tcPr>
          <w:p w14:paraId="3E410847"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T3</w:t>
            </w:r>
          </w:p>
        </w:tc>
        <w:tc>
          <w:tcPr>
            <w:tcW w:w="3486" w:type="dxa"/>
            <w:hideMark/>
          </w:tcPr>
          <w:p w14:paraId="5FE75DC3" w14:textId="77777777" w:rsidR="00BF368D" w:rsidRPr="008A16D3" w:rsidRDefault="00BF368D" w:rsidP="007739AF">
            <w:pPr>
              <w:spacing w:after="0" w:line="240" w:lineRule="auto"/>
              <w:jc w:val="center"/>
              <w:rPr>
                <w:rFonts w:ascii="Arial" w:eastAsia="Times New Roman" w:hAnsi="Arial" w:cs="Arial"/>
                <w:kern w:val="0"/>
                <w:sz w:val="20"/>
                <w:szCs w:val="20"/>
                <w:lang w:eastAsia="en-IN"/>
                <w14:ligatures w14:val="none"/>
              </w:rPr>
            </w:pPr>
            <w:r w:rsidRPr="008A16D3">
              <w:rPr>
                <w:rFonts w:ascii="Arial" w:eastAsia="Arial" w:hAnsi="Arial" w:cs="Arial"/>
                <w:sz w:val="20"/>
                <w:szCs w:val="20"/>
              </w:rPr>
              <w:t>7.90±0.72</w:t>
            </w:r>
            <w:r w:rsidRPr="008A16D3">
              <w:rPr>
                <w:rFonts w:ascii="Arial" w:eastAsia="Arial" w:hAnsi="Arial" w:cs="Arial"/>
                <w:position w:val="10"/>
                <w:sz w:val="20"/>
                <w:szCs w:val="20"/>
                <w:vertAlign w:val="superscript"/>
              </w:rPr>
              <w:t>ab</w:t>
            </w:r>
          </w:p>
        </w:tc>
      </w:tr>
      <w:tr w:rsidR="00BF368D" w:rsidRPr="000F1DEA" w14:paraId="196292F5" w14:textId="77777777" w:rsidTr="00EF3FDC">
        <w:trPr>
          <w:trHeight w:val="292"/>
        </w:trPr>
        <w:tc>
          <w:tcPr>
            <w:tcW w:w="2646" w:type="dxa"/>
            <w:vMerge/>
            <w:tcBorders>
              <w:bottom w:val="single" w:sz="4" w:space="0" w:color="auto"/>
              <w:right w:val="single" w:sz="4" w:space="0" w:color="auto"/>
            </w:tcBorders>
            <w:hideMark/>
          </w:tcPr>
          <w:p w14:paraId="3B88848D" w14:textId="77777777" w:rsidR="00BF368D" w:rsidRPr="008A16D3" w:rsidRDefault="00BF368D" w:rsidP="007739AF">
            <w:pPr>
              <w:spacing w:after="0" w:line="240" w:lineRule="auto"/>
              <w:rPr>
                <w:rFonts w:ascii="Arial" w:eastAsia="Times New Roman" w:hAnsi="Arial" w:cs="Arial"/>
                <w:color w:val="000000"/>
                <w:kern w:val="0"/>
                <w:sz w:val="20"/>
                <w:szCs w:val="20"/>
                <w:lang w:eastAsia="en-IN"/>
                <w14:ligatures w14:val="none"/>
              </w:rPr>
            </w:pPr>
          </w:p>
        </w:tc>
        <w:tc>
          <w:tcPr>
            <w:tcW w:w="2514" w:type="dxa"/>
            <w:tcBorders>
              <w:left w:val="single" w:sz="4" w:space="0" w:color="auto"/>
              <w:bottom w:val="single" w:sz="4" w:space="0" w:color="auto"/>
            </w:tcBorders>
            <w:hideMark/>
          </w:tcPr>
          <w:p w14:paraId="7F51E278" w14:textId="77777777" w:rsidR="00BF368D" w:rsidRPr="008A16D3" w:rsidRDefault="00BF368D" w:rsidP="007739AF">
            <w:pPr>
              <w:spacing w:after="0" w:line="240" w:lineRule="auto"/>
              <w:jc w:val="center"/>
              <w:rPr>
                <w:rFonts w:ascii="Arial" w:eastAsia="Times New Roman" w:hAnsi="Arial" w:cs="Arial"/>
                <w:color w:val="000000"/>
                <w:kern w:val="0"/>
                <w:sz w:val="20"/>
                <w:szCs w:val="20"/>
                <w:lang w:eastAsia="en-IN"/>
                <w14:ligatures w14:val="none"/>
              </w:rPr>
            </w:pPr>
            <w:r w:rsidRPr="008A16D3">
              <w:rPr>
                <w:rFonts w:ascii="Arial" w:hAnsi="Arial" w:cs="Arial"/>
                <w:sz w:val="20"/>
                <w:szCs w:val="20"/>
              </w:rPr>
              <w:t>T4</w:t>
            </w:r>
          </w:p>
        </w:tc>
        <w:tc>
          <w:tcPr>
            <w:tcW w:w="3486" w:type="dxa"/>
            <w:tcBorders>
              <w:bottom w:val="single" w:sz="4" w:space="0" w:color="auto"/>
            </w:tcBorders>
            <w:hideMark/>
          </w:tcPr>
          <w:p w14:paraId="036A2037" w14:textId="77777777" w:rsidR="00BF368D" w:rsidRPr="008A16D3" w:rsidRDefault="00BF368D" w:rsidP="007739AF">
            <w:pPr>
              <w:spacing w:after="0" w:line="240" w:lineRule="auto"/>
              <w:jc w:val="center"/>
              <w:rPr>
                <w:rFonts w:ascii="Arial" w:eastAsia="Times New Roman" w:hAnsi="Arial" w:cs="Arial"/>
                <w:kern w:val="0"/>
                <w:sz w:val="20"/>
                <w:szCs w:val="20"/>
                <w:lang w:eastAsia="en-IN"/>
                <w14:ligatures w14:val="none"/>
              </w:rPr>
            </w:pPr>
            <w:r w:rsidRPr="008A16D3">
              <w:rPr>
                <w:rFonts w:ascii="Arial" w:eastAsia="Arial" w:hAnsi="Arial" w:cs="Arial"/>
                <w:sz w:val="20"/>
                <w:szCs w:val="20"/>
              </w:rPr>
              <w:t>6.29±0.37</w:t>
            </w:r>
            <w:r w:rsidRPr="008A16D3">
              <w:rPr>
                <w:rFonts w:ascii="Arial" w:eastAsia="Arial" w:hAnsi="Arial" w:cs="Arial"/>
                <w:position w:val="10"/>
                <w:sz w:val="20"/>
                <w:szCs w:val="20"/>
                <w:vertAlign w:val="superscript"/>
              </w:rPr>
              <w:t>b</w:t>
            </w:r>
          </w:p>
        </w:tc>
      </w:tr>
    </w:tbl>
    <w:p w14:paraId="75AC8496" w14:textId="3ABD1365" w:rsidR="00BF368D" w:rsidRPr="008A16D3" w:rsidRDefault="00BF368D" w:rsidP="00BF368D">
      <w:pPr>
        <w:spacing w:after="4" w:line="249" w:lineRule="auto"/>
        <w:ind w:left="-5" w:right="-123" w:hanging="10"/>
        <w:rPr>
          <w:rFonts w:ascii="Arial" w:hAnsi="Arial" w:cs="Arial"/>
          <w:b/>
          <w:sz w:val="20"/>
          <w:szCs w:val="20"/>
        </w:rPr>
      </w:pPr>
      <w:r w:rsidRPr="008A16D3">
        <w:rPr>
          <w:rFonts w:ascii="Arial" w:hAnsi="Arial" w:cs="Arial"/>
          <w:sz w:val="20"/>
          <w:szCs w:val="20"/>
        </w:rPr>
        <w:lastRenderedPageBreak/>
        <w:t>(</w:t>
      </w:r>
      <w:r w:rsidRPr="008A16D3">
        <w:rPr>
          <w:rFonts w:ascii="Arial" w:hAnsi="Arial" w:cs="Arial"/>
          <w:bCs/>
          <w:sz w:val="20"/>
          <w:szCs w:val="20"/>
        </w:rPr>
        <w:t>*Note ISI = Intestinal somatic index</w:t>
      </w:r>
      <w:r w:rsidR="00463EC7">
        <w:rPr>
          <w:rFonts w:ascii="Arial" w:hAnsi="Arial" w:cs="Arial"/>
          <w:bCs/>
          <w:sz w:val="20"/>
          <w:szCs w:val="20"/>
        </w:rPr>
        <w:t xml:space="preserve">, </w:t>
      </w:r>
      <w:r w:rsidR="00FA6808">
        <w:rPr>
          <w:rFonts w:ascii="Arial" w:hAnsi="Arial" w:cs="Arial"/>
          <w:bCs/>
          <w:sz w:val="20"/>
          <w:szCs w:val="20"/>
        </w:rPr>
        <w:t>C = Control</w:t>
      </w:r>
      <w:r w:rsidR="00463EC7">
        <w:rPr>
          <w:rFonts w:ascii="Arial" w:hAnsi="Arial" w:cs="Arial"/>
          <w:bCs/>
          <w:sz w:val="20"/>
          <w:szCs w:val="20"/>
        </w:rPr>
        <w:t xml:space="preserve">, </w:t>
      </w:r>
      <w:r w:rsidRPr="008A16D3">
        <w:rPr>
          <w:rFonts w:ascii="Arial" w:hAnsi="Arial" w:cs="Arial"/>
          <w:bCs/>
          <w:sz w:val="20"/>
          <w:szCs w:val="20"/>
        </w:rPr>
        <w:t>T1= Bio-floc (20:1); T2= 0.5% Jeevamruth; T3=1% Jeevamruth, T4=Biofloc (20:1) + 0.5% Jeevamruth; The mean values followed by the different superscript letters in each factor indicate significant difference at 0.05.)</w:t>
      </w:r>
    </w:p>
    <w:p w14:paraId="7667688C" w14:textId="77777777" w:rsidR="00BF368D" w:rsidRPr="000F1DEA" w:rsidRDefault="00BF368D" w:rsidP="00BF368D">
      <w:pPr>
        <w:spacing w:line="360" w:lineRule="auto"/>
        <w:ind w:right="-406"/>
        <w:jc w:val="both"/>
        <w:rPr>
          <w:rFonts w:ascii="Arial" w:hAnsi="Arial" w:cs="Arial"/>
          <w:sz w:val="22"/>
          <w:szCs w:val="22"/>
        </w:rPr>
      </w:pPr>
    </w:p>
    <w:p w14:paraId="7822BF03" w14:textId="77777777" w:rsidR="00BF368D" w:rsidRPr="000F1DEA" w:rsidRDefault="00BF368D" w:rsidP="0083337B">
      <w:pPr>
        <w:spacing w:line="240" w:lineRule="auto"/>
        <w:jc w:val="both"/>
        <w:rPr>
          <w:rFonts w:ascii="Arial" w:hAnsi="Arial" w:cs="Arial"/>
          <w:sz w:val="22"/>
          <w:szCs w:val="22"/>
        </w:rPr>
      </w:pPr>
      <w:r w:rsidRPr="000F1DEA">
        <w:rPr>
          <w:rFonts w:ascii="Arial" w:hAnsi="Arial" w:cs="Arial"/>
          <w:noProof/>
          <w:sz w:val="22"/>
          <w:szCs w:val="22"/>
        </w:rPr>
        <w:drawing>
          <wp:inline distT="0" distB="0" distL="0" distR="0" wp14:anchorId="6806D58A" wp14:editId="61F43FD4">
            <wp:extent cx="5502910" cy="2981325"/>
            <wp:effectExtent l="0" t="0" r="2540" b="9525"/>
            <wp:docPr id="2111354910" name="Chart 1">
              <a:extLst xmlns:a="http://schemas.openxmlformats.org/drawingml/2006/main">
                <a:ext uri="{FF2B5EF4-FFF2-40B4-BE49-F238E27FC236}">
                  <a16:creationId xmlns:a16="http://schemas.microsoft.com/office/drawing/2014/main" id="{B81314BE-A17A-4155-8CBD-2C129392B6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692374" w14:textId="670262FF" w:rsidR="00B901FB" w:rsidRPr="00580222" w:rsidRDefault="003F59BC" w:rsidP="00580222">
      <w:pPr>
        <w:spacing w:line="276" w:lineRule="auto"/>
        <w:jc w:val="center"/>
        <w:rPr>
          <w:rFonts w:ascii="Arial" w:hAnsi="Arial" w:cs="Arial"/>
          <w:sz w:val="22"/>
          <w:szCs w:val="22"/>
        </w:rPr>
      </w:pPr>
      <w:r w:rsidRPr="00580222">
        <w:rPr>
          <w:rFonts w:ascii="Arial" w:hAnsi="Arial" w:cs="Arial"/>
          <w:sz w:val="22"/>
          <w:szCs w:val="22"/>
        </w:rPr>
        <w:t xml:space="preserve">Figure </w:t>
      </w:r>
      <w:r w:rsidR="00580222">
        <w:rPr>
          <w:rFonts w:ascii="Arial" w:hAnsi="Arial" w:cs="Arial"/>
          <w:sz w:val="22"/>
          <w:szCs w:val="22"/>
        </w:rPr>
        <w:t>2</w:t>
      </w:r>
      <w:r w:rsidRPr="00580222">
        <w:rPr>
          <w:rFonts w:ascii="Arial" w:hAnsi="Arial" w:cs="Arial"/>
          <w:sz w:val="22"/>
          <w:szCs w:val="22"/>
        </w:rPr>
        <w:t xml:space="preserve">: </w:t>
      </w:r>
      <w:r w:rsidR="00580222">
        <w:rPr>
          <w:rFonts w:ascii="Arial" w:hAnsi="Arial" w:cs="Arial"/>
          <w:sz w:val="22"/>
          <w:szCs w:val="22"/>
        </w:rPr>
        <w:t>Intestinal somatic index</w:t>
      </w:r>
    </w:p>
    <w:p w14:paraId="7CF8380B" w14:textId="697139DE" w:rsidR="00463EC7" w:rsidRDefault="00BF368D" w:rsidP="00921877">
      <w:pPr>
        <w:ind w:firstLine="720"/>
        <w:jc w:val="both"/>
        <w:rPr>
          <w:rFonts w:ascii="Arial" w:hAnsi="Arial" w:cs="Arial"/>
          <w:sz w:val="20"/>
          <w:szCs w:val="20"/>
        </w:rPr>
      </w:pPr>
      <w:r w:rsidRPr="00FB747F">
        <w:rPr>
          <w:rFonts w:ascii="Arial" w:hAnsi="Arial" w:cs="Arial"/>
          <w:sz w:val="20"/>
          <w:szCs w:val="20"/>
        </w:rPr>
        <w:t>The ISI values showed more pronounced variations across treatments, ranging from 9.57 ± 0.07% in the Control to 6.29 ± 0.37% in T4, with the lowest ISI observed in the biofloc + Jeevamruth treatment. A lower ISI typically indicates improved nutrient digestibility and reduced intestinal hypertrophy, as the digestive system functions more efficiently with better microbial support and enzyme activity. The decrease in ISI in T4 and T3 suggests that microbial inoculation and carbon enrichment promoted the proliferation of beneficial gut microbiota, enhancing digestion and absorption processes.</w:t>
      </w:r>
      <w:r w:rsidR="00921877">
        <w:rPr>
          <w:rFonts w:ascii="Arial" w:hAnsi="Arial" w:cs="Arial"/>
          <w:sz w:val="20"/>
          <w:szCs w:val="20"/>
        </w:rPr>
        <w:t xml:space="preserve"> </w:t>
      </w:r>
      <w:r w:rsidRPr="00FB747F">
        <w:rPr>
          <w:rFonts w:ascii="Arial" w:hAnsi="Arial" w:cs="Arial"/>
          <w:sz w:val="20"/>
          <w:szCs w:val="20"/>
        </w:rPr>
        <w:t xml:space="preserve">Similar findings were reported by </w:t>
      </w:r>
      <w:r w:rsidR="007739AF" w:rsidRPr="00FB747F">
        <w:rPr>
          <w:rFonts w:ascii="Arial" w:hAnsi="Arial" w:cs="Arial"/>
          <w:sz w:val="20"/>
          <w:szCs w:val="20"/>
        </w:rPr>
        <w:t>(</w:t>
      </w:r>
      <w:r w:rsidRPr="00FB747F">
        <w:rPr>
          <w:rFonts w:ascii="Arial" w:hAnsi="Arial" w:cs="Arial"/>
          <w:sz w:val="20"/>
          <w:szCs w:val="20"/>
        </w:rPr>
        <w:t>Hersi et al.</w:t>
      </w:r>
      <w:r w:rsidR="007739AF" w:rsidRPr="00FB747F">
        <w:rPr>
          <w:rFonts w:ascii="Arial" w:hAnsi="Arial" w:cs="Arial"/>
          <w:sz w:val="20"/>
          <w:szCs w:val="20"/>
        </w:rPr>
        <w:t xml:space="preserve">, </w:t>
      </w:r>
      <w:r w:rsidRPr="00FB747F">
        <w:rPr>
          <w:rFonts w:ascii="Arial" w:hAnsi="Arial" w:cs="Arial"/>
          <w:sz w:val="20"/>
          <w:szCs w:val="20"/>
        </w:rPr>
        <w:t xml:space="preserve">2023), who observed that probiotic-enriched biofloc diets significantly improved gut histomorphology and reduced intestinal mass in </w:t>
      </w:r>
      <w:r w:rsidRPr="00FB747F">
        <w:rPr>
          <w:rFonts w:ascii="Arial" w:hAnsi="Arial" w:cs="Arial"/>
          <w:i/>
          <w:iCs/>
          <w:sz w:val="20"/>
          <w:szCs w:val="20"/>
        </w:rPr>
        <w:t>Oreochromis niloticus</w:t>
      </w:r>
      <w:r w:rsidRPr="00FB747F">
        <w:rPr>
          <w:rFonts w:ascii="Arial" w:hAnsi="Arial" w:cs="Arial"/>
          <w:sz w:val="20"/>
          <w:szCs w:val="20"/>
        </w:rPr>
        <w:t xml:space="preserve">. </w:t>
      </w:r>
      <w:r w:rsidR="007739AF" w:rsidRPr="00FB747F">
        <w:rPr>
          <w:rFonts w:ascii="Arial" w:hAnsi="Arial" w:cs="Arial"/>
          <w:sz w:val="20"/>
          <w:szCs w:val="20"/>
        </w:rPr>
        <w:t>(</w:t>
      </w:r>
      <w:r w:rsidRPr="00FB747F">
        <w:rPr>
          <w:rFonts w:ascii="Arial" w:hAnsi="Arial" w:cs="Arial"/>
          <w:sz w:val="20"/>
          <w:szCs w:val="20"/>
        </w:rPr>
        <w:t>Banu et al.</w:t>
      </w:r>
      <w:r w:rsidR="007739AF" w:rsidRPr="00FB747F">
        <w:rPr>
          <w:rFonts w:ascii="Arial" w:hAnsi="Arial" w:cs="Arial"/>
          <w:sz w:val="20"/>
          <w:szCs w:val="20"/>
        </w:rPr>
        <w:t xml:space="preserve">, </w:t>
      </w:r>
      <w:r w:rsidRPr="00FB747F">
        <w:rPr>
          <w:rFonts w:ascii="Arial" w:hAnsi="Arial" w:cs="Arial"/>
          <w:sz w:val="20"/>
          <w:szCs w:val="20"/>
        </w:rPr>
        <w:t xml:space="preserve">2024) also found that microbial diversity and enzymatic profiles in biofloc-fed fish correlated with enhanced intestinal nutrient transport and reduced intestinal weight proportion. The synergistic effect in T4, combining </w:t>
      </w:r>
      <w:r w:rsidR="00C971BB" w:rsidRPr="00FB747F">
        <w:rPr>
          <w:rFonts w:ascii="Arial" w:hAnsi="Arial" w:cs="Arial"/>
          <w:sz w:val="20"/>
          <w:szCs w:val="20"/>
        </w:rPr>
        <w:t>Jeevamruth</w:t>
      </w:r>
      <w:r w:rsidRPr="00FB747F">
        <w:rPr>
          <w:rFonts w:ascii="Arial" w:hAnsi="Arial" w:cs="Arial"/>
          <w:sz w:val="20"/>
          <w:szCs w:val="20"/>
        </w:rPr>
        <w:t xml:space="preserve"> microbial richness with the nutrient-dense biofloc environment, likely optimized gut microbial communities, thereby lowering ISI through improved digestive efficiency.</w:t>
      </w:r>
      <w:r w:rsidR="00921877">
        <w:rPr>
          <w:rFonts w:ascii="Arial" w:hAnsi="Arial" w:cs="Arial"/>
          <w:sz w:val="20"/>
          <w:szCs w:val="20"/>
        </w:rPr>
        <w:t xml:space="preserve"> </w:t>
      </w:r>
      <w:r w:rsidRPr="00FB747F">
        <w:rPr>
          <w:rFonts w:ascii="Arial" w:hAnsi="Arial" w:cs="Arial"/>
          <w:sz w:val="20"/>
          <w:szCs w:val="20"/>
        </w:rPr>
        <w:t xml:space="preserve">The control and single Jeevamruth treatments (T1 and T2) exhibited comparatively higher ISI values (8.51–9.56%), implying that although Jeevamruth alone improves microbial availability, the absence of a carbon-rich biofloc substrate may limit microbial diversity and enzymatic interaction. </w:t>
      </w:r>
    </w:p>
    <w:p w14:paraId="53E9BB90" w14:textId="029DDB71" w:rsidR="00BF368D" w:rsidRPr="00FB747F" w:rsidRDefault="00BF368D" w:rsidP="00921877">
      <w:pPr>
        <w:ind w:firstLine="720"/>
        <w:jc w:val="both"/>
        <w:rPr>
          <w:rFonts w:ascii="Arial" w:hAnsi="Arial" w:cs="Arial"/>
          <w:sz w:val="20"/>
          <w:szCs w:val="20"/>
        </w:rPr>
      </w:pPr>
      <w:r w:rsidRPr="00FB747F">
        <w:rPr>
          <w:rFonts w:ascii="Arial" w:hAnsi="Arial" w:cs="Arial"/>
          <w:sz w:val="20"/>
          <w:szCs w:val="20"/>
        </w:rPr>
        <w:t xml:space="preserve">This observation agrees with </w:t>
      </w:r>
      <w:r w:rsidR="007739AF" w:rsidRPr="00FB747F">
        <w:rPr>
          <w:rFonts w:ascii="Arial" w:hAnsi="Arial" w:cs="Arial"/>
          <w:sz w:val="20"/>
          <w:szCs w:val="20"/>
        </w:rPr>
        <w:t>(</w:t>
      </w:r>
      <w:r w:rsidRPr="00FB747F">
        <w:rPr>
          <w:rFonts w:ascii="Arial" w:hAnsi="Arial" w:cs="Arial"/>
          <w:sz w:val="20"/>
          <w:szCs w:val="20"/>
        </w:rPr>
        <w:t>Nguyen et al.</w:t>
      </w:r>
      <w:r w:rsidR="007739AF" w:rsidRPr="00FB747F">
        <w:rPr>
          <w:rFonts w:ascii="Arial" w:hAnsi="Arial" w:cs="Arial"/>
          <w:sz w:val="20"/>
          <w:szCs w:val="20"/>
        </w:rPr>
        <w:t xml:space="preserve">, </w:t>
      </w:r>
      <w:r w:rsidRPr="00FB747F">
        <w:rPr>
          <w:rFonts w:ascii="Arial" w:hAnsi="Arial" w:cs="Arial"/>
          <w:sz w:val="20"/>
          <w:szCs w:val="20"/>
        </w:rPr>
        <w:t xml:space="preserve">2021) and </w:t>
      </w:r>
      <w:r w:rsidR="007739AF" w:rsidRPr="00FB747F">
        <w:rPr>
          <w:rFonts w:ascii="Arial" w:hAnsi="Arial" w:cs="Arial"/>
          <w:sz w:val="20"/>
          <w:szCs w:val="20"/>
        </w:rPr>
        <w:t>(</w:t>
      </w:r>
      <w:r w:rsidRPr="00FB747F">
        <w:rPr>
          <w:rFonts w:ascii="Arial" w:hAnsi="Arial" w:cs="Arial"/>
          <w:sz w:val="20"/>
          <w:szCs w:val="20"/>
        </w:rPr>
        <w:t>Wu et al.</w:t>
      </w:r>
      <w:r w:rsidR="007739AF" w:rsidRPr="00FB747F">
        <w:rPr>
          <w:rFonts w:ascii="Arial" w:hAnsi="Arial" w:cs="Arial"/>
          <w:sz w:val="20"/>
          <w:szCs w:val="20"/>
        </w:rPr>
        <w:t xml:space="preserve">, </w:t>
      </w:r>
      <w:r w:rsidRPr="00FB747F">
        <w:rPr>
          <w:rFonts w:ascii="Arial" w:hAnsi="Arial" w:cs="Arial"/>
          <w:sz w:val="20"/>
          <w:szCs w:val="20"/>
        </w:rPr>
        <w:t>2024), who emphasized that combined carbon–microbial systems promote higher nutrient assimilation and intestinal function compared to single-source inoculants.</w:t>
      </w:r>
      <w:r w:rsidR="00921877">
        <w:rPr>
          <w:rFonts w:ascii="Arial" w:hAnsi="Arial" w:cs="Arial"/>
          <w:sz w:val="20"/>
          <w:szCs w:val="20"/>
        </w:rPr>
        <w:t xml:space="preserve"> </w:t>
      </w:r>
      <w:r w:rsidRPr="00FB747F">
        <w:rPr>
          <w:rFonts w:ascii="Arial" w:hAnsi="Arial" w:cs="Arial"/>
          <w:sz w:val="20"/>
          <w:szCs w:val="20"/>
        </w:rPr>
        <w:t xml:space="preserve">The observed ISI reduction in T4 also aligns with the trend of improved feed conversion efficiency (FCE = 0.66) and protein efficiency ratio (PER = 2.07) in the same treatment, confirming that better nutrient assimilation translates into reduced intestinal mass and improved digestive economy. Furthermore, studies by Zaki et al. (2024) and </w:t>
      </w:r>
      <w:proofErr w:type="spellStart"/>
      <w:r w:rsidRPr="00FB747F">
        <w:rPr>
          <w:rFonts w:ascii="Arial" w:hAnsi="Arial" w:cs="Arial"/>
          <w:sz w:val="20"/>
          <w:szCs w:val="20"/>
        </w:rPr>
        <w:t>Cuzon</w:t>
      </w:r>
      <w:proofErr w:type="spellEnd"/>
      <w:r w:rsidRPr="00FB747F">
        <w:rPr>
          <w:rFonts w:ascii="Arial" w:hAnsi="Arial" w:cs="Arial"/>
          <w:sz w:val="20"/>
          <w:szCs w:val="20"/>
        </w:rPr>
        <w:t xml:space="preserve"> et al. (2004) reported that balanced microbial ecosystems improve gut enzyme activity, reducing the need for structural enlargement of the intestine.</w:t>
      </w:r>
    </w:p>
    <w:p w14:paraId="750653EC" w14:textId="7C599B76" w:rsidR="007739AF" w:rsidRPr="00E346AC" w:rsidRDefault="00157B67" w:rsidP="00E346AC">
      <w:pPr>
        <w:pStyle w:val="ListParagraph"/>
        <w:numPr>
          <w:ilvl w:val="0"/>
          <w:numId w:val="1"/>
        </w:numPr>
        <w:jc w:val="both"/>
        <w:rPr>
          <w:rFonts w:ascii="Arial" w:hAnsi="Arial" w:cs="Arial"/>
          <w:b/>
          <w:bCs/>
          <w:sz w:val="22"/>
          <w:szCs w:val="22"/>
        </w:rPr>
      </w:pPr>
      <w:r w:rsidRPr="00E346AC">
        <w:rPr>
          <w:rFonts w:ascii="Arial" w:hAnsi="Arial" w:cs="Arial"/>
          <w:b/>
          <w:bCs/>
          <w:sz w:val="22"/>
          <w:szCs w:val="22"/>
        </w:rPr>
        <w:t>CONCLUSION</w:t>
      </w:r>
    </w:p>
    <w:p w14:paraId="44AE679C" w14:textId="77777777" w:rsidR="00CC13A5" w:rsidRDefault="0083337B" w:rsidP="00CC13A5">
      <w:pPr>
        <w:ind w:firstLine="720"/>
        <w:jc w:val="both"/>
        <w:rPr>
          <w:rFonts w:ascii="Arial" w:hAnsi="Arial" w:cs="Arial"/>
          <w:sz w:val="20"/>
          <w:szCs w:val="20"/>
        </w:rPr>
      </w:pPr>
      <w:r w:rsidRPr="00FB747F">
        <w:rPr>
          <w:rFonts w:ascii="Arial" w:hAnsi="Arial" w:cs="Arial"/>
          <w:sz w:val="20"/>
          <w:szCs w:val="20"/>
        </w:rPr>
        <w:lastRenderedPageBreak/>
        <w:t xml:space="preserve">The </w:t>
      </w:r>
      <w:proofErr w:type="spellStart"/>
      <w:r w:rsidRPr="00FB747F">
        <w:rPr>
          <w:rFonts w:ascii="Arial" w:hAnsi="Arial" w:cs="Arial"/>
          <w:sz w:val="20"/>
          <w:szCs w:val="20"/>
        </w:rPr>
        <w:t>organosomatic</w:t>
      </w:r>
      <w:proofErr w:type="spellEnd"/>
      <w:r w:rsidRPr="00FB747F">
        <w:rPr>
          <w:rFonts w:ascii="Arial" w:hAnsi="Arial" w:cs="Arial"/>
          <w:sz w:val="20"/>
          <w:szCs w:val="20"/>
        </w:rPr>
        <w:t xml:space="preserve"> assessment of </w:t>
      </w:r>
      <w:proofErr w:type="spellStart"/>
      <w:r w:rsidRPr="00FB747F">
        <w:rPr>
          <w:rFonts w:ascii="Arial" w:hAnsi="Arial" w:cs="Arial"/>
          <w:i/>
          <w:iCs/>
          <w:sz w:val="20"/>
          <w:szCs w:val="20"/>
        </w:rPr>
        <w:t>Labeo</w:t>
      </w:r>
      <w:proofErr w:type="spellEnd"/>
      <w:r w:rsidRPr="00FB747F">
        <w:rPr>
          <w:rFonts w:ascii="Arial" w:hAnsi="Arial" w:cs="Arial"/>
          <w:i/>
          <w:iCs/>
          <w:sz w:val="20"/>
          <w:szCs w:val="20"/>
        </w:rPr>
        <w:t xml:space="preserve"> rohita</w:t>
      </w:r>
      <w:r w:rsidRPr="00FB747F">
        <w:rPr>
          <w:rFonts w:ascii="Arial" w:hAnsi="Arial" w:cs="Arial"/>
          <w:sz w:val="20"/>
          <w:szCs w:val="20"/>
        </w:rPr>
        <w:t xml:space="preserve"> clearly indicated that integrating Jeevamruth with a biofloc system enhances fish physiological performance without causing metabolic stress. While HSI values remained stable across treatments, the significantly lower ISI in the biofloc + Jeevamruth group (T4) confirmed enhanced digestive efficiency and better nutrient assimilation. These outcomes suggest that Jeevamruth, a natural microbial stimulant, when combined with carbon-based biofloc, promotes beneficial gut microbiota and supports balanced organ development. The overall physiological stability and improved intestinal function observed in T4 reflect the superior metabolic environment created by microbial synergy. Thus, the integration of Jeevamruth with biofloc technology provides a cost-effective, sustainable approach for maintaining fish health and improving production efficiency in intensive freshwater aquaculture systems</w:t>
      </w:r>
    </w:p>
    <w:p w14:paraId="428F7490" w14:textId="77777777" w:rsidR="005D1724" w:rsidRPr="00005ED1" w:rsidRDefault="005D1724" w:rsidP="005D172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4778F9B" w14:textId="77777777" w:rsidR="005D1724" w:rsidRPr="00005ED1" w:rsidRDefault="005D1724" w:rsidP="005D1724">
      <w:pPr>
        <w:pStyle w:val="NoSpacing"/>
        <w:rPr>
          <w:rFonts w:ascii="Arial" w:hAnsi="Arial" w:cs="Arial"/>
          <w:highlight w:val="yellow"/>
        </w:rPr>
      </w:pPr>
    </w:p>
    <w:p w14:paraId="49CCF83D" w14:textId="77777777" w:rsidR="005D1724" w:rsidRPr="00005ED1" w:rsidRDefault="005D1724" w:rsidP="005D1724">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575C0836" w14:textId="77777777" w:rsidR="005D1724" w:rsidRDefault="005D1724" w:rsidP="005D1724">
      <w:pPr>
        <w:pStyle w:val="NoSpacing"/>
        <w:rPr>
          <w:rFonts w:ascii="Arial" w:hAnsi="Arial" w:cs="Arial"/>
        </w:rPr>
      </w:pPr>
    </w:p>
    <w:p w14:paraId="00B3E779" w14:textId="77777777" w:rsidR="005D1724" w:rsidRDefault="005D1724" w:rsidP="005D1724">
      <w:pPr>
        <w:pStyle w:val="NoSpacing"/>
        <w:rPr>
          <w:rFonts w:ascii="Arial" w:hAnsi="Arial" w:cs="Arial"/>
        </w:rPr>
      </w:pPr>
    </w:p>
    <w:p w14:paraId="10C3B6FF" w14:textId="77777777" w:rsidR="005D1724" w:rsidRPr="00005ED1" w:rsidRDefault="005D1724" w:rsidP="005D1724">
      <w:pPr>
        <w:pStyle w:val="NoSpacing"/>
        <w:rPr>
          <w:rFonts w:ascii="Arial" w:hAnsi="Arial" w:cs="Arial"/>
        </w:rPr>
      </w:pPr>
    </w:p>
    <w:p w14:paraId="586CD7ED" w14:textId="77777777" w:rsidR="00B5055D" w:rsidRDefault="00157B67" w:rsidP="00B5055D">
      <w:pPr>
        <w:jc w:val="both"/>
        <w:rPr>
          <w:rFonts w:ascii="Arial" w:hAnsi="Arial" w:cs="Arial"/>
          <w:b/>
          <w:bCs/>
          <w:sz w:val="22"/>
          <w:szCs w:val="22"/>
        </w:rPr>
      </w:pPr>
      <w:r w:rsidRPr="005D3E7E">
        <w:rPr>
          <w:rFonts w:ascii="Arial" w:hAnsi="Arial" w:cs="Arial"/>
          <w:b/>
          <w:bCs/>
          <w:sz w:val="22"/>
          <w:szCs w:val="22"/>
        </w:rPr>
        <w:t xml:space="preserve">REFERENCES </w:t>
      </w:r>
    </w:p>
    <w:p w14:paraId="31ADB845" w14:textId="26CB5471" w:rsidR="00A262BE" w:rsidRPr="00367288" w:rsidRDefault="009A176A" w:rsidP="00367288">
      <w:pPr>
        <w:pStyle w:val="ListParagraph"/>
        <w:numPr>
          <w:ilvl w:val="0"/>
          <w:numId w:val="4"/>
        </w:numPr>
        <w:jc w:val="both"/>
        <w:rPr>
          <w:rFonts w:ascii="Arial" w:hAnsi="Arial" w:cs="Arial"/>
          <w:b/>
          <w:bCs/>
          <w:sz w:val="22"/>
          <w:szCs w:val="22"/>
        </w:rPr>
      </w:pPr>
      <w:r w:rsidRPr="00367288">
        <w:rPr>
          <w:rFonts w:ascii="Arial" w:hAnsi="Arial" w:cs="Arial"/>
          <w:sz w:val="20"/>
          <w:szCs w:val="20"/>
        </w:rPr>
        <w:t>Avnimelech, Yoram. (2009). Biofloc technology. A practical guide book. The World Aquaculture Society. Baton Rouge</w:t>
      </w:r>
      <w:r w:rsidRPr="00367288">
        <w:rPr>
          <w:rFonts w:ascii="Arial" w:hAnsi="Arial" w:cs="Arial"/>
          <w:b/>
          <w:bCs/>
          <w:sz w:val="22"/>
          <w:szCs w:val="22"/>
        </w:rPr>
        <w:t>.</w:t>
      </w:r>
    </w:p>
    <w:p w14:paraId="2E12436D" w14:textId="5918BE48" w:rsidR="00DD0104" w:rsidRPr="00367288" w:rsidRDefault="00DD0104" w:rsidP="00367288">
      <w:pPr>
        <w:pStyle w:val="ListParagraph"/>
        <w:numPr>
          <w:ilvl w:val="0"/>
          <w:numId w:val="4"/>
        </w:numPr>
        <w:spacing w:after="0" w:line="240" w:lineRule="auto"/>
        <w:jc w:val="both"/>
        <w:rPr>
          <w:rFonts w:ascii="Arial" w:hAnsi="Arial" w:cs="Arial"/>
          <w:sz w:val="20"/>
          <w:szCs w:val="20"/>
          <w:shd w:val="clear" w:color="auto" w:fill="FFFFFF"/>
        </w:rPr>
      </w:pPr>
      <w:r w:rsidRPr="00367288">
        <w:rPr>
          <w:rFonts w:ascii="Arial" w:hAnsi="Arial" w:cs="Arial"/>
          <w:sz w:val="20"/>
          <w:szCs w:val="20"/>
        </w:rPr>
        <w:t xml:space="preserve">Banu, H., Swain, H. S., Das, P. C., </w:t>
      </w:r>
      <w:proofErr w:type="spellStart"/>
      <w:r w:rsidRPr="00367288">
        <w:rPr>
          <w:rFonts w:ascii="Arial" w:hAnsi="Arial" w:cs="Arial"/>
          <w:sz w:val="20"/>
          <w:szCs w:val="20"/>
        </w:rPr>
        <w:t>Velmani</w:t>
      </w:r>
      <w:proofErr w:type="spellEnd"/>
      <w:r w:rsidRPr="00367288">
        <w:rPr>
          <w:rFonts w:ascii="Arial" w:hAnsi="Arial" w:cs="Arial"/>
          <w:sz w:val="20"/>
          <w:szCs w:val="20"/>
        </w:rPr>
        <w:t xml:space="preserve">, V., &amp; Kumari, R. (2024). Comparative microbial community occurrence pattern, growth attributes, and digestive enzyme indices of Puntius </w:t>
      </w:r>
      <w:proofErr w:type="spellStart"/>
      <w:r w:rsidRPr="00367288">
        <w:rPr>
          <w:rFonts w:ascii="Arial" w:hAnsi="Arial" w:cs="Arial"/>
          <w:sz w:val="20"/>
          <w:szCs w:val="20"/>
        </w:rPr>
        <w:t>gonionotus</w:t>
      </w:r>
      <w:proofErr w:type="spellEnd"/>
      <w:r w:rsidRPr="00367288">
        <w:rPr>
          <w:rFonts w:ascii="Arial" w:hAnsi="Arial" w:cs="Arial"/>
          <w:sz w:val="20"/>
          <w:szCs w:val="20"/>
        </w:rPr>
        <w:t xml:space="preserve"> (Bleeker, 1850), </w:t>
      </w:r>
      <w:proofErr w:type="spellStart"/>
      <w:r w:rsidRPr="00367288">
        <w:rPr>
          <w:rFonts w:ascii="Arial" w:hAnsi="Arial" w:cs="Arial"/>
          <w:sz w:val="20"/>
          <w:szCs w:val="20"/>
        </w:rPr>
        <w:t>Pangasianodon</w:t>
      </w:r>
      <w:proofErr w:type="spellEnd"/>
      <w:r w:rsidRPr="00367288">
        <w:rPr>
          <w:rFonts w:ascii="Arial" w:hAnsi="Arial" w:cs="Arial"/>
          <w:sz w:val="20"/>
          <w:szCs w:val="20"/>
        </w:rPr>
        <w:t xml:space="preserve"> hypophthalmus (Sauvage, 1878) and </w:t>
      </w:r>
      <w:proofErr w:type="spellStart"/>
      <w:r w:rsidRPr="00367288">
        <w:rPr>
          <w:rFonts w:ascii="Arial" w:hAnsi="Arial" w:cs="Arial"/>
          <w:sz w:val="20"/>
          <w:szCs w:val="20"/>
        </w:rPr>
        <w:t>Heteropneustus</w:t>
      </w:r>
      <w:proofErr w:type="spellEnd"/>
      <w:r w:rsidRPr="00367288">
        <w:rPr>
          <w:rFonts w:ascii="Arial" w:hAnsi="Arial" w:cs="Arial"/>
          <w:sz w:val="20"/>
          <w:szCs w:val="20"/>
        </w:rPr>
        <w:t xml:space="preserve"> </w:t>
      </w:r>
      <w:proofErr w:type="spellStart"/>
      <w:r w:rsidRPr="00367288">
        <w:rPr>
          <w:rFonts w:ascii="Arial" w:hAnsi="Arial" w:cs="Arial"/>
          <w:sz w:val="20"/>
          <w:szCs w:val="20"/>
        </w:rPr>
        <w:t>fossilis</w:t>
      </w:r>
      <w:proofErr w:type="spellEnd"/>
      <w:r w:rsidRPr="00367288">
        <w:rPr>
          <w:rFonts w:ascii="Arial" w:hAnsi="Arial" w:cs="Arial"/>
          <w:sz w:val="20"/>
          <w:szCs w:val="20"/>
        </w:rPr>
        <w:t xml:space="preserve"> (Bloch, 1794) under freshwater biofloc based polyculture system. </w:t>
      </w:r>
      <w:r w:rsidRPr="00367288">
        <w:rPr>
          <w:rFonts w:ascii="Arial" w:hAnsi="Arial" w:cs="Arial"/>
          <w:i/>
          <w:iCs/>
          <w:sz w:val="20"/>
          <w:szCs w:val="20"/>
        </w:rPr>
        <w:t>BMC Microbiology</w:t>
      </w:r>
      <w:r w:rsidRPr="00367288">
        <w:rPr>
          <w:rFonts w:ascii="Arial" w:hAnsi="Arial" w:cs="Arial"/>
          <w:sz w:val="20"/>
          <w:szCs w:val="20"/>
        </w:rPr>
        <w:t xml:space="preserve">, </w:t>
      </w:r>
      <w:r w:rsidRPr="00367288">
        <w:rPr>
          <w:rFonts w:ascii="Arial" w:hAnsi="Arial" w:cs="Arial"/>
          <w:i/>
          <w:iCs/>
          <w:sz w:val="20"/>
          <w:szCs w:val="20"/>
        </w:rPr>
        <w:t>24</w:t>
      </w:r>
      <w:r w:rsidRPr="00367288">
        <w:rPr>
          <w:rFonts w:ascii="Arial" w:hAnsi="Arial" w:cs="Arial"/>
          <w:sz w:val="20"/>
          <w:szCs w:val="20"/>
        </w:rPr>
        <w:t xml:space="preserve">(1). </w:t>
      </w:r>
      <w:hyperlink r:id="rId10" w:history="1">
        <w:r w:rsidRPr="00367288">
          <w:rPr>
            <w:rStyle w:val="Hyperlink"/>
            <w:rFonts w:ascii="Arial" w:hAnsi="Arial" w:cs="Arial"/>
            <w:sz w:val="20"/>
            <w:szCs w:val="20"/>
          </w:rPr>
          <w:t>https://doi.org/10.1186/s12866-024-03473-4</w:t>
        </w:r>
      </w:hyperlink>
    </w:p>
    <w:p w14:paraId="5102B336" w14:textId="77777777" w:rsidR="00DD0104" w:rsidRDefault="00DD0104" w:rsidP="003978B6">
      <w:pPr>
        <w:spacing w:after="0" w:line="240" w:lineRule="auto"/>
        <w:jc w:val="both"/>
        <w:rPr>
          <w:rFonts w:ascii="Arial" w:hAnsi="Arial" w:cs="Arial"/>
          <w:sz w:val="20"/>
          <w:szCs w:val="20"/>
        </w:rPr>
      </w:pPr>
    </w:p>
    <w:p w14:paraId="0DB174E8" w14:textId="67736551" w:rsidR="00DD0104" w:rsidRPr="00367288" w:rsidRDefault="00DD0104" w:rsidP="00367288">
      <w:pPr>
        <w:pStyle w:val="ListParagraph"/>
        <w:numPr>
          <w:ilvl w:val="0"/>
          <w:numId w:val="4"/>
        </w:numPr>
        <w:spacing w:after="0" w:line="240" w:lineRule="auto"/>
        <w:jc w:val="both"/>
        <w:rPr>
          <w:rFonts w:ascii="Arial" w:hAnsi="Arial" w:cs="Arial"/>
          <w:sz w:val="20"/>
          <w:szCs w:val="20"/>
        </w:rPr>
      </w:pPr>
      <w:proofErr w:type="spellStart"/>
      <w:r w:rsidRPr="00367288">
        <w:rPr>
          <w:rFonts w:ascii="Arial" w:hAnsi="Arial" w:cs="Arial"/>
          <w:sz w:val="20"/>
          <w:szCs w:val="20"/>
        </w:rPr>
        <w:t>Cuzon</w:t>
      </w:r>
      <w:proofErr w:type="spellEnd"/>
      <w:r w:rsidRPr="00367288">
        <w:rPr>
          <w:rFonts w:ascii="Arial" w:hAnsi="Arial" w:cs="Arial"/>
          <w:sz w:val="20"/>
          <w:szCs w:val="20"/>
        </w:rPr>
        <w:t xml:space="preserve">, G., Lawrence, A., Gaxiola, G., Rosas, C., &amp; Guillaume, J. (2004). Nutrition of Litopenaeus vannamei reared in tanks or in ponds. </w:t>
      </w:r>
      <w:r w:rsidRPr="00367288">
        <w:rPr>
          <w:rFonts w:ascii="Arial" w:hAnsi="Arial" w:cs="Arial"/>
          <w:i/>
          <w:iCs/>
          <w:sz w:val="20"/>
          <w:szCs w:val="20"/>
        </w:rPr>
        <w:t>Aquaculture</w:t>
      </w:r>
      <w:r w:rsidRPr="00367288">
        <w:rPr>
          <w:rFonts w:ascii="Arial" w:hAnsi="Arial" w:cs="Arial"/>
          <w:sz w:val="20"/>
          <w:szCs w:val="20"/>
        </w:rPr>
        <w:t xml:space="preserve">, </w:t>
      </w:r>
      <w:r w:rsidRPr="00367288">
        <w:rPr>
          <w:rFonts w:ascii="Arial" w:hAnsi="Arial" w:cs="Arial"/>
          <w:i/>
          <w:iCs/>
          <w:sz w:val="20"/>
          <w:szCs w:val="20"/>
        </w:rPr>
        <w:t>235</w:t>
      </w:r>
      <w:r w:rsidRPr="00367288">
        <w:rPr>
          <w:rFonts w:ascii="Arial" w:hAnsi="Arial" w:cs="Arial"/>
          <w:sz w:val="20"/>
          <w:szCs w:val="20"/>
        </w:rPr>
        <w:t xml:space="preserve">(1-4), 513-551. </w:t>
      </w:r>
      <w:hyperlink r:id="rId11" w:history="1">
        <w:r w:rsidRPr="00367288">
          <w:rPr>
            <w:rStyle w:val="Hyperlink"/>
            <w:rFonts w:ascii="Arial" w:hAnsi="Arial" w:cs="Arial"/>
            <w:sz w:val="20"/>
            <w:szCs w:val="20"/>
          </w:rPr>
          <w:t>https://doi.org/10.1016/j.aquaculture.2003.12.022</w:t>
        </w:r>
      </w:hyperlink>
    </w:p>
    <w:p w14:paraId="6BDEA69F"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Ferdous, Z., Fariha, F., Jahan, N., &amp; Shahriar, S.I.M. (2025). </w:t>
      </w:r>
      <w:r w:rsidRPr="00367288">
        <w:rPr>
          <w:rFonts w:ascii="Arial" w:eastAsia="Times New Roman" w:hAnsi="Arial" w:cs="Arial"/>
          <w:i/>
          <w:iCs/>
          <w:kern w:val="0"/>
          <w:sz w:val="20"/>
          <w:szCs w:val="20"/>
          <w:lang w:eastAsia="en-IN"/>
          <w14:ligatures w14:val="none"/>
        </w:rPr>
        <w:t xml:space="preserve">Influence of </w:t>
      </w:r>
      <w:proofErr w:type="spellStart"/>
      <w:r w:rsidRPr="00367288">
        <w:rPr>
          <w:rFonts w:ascii="Arial" w:eastAsia="Times New Roman" w:hAnsi="Arial" w:cs="Arial"/>
          <w:i/>
          <w:iCs/>
          <w:kern w:val="0"/>
          <w:sz w:val="20"/>
          <w:szCs w:val="20"/>
          <w:lang w:eastAsia="en-IN"/>
          <w14:ligatures w14:val="none"/>
        </w:rPr>
        <w:t>multistrain</w:t>
      </w:r>
      <w:proofErr w:type="spellEnd"/>
      <w:r w:rsidRPr="00367288">
        <w:rPr>
          <w:rFonts w:ascii="Arial" w:eastAsia="Times New Roman" w:hAnsi="Arial" w:cs="Arial"/>
          <w:i/>
          <w:iCs/>
          <w:kern w:val="0"/>
          <w:sz w:val="20"/>
          <w:szCs w:val="20"/>
          <w:lang w:eastAsia="en-IN"/>
          <w14:ligatures w14:val="none"/>
        </w:rPr>
        <w:t xml:space="preserve"> probiotics on growth, </w:t>
      </w:r>
      <w:proofErr w:type="spellStart"/>
      <w:r w:rsidRPr="00367288">
        <w:rPr>
          <w:rFonts w:ascii="Arial" w:eastAsia="Times New Roman" w:hAnsi="Arial" w:cs="Arial"/>
          <w:i/>
          <w:iCs/>
          <w:kern w:val="0"/>
          <w:sz w:val="20"/>
          <w:szCs w:val="20"/>
          <w:lang w:eastAsia="en-IN"/>
          <w14:ligatures w14:val="none"/>
        </w:rPr>
        <w:t>hematology</w:t>
      </w:r>
      <w:proofErr w:type="spellEnd"/>
      <w:r w:rsidRPr="00367288">
        <w:rPr>
          <w:rFonts w:ascii="Arial" w:eastAsia="Times New Roman" w:hAnsi="Arial" w:cs="Arial"/>
          <w:i/>
          <w:iCs/>
          <w:kern w:val="0"/>
          <w:sz w:val="20"/>
          <w:szCs w:val="20"/>
          <w:lang w:eastAsia="en-IN"/>
          <w14:ligatures w14:val="none"/>
        </w:rPr>
        <w:t>, gut and liver morphometry, and GH and IGFs gene expression in rohu (Labeo rohita) fry.</w:t>
      </w:r>
      <w:r w:rsidRPr="00367288">
        <w:rPr>
          <w:rFonts w:ascii="Arial" w:eastAsia="Times New Roman" w:hAnsi="Arial" w:cs="Arial"/>
          <w:kern w:val="0"/>
          <w:sz w:val="20"/>
          <w:szCs w:val="20"/>
          <w:lang w:eastAsia="en-IN"/>
          <w14:ligatures w14:val="none"/>
        </w:rPr>
        <w:t xml:space="preserve"> Aquaculture Research, Wiley. </w:t>
      </w:r>
      <w:hyperlink r:id="rId12" w:tgtFrame="_new" w:history="1">
        <w:r w:rsidRPr="00367288">
          <w:rPr>
            <w:rFonts w:ascii="Arial" w:eastAsia="Times New Roman" w:hAnsi="Arial" w:cs="Arial"/>
            <w:color w:val="0000FF"/>
            <w:kern w:val="0"/>
            <w:sz w:val="20"/>
            <w:szCs w:val="20"/>
            <w:u w:val="single"/>
            <w:lang w:eastAsia="en-IN"/>
            <w14:ligatures w14:val="none"/>
          </w:rPr>
          <w:t>https://onlinelibrary.wiley.com/doi/10.1155/are/5892568</w:t>
        </w:r>
      </w:hyperlink>
    </w:p>
    <w:p w14:paraId="57AB0065"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Gupta, S.K., Gupta, A., Choudhary, J.S., &amp; </w:t>
      </w:r>
      <w:proofErr w:type="spellStart"/>
      <w:r w:rsidRPr="00367288">
        <w:rPr>
          <w:rFonts w:ascii="Arial" w:eastAsia="Times New Roman" w:hAnsi="Arial" w:cs="Arial"/>
          <w:kern w:val="0"/>
          <w:sz w:val="20"/>
          <w:szCs w:val="20"/>
          <w:lang w:eastAsia="en-IN"/>
          <w14:ligatures w14:val="none"/>
        </w:rPr>
        <w:t>Foysal</w:t>
      </w:r>
      <w:proofErr w:type="spellEnd"/>
      <w:r w:rsidRPr="00367288">
        <w:rPr>
          <w:rFonts w:ascii="Arial" w:eastAsia="Times New Roman" w:hAnsi="Arial" w:cs="Arial"/>
          <w:kern w:val="0"/>
          <w:sz w:val="20"/>
          <w:szCs w:val="20"/>
          <w:lang w:eastAsia="en-IN"/>
          <w14:ligatures w14:val="none"/>
        </w:rPr>
        <w:t xml:space="preserve">, M.J. (2025). </w:t>
      </w:r>
      <w:r w:rsidRPr="00367288">
        <w:rPr>
          <w:rFonts w:ascii="Arial" w:eastAsia="Times New Roman" w:hAnsi="Arial" w:cs="Arial"/>
          <w:i/>
          <w:iCs/>
          <w:kern w:val="0"/>
          <w:sz w:val="20"/>
          <w:szCs w:val="20"/>
          <w:lang w:eastAsia="en-IN"/>
          <w14:ligatures w14:val="none"/>
        </w:rPr>
        <w:t>Dietary chia (Salvia hispanica L.) seed oil supplementation augments growth performance and gut microbial composition in Labeo rohita fingerlings.</w:t>
      </w:r>
      <w:r w:rsidRPr="00367288">
        <w:rPr>
          <w:rFonts w:ascii="Arial" w:eastAsia="Times New Roman" w:hAnsi="Arial" w:cs="Arial"/>
          <w:kern w:val="0"/>
          <w:sz w:val="20"/>
          <w:szCs w:val="20"/>
          <w:lang w:eastAsia="en-IN"/>
          <w14:ligatures w14:val="none"/>
        </w:rPr>
        <w:t xml:space="preserve"> Scientific Reports, 15, 2183. </w:t>
      </w:r>
      <w:hyperlink r:id="rId13" w:tgtFrame="_new" w:history="1">
        <w:r w:rsidRPr="00367288">
          <w:rPr>
            <w:rFonts w:ascii="Arial" w:eastAsia="Times New Roman" w:hAnsi="Arial" w:cs="Arial"/>
            <w:color w:val="0000FF"/>
            <w:kern w:val="0"/>
            <w:sz w:val="20"/>
            <w:szCs w:val="20"/>
            <w:u w:val="single"/>
            <w:lang w:eastAsia="en-IN"/>
            <w14:ligatures w14:val="none"/>
          </w:rPr>
          <w:t>https://www.nature.com/articles/s41598-024-83102-2</w:t>
        </w:r>
      </w:hyperlink>
    </w:p>
    <w:p w14:paraId="563B0C6A" w14:textId="77777777" w:rsidR="00DD0104" w:rsidRPr="00367288" w:rsidRDefault="00DD0104" w:rsidP="00367288">
      <w:pPr>
        <w:pStyle w:val="ListParagraph"/>
        <w:numPr>
          <w:ilvl w:val="0"/>
          <w:numId w:val="4"/>
        </w:numPr>
        <w:rPr>
          <w:rFonts w:ascii="Arial" w:hAnsi="Arial" w:cs="Arial"/>
          <w:sz w:val="20"/>
          <w:szCs w:val="20"/>
        </w:rPr>
      </w:pPr>
      <w:r w:rsidRPr="00367288">
        <w:rPr>
          <w:rFonts w:ascii="Arial" w:hAnsi="Arial" w:cs="Arial"/>
          <w:sz w:val="20"/>
          <w:szCs w:val="20"/>
        </w:rPr>
        <w:t xml:space="preserve">Hersi, M. A., Genc, E., </w:t>
      </w:r>
      <w:proofErr w:type="spellStart"/>
      <w:r w:rsidRPr="00367288">
        <w:rPr>
          <w:rFonts w:ascii="Arial" w:hAnsi="Arial" w:cs="Arial"/>
          <w:sz w:val="20"/>
          <w:szCs w:val="20"/>
        </w:rPr>
        <w:t>Pipilos</w:t>
      </w:r>
      <w:proofErr w:type="spellEnd"/>
      <w:r w:rsidRPr="00367288">
        <w:rPr>
          <w:rFonts w:ascii="Arial" w:hAnsi="Arial" w:cs="Arial"/>
          <w:sz w:val="20"/>
          <w:szCs w:val="20"/>
        </w:rPr>
        <w:t xml:space="preserve">, A., &amp; Keskin, E. (2023). Effects of dietary </w:t>
      </w:r>
      <w:proofErr w:type="spellStart"/>
      <w:r w:rsidRPr="00367288">
        <w:rPr>
          <w:rFonts w:ascii="Arial" w:hAnsi="Arial" w:cs="Arial"/>
          <w:sz w:val="20"/>
          <w:szCs w:val="20"/>
        </w:rPr>
        <w:t>synbiotics</w:t>
      </w:r>
      <w:proofErr w:type="spellEnd"/>
      <w:r w:rsidRPr="00367288">
        <w:rPr>
          <w:rFonts w:ascii="Arial" w:hAnsi="Arial" w:cs="Arial"/>
          <w:sz w:val="20"/>
          <w:szCs w:val="20"/>
        </w:rPr>
        <w:t xml:space="preserve"> and </w:t>
      </w:r>
      <w:proofErr w:type="spellStart"/>
      <w:r w:rsidRPr="00367288">
        <w:rPr>
          <w:rFonts w:ascii="Arial" w:hAnsi="Arial" w:cs="Arial"/>
          <w:sz w:val="20"/>
          <w:szCs w:val="20"/>
        </w:rPr>
        <w:t>biofloc</w:t>
      </w:r>
      <w:proofErr w:type="spellEnd"/>
      <w:r w:rsidRPr="00367288">
        <w:rPr>
          <w:rFonts w:ascii="Arial" w:hAnsi="Arial" w:cs="Arial"/>
          <w:sz w:val="20"/>
          <w:szCs w:val="20"/>
        </w:rPr>
        <w:t xml:space="preserve"> meal on the growth, tissue histomorphology, whole-body composition and intestinal microbiota profile of Nile tilapia (Oreochromis niloticus) cultured at different salinities. </w:t>
      </w:r>
      <w:r w:rsidRPr="00367288">
        <w:rPr>
          <w:rFonts w:ascii="Arial" w:hAnsi="Arial" w:cs="Arial"/>
          <w:i/>
          <w:iCs/>
          <w:sz w:val="20"/>
          <w:szCs w:val="20"/>
        </w:rPr>
        <w:t>Aquaculture</w:t>
      </w:r>
      <w:r w:rsidRPr="00367288">
        <w:rPr>
          <w:rFonts w:ascii="Arial" w:hAnsi="Arial" w:cs="Arial"/>
          <w:sz w:val="20"/>
          <w:szCs w:val="20"/>
        </w:rPr>
        <w:t xml:space="preserve">, </w:t>
      </w:r>
      <w:r w:rsidRPr="00367288">
        <w:rPr>
          <w:rFonts w:ascii="Arial" w:hAnsi="Arial" w:cs="Arial"/>
          <w:i/>
          <w:iCs/>
          <w:sz w:val="20"/>
          <w:szCs w:val="20"/>
        </w:rPr>
        <w:t>570</w:t>
      </w:r>
      <w:r w:rsidRPr="00367288">
        <w:rPr>
          <w:rFonts w:ascii="Arial" w:hAnsi="Arial" w:cs="Arial"/>
          <w:sz w:val="20"/>
          <w:szCs w:val="20"/>
        </w:rPr>
        <w:t xml:space="preserve">, 739391. </w:t>
      </w:r>
      <w:hyperlink r:id="rId14" w:history="1">
        <w:r w:rsidRPr="00367288">
          <w:rPr>
            <w:rStyle w:val="Hyperlink"/>
            <w:rFonts w:ascii="Arial" w:hAnsi="Arial" w:cs="Arial"/>
            <w:sz w:val="20"/>
            <w:szCs w:val="20"/>
          </w:rPr>
          <w:t>https://doi.org/10.1016/j.aquaculture.2023.739391</w:t>
        </w:r>
      </w:hyperlink>
    </w:p>
    <w:p w14:paraId="325823AA"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367288">
        <w:rPr>
          <w:rFonts w:ascii="Arial" w:eastAsia="Times New Roman" w:hAnsi="Arial" w:cs="Arial"/>
          <w:kern w:val="0"/>
          <w:sz w:val="20"/>
          <w:szCs w:val="20"/>
          <w:lang w:eastAsia="en-IN"/>
          <w14:ligatures w14:val="none"/>
        </w:rPr>
        <w:t>Khanjani</w:t>
      </w:r>
      <w:proofErr w:type="spellEnd"/>
      <w:r w:rsidRPr="00367288">
        <w:rPr>
          <w:rFonts w:ascii="Arial" w:eastAsia="Times New Roman" w:hAnsi="Arial" w:cs="Arial"/>
          <w:kern w:val="0"/>
          <w:sz w:val="20"/>
          <w:szCs w:val="20"/>
          <w:lang w:eastAsia="en-IN"/>
          <w14:ligatures w14:val="none"/>
        </w:rPr>
        <w:t xml:space="preserve">, M.H., &amp; </w:t>
      </w:r>
      <w:proofErr w:type="spellStart"/>
      <w:r w:rsidRPr="00367288">
        <w:rPr>
          <w:rFonts w:ascii="Arial" w:eastAsia="Times New Roman" w:hAnsi="Arial" w:cs="Arial"/>
          <w:kern w:val="0"/>
          <w:sz w:val="20"/>
          <w:szCs w:val="20"/>
          <w:lang w:eastAsia="en-IN"/>
          <w14:ligatures w14:val="none"/>
        </w:rPr>
        <w:t>Sharifinia</w:t>
      </w:r>
      <w:proofErr w:type="spellEnd"/>
      <w:r w:rsidRPr="00367288">
        <w:rPr>
          <w:rFonts w:ascii="Arial" w:eastAsia="Times New Roman" w:hAnsi="Arial" w:cs="Arial"/>
          <w:kern w:val="0"/>
          <w:sz w:val="20"/>
          <w:szCs w:val="20"/>
          <w:lang w:eastAsia="en-IN"/>
          <w14:ligatures w14:val="none"/>
        </w:rPr>
        <w:t xml:space="preserve">, M. (2024). </w:t>
      </w:r>
      <w:r w:rsidRPr="00367288">
        <w:rPr>
          <w:rFonts w:ascii="Arial" w:eastAsia="Times New Roman" w:hAnsi="Arial" w:cs="Arial"/>
          <w:i/>
          <w:iCs/>
          <w:kern w:val="0"/>
          <w:sz w:val="20"/>
          <w:szCs w:val="20"/>
          <w:lang w:eastAsia="en-IN"/>
          <w14:ligatures w14:val="none"/>
        </w:rPr>
        <w:t>Feeding Nile tilapia with varying levels of biofloc: effects on growth, digestive and liver enzyme activities, and mucus immunity.</w:t>
      </w:r>
      <w:r w:rsidRPr="00367288">
        <w:rPr>
          <w:rFonts w:ascii="Arial" w:eastAsia="Times New Roman" w:hAnsi="Arial" w:cs="Arial"/>
          <w:kern w:val="0"/>
          <w:sz w:val="20"/>
          <w:szCs w:val="20"/>
          <w:lang w:eastAsia="en-IN"/>
          <w14:ligatures w14:val="none"/>
        </w:rPr>
        <w:t xml:space="preserve"> Aquaculture International. </w:t>
      </w:r>
      <w:hyperlink r:id="rId15" w:tgtFrame="_new" w:history="1">
        <w:r w:rsidRPr="00367288">
          <w:rPr>
            <w:rFonts w:ascii="Arial" w:eastAsia="Times New Roman" w:hAnsi="Arial" w:cs="Arial"/>
            <w:color w:val="0000FF"/>
            <w:kern w:val="0"/>
            <w:sz w:val="20"/>
            <w:szCs w:val="20"/>
            <w:u w:val="single"/>
            <w:lang w:eastAsia="en-IN"/>
            <w14:ligatures w14:val="none"/>
          </w:rPr>
          <w:t>https://link.springer.com/article/10.1007/s10499-024-01561-w</w:t>
        </w:r>
      </w:hyperlink>
    </w:p>
    <w:p w14:paraId="7A5CEC79"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rPr>
      </w:pPr>
      <w:r w:rsidRPr="00367288">
        <w:rPr>
          <w:rFonts w:ascii="Arial" w:hAnsi="Arial" w:cs="Arial"/>
          <w:sz w:val="20"/>
          <w:szCs w:val="20"/>
        </w:rPr>
        <w:t xml:space="preserve">Lal, J., Vaishnav, A., Brar, K. S., Verma, D. K., Jayaswal, R., </w:t>
      </w:r>
      <w:proofErr w:type="spellStart"/>
      <w:r w:rsidRPr="00367288">
        <w:rPr>
          <w:rFonts w:ascii="Arial" w:hAnsi="Arial" w:cs="Arial"/>
          <w:sz w:val="20"/>
          <w:szCs w:val="20"/>
        </w:rPr>
        <w:t>Lavkush</w:t>
      </w:r>
      <w:proofErr w:type="spellEnd"/>
      <w:r w:rsidRPr="00367288">
        <w:rPr>
          <w:rFonts w:ascii="Arial" w:hAnsi="Arial" w:cs="Arial"/>
          <w:sz w:val="20"/>
          <w:szCs w:val="20"/>
        </w:rPr>
        <w:t xml:space="preserve">, Debbarma, S., </w:t>
      </w:r>
      <w:proofErr w:type="spellStart"/>
      <w:r w:rsidRPr="00367288">
        <w:rPr>
          <w:rFonts w:ascii="Arial" w:hAnsi="Arial" w:cs="Arial"/>
          <w:sz w:val="20"/>
          <w:szCs w:val="20"/>
        </w:rPr>
        <w:t>Devati</w:t>
      </w:r>
      <w:proofErr w:type="spellEnd"/>
      <w:r w:rsidRPr="00367288">
        <w:rPr>
          <w:rFonts w:ascii="Arial" w:hAnsi="Arial" w:cs="Arial"/>
          <w:sz w:val="20"/>
          <w:szCs w:val="20"/>
        </w:rPr>
        <w:t xml:space="preserve">, &amp; Kumar, S. (2024). </w:t>
      </w:r>
      <w:r w:rsidRPr="00367288">
        <w:rPr>
          <w:rFonts w:ascii="Arial" w:hAnsi="Arial" w:cs="Arial"/>
          <w:i/>
          <w:iCs/>
          <w:sz w:val="20"/>
          <w:szCs w:val="20"/>
        </w:rPr>
        <w:t>Biofloc technology: Optimizing aquaculture through microbial innovation</w:t>
      </w:r>
      <w:r w:rsidRPr="00367288">
        <w:rPr>
          <w:rFonts w:ascii="Arial" w:hAnsi="Arial" w:cs="Arial"/>
          <w:sz w:val="20"/>
          <w:szCs w:val="20"/>
        </w:rPr>
        <w:t xml:space="preserve">. </w:t>
      </w:r>
      <w:r w:rsidRPr="00367288">
        <w:rPr>
          <w:rFonts w:ascii="Arial" w:hAnsi="Arial" w:cs="Arial"/>
          <w:i/>
          <w:iCs/>
          <w:sz w:val="20"/>
          <w:szCs w:val="20"/>
        </w:rPr>
        <w:t>Journal of Advances in Microbiology, 24</w:t>
      </w:r>
      <w:r w:rsidRPr="00367288">
        <w:rPr>
          <w:rFonts w:ascii="Arial" w:hAnsi="Arial" w:cs="Arial"/>
          <w:sz w:val="20"/>
          <w:szCs w:val="20"/>
        </w:rPr>
        <w:t xml:space="preserve">(7), 11-24. </w:t>
      </w:r>
      <w:hyperlink r:id="rId16" w:history="1">
        <w:r w:rsidRPr="00367288">
          <w:rPr>
            <w:rStyle w:val="Hyperlink"/>
            <w:rFonts w:ascii="Arial" w:hAnsi="Arial" w:cs="Arial"/>
            <w:sz w:val="20"/>
            <w:szCs w:val="20"/>
          </w:rPr>
          <w:t>https://doi.org/10.9734/jamb/2024/v24i7835</w:t>
        </w:r>
      </w:hyperlink>
      <w:r w:rsidRPr="00367288">
        <w:rPr>
          <w:rFonts w:ascii="Arial" w:hAnsi="Arial" w:cs="Arial"/>
          <w:sz w:val="20"/>
          <w:szCs w:val="20"/>
        </w:rPr>
        <w:t>.</w:t>
      </w:r>
    </w:p>
    <w:p w14:paraId="59E8D53E"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sectPr w:rsidR="00DD0104" w:rsidRPr="00367288" w:rsidSect="00DD010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67288">
        <w:rPr>
          <w:rFonts w:ascii="Arial" w:eastAsia="Times New Roman" w:hAnsi="Arial" w:cs="Arial"/>
          <w:kern w:val="0"/>
          <w:sz w:val="20"/>
          <w:szCs w:val="20"/>
          <w:lang w:eastAsia="en-IN"/>
          <w14:ligatures w14:val="none"/>
        </w:rPr>
        <w:t xml:space="preserve">Manzoor, P.S., Rawat, K.D., &amp; Tiwari, V.K. (2020). </w:t>
      </w:r>
      <w:r w:rsidRPr="00367288">
        <w:rPr>
          <w:rFonts w:ascii="Arial" w:eastAsia="Times New Roman" w:hAnsi="Arial" w:cs="Arial"/>
          <w:i/>
          <w:iCs/>
          <w:kern w:val="0"/>
          <w:sz w:val="20"/>
          <w:szCs w:val="20"/>
          <w:lang w:eastAsia="en-IN"/>
          <w14:ligatures w14:val="none"/>
        </w:rPr>
        <w:t>Dietary lipid influences gonadal maturation, digestive enzymes and serum biochemical indices of Cyprinus carpio reared in biofloc system.</w:t>
      </w:r>
      <w:r w:rsidRPr="00367288">
        <w:rPr>
          <w:rFonts w:ascii="Arial" w:eastAsia="Times New Roman" w:hAnsi="Arial" w:cs="Arial"/>
          <w:kern w:val="0"/>
          <w:sz w:val="20"/>
          <w:szCs w:val="20"/>
          <w:lang w:eastAsia="en-IN"/>
          <w14:ligatures w14:val="none"/>
        </w:rPr>
        <w:t xml:space="preserve"> Aquaculture Research, 51(12), 5249–5262. https://onlinelibrary.wiley.com/doi/10.1111/are.14659</w:t>
      </w:r>
    </w:p>
    <w:p w14:paraId="54498BF5"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Nayak, S.K. (2021). </w:t>
      </w:r>
      <w:r w:rsidRPr="00367288">
        <w:rPr>
          <w:rFonts w:ascii="Arial" w:eastAsia="Times New Roman" w:hAnsi="Arial" w:cs="Arial"/>
          <w:i/>
          <w:iCs/>
          <w:kern w:val="0"/>
          <w:sz w:val="20"/>
          <w:szCs w:val="20"/>
          <w:lang w:eastAsia="en-IN"/>
          <w14:ligatures w14:val="none"/>
        </w:rPr>
        <w:t>Multifaceted applications of probiotic Bacillus species in aquaculture with special reference to Bacillus subtilis.</w:t>
      </w:r>
      <w:r w:rsidRPr="00367288">
        <w:rPr>
          <w:rFonts w:ascii="Arial" w:eastAsia="Times New Roman" w:hAnsi="Arial" w:cs="Arial"/>
          <w:kern w:val="0"/>
          <w:sz w:val="20"/>
          <w:szCs w:val="20"/>
          <w:lang w:eastAsia="en-IN"/>
          <w14:ligatures w14:val="none"/>
        </w:rPr>
        <w:t xml:space="preserve"> Reviews in Aquaculture, 13(2), 862–886. </w:t>
      </w:r>
      <w:hyperlink r:id="rId17" w:tgtFrame="_new" w:history="1">
        <w:r w:rsidRPr="00367288">
          <w:rPr>
            <w:rFonts w:ascii="Arial" w:eastAsia="Times New Roman" w:hAnsi="Arial" w:cs="Arial"/>
            <w:color w:val="0000FF"/>
            <w:kern w:val="0"/>
            <w:sz w:val="20"/>
            <w:szCs w:val="20"/>
            <w:u w:val="single"/>
            <w:lang w:eastAsia="en-IN"/>
            <w14:ligatures w14:val="none"/>
          </w:rPr>
          <w:t>https://onlinelibrary.wiley.com/doi/10.1111/raq.12503</w:t>
        </w:r>
      </w:hyperlink>
    </w:p>
    <w:p w14:paraId="248B0714"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rPr>
      </w:pPr>
      <w:r w:rsidRPr="00367288">
        <w:rPr>
          <w:rFonts w:ascii="Arial" w:hAnsi="Arial" w:cs="Arial"/>
          <w:sz w:val="20"/>
          <w:szCs w:val="20"/>
        </w:rPr>
        <w:lastRenderedPageBreak/>
        <w:t xml:space="preserve">Nguyen, H. Y. N., Trinh, T. L., Baruah, K., Lundh, T., &amp; Kiessling, A. (2021). Growth and feed utilisation of Nile tilapia (Oreochromis niloticus) fed different protein levels in a clear-water or biofloc-RAS system. </w:t>
      </w:r>
      <w:r w:rsidRPr="00367288">
        <w:rPr>
          <w:rFonts w:ascii="Arial" w:hAnsi="Arial" w:cs="Arial"/>
          <w:i/>
          <w:iCs/>
          <w:sz w:val="20"/>
          <w:szCs w:val="20"/>
        </w:rPr>
        <w:t>Aquaculture</w:t>
      </w:r>
      <w:r w:rsidRPr="00367288">
        <w:rPr>
          <w:rFonts w:ascii="Arial" w:hAnsi="Arial" w:cs="Arial"/>
          <w:sz w:val="20"/>
          <w:szCs w:val="20"/>
        </w:rPr>
        <w:t xml:space="preserve">, </w:t>
      </w:r>
      <w:r w:rsidRPr="00367288">
        <w:rPr>
          <w:rFonts w:ascii="Arial" w:hAnsi="Arial" w:cs="Arial"/>
          <w:i/>
          <w:iCs/>
          <w:sz w:val="20"/>
          <w:szCs w:val="20"/>
        </w:rPr>
        <w:t>536</w:t>
      </w:r>
      <w:r w:rsidRPr="00367288">
        <w:rPr>
          <w:rFonts w:ascii="Arial" w:hAnsi="Arial" w:cs="Arial"/>
          <w:sz w:val="20"/>
          <w:szCs w:val="20"/>
        </w:rPr>
        <w:t xml:space="preserve">, 736404. </w:t>
      </w:r>
      <w:hyperlink r:id="rId18" w:history="1">
        <w:r w:rsidRPr="00367288">
          <w:rPr>
            <w:rStyle w:val="Hyperlink"/>
            <w:rFonts w:ascii="Arial" w:hAnsi="Arial" w:cs="Arial"/>
            <w:sz w:val="20"/>
            <w:szCs w:val="20"/>
          </w:rPr>
          <w:t>https://doi.org/10.1016/j.aquaculture.2021.736404</w:t>
        </w:r>
      </w:hyperlink>
    </w:p>
    <w:p w14:paraId="049B5247"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rPr>
      </w:pPr>
      <w:r w:rsidRPr="00367288">
        <w:rPr>
          <w:rFonts w:ascii="Arial" w:hAnsi="Arial" w:cs="Arial"/>
          <w:sz w:val="20"/>
          <w:szCs w:val="20"/>
        </w:rPr>
        <w:t xml:space="preserve">Panigrahi, A., Das, R., Sivakumar, Saravanan, A., Saranya, C., Sudheer, N., </w:t>
      </w:r>
      <w:proofErr w:type="spellStart"/>
      <w:r w:rsidRPr="00367288">
        <w:rPr>
          <w:rFonts w:ascii="Arial" w:hAnsi="Arial" w:cs="Arial"/>
          <w:sz w:val="20"/>
          <w:szCs w:val="20"/>
        </w:rPr>
        <w:t>Vasagam</w:t>
      </w:r>
      <w:proofErr w:type="spellEnd"/>
      <w:r w:rsidRPr="00367288">
        <w:rPr>
          <w:rFonts w:ascii="Arial" w:hAnsi="Arial" w:cs="Arial"/>
          <w:sz w:val="20"/>
          <w:szCs w:val="20"/>
        </w:rPr>
        <w:t xml:space="preserve">, K. K., Mahalakshmi, P., Kannappan, S., &amp; Gopikrishna, G. (2020). Bio-augmentation of heterotrophic bacteria in biofloc system improves growth, survival, and immunity of Indian white shrimp Penaeus indicus. </w:t>
      </w:r>
      <w:r w:rsidRPr="00367288">
        <w:rPr>
          <w:rFonts w:ascii="Arial" w:hAnsi="Arial" w:cs="Arial"/>
          <w:i/>
          <w:iCs/>
          <w:sz w:val="20"/>
          <w:szCs w:val="20"/>
        </w:rPr>
        <w:t>Fish &amp; Shellfish Immunology</w:t>
      </w:r>
      <w:r w:rsidRPr="00367288">
        <w:rPr>
          <w:rFonts w:ascii="Arial" w:hAnsi="Arial" w:cs="Arial"/>
          <w:sz w:val="20"/>
          <w:szCs w:val="20"/>
        </w:rPr>
        <w:t xml:space="preserve">, </w:t>
      </w:r>
      <w:r w:rsidRPr="00367288">
        <w:rPr>
          <w:rFonts w:ascii="Arial" w:hAnsi="Arial" w:cs="Arial"/>
          <w:i/>
          <w:iCs/>
          <w:sz w:val="20"/>
          <w:szCs w:val="20"/>
        </w:rPr>
        <w:t>98</w:t>
      </w:r>
      <w:r w:rsidRPr="00367288">
        <w:rPr>
          <w:rFonts w:ascii="Arial" w:hAnsi="Arial" w:cs="Arial"/>
          <w:sz w:val="20"/>
          <w:szCs w:val="20"/>
        </w:rPr>
        <w:t xml:space="preserve">, 477-487. </w:t>
      </w:r>
      <w:hyperlink r:id="rId19" w:history="1">
        <w:r w:rsidRPr="00367288">
          <w:rPr>
            <w:rStyle w:val="Hyperlink"/>
            <w:rFonts w:ascii="Arial" w:hAnsi="Arial" w:cs="Arial"/>
            <w:sz w:val="20"/>
            <w:szCs w:val="20"/>
          </w:rPr>
          <w:t>https://doi.org/10.1016/j.fsi.2020.01.021</w:t>
        </w:r>
      </w:hyperlink>
    </w:p>
    <w:p w14:paraId="55B01042"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Ramasubburayan, R., &amp; Prakash, S. (2025). </w:t>
      </w:r>
      <w:r w:rsidRPr="00367288">
        <w:rPr>
          <w:rFonts w:ascii="Arial" w:eastAsia="Times New Roman" w:hAnsi="Arial" w:cs="Arial"/>
          <w:i/>
          <w:iCs/>
          <w:kern w:val="0"/>
          <w:sz w:val="20"/>
          <w:szCs w:val="20"/>
          <w:lang w:eastAsia="en-IN"/>
          <w14:ligatures w14:val="none"/>
        </w:rPr>
        <w:t>The transformative role of prebiotics, probiotics, and microbiomes in biofloc systems for sustainable aquaculture.</w:t>
      </w:r>
      <w:r w:rsidRPr="00367288">
        <w:rPr>
          <w:rFonts w:ascii="Arial" w:eastAsia="Times New Roman" w:hAnsi="Arial" w:cs="Arial"/>
          <w:kern w:val="0"/>
          <w:sz w:val="20"/>
          <w:szCs w:val="20"/>
          <w:lang w:eastAsia="en-IN"/>
          <w14:ligatures w14:val="none"/>
        </w:rPr>
        <w:t xml:space="preserve"> Reviews in Aquaculture, Wiley. https://onlinelibrary.wiley.com/doi/10.1111/raq.13000</w:t>
      </w:r>
    </w:p>
    <w:p w14:paraId="5E6CA318" w14:textId="77777777" w:rsidR="00DD0104" w:rsidRPr="00367288" w:rsidRDefault="00DD0104" w:rsidP="00367288">
      <w:pPr>
        <w:pStyle w:val="ListParagraph"/>
        <w:numPr>
          <w:ilvl w:val="0"/>
          <w:numId w:val="4"/>
        </w:numPr>
        <w:spacing w:line="240" w:lineRule="auto"/>
        <w:jc w:val="both"/>
        <w:rPr>
          <w:rFonts w:ascii="Arial" w:hAnsi="Arial" w:cs="Arial"/>
          <w:sz w:val="20"/>
          <w:szCs w:val="20"/>
          <w:shd w:val="clear" w:color="auto" w:fill="FFFFFF"/>
        </w:rPr>
      </w:pPr>
      <w:r w:rsidRPr="00367288">
        <w:rPr>
          <w:rFonts w:ascii="Arial" w:hAnsi="Arial" w:cs="Arial"/>
          <w:sz w:val="20"/>
          <w:szCs w:val="20"/>
        </w:rPr>
        <w:t xml:space="preserve">Ramasubburayan, R., Prakash, S., Immanuel, G., </w:t>
      </w:r>
      <w:proofErr w:type="spellStart"/>
      <w:r w:rsidRPr="00367288">
        <w:rPr>
          <w:rFonts w:ascii="Arial" w:hAnsi="Arial" w:cs="Arial"/>
          <w:sz w:val="20"/>
          <w:szCs w:val="20"/>
        </w:rPr>
        <w:t>Mubarakali</w:t>
      </w:r>
      <w:proofErr w:type="spellEnd"/>
      <w:r w:rsidRPr="00367288">
        <w:rPr>
          <w:rFonts w:ascii="Arial" w:hAnsi="Arial" w:cs="Arial"/>
          <w:sz w:val="20"/>
          <w:szCs w:val="20"/>
        </w:rPr>
        <w:t xml:space="preserve">, D., Rajakumar, G., Thirumurugan, D., &amp; </w:t>
      </w:r>
      <w:proofErr w:type="spellStart"/>
      <w:r w:rsidRPr="00367288">
        <w:rPr>
          <w:rFonts w:ascii="Arial" w:hAnsi="Arial" w:cs="Arial"/>
          <w:sz w:val="20"/>
          <w:szCs w:val="20"/>
        </w:rPr>
        <w:t>Palavesam</w:t>
      </w:r>
      <w:proofErr w:type="spellEnd"/>
      <w:r w:rsidRPr="00367288">
        <w:rPr>
          <w:rFonts w:ascii="Arial" w:hAnsi="Arial" w:cs="Arial"/>
          <w:sz w:val="20"/>
          <w:szCs w:val="20"/>
        </w:rPr>
        <w:t xml:space="preserve">, A. (2024). The Transformative Role of Prebiotics, probiotics, and microbiomes in Biofloc Systems for Sustainable Aquaculture: A Comprehensive Review. </w:t>
      </w:r>
      <w:r w:rsidRPr="00367288">
        <w:rPr>
          <w:rFonts w:ascii="Arial" w:hAnsi="Arial" w:cs="Arial"/>
          <w:i/>
          <w:iCs/>
          <w:sz w:val="20"/>
          <w:szCs w:val="20"/>
        </w:rPr>
        <w:t>Reviews in Aquaculture</w:t>
      </w:r>
      <w:r w:rsidRPr="00367288">
        <w:rPr>
          <w:rFonts w:ascii="Arial" w:hAnsi="Arial" w:cs="Arial"/>
          <w:sz w:val="20"/>
          <w:szCs w:val="20"/>
        </w:rPr>
        <w:t xml:space="preserve">, </w:t>
      </w:r>
      <w:r w:rsidRPr="00367288">
        <w:rPr>
          <w:rFonts w:ascii="Arial" w:hAnsi="Arial" w:cs="Arial"/>
          <w:i/>
          <w:iCs/>
          <w:sz w:val="20"/>
          <w:szCs w:val="20"/>
        </w:rPr>
        <w:t>17</w:t>
      </w:r>
      <w:r w:rsidRPr="00367288">
        <w:rPr>
          <w:rFonts w:ascii="Arial" w:hAnsi="Arial" w:cs="Arial"/>
          <w:sz w:val="20"/>
          <w:szCs w:val="20"/>
        </w:rPr>
        <w:t xml:space="preserve">(1). </w:t>
      </w:r>
      <w:hyperlink r:id="rId20" w:history="1">
        <w:r w:rsidRPr="00367288">
          <w:rPr>
            <w:rStyle w:val="Hyperlink"/>
            <w:rFonts w:ascii="Arial" w:hAnsi="Arial" w:cs="Arial"/>
            <w:sz w:val="20"/>
            <w:szCs w:val="20"/>
          </w:rPr>
          <w:t>https://doi.org/10.1111/raq.13000</w:t>
        </w:r>
      </w:hyperlink>
    </w:p>
    <w:p w14:paraId="08B9B7DF"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shd w:val="clear" w:color="auto" w:fill="FFFFFF"/>
        </w:rPr>
      </w:pPr>
      <w:r w:rsidRPr="00367288">
        <w:rPr>
          <w:rFonts w:ascii="Arial" w:hAnsi="Arial" w:cs="Arial"/>
          <w:sz w:val="20"/>
          <w:szCs w:val="20"/>
        </w:rPr>
        <w:t xml:space="preserve">Said, M. M., &amp; Ahmed, O. M. (2022). Carbohydrate Supplement Impact on Growth Performance, Bacterial Community, and Bacterial Food Quality of </w:t>
      </w:r>
      <w:proofErr w:type="spellStart"/>
      <w:r w:rsidRPr="00367288">
        <w:rPr>
          <w:rFonts w:ascii="Arial" w:hAnsi="Arial" w:cs="Arial"/>
          <w:sz w:val="20"/>
          <w:szCs w:val="20"/>
        </w:rPr>
        <w:t>Whiteleg</w:t>
      </w:r>
      <w:proofErr w:type="spellEnd"/>
      <w:r w:rsidRPr="00367288">
        <w:rPr>
          <w:rFonts w:ascii="Arial" w:hAnsi="Arial" w:cs="Arial"/>
          <w:sz w:val="20"/>
          <w:szCs w:val="20"/>
        </w:rPr>
        <w:t xml:space="preserve"> Shrimp (</w:t>
      </w:r>
      <w:proofErr w:type="spellStart"/>
      <w:r w:rsidRPr="00367288">
        <w:rPr>
          <w:rFonts w:ascii="Arial" w:hAnsi="Arial" w:cs="Arial"/>
          <w:sz w:val="20"/>
          <w:szCs w:val="20"/>
        </w:rPr>
        <w:t>Litopenaeus</w:t>
      </w:r>
      <w:proofErr w:type="spellEnd"/>
      <w:r w:rsidRPr="00367288">
        <w:rPr>
          <w:rFonts w:ascii="Arial" w:hAnsi="Arial" w:cs="Arial"/>
          <w:sz w:val="20"/>
          <w:szCs w:val="20"/>
        </w:rPr>
        <w:t xml:space="preserve"> </w:t>
      </w:r>
      <w:proofErr w:type="spellStart"/>
      <w:r w:rsidRPr="00367288">
        <w:rPr>
          <w:rFonts w:ascii="Arial" w:hAnsi="Arial" w:cs="Arial"/>
          <w:sz w:val="20"/>
          <w:szCs w:val="20"/>
        </w:rPr>
        <w:t>vannamei</w:t>
      </w:r>
      <w:proofErr w:type="spellEnd"/>
      <w:r w:rsidRPr="00367288">
        <w:rPr>
          <w:rFonts w:ascii="Arial" w:hAnsi="Arial" w:cs="Arial"/>
          <w:sz w:val="20"/>
          <w:szCs w:val="20"/>
        </w:rPr>
        <w:t xml:space="preserve">) under Biofloc System. </w:t>
      </w:r>
      <w:r w:rsidRPr="00367288">
        <w:rPr>
          <w:rFonts w:ascii="Arial" w:hAnsi="Arial" w:cs="Arial"/>
          <w:i/>
          <w:iCs/>
          <w:sz w:val="20"/>
          <w:szCs w:val="20"/>
        </w:rPr>
        <w:t>Aquaculture Nutrition</w:t>
      </w:r>
      <w:r w:rsidRPr="00367288">
        <w:rPr>
          <w:rFonts w:ascii="Arial" w:hAnsi="Arial" w:cs="Arial"/>
          <w:sz w:val="20"/>
          <w:szCs w:val="20"/>
        </w:rPr>
        <w:t xml:space="preserve">, </w:t>
      </w:r>
      <w:r w:rsidRPr="00367288">
        <w:rPr>
          <w:rFonts w:ascii="Arial" w:hAnsi="Arial" w:cs="Arial"/>
          <w:i/>
          <w:iCs/>
          <w:sz w:val="20"/>
          <w:szCs w:val="20"/>
        </w:rPr>
        <w:t>2022</w:t>
      </w:r>
      <w:r w:rsidRPr="00367288">
        <w:rPr>
          <w:rFonts w:ascii="Arial" w:hAnsi="Arial" w:cs="Arial"/>
          <w:sz w:val="20"/>
          <w:szCs w:val="20"/>
        </w:rPr>
        <w:t>, 1-10. https://doi.org/10.1155/2022/8964714</w:t>
      </w:r>
    </w:p>
    <w:p w14:paraId="57CFABEB" w14:textId="77777777" w:rsidR="00DD0104" w:rsidRPr="00367288" w:rsidRDefault="00DD0104" w:rsidP="00367288">
      <w:pPr>
        <w:pStyle w:val="ListParagraph"/>
        <w:numPr>
          <w:ilvl w:val="0"/>
          <w:numId w:val="4"/>
        </w:numPr>
        <w:spacing w:after="0" w:line="276" w:lineRule="auto"/>
        <w:jc w:val="both"/>
        <w:rPr>
          <w:rFonts w:ascii="Arial" w:hAnsi="Arial" w:cs="Arial"/>
          <w:sz w:val="20"/>
          <w:szCs w:val="20"/>
        </w:rPr>
      </w:pPr>
      <w:r w:rsidRPr="00367288">
        <w:rPr>
          <w:rFonts w:ascii="Arial" w:hAnsi="Arial" w:cs="Arial"/>
          <w:sz w:val="20"/>
          <w:szCs w:val="20"/>
        </w:rPr>
        <w:t xml:space="preserve">Sarangi, S. K., Mohanty, R. K., </w:t>
      </w:r>
      <w:proofErr w:type="spellStart"/>
      <w:r w:rsidRPr="00367288">
        <w:rPr>
          <w:rFonts w:ascii="Arial" w:hAnsi="Arial" w:cs="Arial"/>
          <w:sz w:val="20"/>
          <w:szCs w:val="20"/>
        </w:rPr>
        <w:t>Munilkumar</w:t>
      </w:r>
      <w:proofErr w:type="spellEnd"/>
      <w:r w:rsidRPr="00367288">
        <w:rPr>
          <w:rFonts w:ascii="Arial" w:hAnsi="Arial" w:cs="Arial"/>
          <w:sz w:val="20"/>
          <w:szCs w:val="20"/>
        </w:rPr>
        <w:t xml:space="preserve">, S., &amp; </w:t>
      </w:r>
      <w:proofErr w:type="spellStart"/>
      <w:r w:rsidRPr="00367288">
        <w:rPr>
          <w:rFonts w:ascii="Arial" w:hAnsi="Arial" w:cs="Arial"/>
          <w:sz w:val="20"/>
          <w:szCs w:val="20"/>
        </w:rPr>
        <w:t>Sundaray</w:t>
      </w:r>
      <w:proofErr w:type="spellEnd"/>
      <w:r w:rsidRPr="00367288">
        <w:rPr>
          <w:rFonts w:ascii="Arial" w:hAnsi="Arial" w:cs="Arial"/>
          <w:sz w:val="20"/>
          <w:szCs w:val="20"/>
        </w:rPr>
        <w:t xml:space="preserve">, J. K. (2025). </w:t>
      </w:r>
      <w:r w:rsidRPr="00367288">
        <w:rPr>
          <w:rFonts w:ascii="Arial" w:hAnsi="Arial" w:cs="Arial"/>
          <w:i/>
          <w:iCs/>
          <w:sz w:val="20"/>
          <w:szCs w:val="20"/>
        </w:rPr>
        <w:t>Agroecology and integrated farming system</w:t>
      </w:r>
      <w:r w:rsidRPr="00367288">
        <w:rPr>
          <w:rFonts w:ascii="Arial" w:hAnsi="Arial" w:cs="Arial"/>
          <w:sz w:val="20"/>
          <w:szCs w:val="20"/>
        </w:rPr>
        <w:t>. CRC Press.</w:t>
      </w:r>
    </w:p>
    <w:p w14:paraId="55034244"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Sharna, S.N., Nur, K.F., Rahman, A., Das, N.C., &amp; Akter, J. (2025). </w:t>
      </w:r>
      <w:r w:rsidRPr="00367288">
        <w:rPr>
          <w:rFonts w:ascii="Arial" w:eastAsia="Times New Roman" w:hAnsi="Arial" w:cs="Arial"/>
          <w:i/>
          <w:iCs/>
          <w:kern w:val="0"/>
          <w:sz w:val="20"/>
          <w:szCs w:val="20"/>
          <w:lang w:eastAsia="en-IN"/>
          <w14:ligatures w14:val="none"/>
        </w:rPr>
        <w:t>Multi-strain native probiotics from Asian stinging catfish (</w:t>
      </w:r>
      <w:proofErr w:type="spellStart"/>
      <w:r w:rsidRPr="00367288">
        <w:rPr>
          <w:rFonts w:ascii="Arial" w:eastAsia="Times New Roman" w:hAnsi="Arial" w:cs="Arial"/>
          <w:i/>
          <w:iCs/>
          <w:kern w:val="0"/>
          <w:sz w:val="20"/>
          <w:szCs w:val="20"/>
          <w:lang w:eastAsia="en-IN"/>
          <w14:ligatures w14:val="none"/>
        </w:rPr>
        <w:t>Heteropneustes</w:t>
      </w:r>
      <w:proofErr w:type="spellEnd"/>
      <w:r w:rsidRPr="00367288">
        <w:rPr>
          <w:rFonts w:ascii="Arial" w:eastAsia="Times New Roman" w:hAnsi="Arial" w:cs="Arial"/>
          <w:i/>
          <w:iCs/>
          <w:kern w:val="0"/>
          <w:sz w:val="20"/>
          <w:szCs w:val="20"/>
          <w:lang w:eastAsia="en-IN"/>
          <w14:ligatures w14:val="none"/>
        </w:rPr>
        <w:t xml:space="preserve"> </w:t>
      </w:r>
      <w:proofErr w:type="spellStart"/>
      <w:r w:rsidRPr="00367288">
        <w:rPr>
          <w:rFonts w:ascii="Arial" w:eastAsia="Times New Roman" w:hAnsi="Arial" w:cs="Arial"/>
          <w:i/>
          <w:iCs/>
          <w:kern w:val="0"/>
          <w:sz w:val="20"/>
          <w:szCs w:val="20"/>
          <w:lang w:eastAsia="en-IN"/>
          <w14:ligatures w14:val="none"/>
        </w:rPr>
        <w:t>fossilis</w:t>
      </w:r>
      <w:proofErr w:type="spellEnd"/>
      <w:r w:rsidRPr="00367288">
        <w:rPr>
          <w:rFonts w:ascii="Arial" w:eastAsia="Times New Roman" w:hAnsi="Arial" w:cs="Arial"/>
          <w:i/>
          <w:iCs/>
          <w:kern w:val="0"/>
          <w:sz w:val="20"/>
          <w:szCs w:val="20"/>
          <w:lang w:eastAsia="en-IN"/>
          <w14:ligatures w14:val="none"/>
        </w:rPr>
        <w:t>) enhance growth, blood health, and organ morphology in the host.</w:t>
      </w:r>
      <w:r w:rsidRPr="00367288">
        <w:rPr>
          <w:rFonts w:ascii="Arial" w:eastAsia="Times New Roman" w:hAnsi="Arial" w:cs="Arial"/>
          <w:kern w:val="0"/>
          <w:sz w:val="20"/>
          <w:szCs w:val="20"/>
          <w:lang w:eastAsia="en-IN"/>
          <w14:ligatures w14:val="none"/>
        </w:rPr>
        <w:t xml:space="preserve"> Probiotics and Antimicrobial Proteins. </w:t>
      </w:r>
      <w:hyperlink r:id="rId21" w:tgtFrame="_new" w:history="1">
        <w:r w:rsidRPr="00367288">
          <w:rPr>
            <w:rFonts w:ascii="Arial" w:eastAsia="Times New Roman" w:hAnsi="Arial" w:cs="Arial"/>
            <w:color w:val="0000FF"/>
            <w:kern w:val="0"/>
            <w:sz w:val="20"/>
            <w:szCs w:val="20"/>
            <w:u w:val="single"/>
            <w:lang w:eastAsia="en-IN"/>
            <w14:ligatures w14:val="none"/>
          </w:rPr>
          <w:t>https://link.springer.com/article/10.1007/s12602-025-10540-3</w:t>
        </w:r>
      </w:hyperlink>
    </w:p>
    <w:p w14:paraId="79121A1E" w14:textId="77777777" w:rsidR="00DD0104" w:rsidRPr="00367288" w:rsidRDefault="00DD0104" w:rsidP="00367288">
      <w:pPr>
        <w:pStyle w:val="ListParagraph"/>
        <w:numPr>
          <w:ilvl w:val="0"/>
          <w:numId w:val="4"/>
        </w:numPr>
        <w:jc w:val="both"/>
        <w:rPr>
          <w:rFonts w:ascii="Arial" w:hAnsi="Arial" w:cs="Arial"/>
          <w:sz w:val="20"/>
          <w:szCs w:val="20"/>
          <w:lang w:val="nl-BE"/>
        </w:rPr>
      </w:pPr>
      <w:r w:rsidRPr="00367288">
        <w:rPr>
          <w:rFonts w:ascii="Arial" w:hAnsi="Arial" w:cs="Arial"/>
          <w:sz w:val="20"/>
          <w:szCs w:val="20"/>
        </w:rPr>
        <w:t xml:space="preserve">Shearer, K. D. (1994). Factors affecting the proximate composition of cultured fishes with emphasis on salmonids. </w:t>
      </w:r>
      <w:r w:rsidRPr="00367288">
        <w:rPr>
          <w:rFonts w:ascii="Arial" w:hAnsi="Arial" w:cs="Arial"/>
          <w:i/>
          <w:iCs/>
          <w:sz w:val="20"/>
          <w:szCs w:val="20"/>
          <w:lang w:val="nl-BE"/>
        </w:rPr>
        <w:t>Aquaculture</w:t>
      </w:r>
      <w:r w:rsidRPr="00367288">
        <w:rPr>
          <w:rFonts w:ascii="Arial" w:hAnsi="Arial" w:cs="Arial"/>
          <w:sz w:val="20"/>
          <w:szCs w:val="20"/>
          <w:lang w:val="nl-BE"/>
        </w:rPr>
        <w:t xml:space="preserve">, 119(1), 63–88. </w:t>
      </w:r>
      <w:r>
        <w:fldChar w:fldCharType="begin"/>
      </w:r>
      <w:r w:rsidRPr="00367288">
        <w:rPr>
          <w:lang w:val="nl-BE"/>
        </w:rPr>
        <w:instrText>HYPERLINK "https://doi.org/10.1016/0044-8486(94)90444-8"</w:instrText>
      </w:r>
      <w:r>
        <w:fldChar w:fldCharType="separate"/>
      </w:r>
      <w:r w:rsidRPr="00367288">
        <w:rPr>
          <w:rStyle w:val="Hyperlink"/>
          <w:rFonts w:ascii="Arial" w:hAnsi="Arial" w:cs="Arial"/>
          <w:sz w:val="20"/>
          <w:szCs w:val="20"/>
          <w:lang w:val="nl-BE"/>
        </w:rPr>
        <w:t>https://doi.org/10.1016/0044-8486(94)90444-8</w:t>
      </w:r>
      <w:r>
        <w:fldChar w:fldCharType="end"/>
      </w:r>
    </w:p>
    <w:p w14:paraId="4680F4EC"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rPr>
      </w:pPr>
      <w:r w:rsidRPr="00367288">
        <w:rPr>
          <w:rFonts w:ascii="Arial" w:hAnsi="Arial" w:cs="Arial"/>
          <w:sz w:val="20"/>
          <w:szCs w:val="20"/>
          <w:lang w:val="nl-BE"/>
        </w:rPr>
        <w:t xml:space="preserve">Wu, J., Xu, W., Xu, Y., Su, H., Hu, X., Cao, Y., Zhang, J., &amp; Wen, G. (2024). </w:t>
      </w:r>
      <w:r w:rsidRPr="00367288">
        <w:rPr>
          <w:rFonts w:ascii="Arial" w:hAnsi="Arial" w:cs="Arial"/>
          <w:sz w:val="20"/>
          <w:szCs w:val="20"/>
        </w:rPr>
        <w:t xml:space="preserve">Impact of Organic Carbons Addition on the Enrichment Culture of Nitrifying Biofloc from Aquaculture Water: Process, Efficiency, and Microbial Community. </w:t>
      </w:r>
      <w:r w:rsidRPr="00367288">
        <w:rPr>
          <w:rFonts w:ascii="Arial" w:hAnsi="Arial" w:cs="Arial"/>
          <w:i/>
          <w:iCs/>
          <w:sz w:val="20"/>
          <w:szCs w:val="20"/>
        </w:rPr>
        <w:t>Microorganisms</w:t>
      </w:r>
      <w:r w:rsidRPr="00367288">
        <w:rPr>
          <w:rFonts w:ascii="Arial" w:hAnsi="Arial" w:cs="Arial"/>
          <w:sz w:val="20"/>
          <w:szCs w:val="20"/>
        </w:rPr>
        <w:t xml:space="preserve">, </w:t>
      </w:r>
      <w:r w:rsidRPr="00367288">
        <w:rPr>
          <w:rFonts w:ascii="Arial" w:hAnsi="Arial" w:cs="Arial"/>
          <w:i/>
          <w:iCs/>
          <w:sz w:val="20"/>
          <w:szCs w:val="20"/>
        </w:rPr>
        <w:t>12</w:t>
      </w:r>
      <w:r w:rsidRPr="00367288">
        <w:rPr>
          <w:rFonts w:ascii="Arial" w:hAnsi="Arial" w:cs="Arial"/>
          <w:sz w:val="20"/>
          <w:szCs w:val="20"/>
        </w:rPr>
        <w:t xml:space="preserve">(4), 703. </w:t>
      </w:r>
      <w:hyperlink r:id="rId22" w:history="1">
        <w:r w:rsidRPr="00367288">
          <w:rPr>
            <w:rStyle w:val="Hyperlink"/>
            <w:rFonts w:ascii="Arial" w:hAnsi="Arial" w:cs="Arial"/>
            <w:sz w:val="20"/>
            <w:szCs w:val="20"/>
          </w:rPr>
          <w:t>https://doi.org/10.3390/microorganisms1204070</w:t>
        </w:r>
      </w:hyperlink>
      <w:r w:rsidRPr="00367288">
        <w:rPr>
          <w:rFonts w:ascii="Arial" w:hAnsi="Arial" w:cs="Arial"/>
          <w:sz w:val="20"/>
          <w:szCs w:val="20"/>
        </w:rPr>
        <w:t xml:space="preserve"> </w:t>
      </w:r>
    </w:p>
    <w:p w14:paraId="5C40DDAC" w14:textId="77777777" w:rsidR="00DD0104" w:rsidRPr="00367288" w:rsidRDefault="00DD0104" w:rsidP="00367288">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67288">
        <w:rPr>
          <w:rFonts w:ascii="Arial" w:eastAsia="Times New Roman" w:hAnsi="Arial" w:cs="Arial"/>
          <w:kern w:val="0"/>
          <w:sz w:val="20"/>
          <w:szCs w:val="20"/>
          <w:lang w:eastAsia="en-IN"/>
          <w14:ligatures w14:val="none"/>
        </w:rPr>
        <w:t xml:space="preserve">Yadav, R., Jayant, M., Chadha, N.K., &amp; Saini, V.P. (2025). </w:t>
      </w:r>
      <w:proofErr w:type="spellStart"/>
      <w:r w:rsidRPr="00367288">
        <w:rPr>
          <w:rFonts w:ascii="Arial" w:eastAsia="Times New Roman" w:hAnsi="Arial" w:cs="Arial"/>
          <w:i/>
          <w:iCs/>
          <w:kern w:val="0"/>
          <w:sz w:val="20"/>
          <w:szCs w:val="20"/>
          <w:lang w:eastAsia="en-IN"/>
          <w14:ligatures w14:val="none"/>
        </w:rPr>
        <w:t>Khejri</w:t>
      </w:r>
      <w:proofErr w:type="spellEnd"/>
      <w:r w:rsidRPr="00367288">
        <w:rPr>
          <w:rFonts w:ascii="Arial" w:eastAsia="Times New Roman" w:hAnsi="Arial" w:cs="Arial"/>
          <w:i/>
          <w:iCs/>
          <w:kern w:val="0"/>
          <w:sz w:val="20"/>
          <w:szCs w:val="20"/>
          <w:lang w:eastAsia="en-IN"/>
          <w14:ligatures w14:val="none"/>
        </w:rPr>
        <w:t xml:space="preserve"> seed extract (KSE) enhances the growth, digestive, metabolic, and immunological responses of Labeo rohita fingerlings.</w:t>
      </w:r>
      <w:r w:rsidRPr="00367288">
        <w:rPr>
          <w:rFonts w:ascii="Arial" w:eastAsia="Times New Roman" w:hAnsi="Arial" w:cs="Arial"/>
          <w:kern w:val="0"/>
          <w:sz w:val="20"/>
          <w:szCs w:val="20"/>
          <w:lang w:eastAsia="en-IN"/>
          <w14:ligatures w14:val="none"/>
        </w:rPr>
        <w:t xml:space="preserve"> Frontiers in Water, 7, 1552453. </w:t>
      </w:r>
      <w:hyperlink r:id="rId23" w:tgtFrame="_new" w:history="1">
        <w:r w:rsidRPr="00367288">
          <w:rPr>
            <w:rFonts w:ascii="Arial" w:eastAsia="Times New Roman" w:hAnsi="Arial" w:cs="Arial"/>
            <w:color w:val="0000FF"/>
            <w:kern w:val="0"/>
            <w:sz w:val="20"/>
            <w:szCs w:val="20"/>
            <w:u w:val="single"/>
            <w:lang w:eastAsia="en-IN"/>
            <w14:ligatures w14:val="none"/>
          </w:rPr>
          <w:t>https://www.frontiersin.org/journals/water/articles/10.3389/frwa.2025.1552453/full</w:t>
        </w:r>
      </w:hyperlink>
    </w:p>
    <w:p w14:paraId="3F84E474" w14:textId="77777777" w:rsidR="00DD0104" w:rsidRPr="00367288" w:rsidRDefault="00DD0104" w:rsidP="00367288">
      <w:pPr>
        <w:pStyle w:val="ListParagraph"/>
        <w:numPr>
          <w:ilvl w:val="0"/>
          <w:numId w:val="4"/>
        </w:numPr>
        <w:spacing w:after="0" w:line="240" w:lineRule="auto"/>
        <w:jc w:val="both"/>
        <w:rPr>
          <w:rFonts w:ascii="Arial" w:hAnsi="Arial" w:cs="Arial"/>
          <w:sz w:val="20"/>
          <w:szCs w:val="20"/>
        </w:rPr>
        <w:sectPr w:rsidR="00DD0104" w:rsidRPr="00367288" w:rsidSect="00DD010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67288">
        <w:rPr>
          <w:rFonts w:ascii="Arial" w:hAnsi="Arial" w:cs="Arial"/>
          <w:sz w:val="20"/>
          <w:szCs w:val="20"/>
        </w:rPr>
        <w:t xml:space="preserve">Zaki, F. M., Said, M. M., Amer, M. A., Khalil, R. H., &amp; </w:t>
      </w:r>
      <w:proofErr w:type="spellStart"/>
      <w:r w:rsidRPr="00367288">
        <w:rPr>
          <w:rFonts w:ascii="Arial" w:hAnsi="Arial" w:cs="Arial"/>
          <w:sz w:val="20"/>
          <w:szCs w:val="20"/>
        </w:rPr>
        <w:t>Dighiesh</w:t>
      </w:r>
      <w:proofErr w:type="spellEnd"/>
      <w:r w:rsidRPr="00367288">
        <w:rPr>
          <w:rFonts w:ascii="Arial" w:hAnsi="Arial" w:cs="Arial"/>
          <w:sz w:val="20"/>
          <w:szCs w:val="20"/>
        </w:rPr>
        <w:t xml:space="preserve">, H. S. (2024). Evaluation of biofloc system effects on water quality, growth, innate immunity, physiological status, and immune- and growth-related gene expressions in early growth stages of thin-lipped mullet (Liza </w:t>
      </w:r>
      <w:proofErr w:type="spellStart"/>
      <w:r w:rsidRPr="00367288">
        <w:rPr>
          <w:rFonts w:ascii="Arial" w:hAnsi="Arial" w:cs="Arial"/>
          <w:sz w:val="20"/>
          <w:szCs w:val="20"/>
        </w:rPr>
        <w:t>ramada</w:t>
      </w:r>
      <w:proofErr w:type="spellEnd"/>
      <w:r w:rsidRPr="00367288">
        <w:rPr>
          <w:rFonts w:ascii="Arial" w:hAnsi="Arial" w:cs="Arial"/>
          <w:sz w:val="20"/>
          <w:szCs w:val="20"/>
        </w:rPr>
        <w:t xml:space="preserve">). </w:t>
      </w:r>
      <w:r w:rsidRPr="00367288">
        <w:rPr>
          <w:rFonts w:ascii="Arial" w:hAnsi="Arial" w:cs="Arial"/>
          <w:i/>
          <w:iCs/>
          <w:sz w:val="20"/>
          <w:szCs w:val="20"/>
        </w:rPr>
        <w:t>Aquaculture International</w:t>
      </w:r>
      <w:r w:rsidRPr="00367288">
        <w:rPr>
          <w:rFonts w:ascii="Arial" w:hAnsi="Arial" w:cs="Arial"/>
          <w:sz w:val="20"/>
          <w:szCs w:val="20"/>
        </w:rPr>
        <w:t xml:space="preserve">, </w:t>
      </w:r>
      <w:r w:rsidRPr="00367288">
        <w:rPr>
          <w:rFonts w:ascii="Arial" w:hAnsi="Arial" w:cs="Arial"/>
          <w:i/>
          <w:iCs/>
          <w:sz w:val="20"/>
          <w:szCs w:val="20"/>
        </w:rPr>
        <w:t>33</w:t>
      </w:r>
      <w:r w:rsidRPr="00367288">
        <w:rPr>
          <w:rFonts w:ascii="Arial" w:hAnsi="Arial" w:cs="Arial"/>
          <w:sz w:val="20"/>
          <w:szCs w:val="20"/>
        </w:rPr>
        <w:t xml:space="preserve">(1). </w:t>
      </w:r>
      <w:hyperlink r:id="rId24" w:history="1">
        <w:r w:rsidRPr="00367288">
          <w:rPr>
            <w:rStyle w:val="Hyperlink"/>
            <w:rFonts w:ascii="Arial" w:hAnsi="Arial" w:cs="Arial"/>
            <w:sz w:val="20"/>
            <w:szCs w:val="20"/>
          </w:rPr>
          <w:t>https://doi.org/10.1007/s10499-024-01696-w</w:t>
        </w:r>
      </w:hyperlink>
    </w:p>
    <w:p w14:paraId="683D0F3A" w14:textId="77777777" w:rsidR="00DD0104" w:rsidRPr="008A16D3" w:rsidRDefault="00DD0104" w:rsidP="00902182">
      <w:pPr>
        <w:jc w:val="both"/>
        <w:rPr>
          <w:rFonts w:ascii="Arial" w:hAnsi="Arial" w:cs="Arial"/>
          <w:b/>
          <w:bCs/>
          <w:sz w:val="20"/>
          <w:szCs w:val="20"/>
        </w:rPr>
      </w:pPr>
    </w:p>
    <w:sectPr w:rsidR="00DD0104" w:rsidRPr="008A16D3" w:rsidSect="00766E3E">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6B62" w14:textId="77777777" w:rsidR="00B972EA" w:rsidRDefault="00B972EA" w:rsidP="00157B67">
      <w:pPr>
        <w:spacing w:after="0" w:line="240" w:lineRule="auto"/>
      </w:pPr>
      <w:r>
        <w:separator/>
      </w:r>
    </w:p>
  </w:endnote>
  <w:endnote w:type="continuationSeparator" w:id="0">
    <w:p w14:paraId="2C8716B1" w14:textId="77777777" w:rsidR="00B972EA" w:rsidRDefault="00B972EA" w:rsidP="0015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DC35" w14:textId="77777777" w:rsidR="00B972EA" w:rsidRDefault="00B972EA" w:rsidP="00157B67">
      <w:pPr>
        <w:spacing w:after="0" w:line="240" w:lineRule="auto"/>
      </w:pPr>
      <w:r>
        <w:separator/>
      </w:r>
    </w:p>
  </w:footnote>
  <w:footnote w:type="continuationSeparator" w:id="0">
    <w:p w14:paraId="246CFC27" w14:textId="77777777" w:rsidR="00B972EA" w:rsidRDefault="00B972EA" w:rsidP="0015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01D0"/>
    <w:multiLevelType w:val="hybridMultilevel"/>
    <w:tmpl w:val="51DCF11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1797CC8"/>
    <w:multiLevelType w:val="multilevel"/>
    <w:tmpl w:val="C18ED8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03E5D"/>
    <w:multiLevelType w:val="multilevel"/>
    <w:tmpl w:val="6E064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52A4A"/>
    <w:multiLevelType w:val="hybridMultilevel"/>
    <w:tmpl w:val="31E80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315042">
    <w:abstractNumId w:val="0"/>
  </w:num>
  <w:num w:numId="2" w16cid:durableId="1340892240">
    <w:abstractNumId w:val="2"/>
  </w:num>
  <w:num w:numId="3" w16cid:durableId="676467835">
    <w:abstractNumId w:val="1"/>
  </w:num>
  <w:num w:numId="4" w16cid:durableId="205180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82"/>
    <w:rsid w:val="0001312B"/>
    <w:rsid w:val="00034CBE"/>
    <w:rsid w:val="00060882"/>
    <w:rsid w:val="000B6931"/>
    <w:rsid w:val="000C0CCF"/>
    <w:rsid w:val="000F1DEA"/>
    <w:rsid w:val="00157B67"/>
    <w:rsid w:val="001722FD"/>
    <w:rsid w:val="00181FE1"/>
    <w:rsid w:val="001A251A"/>
    <w:rsid w:val="00225407"/>
    <w:rsid w:val="00245CE4"/>
    <w:rsid w:val="002B62B4"/>
    <w:rsid w:val="002B6CBF"/>
    <w:rsid w:val="002F6FA3"/>
    <w:rsid w:val="00330CB0"/>
    <w:rsid w:val="0034087F"/>
    <w:rsid w:val="00352F59"/>
    <w:rsid w:val="00367288"/>
    <w:rsid w:val="00370655"/>
    <w:rsid w:val="00372E92"/>
    <w:rsid w:val="00380B03"/>
    <w:rsid w:val="003978B6"/>
    <w:rsid w:val="003A1AC0"/>
    <w:rsid w:val="003D26CE"/>
    <w:rsid w:val="003E7A4E"/>
    <w:rsid w:val="003F59BC"/>
    <w:rsid w:val="0041105B"/>
    <w:rsid w:val="00420091"/>
    <w:rsid w:val="00432943"/>
    <w:rsid w:val="004522B1"/>
    <w:rsid w:val="00463EC7"/>
    <w:rsid w:val="00477670"/>
    <w:rsid w:val="00485E58"/>
    <w:rsid w:val="0048690D"/>
    <w:rsid w:val="00521074"/>
    <w:rsid w:val="005447BE"/>
    <w:rsid w:val="00550651"/>
    <w:rsid w:val="00580222"/>
    <w:rsid w:val="005C6001"/>
    <w:rsid w:val="005D1724"/>
    <w:rsid w:val="005D32A1"/>
    <w:rsid w:val="005D3E7E"/>
    <w:rsid w:val="005D5DAD"/>
    <w:rsid w:val="005D678A"/>
    <w:rsid w:val="005F20AB"/>
    <w:rsid w:val="0060498D"/>
    <w:rsid w:val="0061135F"/>
    <w:rsid w:val="00636FA4"/>
    <w:rsid w:val="00691F60"/>
    <w:rsid w:val="006E7B2A"/>
    <w:rsid w:val="0070616B"/>
    <w:rsid w:val="007344F7"/>
    <w:rsid w:val="00766E3E"/>
    <w:rsid w:val="00770538"/>
    <w:rsid w:val="007739AF"/>
    <w:rsid w:val="007B3CF7"/>
    <w:rsid w:val="00822212"/>
    <w:rsid w:val="0083337B"/>
    <w:rsid w:val="00880BCD"/>
    <w:rsid w:val="008A16D3"/>
    <w:rsid w:val="008E123F"/>
    <w:rsid w:val="00902182"/>
    <w:rsid w:val="0091502E"/>
    <w:rsid w:val="00921877"/>
    <w:rsid w:val="009301CF"/>
    <w:rsid w:val="00937E62"/>
    <w:rsid w:val="00941A77"/>
    <w:rsid w:val="009804AD"/>
    <w:rsid w:val="009A176A"/>
    <w:rsid w:val="009D3EBC"/>
    <w:rsid w:val="009D5F92"/>
    <w:rsid w:val="00A220BF"/>
    <w:rsid w:val="00A222F1"/>
    <w:rsid w:val="00A262BE"/>
    <w:rsid w:val="00AA7BC7"/>
    <w:rsid w:val="00AF79F1"/>
    <w:rsid w:val="00B251FB"/>
    <w:rsid w:val="00B4644B"/>
    <w:rsid w:val="00B5055D"/>
    <w:rsid w:val="00B901FB"/>
    <w:rsid w:val="00B972EA"/>
    <w:rsid w:val="00BA37D5"/>
    <w:rsid w:val="00BE39CD"/>
    <w:rsid w:val="00BF12B9"/>
    <w:rsid w:val="00BF2468"/>
    <w:rsid w:val="00BF368D"/>
    <w:rsid w:val="00BF6936"/>
    <w:rsid w:val="00C02AB0"/>
    <w:rsid w:val="00C73199"/>
    <w:rsid w:val="00C840EE"/>
    <w:rsid w:val="00C971BB"/>
    <w:rsid w:val="00CC13A5"/>
    <w:rsid w:val="00D06D61"/>
    <w:rsid w:val="00D208B6"/>
    <w:rsid w:val="00D33CAE"/>
    <w:rsid w:val="00DB5A66"/>
    <w:rsid w:val="00DD0104"/>
    <w:rsid w:val="00E14C33"/>
    <w:rsid w:val="00E162D8"/>
    <w:rsid w:val="00E346AC"/>
    <w:rsid w:val="00E44D27"/>
    <w:rsid w:val="00E62899"/>
    <w:rsid w:val="00E949B8"/>
    <w:rsid w:val="00EA7A34"/>
    <w:rsid w:val="00EF3FDC"/>
    <w:rsid w:val="00EF6A80"/>
    <w:rsid w:val="00F75EFB"/>
    <w:rsid w:val="00F819D9"/>
    <w:rsid w:val="00F853F2"/>
    <w:rsid w:val="00FA6808"/>
    <w:rsid w:val="00FB747F"/>
    <w:rsid w:val="00FB76E9"/>
    <w:rsid w:val="00FE2C0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8AFD"/>
  <w15:chartTrackingRefBased/>
  <w15:docId w15:val="{8BF35672-D14F-4A8A-BAD2-07089736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82"/>
    <w:rPr>
      <w:rFonts w:eastAsiaTheme="majorEastAsia" w:cstheme="majorBidi"/>
      <w:color w:val="272727" w:themeColor="text1" w:themeTint="D8"/>
    </w:rPr>
  </w:style>
  <w:style w:type="paragraph" w:styleId="Title">
    <w:name w:val="Title"/>
    <w:basedOn w:val="Normal"/>
    <w:next w:val="Normal"/>
    <w:link w:val="TitleChar"/>
    <w:uiPriority w:val="10"/>
    <w:qFormat/>
    <w:rsid w:val="00902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82"/>
    <w:pPr>
      <w:spacing w:before="160"/>
      <w:jc w:val="center"/>
    </w:pPr>
    <w:rPr>
      <w:i/>
      <w:iCs/>
      <w:color w:val="404040" w:themeColor="text1" w:themeTint="BF"/>
    </w:rPr>
  </w:style>
  <w:style w:type="character" w:customStyle="1" w:styleId="QuoteChar">
    <w:name w:val="Quote Char"/>
    <w:basedOn w:val="DefaultParagraphFont"/>
    <w:link w:val="Quote"/>
    <w:uiPriority w:val="29"/>
    <w:rsid w:val="00902182"/>
    <w:rPr>
      <w:i/>
      <w:iCs/>
      <w:color w:val="404040" w:themeColor="text1" w:themeTint="BF"/>
    </w:rPr>
  </w:style>
  <w:style w:type="paragraph" w:styleId="ListParagraph">
    <w:name w:val="List Paragraph"/>
    <w:basedOn w:val="Normal"/>
    <w:uiPriority w:val="34"/>
    <w:qFormat/>
    <w:rsid w:val="00902182"/>
    <w:pPr>
      <w:ind w:left="720"/>
      <w:contextualSpacing/>
    </w:pPr>
  </w:style>
  <w:style w:type="character" w:styleId="IntenseEmphasis">
    <w:name w:val="Intense Emphasis"/>
    <w:basedOn w:val="DefaultParagraphFont"/>
    <w:uiPriority w:val="21"/>
    <w:qFormat/>
    <w:rsid w:val="00902182"/>
    <w:rPr>
      <w:i/>
      <w:iCs/>
      <w:color w:val="2F5496" w:themeColor="accent1" w:themeShade="BF"/>
    </w:rPr>
  </w:style>
  <w:style w:type="paragraph" w:styleId="IntenseQuote">
    <w:name w:val="Intense Quote"/>
    <w:basedOn w:val="Normal"/>
    <w:next w:val="Normal"/>
    <w:link w:val="IntenseQuoteChar"/>
    <w:uiPriority w:val="30"/>
    <w:qFormat/>
    <w:rsid w:val="00902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182"/>
    <w:rPr>
      <w:i/>
      <w:iCs/>
      <w:color w:val="2F5496" w:themeColor="accent1" w:themeShade="BF"/>
    </w:rPr>
  </w:style>
  <w:style w:type="character" w:styleId="IntenseReference">
    <w:name w:val="Intense Reference"/>
    <w:basedOn w:val="DefaultParagraphFont"/>
    <w:uiPriority w:val="32"/>
    <w:qFormat/>
    <w:rsid w:val="00902182"/>
    <w:rPr>
      <w:b/>
      <w:bCs/>
      <w:smallCaps/>
      <w:color w:val="2F5496" w:themeColor="accent1" w:themeShade="BF"/>
      <w:spacing w:val="5"/>
    </w:rPr>
  </w:style>
  <w:style w:type="character" w:styleId="Hyperlink">
    <w:name w:val="Hyperlink"/>
    <w:basedOn w:val="DefaultParagraphFont"/>
    <w:uiPriority w:val="99"/>
    <w:unhideWhenUsed/>
    <w:rsid w:val="00902182"/>
    <w:rPr>
      <w:color w:val="0563C1" w:themeColor="hyperlink"/>
      <w:u w:val="single"/>
    </w:rPr>
  </w:style>
  <w:style w:type="character" w:styleId="UnresolvedMention">
    <w:name w:val="Unresolved Mention"/>
    <w:basedOn w:val="DefaultParagraphFont"/>
    <w:uiPriority w:val="99"/>
    <w:semiHidden/>
    <w:unhideWhenUsed/>
    <w:rsid w:val="00902182"/>
    <w:rPr>
      <w:color w:val="605E5C"/>
      <w:shd w:val="clear" w:color="auto" w:fill="E1DFDD"/>
    </w:rPr>
  </w:style>
  <w:style w:type="character" w:styleId="LineNumber">
    <w:name w:val="line number"/>
    <w:basedOn w:val="DefaultParagraphFont"/>
    <w:uiPriority w:val="99"/>
    <w:semiHidden/>
    <w:unhideWhenUsed/>
    <w:rsid w:val="00880BCD"/>
  </w:style>
  <w:style w:type="paragraph" w:styleId="Header">
    <w:name w:val="header"/>
    <w:basedOn w:val="Normal"/>
    <w:link w:val="HeaderChar"/>
    <w:uiPriority w:val="99"/>
    <w:unhideWhenUsed/>
    <w:rsid w:val="0015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B67"/>
  </w:style>
  <w:style w:type="paragraph" w:styleId="Footer">
    <w:name w:val="footer"/>
    <w:basedOn w:val="Normal"/>
    <w:link w:val="FooterChar"/>
    <w:uiPriority w:val="99"/>
    <w:unhideWhenUsed/>
    <w:rsid w:val="0015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B67"/>
  </w:style>
  <w:style w:type="paragraph" w:styleId="EndnoteText">
    <w:name w:val="endnote text"/>
    <w:basedOn w:val="Normal"/>
    <w:link w:val="EndnoteTextChar"/>
    <w:uiPriority w:val="99"/>
    <w:semiHidden/>
    <w:unhideWhenUsed/>
    <w:rsid w:val="007B3C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3CF7"/>
    <w:rPr>
      <w:sz w:val="20"/>
      <w:szCs w:val="20"/>
    </w:rPr>
  </w:style>
  <w:style w:type="character" w:styleId="EndnoteReference">
    <w:name w:val="endnote reference"/>
    <w:basedOn w:val="DefaultParagraphFont"/>
    <w:uiPriority w:val="99"/>
    <w:semiHidden/>
    <w:unhideWhenUsed/>
    <w:rsid w:val="007B3CF7"/>
    <w:rPr>
      <w:vertAlign w:val="superscript"/>
    </w:rPr>
  </w:style>
  <w:style w:type="paragraph" w:styleId="TOCHeading">
    <w:name w:val="TOC Heading"/>
    <w:basedOn w:val="Heading1"/>
    <w:next w:val="Normal"/>
    <w:uiPriority w:val="39"/>
    <w:unhideWhenUsed/>
    <w:qFormat/>
    <w:rsid w:val="007B3CF7"/>
    <w:pPr>
      <w:spacing w:before="240" w:after="0" w:line="259" w:lineRule="auto"/>
      <w:outlineLvl w:val="9"/>
    </w:pPr>
    <w:rPr>
      <w:kern w:val="0"/>
      <w:sz w:val="32"/>
      <w:szCs w:val="32"/>
      <w:lang w:val="en-US" w:bidi="ar-SA"/>
      <w14:ligatures w14:val="none"/>
    </w:rPr>
  </w:style>
  <w:style w:type="paragraph" w:styleId="NoSpacing">
    <w:name w:val="No Spacing"/>
    <w:uiPriority w:val="1"/>
    <w:qFormat/>
    <w:rsid w:val="005D1724"/>
    <w:pPr>
      <w:spacing w:after="0" w:line="240" w:lineRule="auto"/>
    </w:pPr>
    <w:rPr>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ature.com/articles/s41598-024-83102-2" TargetMode="External"/><Relationship Id="rId18" Type="http://schemas.openxmlformats.org/officeDocument/2006/relationships/hyperlink" Target="https://doi.org/10.1016/j.aquaculture.2021.7364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nk.springer.com/article/10.1007/s12602-025-10540-3" TargetMode="External"/><Relationship Id="rId7" Type="http://schemas.openxmlformats.org/officeDocument/2006/relationships/endnotes" Target="endnotes.xml"/><Relationship Id="rId12" Type="http://schemas.openxmlformats.org/officeDocument/2006/relationships/hyperlink" Target="https://onlinelibrary.wiley.com/doi/10.1155/are/5892568" TargetMode="External"/><Relationship Id="rId17" Type="http://schemas.openxmlformats.org/officeDocument/2006/relationships/hyperlink" Target="https://onlinelibrary.wiley.com/doi/10.1111/raq.125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amb/2024/v24i7835" TargetMode="External"/><Relationship Id="rId20" Type="http://schemas.openxmlformats.org/officeDocument/2006/relationships/hyperlink" Target="https://doi.org/10.1111/raq.13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quaculture.2003.12.022" TargetMode="External"/><Relationship Id="rId24" Type="http://schemas.openxmlformats.org/officeDocument/2006/relationships/hyperlink" Target="https://doi.org/10.1007/s10499-024-01696-w" TargetMode="External"/><Relationship Id="rId5" Type="http://schemas.openxmlformats.org/officeDocument/2006/relationships/webSettings" Target="webSettings.xml"/><Relationship Id="rId15" Type="http://schemas.openxmlformats.org/officeDocument/2006/relationships/hyperlink" Target="https://link.springer.com/article/10.1007/s10499-024-01561-w" TargetMode="External"/><Relationship Id="rId23" Type="http://schemas.openxmlformats.org/officeDocument/2006/relationships/hyperlink" Target="https://www.frontiersin.org/journals/water/articles/10.3389/frwa.2025.1552453/full" TargetMode="External"/><Relationship Id="rId10" Type="http://schemas.openxmlformats.org/officeDocument/2006/relationships/hyperlink" Target="https://doi.org/10.1186/s12866-024-03473-4" TargetMode="External"/><Relationship Id="rId19" Type="http://schemas.openxmlformats.org/officeDocument/2006/relationships/hyperlink" Target="https://doi.org/10.1016/j.fsi.2020.01.02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quaculture.2023.739391" TargetMode="External"/><Relationship Id="rId22" Type="http://schemas.openxmlformats.org/officeDocument/2006/relationships/hyperlink" Target="https://doi.org/10.3390/microorganisms120407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F102607764BEDEB/Thesis/Research%20Data%20ABHAY-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F102607764BEDEB/Thesis/Research%20Data%20ABHAY-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050" b="0" dirty="0">
                <a:solidFill>
                  <a:schemeClr val="tx1"/>
                </a:solidFill>
                <a:latin typeface="Times New Roman" panose="02020603050405020304" pitchFamily="18" charset="0"/>
                <a:cs typeface="Times New Roman" panose="02020603050405020304" pitchFamily="18" charset="0"/>
              </a:rPr>
              <a:t>HIS During Experimental</a:t>
            </a:r>
            <a:r>
              <a:rPr lang="en-IN" sz="1050" b="0" baseline="0" dirty="0">
                <a:solidFill>
                  <a:schemeClr val="tx1"/>
                </a:solidFill>
                <a:latin typeface="Times New Roman" panose="02020603050405020304" pitchFamily="18" charset="0"/>
                <a:cs typeface="Times New Roman" panose="02020603050405020304" pitchFamily="18" charset="0"/>
              </a:rPr>
              <a:t> Period</a:t>
            </a:r>
            <a:endParaRPr lang="en-IN" sz="1050" b="0"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Sheet5!$B$63</c:f>
              <c:strCache>
                <c:ptCount val="1"/>
                <c:pt idx="0">
                  <c:v>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030-4A5B-9579-B676B3D474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Sheet5!$D$63</c:f>
                <c:numCache>
                  <c:formatCode>General</c:formatCode>
                  <c:ptCount val="1"/>
                  <c:pt idx="0">
                    <c:v>5.5350000000000003E-2</c:v>
                  </c:pt>
                </c:numCache>
              </c:numRef>
            </c:plus>
            <c:minus>
              <c:numRef>
                <c:f>Sheet5!$D$63</c:f>
                <c:numCache>
                  <c:formatCode>General</c:formatCode>
                  <c:ptCount val="1"/>
                  <c:pt idx="0">
                    <c:v>5.5350000000000003E-2</c:v>
                  </c:pt>
                </c:numCache>
              </c:numRef>
            </c:minus>
            <c:spPr>
              <a:noFill/>
              <a:ln w="9525" cap="flat" cmpd="sng" algn="ctr">
                <a:solidFill>
                  <a:schemeClr val="tx1">
                    <a:lumMod val="65000"/>
                    <a:lumOff val="35000"/>
                  </a:schemeClr>
                </a:solidFill>
                <a:round/>
              </a:ln>
              <a:effectLst/>
            </c:spPr>
          </c:errBars>
          <c:val>
            <c:numLit>
              <c:formatCode>General</c:formatCode>
              <c:ptCount val="1"/>
              <c:pt idx="0">
                <c:v>1.6196999999999999</c:v>
              </c:pt>
            </c:numLit>
          </c:val>
          <c:extLst>
            <c:ext xmlns:c16="http://schemas.microsoft.com/office/drawing/2014/chart" uri="{C3380CC4-5D6E-409C-BE32-E72D297353CC}">
              <c16:uniqueId val="{00000001-B030-4A5B-9579-B676B3D474E4}"/>
            </c:ext>
          </c:extLst>
        </c:ser>
        <c:ser>
          <c:idx val="1"/>
          <c:order val="1"/>
          <c:tx>
            <c:strRef>
              <c:f>Sheet5!$B$64</c:f>
              <c:strCache>
                <c:ptCount val="1"/>
                <c:pt idx="0">
                  <c:v>T1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4.2310458221898892E-17"/>
                  <c:y val="-3.137025227218505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030-4A5B-9579-B676B3D474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Sheet5!$D$64</c:f>
                <c:numCache>
                  <c:formatCode>General</c:formatCode>
                  <c:ptCount val="1"/>
                  <c:pt idx="0">
                    <c:v>0.14549999999999999</c:v>
                  </c:pt>
                </c:numCache>
              </c:numRef>
            </c:plus>
            <c:minus>
              <c:numRef>
                <c:f>Sheet5!$D$64</c:f>
                <c:numCache>
                  <c:formatCode>General</c:formatCode>
                  <c:ptCount val="1"/>
                  <c:pt idx="0">
                    <c:v>0.14549999999999999</c:v>
                  </c:pt>
                </c:numCache>
              </c:numRef>
            </c:minus>
            <c:spPr>
              <a:noFill/>
              <a:ln w="9525" cap="flat" cmpd="sng" algn="ctr">
                <a:solidFill>
                  <a:schemeClr val="tx1">
                    <a:lumMod val="65000"/>
                    <a:lumOff val="35000"/>
                  </a:schemeClr>
                </a:solidFill>
                <a:round/>
              </a:ln>
              <a:effectLst/>
            </c:spPr>
          </c:errBars>
          <c:val>
            <c:numLit>
              <c:formatCode>General</c:formatCode>
              <c:ptCount val="1"/>
              <c:pt idx="0">
                <c:v>1.5173000000000001</c:v>
              </c:pt>
            </c:numLit>
          </c:val>
          <c:extLst>
            <c:ext xmlns:c16="http://schemas.microsoft.com/office/drawing/2014/chart" uri="{C3380CC4-5D6E-409C-BE32-E72D297353CC}">
              <c16:uniqueId val="{00000003-B030-4A5B-9579-B676B3D474E4}"/>
            </c:ext>
          </c:extLst>
        </c:ser>
        <c:ser>
          <c:idx val="2"/>
          <c:order val="2"/>
          <c:tx>
            <c:strRef>
              <c:f>Sheet5!$B$65</c:f>
              <c:strCache>
                <c:ptCount val="1"/>
                <c:pt idx="0">
                  <c:v>T2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0"/>
                  <c:y val="-9.331747671012542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030-4A5B-9579-B676B3D474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Sheet5!$D$65</c:f>
                <c:numCache>
                  <c:formatCode>General</c:formatCode>
                  <c:ptCount val="1"/>
                  <c:pt idx="0">
                    <c:v>0.14429</c:v>
                  </c:pt>
                </c:numCache>
              </c:numRef>
            </c:plus>
            <c:minus>
              <c:numRef>
                <c:f>Sheet5!$D$65</c:f>
                <c:numCache>
                  <c:formatCode>General</c:formatCode>
                  <c:ptCount val="1"/>
                  <c:pt idx="0">
                    <c:v>0.14429</c:v>
                  </c:pt>
                </c:numCache>
              </c:numRef>
            </c:minus>
            <c:spPr>
              <a:noFill/>
              <a:ln w="9525" cap="flat" cmpd="sng" algn="ctr">
                <a:solidFill>
                  <a:schemeClr val="tx1">
                    <a:lumMod val="65000"/>
                    <a:lumOff val="35000"/>
                  </a:schemeClr>
                </a:solidFill>
                <a:round/>
              </a:ln>
              <a:effectLst/>
            </c:spPr>
          </c:errBars>
          <c:val>
            <c:numLit>
              <c:formatCode>General</c:formatCode>
              <c:ptCount val="1"/>
              <c:pt idx="0">
                <c:v>1.2526999999999999</c:v>
              </c:pt>
            </c:numLit>
          </c:val>
          <c:extLst>
            <c:ext xmlns:c16="http://schemas.microsoft.com/office/drawing/2014/chart" uri="{C3380CC4-5D6E-409C-BE32-E72D297353CC}">
              <c16:uniqueId val="{00000005-B030-4A5B-9579-B676B3D474E4}"/>
            </c:ext>
          </c:extLst>
        </c:ser>
        <c:ser>
          <c:idx val="3"/>
          <c:order val="3"/>
          <c:tx>
            <c:strRef>
              <c:f>Sheet5!$B$66</c:f>
              <c:strCache>
                <c:ptCount val="1"/>
                <c:pt idx="0">
                  <c:v>T3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0"/>
                  <c:y val="-9.3317476710126288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030-4A5B-9579-B676B3D474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Sheet5!$D$66</c:f>
                <c:numCache>
                  <c:formatCode>General</c:formatCode>
                  <c:ptCount val="1"/>
                  <c:pt idx="0">
                    <c:v>0.15368999999999999</c:v>
                  </c:pt>
                </c:numCache>
              </c:numRef>
            </c:plus>
            <c:minus>
              <c:numRef>
                <c:f>Sheet5!$D$66</c:f>
                <c:numCache>
                  <c:formatCode>General</c:formatCode>
                  <c:ptCount val="1"/>
                  <c:pt idx="0">
                    <c:v>0.15368999999999999</c:v>
                  </c:pt>
                </c:numCache>
              </c:numRef>
            </c:minus>
            <c:spPr>
              <a:noFill/>
              <a:ln w="9525" cap="flat" cmpd="sng" algn="ctr">
                <a:solidFill>
                  <a:schemeClr val="tx1">
                    <a:lumMod val="65000"/>
                    <a:lumOff val="35000"/>
                  </a:schemeClr>
                </a:solidFill>
                <a:round/>
              </a:ln>
              <a:effectLst/>
            </c:spPr>
          </c:errBars>
          <c:val>
            <c:numLit>
              <c:formatCode>General</c:formatCode>
              <c:ptCount val="1"/>
              <c:pt idx="0">
                <c:v>1.1970000000000001</c:v>
              </c:pt>
            </c:numLit>
          </c:val>
          <c:extLst>
            <c:ext xmlns:c16="http://schemas.microsoft.com/office/drawing/2014/chart" uri="{C3380CC4-5D6E-409C-BE32-E72D297353CC}">
              <c16:uniqueId val="{00000007-B030-4A5B-9579-B676B3D474E4}"/>
            </c:ext>
          </c:extLst>
        </c:ser>
        <c:ser>
          <c:idx val="4"/>
          <c:order val="4"/>
          <c:tx>
            <c:strRef>
              <c:f>Sheet5!$B$67</c:f>
              <c:strCache>
                <c:ptCount val="1"/>
                <c:pt idx="0">
                  <c:v>T4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1.0212172669755339E-16"/>
                  <c:y val="-4.199286451955643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030-4A5B-9579-B676B3D474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Sheet5!$D$67</c:f>
                <c:numCache>
                  <c:formatCode>General</c:formatCode>
                  <c:ptCount val="1"/>
                  <c:pt idx="0">
                    <c:v>0.25564999999999999</c:v>
                  </c:pt>
                </c:numCache>
              </c:numRef>
            </c:plus>
            <c:minus>
              <c:numRef>
                <c:f>Sheet5!$D$67</c:f>
                <c:numCache>
                  <c:formatCode>General</c:formatCode>
                  <c:ptCount val="1"/>
                  <c:pt idx="0">
                    <c:v>0.25564999999999999</c:v>
                  </c:pt>
                </c:numCache>
              </c:numRef>
            </c:minus>
            <c:spPr>
              <a:noFill/>
              <a:ln w="9525" cap="flat" cmpd="sng" algn="ctr">
                <a:solidFill>
                  <a:schemeClr val="tx1">
                    <a:lumMod val="65000"/>
                    <a:lumOff val="35000"/>
                  </a:schemeClr>
                </a:solidFill>
                <a:round/>
              </a:ln>
              <a:effectLst/>
            </c:spPr>
          </c:errBars>
          <c:val>
            <c:numLit>
              <c:formatCode>General</c:formatCode>
              <c:ptCount val="1"/>
              <c:pt idx="0">
                <c:v>1.4053</c:v>
              </c:pt>
            </c:numLit>
          </c:val>
          <c:extLst>
            <c:ext xmlns:c16="http://schemas.microsoft.com/office/drawing/2014/chart" uri="{C3380CC4-5D6E-409C-BE32-E72D297353CC}">
              <c16:uniqueId val="{00000009-B030-4A5B-9579-B676B3D474E4}"/>
            </c:ext>
          </c:extLst>
        </c:ser>
        <c:dLbls>
          <c:dLblPos val="outEnd"/>
          <c:showLegendKey val="0"/>
          <c:showVal val="1"/>
          <c:showCatName val="0"/>
          <c:showSerName val="0"/>
          <c:showPercent val="0"/>
          <c:showBubbleSize val="0"/>
        </c:dLbls>
        <c:gapWidth val="100"/>
        <c:overlap val="-24"/>
        <c:axId val="92774607"/>
        <c:axId val="92766927"/>
      </c:barChart>
      <c:catAx>
        <c:axId val="92774607"/>
        <c:scaling>
          <c:orientation val="minMax"/>
        </c:scaling>
        <c:delete val="1"/>
        <c:axPos val="b"/>
        <c:majorTickMark val="none"/>
        <c:minorTickMark val="none"/>
        <c:tickLblPos val="nextTo"/>
        <c:crossAx val="92766927"/>
        <c:crosses val="autoZero"/>
        <c:auto val="1"/>
        <c:lblAlgn val="ctr"/>
        <c:lblOffset val="100"/>
        <c:noMultiLvlLbl val="0"/>
      </c:catAx>
      <c:valAx>
        <c:axId val="92766927"/>
        <c:scaling>
          <c:orientation val="minMax"/>
          <c:max val="3"/>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74607"/>
        <c:crosses val="autoZero"/>
        <c:crossBetween val="between"/>
      </c:valAx>
      <c:spPr>
        <a:noFill/>
        <a:ln>
          <a:noFill/>
        </a:ln>
        <a:effectLst/>
      </c:spPr>
    </c:plotArea>
    <c:legend>
      <c:legendPos val="b"/>
      <c:layout>
        <c:manualLayout>
          <c:xMode val="edge"/>
          <c:yMode val="edge"/>
          <c:x val="0.10821248296031283"/>
          <c:y val="0.89677304275308845"/>
          <c:w val="0.89081933537034064"/>
          <c:h val="7.61511738347019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IN" sz="1050" b="0" dirty="0">
                <a:latin typeface="Times New Roman" panose="02020603050405020304" pitchFamily="18" charset="0"/>
                <a:cs typeface="Times New Roman" panose="02020603050405020304" pitchFamily="18" charset="0"/>
              </a:rPr>
              <a:t>ISI During Experimental</a:t>
            </a:r>
            <a:r>
              <a:rPr lang="en-IN" sz="1050" b="0" baseline="0" dirty="0">
                <a:latin typeface="Times New Roman" panose="02020603050405020304" pitchFamily="18" charset="0"/>
                <a:cs typeface="Times New Roman" panose="02020603050405020304" pitchFamily="18" charset="0"/>
              </a:rPr>
              <a:t> Period</a:t>
            </a:r>
            <a:endParaRPr lang="en-IN" sz="1050" b="0" dirty="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IN"/>
        </a:p>
      </c:txPr>
    </c:title>
    <c:autoTitleDeleted val="0"/>
    <c:plotArea>
      <c:layout/>
      <c:barChart>
        <c:barDir val="col"/>
        <c:grouping val="clustered"/>
        <c:varyColors val="0"/>
        <c:ser>
          <c:idx val="0"/>
          <c:order val="0"/>
          <c:tx>
            <c:strRef>
              <c:f>Sheet5!$B$68</c:f>
              <c:strCache>
                <c:ptCount val="1"/>
                <c:pt idx="0">
                  <c:v>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8BE-498F-8F1B-72F2A7F518A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Sheet5!$D$68</c:f>
                <c:numCache>
                  <c:formatCode>General</c:formatCode>
                  <c:ptCount val="1"/>
                  <c:pt idx="0">
                    <c:v>7.8759999999999997E-2</c:v>
                  </c:pt>
                </c:numCache>
              </c:numRef>
            </c:plus>
            <c:minus>
              <c:numRef>
                <c:f>Sheet5!$D$68</c:f>
                <c:numCache>
                  <c:formatCode>General</c:formatCode>
                  <c:ptCount val="1"/>
                  <c:pt idx="0">
                    <c:v>7.8759999999999997E-2</c:v>
                  </c:pt>
                </c:numCache>
              </c:numRef>
            </c:minus>
            <c:spPr>
              <a:noFill/>
              <a:ln w="9525" cap="flat" cmpd="sng" algn="ctr">
                <a:solidFill>
                  <a:schemeClr val="tx1">
                    <a:lumMod val="65000"/>
                    <a:lumOff val="35000"/>
                  </a:schemeClr>
                </a:solidFill>
                <a:round/>
              </a:ln>
              <a:effectLst/>
            </c:spPr>
          </c:errBars>
          <c:val>
            <c:numLit>
              <c:formatCode>General</c:formatCode>
              <c:ptCount val="1"/>
              <c:pt idx="0">
                <c:v>9.5737000000000005</c:v>
              </c:pt>
            </c:numLit>
          </c:val>
          <c:extLst>
            <c:ext xmlns:c16="http://schemas.microsoft.com/office/drawing/2014/chart" uri="{C3380CC4-5D6E-409C-BE32-E72D297353CC}">
              <c16:uniqueId val="{00000001-A8BE-498F-8F1B-72F2A7F518AE}"/>
            </c:ext>
          </c:extLst>
        </c:ser>
        <c:ser>
          <c:idx val="1"/>
          <c:order val="1"/>
          <c:tx>
            <c:strRef>
              <c:f>Sheet5!$B$69</c:f>
              <c:strCache>
                <c:ptCount val="1"/>
                <c:pt idx="0">
                  <c:v>T1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2.3078698361412415E-3"/>
                  <c:y val="-4.5936945628831972E-3"/>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8BE-498F-8F1B-72F2A7F518A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36000000000000004"/>
            <c:spPr>
              <a:noFill/>
              <a:ln w="9525" cap="flat" cmpd="sng" algn="ctr">
                <a:solidFill>
                  <a:schemeClr val="tx1">
                    <a:lumMod val="65000"/>
                    <a:lumOff val="35000"/>
                  </a:schemeClr>
                </a:solidFill>
                <a:round/>
              </a:ln>
              <a:effectLst/>
            </c:spPr>
          </c:errBars>
          <c:val>
            <c:numLit>
              <c:formatCode>General</c:formatCode>
              <c:ptCount val="1"/>
              <c:pt idx="0">
                <c:v>8.5122999999999998</c:v>
              </c:pt>
            </c:numLit>
          </c:val>
          <c:extLst>
            <c:ext xmlns:c16="http://schemas.microsoft.com/office/drawing/2014/chart" uri="{C3380CC4-5D6E-409C-BE32-E72D297353CC}">
              <c16:uniqueId val="{00000003-A8BE-498F-8F1B-72F2A7F518AE}"/>
            </c:ext>
          </c:extLst>
        </c:ser>
        <c:ser>
          <c:idx val="2"/>
          <c:order val="2"/>
          <c:tx>
            <c:strRef>
              <c:f>Sheet5!$B$70</c:f>
              <c:strCache>
                <c:ptCount val="1"/>
                <c:pt idx="0">
                  <c:v>T2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0"/>
                  <c:y val="-3.33070520335155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8BE-498F-8F1B-72F2A7F518A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Sheet5!$D$70</c:f>
                <c:numCache>
                  <c:formatCode>General</c:formatCode>
                  <c:ptCount val="1"/>
                  <c:pt idx="0">
                    <c:v>0.86143000000000003</c:v>
                  </c:pt>
                </c:numCache>
              </c:numRef>
            </c:plus>
            <c:minus>
              <c:numRef>
                <c:f>Sheet5!$D$70</c:f>
                <c:numCache>
                  <c:formatCode>General</c:formatCode>
                  <c:ptCount val="1"/>
                  <c:pt idx="0">
                    <c:v>0.86143000000000003</c:v>
                  </c:pt>
                </c:numCache>
              </c:numRef>
            </c:minus>
            <c:spPr>
              <a:noFill/>
              <a:ln w="9525" cap="flat" cmpd="sng" algn="ctr">
                <a:solidFill>
                  <a:schemeClr val="tx1">
                    <a:lumMod val="65000"/>
                    <a:lumOff val="35000"/>
                  </a:schemeClr>
                </a:solidFill>
                <a:round/>
              </a:ln>
              <a:effectLst/>
            </c:spPr>
          </c:errBars>
          <c:val>
            <c:numLit>
              <c:formatCode>General</c:formatCode>
              <c:ptCount val="1"/>
              <c:pt idx="0">
                <c:v>9.5623000000000005</c:v>
              </c:pt>
            </c:numLit>
          </c:val>
          <c:extLst>
            <c:ext xmlns:c16="http://schemas.microsoft.com/office/drawing/2014/chart" uri="{C3380CC4-5D6E-409C-BE32-E72D297353CC}">
              <c16:uniqueId val="{00000005-A8BE-498F-8F1B-72F2A7F518AE}"/>
            </c:ext>
          </c:extLst>
        </c:ser>
        <c:ser>
          <c:idx val="3"/>
          <c:order val="3"/>
          <c:tx>
            <c:strRef>
              <c:f>Sheet5!$B$71</c:f>
              <c:strCache>
                <c:ptCount val="1"/>
                <c:pt idx="0">
                  <c:v>T3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0"/>
                  <c:y val="-3.7549436388144154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8BE-498F-8F1B-72F2A7F518A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Sheet5!$D$71</c:f>
                <c:numCache>
                  <c:formatCode>General</c:formatCode>
                  <c:ptCount val="1"/>
                  <c:pt idx="0">
                    <c:v>0.72443999999999997</c:v>
                  </c:pt>
                </c:numCache>
              </c:numRef>
            </c:plus>
            <c:minus>
              <c:numRef>
                <c:f>Sheet5!$D$71</c:f>
                <c:numCache>
                  <c:formatCode>General</c:formatCode>
                  <c:ptCount val="1"/>
                  <c:pt idx="0">
                    <c:v>0.72443999999999997</c:v>
                  </c:pt>
                </c:numCache>
              </c:numRef>
            </c:minus>
            <c:spPr>
              <a:noFill/>
              <a:ln w="9525" cap="flat" cmpd="sng" algn="ctr">
                <a:solidFill>
                  <a:schemeClr val="tx1">
                    <a:lumMod val="65000"/>
                    <a:lumOff val="35000"/>
                  </a:schemeClr>
                </a:solidFill>
                <a:round/>
              </a:ln>
              <a:effectLst/>
            </c:spPr>
          </c:errBars>
          <c:val>
            <c:numLit>
              <c:formatCode>General</c:formatCode>
              <c:ptCount val="1"/>
              <c:pt idx="0">
                <c:v>7.9047000000000001</c:v>
              </c:pt>
            </c:numLit>
          </c:val>
          <c:extLst>
            <c:ext xmlns:c16="http://schemas.microsoft.com/office/drawing/2014/chart" uri="{C3380CC4-5D6E-409C-BE32-E72D297353CC}">
              <c16:uniqueId val="{00000007-A8BE-498F-8F1B-72F2A7F518AE}"/>
            </c:ext>
          </c:extLst>
        </c:ser>
        <c:ser>
          <c:idx val="4"/>
          <c:order val="4"/>
          <c:tx>
            <c:strRef>
              <c:f>Sheet5!$B$72</c:f>
              <c:strCache>
                <c:ptCount val="1"/>
                <c:pt idx="0">
                  <c:v>T4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65100" prst="coolSlant"/>
            </a:sp3d>
          </c:spPr>
          <c:invertIfNegative val="0"/>
          <c:dLbls>
            <c:dLbl>
              <c:idx val="0"/>
              <c:layout>
                <c:manualLayout>
                  <c:x val="0"/>
                  <c:y val="-1.84780998652071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8BE-498F-8F1B-72F2A7F518A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Sheet5!$D$72</c:f>
                <c:numCache>
                  <c:formatCode>General</c:formatCode>
                  <c:ptCount val="1"/>
                  <c:pt idx="0">
                    <c:v>0.37464999999999998</c:v>
                  </c:pt>
                </c:numCache>
              </c:numRef>
            </c:plus>
            <c:minus>
              <c:numRef>
                <c:f>Sheet5!$D$72</c:f>
                <c:numCache>
                  <c:formatCode>General</c:formatCode>
                  <c:ptCount val="1"/>
                  <c:pt idx="0">
                    <c:v>0.37464999999999998</c:v>
                  </c:pt>
                </c:numCache>
              </c:numRef>
            </c:minus>
            <c:spPr>
              <a:noFill/>
              <a:ln w="9525" cap="flat" cmpd="sng" algn="ctr">
                <a:solidFill>
                  <a:schemeClr val="tx1">
                    <a:lumMod val="65000"/>
                    <a:lumOff val="35000"/>
                  </a:schemeClr>
                </a:solidFill>
                <a:round/>
              </a:ln>
              <a:effectLst/>
            </c:spPr>
          </c:errBars>
          <c:val>
            <c:numLit>
              <c:formatCode>General</c:formatCode>
              <c:ptCount val="1"/>
              <c:pt idx="0">
                <c:v>6.2976999999999999</c:v>
              </c:pt>
            </c:numLit>
          </c:val>
          <c:extLst>
            <c:ext xmlns:c16="http://schemas.microsoft.com/office/drawing/2014/chart" uri="{C3380CC4-5D6E-409C-BE32-E72D297353CC}">
              <c16:uniqueId val="{00000009-A8BE-498F-8F1B-72F2A7F518AE}"/>
            </c:ext>
          </c:extLst>
        </c:ser>
        <c:dLbls>
          <c:dLblPos val="outEnd"/>
          <c:showLegendKey val="0"/>
          <c:showVal val="1"/>
          <c:showCatName val="0"/>
          <c:showSerName val="0"/>
          <c:showPercent val="0"/>
          <c:showBubbleSize val="0"/>
        </c:dLbls>
        <c:gapWidth val="100"/>
        <c:overlap val="-24"/>
        <c:axId val="92774607"/>
        <c:axId val="92766927"/>
      </c:barChart>
      <c:catAx>
        <c:axId val="92774607"/>
        <c:scaling>
          <c:orientation val="minMax"/>
        </c:scaling>
        <c:delete val="1"/>
        <c:axPos val="b"/>
        <c:majorTickMark val="none"/>
        <c:minorTickMark val="none"/>
        <c:tickLblPos val="nextTo"/>
        <c:crossAx val="92766927"/>
        <c:crosses val="autoZero"/>
        <c:auto val="1"/>
        <c:lblAlgn val="ctr"/>
        <c:lblOffset val="100"/>
        <c:noMultiLvlLbl val="0"/>
      </c:catAx>
      <c:valAx>
        <c:axId val="92766927"/>
        <c:scaling>
          <c:orientation val="minMax"/>
          <c:max val="11"/>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IN"/>
                  <a: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2774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B695-E875-4D4E-9194-1447AC4B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bamaniya</dc:creator>
  <cp:keywords/>
  <dc:description/>
  <cp:lastModifiedBy>Editor-90</cp:lastModifiedBy>
  <cp:revision>95</cp:revision>
  <dcterms:created xsi:type="dcterms:W3CDTF">2026-01-19T06:32:00Z</dcterms:created>
  <dcterms:modified xsi:type="dcterms:W3CDTF">2026-01-29T12:28:00Z</dcterms:modified>
</cp:coreProperties>
</file>