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8F7A6" w14:textId="77777777" w:rsidR="00AA0D41" w:rsidRPr="00474C45" w:rsidRDefault="00AA0D41" w:rsidP="00124A37">
      <w:pPr>
        <w:spacing w:after="0" w:line="240" w:lineRule="auto"/>
        <w:contextualSpacing/>
        <w:jc w:val="center"/>
        <w:rPr>
          <w:rFonts w:ascii="Arial" w:eastAsia="Times New Roman" w:hAnsi="Arial" w:cs="Arial"/>
          <w:b/>
          <w:i/>
          <w:sz w:val="14"/>
          <w:szCs w:val="20"/>
        </w:rPr>
      </w:pPr>
    </w:p>
    <w:p w14:paraId="02B150CF" w14:textId="77777777" w:rsidR="001A4A55" w:rsidRPr="00474C45" w:rsidRDefault="001A4A55" w:rsidP="00124A37">
      <w:pPr>
        <w:spacing w:after="0" w:line="240" w:lineRule="auto"/>
        <w:contextualSpacing/>
        <w:jc w:val="center"/>
        <w:rPr>
          <w:rFonts w:ascii="Arial" w:eastAsia="Times New Roman" w:hAnsi="Arial" w:cs="Arial"/>
          <w:b/>
          <w:i/>
          <w:sz w:val="14"/>
          <w:szCs w:val="20"/>
        </w:rPr>
      </w:pPr>
    </w:p>
    <w:p w14:paraId="6775BCD6" w14:textId="77777777" w:rsidR="00873A5C" w:rsidRPr="00474C45" w:rsidRDefault="00CA1A28" w:rsidP="00873A5C">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7339F0D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wrap type="none"/>
            <w10:anchorlock/>
          </v:shape>
        </w:pict>
      </w:r>
    </w:p>
    <w:p w14:paraId="2ADA3AF5" w14:textId="77777777" w:rsidR="00E531CD" w:rsidRPr="00474C45" w:rsidRDefault="00E531CD" w:rsidP="00BD060A">
      <w:pPr>
        <w:spacing w:after="0" w:line="240" w:lineRule="auto"/>
        <w:contextualSpacing/>
        <w:jc w:val="right"/>
        <w:rPr>
          <w:rFonts w:ascii="Arial" w:eastAsia="Times New Roman" w:hAnsi="Arial" w:cs="Arial"/>
          <w:b/>
          <w:bCs/>
          <w:iCs/>
          <w:kern w:val="28"/>
          <w:sz w:val="20"/>
          <w:szCs w:val="20"/>
        </w:rPr>
      </w:pPr>
    </w:p>
    <w:p w14:paraId="111491FD" w14:textId="3B345B06" w:rsidR="003F47A0" w:rsidRPr="00474C45" w:rsidRDefault="008669F1" w:rsidP="00540A23">
      <w:pPr>
        <w:pStyle w:val="Heading1"/>
        <w:rPr>
          <w:rFonts w:eastAsia="Times New Roman"/>
          <w:kern w:val="28"/>
          <w:sz w:val="48"/>
          <w:szCs w:val="48"/>
        </w:rPr>
      </w:pPr>
      <w:r w:rsidRPr="00474C45">
        <w:rPr>
          <w:rFonts w:eastAsia="Times New Roman"/>
          <w:kern w:val="28"/>
          <w:sz w:val="48"/>
          <w:szCs w:val="48"/>
        </w:rPr>
        <w:t xml:space="preserve">New Distribution Record and Range Extension of </w:t>
      </w:r>
      <w:r w:rsidRPr="00474C45">
        <w:rPr>
          <w:rFonts w:eastAsia="Times New Roman"/>
          <w:i/>
          <w:iCs/>
          <w:kern w:val="28"/>
          <w:sz w:val="48"/>
          <w:szCs w:val="48"/>
        </w:rPr>
        <w:t>Humerana humeralis</w:t>
      </w:r>
      <w:r w:rsidRPr="00474C45">
        <w:rPr>
          <w:rFonts w:eastAsia="Times New Roman"/>
          <w:kern w:val="28"/>
          <w:sz w:val="48"/>
          <w:szCs w:val="48"/>
        </w:rPr>
        <w:t xml:space="preserve"> (Boulenger, 1887) in Meghalaya, India with Morphometric and Habitat Insights</w:t>
      </w:r>
    </w:p>
    <w:p w14:paraId="5D31473D" w14:textId="77777777" w:rsidR="003F47A0" w:rsidRPr="00474C45" w:rsidRDefault="003F47A0" w:rsidP="003F47A0">
      <w:pPr>
        <w:spacing w:after="0" w:line="240" w:lineRule="auto"/>
        <w:contextualSpacing/>
        <w:jc w:val="right"/>
        <w:rPr>
          <w:rFonts w:ascii="Arial" w:eastAsia="Times New Roman" w:hAnsi="Arial" w:cs="Arial"/>
          <w:b/>
          <w:bCs/>
          <w:sz w:val="36"/>
          <w:szCs w:val="20"/>
        </w:rPr>
      </w:pPr>
    </w:p>
    <w:p w14:paraId="62CB5417" w14:textId="77777777" w:rsidR="00BD060A" w:rsidRPr="00474C45" w:rsidRDefault="00CA1A28"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50C26663">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2D65D4D7" w14:textId="77777777" w:rsidR="00BD060A" w:rsidRPr="00474C45" w:rsidRDefault="00BD060A" w:rsidP="00BD060A">
      <w:pPr>
        <w:keepNext/>
        <w:tabs>
          <w:tab w:val="left" w:pos="3870"/>
        </w:tabs>
        <w:spacing w:after="0" w:line="240" w:lineRule="auto"/>
        <w:contextualSpacing/>
        <w:rPr>
          <w:rFonts w:ascii="Arial" w:eastAsia="Times New Roman" w:hAnsi="Arial" w:cs="Arial"/>
          <w:b/>
          <w:caps/>
          <w:sz w:val="20"/>
          <w:szCs w:val="20"/>
        </w:rPr>
      </w:pPr>
    </w:p>
    <w:p w14:paraId="36A317D2" w14:textId="0FE1F5D3" w:rsidR="00BD060A" w:rsidRPr="00474C45" w:rsidRDefault="00D05A8E" w:rsidP="00F725F3">
      <w:pPr>
        <w:pStyle w:val="Heading2"/>
        <w:rPr>
          <w:rFonts w:eastAsia="Times New Roman"/>
        </w:rPr>
      </w:pPr>
      <w:r w:rsidRPr="00474C45">
        <w:rPr>
          <w:rFonts w:eastAsia="Times New Roman"/>
        </w:rPr>
        <w:t>Abstract</w:t>
      </w:r>
    </w:p>
    <w:p w14:paraId="29D5935B" w14:textId="77777777" w:rsidR="00BD060A" w:rsidRPr="00474C45" w:rsidRDefault="00BD060A" w:rsidP="00BD060A">
      <w:pPr>
        <w:keepNext/>
        <w:spacing w:after="0" w:line="240" w:lineRule="auto"/>
        <w:contextualSpacing/>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474C45" w14:paraId="7F5A5F6B" w14:textId="77777777" w:rsidTr="000632A6">
        <w:trPr>
          <w:trHeight w:val="20"/>
          <w:jc w:val="center"/>
        </w:trPr>
        <w:tc>
          <w:tcPr>
            <w:tcW w:w="9040" w:type="dxa"/>
          </w:tcPr>
          <w:p w14:paraId="116B8E66" w14:textId="1C099E50" w:rsidR="003F47A0" w:rsidRPr="00474C45" w:rsidRDefault="005C16E5" w:rsidP="000632A6">
            <w:pPr>
              <w:contextualSpacing/>
              <w:jc w:val="both"/>
              <w:rPr>
                <w:rFonts w:ascii="Arial" w:eastAsia="Calibri" w:hAnsi="Arial" w:cs="Arial"/>
                <w:sz w:val="20"/>
              </w:rPr>
            </w:pPr>
            <w:r w:rsidRPr="00474C45">
              <w:rPr>
                <w:rFonts w:ascii="Arial" w:eastAsia="Calibri" w:hAnsi="Arial" w:cs="Arial"/>
                <w:sz w:val="20"/>
              </w:rPr>
              <w:t xml:space="preserve">The present study reports the first confirmed distribution record of </w:t>
            </w:r>
            <w:r w:rsidRPr="00474C45">
              <w:rPr>
                <w:rFonts w:ascii="Arial" w:eastAsia="Calibri" w:hAnsi="Arial" w:cs="Arial"/>
                <w:i/>
                <w:iCs/>
                <w:sz w:val="20"/>
              </w:rPr>
              <w:t>Humerana humeralis</w:t>
            </w:r>
            <w:r w:rsidRPr="00474C45">
              <w:rPr>
                <w:rFonts w:ascii="Arial" w:eastAsia="Calibri" w:hAnsi="Arial" w:cs="Arial"/>
                <w:sz w:val="20"/>
              </w:rPr>
              <w:t xml:space="preserve"> from Nongkhyllem Wildlife Sanctuary </w:t>
            </w:r>
            <w:r w:rsidRPr="0044054C">
              <w:rPr>
                <w:rFonts w:ascii="Arial" w:eastAsia="Calibri" w:hAnsi="Arial" w:cs="Arial"/>
                <w:sz w:val="20"/>
                <w:highlight w:val="yellow"/>
              </w:rPr>
              <w:t>and the adjoining Reserved</w:t>
            </w:r>
            <w:r w:rsidRPr="00474C45">
              <w:rPr>
                <w:rFonts w:ascii="Arial" w:eastAsia="Calibri" w:hAnsi="Arial" w:cs="Arial"/>
                <w:sz w:val="20"/>
              </w:rPr>
              <w:t xml:space="preserve"> Forest of Meghalaya, northeastern India, thereby extending the known range of the species within the eastern Himalayan biogeographic region. This record fills an important distributional gap between earlier reports from Assam, Arunachal Pradesh, and adjoining Bangladesh. </w:t>
            </w:r>
            <w:r w:rsidRPr="0044054C">
              <w:rPr>
                <w:rFonts w:ascii="Arial" w:eastAsia="Calibri" w:hAnsi="Arial" w:cs="Arial"/>
                <w:sz w:val="20"/>
                <w:highlight w:val="yellow"/>
              </w:rPr>
              <w:t>Detailed morphometric measurements were taken from adult specimens, revealing pronounced sexual dimorphism, with males exhibiting relatively larger snout–vent length, head dimensions, tympanum size, and limb proportions compared to females.</w:t>
            </w:r>
            <w:r w:rsidRPr="00474C45">
              <w:rPr>
                <w:rFonts w:ascii="Arial" w:eastAsia="Calibri" w:hAnsi="Arial" w:cs="Arial"/>
                <w:sz w:val="20"/>
              </w:rPr>
              <w:t xml:space="preserve"> These measurements are largely congruent with previously published descriptions, confirming the taxonomic identity of the species while also highlighting minor regional variation. Habitat use further indicates that the species primarily occupies perennial streams, marshy pools, and forest-edge wetlands, preferably in semi-evergreen forest, emphasizing its dependence on stable aquatic and riparian microhabitats. This new record underscores the conservation significance of Nongkhyllem Wildlife Sanctuary, and its adjacent reserved forest highlights the need for continued habitat protection to conserve amphibian diversity in this landscape</w:t>
            </w:r>
            <w:r w:rsidRPr="00474C45">
              <w:rPr>
                <w:rFonts w:ascii="Arial" w:eastAsia="Calibri" w:hAnsi="Arial" w:cs="Arial"/>
                <w:i/>
                <w:iCs/>
                <w:sz w:val="20"/>
              </w:rPr>
              <w:t>.</w:t>
            </w:r>
          </w:p>
          <w:p w14:paraId="59B13C12" w14:textId="77777777" w:rsidR="003F47A0" w:rsidRPr="00474C45" w:rsidRDefault="003F47A0" w:rsidP="000632A6">
            <w:pPr>
              <w:contextualSpacing/>
              <w:rPr>
                <w:rFonts w:ascii="Arial" w:eastAsia="Calibri" w:hAnsi="Arial" w:cs="Arial"/>
                <w:sz w:val="20"/>
              </w:rPr>
            </w:pPr>
          </w:p>
        </w:tc>
      </w:tr>
    </w:tbl>
    <w:p w14:paraId="490B86C1" w14:textId="77777777" w:rsidR="00D851AD" w:rsidRPr="00474C45" w:rsidRDefault="00D851AD" w:rsidP="00BD060A">
      <w:pPr>
        <w:spacing w:after="0" w:line="240" w:lineRule="auto"/>
        <w:ind w:left="1080" w:hanging="1080"/>
        <w:contextualSpacing/>
        <w:jc w:val="both"/>
        <w:rPr>
          <w:rFonts w:ascii="Arial" w:eastAsia="Times New Roman" w:hAnsi="Arial" w:cs="Arial"/>
          <w:i/>
          <w:sz w:val="20"/>
          <w:szCs w:val="20"/>
        </w:rPr>
      </w:pPr>
    </w:p>
    <w:p w14:paraId="5A3D6FC1" w14:textId="57D3493A" w:rsidR="00BD060A" w:rsidRPr="00474C45" w:rsidRDefault="00BD060A" w:rsidP="00BD060A">
      <w:pPr>
        <w:spacing w:after="0" w:line="240" w:lineRule="auto"/>
        <w:ind w:left="1080" w:hanging="1080"/>
        <w:contextualSpacing/>
        <w:jc w:val="both"/>
        <w:rPr>
          <w:rFonts w:ascii="Arial" w:eastAsia="Times New Roman" w:hAnsi="Arial" w:cs="Arial"/>
          <w:bCs/>
          <w:i/>
          <w:iCs/>
          <w:sz w:val="20"/>
          <w:szCs w:val="20"/>
        </w:rPr>
      </w:pPr>
      <w:r w:rsidRPr="00474C45">
        <w:rPr>
          <w:rFonts w:ascii="Arial" w:eastAsia="Times New Roman" w:hAnsi="Arial" w:cs="Arial"/>
          <w:i/>
          <w:sz w:val="20"/>
          <w:szCs w:val="20"/>
        </w:rPr>
        <w:t xml:space="preserve">Keywords: </w:t>
      </w:r>
      <w:r w:rsidR="005C16E5" w:rsidRPr="00474C45">
        <w:rPr>
          <w:rFonts w:ascii="Arial" w:eastAsia="Times New Roman" w:hAnsi="Arial" w:cs="Arial"/>
          <w:bCs/>
          <w:i/>
          <w:iCs/>
          <w:sz w:val="20"/>
          <w:szCs w:val="20"/>
        </w:rPr>
        <w:t xml:space="preserve">Humeral Frog; </w:t>
      </w:r>
      <w:r w:rsidR="005C16E5" w:rsidRPr="00474C45">
        <w:rPr>
          <w:rFonts w:ascii="Arial" w:eastAsia="Times New Roman" w:hAnsi="Arial" w:cs="Arial"/>
          <w:bCs/>
          <w:i/>
          <w:iCs/>
          <w:sz w:val="20"/>
          <w:szCs w:val="20"/>
          <w:lang w:val="en-IN"/>
        </w:rPr>
        <w:t>Humerana humeralis; Nongkhyllem wildlife sanctuary; Nongkhyllem Reserved Forest; amphibian distribution.</w:t>
      </w:r>
    </w:p>
    <w:p w14:paraId="01F5308F" w14:textId="77777777" w:rsidR="00BB5B87" w:rsidRPr="00474C45" w:rsidRDefault="00BB5B87" w:rsidP="000632A6">
      <w:pPr>
        <w:pStyle w:val="ReferHead"/>
        <w:keepNext w:val="0"/>
        <w:spacing w:after="0"/>
        <w:rPr>
          <w:rFonts w:ascii="Arial" w:hAnsi="Arial" w:cs="Arial"/>
          <w:bCs/>
          <w:sz w:val="20"/>
        </w:rPr>
      </w:pPr>
    </w:p>
    <w:p w14:paraId="58E62A97" w14:textId="77777777" w:rsidR="00561AF6" w:rsidRPr="00474C45" w:rsidRDefault="00561AF6" w:rsidP="000632A6">
      <w:pPr>
        <w:pStyle w:val="Heading2"/>
        <w:rPr>
          <w:rFonts w:eastAsia="Aptos"/>
        </w:rPr>
        <w:sectPr w:rsidR="00561AF6" w:rsidRPr="00474C45" w:rsidSect="0026467F">
          <w:headerReference w:type="default" r:id="rId8"/>
          <w:footerReference w:type="default" r:id="rId9"/>
          <w:footerReference w:type="first" r:id="rId10"/>
          <w:pgSz w:w="11909" w:h="16834" w:code="9"/>
          <w:pgMar w:top="1440" w:right="1440" w:bottom="1440" w:left="1440" w:header="720" w:footer="864" w:gutter="0"/>
          <w:pgNumType w:start="1"/>
          <w:cols w:space="720"/>
          <w:titlePg/>
          <w:docGrid w:linePitch="360"/>
        </w:sectPr>
      </w:pPr>
    </w:p>
    <w:p w14:paraId="7E1367F2" w14:textId="4BD06CF3" w:rsidR="000632A6" w:rsidRPr="00474C45" w:rsidRDefault="000632A6" w:rsidP="000632A6">
      <w:pPr>
        <w:pStyle w:val="Heading2"/>
        <w:rPr>
          <w:rFonts w:eastAsia="Aptos"/>
        </w:rPr>
      </w:pPr>
      <w:r w:rsidRPr="00474C45">
        <w:rPr>
          <w:rFonts w:eastAsia="Aptos"/>
        </w:rPr>
        <w:t>1. Introduction</w:t>
      </w:r>
    </w:p>
    <w:p w14:paraId="0CA834A4" w14:textId="77777777" w:rsidR="000632A6" w:rsidRPr="00474C45" w:rsidRDefault="000632A6" w:rsidP="000632A6">
      <w:pPr>
        <w:spacing w:after="0" w:line="240" w:lineRule="auto"/>
        <w:jc w:val="both"/>
        <w:rPr>
          <w:rFonts w:ascii="Arial" w:eastAsia="Aptos" w:hAnsi="Arial" w:cs="Arial"/>
          <w:b/>
          <w:bCs/>
          <w:kern w:val="2"/>
          <w:sz w:val="20"/>
          <w:szCs w:val="20"/>
        </w:rPr>
      </w:pPr>
    </w:p>
    <w:p w14:paraId="4987B1BD" w14:textId="0723F067" w:rsidR="000632A6" w:rsidRPr="00474C45" w:rsidRDefault="000632A6" w:rsidP="000632A6">
      <w:pPr>
        <w:spacing w:after="0" w:line="240" w:lineRule="auto"/>
        <w:jc w:val="both"/>
        <w:rPr>
          <w:rFonts w:ascii="Arial" w:eastAsia="Aptos" w:hAnsi="Arial" w:cs="Arial"/>
          <w:color w:val="000000"/>
          <w:kern w:val="2"/>
          <w:sz w:val="20"/>
          <w:szCs w:val="20"/>
          <w:lang w:val="en-IN"/>
        </w:rPr>
      </w:pPr>
      <w:r w:rsidRPr="0044054C">
        <w:rPr>
          <w:rFonts w:ascii="Arial" w:eastAsia="Aptos" w:hAnsi="Arial" w:cs="Arial"/>
          <w:i/>
          <w:iCs/>
          <w:color w:val="000000"/>
          <w:kern w:val="2"/>
          <w:sz w:val="20"/>
          <w:szCs w:val="20"/>
          <w:highlight w:val="yellow"/>
        </w:rPr>
        <w:t>Humerana humeralis</w:t>
      </w:r>
      <w:r w:rsidRPr="0044054C">
        <w:rPr>
          <w:rFonts w:ascii="Arial" w:eastAsia="Aptos" w:hAnsi="Arial" w:cs="Arial"/>
          <w:color w:val="000000"/>
          <w:kern w:val="2"/>
          <w:sz w:val="20"/>
          <w:szCs w:val="20"/>
          <w:highlight w:val="yellow"/>
        </w:rPr>
        <w:t xml:space="preserve"> (Boulenger, 1887), commonly known as the Humeral Frog, a Ranid frog that is widely distributed throughout South and Southeast Asia, covering a significant area of the Indo-Burma biogeographic region</w:t>
      </w:r>
      <w:r w:rsidRPr="00474C45">
        <w:rPr>
          <w:rFonts w:ascii="Arial" w:eastAsia="Aptos" w:hAnsi="Arial" w:cs="Arial"/>
          <w:color w:val="000000"/>
          <w:kern w:val="2"/>
          <w:sz w:val="20"/>
          <w:szCs w:val="20"/>
        </w:rPr>
        <w:t xml:space="preserve"> (</w:t>
      </w:r>
      <w:r w:rsidRPr="00474C45">
        <w:rPr>
          <w:rFonts w:ascii="Arial" w:eastAsia="Aptos" w:hAnsi="Arial" w:cs="Arial"/>
          <w:color w:val="000000"/>
          <w:kern w:val="2"/>
          <w:sz w:val="20"/>
          <w:szCs w:val="20"/>
          <w:lang w:val="en-IN"/>
        </w:rPr>
        <w:t>Boulenger, 1887)</w:t>
      </w:r>
      <w:r w:rsidRPr="00474C45">
        <w:rPr>
          <w:rFonts w:ascii="Arial" w:eastAsia="Aptos" w:hAnsi="Arial" w:cs="Arial"/>
          <w:color w:val="000000"/>
          <w:kern w:val="2"/>
          <w:sz w:val="20"/>
          <w:szCs w:val="20"/>
        </w:rPr>
        <w:t xml:space="preserve">. In addition to India, they are known to distribute in Bangladesh (Frost, 2008; Al-Razi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2014 a,b), Nepal (</w:t>
      </w:r>
      <w:bookmarkStart w:id="0" w:name="_Hlk218537205"/>
      <w:r w:rsidRPr="00474C45">
        <w:rPr>
          <w:rFonts w:ascii="Arial" w:eastAsia="Aptos" w:hAnsi="Arial" w:cs="Arial"/>
          <w:color w:val="000000"/>
          <w:kern w:val="2"/>
          <w:sz w:val="20"/>
          <w:szCs w:val="20"/>
          <w:lang w:val="en-IN"/>
        </w:rPr>
        <w:t>Schleich and Kastle, 2002</w:t>
      </w:r>
      <w:bookmarkEnd w:id="0"/>
      <w:r w:rsidRPr="00474C45">
        <w:rPr>
          <w:rFonts w:ascii="Arial" w:eastAsia="Aptos" w:hAnsi="Arial" w:cs="Arial"/>
          <w:color w:val="000000"/>
          <w:kern w:val="2"/>
          <w:sz w:val="20"/>
          <w:szCs w:val="20"/>
          <w:lang w:val="en-IN"/>
        </w:rPr>
        <w:t>; Frost, 2008), Bhutan (Frost, 2008)</w:t>
      </w:r>
      <w:r w:rsidRPr="00474C45">
        <w:rPr>
          <w:rFonts w:ascii="Arial" w:eastAsia="Aptos" w:hAnsi="Arial" w:cs="Arial"/>
          <w:color w:val="000000"/>
          <w:kern w:val="2"/>
          <w:sz w:val="20"/>
          <w:szCs w:val="20"/>
        </w:rPr>
        <w:t xml:space="preserve"> and Myanmar (</w:t>
      </w:r>
      <w:r w:rsidRPr="00474C45">
        <w:rPr>
          <w:rFonts w:ascii="Arial" w:eastAsia="Aptos" w:hAnsi="Arial" w:cs="Arial"/>
          <w:color w:val="000000"/>
          <w:kern w:val="2"/>
          <w:sz w:val="20"/>
          <w:szCs w:val="20"/>
          <w:lang w:val="en-IN"/>
        </w:rPr>
        <w:t>Boulenger, 1887, 1890; Frost, 2008)</w:t>
      </w:r>
      <w:r w:rsidRPr="00474C45">
        <w:rPr>
          <w:rFonts w:ascii="Arial" w:eastAsia="Aptos" w:hAnsi="Arial" w:cs="Arial"/>
          <w:color w:val="000000"/>
          <w:kern w:val="2"/>
          <w:sz w:val="20"/>
          <w:szCs w:val="20"/>
        </w:rPr>
        <w:t xml:space="preserve">, extending further east into Thailand, Laos, Cambodia, Vietnam, and southern China, as well as certain regions of the Malay Peninsula (Inger and Stuebing, 2005; Frost, 2024). </w:t>
      </w:r>
      <w:r w:rsidRPr="00474C45">
        <w:rPr>
          <w:rFonts w:ascii="Arial" w:eastAsia="Aptos" w:hAnsi="Arial" w:cs="Arial"/>
          <w:color w:val="000000"/>
          <w:kern w:val="2"/>
          <w:sz w:val="20"/>
          <w:szCs w:val="20"/>
          <w:lang w:val="en-IN"/>
        </w:rPr>
        <w:t xml:space="preserve">The species is globally considered as Least concern but its populations are decreasing (van Dijk </w:t>
      </w:r>
      <w:r w:rsidRPr="00474C45">
        <w:rPr>
          <w:rFonts w:ascii="Arial" w:eastAsia="Aptos" w:hAnsi="Arial" w:cs="Arial"/>
          <w:i/>
          <w:iCs/>
          <w:color w:val="000000"/>
          <w:kern w:val="2"/>
          <w:sz w:val="20"/>
          <w:szCs w:val="20"/>
          <w:lang w:val="en-IN"/>
        </w:rPr>
        <w:t>et al</w:t>
      </w:r>
      <w:r w:rsidRPr="00474C45">
        <w:rPr>
          <w:rFonts w:ascii="Arial" w:eastAsia="Aptos" w:hAnsi="Arial" w:cs="Arial"/>
          <w:color w:val="000000"/>
          <w:kern w:val="2"/>
          <w:sz w:val="20"/>
          <w:szCs w:val="20"/>
          <w:lang w:val="en-IN"/>
        </w:rPr>
        <w:t>., 2004).</w:t>
      </w:r>
    </w:p>
    <w:p w14:paraId="75BA7F31" w14:textId="77777777" w:rsidR="000632A6" w:rsidRPr="00474C45" w:rsidRDefault="000632A6" w:rsidP="000632A6">
      <w:pPr>
        <w:spacing w:after="0" w:line="240" w:lineRule="auto"/>
        <w:jc w:val="both"/>
        <w:rPr>
          <w:rFonts w:ascii="Arial" w:eastAsia="Aptos" w:hAnsi="Arial" w:cs="Arial"/>
          <w:kern w:val="2"/>
          <w:sz w:val="20"/>
          <w:szCs w:val="20"/>
        </w:rPr>
      </w:pPr>
    </w:p>
    <w:p w14:paraId="0EAE6B59" w14:textId="77777777" w:rsidR="000632A6" w:rsidRPr="00474C45" w:rsidRDefault="000632A6" w:rsidP="000632A6">
      <w:pPr>
        <w:spacing w:after="0" w:line="240" w:lineRule="auto"/>
        <w:jc w:val="both"/>
        <w:rPr>
          <w:rFonts w:ascii="Arial" w:eastAsia="Aptos" w:hAnsi="Arial" w:cs="Arial"/>
          <w:color w:val="000000"/>
          <w:kern w:val="2"/>
          <w:sz w:val="20"/>
          <w:szCs w:val="20"/>
        </w:rPr>
      </w:pPr>
      <w:r w:rsidRPr="00474C45">
        <w:rPr>
          <w:rFonts w:ascii="Arial" w:eastAsia="Aptos" w:hAnsi="Arial" w:cs="Arial"/>
          <w:color w:val="000000"/>
          <w:kern w:val="2"/>
          <w:sz w:val="20"/>
          <w:szCs w:val="20"/>
        </w:rPr>
        <w:t xml:space="preserve">Within the Indian subcontinent, this species is primarily documented in northeastern India, specifically in the states of Assam (Hussain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2007; Purkayastha, 2012; Chetia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2014; Neog, 2016), Arunachal Pradesh (Hussain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2007; Roy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2018), Nagaland (</w:t>
      </w:r>
      <w:r w:rsidRPr="00474C45">
        <w:rPr>
          <w:rFonts w:ascii="Arial" w:eastAsia="Aptos" w:hAnsi="Arial" w:cs="Arial"/>
          <w:color w:val="000000"/>
          <w:kern w:val="2"/>
          <w:sz w:val="20"/>
          <w:szCs w:val="20"/>
          <w:lang w:val="en-IN"/>
        </w:rPr>
        <w:t xml:space="preserve">Ao </w:t>
      </w:r>
      <w:r w:rsidRPr="00474C45">
        <w:rPr>
          <w:rFonts w:ascii="Arial" w:eastAsia="Aptos" w:hAnsi="Arial" w:cs="Arial"/>
          <w:i/>
          <w:iCs/>
          <w:color w:val="000000"/>
          <w:kern w:val="2"/>
          <w:sz w:val="20"/>
          <w:szCs w:val="20"/>
          <w:lang w:val="en-IN"/>
        </w:rPr>
        <w:t>et al.,</w:t>
      </w:r>
      <w:r w:rsidRPr="00474C45">
        <w:rPr>
          <w:rFonts w:ascii="Arial" w:eastAsia="Aptos" w:hAnsi="Arial" w:cs="Arial"/>
          <w:color w:val="000000"/>
          <w:kern w:val="2"/>
          <w:sz w:val="20"/>
          <w:szCs w:val="20"/>
          <w:lang w:val="en-IN"/>
        </w:rPr>
        <w:t xml:space="preserve"> 2003)</w:t>
      </w:r>
      <w:r w:rsidRPr="00474C45">
        <w:rPr>
          <w:rFonts w:ascii="Arial" w:eastAsia="Aptos" w:hAnsi="Arial" w:cs="Arial"/>
          <w:color w:val="000000"/>
          <w:kern w:val="2"/>
          <w:sz w:val="20"/>
          <w:szCs w:val="20"/>
        </w:rPr>
        <w:t xml:space="preserve">, Manipur (Ningombam and Bordoloi, 2007) and West Bengal (Deuti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2017; Sen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2022). Few studies reported its frequent presence in the Brahmaputra valley and the surrounding hill ranges, where the climatic conditions support a consistent availability of freshwater (Pawar and Birand, 2001; Sengupta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2010). However, its distribution in Meghalaya state of northeast India had not been reported. Hence, the present study was undertaken to investigate amphibians’ distribution in and around the Nongkhyllem </w:t>
      </w:r>
      <w:r w:rsidRPr="00474C45">
        <w:rPr>
          <w:rFonts w:ascii="Arial" w:eastAsia="Aptos" w:hAnsi="Arial" w:cs="Arial"/>
          <w:color w:val="000000"/>
          <w:kern w:val="2"/>
          <w:sz w:val="20"/>
          <w:szCs w:val="20"/>
        </w:rPr>
        <w:lastRenderedPageBreak/>
        <w:t xml:space="preserve">Wildlife Sanctuary of Meghalaya, aiming to establish their distribution, abundance, and habitat utilization pattern. </w:t>
      </w:r>
    </w:p>
    <w:p w14:paraId="5458E237" w14:textId="77777777" w:rsidR="000632A6" w:rsidRPr="00474C45" w:rsidRDefault="000632A6" w:rsidP="000632A6">
      <w:pPr>
        <w:spacing w:after="0" w:line="240" w:lineRule="auto"/>
        <w:jc w:val="both"/>
        <w:rPr>
          <w:rFonts w:ascii="Arial" w:eastAsia="Aptos" w:hAnsi="Arial" w:cs="Arial"/>
          <w:kern w:val="2"/>
          <w:sz w:val="20"/>
          <w:szCs w:val="20"/>
        </w:rPr>
      </w:pPr>
    </w:p>
    <w:p w14:paraId="08C0C407" w14:textId="59C4DCCF" w:rsidR="000632A6" w:rsidRPr="00474C45" w:rsidRDefault="000632A6" w:rsidP="000632A6">
      <w:pPr>
        <w:pStyle w:val="Heading2"/>
        <w:rPr>
          <w:rFonts w:eastAsia="Aptos"/>
        </w:rPr>
      </w:pPr>
      <w:r w:rsidRPr="00474C45">
        <w:rPr>
          <w:rFonts w:eastAsia="Aptos"/>
        </w:rPr>
        <w:t>2. Methodology</w:t>
      </w:r>
    </w:p>
    <w:p w14:paraId="32B6502D" w14:textId="77777777" w:rsidR="000632A6" w:rsidRPr="00474C45" w:rsidRDefault="000632A6" w:rsidP="000632A6">
      <w:pPr>
        <w:spacing w:after="0" w:line="240" w:lineRule="auto"/>
        <w:jc w:val="both"/>
        <w:rPr>
          <w:rFonts w:ascii="Arial" w:eastAsia="Aptos" w:hAnsi="Arial" w:cs="Arial"/>
          <w:b/>
          <w:bCs/>
          <w:color w:val="000000"/>
          <w:kern w:val="2"/>
          <w:sz w:val="20"/>
          <w:szCs w:val="20"/>
        </w:rPr>
      </w:pPr>
    </w:p>
    <w:p w14:paraId="662CEDDF" w14:textId="77777777" w:rsidR="000632A6" w:rsidRPr="00474C45" w:rsidRDefault="000632A6" w:rsidP="000632A6">
      <w:pPr>
        <w:spacing w:after="0" w:line="240" w:lineRule="auto"/>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As amphibians inhabit both terrestrial/arboreal and aquatic environments, the survey encompassed both types of habitats. The survey was carried out along forest trails that included all habitat types (semi-evergreen, evergreen, shrub, deciduous, riverine, grassland), and </w:t>
      </w:r>
      <w:r w:rsidRPr="00474C45">
        <w:rPr>
          <w:rFonts w:ascii="Arial" w:eastAsia="Aptos" w:hAnsi="Arial" w:cs="Arial"/>
          <w:color w:val="000000"/>
          <w:kern w:val="2"/>
          <w:sz w:val="20"/>
          <w:szCs w:val="20"/>
          <w:lang w:val="en-IN"/>
        </w:rPr>
        <w:t xml:space="preserve">detected individuals of each amphibian species were </w:t>
      </w:r>
      <w:r w:rsidRPr="00474C45">
        <w:rPr>
          <w:rFonts w:ascii="Arial" w:eastAsia="Aptos" w:hAnsi="Arial" w:cs="Arial"/>
          <w:color w:val="000000"/>
          <w:kern w:val="2"/>
          <w:sz w:val="20"/>
          <w:szCs w:val="20"/>
        </w:rPr>
        <w:t xml:space="preserve">documented in relation to these habitats. Existing forest trails were explored during the evening hours. Two methods were employed for this purpose: (i) Visual Encounter Survey: This method involved searching for amphibians while walking along the forest trail during the evening hours (15:00 to 22:00) (Crump and Scott, 1994; Heyer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1994; Naniwadekar and Vasudevan, 2014), and (ii) </w:t>
      </w:r>
      <w:r w:rsidRPr="00474C45">
        <w:rPr>
          <w:rFonts w:ascii="Arial" w:eastAsia="Aptos" w:hAnsi="Arial" w:cs="Arial"/>
          <w:i/>
          <w:iCs/>
          <w:color w:val="000000"/>
          <w:kern w:val="2"/>
          <w:sz w:val="20"/>
          <w:szCs w:val="20"/>
        </w:rPr>
        <w:t>Active Search</w:t>
      </w:r>
      <w:r w:rsidRPr="00474C45">
        <w:rPr>
          <w:rFonts w:ascii="Arial" w:eastAsia="Aptos" w:hAnsi="Arial" w:cs="Arial"/>
          <w:color w:val="000000"/>
          <w:kern w:val="2"/>
          <w:sz w:val="20"/>
          <w:szCs w:val="20"/>
        </w:rPr>
        <w:t xml:space="preserve">: In this method, amphibians were actively sought in various microhabitats, including epiphytes, beneath loose bark and logs, under leaf litter, root buttresses, overhead canopies, under rocks, in tree holes, puddles, springs, and along streambeds, considering the vegetation outside the designated forest trails. Along with this, the </w:t>
      </w:r>
      <w:r w:rsidRPr="00474C45">
        <w:rPr>
          <w:rFonts w:ascii="Arial" w:eastAsia="Aptos" w:hAnsi="Arial" w:cs="Arial"/>
          <w:color w:val="000000"/>
          <w:kern w:val="2"/>
          <w:sz w:val="20"/>
          <w:szCs w:val="20"/>
        </w:rPr>
        <w:t xml:space="preserve">standard method for morphometric measurements was followed using digital vernier calipers (model: Corceptive 150 mm) with an accuracy level to the nearest 0.1 mm that adheres to establish the anuran morphology (Dubois, 1974; Watters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2016). Morphological measurements were typically taken from adult specimens, with males and females measured separately due to the significant sexual size dimorphism, a characteristic commonly observed in </w:t>
      </w:r>
      <w:r w:rsidRPr="00474C45">
        <w:rPr>
          <w:rFonts w:ascii="Arial" w:eastAsia="Aptos" w:hAnsi="Arial" w:cs="Arial"/>
          <w:i/>
          <w:iCs/>
          <w:color w:val="000000"/>
          <w:kern w:val="2"/>
          <w:sz w:val="20"/>
          <w:szCs w:val="20"/>
        </w:rPr>
        <w:t>Ranid</w:t>
      </w:r>
      <w:r w:rsidRPr="00474C45">
        <w:rPr>
          <w:rFonts w:ascii="Arial" w:eastAsia="Aptos" w:hAnsi="Arial" w:cs="Arial"/>
          <w:color w:val="000000"/>
          <w:kern w:val="2"/>
          <w:sz w:val="20"/>
          <w:szCs w:val="20"/>
        </w:rPr>
        <w:t xml:space="preserve"> frogs (Shine, 1979).</w:t>
      </w:r>
    </w:p>
    <w:p w14:paraId="64AE8017" w14:textId="77777777" w:rsidR="000632A6" w:rsidRPr="00474C45" w:rsidRDefault="000632A6" w:rsidP="000632A6">
      <w:pPr>
        <w:spacing w:after="0" w:line="240" w:lineRule="auto"/>
        <w:jc w:val="both"/>
        <w:rPr>
          <w:rFonts w:ascii="Arial" w:eastAsia="Aptos" w:hAnsi="Arial" w:cs="Arial"/>
          <w:color w:val="000000"/>
          <w:kern w:val="2"/>
          <w:sz w:val="20"/>
          <w:szCs w:val="20"/>
        </w:rPr>
      </w:pPr>
    </w:p>
    <w:p w14:paraId="415F3712" w14:textId="0120B1A9" w:rsidR="000632A6" w:rsidRPr="00474C45" w:rsidRDefault="000632A6" w:rsidP="000632A6">
      <w:pPr>
        <w:pStyle w:val="Heading2"/>
        <w:rPr>
          <w:rFonts w:eastAsia="Aptos"/>
        </w:rPr>
      </w:pPr>
      <w:r w:rsidRPr="00474C45">
        <w:rPr>
          <w:rFonts w:eastAsia="Aptos"/>
        </w:rPr>
        <w:t>3. Study Area</w:t>
      </w:r>
    </w:p>
    <w:p w14:paraId="2F3FB77E" w14:textId="77777777" w:rsidR="000632A6" w:rsidRPr="00474C45" w:rsidRDefault="000632A6" w:rsidP="000632A6">
      <w:pPr>
        <w:spacing w:after="0" w:line="240" w:lineRule="auto"/>
        <w:jc w:val="both"/>
        <w:rPr>
          <w:rFonts w:ascii="Arial" w:eastAsia="Aptos" w:hAnsi="Arial" w:cs="Arial"/>
          <w:b/>
          <w:bCs/>
          <w:kern w:val="2"/>
          <w:sz w:val="20"/>
          <w:szCs w:val="20"/>
        </w:rPr>
      </w:pPr>
    </w:p>
    <w:p w14:paraId="10FCD9EB" w14:textId="0BBD9486" w:rsidR="00561AF6" w:rsidRPr="00474C45" w:rsidRDefault="000632A6" w:rsidP="000632A6">
      <w:pPr>
        <w:spacing w:after="0" w:line="240" w:lineRule="auto"/>
        <w:jc w:val="both"/>
        <w:rPr>
          <w:rFonts w:ascii="Arial" w:eastAsia="Aptos" w:hAnsi="Arial" w:cs="Arial"/>
          <w:kern w:val="2"/>
          <w:sz w:val="20"/>
          <w:szCs w:val="20"/>
        </w:rPr>
        <w:sectPr w:rsidR="00561AF6" w:rsidRPr="00474C45" w:rsidSect="00561AF6">
          <w:type w:val="continuous"/>
          <w:pgSz w:w="11909" w:h="16834" w:code="9"/>
          <w:pgMar w:top="1440" w:right="1440" w:bottom="1440" w:left="1440" w:header="720" w:footer="864" w:gutter="0"/>
          <w:pgNumType w:start="1"/>
          <w:cols w:num="2" w:space="288"/>
          <w:titlePg/>
          <w:docGrid w:linePitch="360"/>
        </w:sectPr>
      </w:pPr>
      <w:r w:rsidRPr="00474C45">
        <w:rPr>
          <w:rFonts w:ascii="Arial" w:eastAsia="Aptos" w:hAnsi="Arial" w:cs="Arial"/>
          <w:color w:val="000000"/>
          <w:kern w:val="2"/>
          <w:sz w:val="20"/>
          <w:szCs w:val="20"/>
        </w:rPr>
        <w:t xml:space="preserve">The Nongkhyllem Wildlife Sanctuary (NWLS) and its adjacent Nongkhyllem Reserved Forest (NRF) are situated in the Ri-Bhoi district of Meghalaya (Fig. 1), collectively forming an ecologically important forested area that spans approximately 88 km². This region is positioned between 25°50′30″–26°00′00″ N and 91°40′00″–91°47′00″ E, with elevations varying from 300 to 900 m above sea level. The landscape is marked by rolling hills, ridges, and perennial streams, which create favourable habitats for a diverse array of wildlife, especially amphibians. The climate in this area is classified as humid subtropical, with annual rainfall ranging from 2000 to 4000 mm </w:t>
      </w:r>
    </w:p>
    <w:p w14:paraId="026E6013" w14:textId="77777777" w:rsidR="000632A6" w:rsidRPr="00474C45" w:rsidRDefault="000632A6" w:rsidP="000632A6">
      <w:pPr>
        <w:spacing w:after="0" w:line="240" w:lineRule="auto"/>
        <w:jc w:val="center"/>
        <w:outlineLvl w:val="1"/>
        <w:rPr>
          <w:rFonts w:ascii="Arial" w:eastAsia="Aptos" w:hAnsi="Arial" w:cs="Arial"/>
          <w:b/>
          <w:bCs/>
          <w:iCs/>
          <w:color w:val="000000"/>
          <w:kern w:val="36"/>
          <w:sz w:val="20"/>
          <w:szCs w:val="20"/>
          <w:lang w:val="en-IN"/>
        </w:rPr>
      </w:pPr>
      <w:r w:rsidRPr="00474C45">
        <w:rPr>
          <w:rFonts w:ascii="Arial" w:eastAsia="Aptos" w:hAnsi="Arial" w:cs="Arial"/>
          <w:noProof/>
          <w:kern w:val="2"/>
          <w:sz w:val="20"/>
          <w:szCs w:val="20"/>
        </w:rPr>
        <w:lastRenderedPageBreak/>
        <w:drawing>
          <wp:inline distT="0" distB="0" distL="0" distR="0" wp14:anchorId="5965E2E1" wp14:editId="7F0B5396">
            <wp:extent cx="5032039" cy="7865734"/>
            <wp:effectExtent l="0" t="0" r="0" b="0"/>
            <wp:docPr id="2140790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90979" name="Picture 5"/>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30000"/>
                              </a14:imgEffect>
                            </a14:imgLayer>
                          </a14:imgProps>
                        </a:ext>
                        <a:ext uri="{28A0092B-C50C-407E-A947-70E740481C1C}">
                          <a14:useLocalDpi xmlns:a14="http://schemas.microsoft.com/office/drawing/2010/main" val="0"/>
                        </a:ext>
                      </a:extLst>
                    </a:blip>
                    <a:srcRect l="9272" t="2419" r="9027" b="1234"/>
                    <a:stretch>
                      <a:fillRect/>
                    </a:stretch>
                  </pic:blipFill>
                  <pic:spPr bwMode="auto">
                    <a:xfrm>
                      <a:off x="0" y="0"/>
                      <a:ext cx="5073808" cy="7931025"/>
                    </a:xfrm>
                    <a:prstGeom prst="rect">
                      <a:avLst/>
                    </a:prstGeom>
                    <a:noFill/>
                    <a:ln>
                      <a:noFill/>
                    </a:ln>
                    <a:extLst>
                      <a:ext uri="{53640926-AAD7-44D8-BBD7-CCE9431645EC}">
                        <a14:shadowObscured xmlns:a14="http://schemas.microsoft.com/office/drawing/2010/main"/>
                      </a:ext>
                    </a:extLst>
                  </pic:spPr>
                </pic:pic>
              </a:graphicData>
            </a:graphic>
          </wp:inline>
        </w:drawing>
      </w:r>
    </w:p>
    <w:p w14:paraId="6F7DC9F5" w14:textId="77777777" w:rsidR="000632A6" w:rsidRPr="00474C45" w:rsidRDefault="000632A6" w:rsidP="000632A6">
      <w:pPr>
        <w:spacing w:after="0" w:line="240" w:lineRule="auto"/>
        <w:jc w:val="center"/>
        <w:outlineLvl w:val="1"/>
        <w:rPr>
          <w:rFonts w:ascii="Arial" w:eastAsia="Aptos" w:hAnsi="Arial" w:cs="Arial"/>
          <w:iCs/>
          <w:color w:val="000000"/>
          <w:kern w:val="36"/>
          <w:sz w:val="20"/>
          <w:szCs w:val="20"/>
          <w:lang w:val="en-IN"/>
        </w:rPr>
      </w:pPr>
    </w:p>
    <w:p w14:paraId="5F68591F" w14:textId="7ECE7A91" w:rsidR="000632A6" w:rsidRPr="00474C45" w:rsidRDefault="000632A6" w:rsidP="000632A6">
      <w:pPr>
        <w:spacing w:after="0" w:line="240" w:lineRule="auto"/>
        <w:jc w:val="center"/>
        <w:outlineLvl w:val="1"/>
        <w:rPr>
          <w:rFonts w:ascii="Arial" w:eastAsia="Aptos" w:hAnsi="Arial" w:cs="Arial"/>
          <w:b/>
          <w:bCs/>
          <w:iCs/>
          <w:color w:val="000000"/>
          <w:kern w:val="36"/>
          <w:sz w:val="20"/>
          <w:szCs w:val="20"/>
          <w:lang w:val="en-IN"/>
        </w:rPr>
      </w:pPr>
      <w:r w:rsidRPr="00474C45">
        <w:rPr>
          <w:rFonts w:ascii="Arial" w:eastAsia="Aptos" w:hAnsi="Arial" w:cs="Arial"/>
          <w:b/>
          <w:bCs/>
          <w:iCs/>
          <w:color w:val="000000"/>
          <w:kern w:val="36"/>
          <w:sz w:val="20"/>
          <w:szCs w:val="20"/>
          <w:lang w:val="en-IN"/>
        </w:rPr>
        <w:t xml:space="preserve">Fig. 1. Nongkhyllem Wildlife Sanctuary and Reserved Forest in Meghalaya, India (Source: Meghalaya Forests and Environment Department) </w:t>
      </w:r>
    </w:p>
    <w:p w14:paraId="335B47E1" w14:textId="77777777" w:rsidR="00561AF6" w:rsidRPr="00474C45" w:rsidRDefault="00561AF6" w:rsidP="000632A6">
      <w:pPr>
        <w:pStyle w:val="Heading2"/>
        <w:rPr>
          <w:rFonts w:eastAsia="Aptos" w:cs="Arial"/>
          <w:b w:val="0"/>
          <w:bCs w:val="0"/>
          <w:color w:val="000000"/>
          <w:kern w:val="2"/>
          <w:sz w:val="20"/>
          <w:szCs w:val="20"/>
        </w:rPr>
        <w:sectPr w:rsidR="00561AF6" w:rsidRPr="00474C45" w:rsidSect="000126CE">
          <w:type w:val="continuous"/>
          <w:pgSz w:w="11909" w:h="16834" w:code="9"/>
          <w:pgMar w:top="1440" w:right="1440" w:bottom="1440" w:left="1440" w:header="720" w:footer="864" w:gutter="0"/>
          <w:pgNumType w:start="3"/>
          <w:cols w:space="720"/>
          <w:docGrid w:linePitch="360"/>
        </w:sectPr>
      </w:pPr>
    </w:p>
    <w:p w14:paraId="784EA41B" w14:textId="6AF726B6" w:rsidR="00561AF6" w:rsidRPr="00474C45" w:rsidRDefault="00561AF6" w:rsidP="00561AF6">
      <w:pPr>
        <w:pStyle w:val="Heading2"/>
        <w:keepNext w:val="0"/>
        <w:keepLines w:val="0"/>
        <w:rPr>
          <w:rFonts w:eastAsia="Aptos"/>
          <w:b w:val="0"/>
          <w:bCs w:val="0"/>
        </w:rPr>
      </w:pPr>
      <w:r w:rsidRPr="00474C45">
        <w:rPr>
          <w:rFonts w:eastAsia="Aptos" w:cs="Arial"/>
          <w:b w:val="0"/>
          <w:bCs w:val="0"/>
          <w:color w:val="000000"/>
          <w:kern w:val="2"/>
          <w:sz w:val="20"/>
          <w:szCs w:val="20"/>
        </w:rPr>
        <w:t xml:space="preserve">and moderate seasonal temperature fluctuations. The predominant vegetation consists of tropical </w:t>
      </w:r>
      <w:r w:rsidRPr="00474C45">
        <w:rPr>
          <w:rFonts w:eastAsia="Aptos" w:cs="Arial"/>
          <w:b w:val="0"/>
          <w:bCs w:val="0"/>
          <w:color w:val="000000"/>
          <w:kern w:val="2"/>
          <w:sz w:val="20"/>
          <w:szCs w:val="20"/>
        </w:rPr>
        <w:t xml:space="preserve">evergreen and semi-evergreen forests, featuring species such as </w:t>
      </w:r>
      <w:r w:rsidRPr="00474C45">
        <w:rPr>
          <w:rFonts w:eastAsia="Aptos" w:cs="Arial"/>
          <w:b w:val="0"/>
          <w:bCs w:val="0"/>
          <w:i/>
          <w:iCs/>
          <w:color w:val="000000"/>
          <w:kern w:val="2"/>
          <w:sz w:val="20"/>
          <w:szCs w:val="20"/>
        </w:rPr>
        <w:t>Shorea robusta</w:t>
      </w:r>
      <w:r w:rsidRPr="00474C45">
        <w:rPr>
          <w:rFonts w:eastAsia="Aptos" w:cs="Arial"/>
          <w:b w:val="0"/>
          <w:bCs w:val="0"/>
          <w:color w:val="000000"/>
          <w:kern w:val="2"/>
          <w:sz w:val="20"/>
          <w:szCs w:val="20"/>
        </w:rPr>
        <w:t xml:space="preserve">, </w:t>
      </w:r>
      <w:r w:rsidRPr="00474C45">
        <w:rPr>
          <w:rFonts w:eastAsia="Aptos" w:cs="Arial"/>
          <w:b w:val="0"/>
          <w:bCs w:val="0"/>
          <w:i/>
          <w:iCs/>
          <w:color w:val="000000"/>
          <w:kern w:val="2"/>
          <w:sz w:val="20"/>
          <w:szCs w:val="20"/>
        </w:rPr>
        <w:t xml:space="preserve">Schima </w:t>
      </w:r>
      <w:r w:rsidRPr="00474C45">
        <w:rPr>
          <w:rFonts w:eastAsia="Aptos" w:cs="Arial"/>
          <w:b w:val="0"/>
          <w:bCs w:val="0"/>
          <w:i/>
          <w:iCs/>
          <w:color w:val="000000"/>
          <w:kern w:val="2"/>
          <w:sz w:val="20"/>
          <w:szCs w:val="20"/>
        </w:rPr>
        <w:lastRenderedPageBreak/>
        <w:t>wallichii</w:t>
      </w:r>
      <w:r w:rsidRPr="00474C45">
        <w:rPr>
          <w:rFonts w:eastAsia="Aptos" w:cs="Arial"/>
          <w:b w:val="0"/>
          <w:bCs w:val="0"/>
          <w:color w:val="000000"/>
          <w:kern w:val="2"/>
          <w:sz w:val="20"/>
          <w:szCs w:val="20"/>
        </w:rPr>
        <w:t xml:space="preserve">, and </w:t>
      </w:r>
      <w:r w:rsidRPr="00474C45">
        <w:rPr>
          <w:rFonts w:eastAsia="Aptos" w:cs="Arial"/>
          <w:b w:val="0"/>
          <w:bCs w:val="0"/>
          <w:i/>
          <w:iCs/>
          <w:color w:val="000000"/>
          <w:kern w:val="2"/>
          <w:sz w:val="20"/>
          <w:szCs w:val="20"/>
        </w:rPr>
        <w:t>Castanopsis sp.</w:t>
      </w:r>
      <w:r w:rsidRPr="00474C45">
        <w:rPr>
          <w:rFonts w:eastAsia="Aptos" w:cs="Arial"/>
          <w:b w:val="0"/>
          <w:bCs w:val="0"/>
          <w:color w:val="000000"/>
          <w:kern w:val="2"/>
          <w:sz w:val="20"/>
          <w:szCs w:val="20"/>
        </w:rPr>
        <w:t xml:space="preserve">, along with a variety of bamboos, orchids, and ferns. The sanctuary and the reserved forest are home to a rich diversity of fauna, including the Western Hoolock Gibbon, clouded leopard, barking deer, hornbills, and amphibian genera like </w:t>
      </w:r>
      <w:r w:rsidRPr="00474C45">
        <w:rPr>
          <w:rFonts w:eastAsia="Aptos" w:cs="Arial"/>
          <w:b w:val="0"/>
          <w:bCs w:val="0"/>
          <w:i/>
          <w:iCs/>
          <w:color w:val="000000"/>
          <w:kern w:val="2"/>
          <w:sz w:val="20"/>
          <w:szCs w:val="20"/>
        </w:rPr>
        <w:t>Polypedates</w:t>
      </w:r>
      <w:r w:rsidRPr="00474C45">
        <w:rPr>
          <w:rFonts w:eastAsia="Aptos" w:cs="Arial"/>
          <w:b w:val="0"/>
          <w:bCs w:val="0"/>
          <w:color w:val="000000"/>
          <w:kern w:val="2"/>
          <w:sz w:val="20"/>
          <w:szCs w:val="20"/>
        </w:rPr>
        <w:t xml:space="preserve">, </w:t>
      </w:r>
      <w:r w:rsidRPr="00474C45">
        <w:rPr>
          <w:rFonts w:eastAsia="Aptos" w:cs="Arial"/>
          <w:b w:val="0"/>
          <w:bCs w:val="0"/>
          <w:i/>
          <w:iCs/>
          <w:color w:val="000000"/>
          <w:kern w:val="2"/>
          <w:sz w:val="20"/>
          <w:szCs w:val="20"/>
        </w:rPr>
        <w:t>Amolops</w:t>
      </w:r>
      <w:r w:rsidRPr="00474C45">
        <w:rPr>
          <w:rFonts w:eastAsia="Aptos" w:cs="Arial"/>
          <w:b w:val="0"/>
          <w:bCs w:val="0"/>
          <w:color w:val="000000"/>
          <w:kern w:val="2"/>
          <w:sz w:val="20"/>
          <w:szCs w:val="20"/>
        </w:rPr>
        <w:t xml:space="preserve">, and </w:t>
      </w:r>
      <w:r w:rsidRPr="00474C45">
        <w:rPr>
          <w:rFonts w:eastAsia="Aptos" w:cs="Arial"/>
          <w:b w:val="0"/>
          <w:bCs w:val="0"/>
          <w:i/>
          <w:iCs/>
          <w:color w:val="000000"/>
          <w:kern w:val="2"/>
          <w:sz w:val="20"/>
          <w:szCs w:val="20"/>
        </w:rPr>
        <w:t>Microhyla</w:t>
      </w:r>
      <w:r w:rsidRPr="00474C45">
        <w:rPr>
          <w:rFonts w:eastAsia="Aptos" w:cs="Arial"/>
          <w:b w:val="0"/>
          <w:bCs w:val="0"/>
          <w:color w:val="000000"/>
          <w:kern w:val="2"/>
          <w:sz w:val="20"/>
          <w:szCs w:val="20"/>
        </w:rPr>
        <w:t>. In spite of growing human-induced pressures, NWLS and NRF continue to play a vital role in biodiversity conservation and ecological connectivity within the region.</w:t>
      </w:r>
    </w:p>
    <w:p w14:paraId="232F5C5D" w14:textId="77777777" w:rsidR="00561AF6" w:rsidRPr="00474C45" w:rsidRDefault="00561AF6" w:rsidP="000632A6">
      <w:pPr>
        <w:pStyle w:val="Heading2"/>
        <w:rPr>
          <w:rFonts w:eastAsia="Aptos"/>
          <w:sz w:val="18"/>
          <w:szCs w:val="22"/>
        </w:rPr>
      </w:pPr>
    </w:p>
    <w:p w14:paraId="63840B22" w14:textId="60BBE43A" w:rsidR="000632A6" w:rsidRPr="00474C45" w:rsidRDefault="000632A6" w:rsidP="000632A6">
      <w:pPr>
        <w:pStyle w:val="Heading2"/>
        <w:rPr>
          <w:rFonts w:eastAsia="Aptos"/>
          <w:i/>
          <w:iCs/>
        </w:rPr>
      </w:pPr>
      <w:r w:rsidRPr="00474C45">
        <w:rPr>
          <w:rFonts w:eastAsia="Aptos"/>
        </w:rPr>
        <w:t>4. Results</w:t>
      </w:r>
    </w:p>
    <w:p w14:paraId="36590011" w14:textId="77777777" w:rsidR="000632A6" w:rsidRPr="00474C45" w:rsidRDefault="000632A6" w:rsidP="000632A6">
      <w:pPr>
        <w:spacing w:after="0" w:line="240" w:lineRule="auto"/>
        <w:jc w:val="both"/>
        <w:rPr>
          <w:rFonts w:ascii="Arial" w:eastAsia="Aptos" w:hAnsi="Arial" w:cs="Arial"/>
          <w:b/>
          <w:bCs/>
          <w:i/>
          <w:iCs/>
          <w:kern w:val="2"/>
          <w:sz w:val="16"/>
          <w:szCs w:val="16"/>
        </w:rPr>
      </w:pPr>
    </w:p>
    <w:p w14:paraId="5BAC15AE" w14:textId="3235C0DB" w:rsidR="000632A6" w:rsidRPr="00474C45" w:rsidRDefault="000632A6" w:rsidP="000632A6">
      <w:pPr>
        <w:pStyle w:val="Heading2"/>
        <w:rPr>
          <w:rFonts w:eastAsia="Aptos"/>
        </w:rPr>
      </w:pPr>
      <w:r w:rsidRPr="00474C45">
        <w:rPr>
          <w:rFonts w:eastAsia="Aptos"/>
        </w:rPr>
        <w:t>4.1 Distribution and Abundance</w:t>
      </w:r>
    </w:p>
    <w:p w14:paraId="30339E91" w14:textId="77777777" w:rsidR="000632A6" w:rsidRPr="00474C45" w:rsidRDefault="000632A6" w:rsidP="000632A6">
      <w:pPr>
        <w:spacing w:after="0" w:line="240" w:lineRule="auto"/>
        <w:jc w:val="both"/>
        <w:rPr>
          <w:rFonts w:ascii="Arial" w:eastAsia="Aptos" w:hAnsi="Arial" w:cs="Arial"/>
          <w:b/>
          <w:bCs/>
          <w:i/>
          <w:iCs/>
          <w:color w:val="000000"/>
          <w:kern w:val="2"/>
          <w:sz w:val="16"/>
          <w:szCs w:val="16"/>
        </w:rPr>
      </w:pPr>
    </w:p>
    <w:p w14:paraId="73C8977D" w14:textId="77777777" w:rsidR="000632A6" w:rsidRPr="00474C45" w:rsidRDefault="000632A6" w:rsidP="000632A6">
      <w:pPr>
        <w:spacing w:after="0" w:line="240" w:lineRule="auto"/>
        <w:jc w:val="both"/>
        <w:rPr>
          <w:rFonts w:ascii="Arial" w:eastAsia="Aptos" w:hAnsi="Arial" w:cs="Arial"/>
          <w:color w:val="000000"/>
          <w:kern w:val="2"/>
          <w:sz w:val="20"/>
          <w:szCs w:val="20"/>
        </w:rPr>
      </w:pPr>
      <w:r w:rsidRPr="00474C45">
        <w:rPr>
          <w:rFonts w:ascii="Arial" w:eastAsia="Aptos" w:hAnsi="Arial" w:cs="Arial"/>
          <w:color w:val="000000"/>
          <w:kern w:val="2"/>
          <w:sz w:val="20"/>
          <w:szCs w:val="20"/>
        </w:rPr>
        <w:t>The study recorded seven adult individuals of</w:t>
      </w:r>
      <w:r w:rsidRPr="00474C45">
        <w:rPr>
          <w:rFonts w:ascii="Arial" w:eastAsia="Aptos" w:hAnsi="Arial" w:cs="Arial"/>
          <w:i/>
          <w:iCs/>
          <w:color w:val="000000"/>
          <w:kern w:val="2"/>
          <w:sz w:val="20"/>
          <w:szCs w:val="20"/>
        </w:rPr>
        <w:t xml:space="preserve"> H. humeralis</w:t>
      </w:r>
      <w:r w:rsidRPr="00474C45">
        <w:rPr>
          <w:rFonts w:ascii="Arial" w:eastAsia="Aptos" w:hAnsi="Arial" w:cs="Arial"/>
          <w:color w:val="000000"/>
          <w:kern w:val="2"/>
          <w:sz w:val="20"/>
          <w:szCs w:val="20"/>
        </w:rPr>
        <w:t xml:space="preserve">, including two males and five females. </w:t>
      </w:r>
      <w:r w:rsidRPr="00474C45">
        <w:rPr>
          <w:rFonts w:ascii="Arial" w:eastAsia="Aptos" w:hAnsi="Arial" w:cs="Arial"/>
          <w:color w:val="000000"/>
          <w:kern w:val="2"/>
          <w:sz w:val="20"/>
          <w:szCs w:val="20"/>
          <w:lang w:val="en-IN"/>
        </w:rPr>
        <w:t>Based on their morphological and morphometric characters, this represents the first confirmed distribution record of the species from the state of Meghalaya, northeastern India</w:t>
      </w:r>
      <w:r w:rsidRPr="00474C45">
        <w:rPr>
          <w:rFonts w:ascii="Arial" w:eastAsia="Aptos" w:hAnsi="Arial" w:cs="Arial"/>
          <w:color w:val="000000"/>
          <w:kern w:val="2"/>
          <w:sz w:val="20"/>
          <w:szCs w:val="20"/>
        </w:rPr>
        <w:t xml:space="preserve">. Details of morphometric characters, abundance, and habitat use in Nongkhyllem Wildlife Sanctuary and adjoining Reserved Forest are described below. </w:t>
      </w:r>
      <w:r w:rsidRPr="0044054C">
        <w:rPr>
          <w:rFonts w:ascii="Arial" w:eastAsia="Aptos" w:hAnsi="Arial" w:cs="Arial"/>
          <w:color w:val="000000"/>
          <w:kern w:val="2"/>
          <w:sz w:val="20"/>
          <w:szCs w:val="20"/>
          <w:highlight w:val="yellow"/>
          <w:lang w:val="en-IN"/>
        </w:rPr>
        <w:t>All individuals were observed at elevations ranging from 199 to 597 m above sea level and were recorded during the rainy season (May–August).</w:t>
      </w:r>
      <w:r w:rsidRPr="00474C45">
        <w:rPr>
          <w:rFonts w:ascii="Arial" w:eastAsia="Aptos" w:hAnsi="Arial" w:cs="Arial"/>
          <w:color w:val="000000"/>
          <w:kern w:val="2"/>
          <w:sz w:val="20"/>
          <w:szCs w:val="20"/>
        </w:rPr>
        <w:t xml:space="preserve"> </w:t>
      </w:r>
    </w:p>
    <w:p w14:paraId="1946050E" w14:textId="77777777" w:rsidR="000632A6" w:rsidRPr="00474C45" w:rsidRDefault="000632A6" w:rsidP="000632A6">
      <w:pPr>
        <w:spacing w:after="0" w:line="240" w:lineRule="auto"/>
        <w:jc w:val="both"/>
        <w:rPr>
          <w:rFonts w:ascii="Arial" w:eastAsia="Aptos" w:hAnsi="Arial" w:cs="Arial"/>
          <w:b/>
          <w:bCs/>
          <w:i/>
          <w:iCs/>
          <w:kern w:val="2"/>
          <w:sz w:val="16"/>
          <w:szCs w:val="16"/>
        </w:rPr>
      </w:pPr>
    </w:p>
    <w:p w14:paraId="71688A19" w14:textId="3DE9FF61" w:rsidR="000632A6" w:rsidRPr="00474C45" w:rsidRDefault="000632A6" w:rsidP="000632A6">
      <w:pPr>
        <w:pStyle w:val="Heading2"/>
        <w:rPr>
          <w:rFonts w:eastAsia="Aptos"/>
        </w:rPr>
      </w:pPr>
      <w:r w:rsidRPr="00474C45">
        <w:rPr>
          <w:rFonts w:eastAsia="Aptos"/>
        </w:rPr>
        <w:t>4.2 Morphological Characteristics</w:t>
      </w:r>
    </w:p>
    <w:p w14:paraId="29DE2D89" w14:textId="77777777" w:rsidR="000632A6" w:rsidRPr="00474C45" w:rsidRDefault="000632A6" w:rsidP="000632A6">
      <w:pPr>
        <w:spacing w:after="0" w:line="240" w:lineRule="auto"/>
        <w:jc w:val="both"/>
        <w:rPr>
          <w:rFonts w:ascii="Arial" w:eastAsia="Aptos" w:hAnsi="Arial" w:cs="Arial"/>
          <w:b/>
          <w:bCs/>
          <w:i/>
          <w:iCs/>
          <w:kern w:val="2"/>
          <w:sz w:val="16"/>
          <w:szCs w:val="16"/>
        </w:rPr>
      </w:pPr>
    </w:p>
    <w:p w14:paraId="5286CC4E" w14:textId="77777777" w:rsidR="000632A6" w:rsidRPr="00474C45" w:rsidRDefault="000632A6" w:rsidP="000632A6">
      <w:pPr>
        <w:spacing w:after="0" w:line="240" w:lineRule="auto"/>
        <w:jc w:val="both"/>
        <w:rPr>
          <w:rFonts w:ascii="Arial" w:eastAsia="Aptos" w:hAnsi="Arial" w:cs="Arial"/>
          <w:kern w:val="2"/>
          <w:sz w:val="20"/>
          <w:szCs w:val="20"/>
        </w:rPr>
      </w:pPr>
      <w:r w:rsidRPr="00474C45">
        <w:rPr>
          <w:rFonts w:ascii="Arial" w:eastAsia="Aptos" w:hAnsi="Arial" w:cs="Arial"/>
          <w:kern w:val="2"/>
          <w:sz w:val="20"/>
          <w:szCs w:val="20"/>
        </w:rPr>
        <w:t xml:space="preserve">The morphometric evaluation of </w:t>
      </w:r>
      <w:r w:rsidRPr="00474C45">
        <w:rPr>
          <w:rFonts w:ascii="Arial" w:eastAsia="Aptos" w:hAnsi="Arial" w:cs="Arial"/>
          <w:i/>
          <w:iCs/>
          <w:kern w:val="2"/>
          <w:sz w:val="20"/>
          <w:szCs w:val="20"/>
        </w:rPr>
        <w:t>H. humeralis</w:t>
      </w:r>
      <w:r w:rsidRPr="00474C45">
        <w:rPr>
          <w:rFonts w:ascii="Arial" w:eastAsia="Aptos" w:hAnsi="Arial" w:cs="Arial"/>
          <w:kern w:val="2"/>
          <w:sz w:val="20"/>
          <w:szCs w:val="20"/>
        </w:rPr>
        <w:t xml:space="preserve"> revealed distinct sexual dimorphism, with males consistently exhibiting larger and more robust body parameters than females (Table 1). The average snout–vent length (SVL) was 46.41 mm, with females achieving a mean SVL of 58.8 mm (ranging from 55.3 to 62.3 mm), while males averaged 41.46 mm (ranging from 32.4 to 50.5 mm). The axilla–groin distance (AG) was greater </w:t>
      </w:r>
      <w:r w:rsidRPr="00474C45">
        <w:rPr>
          <w:rFonts w:ascii="Arial" w:eastAsia="Aptos" w:hAnsi="Arial" w:cs="Arial"/>
          <w:kern w:val="2"/>
          <w:sz w:val="20"/>
          <w:szCs w:val="20"/>
        </w:rPr>
        <w:t xml:space="preserve">in males (9.40 mm; 8.3–10.5 mm) compared to females (6.70 mm; 5.2–7.6 mm), indicating a relatively longer trunk in males. </w:t>
      </w:r>
    </w:p>
    <w:p w14:paraId="1858A37B" w14:textId="77777777" w:rsidR="000632A6" w:rsidRPr="00474C45" w:rsidRDefault="000632A6" w:rsidP="000632A6">
      <w:pPr>
        <w:spacing w:after="0" w:line="240" w:lineRule="auto"/>
        <w:jc w:val="both"/>
        <w:rPr>
          <w:rFonts w:ascii="Arial" w:eastAsia="Aptos" w:hAnsi="Arial" w:cs="Arial"/>
          <w:kern w:val="2"/>
          <w:sz w:val="20"/>
          <w:szCs w:val="20"/>
        </w:rPr>
      </w:pPr>
    </w:p>
    <w:p w14:paraId="1B8462AE" w14:textId="7EB093B5" w:rsidR="000632A6" w:rsidRPr="00474C45" w:rsidRDefault="000632A6" w:rsidP="000632A6">
      <w:pPr>
        <w:spacing w:after="0" w:line="240" w:lineRule="auto"/>
        <w:jc w:val="both"/>
        <w:rPr>
          <w:rFonts w:ascii="Arial" w:eastAsia="Aptos" w:hAnsi="Arial" w:cs="Arial"/>
          <w:kern w:val="2"/>
          <w:sz w:val="20"/>
          <w:szCs w:val="20"/>
        </w:rPr>
      </w:pPr>
      <w:r w:rsidRPr="00474C45">
        <w:rPr>
          <w:rFonts w:ascii="Arial" w:eastAsia="Aptos" w:hAnsi="Arial" w:cs="Arial"/>
          <w:kern w:val="2"/>
          <w:sz w:val="20"/>
          <w:szCs w:val="20"/>
        </w:rPr>
        <w:t>Head measurements indicate significant differences between the sexes. The mean head length (HL) was 5.25 mm (ranging from 4.0 to 6.5 mm) in males and 3.10 mm (ranging from 1.5 to 5.3 mm) in females, while head width (HW) measured 3.85 mm (ranging from 2.3 to 5.4 mm) in males and 1.98 mm (ranging from 0.8 to 3.0 mm) in females. The average snout length (SL) was 4.35 mm (ranging from 4.1 to 4.6 mm) in males, surpassing that of females (2.66 mm; ranging from 2.1 to 3.6 mm). Additionally, head depth at the nostril (HDN) and at the angle of the jaw (HD) were also greater in males, measuring 3.95 mm (ranging from 2.3 to 5.6 mm) and 6.35 mm (ranging from 4.2 to 8.5 mm), respectively, compared to 1.56 mm (ranging from 0.6 to 3.1 mm) and 3.98 mm (ranging from 2.7 to 6.1 mm) in females</w:t>
      </w:r>
      <w:r w:rsidR="00561AF6" w:rsidRPr="00474C45">
        <w:rPr>
          <w:rFonts w:ascii="Arial" w:eastAsia="Aptos" w:hAnsi="Arial" w:cs="Arial"/>
          <w:kern w:val="2"/>
          <w:sz w:val="20"/>
          <w:szCs w:val="20"/>
        </w:rPr>
        <w:t>.</w:t>
      </w:r>
    </w:p>
    <w:p w14:paraId="752C23BD" w14:textId="77777777" w:rsidR="00561AF6" w:rsidRPr="00474C45" w:rsidRDefault="00561AF6" w:rsidP="000632A6">
      <w:pPr>
        <w:spacing w:after="0" w:line="240" w:lineRule="auto"/>
        <w:jc w:val="both"/>
        <w:rPr>
          <w:rFonts w:ascii="Arial" w:eastAsia="Aptos" w:hAnsi="Arial" w:cs="Arial"/>
          <w:kern w:val="2"/>
          <w:sz w:val="20"/>
          <w:szCs w:val="20"/>
        </w:rPr>
      </w:pPr>
    </w:p>
    <w:p w14:paraId="523E0BBF" w14:textId="304FC11F" w:rsidR="00561AF6" w:rsidRPr="00474C45" w:rsidRDefault="00561AF6" w:rsidP="000632A6">
      <w:pPr>
        <w:spacing w:after="0" w:line="240" w:lineRule="auto"/>
        <w:jc w:val="both"/>
        <w:rPr>
          <w:rFonts w:ascii="Arial" w:eastAsia="Aptos" w:hAnsi="Arial" w:cs="Arial"/>
          <w:kern w:val="2"/>
          <w:sz w:val="20"/>
          <w:szCs w:val="20"/>
          <w:lang w:val="en-IN"/>
        </w:rPr>
      </w:pPr>
      <w:r w:rsidRPr="00474C45">
        <w:rPr>
          <w:rFonts w:ascii="Arial" w:eastAsia="Aptos" w:hAnsi="Arial" w:cs="Arial"/>
          <w:kern w:val="2"/>
          <w:sz w:val="20"/>
          <w:szCs w:val="20"/>
        </w:rPr>
        <w:t>Cranial and facial distances further highlighted sexual dimorphism. The eye-to-nostril distance (EN) measured 5.50 mm (ranging from 3.2 to 7.8 mm) in males and 4.94 mm (ranging from 2.6 to 6.3 mm) in females, while the nostril-to-snout distance (NS) was 6.60 mm (ranging from 5.2 to 8.0 mm) in males and 3.74 mm (ranging from 2.5 to 4.7 mm) in females. The average eye diameter (ED) was 5.25 mm (ranging from 4.0 to 6.5 mm) in males and 2.88 mm (ranging from 1.6 to 3.8 mm) in females. The internarial space (INS) measured 5.45 mm (ranging from 5.3 to 5.6 mm) in males and 3.14 mm (ranging from 2.4 to 4.4 mm) in females, while the interorbital space (IOS) was 5.90 mm (ranging from 4.3 to 7.5 mm) in males and 2.60 mm (ranging from 1.7 to 3.2 mm) in females.</w:t>
      </w:r>
    </w:p>
    <w:p w14:paraId="4FE15562" w14:textId="77777777" w:rsidR="00561AF6" w:rsidRPr="00474C45" w:rsidRDefault="00561AF6" w:rsidP="000632A6">
      <w:pPr>
        <w:spacing w:after="0" w:line="240" w:lineRule="auto"/>
        <w:jc w:val="both"/>
        <w:rPr>
          <w:rFonts w:ascii="Arial" w:eastAsia="Aptos" w:hAnsi="Arial" w:cs="Arial"/>
          <w:kern w:val="2"/>
          <w:sz w:val="20"/>
          <w:szCs w:val="20"/>
        </w:rPr>
        <w:sectPr w:rsidR="00561AF6" w:rsidRPr="00474C45" w:rsidSect="000126CE">
          <w:type w:val="continuous"/>
          <w:pgSz w:w="11909" w:h="16834" w:code="9"/>
          <w:pgMar w:top="1440" w:right="1440" w:bottom="1440" w:left="1440" w:header="720" w:footer="864" w:gutter="0"/>
          <w:pgNumType w:start="4"/>
          <w:cols w:num="2" w:space="288"/>
          <w:docGrid w:linePitch="360"/>
        </w:sectPr>
      </w:pPr>
    </w:p>
    <w:p w14:paraId="40CA5B24" w14:textId="77777777" w:rsidR="000632A6" w:rsidRPr="00474C45" w:rsidRDefault="000632A6" w:rsidP="000632A6">
      <w:pPr>
        <w:spacing w:after="0" w:line="240" w:lineRule="auto"/>
        <w:jc w:val="both"/>
        <w:rPr>
          <w:rFonts w:ascii="Arial" w:eastAsia="Aptos" w:hAnsi="Arial" w:cs="Arial"/>
          <w:kern w:val="2"/>
          <w:sz w:val="14"/>
          <w:szCs w:val="14"/>
        </w:rPr>
      </w:pP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681"/>
      </w:tblGrid>
      <w:tr w:rsidR="000632A6" w:rsidRPr="00474C45" w14:paraId="32AB7009" w14:textId="77777777" w:rsidTr="000126CE">
        <w:trPr>
          <w:trHeight w:val="20"/>
          <w:jc w:val="center"/>
        </w:trPr>
        <w:tc>
          <w:tcPr>
            <w:tcW w:w="4379" w:type="dxa"/>
          </w:tcPr>
          <w:p w14:paraId="2E175B2E" w14:textId="77777777" w:rsidR="000632A6" w:rsidRPr="00474C45" w:rsidRDefault="000632A6" w:rsidP="000632A6">
            <w:pPr>
              <w:jc w:val="center"/>
              <w:rPr>
                <w:rFonts w:ascii="Arial" w:eastAsia="Times New Roman" w:hAnsi="Arial" w:cs="Arial"/>
                <w:color w:val="000000"/>
                <w:sz w:val="20"/>
                <w:szCs w:val="20"/>
                <w:lang w:eastAsia="en-IN"/>
              </w:rPr>
            </w:pPr>
            <w:r w:rsidRPr="00474C45">
              <w:rPr>
                <w:rFonts w:ascii="Arial" w:eastAsia="Times New Roman" w:hAnsi="Arial" w:cs="Arial"/>
                <w:noProof/>
                <w:color w:val="000000"/>
                <w:sz w:val="20"/>
                <w:szCs w:val="20"/>
              </w:rPr>
              <w:drawing>
                <wp:inline distT="0" distB="0" distL="0" distR="0" wp14:anchorId="6F20B3C2" wp14:editId="7D89A4A8">
                  <wp:extent cx="1522107" cy="1413023"/>
                  <wp:effectExtent l="0" t="0" r="0" b="0"/>
                  <wp:docPr id="1987121503" name="Picture 1" descr="A frog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86781" name="Picture 1" descr="A frog on the ground&#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520" t="22826" r="32531" b="17505"/>
                          <a:stretch/>
                        </pic:blipFill>
                        <pic:spPr bwMode="auto">
                          <a:xfrm>
                            <a:off x="0" y="0"/>
                            <a:ext cx="1536526" cy="14264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1" w:type="dxa"/>
          </w:tcPr>
          <w:p w14:paraId="5111CB27" w14:textId="77777777" w:rsidR="000632A6" w:rsidRPr="00474C45" w:rsidRDefault="000632A6" w:rsidP="000632A6">
            <w:pPr>
              <w:jc w:val="center"/>
              <w:rPr>
                <w:rFonts w:ascii="Arial" w:eastAsia="Times New Roman" w:hAnsi="Arial" w:cs="Arial"/>
                <w:color w:val="000000"/>
                <w:sz w:val="20"/>
                <w:szCs w:val="20"/>
                <w:lang w:eastAsia="en-IN"/>
              </w:rPr>
            </w:pPr>
            <w:r w:rsidRPr="00474C45">
              <w:rPr>
                <w:rFonts w:ascii="Arial" w:eastAsia="Times New Roman" w:hAnsi="Arial" w:cs="Arial"/>
                <w:noProof/>
                <w:color w:val="000000"/>
                <w:sz w:val="20"/>
                <w:szCs w:val="20"/>
              </w:rPr>
              <w:drawing>
                <wp:inline distT="0" distB="0" distL="0" distR="0" wp14:anchorId="2748987B" wp14:editId="4C97FB1F">
                  <wp:extent cx="1255902" cy="1507210"/>
                  <wp:effectExtent l="133350" t="0" r="97155" b="0"/>
                  <wp:docPr id="139753139" name="Picture 18" descr="A frog on a brick surface&#10;&#10;AI-generated content may be incorrect.">
                    <a:extLst xmlns:a="http://schemas.openxmlformats.org/drawingml/2006/main">
                      <a:ext uri="{FF2B5EF4-FFF2-40B4-BE49-F238E27FC236}">
                        <a16:creationId xmlns:a16="http://schemas.microsoft.com/office/drawing/2014/main" id="{61CAED08-4A5B-96D1-3267-F9D91D9C07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frog on a brick surface&#10;&#10;AI-generated content may be incorrect.">
                            <a:extLst>
                              <a:ext uri="{FF2B5EF4-FFF2-40B4-BE49-F238E27FC236}">
                                <a16:creationId xmlns:a16="http://schemas.microsoft.com/office/drawing/2014/main" id="{61CAED08-4A5B-96D1-3267-F9D91D9C07FE}"/>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4607" t="7357" r="8274" b="-750"/>
                          <a:stretch>
                            <a:fillRect/>
                          </a:stretch>
                        </pic:blipFill>
                        <pic:spPr bwMode="auto">
                          <a:xfrm rot="5400000">
                            <a:off x="0" y="0"/>
                            <a:ext cx="1269604" cy="1523653"/>
                          </a:xfrm>
                          <a:prstGeom prst="rect">
                            <a:avLst/>
                          </a:prstGeom>
                          <a:ln>
                            <a:noFill/>
                          </a:ln>
                          <a:extLst>
                            <a:ext uri="{53640926-AAD7-44D8-BBD7-CCE9431645EC}">
                              <a14:shadowObscured xmlns:a14="http://schemas.microsoft.com/office/drawing/2010/main"/>
                            </a:ext>
                          </a:extLst>
                        </pic:spPr>
                      </pic:pic>
                    </a:graphicData>
                  </a:graphic>
                </wp:inline>
              </w:drawing>
            </w:r>
          </w:p>
        </w:tc>
      </w:tr>
      <w:tr w:rsidR="000632A6" w:rsidRPr="00474C45" w14:paraId="5595EE01" w14:textId="77777777" w:rsidTr="000126CE">
        <w:trPr>
          <w:trHeight w:val="20"/>
          <w:jc w:val="center"/>
        </w:trPr>
        <w:tc>
          <w:tcPr>
            <w:tcW w:w="4379" w:type="dxa"/>
          </w:tcPr>
          <w:p w14:paraId="75F5CD14" w14:textId="77777777" w:rsidR="000632A6" w:rsidRPr="00474C45" w:rsidRDefault="000632A6" w:rsidP="000632A6">
            <w:pPr>
              <w:numPr>
                <w:ilvl w:val="0"/>
                <w:numId w:val="2"/>
              </w:numPr>
              <w:jc w:val="center"/>
              <w:rPr>
                <w:rFonts w:ascii="Arial" w:eastAsia="Times New Roman" w:hAnsi="Arial" w:cs="Arial"/>
                <w:b/>
                <w:bCs/>
                <w:noProof/>
                <w:color w:val="000000"/>
                <w:sz w:val="20"/>
                <w:szCs w:val="20"/>
                <w:lang w:eastAsia="en-IN"/>
              </w:rPr>
            </w:pPr>
            <w:r w:rsidRPr="00474C45">
              <w:rPr>
                <w:rFonts w:ascii="Arial" w:eastAsia="Times New Roman" w:hAnsi="Arial" w:cs="Arial"/>
                <w:b/>
                <w:bCs/>
                <w:noProof/>
                <w:color w:val="000000"/>
                <w:sz w:val="20"/>
                <w:szCs w:val="20"/>
                <w:lang w:eastAsia="en-IN"/>
              </w:rPr>
              <w:t>Male</w:t>
            </w:r>
          </w:p>
        </w:tc>
        <w:tc>
          <w:tcPr>
            <w:tcW w:w="4681" w:type="dxa"/>
          </w:tcPr>
          <w:p w14:paraId="71C960DD" w14:textId="77777777" w:rsidR="000632A6" w:rsidRPr="00474C45" w:rsidRDefault="000632A6" w:rsidP="000632A6">
            <w:pPr>
              <w:numPr>
                <w:ilvl w:val="0"/>
                <w:numId w:val="2"/>
              </w:numPr>
              <w:jc w:val="center"/>
              <w:rPr>
                <w:rFonts w:ascii="Arial" w:eastAsia="Times New Roman" w:hAnsi="Arial" w:cs="Arial"/>
                <w:b/>
                <w:bCs/>
                <w:noProof/>
                <w:color w:val="000000"/>
                <w:sz w:val="20"/>
                <w:szCs w:val="20"/>
                <w:lang w:eastAsia="en-IN"/>
              </w:rPr>
            </w:pPr>
            <w:r w:rsidRPr="00474C45">
              <w:rPr>
                <w:rFonts w:ascii="Arial" w:eastAsia="Times New Roman" w:hAnsi="Arial" w:cs="Arial"/>
                <w:b/>
                <w:bCs/>
                <w:noProof/>
                <w:color w:val="000000"/>
                <w:sz w:val="20"/>
                <w:szCs w:val="20"/>
                <w:lang w:eastAsia="en-IN"/>
              </w:rPr>
              <w:t>Female</w:t>
            </w:r>
          </w:p>
        </w:tc>
      </w:tr>
    </w:tbl>
    <w:p w14:paraId="66A55979" w14:textId="77777777" w:rsidR="000632A6" w:rsidRPr="00474C45" w:rsidRDefault="000632A6" w:rsidP="000632A6">
      <w:pPr>
        <w:spacing w:after="0" w:line="240" w:lineRule="auto"/>
        <w:jc w:val="both"/>
        <w:rPr>
          <w:rFonts w:ascii="Arial" w:eastAsia="Aptos" w:hAnsi="Arial" w:cs="Arial"/>
          <w:kern w:val="2"/>
          <w:sz w:val="14"/>
          <w:szCs w:val="14"/>
        </w:rPr>
      </w:pPr>
    </w:p>
    <w:p w14:paraId="3E53923B" w14:textId="271DAD56" w:rsidR="000632A6" w:rsidRPr="00474C45" w:rsidRDefault="000632A6" w:rsidP="000632A6">
      <w:pPr>
        <w:spacing w:after="0" w:line="240" w:lineRule="auto"/>
        <w:jc w:val="center"/>
        <w:rPr>
          <w:rFonts w:ascii="Arial" w:eastAsia="Aptos" w:hAnsi="Arial" w:cs="Arial"/>
          <w:kern w:val="2"/>
          <w:sz w:val="20"/>
          <w:szCs w:val="20"/>
        </w:rPr>
      </w:pPr>
      <w:r w:rsidRPr="00474C45">
        <w:rPr>
          <w:rFonts w:ascii="Arial" w:eastAsia="Aptos" w:hAnsi="Arial" w:cs="Arial"/>
          <w:b/>
          <w:bCs/>
          <w:kern w:val="2"/>
          <w:sz w:val="20"/>
          <w:szCs w:val="20"/>
        </w:rPr>
        <w:t>Fig</w:t>
      </w:r>
      <w:r w:rsidRPr="00474C45">
        <w:rPr>
          <w:rFonts w:ascii="Arial" w:hAnsi="Arial" w:cs="Arial"/>
          <w:b/>
          <w:bCs/>
          <w:sz w:val="20"/>
          <w:szCs w:val="20"/>
        </w:rPr>
        <w:t xml:space="preserve">. </w:t>
      </w:r>
      <w:r w:rsidRPr="00474C45">
        <w:rPr>
          <w:rFonts w:ascii="Arial" w:eastAsia="Aptos" w:hAnsi="Arial" w:cs="Arial"/>
          <w:b/>
          <w:bCs/>
          <w:kern w:val="2"/>
          <w:sz w:val="20"/>
          <w:szCs w:val="20"/>
        </w:rPr>
        <w:t>2</w:t>
      </w:r>
      <w:r w:rsidRPr="00474C45">
        <w:rPr>
          <w:rFonts w:ascii="Arial" w:hAnsi="Arial" w:cs="Arial"/>
          <w:b/>
          <w:bCs/>
          <w:sz w:val="20"/>
          <w:szCs w:val="20"/>
        </w:rPr>
        <w:t xml:space="preserve">. </w:t>
      </w:r>
      <w:r w:rsidRPr="00474C45">
        <w:rPr>
          <w:rFonts w:ascii="Arial" w:eastAsia="Aptos" w:hAnsi="Arial" w:cs="Arial"/>
          <w:b/>
          <w:bCs/>
          <w:i/>
          <w:iCs/>
          <w:kern w:val="2"/>
          <w:sz w:val="20"/>
          <w:szCs w:val="20"/>
        </w:rPr>
        <w:t xml:space="preserve">Humerana humeralis </w:t>
      </w:r>
      <w:r w:rsidRPr="00474C45">
        <w:rPr>
          <w:rFonts w:ascii="Arial" w:eastAsia="Aptos" w:hAnsi="Arial" w:cs="Arial"/>
          <w:b/>
          <w:bCs/>
          <w:kern w:val="2"/>
          <w:sz w:val="20"/>
          <w:szCs w:val="20"/>
        </w:rPr>
        <w:t>reported first time from Nongkhyllem Wildlife Sanctuary and Reserved Forest of Meghalaya, India</w:t>
      </w:r>
    </w:p>
    <w:p w14:paraId="118B979E" w14:textId="77777777" w:rsidR="00561AF6" w:rsidRPr="00474C45" w:rsidRDefault="00561AF6" w:rsidP="000632A6">
      <w:pPr>
        <w:spacing w:after="0" w:line="240" w:lineRule="auto"/>
        <w:jc w:val="both"/>
        <w:rPr>
          <w:rFonts w:ascii="Arial" w:eastAsia="Aptos" w:hAnsi="Arial" w:cs="Arial"/>
          <w:kern w:val="2"/>
          <w:sz w:val="20"/>
          <w:szCs w:val="20"/>
        </w:rPr>
        <w:sectPr w:rsidR="00561AF6" w:rsidRPr="00474C45" w:rsidSect="00561AF6">
          <w:type w:val="continuous"/>
          <w:pgSz w:w="11909" w:h="16834" w:code="9"/>
          <w:pgMar w:top="1440" w:right="1440" w:bottom="1440" w:left="1440" w:header="720" w:footer="864" w:gutter="0"/>
          <w:pgNumType w:start="1"/>
          <w:cols w:space="720"/>
          <w:docGrid w:linePitch="360"/>
        </w:sectPr>
      </w:pPr>
    </w:p>
    <w:p w14:paraId="73275456" w14:textId="6E6B4F6A" w:rsidR="000632A6" w:rsidRPr="00474C45" w:rsidRDefault="000632A6" w:rsidP="000632A6">
      <w:pPr>
        <w:spacing w:after="0" w:line="240" w:lineRule="auto"/>
        <w:jc w:val="both"/>
        <w:rPr>
          <w:rFonts w:ascii="Arial" w:eastAsia="Aptos" w:hAnsi="Arial" w:cs="Arial"/>
          <w:kern w:val="2"/>
          <w:sz w:val="20"/>
          <w:szCs w:val="20"/>
        </w:rPr>
      </w:pPr>
      <w:r w:rsidRPr="00474C45">
        <w:rPr>
          <w:rFonts w:ascii="Arial" w:eastAsia="Aptos" w:hAnsi="Arial" w:cs="Arial"/>
          <w:kern w:val="2"/>
          <w:sz w:val="20"/>
          <w:szCs w:val="20"/>
        </w:rPr>
        <w:t xml:space="preserve">The distances between the anterior and posterior corners of the eyes were greater in males, with the inter-anterior eye (IAE) measured 5.75 mm </w:t>
      </w:r>
      <w:r w:rsidRPr="00474C45">
        <w:rPr>
          <w:rFonts w:ascii="Arial" w:eastAsia="Aptos" w:hAnsi="Arial" w:cs="Arial"/>
          <w:kern w:val="2"/>
          <w:sz w:val="20"/>
          <w:szCs w:val="20"/>
        </w:rPr>
        <w:t xml:space="preserve">(ranging from 5.0 to 6.5 mm) and the inter-posterior eye (IPE) measured 7.45 mm (ranging from 6.3 to 8.6 mm), in contrast to 4.30 mm </w:t>
      </w:r>
      <w:r w:rsidRPr="00474C45">
        <w:rPr>
          <w:rFonts w:ascii="Arial" w:eastAsia="Aptos" w:hAnsi="Arial" w:cs="Arial"/>
          <w:kern w:val="2"/>
          <w:sz w:val="20"/>
          <w:szCs w:val="20"/>
        </w:rPr>
        <w:lastRenderedPageBreak/>
        <w:t xml:space="preserve">(ranging from 3.6 to 4.8 mm) and 3.96 mm (ranging from 2.8 to 5.2 mm) in females. The width of the upper eyelid (UE) was also larger in males at 7.30 mm (ranging from 6.3 to 8.3 mm) compared to females at 5.72 mm (ranging from 4.2 to 7.5 mm). Measurements related to the mandible, including the distance from the mandible to the nostril (MN), the mandible to the front of the eye (MAE), and the mandible to the back of the eye (MPE), were consistently larger in males, measuring 8.90 mm, 11.75 mm, and 10.40 mm respectively, compared to females at 6.72 mm, 8.14 mm, and 6.62 mm </w:t>
      </w:r>
      <w:r w:rsidR="00561AF6" w:rsidRPr="00474C45">
        <w:rPr>
          <w:rFonts w:ascii="Arial" w:eastAsia="Aptos" w:hAnsi="Arial" w:cs="Arial"/>
          <w:kern w:val="2"/>
          <w:sz w:val="20"/>
          <w:szCs w:val="20"/>
        </w:rPr>
        <w:t xml:space="preserve">              </w:t>
      </w:r>
      <w:r w:rsidRPr="00474C45">
        <w:rPr>
          <w:rFonts w:ascii="Arial" w:eastAsia="Aptos" w:hAnsi="Arial" w:cs="Arial"/>
          <w:kern w:val="2"/>
          <w:sz w:val="20"/>
          <w:szCs w:val="20"/>
        </w:rPr>
        <w:t xml:space="preserve">respectively. </w:t>
      </w:r>
    </w:p>
    <w:p w14:paraId="46DB6A24" w14:textId="77777777" w:rsidR="000632A6" w:rsidRPr="00474C45" w:rsidRDefault="000632A6" w:rsidP="000632A6">
      <w:pPr>
        <w:spacing w:after="0" w:line="240" w:lineRule="auto"/>
        <w:jc w:val="both"/>
        <w:rPr>
          <w:rFonts w:ascii="Arial" w:eastAsia="Aptos" w:hAnsi="Arial" w:cs="Arial"/>
          <w:kern w:val="2"/>
          <w:sz w:val="20"/>
          <w:szCs w:val="20"/>
        </w:rPr>
      </w:pPr>
    </w:p>
    <w:p w14:paraId="6A83CD81" w14:textId="1428D9B7" w:rsidR="000632A6" w:rsidRPr="00474C45" w:rsidRDefault="000632A6" w:rsidP="000632A6">
      <w:pPr>
        <w:spacing w:after="0" w:line="240" w:lineRule="auto"/>
        <w:jc w:val="both"/>
        <w:rPr>
          <w:rFonts w:ascii="Arial" w:eastAsia="Aptos" w:hAnsi="Arial" w:cs="Arial"/>
          <w:kern w:val="2"/>
          <w:sz w:val="20"/>
          <w:szCs w:val="20"/>
        </w:rPr>
      </w:pPr>
      <w:r w:rsidRPr="00474C45">
        <w:rPr>
          <w:rFonts w:ascii="Arial" w:eastAsia="Aptos" w:hAnsi="Arial" w:cs="Arial"/>
          <w:kern w:val="2"/>
          <w:sz w:val="20"/>
          <w:szCs w:val="20"/>
        </w:rPr>
        <w:t xml:space="preserve">Tympanic and ocular structures were found to be developed in males. The distance from the eye to the tympanum (TE) was 9.40 mm (ranging from 8.3 to 10.5 mm) in males and 5.48 mm (ranging from 3.2 to 7.5 mm) in females. The horizontal diameter of the tympanum (HTYD) measured 6.65 mm (ranging from 6.2 to 7.1 mm) in males and 4.08 mm (ranging from 2.5 to 5.3 mm) in females, while the vertical diameter of the tympanum (VTYD) was 6.40 mm </w:t>
      </w:r>
      <w:r w:rsidR="00561AF6" w:rsidRPr="00474C45">
        <w:rPr>
          <w:rFonts w:ascii="Arial" w:eastAsia="Aptos" w:hAnsi="Arial" w:cs="Arial"/>
          <w:kern w:val="2"/>
          <w:sz w:val="20"/>
          <w:szCs w:val="20"/>
        </w:rPr>
        <w:t xml:space="preserve">                      </w:t>
      </w:r>
      <w:r w:rsidRPr="00474C45">
        <w:rPr>
          <w:rFonts w:ascii="Arial" w:eastAsia="Aptos" w:hAnsi="Arial" w:cs="Arial"/>
          <w:kern w:val="2"/>
          <w:sz w:val="20"/>
          <w:szCs w:val="20"/>
        </w:rPr>
        <w:t xml:space="preserve">(ranging from 5.3 to 7.5 mm) in males </w:t>
      </w:r>
      <w:r w:rsidR="00561AF6" w:rsidRPr="00474C45">
        <w:rPr>
          <w:rFonts w:ascii="Arial" w:eastAsia="Aptos" w:hAnsi="Arial" w:cs="Arial"/>
          <w:kern w:val="2"/>
          <w:sz w:val="20"/>
          <w:szCs w:val="20"/>
        </w:rPr>
        <w:t xml:space="preserve">                 </w:t>
      </w:r>
      <w:r w:rsidRPr="00474C45">
        <w:rPr>
          <w:rFonts w:ascii="Arial" w:eastAsia="Aptos" w:hAnsi="Arial" w:cs="Arial"/>
          <w:kern w:val="2"/>
          <w:sz w:val="20"/>
          <w:szCs w:val="20"/>
        </w:rPr>
        <w:t>and 3.82 mm (ranging from 2.7 to 5.0 mm) in females.</w:t>
      </w:r>
    </w:p>
    <w:p w14:paraId="6FDDF958" w14:textId="77777777" w:rsidR="00561AF6" w:rsidRPr="00474C45" w:rsidRDefault="00561AF6" w:rsidP="000632A6">
      <w:pPr>
        <w:spacing w:after="0" w:line="240" w:lineRule="auto"/>
        <w:jc w:val="both"/>
        <w:rPr>
          <w:rFonts w:ascii="Arial" w:eastAsia="Aptos" w:hAnsi="Arial" w:cs="Arial"/>
          <w:kern w:val="2"/>
          <w:sz w:val="20"/>
          <w:szCs w:val="20"/>
        </w:rPr>
      </w:pPr>
    </w:p>
    <w:p w14:paraId="06DCE76C" w14:textId="77777777" w:rsidR="00561AF6" w:rsidRPr="00474C45" w:rsidRDefault="00561AF6" w:rsidP="00561AF6">
      <w:pPr>
        <w:spacing w:after="0" w:line="240" w:lineRule="auto"/>
        <w:jc w:val="both"/>
        <w:rPr>
          <w:rFonts w:ascii="Arial" w:eastAsia="Aptos" w:hAnsi="Arial" w:cs="Arial"/>
          <w:kern w:val="2"/>
          <w:sz w:val="20"/>
          <w:szCs w:val="20"/>
        </w:rPr>
      </w:pPr>
      <w:r w:rsidRPr="0044054C">
        <w:rPr>
          <w:rFonts w:ascii="Arial" w:eastAsia="Aptos" w:hAnsi="Arial" w:cs="Arial"/>
          <w:kern w:val="2"/>
          <w:sz w:val="20"/>
          <w:szCs w:val="20"/>
          <w:highlight w:val="yellow"/>
        </w:rPr>
        <w:t xml:space="preserve">Appendicular </w:t>
      </w:r>
      <w:r w:rsidRPr="0044054C">
        <w:rPr>
          <w:rFonts w:ascii="Arial" w:eastAsia="Aptos" w:hAnsi="Arial" w:cs="Arial"/>
          <w:color w:val="000000"/>
          <w:kern w:val="2"/>
          <w:sz w:val="20"/>
          <w:szCs w:val="20"/>
          <w:highlight w:val="yellow"/>
        </w:rPr>
        <w:t xml:space="preserve">measurements showed that </w:t>
      </w:r>
      <w:r w:rsidRPr="0044054C">
        <w:rPr>
          <w:rFonts w:ascii="Arial" w:eastAsia="Aptos" w:hAnsi="Arial" w:cs="Arial"/>
          <w:kern w:val="2"/>
          <w:sz w:val="20"/>
          <w:szCs w:val="20"/>
          <w:highlight w:val="yellow"/>
        </w:rPr>
        <w:t>males possess longer and more robust limbs. The average forelimb length (FL) was 8.40 mm (ranging from 7.3 to 9.5 mm) in males and 5.88 mm (ranging from 4.5 to 6.5 mm) in females, while hand length (HAND) measured 7.70 mm (ranging from 6.8 to 8.6 mm) in males and 4.64 mm (ranging from 3.1 to 5.3 mm) in females.</w:t>
      </w:r>
      <w:r w:rsidRPr="00474C45">
        <w:rPr>
          <w:rFonts w:ascii="Arial" w:eastAsia="Aptos" w:hAnsi="Arial" w:cs="Arial"/>
          <w:kern w:val="2"/>
          <w:sz w:val="20"/>
          <w:szCs w:val="20"/>
        </w:rPr>
        <w:t xml:space="preserve"> Individual finger lengths were consistently larger in males: the first finger (F1) measured 9.40 mm (ranging from 8.6 to 10.2 mm) compared to 6.74 mm (ranging from 5.2 to 7.4 mm) in females; the second finger (F2) measured 7.25 mm (ranging from 6.5 to 8.0 mm) versus 3.90 mm (ranging from 1.2 to 5.6 mm); the third finger (F3) measured 9.05 mm (ranging from 8.6 to 9.5 mm) compared to 5.54 mm (ranging from 3.2 to 7.4 mm); and the fourth finger (F4) measured 7.75 mm (ranging from 7.5 to 8.0 mm) versus 5.64 mm (ranging from 4.3 to 6.3 mm). The inner metacarpal tubercle (IMC) measured 3.95 mm (ranging from 3.8 to 4.1 mm) in males and 2.70 mm (ranging from 1.5 to 3.8 mm) in females, while the outer metacarpal tubercle (OMC) measured 10.25 mm (ranging from 9.1 to 11.3 mm) in males and 6.16 mm (ranging from 3.2 to 10.5 mm) in females.</w:t>
      </w:r>
    </w:p>
    <w:p w14:paraId="1A0A44A2" w14:textId="77777777" w:rsidR="00561AF6" w:rsidRPr="00474C45" w:rsidRDefault="00561AF6" w:rsidP="00561AF6">
      <w:pPr>
        <w:spacing w:after="0" w:line="240" w:lineRule="auto"/>
        <w:jc w:val="both"/>
        <w:rPr>
          <w:rFonts w:ascii="Arial" w:eastAsia="Aptos" w:hAnsi="Arial" w:cs="Arial"/>
          <w:kern w:val="2"/>
          <w:sz w:val="20"/>
          <w:szCs w:val="20"/>
        </w:rPr>
      </w:pPr>
    </w:p>
    <w:p w14:paraId="3CB1E518" w14:textId="37C2F56B" w:rsidR="00561AF6" w:rsidRPr="00474C45" w:rsidRDefault="00561AF6" w:rsidP="00561AF6">
      <w:pPr>
        <w:spacing w:after="0" w:line="240" w:lineRule="auto"/>
        <w:jc w:val="both"/>
        <w:rPr>
          <w:rFonts w:ascii="Arial" w:eastAsia="Aptos" w:hAnsi="Arial" w:cs="Arial"/>
          <w:strike/>
          <w:color w:val="D86DCB"/>
          <w:kern w:val="2"/>
          <w:sz w:val="20"/>
          <w:szCs w:val="20"/>
          <w:lang w:val="en-IN"/>
        </w:rPr>
      </w:pPr>
      <w:r w:rsidRPr="00474C45">
        <w:rPr>
          <w:rFonts w:ascii="Arial" w:eastAsia="Aptos" w:hAnsi="Arial" w:cs="Arial"/>
          <w:kern w:val="2"/>
          <w:sz w:val="20"/>
          <w:szCs w:val="20"/>
        </w:rPr>
        <w:t xml:space="preserve">In males, the hind limb length (HLL) was recorded at 9.40 mm (ranging from 8.5 to 10.3 </w:t>
      </w:r>
      <w:r w:rsidRPr="00474C45">
        <w:rPr>
          <w:rFonts w:ascii="Arial" w:eastAsia="Aptos" w:hAnsi="Arial" w:cs="Arial"/>
          <w:kern w:val="2"/>
          <w:sz w:val="20"/>
          <w:szCs w:val="20"/>
        </w:rPr>
        <w:t>mm), while in females it measured 6.96 mm (with a range of 5.1 to 9.2 mm). The average tibia length (TBL) for males was 8.60 mm (7.4–9.8 mm), in contrast to 6.22 mm (4.8–8.5 mm) in females. Additionally, tibia width (TBW) was noted at 3.45 mm (3.1–3.8 mm) for males and 1.46 mm (0.6–</w:t>
      </w:r>
      <w:r w:rsidRPr="00474C45">
        <w:rPr>
          <w:rFonts w:ascii="Arial" w:eastAsia="Aptos" w:hAnsi="Arial" w:cs="Arial"/>
          <w:color w:val="000000"/>
          <w:kern w:val="2"/>
          <w:sz w:val="20"/>
          <w:szCs w:val="20"/>
        </w:rPr>
        <w:t xml:space="preserve">2.3 mm) for females. Males also exhibited more pronounced supranumerary tubercles on their hands and feet, averaging 116.40 mm (111.3–121.5 mm), compared to 94.32 mm (78.6–108.2 mm) in                           females. The lengths of the first to fifth toes in males were 7.05 mm (T1), 7.55 mm (T2), 7.45 mm (T3), 5.95 mm (T4), and 6.65 mm (T5), whereas in females, these measurements were 5.20 mm, 4.66 mm, 4.00 mm, 3.22 mm, and 5.16 mm, respectively. The maximum                          width of the disc on the fourth toe (T4D) was 5.80 mm (5.1–6.5 mm) in males, while in females it was 3.14 mm (1.6–4.7 mm). The inner metatarsal tubercle (IMT) measured 2.95 mm (2.7–3.2 mm) in males and 1.50 mm (0.8–2.1 mm) in females. </w:t>
      </w:r>
    </w:p>
    <w:p w14:paraId="0FAE945A" w14:textId="77777777" w:rsidR="00561AF6" w:rsidRPr="00474C45" w:rsidRDefault="00561AF6" w:rsidP="00561AF6">
      <w:pPr>
        <w:spacing w:after="0" w:line="240" w:lineRule="auto"/>
        <w:jc w:val="both"/>
        <w:rPr>
          <w:rFonts w:ascii="Arial" w:eastAsia="Aptos" w:hAnsi="Arial" w:cs="Arial"/>
          <w:b/>
          <w:bCs/>
          <w:i/>
          <w:iCs/>
          <w:kern w:val="2"/>
          <w:sz w:val="20"/>
          <w:szCs w:val="20"/>
        </w:rPr>
      </w:pPr>
    </w:p>
    <w:p w14:paraId="377DF0E0" w14:textId="77777777" w:rsidR="00561AF6" w:rsidRPr="00474C45" w:rsidRDefault="00561AF6" w:rsidP="00561AF6">
      <w:pPr>
        <w:pStyle w:val="Heading2"/>
        <w:rPr>
          <w:rFonts w:eastAsia="Aptos"/>
        </w:rPr>
      </w:pPr>
      <w:r w:rsidRPr="00474C45">
        <w:rPr>
          <w:rFonts w:eastAsia="Aptos"/>
        </w:rPr>
        <w:t>4.3 Habitat Use Pattern</w:t>
      </w:r>
    </w:p>
    <w:p w14:paraId="758E9358" w14:textId="77777777" w:rsidR="00561AF6" w:rsidRPr="00474C45" w:rsidRDefault="00561AF6" w:rsidP="00561AF6">
      <w:pPr>
        <w:spacing w:after="0" w:line="240" w:lineRule="auto"/>
        <w:jc w:val="both"/>
        <w:rPr>
          <w:rFonts w:ascii="Arial" w:eastAsia="Aptos" w:hAnsi="Arial" w:cs="Arial"/>
          <w:b/>
          <w:bCs/>
          <w:i/>
          <w:iCs/>
          <w:kern w:val="2"/>
          <w:sz w:val="20"/>
          <w:szCs w:val="20"/>
        </w:rPr>
      </w:pPr>
    </w:p>
    <w:p w14:paraId="79B78C3A" w14:textId="3551674E" w:rsidR="00561AF6" w:rsidRPr="00474C45" w:rsidRDefault="00561AF6" w:rsidP="00561AF6">
      <w:pPr>
        <w:spacing w:after="0" w:line="240" w:lineRule="auto"/>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Out of the total seven sightings,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was observed utilizing the Evergreen forest (EVG) at a rate of 57.1%, followed by the Semi-evergreen forest (SEVG) at 42.9%. However, no individual was recorded in Deciduous Forest (DF), Wetlands/Water Bodies (WB), or Agricultural land (AG). Further, their habitat selectivity pattern also demonstrated a positive selection value of 36.38%, indicating an active preference for semi-evergreen forest (Fig. 3). In contrast, all other habitats exhibited negative selectivity values, implying a tendency to avoid them. Deciduous forest (DF) recorded                      the most pronounced negative selectivity at –31.63, highlighting a clear avoidance of disturbed habitats. Evergreen forest (EVG) at –1.29, grasslands (GL) at –0.99, water bodies (WB) at –1.01, and agricultural land (AG) at –0.43. Overall, the finding indicates that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is a habitat specialist with a strong preference for semi-evergreen forests and a limited                               tolerance for degraded or non-forest                  habitats.</w:t>
      </w:r>
    </w:p>
    <w:p w14:paraId="33443655" w14:textId="77777777" w:rsidR="00561AF6" w:rsidRPr="00474C45" w:rsidRDefault="00561AF6" w:rsidP="000632A6">
      <w:pPr>
        <w:spacing w:after="0" w:line="240" w:lineRule="auto"/>
        <w:jc w:val="both"/>
        <w:rPr>
          <w:rFonts w:ascii="Arial" w:eastAsia="Aptos" w:hAnsi="Arial" w:cs="Arial"/>
          <w:kern w:val="2"/>
          <w:sz w:val="20"/>
          <w:szCs w:val="20"/>
        </w:rPr>
        <w:sectPr w:rsidR="00561AF6" w:rsidRPr="00474C45" w:rsidSect="000126CE">
          <w:type w:val="continuous"/>
          <w:pgSz w:w="11909" w:h="16834" w:code="9"/>
          <w:pgMar w:top="1440" w:right="1440" w:bottom="1440" w:left="1440" w:header="720" w:footer="864" w:gutter="0"/>
          <w:pgNumType w:start="5"/>
          <w:cols w:num="2" w:space="288"/>
          <w:docGrid w:linePitch="360"/>
        </w:sectPr>
      </w:pPr>
    </w:p>
    <w:p w14:paraId="093D3A42" w14:textId="50D6E25D" w:rsidR="000632A6" w:rsidRPr="00474C45" w:rsidRDefault="000632A6" w:rsidP="000632A6">
      <w:pPr>
        <w:spacing w:after="0" w:line="240" w:lineRule="auto"/>
        <w:jc w:val="center"/>
        <w:rPr>
          <w:rFonts w:ascii="Arial" w:eastAsia="Aptos" w:hAnsi="Arial" w:cs="Arial"/>
          <w:b/>
          <w:bCs/>
          <w:kern w:val="2"/>
          <w:sz w:val="20"/>
          <w:szCs w:val="20"/>
        </w:rPr>
      </w:pPr>
      <w:r w:rsidRPr="00474C45">
        <w:rPr>
          <w:rFonts w:ascii="Arial" w:eastAsia="Aptos" w:hAnsi="Arial" w:cs="Arial"/>
          <w:b/>
          <w:bCs/>
          <w:kern w:val="2"/>
          <w:sz w:val="20"/>
          <w:szCs w:val="20"/>
        </w:rPr>
        <w:lastRenderedPageBreak/>
        <w:t xml:space="preserve">Table 1. Morphometric measurements for </w:t>
      </w:r>
      <w:r w:rsidRPr="00474C45">
        <w:rPr>
          <w:rFonts w:ascii="Arial" w:eastAsia="Aptos" w:hAnsi="Arial" w:cs="Arial"/>
          <w:b/>
          <w:bCs/>
          <w:i/>
          <w:iCs/>
          <w:kern w:val="2"/>
          <w:sz w:val="20"/>
          <w:szCs w:val="20"/>
        </w:rPr>
        <w:t xml:space="preserve">Humerana humeralis </w:t>
      </w:r>
      <w:r w:rsidRPr="00474C45">
        <w:rPr>
          <w:rFonts w:ascii="Arial" w:eastAsia="Aptos" w:hAnsi="Arial" w:cs="Arial"/>
          <w:b/>
          <w:bCs/>
          <w:kern w:val="2"/>
          <w:sz w:val="20"/>
          <w:szCs w:val="20"/>
        </w:rPr>
        <w:t>found in Nongkhyllem Wildlife Sanctuary and Reserved Forest of Meghalaya, India</w:t>
      </w:r>
    </w:p>
    <w:p w14:paraId="28BA6923" w14:textId="77777777" w:rsidR="000632A6" w:rsidRPr="00474C45" w:rsidRDefault="000632A6" w:rsidP="000632A6">
      <w:pPr>
        <w:spacing w:after="0" w:line="240" w:lineRule="auto"/>
        <w:jc w:val="both"/>
        <w:rPr>
          <w:rFonts w:ascii="Arial" w:eastAsia="Aptos" w:hAnsi="Arial" w:cs="Arial"/>
          <w:kern w:val="2"/>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1890"/>
        <w:gridCol w:w="1800"/>
        <w:gridCol w:w="3150"/>
        <w:gridCol w:w="3480"/>
      </w:tblGrid>
      <w:tr w:rsidR="000632A6" w:rsidRPr="00474C45" w14:paraId="1A1100C4" w14:textId="77777777" w:rsidTr="00DB0903">
        <w:trPr>
          <w:trHeight w:val="20"/>
          <w:jc w:val="center"/>
        </w:trPr>
        <w:tc>
          <w:tcPr>
            <w:tcW w:w="3567" w:type="dxa"/>
            <w:vMerge w:val="restart"/>
            <w:tcBorders>
              <w:top w:val="single" w:sz="4" w:space="0" w:color="auto"/>
              <w:bottom w:val="single" w:sz="4" w:space="0" w:color="auto"/>
            </w:tcBorders>
          </w:tcPr>
          <w:p w14:paraId="0CF0B18C" w14:textId="77777777" w:rsidR="000632A6" w:rsidRPr="00474C45" w:rsidRDefault="000632A6" w:rsidP="000632A6">
            <w:pPr>
              <w:rPr>
                <w:rFonts w:ascii="Arial" w:hAnsi="Arial" w:cs="Arial"/>
                <w:b/>
                <w:bCs/>
                <w:sz w:val="20"/>
                <w:szCs w:val="20"/>
              </w:rPr>
            </w:pPr>
            <w:r w:rsidRPr="00474C45">
              <w:rPr>
                <w:rFonts w:ascii="Arial" w:hAnsi="Arial" w:cs="Arial"/>
                <w:b/>
                <w:bCs/>
                <w:color w:val="000000"/>
                <w:sz w:val="20"/>
                <w:szCs w:val="20"/>
              </w:rPr>
              <w:t>Parameter</w:t>
            </w:r>
          </w:p>
        </w:tc>
        <w:tc>
          <w:tcPr>
            <w:tcW w:w="3690" w:type="dxa"/>
            <w:gridSpan w:val="2"/>
            <w:tcBorders>
              <w:top w:val="single" w:sz="4" w:space="0" w:color="auto"/>
              <w:bottom w:val="single" w:sz="4" w:space="0" w:color="auto"/>
            </w:tcBorders>
          </w:tcPr>
          <w:p w14:paraId="08D80AD9" w14:textId="77777777" w:rsidR="000632A6" w:rsidRPr="00474C45" w:rsidRDefault="000632A6" w:rsidP="00DB0903">
            <w:pPr>
              <w:jc w:val="center"/>
              <w:rPr>
                <w:rFonts w:ascii="Arial" w:hAnsi="Arial" w:cs="Arial"/>
                <w:b/>
                <w:bCs/>
                <w:sz w:val="20"/>
                <w:szCs w:val="20"/>
              </w:rPr>
            </w:pPr>
            <w:r w:rsidRPr="00474C45">
              <w:rPr>
                <w:rFonts w:ascii="Arial" w:hAnsi="Arial" w:cs="Arial"/>
                <w:b/>
                <w:bCs/>
                <w:sz w:val="20"/>
                <w:szCs w:val="20"/>
              </w:rPr>
              <w:t>Present study</w:t>
            </w:r>
          </w:p>
        </w:tc>
        <w:tc>
          <w:tcPr>
            <w:tcW w:w="6630" w:type="dxa"/>
            <w:gridSpan w:val="2"/>
            <w:tcBorders>
              <w:top w:val="single" w:sz="4" w:space="0" w:color="auto"/>
              <w:bottom w:val="single" w:sz="4" w:space="0" w:color="auto"/>
            </w:tcBorders>
          </w:tcPr>
          <w:p w14:paraId="6324E924" w14:textId="77777777" w:rsidR="000632A6" w:rsidRPr="00474C45" w:rsidRDefault="000632A6" w:rsidP="00DB0903">
            <w:pPr>
              <w:jc w:val="center"/>
              <w:rPr>
                <w:rFonts w:ascii="Arial" w:hAnsi="Arial" w:cs="Arial"/>
                <w:b/>
                <w:bCs/>
                <w:sz w:val="20"/>
                <w:szCs w:val="20"/>
              </w:rPr>
            </w:pPr>
            <w:r w:rsidRPr="00474C45">
              <w:rPr>
                <w:rFonts w:ascii="Arial" w:hAnsi="Arial" w:cs="Arial"/>
                <w:b/>
                <w:bCs/>
                <w:sz w:val="20"/>
                <w:szCs w:val="20"/>
              </w:rPr>
              <w:t>Previous studies</w:t>
            </w:r>
          </w:p>
        </w:tc>
      </w:tr>
      <w:tr w:rsidR="000632A6" w:rsidRPr="00474C45" w14:paraId="37F435A9" w14:textId="77777777" w:rsidTr="00DB0903">
        <w:trPr>
          <w:trHeight w:val="20"/>
          <w:jc w:val="center"/>
        </w:trPr>
        <w:tc>
          <w:tcPr>
            <w:tcW w:w="3567" w:type="dxa"/>
            <w:vMerge/>
            <w:tcBorders>
              <w:top w:val="single" w:sz="4" w:space="0" w:color="auto"/>
              <w:bottom w:val="single" w:sz="4" w:space="0" w:color="auto"/>
            </w:tcBorders>
          </w:tcPr>
          <w:p w14:paraId="19572E41" w14:textId="77777777" w:rsidR="000632A6" w:rsidRPr="00474C45" w:rsidRDefault="000632A6" w:rsidP="000632A6">
            <w:pPr>
              <w:rPr>
                <w:rFonts w:ascii="Arial" w:hAnsi="Arial" w:cs="Arial"/>
                <w:b/>
                <w:bCs/>
                <w:color w:val="000000"/>
                <w:sz w:val="20"/>
                <w:szCs w:val="20"/>
              </w:rPr>
            </w:pPr>
          </w:p>
        </w:tc>
        <w:tc>
          <w:tcPr>
            <w:tcW w:w="1890" w:type="dxa"/>
            <w:tcBorders>
              <w:top w:val="single" w:sz="4" w:space="0" w:color="auto"/>
              <w:bottom w:val="single" w:sz="4" w:space="0" w:color="auto"/>
            </w:tcBorders>
          </w:tcPr>
          <w:p w14:paraId="40963F4B" w14:textId="77777777" w:rsidR="000632A6" w:rsidRPr="00474C45" w:rsidRDefault="000632A6" w:rsidP="000632A6">
            <w:pPr>
              <w:rPr>
                <w:rFonts w:ascii="Arial" w:hAnsi="Arial" w:cs="Arial"/>
                <w:b/>
                <w:bCs/>
                <w:color w:val="000000"/>
                <w:sz w:val="20"/>
                <w:szCs w:val="20"/>
              </w:rPr>
            </w:pPr>
            <w:r w:rsidRPr="00474C45">
              <w:rPr>
                <w:rFonts w:ascii="Arial" w:hAnsi="Arial" w:cs="Arial"/>
                <w:b/>
                <w:bCs/>
                <w:color w:val="000000"/>
                <w:sz w:val="20"/>
                <w:szCs w:val="20"/>
              </w:rPr>
              <w:t>Male</w:t>
            </w:r>
          </w:p>
        </w:tc>
        <w:tc>
          <w:tcPr>
            <w:tcW w:w="1800" w:type="dxa"/>
            <w:tcBorders>
              <w:top w:val="single" w:sz="4" w:space="0" w:color="auto"/>
              <w:bottom w:val="single" w:sz="4" w:space="0" w:color="auto"/>
            </w:tcBorders>
          </w:tcPr>
          <w:p w14:paraId="5F06E541" w14:textId="77777777" w:rsidR="000632A6" w:rsidRPr="00474C45" w:rsidRDefault="000632A6" w:rsidP="000632A6">
            <w:pPr>
              <w:rPr>
                <w:rFonts w:ascii="Arial" w:hAnsi="Arial" w:cs="Arial"/>
                <w:b/>
                <w:bCs/>
                <w:color w:val="000000"/>
                <w:sz w:val="20"/>
                <w:szCs w:val="20"/>
              </w:rPr>
            </w:pPr>
            <w:r w:rsidRPr="00474C45">
              <w:rPr>
                <w:rFonts w:ascii="Arial" w:hAnsi="Arial" w:cs="Arial"/>
                <w:b/>
                <w:bCs/>
                <w:color w:val="000000"/>
                <w:sz w:val="20"/>
                <w:szCs w:val="20"/>
              </w:rPr>
              <w:t>Female</w:t>
            </w:r>
          </w:p>
        </w:tc>
        <w:tc>
          <w:tcPr>
            <w:tcW w:w="3150" w:type="dxa"/>
            <w:tcBorders>
              <w:top w:val="single" w:sz="4" w:space="0" w:color="auto"/>
              <w:bottom w:val="single" w:sz="4" w:space="0" w:color="auto"/>
            </w:tcBorders>
          </w:tcPr>
          <w:p w14:paraId="2695D39E" w14:textId="77777777" w:rsidR="000632A6" w:rsidRPr="00474C45" w:rsidRDefault="000632A6" w:rsidP="000632A6">
            <w:pPr>
              <w:rPr>
                <w:rFonts w:ascii="Arial" w:hAnsi="Arial" w:cs="Arial"/>
                <w:b/>
                <w:bCs/>
                <w:color w:val="000000"/>
                <w:sz w:val="20"/>
                <w:szCs w:val="20"/>
                <w:lang w:val="nb-NO"/>
              </w:rPr>
            </w:pPr>
            <w:r w:rsidRPr="00474C45">
              <w:rPr>
                <w:rFonts w:ascii="Arial" w:hAnsi="Arial" w:cs="Arial"/>
                <w:b/>
                <w:bCs/>
                <w:color w:val="000000"/>
                <w:sz w:val="20"/>
                <w:szCs w:val="20"/>
                <w:lang w:val="nb-NO"/>
              </w:rPr>
              <w:t xml:space="preserve">NE India (Hussain </w:t>
            </w:r>
            <w:r w:rsidRPr="00474C45">
              <w:rPr>
                <w:rFonts w:ascii="Arial" w:hAnsi="Arial" w:cs="Arial"/>
                <w:b/>
                <w:bCs/>
                <w:i/>
                <w:iCs/>
                <w:color w:val="000000"/>
                <w:sz w:val="20"/>
                <w:szCs w:val="20"/>
                <w:lang w:val="nb-NO"/>
              </w:rPr>
              <w:t>et al.</w:t>
            </w:r>
            <w:r w:rsidRPr="00474C45">
              <w:rPr>
                <w:rFonts w:ascii="Arial" w:hAnsi="Arial" w:cs="Arial"/>
                <w:b/>
                <w:bCs/>
                <w:color w:val="000000"/>
                <w:sz w:val="20"/>
                <w:szCs w:val="20"/>
                <w:lang w:val="nb-NO"/>
              </w:rPr>
              <w:t>, 2007)</w:t>
            </w:r>
          </w:p>
        </w:tc>
        <w:tc>
          <w:tcPr>
            <w:tcW w:w="3480" w:type="dxa"/>
            <w:tcBorders>
              <w:top w:val="single" w:sz="4" w:space="0" w:color="auto"/>
              <w:bottom w:val="single" w:sz="4" w:space="0" w:color="auto"/>
            </w:tcBorders>
          </w:tcPr>
          <w:p w14:paraId="5CE4288B" w14:textId="77777777" w:rsidR="000632A6" w:rsidRPr="00474C45" w:rsidRDefault="000632A6" w:rsidP="000632A6">
            <w:pPr>
              <w:rPr>
                <w:rFonts w:ascii="Arial" w:hAnsi="Arial" w:cs="Arial"/>
                <w:b/>
                <w:bCs/>
                <w:color w:val="000000"/>
                <w:sz w:val="20"/>
                <w:szCs w:val="20"/>
                <w:lang w:val="nb-NO"/>
              </w:rPr>
            </w:pPr>
            <w:r w:rsidRPr="00474C45">
              <w:rPr>
                <w:rFonts w:ascii="Arial" w:hAnsi="Arial" w:cs="Arial"/>
                <w:b/>
                <w:bCs/>
                <w:color w:val="000000"/>
                <w:sz w:val="20"/>
                <w:szCs w:val="20"/>
                <w:lang w:val="nb-NO"/>
              </w:rPr>
              <w:t>Bangladesh (Al</w:t>
            </w:r>
            <w:r w:rsidRPr="00474C45">
              <w:rPr>
                <w:rFonts w:ascii="Arial" w:hAnsi="Arial" w:cs="Arial"/>
                <w:b/>
                <w:bCs/>
                <w:color w:val="000000"/>
                <w:sz w:val="20"/>
                <w:szCs w:val="20"/>
                <w:lang w:val="nb-NO"/>
              </w:rPr>
              <w:noBreakHyphen/>
              <w:t xml:space="preserve">Razi </w:t>
            </w:r>
            <w:r w:rsidRPr="00474C45">
              <w:rPr>
                <w:rFonts w:ascii="Arial" w:hAnsi="Arial" w:cs="Arial"/>
                <w:b/>
                <w:bCs/>
                <w:i/>
                <w:iCs/>
                <w:color w:val="000000"/>
                <w:sz w:val="20"/>
                <w:szCs w:val="20"/>
                <w:lang w:val="nb-NO"/>
              </w:rPr>
              <w:t>et al.,</w:t>
            </w:r>
            <w:r w:rsidRPr="00474C45">
              <w:rPr>
                <w:rFonts w:ascii="Arial" w:hAnsi="Arial" w:cs="Arial"/>
                <w:b/>
                <w:bCs/>
                <w:color w:val="000000"/>
                <w:sz w:val="20"/>
                <w:szCs w:val="20"/>
                <w:lang w:val="nb-NO"/>
              </w:rPr>
              <w:t xml:space="preserve"> 2014)</w:t>
            </w:r>
          </w:p>
        </w:tc>
      </w:tr>
      <w:tr w:rsidR="000632A6" w:rsidRPr="00474C45" w14:paraId="7DCB34FE" w14:textId="77777777" w:rsidTr="00DB0903">
        <w:trPr>
          <w:trHeight w:val="20"/>
          <w:jc w:val="center"/>
        </w:trPr>
        <w:tc>
          <w:tcPr>
            <w:tcW w:w="3567" w:type="dxa"/>
            <w:tcBorders>
              <w:top w:val="single" w:sz="4" w:space="0" w:color="auto"/>
            </w:tcBorders>
          </w:tcPr>
          <w:p w14:paraId="2EBB741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Snout–vent length (SVL)</w:t>
            </w:r>
          </w:p>
        </w:tc>
        <w:tc>
          <w:tcPr>
            <w:tcW w:w="1890" w:type="dxa"/>
            <w:tcBorders>
              <w:top w:val="single" w:sz="4" w:space="0" w:color="auto"/>
            </w:tcBorders>
          </w:tcPr>
          <w:p w14:paraId="6860FB61"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41.46 (32.4–50.5)</w:t>
            </w:r>
          </w:p>
        </w:tc>
        <w:tc>
          <w:tcPr>
            <w:tcW w:w="1800" w:type="dxa"/>
            <w:tcBorders>
              <w:top w:val="single" w:sz="4" w:space="0" w:color="auto"/>
            </w:tcBorders>
          </w:tcPr>
          <w:p w14:paraId="6B98A974" w14:textId="77777777" w:rsidR="000632A6" w:rsidRPr="00474C45" w:rsidRDefault="000632A6" w:rsidP="00561AF6">
            <w:pPr>
              <w:ind w:right="-77"/>
              <w:rPr>
                <w:rFonts w:ascii="Arial" w:hAnsi="Arial" w:cs="Arial"/>
                <w:sz w:val="20"/>
                <w:szCs w:val="20"/>
              </w:rPr>
            </w:pPr>
            <w:r w:rsidRPr="00474C45">
              <w:rPr>
                <w:rFonts w:ascii="Arial" w:hAnsi="Arial" w:cs="Arial"/>
                <w:color w:val="000000"/>
                <w:sz w:val="20"/>
                <w:szCs w:val="20"/>
              </w:rPr>
              <w:t>58.8 (55.3–62.3)</w:t>
            </w:r>
          </w:p>
        </w:tc>
        <w:tc>
          <w:tcPr>
            <w:tcW w:w="3150" w:type="dxa"/>
            <w:tcBorders>
              <w:top w:val="single" w:sz="4" w:space="0" w:color="auto"/>
            </w:tcBorders>
          </w:tcPr>
          <w:p w14:paraId="5AA9B296"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57.5–75.7</w:t>
            </w:r>
          </w:p>
        </w:tc>
        <w:tc>
          <w:tcPr>
            <w:tcW w:w="3480" w:type="dxa"/>
            <w:tcBorders>
              <w:top w:val="single" w:sz="4" w:space="0" w:color="auto"/>
            </w:tcBorders>
          </w:tcPr>
          <w:p w14:paraId="3B35109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43.25</w:t>
            </w:r>
          </w:p>
        </w:tc>
      </w:tr>
      <w:tr w:rsidR="000632A6" w:rsidRPr="00474C45" w14:paraId="6C233E43" w14:textId="77777777" w:rsidTr="00DB0903">
        <w:trPr>
          <w:trHeight w:val="20"/>
          <w:jc w:val="center"/>
        </w:trPr>
        <w:tc>
          <w:tcPr>
            <w:tcW w:w="3567" w:type="dxa"/>
          </w:tcPr>
          <w:p w14:paraId="77BCEBEE"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Axilla–groin (AG)</w:t>
            </w:r>
          </w:p>
        </w:tc>
        <w:tc>
          <w:tcPr>
            <w:tcW w:w="1890" w:type="dxa"/>
          </w:tcPr>
          <w:p w14:paraId="25B40CD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9.40 (8.3–10.5)</w:t>
            </w:r>
          </w:p>
        </w:tc>
        <w:tc>
          <w:tcPr>
            <w:tcW w:w="1800" w:type="dxa"/>
          </w:tcPr>
          <w:p w14:paraId="075C4B1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6.70 (5.2–7.6)</w:t>
            </w:r>
          </w:p>
        </w:tc>
        <w:tc>
          <w:tcPr>
            <w:tcW w:w="3150" w:type="dxa"/>
          </w:tcPr>
          <w:p w14:paraId="7AB8E4A0" w14:textId="77777777" w:rsidR="000632A6" w:rsidRPr="00474C45" w:rsidRDefault="000632A6" w:rsidP="000632A6">
            <w:pPr>
              <w:rPr>
                <w:rFonts w:ascii="Arial" w:hAnsi="Arial" w:cs="Arial"/>
                <w:sz w:val="20"/>
                <w:szCs w:val="20"/>
              </w:rPr>
            </w:pPr>
            <w:r w:rsidRPr="00474C45">
              <w:rPr>
                <w:rFonts w:ascii="Arial" w:hAnsi="Arial" w:cs="Arial"/>
                <w:sz w:val="20"/>
                <w:szCs w:val="20"/>
              </w:rPr>
              <w:t>--</w:t>
            </w:r>
          </w:p>
        </w:tc>
        <w:tc>
          <w:tcPr>
            <w:tcW w:w="3480" w:type="dxa"/>
          </w:tcPr>
          <w:p w14:paraId="2227CE5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16367531" w14:textId="77777777" w:rsidTr="00DB0903">
        <w:trPr>
          <w:trHeight w:val="20"/>
          <w:jc w:val="center"/>
        </w:trPr>
        <w:tc>
          <w:tcPr>
            <w:tcW w:w="3567" w:type="dxa"/>
          </w:tcPr>
          <w:p w14:paraId="1F1870B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Head length (HL)</w:t>
            </w:r>
          </w:p>
        </w:tc>
        <w:tc>
          <w:tcPr>
            <w:tcW w:w="1890" w:type="dxa"/>
          </w:tcPr>
          <w:p w14:paraId="07A84D49"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5.25 (4.0–6.5)</w:t>
            </w:r>
          </w:p>
        </w:tc>
        <w:tc>
          <w:tcPr>
            <w:tcW w:w="1800" w:type="dxa"/>
          </w:tcPr>
          <w:p w14:paraId="5EA99D38"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3.10 (1.5–5.3)</w:t>
            </w:r>
          </w:p>
        </w:tc>
        <w:tc>
          <w:tcPr>
            <w:tcW w:w="3150" w:type="dxa"/>
          </w:tcPr>
          <w:p w14:paraId="2C0153EC"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19.55–24.35</w:t>
            </w:r>
          </w:p>
        </w:tc>
        <w:tc>
          <w:tcPr>
            <w:tcW w:w="3480" w:type="dxa"/>
          </w:tcPr>
          <w:p w14:paraId="49FD51C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14.50</w:t>
            </w:r>
          </w:p>
        </w:tc>
      </w:tr>
      <w:tr w:rsidR="000632A6" w:rsidRPr="00474C45" w14:paraId="4CF2AA7C" w14:textId="77777777" w:rsidTr="00DB0903">
        <w:trPr>
          <w:trHeight w:val="20"/>
          <w:jc w:val="center"/>
        </w:trPr>
        <w:tc>
          <w:tcPr>
            <w:tcW w:w="3567" w:type="dxa"/>
          </w:tcPr>
          <w:p w14:paraId="423A99F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Head width (HW)</w:t>
            </w:r>
          </w:p>
        </w:tc>
        <w:tc>
          <w:tcPr>
            <w:tcW w:w="1890" w:type="dxa"/>
          </w:tcPr>
          <w:p w14:paraId="5D3259CC"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3.85 (2.3–5.4)</w:t>
            </w:r>
          </w:p>
        </w:tc>
        <w:tc>
          <w:tcPr>
            <w:tcW w:w="1800" w:type="dxa"/>
          </w:tcPr>
          <w:p w14:paraId="6FABCD9C"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1.98 (0.8–3.0)</w:t>
            </w:r>
          </w:p>
        </w:tc>
        <w:tc>
          <w:tcPr>
            <w:tcW w:w="3150" w:type="dxa"/>
          </w:tcPr>
          <w:p w14:paraId="2CFBC618"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17.60–24.15</w:t>
            </w:r>
          </w:p>
        </w:tc>
        <w:tc>
          <w:tcPr>
            <w:tcW w:w="3480" w:type="dxa"/>
          </w:tcPr>
          <w:p w14:paraId="51EB5A4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13.35</w:t>
            </w:r>
          </w:p>
        </w:tc>
      </w:tr>
      <w:tr w:rsidR="000632A6" w:rsidRPr="00474C45" w14:paraId="42667C99" w14:textId="77777777" w:rsidTr="00DB0903">
        <w:trPr>
          <w:trHeight w:val="20"/>
          <w:jc w:val="center"/>
        </w:trPr>
        <w:tc>
          <w:tcPr>
            <w:tcW w:w="3567" w:type="dxa"/>
          </w:tcPr>
          <w:p w14:paraId="14833157"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Snout length (SL)</w:t>
            </w:r>
          </w:p>
        </w:tc>
        <w:tc>
          <w:tcPr>
            <w:tcW w:w="1890" w:type="dxa"/>
          </w:tcPr>
          <w:p w14:paraId="0808855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4.35 (4.1–4.6)</w:t>
            </w:r>
          </w:p>
        </w:tc>
        <w:tc>
          <w:tcPr>
            <w:tcW w:w="1800" w:type="dxa"/>
          </w:tcPr>
          <w:p w14:paraId="49F1017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2.66 (2.1–3.6)</w:t>
            </w:r>
          </w:p>
        </w:tc>
        <w:tc>
          <w:tcPr>
            <w:tcW w:w="3150" w:type="dxa"/>
          </w:tcPr>
          <w:p w14:paraId="3DD16940" w14:textId="77777777" w:rsidR="000632A6" w:rsidRPr="00474C45" w:rsidRDefault="000632A6" w:rsidP="000632A6">
            <w:pPr>
              <w:rPr>
                <w:rFonts w:ascii="Arial" w:hAnsi="Arial" w:cs="Arial"/>
                <w:sz w:val="20"/>
                <w:szCs w:val="20"/>
              </w:rPr>
            </w:pPr>
            <w:r w:rsidRPr="00474C45">
              <w:rPr>
                <w:rFonts w:ascii="Arial" w:hAnsi="Arial" w:cs="Arial"/>
                <w:b/>
                <w:bCs/>
                <w:color w:val="000000"/>
                <w:sz w:val="20"/>
                <w:szCs w:val="20"/>
              </w:rPr>
              <w:t>--</w:t>
            </w:r>
          </w:p>
        </w:tc>
        <w:tc>
          <w:tcPr>
            <w:tcW w:w="3480" w:type="dxa"/>
          </w:tcPr>
          <w:p w14:paraId="25BF993D" w14:textId="77777777" w:rsidR="000632A6" w:rsidRPr="00474C45" w:rsidRDefault="000632A6" w:rsidP="000632A6">
            <w:pPr>
              <w:rPr>
                <w:rFonts w:ascii="Arial" w:hAnsi="Arial" w:cs="Arial"/>
                <w:sz w:val="20"/>
                <w:szCs w:val="20"/>
              </w:rPr>
            </w:pPr>
            <w:r w:rsidRPr="00474C45">
              <w:rPr>
                <w:rFonts w:ascii="Arial" w:hAnsi="Arial" w:cs="Arial"/>
                <w:b/>
                <w:bCs/>
                <w:color w:val="000000"/>
                <w:sz w:val="20"/>
                <w:szCs w:val="20"/>
              </w:rPr>
              <w:t>--</w:t>
            </w:r>
          </w:p>
        </w:tc>
      </w:tr>
      <w:tr w:rsidR="000632A6" w:rsidRPr="00474C45" w14:paraId="23A39578" w14:textId="77777777" w:rsidTr="00DB0903">
        <w:trPr>
          <w:trHeight w:val="20"/>
          <w:jc w:val="center"/>
        </w:trPr>
        <w:tc>
          <w:tcPr>
            <w:tcW w:w="3567" w:type="dxa"/>
          </w:tcPr>
          <w:p w14:paraId="70C6BF56"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Eye diameter (ED)</w:t>
            </w:r>
          </w:p>
        </w:tc>
        <w:tc>
          <w:tcPr>
            <w:tcW w:w="1890" w:type="dxa"/>
          </w:tcPr>
          <w:p w14:paraId="13A74A92"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5.25 (4.0–6.5)</w:t>
            </w:r>
          </w:p>
        </w:tc>
        <w:tc>
          <w:tcPr>
            <w:tcW w:w="1800" w:type="dxa"/>
          </w:tcPr>
          <w:p w14:paraId="13E46E2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2.88 (1.6–3.8)</w:t>
            </w:r>
          </w:p>
        </w:tc>
        <w:tc>
          <w:tcPr>
            <w:tcW w:w="3150" w:type="dxa"/>
          </w:tcPr>
          <w:p w14:paraId="3D61861C"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5.70–8.70</w:t>
            </w:r>
          </w:p>
        </w:tc>
        <w:tc>
          <w:tcPr>
            <w:tcW w:w="3480" w:type="dxa"/>
          </w:tcPr>
          <w:p w14:paraId="6162BAC2"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4.85</w:t>
            </w:r>
          </w:p>
        </w:tc>
      </w:tr>
      <w:tr w:rsidR="000632A6" w:rsidRPr="00474C45" w14:paraId="27D387C7" w14:textId="77777777" w:rsidTr="00DB0903">
        <w:trPr>
          <w:trHeight w:val="20"/>
          <w:jc w:val="center"/>
        </w:trPr>
        <w:tc>
          <w:tcPr>
            <w:tcW w:w="3567" w:type="dxa"/>
          </w:tcPr>
          <w:p w14:paraId="55A9F32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Interorbital space (IOS)</w:t>
            </w:r>
          </w:p>
        </w:tc>
        <w:tc>
          <w:tcPr>
            <w:tcW w:w="1890" w:type="dxa"/>
          </w:tcPr>
          <w:p w14:paraId="73E157AF"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5.90 (4.3–7.5)</w:t>
            </w:r>
          </w:p>
        </w:tc>
        <w:tc>
          <w:tcPr>
            <w:tcW w:w="1800" w:type="dxa"/>
          </w:tcPr>
          <w:p w14:paraId="26EDC9D7"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2.60 (1.7–3.2)</w:t>
            </w:r>
          </w:p>
        </w:tc>
        <w:tc>
          <w:tcPr>
            <w:tcW w:w="3150" w:type="dxa"/>
          </w:tcPr>
          <w:p w14:paraId="0B64FAE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c>
          <w:tcPr>
            <w:tcW w:w="3480" w:type="dxa"/>
          </w:tcPr>
          <w:p w14:paraId="3BFB03F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05FA4433" w14:textId="77777777" w:rsidTr="00DB0903">
        <w:trPr>
          <w:trHeight w:val="20"/>
          <w:jc w:val="center"/>
        </w:trPr>
        <w:tc>
          <w:tcPr>
            <w:tcW w:w="3567" w:type="dxa"/>
          </w:tcPr>
          <w:p w14:paraId="790C927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Tympanum diameter (HTYD)</w:t>
            </w:r>
          </w:p>
        </w:tc>
        <w:tc>
          <w:tcPr>
            <w:tcW w:w="1890" w:type="dxa"/>
          </w:tcPr>
          <w:p w14:paraId="725CC44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6.65 (6.2–7.1)</w:t>
            </w:r>
          </w:p>
        </w:tc>
        <w:tc>
          <w:tcPr>
            <w:tcW w:w="1800" w:type="dxa"/>
          </w:tcPr>
          <w:p w14:paraId="6BE22C1C"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4.08 (2.5–5.3)</w:t>
            </w:r>
          </w:p>
        </w:tc>
        <w:tc>
          <w:tcPr>
            <w:tcW w:w="3150" w:type="dxa"/>
          </w:tcPr>
          <w:p w14:paraId="5EC30C0E"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4.65–6.00</w:t>
            </w:r>
          </w:p>
        </w:tc>
        <w:tc>
          <w:tcPr>
            <w:tcW w:w="3480" w:type="dxa"/>
          </w:tcPr>
          <w:p w14:paraId="7BB265DA"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3.80</w:t>
            </w:r>
          </w:p>
        </w:tc>
      </w:tr>
      <w:tr w:rsidR="000632A6" w:rsidRPr="00474C45" w14:paraId="30C11CB9" w14:textId="77777777" w:rsidTr="00DB0903">
        <w:trPr>
          <w:trHeight w:val="20"/>
          <w:jc w:val="center"/>
        </w:trPr>
        <w:tc>
          <w:tcPr>
            <w:tcW w:w="3567" w:type="dxa"/>
          </w:tcPr>
          <w:p w14:paraId="6D17107F"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Forelimb length (FL)</w:t>
            </w:r>
          </w:p>
        </w:tc>
        <w:tc>
          <w:tcPr>
            <w:tcW w:w="1890" w:type="dxa"/>
          </w:tcPr>
          <w:p w14:paraId="28E0CC47"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8.40 (7.3–9.5)</w:t>
            </w:r>
          </w:p>
        </w:tc>
        <w:tc>
          <w:tcPr>
            <w:tcW w:w="1800" w:type="dxa"/>
          </w:tcPr>
          <w:p w14:paraId="5309883F"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5.88 (4.5–6.5)</w:t>
            </w:r>
          </w:p>
        </w:tc>
        <w:tc>
          <w:tcPr>
            <w:tcW w:w="3150" w:type="dxa"/>
          </w:tcPr>
          <w:p w14:paraId="2FBCCB87"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35.4–46.35</w:t>
            </w:r>
          </w:p>
        </w:tc>
        <w:tc>
          <w:tcPr>
            <w:tcW w:w="3480" w:type="dxa"/>
          </w:tcPr>
          <w:p w14:paraId="78D8D06F"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59E99AA1" w14:textId="77777777" w:rsidTr="00DB0903">
        <w:trPr>
          <w:trHeight w:val="20"/>
          <w:jc w:val="center"/>
        </w:trPr>
        <w:tc>
          <w:tcPr>
            <w:tcW w:w="3567" w:type="dxa"/>
          </w:tcPr>
          <w:p w14:paraId="7B77BC58"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Hand length (HAND)</w:t>
            </w:r>
          </w:p>
        </w:tc>
        <w:tc>
          <w:tcPr>
            <w:tcW w:w="1890" w:type="dxa"/>
          </w:tcPr>
          <w:p w14:paraId="3B8185B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7.70 (6.8–8.6)</w:t>
            </w:r>
          </w:p>
        </w:tc>
        <w:tc>
          <w:tcPr>
            <w:tcW w:w="1800" w:type="dxa"/>
          </w:tcPr>
          <w:p w14:paraId="72F28561"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4.64 (3.1–5.3)</w:t>
            </w:r>
          </w:p>
        </w:tc>
        <w:tc>
          <w:tcPr>
            <w:tcW w:w="3150" w:type="dxa"/>
          </w:tcPr>
          <w:p w14:paraId="5CF3CF46" w14:textId="77777777" w:rsidR="000632A6" w:rsidRPr="00474C45" w:rsidRDefault="000632A6" w:rsidP="000632A6">
            <w:pPr>
              <w:rPr>
                <w:rFonts w:ascii="Arial" w:hAnsi="Arial" w:cs="Arial"/>
                <w:sz w:val="20"/>
                <w:szCs w:val="20"/>
              </w:rPr>
            </w:pPr>
            <w:r w:rsidRPr="00474C45">
              <w:rPr>
                <w:rFonts w:ascii="Arial" w:hAnsi="Arial" w:cs="Arial"/>
                <w:b/>
                <w:bCs/>
                <w:color w:val="000000"/>
                <w:sz w:val="20"/>
                <w:szCs w:val="20"/>
              </w:rPr>
              <w:t>--</w:t>
            </w:r>
          </w:p>
        </w:tc>
        <w:tc>
          <w:tcPr>
            <w:tcW w:w="3480" w:type="dxa"/>
          </w:tcPr>
          <w:p w14:paraId="1063A625" w14:textId="77777777" w:rsidR="000632A6" w:rsidRPr="00474C45" w:rsidRDefault="000632A6" w:rsidP="000632A6">
            <w:pPr>
              <w:rPr>
                <w:rFonts w:ascii="Arial" w:hAnsi="Arial" w:cs="Arial"/>
                <w:sz w:val="20"/>
                <w:szCs w:val="20"/>
              </w:rPr>
            </w:pPr>
            <w:r w:rsidRPr="00474C45">
              <w:rPr>
                <w:rFonts w:ascii="Arial" w:hAnsi="Arial" w:cs="Arial"/>
                <w:b/>
                <w:bCs/>
                <w:color w:val="000000"/>
                <w:sz w:val="20"/>
                <w:szCs w:val="20"/>
              </w:rPr>
              <w:t>--</w:t>
            </w:r>
          </w:p>
        </w:tc>
      </w:tr>
      <w:tr w:rsidR="000632A6" w:rsidRPr="00474C45" w14:paraId="2C0D1776" w14:textId="77777777" w:rsidTr="00DB0903">
        <w:trPr>
          <w:trHeight w:val="20"/>
          <w:jc w:val="center"/>
        </w:trPr>
        <w:tc>
          <w:tcPr>
            <w:tcW w:w="3567" w:type="dxa"/>
          </w:tcPr>
          <w:p w14:paraId="71DDED6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Hind limb length (HLL)</w:t>
            </w:r>
          </w:p>
        </w:tc>
        <w:tc>
          <w:tcPr>
            <w:tcW w:w="1890" w:type="dxa"/>
          </w:tcPr>
          <w:p w14:paraId="69E8626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9.40 (8.5–10.3)</w:t>
            </w:r>
          </w:p>
        </w:tc>
        <w:tc>
          <w:tcPr>
            <w:tcW w:w="1800" w:type="dxa"/>
          </w:tcPr>
          <w:p w14:paraId="1312E94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6.96 (5.1–9.2)</w:t>
            </w:r>
          </w:p>
        </w:tc>
        <w:tc>
          <w:tcPr>
            <w:tcW w:w="3150" w:type="dxa"/>
          </w:tcPr>
          <w:p w14:paraId="578CDC1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98.8–133.5</w:t>
            </w:r>
          </w:p>
        </w:tc>
        <w:tc>
          <w:tcPr>
            <w:tcW w:w="3480" w:type="dxa"/>
          </w:tcPr>
          <w:p w14:paraId="51E3D271"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6CD8E9EE" w14:textId="77777777" w:rsidTr="00DB0903">
        <w:trPr>
          <w:trHeight w:val="20"/>
          <w:jc w:val="center"/>
        </w:trPr>
        <w:tc>
          <w:tcPr>
            <w:tcW w:w="3567" w:type="dxa"/>
          </w:tcPr>
          <w:p w14:paraId="0D49DE9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Tibia length (TBL)</w:t>
            </w:r>
          </w:p>
        </w:tc>
        <w:tc>
          <w:tcPr>
            <w:tcW w:w="1890" w:type="dxa"/>
          </w:tcPr>
          <w:p w14:paraId="65EDF138"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8.60 (7.4–9.8)</w:t>
            </w:r>
          </w:p>
        </w:tc>
        <w:tc>
          <w:tcPr>
            <w:tcW w:w="1800" w:type="dxa"/>
          </w:tcPr>
          <w:p w14:paraId="744BD66B"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6.22 (4.8–8.5)</w:t>
            </w:r>
          </w:p>
        </w:tc>
        <w:tc>
          <w:tcPr>
            <w:tcW w:w="3150" w:type="dxa"/>
          </w:tcPr>
          <w:p w14:paraId="1C6DC85A"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29.3–39.7</w:t>
            </w:r>
          </w:p>
        </w:tc>
        <w:tc>
          <w:tcPr>
            <w:tcW w:w="3480" w:type="dxa"/>
          </w:tcPr>
          <w:p w14:paraId="3AABD36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1674194F" w14:textId="77777777" w:rsidTr="00DB0903">
        <w:trPr>
          <w:trHeight w:val="20"/>
          <w:jc w:val="center"/>
        </w:trPr>
        <w:tc>
          <w:tcPr>
            <w:tcW w:w="3567" w:type="dxa"/>
          </w:tcPr>
          <w:p w14:paraId="58934A6B"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Tibia width (TBW)</w:t>
            </w:r>
          </w:p>
        </w:tc>
        <w:tc>
          <w:tcPr>
            <w:tcW w:w="1890" w:type="dxa"/>
          </w:tcPr>
          <w:p w14:paraId="259AC78F"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3.45 (3.1–3.8)</w:t>
            </w:r>
          </w:p>
        </w:tc>
        <w:tc>
          <w:tcPr>
            <w:tcW w:w="1800" w:type="dxa"/>
          </w:tcPr>
          <w:p w14:paraId="3DE686E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1.46 (0.6–2.3)</w:t>
            </w:r>
          </w:p>
        </w:tc>
        <w:tc>
          <w:tcPr>
            <w:tcW w:w="3150" w:type="dxa"/>
          </w:tcPr>
          <w:p w14:paraId="4FD1159E" w14:textId="77777777" w:rsidR="000632A6" w:rsidRPr="00474C45" w:rsidRDefault="000632A6" w:rsidP="000632A6">
            <w:pPr>
              <w:rPr>
                <w:rFonts w:ascii="Arial" w:hAnsi="Arial" w:cs="Arial"/>
                <w:sz w:val="20"/>
                <w:szCs w:val="20"/>
              </w:rPr>
            </w:pPr>
            <w:r w:rsidRPr="00474C45">
              <w:rPr>
                <w:rFonts w:ascii="Arial" w:hAnsi="Arial" w:cs="Arial"/>
                <w:b/>
                <w:bCs/>
                <w:color w:val="000000"/>
                <w:sz w:val="20"/>
                <w:szCs w:val="20"/>
              </w:rPr>
              <w:t>--</w:t>
            </w:r>
          </w:p>
        </w:tc>
        <w:tc>
          <w:tcPr>
            <w:tcW w:w="3480" w:type="dxa"/>
          </w:tcPr>
          <w:p w14:paraId="23372ADD" w14:textId="77777777" w:rsidR="000632A6" w:rsidRPr="00474C45" w:rsidRDefault="000632A6" w:rsidP="000632A6">
            <w:pPr>
              <w:rPr>
                <w:rFonts w:ascii="Arial" w:hAnsi="Arial" w:cs="Arial"/>
                <w:sz w:val="20"/>
                <w:szCs w:val="20"/>
              </w:rPr>
            </w:pPr>
            <w:r w:rsidRPr="00474C45">
              <w:rPr>
                <w:rFonts w:ascii="Arial" w:hAnsi="Arial" w:cs="Arial"/>
                <w:b/>
                <w:bCs/>
                <w:color w:val="000000"/>
                <w:sz w:val="20"/>
                <w:szCs w:val="20"/>
              </w:rPr>
              <w:t>--</w:t>
            </w:r>
          </w:p>
        </w:tc>
      </w:tr>
      <w:tr w:rsidR="000632A6" w:rsidRPr="00474C45" w14:paraId="6CD241EB" w14:textId="77777777" w:rsidTr="00DB0903">
        <w:trPr>
          <w:trHeight w:val="20"/>
          <w:jc w:val="center"/>
        </w:trPr>
        <w:tc>
          <w:tcPr>
            <w:tcW w:w="3567" w:type="dxa"/>
          </w:tcPr>
          <w:p w14:paraId="7EFBA7F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Inner metacarpal tubercle (IMC)</w:t>
            </w:r>
          </w:p>
        </w:tc>
        <w:tc>
          <w:tcPr>
            <w:tcW w:w="1890" w:type="dxa"/>
          </w:tcPr>
          <w:p w14:paraId="1766A3E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3.95 (3.8–4.1)</w:t>
            </w:r>
          </w:p>
        </w:tc>
        <w:tc>
          <w:tcPr>
            <w:tcW w:w="1800" w:type="dxa"/>
          </w:tcPr>
          <w:p w14:paraId="57AA257D"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2.70 (1.5–3.8)</w:t>
            </w:r>
          </w:p>
        </w:tc>
        <w:tc>
          <w:tcPr>
            <w:tcW w:w="3150" w:type="dxa"/>
          </w:tcPr>
          <w:p w14:paraId="356D0713"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3.10–4.20</w:t>
            </w:r>
          </w:p>
        </w:tc>
        <w:tc>
          <w:tcPr>
            <w:tcW w:w="3480" w:type="dxa"/>
          </w:tcPr>
          <w:p w14:paraId="32B53580"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03C349C5" w14:textId="77777777" w:rsidTr="00DB0903">
        <w:trPr>
          <w:trHeight w:val="20"/>
          <w:jc w:val="center"/>
        </w:trPr>
        <w:tc>
          <w:tcPr>
            <w:tcW w:w="3567" w:type="dxa"/>
          </w:tcPr>
          <w:p w14:paraId="5937CD14"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Inner metatarsal tubercle (IMT)</w:t>
            </w:r>
          </w:p>
        </w:tc>
        <w:tc>
          <w:tcPr>
            <w:tcW w:w="1890" w:type="dxa"/>
          </w:tcPr>
          <w:p w14:paraId="4CC36A15"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2.95 (2.7–3.2)</w:t>
            </w:r>
          </w:p>
        </w:tc>
        <w:tc>
          <w:tcPr>
            <w:tcW w:w="1800" w:type="dxa"/>
          </w:tcPr>
          <w:p w14:paraId="7FC97E18"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1.50 (0.8–2.1)</w:t>
            </w:r>
          </w:p>
        </w:tc>
        <w:tc>
          <w:tcPr>
            <w:tcW w:w="3150" w:type="dxa"/>
          </w:tcPr>
          <w:p w14:paraId="6FF75015"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2.60–3.75</w:t>
            </w:r>
          </w:p>
        </w:tc>
        <w:tc>
          <w:tcPr>
            <w:tcW w:w="3480" w:type="dxa"/>
          </w:tcPr>
          <w:p w14:paraId="7DC82F16"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r w:rsidR="000632A6" w:rsidRPr="00474C45" w14:paraId="5B718ADC" w14:textId="77777777" w:rsidTr="00DB0903">
        <w:trPr>
          <w:trHeight w:val="20"/>
          <w:jc w:val="center"/>
        </w:trPr>
        <w:tc>
          <w:tcPr>
            <w:tcW w:w="3567" w:type="dxa"/>
          </w:tcPr>
          <w:p w14:paraId="75F1B7E5"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Toe IV length (T4)</w:t>
            </w:r>
          </w:p>
        </w:tc>
        <w:tc>
          <w:tcPr>
            <w:tcW w:w="1890" w:type="dxa"/>
          </w:tcPr>
          <w:p w14:paraId="5528C846"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5.95 (4.5–7.4)</w:t>
            </w:r>
          </w:p>
        </w:tc>
        <w:tc>
          <w:tcPr>
            <w:tcW w:w="1800" w:type="dxa"/>
          </w:tcPr>
          <w:p w14:paraId="1897F77B"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3.22 (2.3–4.5)</w:t>
            </w:r>
          </w:p>
        </w:tc>
        <w:tc>
          <w:tcPr>
            <w:tcW w:w="3150" w:type="dxa"/>
          </w:tcPr>
          <w:p w14:paraId="18FDD931"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Longest toe reported</w:t>
            </w:r>
          </w:p>
        </w:tc>
        <w:tc>
          <w:tcPr>
            <w:tcW w:w="3480" w:type="dxa"/>
          </w:tcPr>
          <w:p w14:paraId="5D81E66B" w14:textId="77777777" w:rsidR="000632A6" w:rsidRPr="00474C45" w:rsidRDefault="000632A6" w:rsidP="000632A6">
            <w:pPr>
              <w:rPr>
                <w:rFonts w:ascii="Arial" w:hAnsi="Arial" w:cs="Arial"/>
                <w:sz w:val="20"/>
                <w:szCs w:val="20"/>
              </w:rPr>
            </w:pPr>
            <w:r w:rsidRPr="00474C45">
              <w:rPr>
                <w:rFonts w:ascii="Arial" w:hAnsi="Arial" w:cs="Arial"/>
                <w:color w:val="000000"/>
                <w:sz w:val="20"/>
                <w:szCs w:val="20"/>
              </w:rPr>
              <w:t>--</w:t>
            </w:r>
          </w:p>
        </w:tc>
      </w:tr>
    </w:tbl>
    <w:p w14:paraId="2DE8FAA8" w14:textId="77777777" w:rsidR="000632A6" w:rsidRPr="00474C45" w:rsidRDefault="000632A6" w:rsidP="000632A6">
      <w:pPr>
        <w:spacing w:after="0" w:line="240" w:lineRule="auto"/>
        <w:jc w:val="both"/>
        <w:rPr>
          <w:rFonts w:ascii="Arial" w:eastAsia="Aptos" w:hAnsi="Arial" w:cs="Arial"/>
          <w:kern w:val="2"/>
          <w:sz w:val="20"/>
          <w:szCs w:val="20"/>
        </w:rPr>
      </w:pPr>
    </w:p>
    <w:p w14:paraId="0EF4F87A" w14:textId="77777777" w:rsidR="00561AF6" w:rsidRPr="00474C45" w:rsidRDefault="00561AF6" w:rsidP="000632A6">
      <w:pPr>
        <w:spacing w:after="0" w:line="240" w:lineRule="auto"/>
        <w:jc w:val="center"/>
        <w:rPr>
          <w:rFonts w:ascii="Arial" w:eastAsia="Aptos" w:hAnsi="Arial" w:cs="Arial"/>
          <w:kern w:val="2"/>
          <w:sz w:val="20"/>
          <w:szCs w:val="20"/>
        </w:rPr>
        <w:sectPr w:rsidR="00561AF6" w:rsidRPr="00474C45" w:rsidSect="000126CE">
          <w:pgSz w:w="16834" w:h="11909" w:orient="landscape" w:code="9"/>
          <w:pgMar w:top="1440" w:right="1440" w:bottom="1440" w:left="1440" w:header="720" w:footer="864" w:gutter="0"/>
          <w:pgNumType w:start="6"/>
          <w:cols w:space="720"/>
          <w:docGrid w:linePitch="360"/>
        </w:sectPr>
      </w:pPr>
    </w:p>
    <w:p w14:paraId="09D87600" w14:textId="77777777" w:rsidR="000632A6" w:rsidRPr="00474C45" w:rsidRDefault="000632A6" w:rsidP="000632A6">
      <w:pPr>
        <w:spacing w:after="0" w:line="240" w:lineRule="auto"/>
        <w:jc w:val="center"/>
        <w:rPr>
          <w:rFonts w:ascii="Arial" w:eastAsia="Aptos" w:hAnsi="Arial" w:cs="Arial"/>
          <w:kern w:val="2"/>
          <w:sz w:val="20"/>
          <w:szCs w:val="20"/>
        </w:rPr>
      </w:pPr>
      <w:r w:rsidRPr="00474C45">
        <w:rPr>
          <w:rFonts w:ascii="Arial" w:eastAsia="Aptos" w:hAnsi="Arial" w:cs="Arial"/>
          <w:noProof/>
          <w:kern w:val="2"/>
          <w:sz w:val="20"/>
          <w:szCs w:val="20"/>
        </w:rPr>
        <w:lastRenderedPageBreak/>
        <w:drawing>
          <wp:inline distT="0" distB="0" distL="0" distR="0" wp14:anchorId="6FA52609" wp14:editId="2B10A1D5">
            <wp:extent cx="4753745" cy="2714802"/>
            <wp:effectExtent l="0" t="0" r="0" b="0"/>
            <wp:docPr id="1942256016" name="Chart 1">
              <a:extLst xmlns:a="http://schemas.openxmlformats.org/drawingml/2006/main">
                <a:ext uri="{FF2B5EF4-FFF2-40B4-BE49-F238E27FC236}">
                  <a16:creationId xmlns:a16="http://schemas.microsoft.com/office/drawing/2014/main" id="{0C9AED71-069D-1DBB-7D83-85AF5FBCF7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8D8797" w14:textId="77777777" w:rsidR="000632A6" w:rsidRPr="00474C45" w:rsidRDefault="000632A6" w:rsidP="000632A6">
      <w:pPr>
        <w:spacing w:after="0" w:line="240" w:lineRule="auto"/>
        <w:jc w:val="center"/>
        <w:rPr>
          <w:rFonts w:ascii="Arial" w:eastAsia="Aptos" w:hAnsi="Arial" w:cs="Arial"/>
          <w:kern w:val="2"/>
          <w:sz w:val="20"/>
          <w:szCs w:val="20"/>
        </w:rPr>
      </w:pPr>
    </w:p>
    <w:p w14:paraId="50339E5D" w14:textId="61DBC6CD" w:rsidR="000632A6" w:rsidRPr="00474C45" w:rsidRDefault="000632A6" w:rsidP="000632A6">
      <w:pPr>
        <w:spacing w:after="0" w:line="240" w:lineRule="auto"/>
        <w:jc w:val="center"/>
        <w:rPr>
          <w:rFonts w:ascii="Arial" w:eastAsia="Aptos" w:hAnsi="Arial" w:cs="Arial"/>
          <w:b/>
          <w:bCs/>
          <w:kern w:val="2"/>
          <w:sz w:val="20"/>
          <w:szCs w:val="20"/>
        </w:rPr>
      </w:pPr>
      <w:r w:rsidRPr="00474C45">
        <w:rPr>
          <w:rFonts w:ascii="Arial" w:eastAsia="Aptos" w:hAnsi="Arial" w:cs="Arial"/>
          <w:b/>
          <w:bCs/>
          <w:kern w:val="2"/>
          <w:sz w:val="20"/>
          <w:szCs w:val="20"/>
        </w:rPr>
        <w:t xml:space="preserve">Fig. 3. Habitat selectivity patterns of </w:t>
      </w:r>
      <w:r w:rsidRPr="00474C45">
        <w:rPr>
          <w:rFonts w:ascii="Arial" w:eastAsia="Aptos" w:hAnsi="Arial" w:cs="Arial"/>
          <w:b/>
          <w:bCs/>
          <w:i/>
          <w:iCs/>
          <w:kern w:val="2"/>
          <w:sz w:val="20"/>
          <w:szCs w:val="20"/>
          <w:lang w:val="en-IN"/>
        </w:rPr>
        <w:t xml:space="preserve">Humerana humeralis </w:t>
      </w:r>
      <w:r w:rsidRPr="00474C45">
        <w:rPr>
          <w:rFonts w:ascii="Arial" w:eastAsia="Aptos" w:hAnsi="Arial" w:cs="Arial"/>
          <w:b/>
          <w:bCs/>
          <w:kern w:val="2"/>
          <w:sz w:val="20"/>
          <w:szCs w:val="20"/>
        </w:rPr>
        <w:t>in Nongkhyllem Wildlife Sanctuary and Reserved Forest of Meghalaya, India</w:t>
      </w:r>
    </w:p>
    <w:p w14:paraId="674F30BF" w14:textId="77777777" w:rsidR="000632A6" w:rsidRPr="00474C45" w:rsidRDefault="000632A6" w:rsidP="000632A6">
      <w:pPr>
        <w:spacing w:after="0" w:line="240" w:lineRule="auto"/>
        <w:jc w:val="center"/>
        <w:rPr>
          <w:rFonts w:ascii="Arial" w:eastAsia="Aptos" w:hAnsi="Arial" w:cs="Arial"/>
          <w:i/>
          <w:iCs/>
          <w:kern w:val="2"/>
          <w:sz w:val="18"/>
          <w:szCs w:val="18"/>
        </w:rPr>
      </w:pPr>
      <w:r w:rsidRPr="00474C45">
        <w:rPr>
          <w:rFonts w:ascii="Arial" w:eastAsia="Aptos" w:hAnsi="Arial" w:cs="Arial"/>
          <w:i/>
          <w:iCs/>
          <w:kern w:val="2"/>
          <w:sz w:val="18"/>
          <w:szCs w:val="18"/>
        </w:rPr>
        <w:t xml:space="preserve">EVG: Evergreen Forest, SEVG: Semi-evergreen Forest, DF: Deciduous Forest, </w:t>
      </w:r>
    </w:p>
    <w:p w14:paraId="640DFCDB" w14:textId="77777777" w:rsidR="000632A6" w:rsidRPr="00474C45" w:rsidRDefault="000632A6" w:rsidP="000632A6">
      <w:pPr>
        <w:spacing w:after="0" w:line="240" w:lineRule="auto"/>
        <w:jc w:val="center"/>
        <w:rPr>
          <w:rFonts w:ascii="Arial" w:eastAsia="Aptos" w:hAnsi="Arial" w:cs="Arial"/>
          <w:i/>
          <w:iCs/>
          <w:kern w:val="2"/>
          <w:sz w:val="18"/>
          <w:szCs w:val="18"/>
          <w:lang w:val="en-IN"/>
        </w:rPr>
      </w:pPr>
      <w:r w:rsidRPr="00474C45">
        <w:rPr>
          <w:rFonts w:ascii="Arial" w:eastAsia="Aptos" w:hAnsi="Arial" w:cs="Arial"/>
          <w:i/>
          <w:iCs/>
          <w:kern w:val="2"/>
          <w:sz w:val="18"/>
          <w:szCs w:val="18"/>
        </w:rPr>
        <w:t>GL: Grassland, AG: Agricultural land, WB: Water bodies</w:t>
      </w:r>
    </w:p>
    <w:p w14:paraId="47BED066" w14:textId="77777777" w:rsidR="000632A6" w:rsidRPr="00474C45" w:rsidRDefault="000632A6" w:rsidP="000632A6">
      <w:pPr>
        <w:spacing w:after="0" w:line="240" w:lineRule="auto"/>
        <w:jc w:val="both"/>
        <w:rPr>
          <w:rFonts w:ascii="Arial" w:eastAsia="Aptos" w:hAnsi="Arial" w:cs="Arial"/>
          <w:b/>
          <w:bCs/>
          <w:kern w:val="2"/>
          <w:sz w:val="20"/>
          <w:szCs w:val="20"/>
        </w:rPr>
      </w:pPr>
    </w:p>
    <w:p w14:paraId="381D36FB" w14:textId="77777777" w:rsidR="00561AF6" w:rsidRPr="00474C45" w:rsidRDefault="00561AF6" w:rsidP="000632A6">
      <w:pPr>
        <w:pStyle w:val="Heading2"/>
        <w:rPr>
          <w:rFonts w:eastAsia="Aptos"/>
        </w:rPr>
        <w:sectPr w:rsidR="00561AF6" w:rsidRPr="00474C45" w:rsidSect="000126CE">
          <w:pgSz w:w="11909" w:h="16834" w:code="9"/>
          <w:pgMar w:top="1440" w:right="1440" w:bottom="1440" w:left="1440" w:header="720" w:footer="864" w:gutter="0"/>
          <w:pgNumType w:start="7"/>
          <w:cols w:space="720"/>
          <w:docGrid w:linePitch="360"/>
        </w:sectPr>
      </w:pPr>
    </w:p>
    <w:p w14:paraId="07AA45DD" w14:textId="0D0AB6A9" w:rsidR="000632A6" w:rsidRPr="00474C45" w:rsidRDefault="000632A6" w:rsidP="000632A6">
      <w:pPr>
        <w:pStyle w:val="Heading2"/>
        <w:rPr>
          <w:rFonts w:eastAsia="Aptos"/>
        </w:rPr>
      </w:pPr>
      <w:r w:rsidRPr="00474C45">
        <w:rPr>
          <w:rFonts w:eastAsia="Aptos"/>
        </w:rPr>
        <w:t>5. Discussion</w:t>
      </w:r>
    </w:p>
    <w:p w14:paraId="290D9950" w14:textId="77777777" w:rsidR="000632A6" w:rsidRPr="00474C45" w:rsidRDefault="000632A6" w:rsidP="000632A6">
      <w:pPr>
        <w:spacing w:after="0" w:line="240" w:lineRule="auto"/>
        <w:jc w:val="both"/>
        <w:rPr>
          <w:rFonts w:ascii="Arial" w:eastAsia="Aptos" w:hAnsi="Arial" w:cs="Arial"/>
          <w:b/>
          <w:bCs/>
          <w:kern w:val="2"/>
          <w:sz w:val="20"/>
          <w:szCs w:val="20"/>
        </w:rPr>
      </w:pPr>
    </w:p>
    <w:p w14:paraId="2A46DCC5" w14:textId="77777777" w:rsidR="000632A6" w:rsidRPr="00474C45" w:rsidRDefault="000632A6" w:rsidP="000632A6">
      <w:pPr>
        <w:spacing w:after="0" w:line="240" w:lineRule="auto"/>
        <w:jc w:val="both"/>
        <w:rPr>
          <w:rFonts w:ascii="Arial" w:eastAsia="Aptos" w:hAnsi="Arial" w:cs="Arial"/>
          <w:color w:val="000000"/>
          <w:kern w:val="2"/>
          <w:sz w:val="20"/>
          <w:szCs w:val="20"/>
        </w:rPr>
      </w:pPr>
      <w:r w:rsidRPr="0044054C">
        <w:rPr>
          <w:rFonts w:ascii="Arial" w:eastAsia="Aptos" w:hAnsi="Arial" w:cs="Arial"/>
          <w:color w:val="000000"/>
          <w:kern w:val="2"/>
          <w:sz w:val="20"/>
          <w:szCs w:val="20"/>
          <w:highlight w:val="yellow"/>
        </w:rPr>
        <w:t xml:space="preserve">Though </w:t>
      </w:r>
      <w:r w:rsidRPr="0044054C">
        <w:rPr>
          <w:rFonts w:ascii="Arial" w:eastAsia="Aptos" w:hAnsi="Arial" w:cs="Arial"/>
          <w:i/>
          <w:iCs/>
          <w:color w:val="000000"/>
          <w:kern w:val="2"/>
          <w:sz w:val="20"/>
          <w:szCs w:val="20"/>
          <w:highlight w:val="yellow"/>
        </w:rPr>
        <w:t>H. humeralis</w:t>
      </w:r>
      <w:r w:rsidRPr="0044054C">
        <w:rPr>
          <w:rFonts w:ascii="Arial" w:eastAsia="Aptos" w:hAnsi="Arial" w:cs="Arial"/>
          <w:color w:val="000000"/>
          <w:kern w:val="2"/>
          <w:sz w:val="20"/>
          <w:szCs w:val="20"/>
          <w:highlight w:val="yellow"/>
        </w:rPr>
        <w:t xml:space="preserve"> is widely distributed across South and Southeast Asia, it is restricted in distribution in eastern India including northeast India. This broad distribution indicates a considerable level of ecological adaptability, allowing the species to thrive in various climatic conditions, ranging from humid tropical lowlands to subtropical hill forests</w:t>
      </w:r>
      <w:r w:rsidRPr="00474C45">
        <w:rPr>
          <w:rFonts w:ascii="Arial" w:eastAsia="Aptos" w:hAnsi="Arial" w:cs="Arial"/>
          <w:color w:val="000000"/>
          <w:kern w:val="2"/>
          <w:sz w:val="20"/>
          <w:szCs w:val="20"/>
        </w:rPr>
        <w:t xml:space="preserve">. Although they are regarded as locally abundant in several states, especially in Assam state of India, their distribution is reported to be sporadic in fragmented forest areas, particularly where freshwater habitats have been modified or degraded (Stuart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2008; Rowley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2010). The present distribution record of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from Nongkhyllem is the first ever record of its distribution from Meghalaya state of India, likely due to having rolling plains, gentle hills, and a system of perennial streams and ponds that align with the lentic and lotic microhabitats favoured by them. In terms of altitude,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has been recorded from near sea level to about 1,200–1,500 meters above sea level, although most observations are concentrated in low- to mid-elevation areas (IUCN SSC Amphibian Specialist Group, 2020). Within this altitude range, its population density can fluctuate significantly based on habitat quality, hydrological conditions, and human-induced disturbances.</w:t>
      </w:r>
    </w:p>
    <w:p w14:paraId="656277B9" w14:textId="77777777" w:rsidR="000632A6" w:rsidRPr="00474C45" w:rsidRDefault="000632A6" w:rsidP="000632A6">
      <w:pPr>
        <w:spacing w:after="0" w:line="240" w:lineRule="auto"/>
        <w:jc w:val="both"/>
        <w:rPr>
          <w:rFonts w:ascii="Arial" w:eastAsia="Aptos" w:hAnsi="Arial" w:cs="Arial"/>
          <w:color w:val="000000"/>
          <w:kern w:val="2"/>
          <w:sz w:val="20"/>
          <w:szCs w:val="20"/>
        </w:rPr>
      </w:pPr>
      <w:r w:rsidRPr="00474C45">
        <w:rPr>
          <w:rFonts w:ascii="Arial" w:eastAsia="Aptos" w:hAnsi="Arial" w:cs="Arial"/>
          <w:color w:val="000000"/>
          <w:kern w:val="2"/>
          <w:sz w:val="20"/>
          <w:szCs w:val="20"/>
        </w:rPr>
        <w:t xml:space="preserve">Morphometric and habitat assessments from Nongkhyllem align with earlier published data </w:t>
      </w:r>
      <w:r w:rsidRPr="00474C45">
        <w:rPr>
          <w:rFonts w:ascii="Arial" w:eastAsia="Aptos" w:hAnsi="Arial" w:cs="Arial"/>
          <w:color w:val="000000"/>
          <w:kern w:val="2"/>
          <w:sz w:val="20"/>
          <w:szCs w:val="20"/>
        </w:rPr>
        <w:t xml:space="preserve">from northeast India and Bangladesh, suggesting that local populations exhibit the same set of diagnostic traits (sturdy limbs, well-formed tympanum, and enlarged toe discs), although absolute size may differ regionally (Hussain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2007; </w:t>
      </w:r>
      <w:r w:rsidRPr="00474C45">
        <w:rPr>
          <w:rFonts w:ascii="Arial" w:eastAsia="Aptos" w:hAnsi="Arial" w:cs="Arial"/>
          <w:color w:val="000000"/>
          <w:kern w:val="2"/>
          <w:sz w:val="20"/>
          <w:szCs w:val="20"/>
          <w:lang w:val="en-IN"/>
        </w:rPr>
        <w:t>Al</w:t>
      </w:r>
      <w:r w:rsidRPr="00474C45">
        <w:rPr>
          <w:rFonts w:ascii="Arial" w:eastAsia="Aptos" w:hAnsi="Arial" w:cs="Arial"/>
          <w:color w:val="000000"/>
          <w:kern w:val="2"/>
          <w:sz w:val="20"/>
          <w:szCs w:val="20"/>
          <w:lang w:val="en-IN"/>
        </w:rPr>
        <w:noBreakHyphen/>
        <w:t xml:space="preserve">Razi </w:t>
      </w:r>
      <w:r w:rsidRPr="00474C45">
        <w:rPr>
          <w:rFonts w:ascii="Arial" w:eastAsia="Aptos" w:hAnsi="Arial" w:cs="Arial"/>
          <w:i/>
          <w:iCs/>
          <w:color w:val="000000"/>
          <w:kern w:val="2"/>
          <w:sz w:val="20"/>
          <w:szCs w:val="20"/>
          <w:lang w:val="en-IN"/>
        </w:rPr>
        <w:t>et al.,</w:t>
      </w:r>
      <w:r w:rsidRPr="00474C45">
        <w:rPr>
          <w:rFonts w:ascii="Arial" w:eastAsia="Aptos" w:hAnsi="Arial" w:cs="Arial"/>
          <w:color w:val="000000"/>
          <w:kern w:val="2"/>
          <w:sz w:val="20"/>
          <w:szCs w:val="20"/>
          <w:lang w:val="en-IN"/>
        </w:rPr>
        <w:t xml:space="preserve"> 2014).</w:t>
      </w:r>
      <w:r w:rsidRPr="00474C45">
        <w:rPr>
          <w:rFonts w:ascii="Arial" w:eastAsia="Aptos" w:hAnsi="Arial" w:cs="Arial"/>
          <w:color w:val="000000"/>
          <w:kern w:val="2"/>
          <w:sz w:val="20"/>
          <w:szCs w:val="20"/>
        </w:rPr>
        <w:t xml:space="preserve"> Such size discrepancies have been documented before and are likely indicative of geographic and sampling variations rather than taxonomic distinctions. </w:t>
      </w:r>
    </w:p>
    <w:p w14:paraId="0D97F144" w14:textId="77777777" w:rsidR="000632A6" w:rsidRPr="00474C45" w:rsidRDefault="000632A6" w:rsidP="000632A6">
      <w:pPr>
        <w:spacing w:after="0" w:line="240" w:lineRule="auto"/>
        <w:jc w:val="both"/>
        <w:rPr>
          <w:rFonts w:ascii="Arial" w:eastAsia="Aptos" w:hAnsi="Arial" w:cs="Arial"/>
          <w:kern w:val="2"/>
          <w:sz w:val="20"/>
          <w:szCs w:val="20"/>
        </w:rPr>
      </w:pPr>
    </w:p>
    <w:p w14:paraId="190F7740" w14:textId="77777777" w:rsidR="000632A6" w:rsidRPr="00474C45" w:rsidRDefault="000632A6" w:rsidP="000632A6">
      <w:pPr>
        <w:spacing w:after="0" w:line="240" w:lineRule="auto"/>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The present morphometric study of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offers crucial insights for identifying species, evaluating sexual dimorphism, with females consistently larger and more robust than males across the majority of morphometric measurements. This trend is well established in Ranid frogs and is typically linked to reproductive behavior, territoriality, and mating strategies (Duellman and Trueb, 1994; Wells, 2007). In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morphometric measurements have been extensively utilized to differentiate it from related species within the genus </w:t>
      </w:r>
      <w:r w:rsidRPr="00474C45">
        <w:rPr>
          <w:rFonts w:ascii="Arial" w:eastAsia="Aptos" w:hAnsi="Arial" w:cs="Arial"/>
          <w:i/>
          <w:iCs/>
          <w:color w:val="000000"/>
          <w:kern w:val="2"/>
          <w:sz w:val="20"/>
          <w:szCs w:val="20"/>
        </w:rPr>
        <w:t xml:space="preserve">Humerana </w:t>
      </w:r>
      <w:r w:rsidRPr="00474C45">
        <w:rPr>
          <w:rFonts w:ascii="Arial" w:eastAsia="Aptos" w:hAnsi="Arial" w:cs="Arial"/>
          <w:color w:val="000000"/>
          <w:kern w:val="2"/>
          <w:sz w:val="20"/>
          <w:szCs w:val="20"/>
        </w:rPr>
        <w:t xml:space="preserve">and other </w:t>
      </w:r>
      <w:r w:rsidRPr="00474C45">
        <w:rPr>
          <w:rFonts w:ascii="Arial" w:eastAsia="Aptos" w:hAnsi="Arial" w:cs="Arial"/>
          <w:i/>
          <w:iCs/>
          <w:color w:val="000000"/>
          <w:kern w:val="2"/>
          <w:sz w:val="20"/>
          <w:szCs w:val="20"/>
        </w:rPr>
        <w:t>Ranid</w:t>
      </w:r>
      <w:r w:rsidRPr="00474C45">
        <w:rPr>
          <w:rFonts w:ascii="Arial" w:eastAsia="Aptos" w:hAnsi="Arial" w:cs="Arial"/>
          <w:color w:val="000000"/>
          <w:kern w:val="2"/>
          <w:sz w:val="20"/>
          <w:szCs w:val="20"/>
        </w:rPr>
        <w:t xml:space="preserve"> taxa, as well as to assess geographic variation throughout its extensive distributional range (Chanda, 2002; Dinesh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2020). The most frequently reported measurement is snout–vent length (SVL), which acts as an indicator of overall body size. In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adult SVL typically varies from moderate to large, with females generally achieving larger body sizes compared to males (Chanda, 2002; Sengupta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2010). Limb measurements, especially tibia length and foot </w:t>
      </w:r>
      <w:r w:rsidRPr="00474C45">
        <w:rPr>
          <w:rFonts w:ascii="Arial" w:eastAsia="Aptos" w:hAnsi="Arial" w:cs="Arial"/>
          <w:color w:val="000000"/>
          <w:kern w:val="2"/>
          <w:sz w:val="20"/>
          <w:szCs w:val="20"/>
        </w:rPr>
        <w:lastRenderedPageBreak/>
        <w:t xml:space="preserve">length, hold ecological significance as they indicate adaptations for movement in semi-aquatic and stream-associated environments (Inger, 1966; Emerson, 1978). Head dimensions, such as head length, head width, snout length, and eye diameter, are critical diagnostic features and may exhibit slight variation among populations living in different environmental contexts. This variation has been linked to ecological factors, including the availability of prey and the structure of microhabitats (van Bocxlaer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2010). Overall, morphometric data enhance both taxonomic clarity and ecological understanding of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populations throughout its distribution.</w:t>
      </w:r>
    </w:p>
    <w:p w14:paraId="015E98E9" w14:textId="77777777" w:rsidR="000632A6" w:rsidRPr="00474C45" w:rsidRDefault="000632A6" w:rsidP="000632A6">
      <w:pPr>
        <w:spacing w:after="0" w:line="240" w:lineRule="auto"/>
        <w:jc w:val="both"/>
        <w:rPr>
          <w:rFonts w:ascii="Arial" w:eastAsia="Aptos" w:hAnsi="Arial" w:cs="Arial"/>
          <w:kern w:val="2"/>
          <w:sz w:val="20"/>
          <w:szCs w:val="20"/>
          <w:lang w:val="en-IN"/>
        </w:rPr>
      </w:pPr>
    </w:p>
    <w:p w14:paraId="251CE123" w14:textId="77777777" w:rsidR="000632A6" w:rsidRPr="00474C45" w:rsidRDefault="000632A6" w:rsidP="000632A6">
      <w:pPr>
        <w:spacing w:after="0" w:line="240" w:lineRule="auto"/>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On a larger scale, the morphometric differences observed among populations may indicate local environmental factors, such as altitude, hydrology, and habitat structure. This variation highlights the necessity of integrating morphometric data into ecological and conservation research, especially when evaluating population health and adaptive capacity in evolving environments (van Bocxlaer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2010; Watters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2016). The morphometric characteristics of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are intricately associated with its semi-aquatic behaviour. The relatively elongated hind limbs and well-formed feet enhance its swimming and jumping abilities along the edges of streams, while the moderate dimensions of the head and snout align with a general insectivorous feeding habit (Inger, 1966; Emerson, 1978). The presence of sexual dimorphism, where females achieve a greater snout-vent length (SVL), is likely connected to higher fecundity, a trend commonly observed in anuran species (Shine, 1979). </w:t>
      </w:r>
    </w:p>
    <w:p w14:paraId="5FF5C1EC" w14:textId="77777777" w:rsidR="000632A6" w:rsidRPr="00474C45" w:rsidRDefault="000632A6" w:rsidP="000632A6">
      <w:pPr>
        <w:spacing w:after="0" w:line="240" w:lineRule="auto"/>
        <w:jc w:val="both"/>
        <w:rPr>
          <w:rFonts w:ascii="Arial" w:eastAsia="Aptos" w:hAnsi="Arial" w:cs="Arial"/>
          <w:kern w:val="2"/>
          <w:sz w:val="20"/>
          <w:szCs w:val="20"/>
        </w:rPr>
      </w:pPr>
    </w:p>
    <w:p w14:paraId="721D67A4" w14:textId="77777777" w:rsidR="000632A6" w:rsidRPr="00474C45" w:rsidRDefault="000632A6" w:rsidP="000632A6">
      <w:pPr>
        <w:spacing w:after="0" w:line="240" w:lineRule="auto"/>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The species is found in both primary evergreen and semi-evergreen forests, in addition to secondary and regenerating forests, which suggests a degree of tolerance to moderate habitat disturbance (Pawar and Birand, 2001; Sengupta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2010). They exhibit an ecological affinity for freshwater-dependent environments, particularly those associated with lotic and lentic systems. This species is most commonly found in riparian forest with stream edges, riverbanks, forest pools, ponds, marshes, and temporary rain-fed water bodies (Inger, 1966; Chanda, 2002). These habitats are essential for breeding, larval development, and adult foraging. Hence, they were commonly found in shaded stream corridors and damp forest floors, where individuals are frequently seen resting among leaf litter, beneath vegetation cover, or on low shrubs near water bodies. </w:t>
      </w:r>
      <w:r w:rsidRPr="00474C45">
        <w:rPr>
          <w:rFonts w:ascii="Arial" w:eastAsia="Aptos" w:hAnsi="Arial" w:cs="Arial"/>
          <w:color w:val="000000"/>
          <w:kern w:val="2"/>
          <w:sz w:val="20"/>
          <w:szCs w:val="20"/>
        </w:rPr>
        <w:t>Occasionally, they are also found in human-altered environments, such as agricultural fields, tea plantations, roadside ditches, and village ponds, as long as sufficient moisture and breeding sites are present (</w:t>
      </w:r>
      <w:r w:rsidRPr="00474C45">
        <w:rPr>
          <w:rFonts w:ascii="Arial" w:eastAsia="Aptos" w:hAnsi="Arial" w:cs="Arial"/>
          <w:color w:val="000000"/>
          <w:kern w:val="2"/>
          <w:sz w:val="20"/>
          <w:szCs w:val="20"/>
          <w:lang w:val="en-IN"/>
        </w:rPr>
        <w:t xml:space="preserve">Hussain </w:t>
      </w:r>
      <w:r w:rsidRPr="00474C45">
        <w:rPr>
          <w:rFonts w:ascii="Arial" w:eastAsia="Aptos" w:hAnsi="Arial" w:cs="Arial"/>
          <w:i/>
          <w:iCs/>
          <w:color w:val="000000"/>
          <w:kern w:val="2"/>
          <w:sz w:val="20"/>
          <w:szCs w:val="20"/>
          <w:lang w:val="en-IN"/>
        </w:rPr>
        <w:t>et al</w:t>
      </w:r>
      <w:r w:rsidRPr="00474C45">
        <w:rPr>
          <w:rFonts w:ascii="Arial" w:eastAsia="Aptos" w:hAnsi="Arial" w:cs="Arial"/>
          <w:color w:val="000000"/>
          <w:kern w:val="2"/>
          <w:sz w:val="20"/>
          <w:szCs w:val="20"/>
          <w:lang w:val="en-IN"/>
        </w:rPr>
        <w:t>., 2007)</w:t>
      </w:r>
      <w:r w:rsidRPr="00474C45">
        <w:rPr>
          <w:rFonts w:ascii="Arial" w:eastAsia="Aptos" w:hAnsi="Arial" w:cs="Arial"/>
          <w:color w:val="000000"/>
          <w:kern w:val="2"/>
          <w:sz w:val="20"/>
          <w:szCs w:val="20"/>
        </w:rPr>
        <w:t xml:space="preserve">. However, their breeding success and population density in these habitats may be lower than in undisturbed forest ecosystems, primarily due to water pollution, agrochemical runoff, and changes to natural hydrology (Stuart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2008; Dinesh </w:t>
      </w:r>
      <w:r w:rsidRPr="00474C45">
        <w:rPr>
          <w:rFonts w:ascii="Arial" w:eastAsia="Aptos" w:hAnsi="Arial" w:cs="Arial"/>
          <w:i/>
          <w:iCs/>
          <w:color w:val="000000"/>
          <w:kern w:val="2"/>
          <w:sz w:val="20"/>
          <w:szCs w:val="20"/>
        </w:rPr>
        <w:t>et al.,</w:t>
      </w:r>
      <w:r w:rsidRPr="00474C45">
        <w:rPr>
          <w:rFonts w:ascii="Arial" w:eastAsia="Aptos" w:hAnsi="Arial" w:cs="Arial"/>
          <w:color w:val="000000"/>
          <w:kern w:val="2"/>
          <w:sz w:val="20"/>
          <w:szCs w:val="20"/>
        </w:rPr>
        <w:t xml:space="preserve"> 2020).</w:t>
      </w:r>
    </w:p>
    <w:p w14:paraId="6D1DEC1F" w14:textId="77777777" w:rsidR="000632A6" w:rsidRPr="00474C45" w:rsidRDefault="000632A6" w:rsidP="000632A6">
      <w:pPr>
        <w:spacing w:after="0" w:line="240" w:lineRule="auto"/>
        <w:jc w:val="both"/>
        <w:rPr>
          <w:rFonts w:ascii="Arial" w:eastAsia="Aptos" w:hAnsi="Arial" w:cs="Arial"/>
          <w:kern w:val="2"/>
          <w:sz w:val="12"/>
          <w:szCs w:val="12"/>
          <w:lang w:val="en-IN"/>
        </w:rPr>
      </w:pPr>
    </w:p>
    <w:p w14:paraId="2FF850AE" w14:textId="0FC1E7B6" w:rsidR="000632A6" w:rsidRPr="00474C45" w:rsidRDefault="000632A6" w:rsidP="000632A6">
      <w:pPr>
        <w:pStyle w:val="Heading2"/>
        <w:rPr>
          <w:rFonts w:eastAsia="Aptos"/>
        </w:rPr>
      </w:pPr>
      <w:r w:rsidRPr="00474C45">
        <w:rPr>
          <w:rFonts w:eastAsia="Aptos"/>
        </w:rPr>
        <w:t>6. Conclusion</w:t>
      </w:r>
    </w:p>
    <w:p w14:paraId="49093A23" w14:textId="77777777" w:rsidR="000632A6" w:rsidRPr="00474C45" w:rsidRDefault="000632A6" w:rsidP="000632A6">
      <w:pPr>
        <w:spacing w:after="0" w:line="240" w:lineRule="auto"/>
        <w:jc w:val="both"/>
        <w:rPr>
          <w:rFonts w:ascii="Arial" w:eastAsia="Aptos" w:hAnsi="Arial" w:cs="Arial"/>
          <w:b/>
          <w:bCs/>
          <w:kern w:val="2"/>
          <w:sz w:val="12"/>
          <w:szCs w:val="12"/>
        </w:rPr>
      </w:pPr>
    </w:p>
    <w:p w14:paraId="643C00F2" w14:textId="77777777" w:rsidR="000632A6" w:rsidRPr="00474C45" w:rsidRDefault="000632A6" w:rsidP="000632A6">
      <w:pPr>
        <w:spacing w:after="0" w:line="240" w:lineRule="auto"/>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The presence of </w:t>
      </w:r>
      <w:r w:rsidRPr="00474C45">
        <w:rPr>
          <w:rFonts w:ascii="Arial" w:eastAsia="Aptos" w:hAnsi="Arial" w:cs="Arial"/>
          <w:i/>
          <w:iCs/>
          <w:color w:val="000000"/>
          <w:kern w:val="2"/>
          <w:sz w:val="20"/>
          <w:szCs w:val="20"/>
        </w:rPr>
        <w:t>H. humeralis</w:t>
      </w:r>
      <w:r w:rsidRPr="00474C45">
        <w:rPr>
          <w:rFonts w:ascii="Arial" w:eastAsia="Aptos" w:hAnsi="Arial" w:cs="Arial"/>
          <w:color w:val="000000"/>
          <w:kern w:val="2"/>
          <w:sz w:val="20"/>
          <w:szCs w:val="20"/>
        </w:rPr>
        <w:t xml:space="preserve"> in Nongkhyllem Wildlife Sanctuary and Reserve Forest is encouraging from a conservation perspective in this landscape. However, ongoing threats in Reserve Forest such as land-use changes and on-going ecotourism activities may negatively effect on the species and their habitat. Since evergreen and semi-evergreen forests are essential for breeding, it is important to continue monitoring population trends, breeding sites, and habitat quality to ensure the species’ long-term survival.</w:t>
      </w:r>
    </w:p>
    <w:p w14:paraId="6CFD26AB" w14:textId="77777777" w:rsidR="000632A6" w:rsidRPr="00474C45" w:rsidRDefault="000632A6" w:rsidP="000632A6">
      <w:pPr>
        <w:spacing w:after="0" w:line="240" w:lineRule="auto"/>
        <w:jc w:val="both"/>
        <w:rPr>
          <w:rFonts w:ascii="Arial" w:eastAsia="Aptos" w:hAnsi="Arial" w:cs="Arial"/>
          <w:kern w:val="2"/>
          <w:sz w:val="12"/>
          <w:szCs w:val="12"/>
          <w:lang w:val="en-IN"/>
        </w:rPr>
      </w:pPr>
    </w:p>
    <w:p w14:paraId="46C15765" w14:textId="77777777" w:rsidR="000632A6" w:rsidRPr="00474C45" w:rsidRDefault="000632A6" w:rsidP="000632A6">
      <w:pPr>
        <w:pStyle w:val="Heading2"/>
        <w:rPr>
          <w:rFonts w:eastAsia="Aptos"/>
          <w:lang w:val="en-IN"/>
        </w:rPr>
      </w:pPr>
      <w:bookmarkStart w:id="1" w:name="_GoBack"/>
      <w:r w:rsidRPr="00474C45">
        <w:rPr>
          <w:rFonts w:eastAsia="Aptos"/>
          <w:lang w:val="en-IN"/>
        </w:rPr>
        <w:t>Disclaimer (Artificial Intelligence)</w:t>
      </w:r>
    </w:p>
    <w:p w14:paraId="2369C429" w14:textId="77777777" w:rsidR="000632A6" w:rsidRPr="00474C45" w:rsidRDefault="000632A6" w:rsidP="000632A6">
      <w:pPr>
        <w:spacing w:after="0" w:line="240" w:lineRule="auto"/>
        <w:ind w:left="810" w:hanging="810"/>
        <w:jc w:val="both"/>
        <w:rPr>
          <w:rFonts w:ascii="Arial" w:eastAsia="Aptos" w:hAnsi="Arial" w:cs="Arial"/>
          <w:b/>
          <w:bCs/>
          <w:kern w:val="2"/>
          <w:sz w:val="12"/>
          <w:szCs w:val="12"/>
          <w:lang w:val="en-IN"/>
        </w:rPr>
      </w:pPr>
    </w:p>
    <w:p w14:paraId="02429F7A" w14:textId="44DD4E14" w:rsidR="000632A6" w:rsidRPr="00474C45" w:rsidRDefault="000632A6" w:rsidP="000632A6">
      <w:pPr>
        <w:spacing w:after="0" w:line="240" w:lineRule="auto"/>
        <w:jc w:val="both"/>
        <w:rPr>
          <w:rFonts w:ascii="Arial" w:eastAsia="Aptos" w:hAnsi="Arial" w:cs="Arial"/>
          <w:iCs/>
          <w:kern w:val="2"/>
          <w:sz w:val="20"/>
          <w:szCs w:val="20"/>
          <w:lang w:val="en-IN"/>
        </w:rPr>
      </w:pPr>
      <w:r w:rsidRPr="00474C45">
        <w:rPr>
          <w:rFonts w:ascii="Arial" w:eastAsia="Aptos" w:hAnsi="Arial" w:cs="Arial"/>
          <w:iCs/>
          <w:kern w:val="2"/>
          <w:sz w:val="20"/>
          <w:szCs w:val="20"/>
          <w:lang w:val="en-IN"/>
        </w:rPr>
        <w:t>Authors hereby declare that no generative AI technologies such as Large Language Models (ChatGPT, COPILOT, etc.) and text-to-image generators have been used during the writing or editing of this manuscript.</w:t>
      </w:r>
    </w:p>
    <w:bookmarkEnd w:id="1"/>
    <w:p w14:paraId="6DF40C6A" w14:textId="77777777" w:rsidR="000632A6" w:rsidRPr="00474C45" w:rsidRDefault="000632A6" w:rsidP="000632A6">
      <w:pPr>
        <w:spacing w:after="0" w:line="240" w:lineRule="auto"/>
        <w:jc w:val="both"/>
        <w:rPr>
          <w:rFonts w:ascii="Arial" w:eastAsia="Aptos" w:hAnsi="Arial" w:cs="Arial"/>
          <w:iCs/>
          <w:kern w:val="2"/>
          <w:sz w:val="12"/>
          <w:szCs w:val="12"/>
          <w:lang w:val="en-IN"/>
        </w:rPr>
      </w:pPr>
    </w:p>
    <w:p w14:paraId="60819CB0" w14:textId="77777777" w:rsidR="000632A6" w:rsidRPr="00474C45" w:rsidRDefault="000632A6" w:rsidP="000632A6">
      <w:pPr>
        <w:pStyle w:val="ReferHead"/>
        <w:spacing w:after="0"/>
        <w:jc w:val="both"/>
        <w:rPr>
          <w:rFonts w:ascii="Arial" w:hAnsi="Arial" w:cs="Arial"/>
          <w:bCs/>
        </w:rPr>
      </w:pPr>
      <w:r w:rsidRPr="00474C45">
        <w:rPr>
          <w:rFonts w:ascii="Arial" w:hAnsi="Arial" w:cs="Arial"/>
          <w:bCs/>
          <w:caps w:val="0"/>
        </w:rPr>
        <w:t>Competing Interests</w:t>
      </w:r>
    </w:p>
    <w:p w14:paraId="6764FB81" w14:textId="77777777" w:rsidR="000632A6" w:rsidRPr="00474C45" w:rsidRDefault="000632A6" w:rsidP="000632A6">
      <w:pPr>
        <w:pStyle w:val="ReferHead"/>
        <w:spacing w:after="0"/>
        <w:rPr>
          <w:rFonts w:ascii="Arial" w:hAnsi="Arial" w:cs="Arial"/>
          <w:sz w:val="12"/>
          <w:szCs w:val="12"/>
        </w:rPr>
      </w:pPr>
    </w:p>
    <w:p w14:paraId="28116F76" w14:textId="77777777" w:rsidR="000632A6" w:rsidRPr="00474C45" w:rsidRDefault="000632A6" w:rsidP="000632A6">
      <w:pPr>
        <w:pStyle w:val="ReferHead"/>
        <w:spacing w:after="0"/>
        <w:jc w:val="both"/>
        <w:rPr>
          <w:rFonts w:ascii="Arial" w:hAnsi="Arial" w:cs="Arial"/>
          <w:b w:val="0"/>
          <w:caps w:val="0"/>
          <w:sz w:val="20"/>
        </w:rPr>
      </w:pPr>
      <w:r w:rsidRPr="00474C45">
        <w:rPr>
          <w:rFonts w:ascii="Arial" w:hAnsi="Arial" w:cs="Arial"/>
          <w:b w:val="0"/>
          <w:caps w:val="0"/>
          <w:sz w:val="20"/>
        </w:rPr>
        <w:t>Authors have declared that no competing interests exist.</w:t>
      </w:r>
    </w:p>
    <w:p w14:paraId="50ECC05E" w14:textId="77777777" w:rsidR="000632A6" w:rsidRPr="00474C45" w:rsidRDefault="000632A6" w:rsidP="000632A6">
      <w:pPr>
        <w:spacing w:after="0" w:line="240" w:lineRule="auto"/>
        <w:ind w:left="810" w:hanging="810"/>
        <w:jc w:val="both"/>
        <w:rPr>
          <w:rFonts w:ascii="Arial" w:eastAsia="Aptos" w:hAnsi="Arial" w:cs="Arial"/>
          <w:b/>
          <w:kern w:val="2"/>
          <w:sz w:val="12"/>
          <w:szCs w:val="12"/>
          <w:lang w:val="en-IN"/>
        </w:rPr>
      </w:pPr>
    </w:p>
    <w:p w14:paraId="0A8DBDC2" w14:textId="77777777" w:rsidR="000632A6" w:rsidRPr="00474C45" w:rsidRDefault="000632A6" w:rsidP="000632A6">
      <w:pPr>
        <w:pStyle w:val="Heading2"/>
        <w:rPr>
          <w:rFonts w:eastAsia="Aptos"/>
          <w:lang w:val="pt-BR"/>
        </w:rPr>
      </w:pPr>
      <w:r w:rsidRPr="00474C45">
        <w:rPr>
          <w:rFonts w:eastAsia="Aptos"/>
          <w:lang w:val="pt-BR"/>
        </w:rPr>
        <w:t>References</w:t>
      </w:r>
    </w:p>
    <w:p w14:paraId="692A1CE4" w14:textId="77777777" w:rsidR="000632A6" w:rsidRPr="00474C45" w:rsidRDefault="000632A6" w:rsidP="000632A6">
      <w:pPr>
        <w:spacing w:after="0" w:line="240" w:lineRule="auto"/>
        <w:jc w:val="both"/>
        <w:rPr>
          <w:rFonts w:ascii="Arial" w:eastAsia="Aptos" w:hAnsi="Arial" w:cs="Arial"/>
          <w:b/>
          <w:bCs/>
          <w:kern w:val="2"/>
          <w:sz w:val="12"/>
          <w:szCs w:val="12"/>
          <w:lang w:val="pt-BR"/>
        </w:rPr>
      </w:pPr>
    </w:p>
    <w:p w14:paraId="7AB56223" w14:textId="331D1783"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pt-BR"/>
        </w:rPr>
        <w:t>Al</w:t>
      </w:r>
      <w:r w:rsidR="00474C45" w:rsidRPr="00474C45">
        <w:rPr>
          <w:rFonts w:ascii="Arial" w:eastAsia="Aptos" w:hAnsi="Arial" w:cs="Arial"/>
          <w:kern w:val="2"/>
          <w:sz w:val="20"/>
          <w:szCs w:val="20"/>
          <w:lang w:val="pt-BR"/>
        </w:rPr>
        <w:t>-</w:t>
      </w:r>
      <w:r w:rsidRPr="00474C45">
        <w:rPr>
          <w:rFonts w:ascii="Arial" w:eastAsia="Aptos" w:hAnsi="Arial" w:cs="Arial"/>
          <w:kern w:val="2"/>
          <w:sz w:val="20"/>
          <w:szCs w:val="20"/>
          <w:lang w:val="pt-BR"/>
        </w:rPr>
        <w:t xml:space="preserve">Razi, H., Baki, M. A., &amp; Alam, S. M. I. (2014a). </w:t>
      </w:r>
      <w:r w:rsidRPr="00474C45">
        <w:rPr>
          <w:rFonts w:ascii="Arial" w:eastAsia="Aptos" w:hAnsi="Arial" w:cs="Arial"/>
          <w:kern w:val="2"/>
          <w:sz w:val="20"/>
          <w:szCs w:val="20"/>
          <w:lang w:val="en-IN"/>
        </w:rPr>
        <w:t xml:space="preserve">Record of </w:t>
      </w:r>
      <w:r w:rsidRPr="00474C45">
        <w:rPr>
          <w:rFonts w:ascii="Arial" w:eastAsia="Aptos" w:hAnsi="Arial" w:cs="Arial"/>
          <w:i/>
          <w:iCs/>
          <w:kern w:val="2"/>
          <w:sz w:val="20"/>
          <w:szCs w:val="20"/>
          <w:lang w:val="en-IN"/>
        </w:rPr>
        <w:t>Humerana humeralis</w:t>
      </w:r>
      <w:r w:rsidRPr="00474C45">
        <w:rPr>
          <w:rFonts w:ascii="Arial" w:eastAsia="Aptos" w:hAnsi="Arial" w:cs="Arial"/>
          <w:kern w:val="2"/>
          <w:sz w:val="20"/>
          <w:szCs w:val="20"/>
          <w:lang w:val="en-IN"/>
        </w:rPr>
        <w:t xml:space="preserve"> (Boulenger, 1887) from Rangpur District of north-western Bangladesh. </w:t>
      </w:r>
      <w:r w:rsidRPr="00474C45">
        <w:rPr>
          <w:rFonts w:ascii="Arial" w:eastAsia="Aptos" w:hAnsi="Arial" w:cs="Arial"/>
          <w:i/>
          <w:iCs/>
          <w:kern w:val="2"/>
          <w:sz w:val="20"/>
          <w:szCs w:val="20"/>
          <w:lang w:val="en-IN"/>
        </w:rPr>
        <w:t>Bangladesh Journal of Zoology</w:t>
      </w:r>
      <w:r w:rsidRPr="00474C45">
        <w:rPr>
          <w:rFonts w:ascii="Arial" w:eastAsia="Aptos" w:hAnsi="Arial" w:cs="Arial"/>
          <w:kern w:val="2"/>
          <w:sz w:val="20"/>
          <w:szCs w:val="20"/>
          <w:lang w:val="en-IN"/>
        </w:rPr>
        <w:t>, 42(2): 277–282.</w:t>
      </w:r>
    </w:p>
    <w:p w14:paraId="1B82CE6E"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Al-Razi, H., Rahman, M. M., &amp; Howlader, M. S. A. (2014b). First record of </w:t>
      </w:r>
      <w:r w:rsidRPr="00474C45">
        <w:rPr>
          <w:rFonts w:ascii="Arial" w:eastAsia="Aptos" w:hAnsi="Arial" w:cs="Arial"/>
          <w:i/>
          <w:iCs/>
          <w:kern w:val="2"/>
          <w:sz w:val="20"/>
          <w:szCs w:val="20"/>
          <w:lang w:val="en-IN"/>
        </w:rPr>
        <w:t>Humerana humeralis</w:t>
      </w:r>
      <w:r w:rsidRPr="00474C45">
        <w:rPr>
          <w:rFonts w:ascii="Arial" w:eastAsia="Aptos" w:hAnsi="Arial" w:cs="Arial"/>
          <w:kern w:val="2"/>
          <w:sz w:val="20"/>
          <w:szCs w:val="20"/>
          <w:lang w:val="en-IN"/>
        </w:rPr>
        <w:t xml:space="preserve"> from Bangladesh with notes on external morphology. </w:t>
      </w:r>
      <w:r w:rsidRPr="00474C45">
        <w:rPr>
          <w:rFonts w:ascii="Arial" w:eastAsia="Aptos" w:hAnsi="Arial" w:cs="Arial"/>
          <w:i/>
          <w:iCs/>
          <w:kern w:val="2"/>
          <w:sz w:val="20"/>
          <w:szCs w:val="20"/>
          <w:lang w:val="en-IN"/>
        </w:rPr>
        <w:t>Journal of Threatened Taxa</w:t>
      </w:r>
      <w:r w:rsidRPr="00474C45">
        <w:rPr>
          <w:rFonts w:ascii="Arial" w:eastAsia="Aptos" w:hAnsi="Arial" w:cs="Arial"/>
          <w:kern w:val="2"/>
          <w:sz w:val="20"/>
          <w:szCs w:val="20"/>
          <w:lang w:val="en-IN"/>
        </w:rPr>
        <w:t>, 6(7): 6025–6029. https://doi.org/10.11609/JoTT.o3565.6025-6029</w:t>
      </w:r>
    </w:p>
    <w:p w14:paraId="0436133A"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rPr>
        <w:t xml:space="preserve">Ao, J. M., Bordoloi, S., &amp; Ohler, A. (2003). </w:t>
      </w:r>
      <w:r w:rsidRPr="00474C45">
        <w:rPr>
          <w:rFonts w:ascii="Arial" w:eastAsia="Aptos" w:hAnsi="Arial" w:cs="Arial"/>
          <w:bCs/>
          <w:kern w:val="2"/>
          <w:sz w:val="20"/>
          <w:szCs w:val="20"/>
          <w:lang w:val="en-IN"/>
        </w:rPr>
        <w:t xml:space="preserve">Amphibian fauna of Nagaland with nineteen new records from the state including five new records for India. </w:t>
      </w:r>
      <w:r w:rsidRPr="00474C45">
        <w:rPr>
          <w:rFonts w:ascii="Arial" w:eastAsia="Aptos" w:hAnsi="Arial" w:cs="Arial"/>
          <w:bCs/>
          <w:i/>
          <w:iCs/>
          <w:kern w:val="2"/>
          <w:sz w:val="20"/>
          <w:szCs w:val="20"/>
          <w:lang w:val="en-IN"/>
        </w:rPr>
        <w:t>Zoo’s Print Journal</w:t>
      </w:r>
      <w:r w:rsidRPr="00474C45">
        <w:rPr>
          <w:rFonts w:ascii="Arial" w:eastAsia="Aptos" w:hAnsi="Arial" w:cs="Arial"/>
          <w:bCs/>
          <w:kern w:val="2"/>
          <w:sz w:val="20"/>
          <w:szCs w:val="20"/>
          <w:lang w:val="en-IN"/>
        </w:rPr>
        <w:t>, 18(6): 1117–1125.</w:t>
      </w:r>
    </w:p>
    <w:p w14:paraId="298C5391" w14:textId="77777777" w:rsidR="000632A6" w:rsidRPr="00474C45" w:rsidRDefault="000632A6" w:rsidP="000632A6">
      <w:pPr>
        <w:spacing w:after="0" w:line="240" w:lineRule="auto"/>
        <w:ind w:left="540" w:hanging="540"/>
        <w:jc w:val="both"/>
        <w:rPr>
          <w:rFonts w:ascii="Arial" w:eastAsia="Aptos" w:hAnsi="Arial" w:cs="Arial"/>
          <w:kern w:val="2"/>
          <w:sz w:val="20"/>
          <w:szCs w:val="20"/>
          <w:lang w:val="pt-BR"/>
        </w:rPr>
      </w:pPr>
      <w:r w:rsidRPr="00474C45">
        <w:rPr>
          <w:rFonts w:ascii="Arial" w:eastAsia="Aptos" w:hAnsi="Arial" w:cs="Arial"/>
          <w:kern w:val="2"/>
          <w:sz w:val="20"/>
          <w:szCs w:val="20"/>
          <w:lang w:val="en-IN"/>
        </w:rPr>
        <w:t xml:space="preserve">Boulenger, G. A. (1887). An account of the batrachians obtained in Burma by M. L. </w:t>
      </w:r>
      <w:r w:rsidRPr="00474C45">
        <w:rPr>
          <w:rFonts w:ascii="Arial" w:eastAsia="Aptos" w:hAnsi="Arial" w:cs="Arial"/>
          <w:kern w:val="2"/>
          <w:sz w:val="20"/>
          <w:szCs w:val="20"/>
          <w:lang w:val="en-IN"/>
        </w:rPr>
        <w:lastRenderedPageBreak/>
        <w:t xml:space="preserve">Fea of the Genova Civic Museum. </w:t>
      </w:r>
      <w:r w:rsidRPr="00474C45">
        <w:rPr>
          <w:rFonts w:ascii="Arial" w:eastAsia="Aptos" w:hAnsi="Arial" w:cs="Arial"/>
          <w:i/>
          <w:iCs/>
          <w:kern w:val="2"/>
          <w:sz w:val="20"/>
          <w:szCs w:val="20"/>
          <w:lang w:val="pt-BR"/>
        </w:rPr>
        <w:t>Annali del Museo Civico di Storia Naturale di Genova</w:t>
      </w:r>
      <w:r w:rsidRPr="00474C45">
        <w:rPr>
          <w:rFonts w:ascii="Arial" w:eastAsia="Aptos" w:hAnsi="Arial" w:cs="Arial"/>
          <w:kern w:val="2"/>
          <w:sz w:val="20"/>
          <w:szCs w:val="20"/>
          <w:lang w:val="pt-BR"/>
        </w:rPr>
        <w:t>, Series 2, 5: 418–424.</w:t>
      </w:r>
    </w:p>
    <w:p w14:paraId="076E9DB2"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Boulenger, G. A. (1890). </w:t>
      </w:r>
      <w:r w:rsidRPr="00474C45">
        <w:rPr>
          <w:rFonts w:ascii="Arial" w:eastAsia="Aptos" w:hAnsi="Arial" w:cs="Arial"/>
          <w:i/>
          <w:iCs/>
          <w:kern w:val="2"/>
          <w:sz w:val="20"/>
          <w:szCs w:val="20"/>
          <w:lang w:val="en-IN"/>
        </w:rPr>
        <w:t>The fauna of British India, including Ceylon and Burma: Reptilia and Batrachia</w:t>
      </w:r>
      <w:r w:rsidRPr="00474C45">
        <w:rPr>
          <w:rFonts w:ascii="Arial" w:eastAsia="Aptos" w:hAnsi="Arial" w:cs="Arial"/>
          <w:kern w:val="2"/>
          <w:sz w:val="20"/>
          <w:szCs w:val="20"/>
          <w:lang w:val="en-IN"/>
        </w:rPr>
        <w:t>. Taylor and Francis, London.</w:t>
      </w:r>
    </w:p>
    <w:p w14:paraId="39A47C19"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Chanda, S. K. (2002). </w:t>
      </w:r>
      <w:r w:rsidRPr="00474C45">
        <w:rPr>
          <w:rFonts w:ascii="Arial" w:eastAsia="Aptos" w:hAnsi="Arial" w:cs="Arial"/>
          <w:i/>
          <w:iCs/>
          <w:kern w:val="2"/>
          <w:sz w:val="20"/>
          <w:szCs w:val="20"/>
          <w:lang w:val="en-IN"/>
        </w:rPr>
        <w:t>Handbook of Indian amphibians</w:t>
      </w:r>
      <w:r w:rsidRPr="00474C45">
        <w:rPr>
          <w:rFonts w:ascii="Arial" w:eastAsia="Aptos" w:hAnsi="Arial" w:cs="Arial"/>
          <w:kern w:val="2"/>
          <w:sz w:val="20"/>
          <w:szCs w:val="20"/>
          <w:lang w:val="en-IN"/>
        </w:rPr>
        <w:t>. Zoological Survey of India, Kolkata.</w:t>
      </w:r>
    </w:p>
    <w:p w14:paraId="76399B07"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lang w:val="pt-BR"/>
        </w:rPr>
        <w:t xml:space="preserve">Chetia, M., Sharma, D. K., &amp; Sengupta, S. (2014). </w:t>
      </w:r>
      <w:r w:rsidRPr="00474C45">
        <w:rPr>
          <w:rFonts w:ascii="Arial" w:eastAsia="Aptos" w:hAnsi="Arial" w:cs="Arial"/>
          <w:bCs/>
          <w:kern w:val="2"/>
          <w:sz w:val="20"/>
          <w:szCs w:val="20"/>
          <w:lang w:val="en-IN"/>
        </w:rPr>
        <w:t xml:space="preserve">Amphibian diversity of wetlands of Bongaigaon District of Assam with a note on the morphometric characters of </w:t>
      </w:r>
      <w:r w:rsidRPr="00474C45">
        <w:rPr>
          <w:rFonts w:ascii="Arial" w:eastAsia="Aptos" w:hAnsi="Arial" w:cs="Arial"/>
          <w:bCs/>
          <w:i/>
          <w:iCs/>
          <w:kern w:val="2"/>
          <w:sz w:val="20"/>
          <w:szCs w:val="20"/>
          <w:lang w:val="en-IN"/>
        </w:rPr>
        <w:t>Duttaphrynus melanostictus</w:t>
      </w:r>
      <w:r w:rsidRPr="00474C45">
        <w:rPr>
          <w:rFonts w:ascii="Arial" w:eastAsia="Aptos" w:hAnsi="Arial" w:cs="Arial"/>
          <w:bCs/>
          <w:kern w:val="2"/>
          <w:sz w:val="20"/>
          <w:szCs w:val="20"/>
          <w:lang w:val="en-IN"/>
        </w:rPr>
        <w:t xml:space="preserve">. </w:t>
      </w:r>
      <w:r w:rsidRPr="00474C45">
        <w:rPr>
          <w:rFonts w:ascii="Arial" w:eastAsia="Aptos" w:hAnsi="Arial" w:cs="Arial"/>
          <w:bCs/>
          <w:i/>
          <w:iCs/>
          <w:kern w:val="2"/>
          <w:sz w:val="20"/>
          <w:szCs w:val="20"/>
          <w:lang w:val="en-IN"/>
        </w:rPr>
        <w:t>International Journal of Research Studies in Biosciences</w:t>
      </w:r>
      <w:r w:rsidRPr="00474C45">
        <w:rPr>
          <w:rFonts w:ascii="Arial" w:eastAsia="Aptos" w:hAnsi="Arial" w:cs="Arial"/>
          <w:bCs/>
          <w:kern w:val="2"/>
          <w:sz w:val="20"/>
          <w:szCs w:val="20"/>
          <w:lang w:val="en-IN"/>
        </w:rPr>
        <w:t>, 2(6): 26–32.</w:t>
      </w:r>
    </w:p>
    <w:p w14:paraId="1AFD547B"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Crump, M. L., &amp; Scott, N. J. Jr. (1994). Visual encounter surveys. In: W. R. Heyer, M. A. Donnelly, R. W. McDiarmid, L. A. C. Hayek, &amp; M. S. Foster (Eds.), </w:t>
      </w:r>
      <w:r w:rsidRPr="00474C45">
        <w:rPr>
          <w:rFonts w:ascii="Arial" w:eastAsia="Aptos" w:hAnsi="Arial" w:cs="Arial"/>
          <w:i/>
          <w:iCs/>
          <w:kern w:val="2"/>
          <w:sz w:val="20"/>
          <w:szCs w:val="20"/>
          <w:lang w:val="en-IN"/>
        </w:rPr>
        <w:t>Measuring and monitoring biological diversity: Standard methods for amphibians</w:t>
      </w:r>
      <w:r w:rsidRPr="00474C45">
        <w:rPr>
          <w:rFonts w:ascii="Arial" w:eastAsia="Aptos" w:hAnsi="Arial" w:cs="Arial"/>
          <w:kern w:val="2"/>
          <w:sz w:val="20"/>
          <w:szCs w:val="20"/>
          <w:lang w:val="en-IN"/>
        </w:rPr>
        <w:t>. Smithsonian Institution Press, Washington DC, pp. 84–92.</w:t>
      </w:r>
    </w:p>
    <w:p w14:paraId="039EACC2"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rPr>
        <w:t xml:space="preserve">Deuti, K., Ray, S., Bag, P., &amp; Dey, S. K. (2017). Amphibians of the Duars area of northern West Bengal. </w:t>
      </w:r>
      <w:r w:rsidRPr="00474C45">
        <w:rPr>
          <w:rFonts w:ascii="Arial" w:eastAsia="Aptos" w:hAnsi="Arial" w:cs="Arial"/>
          <w:bCs/>
          <w:i/>
          <w:iCs/>
          <w:kern w:val="2"/>
          <w:sz w:val="20"/>
          <w:szCs w:val="20"/>
        </w:rPr>
        <w:t>Records of the Zoological Survey of India</w:t>
      </w:r>
      <w:r w:rsidRPr="00474C45">
        <w:rPr>
          <w:rFonts w:ascii="Arial" w:eastAsia="Aptos" w:hAnsi="Arial" w:cs="Arial"/>
          <w:bCs/>
          <w:kern w:val="2"/>
          <w:sz w:val="20"/>
          <w:szCs w:val="20"/>
        </w:rPr>
        <w:t>, 117(3): 221–241. https://doi.org/10.26515/rzsi/v117/i3/2017/120966</w:t>
      </w:r>
    </w:p>
    <w:p w14:paraId="7956392F"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Dinesh, K. P., Radhakrishnan, C., Channakeshavamurthy, B. H., Deepak, P., &amp; Kulkarni, N. U. (2020). </w:t>
      </w:r>
      <w:r w:rsidRPr="00474C45">
        <w:rPr>
          <w:rFonts w:ascii="Arial" w:eastAsia="Aptos" w:hAnsi="Arial" w:cs="Arial"/>
          <w:i/>
          <w:iCs/>
          <w:kern w:val="2"/>
          <w:sz w:val="20"/>
          <w:szCs w:val="20"/>
          <w:lang w:val="en-IN"/>
        </w:rPr>
        <w:t>A checklist of amphibians of India with IUCN conservation status</w:t>
      </w:r>
      <w:r w:rsidRPr="00474C45">
        <w:rPr>
          <w:rFonts w:ascii="Arial" w:eastAsia="Aptos" w:hAnsi="Arial" w:cs="Arial"/>
          <w:kern w:val="2"/>
          <w:sz w:val="20"/>
          <w:szCs w:val="20"/>
          <w:lang w:val="en-IN"/>
        </w:rPr>
        <w:t>. Zoological Survey of India, Kolkata.</w:t>
      </w:r>
    </w:p>
    <w:p w14:paraId="7BDCAE71"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Dubois, A. (1974). Diagnostic characters and taxonomy in amphibians. </w:t>
      </w:r>
      <w:r w:rsidRPr="00474C45">
        <w:rPr>
          <w:rFonts w:ascii="Arial" w:eastAsia="Aptos" w:hAnsi="Arial" w:cs="Arial"/>
          <w:i/>
          <w:iCs/>
          <w:kern w:val="2"/>
          <w:sz w:val="20"/>
          <w:szCs w:val="20"/>
          <w:lang w:val="en-IN"/>
        </w:rPr>
        <w:t>Journal of Herpetology</w:t>
      </w:r>
      <w:r w:rsidRPr="00474C45">
        <w:rPr>
          <w:rFonts w:ascii="Arial" w:eastAsia="Aptos" w:hAnsi="Arial" w:cs="Arial"/>
          <w:kern w:val="2"/>
          <w:sz w:val="20"/>
          <w:szCs w:val="20"/>
          <w:lang w:val="en-IN"/>
        </w:rPr>
        <w:t>, 8(3): 213–241.</w:t>
      </w:r>
    </w:p>
    <w:p w14:paraId="5C1D1451"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rPr>
        <w:t xml:space="preserve">Duellman, W. E., &amp; Trueb, L. (1994). </w:t>
      </w:r>
      <w:r w:rsidRPr="00474C45">
        <w:rPr>
          <w:rFonts w:ascii="Arial" w:eastAsia="Aptos" w:hAnsi="Arial" w:cs="Arial"/>
          <w:i/>
          <w:iCs/>
          <w:kern w:val="2"/>
          <w:sz w:val="20"/>
          <w:szCs w:val="20"/>
        </w:rPr>
        <w:t>Biology of amphibians</w:t>
      </w:r>
      <w:r w:rsidRPr="00474C45">
        <w:rPr>
          <w:rFonts w:ascii="Arial" w:eastAsia="Aptos" w:hAnsi="Arial" w:cs="Arial"/>
          <w:kern w:val="2"/>
          <w:sz w:val="20"/>
          <w:szCs w:val="20"/>
        </w:rPr>
        <w:t>. Johns Hopkins University Press, Baltimore.</w:t>
      </w:r>
    </w:p>
    <w:p w14:paraId="62A15D96"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Emerson, S. B. (1978). Allometry and jumping in frogs: Helping the twain to meet. </w:t>
      </w:r>
      <w:r w:rsidRPr="00474C45">
        <w:rPr>
          <w:rFonts w:ascii="Arial" w:eastAsia="Aptos" w:hAnsi="Arial" w:cs="Arial"/>
          <w:i/>
          <w:iCs/>
          <w:kern w:val="2"/>
          <w:sz w:val="20"/>
          <w:szCs w:val="20"/>
          <w:lang w:val="en-IN"/>
        </w:rPr>
        <w:t>Evolution</w:t>
      </w:r>
      <w:r w:rsidRPr="00474C45">
        <w:rPr>
          <w:rFonts w:ascii="Arial" w:eastAsia="Aptos" w:hAnsi="Arial" w:cs="Arial"/>
          <w:kern w:val="2"/>
          <w:sz w:val="20"/>
          <w:szCs w:val="20"/>
          <w:lang w:val="en-IN"/>
        </w:rPr>
        <w:t>, 32(3): 551–564. https://doi.org/10.2307/2407722</w:t>
      </w:r>
    </w:p>
    <w:p w14:paraId="63902E7D"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Frost, D. R. (2008). </w:t>
      </w:r>
      <w:r w:rsidRPr="00474C45">
        <w:rPr>
          <w:rFonts w:ascii="Arial" w:eastAsia="Aptos" w:hAnsi="Arial" w:cs="Arial"/>
          <w:i/>
          <w:iCs/>
          <w:kern w:val="2"/>
          <w:sz w:val="20"/>
          <w:szCs w:val="20"/>
          <w:lang w:val="en-IN"/>
        </w:rPr>
        <w:t>Amphibian species of the world: An online reference</w:t>
      </w:r>
      <w:r w:rsidRPr="00474C45">
        <w:rPr>
          <w:rFonts w:ascii="Arial" w:eastAsia="Aptos" w:hAnsi="Arial" w:cs="Arial"/>
          <w:kern w:val="2"/>
          <w:sz w:val="20"/>
          <w:szCs w:val="20"/>
          <w:lang w:val="en-IN"/>
        </w:rPr>
        <w:t>, Version 5.2. American Museum of Natural History, New York, USA.</w:t>
      </w:r>
    </w:p>
    <w:p w14:paraId="2D5459F0"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Frost, D. R. (2024). </w:t>
      </w:r>
      <w:r w:rsidRPr="00474C45">
        <w:rPr>
          <w:rFonts w:ascii="Arial" w:eastAsia="Aptos" w:hAnsi="Arial" w:cs="Arial"/>
          <w:i/>
          <w:iCs/>
          <w:kern w:val="2"/>
          <w:sz w:val="20"/>
          <w:szCs w:val="20"/>
          <w:lang w:val="en-IN"/>
        </w:rPr>
        <w:t>Amphibian species of the world: An online reference</w:t>
      </w:r>
      <w:r w:rsidRPr="00474C45">
        <w:rPr>
          <w:rFonts w:ascii="Arial" w:eastAsia="Aptos" w:hAnsi="Arial" w:cs="Arial"/>
          <w:kern w:val="2"/>
          <w:sz w:val="20"/>
          <w:szCs w:val="20"/>
          <w:lang w:val="en-IN"/>
        </w:rPr>
        <w:t>. American Museum of Natural History, New York, USA.</w:t>
      </w:r>
    </w:p>
    <w:p w14:paraId="180B0E94"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Heyer, W. R., Donnelly, M. A., McDiarmid, R. W., Hayek, L. A. C., &amp; Foster, M. S. (Eds.). (1994). </w:t>
      </w:r>
      <w:r w:rsidRPr="00474C45">
        <w:rPr>
          <w:rFonts w:ascii="Arial" w:eastAsia="Aptos" w:hAnsi="Arial" w:cs="Arial"/>
          <w:i/>
          <w:iCs/>
          <w:kern w:val="2"/>
          <w:sz w:val="20"/>
          <w:szCs w:val="20"/>
          <w:lang w:val="en-IN"/>
        </w:rPr>
        <w:t xml:space="preserve">Measuring and monitoring biological diversity: Standard methods for </w:t>
      </w:r>
      <w:r w:rsidRPr="00474C45">
        <w:rPr>
          <w:rFonts w:ascii="Arial" w:eastAsia="Aptos" w:hAnsi="Arial" w:cs="Arial"/>
          <w:i/>
          <w:iCs/>
          <w:kern w:val="2"/>
          <w:sz w:val="20"/>
          <w:szCs w:val="20"/>
          <w:lang w:val="en-IN"/>
        </w:rPr>
        <w:t>amphibians</w:t>
      </w:r>
      <w:r w:rsidRPr="00474C45">
        <w:rPr>
          <w:rFonts w:ascii="Arial" w:eastAsia="Aptos" w:hAnsi="Arial" w:cs="Arial"/>
          <w:kern w:val="2"/>
          <w:sz w:val="20"/>
          <w:szCs w:val="20"/>
          <w:lang w:val="en-IN"/>
        </w:rPr>
        <w:t>. Smithsonian Institution Press, Washington DC.</w:t>
      </w:r>
    </w:p>
    <w:p w14:paraId="7B3AF4B1"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nb-NO"/>
        </w:rPr>
        <w:t xml:space="preserve">Hussain, B., Bordoloi, S., Ohler, A., &amp; Sengupta, S. (2007). </w:t>
      </w:r>
      <w:r w:rsidRPr="00474C45">
        <w:rPr>
          <w:rFonts w:ascii="Arial" w:eastAsia="Aptos" w:hAnsi="Arial" w:cs="Arial"/>
          <w:i/>
          <w:iCs/>
          <w:kern w:val="2"/>
          <w:sz w:val="20"/>
          <w:szCs w:val="20"/>
          <w:lang w:val="en-IN"/>
        </w:rPr>
        <w:t>Rana humeralis</w:t>
      </w:r>
      <w:r w:rsidRPr="00474C45">
        <w:rPr>
          <w:rFonts w:ascii="Arial" w:eastAsia="Aptos" w:hAnsi="Arial" w:cs="Arial"/>
          <w:kern w:val="2"/>
          <w:sz w:val="20"/>
          <w:szCs w:val="20"/>
          <w:lang w:val="en-IN"/>
        </w:rPr>
        <w:t xml:space="preserve">—a new record for India with notes on morphology. </w:t>
      </w:r>
      <w:r w:rsidRPr="00474C45">
        <w:rPr>
          <w:rFonts w:ascii="Arial" w:eastAsia="Aptos" w:hAnsi="Arial" w:cs="Arial"/>
          <w:i/>
          <w:iCs/>
          <w:kern w:val="2"/>
          <w:sz w:val="20"/>
          <w:szCs w:val="20"/>
          <w:lang w:val="en-IN"/>
        </w:rPr>
        <w:t>Zoo’s Print Journal</w:t>
      </w:r>
      <w:r w:rsidRPr="00474C45">
        <w:rPr>
          <w:rFonts w:ascii="Arial" w:eastAsia="Aptos" w:hAnsi="Arial" w:cs="Arial"/>
          <w:kern w:val="2"/>
          <w:sz w:val="20"/>
          <w:szCs w:val="20"/>
          <w:lang w:val="en-IN"/>
        </w:rPr>
        <w:t>, 22(4): 2659–2662.</w:t>
      </w:r>
    </w:p>
    <w:p w14:paraId="1FCA1B98"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Inger, R. F. (1966). Adaptations of amphibians to stream environments. </w:t>
      </w:r>
      <w:r w:rsidRPr="00474C45">
        <w:rPr>
          <w:rFonts w:ascii="Arial" w:eastAsia="Aptos" w:hAnsi="Arial" w:cs="Arial"/>
          <w:i/>
          <w:iCs/>
          <w:kern w:val="2"/>
          <w:sz w:val="20"/>
          <w:szCs w:val="20"/>
          <w:lang w:val="en-IN"/>
        </w:rPr>
        <w:t>Fieldiana: Zoology</w:t>
      </w:r>
      <w:r w:rsidRPr="00474C45">
        <w:rPr>
          <w:rFonts w:ascii="Arial" w:eastAsia="Aptos" w:hAnsi="Arial" w:cs="Arial"/>
          <w:kern w:val="2"/>
          <w:sz w:val="20"/>
          <w:szCs w:val="20"/>
          <w:lang w:val="en-IN"/>
        </w:rPr>
        <w:t>, 52: 1–402.</w:t>
      </w:r>
    </w:p>
    <w:p w14:paraId="27916246"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Inger, R. F., &amp; Stuebing, R. B. (2005). </w:t>
      </w:r>
      <w:r w:rsidRPr="00474C45">
        <w:rPr>
          <w:rFonts w:ascii="Arial" w:eastAsia="Aptos" w:hAnsi="Arial" w:cs="Arial"/>
          <w:i/>
          <w:iCs/>
          <w:kern w:val="2"/>
          <w:sz w:val="20"/>
          <w:szCs w:val="20"/>
          <w:lang w:val="en-IN"/>
        </w:rPr>
        <w:t>A field guide to the frogs of Borneo</w:t>
      </w:r>
      <w:r w:rsidRPr="00474C45">
        <w:rPr>
          <w:rFonts w:ascii="Arial" w:eastAsia="Aptos" w:hAnsi="Arial" w:cs="Arial"/>
          <w:kern w:val="2"/>
          <w:sz w:val="20"/>
          <w:szCs w:val="20"/>
          <w:lang w:val="en-IN"/>
        </w:rPr>
        <w:t>. Natural History Publications (Borneo), Kota Kinabalu.</w:t>
      </w:r>
    </w:p>
    <w:p w14:paraId="0F73D8EC" w14:textId="77777777" w:rsidR="000632A6" w:rsidRPr="00474C45" w:rsidRDefault="000632A6" w:rsidP="000632A6">
      <w:pPr>
        <w:spacing w:after="0" w:line="240" w:lineRule="auto"/>
        <w:ind w:left="540" w:hanging="540"/>
        <w:jc w:val="both"/>
        <w:rPr>
          <w:rFonts w:ascii="Arial" w:eastAsia="Aptos" w:hAnsi="Arial" w:cs="Arial"/>
          <w:color w:val="000000"/>
          <w:kern w:val="2"/>
          <w:sz w:val="20"/>
          <w:szCs w:val="20"/>
          <w:lang w:val="en-IN"/>
        </w:rPr>
      </w:pPr>
      <w:r w:rsidRPr="00474C45">
        <w:rPr>
          <w:rFonts w:ascii="Arial" w:eastAsia="Aptos" w:hAnsi="Arial" w:cs="Arial"/>
          <w:color w:val="000000"/>
          <w:kern w:val="2"/>
          <w:sz w:val="20"/>
          <w:szCs w:val="20"/>
        </w:rPr>
        <w:t xml:space="preserve">IUCN SSC Amphibian Specialist Group. (2020). </w:t>
      </w:r>
      <w:r w:rsidRPr="00474C45">
        <w:rPr>
          <w:rFonts w:ascii="Arial" w:eastAsia="Aptos" w:hAnsi="Arial" w:cs="Arial"/>
          <w:i/>
          <w:iCs/>
          <w:color w:val="000000"/>
          <w:kern w:val="2"/>
          <w:sz w:val="20"/>
          <w:szCs w:val="20"/>
        </w:rPr>
        <w:t>Humerana humeralis</w:t>
      </w:r>
      <w:r w:rsidRPr="00474C45">
        <w:rPr>
          <w:rFonts w:ascii="Arial" w:eastAsia="Aptos" w:hAnsi="Arial" w:cs="Arial"/>
          <w:color w:val="000000"/>
          <w:kern w:val="2"/>
          <w:sz w:val="20"/>
          <w:szCs w:val="20"/>
        </w:rPr>
        <w:t>. The IUCN Red List of Threatened Species. Version 2020. https://doi.org/10.2305/IUCN.UK.2020-3.RLTS.T58638A14799367.en</w:t>
      </w:r>
    </w:p>
    <w:p w14:paraId="6A557FC4"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Naniwadekar, R., &amp; Vasudevan, K. (2014). Patterns of amphibian diversity and distribution in the Western Ghats of India. </w:t>
      </w:r>
      <w:r w:rsidRPr="00474C45">
        <w:rPr>
          <w:rFonts w:ascii="Arial" w:eastAsia="Aptos" w:hAnsi="Arial" w:cs="Arial"/>
          <w:i/>
          <w:iCs/>
          <w:kern w:val="2"/>
          <w:sz w:val="20"/>
          <w:szCs w:val="20"/>
          <w:lang w:val="en-IN"/>
        </w:rPr>
        <w:t>Current Science</w:t>
      </w:r>
      <w:r w:rsidRPr="00474C45">
        <w:rPr>
          <w:rFonts w:ascii="Arial" w:eastAsia="Aptos" w:hAnsi="Arial" w:cs="Arial"/>
          <w:kern w:val="2"/>
          <w:sz w:val="20"/>
          <w:szCs w:val="20"/>
          <w:lang w:val="en-IN"/>
        </w:rPr>
        <w:t>, 107(3): 430–439.</w:t>
      </w:r>
    </w:p>
    <w:p w14:paraId="6D137E95"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lang w:val="en-IN"/>
        </w:rPr>
        <w:t xml:space="preserve">Neog, N. (2016). Anuran diversity in and around historic Joysagar Tank of Sivasagar District, Assam. </w:t>
      </w:r>
      <w:r w:rsidRPr="00474C45">
        <w:rPr>
          <w:rFonts w:ascii="Arial" w:eastAsia="Aptos" w:hAnsi="Arial" w:cs="Arial"/>
          <w:bCs/>
          <w:i/>
          <w:iCs/>
          <w:kern w:val="2"/>
          <w:sz w:val="20"/>
          <w:szCs w:val="20"/>
          <w:lang w:val="en-IN"/>
        </w:rPr>
        <w:t>Journal of Entomology and Zoology Studies</w:t>
      </w:r>
      <w:r w:rsidRPr="00474C45">
        <w:rPr>
          <w:rFonts w:ascii="Arial" w:eastAsia="Aptos" w:hAnsi="Arial" w:cs="Arial"/>
          <w:bCs/>
          <w:kern w:val="2"/>
          <w:sz w:val="20"/>
          <w:szCs w:val="20"/>
          <w:lang w:val="en-IN"/>
        </w:rPr>
        <w:t>, 4(5): 512–515.</w:t>
      </w:r>
    </w:p>
    <w:p w14:paraId="1FEC080D"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lang w:val="en-IN"/>
        </w:rPr>
        <w:t xml:space="preserve">Ningombam, B., &amp; Bordoloi, S. (2007). Amphibian fauna of Loktak Lake, Manipur, India, with ten new records for the State. </w:t>
      </w:r>
      <w:r w:rsidRPr="00474C45">
        <w:rPr>
          <w:rFonts w:ascii="Arial" w:eastAsia="Aptos" w:hAnsi="Arial" w:cs="Arial"/>
          <w:bCs/>
          <w:i/>
          <w:iCs/>
          <w:kern w:val="2"/>
          <w:sz w:val="20"/>
          <w:szCs w:val="20"/>
          <w:lang w:val="en-IN"/>
        </w:rPr>
        <w:t>Zoo’s Print Journal</w:t>
      </w:r>
      <w:r w:rsidRPr="00474C45">
        <w:rPr>
          <w:rFonts w:ascii="Arial" w:eastAsia="Aptos" w:hAnsi="Arial" w:cs="Arial"/>
          <w:bCs/>
          <w:kern w:val="2"/>
          <w:sz w:val="20"/>
          <w:szCs w:val="20"/>
          <w:lang w:val="en-IN"/>
        </w:rPr>
        <w:t>, 22: 2688–2690.</w:t>
      </w:r>
    </w:p>
    <w:p w14:paraId="3CFDA02F"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rPr>
        <w:t xml:space="preserve">Pawar, S. S., &amp; Birand, A. C. (2001). </w:t>
      </w:r>
      <w:r w:rsidRPr="00474C45">
        <w:rPr>
          <w:rFonts w:ascii="Arial" w:eastAsia="Aptos" w:hAnsi="Arial" w:cs="Arial"/>
          <w:bCs/>
          <w:i/>
          <w:iCs/>
          <w:kern w:val="2"/>
          <w:sz w:val="20"/>
          <w:szCs w:val="20"/>
        </w:rPr>
        <w:t>A survey of amphibians, reptiles, and birds in Northeast India</w:t>
      </w:r>
      <w:r w:rsidRPr="00474C45">
        <w:rPr>
          <w:rFonts w:ascii="Arial" w:eastAsia="Aptos" w:hAnsi="Arial" w:cs="Arial"/>
          <w:bCs/>
          <w:kern w:val="2"/>
          <w:sz w:val="20"/>
          <w:szCs w:val="20"/>
        </w:rPr>
        <w:t>. CERC Technical Report 6: 1–50.</w:t>
      </w:r>
    </w:p>
    <w:p w14:paraId="68F6ED29"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lang w:val="en-IN"/>
        </w:rPr>
        <w:t xml:space="preserve">Purkayastha, J. (2012). </w:t>
      </w:r>
      <w:r w:rsidRPr="00474C45">
        <w:rPr>
          <w:rFonts w:ascii="Arial" w:eastAsia="Aptos" w:hAnsi="Arial" w:cs="Arial"/>
          <w:bCs/>
          <w:i/>
          <w:iCs/>
          <w:kern w:val="2"/>
          <w:sz w:val="20"/>
          <w:szCs w:val="20"/>
          <w:lang w:val="en-IN"/>
        </w:rPr>
        <w:t>Showcasing urban herpetofauna: A conservational effort through community participation</w:t>
      </w:r>
      <w:r w:rsidRPr="00474C45">
        <w:rPr>
          <w:rFonts w:ascii="Arial" w:eastAsia="Aptos" w:hAnsi="Arial" w:cs="Arial"/>
          <w:bCs/>
          <w:kern w:val="2"/>
          <w:sz w:val="20"/>
          <w:szCs w:val="20"/>
          <w:lang w:val="en-IN"/>
        </w:rPr>
        <w:t>. Final report submitted to the Rufford Foundation.</w:t>
      </w:r>
    </w:p>
    <w:p w14:paraId="63F51FAD"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Rowley, J. J. L., Brown, R. M., Bain, R. H., Kusrini, M. D., Inger, R. F., Stuart, B. L., Wogan, G. O. U., Thy, N., Chan-ard, T., Trung, C. T., Diesmos, A. C., Iskandar, D. T., Lau, M. W. N., Ming, L. T., Makchai, S., Truong, N. Q., &amp; Phimmachak, S. (2010). Impacts of habitat loss on amphibians in Southeast Asia. </w:t>
      </w:r>
      <w:r w:rsidRPr="00474C45">
        <w:rPr>
          <w:rFonts w:ascii="Arial" w:eastAsia="Aptos" w:hAnsi="Arial" w:cs="Arial"/>
          <w:i/>
          <w:iCs/>
          <w:kern w:val="2"/>
          <w:sz w:val="20"/>
          <w:szCs w:val="20"/>
          <w:lang w:val="en-IN"/>
        </w:rPr>
        <w:t>Biodiversity and Conservation</w:t>
      </w:r>
      <w:r w:rsidRPr="00474C45">
        <w:rPr>
          <w:rFonts w:ascii="Arial" w:eastAsia="Aptos" w:hAnsi="Arial" w:cs="Arial"/>
          <w:kern w:val="2"/>
          <w:sz w:val="20"/>
          <w:szCs w:val="20"/>
          <w:lang w:val="en-IN"/>
        </w:rPr>
        <w:t>, 19: 3057–3075. https://doi.org/10.1007/s10531-010-9872-3</w:t>
      </w:r>
    </w:p>
    <w:p w14:paraId="4DCD0B42"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lang w:val="en-IN"/>
        </w:rPr>
        <w:t xml:space="preserve">Roy, J. K., Begum, R. H., &amp; Ahmed, M. F. (2018). Amphibians of the Dibang River Basin, Arunachal Pradesh: an annotated checklist with distribution records. </w:t>
      </w:r>
      <w:r w:rsidRPr="00474C45">
        <w:rPr>
          <w:rFonts w:ascii="Arial" w:eastAsia="Aptos" w:hAnsi="Arial" w:cs="Arial"/>
          <w:bCs/>
          <w:i/>
          <w:iCs/>
          <w:kern w:val="2"/>
          <w:sz w:val="20"/>
          <w:szCs w:val="20"/>
          <w:lang w:val="en-IN"/>
        </w:rPr>
        <w:t>Journal of Threatened Taxa</w:t>
      </w:r>
      <w:r w:rsidRPr="00474C45">
        <w:rPr>
          <w:rFonts w:ascii="Arial" w:eastAsia="Aptos" w:hAnsi="Arial" w:cs="Arial"/>
          <w:bCs/>
          <w:kern w:val="2"/>
          <w:sz w:val="20"/>
          <w:szCs w:val="20"/>
          <w:lang w:val="en-IN"/>
        </w:rPr>
        <w:t>, 10(15): 12940–12952. https://doi.org/10.11609/jott.4249.10.15.12940-12952</w:t>
      </w:r>
    </w:p>
    <w:p w14:paraId="4E35D3E5" w14:textId="3A9A85C6" w:rsidR="000632A6" w:rsidRPr="00474C45" w:rsidRDefault="000632A6" w:rsidP="000632A6">
      <w:pPr>
        <w:spacing w:after="0" w:line="240" w:lineRule="auto"/>
        <w:ind w:left="540" w:hanging="540"/>
        <w:jc w:val="both"/>
        <w:rPr>
          <w:rFonts w:ascii="Arial" w:eastAsia="Aptos" w:hAnsi="Arial" w:cs="Arial"/>
          <w:kern w:val="2"/>
          <w:sz w:val="20"/>
          <w:szCs w:val="20"/>
          <w:lang w:val="nb-NO"/>
        </w:rPr>
      </w:pPr>
      <w:r w:rsidRPr="00474C45">
        <w:rPr>
          <w:rFonts w:ascii="Arial" w:eastAsia="Aptos" w:hAnsi="Arial" w:cs="Arial"/>
          <w:kern w:val="2"/>
          <w:sz w:val="20"/>
          <w:szCs w:val="20"/>
          <w:lang w:val="en-IN"/>
        </w:rPr>
        <w:t xml:space="preserve">Schleich, H. H., &amp; Kästle, W. (2002). </w:t>
      </w:r>
      <w:r w:rsidRPr="00474C45">
        <w:rPr>
          <w:rFonts w:ascii="Arial" w:eastAsia="Aptos" w:hAnsi="Arial" w:cs="Arial"/>
          <w:i/>
          <w:iCs/>
          <w:kern w:val="2"/>
          <w:sz w:val="20"/>
          <w:szCs w:val="20"/>
          <w:lang w:val="en-IN"/>
        </w:rPr>
        <w:t>Amphibians and reptiles of Nepal</w:t>
      </w:r>
      <w:r w:rsidRPr="00474C45">
        <w:rPr>
          <w:rFonts w:ascii="Arial" w:eastAsia="Aptos" w:hAnsi="Arial" w:cs="Arial"/>
          <w:kern w:val="2"/>
          <w:sz w:val="20"/>
          <w:szCs w:val="20"/>
          <w:lang w:val="en-IN"/>
        </w:rPr>
        <w:t xml:space="preserve">. </w:t>
      </w:r>
      <w:r w:rsidRPr="00474C45">
        <w:rPr>
          <w:rFonts w:ascii="Arial" w:eastAsia="Aptos" w:hAnsi="Arial" w:cs="Arial"/>
          <w:kern w:val="2"/>
          <w:sz w:val="20"/>
          <w:szCs w:val="20"/>
          <w:lang w:val="nb-NO"/>
        </w:rPr>
        <w:t>A.R.G. Gantner Verlag, Ruggell, Liechtenstein. Pp.</w:t>
      </w:r>
      <w:r w:rsidR="00474C45">
        <w:rPr>
          <w:rFonts w:ascii="Arial" w:eastAsia="Aptos" w:hAnsi="Arial" w:cs="Arial"/>
          <w:kern w:val="2"/>
          <w:sz w:val="20"/>
          <w:szCs w:val="20"/>
          <w:lang w:val="nb-NO"/>
        </w:rPr>
        <w:t xml:space="preserve">                </w:t>
      </w:r>
      <w:r w:rsidRPr="00474C45">
        <w:rPr>
          <w:rFonts w:ascii="Arial" w:eastAsia="Aptos" w:hAnsi="Arial" w:cs="Arial"/>
          <w:kern w:val="2"/>
          <w:sz w:val="20"/>
          <w:szCs w:val="20"/>
          <w:lang w:val="nb-NO"/>
        </w:rPr>
        <w:t xml:space="preserve"> 1201.</w:t>
      </w:r>
    </w:p>
    <w:p w14:paraId="020EC7C5" w14:textId="77777777" w:rsidR="000632A6" w:rsidRPr="00474C45" w:rsidRDefault="000632A6" w:rsidP="000632A6">
      <w:pPr>
        <w:spacing w:after="0" w:line="240" w:lineRule="auto"/>
        <w:ind w:left="540" w:hanging="540"/>
        <w:jc w:val="both"/>
        <w:rPr>
          <w:rFonts w:ascii="Arial" w:eastAsia="Aptos" w:hAnsi="Arial" w:cs="Arial"/>
          <w:bCs/>
          <w:kern w:val="2"/>
          <w:sz w:val="20"/>
          <w:szCs w:val="20"/>
          <w:lang w:val="en-IN"/>
        </w:rPr>
      </w:pPr>
      <w:r w:rsidRPr="00474C45">
        <w:rPr>
          <w:rFonts w:ascii="Arial" w:eastAsia="Aptos" w:hAnsi="Arial" w:cs="Arial"/>
          <w:bCs/>
          <w:kern w:val="2"/>
          <w:sz w:val="20"/>
          <w:szCs w:val="20"/>
          <w:lang w:val="nb-NO"/>
        </w:rPr>
        <w:lastRenderedPageBreak/>
        <w:t xml:space="preserve">Sen, A., Mukherjee, A., &amp; Das, N. (2022). </w:t>
      </w:r>
      <w:r w:rsidRPr="00474C45">
        <w:rPr>
          <w:rFonts w:ascii="Arial" w:eastAsia="Aptos" w:hAnsi="Arial" w:cs="Arial"/>
          <w:bCs/>
          <w:kern w:val="2"/>
          <w:sz w:val="20"/>
          <w:szCs w:val="20"/>
        </w:rPr>
        <w:t xml:space="preserve">A survey on premating and mating behaviour of </w:t>
      </w:r>
      <w:r w:rsidRPr="00474C45">
        <w:rPr>
          <w:rFonts w:ascii="Arial" w:eastAsia="Aptos" w:hAnsi="Arial" w:cs="Arial"/>
          <w:bCs/>
          <w:i/>
          <w:iCs/>
          <w:kern w:val="2"/>
          <w:sz w:val="20"/>
          <w:szCs w:val="20"/>
        </w:rPr>
        <w:t>Humerana humeralis</w:t>
      </w:r>
      <w:r w:rsidRPr="00474C45">
        <w:rPr>
          <w:rFonts w:ascii="Arial" w:eastAsia="Aptos" w:hAnsi="Arial" w:cs="Arial"/>
          <w:bCs/>
          <w:kern w:val="2"/>
          <w:sz w:val="20"/>
          <w:szCs w:val="20"/>
        </w:rPr>
        <w:t xml:space="preserve"> Boulenger, 1887. </w:t>
      </w:r>
      <w:r w:rsidRPr="00474C45">
        <w:rPr>
          <w:rFonts w:ascii="Arial" w:eastAsia="Aptos" w:hAnsi="Arial" w:cs="Arial"/>
          <w:bCs/>
          <w:i/>
          <w:iCs/>
          <w:kern w:val="2"/>
          <w:sz w:val="20"/>
          <w:szCs w:val="20"/>
        </w:rPr>
        <w:t>EC Veterinary Science</w:t>
      </w:r>
      <w:r w:rsidRPr="00474C45">
        <w:rPr>
          <w:rFonts w:ascii="Arial" w:eastAsia="Aptos" w:hAnsi="Arial" w:cs="Arial"/>
          <w:bCs/>
          <w:kern w:val="2"/>
          <w:sz w:val="20"/>
          <w:szCs w:val="20"/>
        </w:rPr>
        <w:t>, 7(2): 20–26.</w:t>
      </w:r>
    </w:p>
    <w:p w14:paraId="0C12804D"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Sengupta, S., Hussain, A., Choudhury, N. K., Gogoi, K., Ahmed, M. F., &amp; Choudhury, N. K. (2010). Amphibian fauna of northeastern India. </w:t>
      </w:r>
      <w:r w:rsidRPr="00474C45">
        <w:rPr>
          <w:rFonts w:ascii="Arial" w:eastAsia="Aptos" w:hAnsi="Arial" w:cs="Arial"/>
          <w:i/>
          <w:iCs/>
          <w:kern w:val="2"/>
          <w:sz w:val="20"/>
          <w:szCs w:val="20"/>
          <w:lang w:val="en-IN"/>
        </w:rPr>
        <w:t>Records of the Zoological Survey of India</w:t>
      </w:r>
      <w:r w:rsidRPr="00474C45">
        <w:rPr>
          <w:rFonts w:ascii="Arial" w:eastAsia="Aptos" w:hAnsi="Arial" w:cs="Arial"/>
          <w:kern w:val="2"/>
          <w:sz w:val="20"/>
          <w:szCs w:val="20"/>
          <w:lang w:val="en-IN"/>
        </w:rPr>
        <w:t>, Occasional Paper 296: 1–111.</w:t>
      </w:r>
    </w:p>
    <w:p w14:paraId="3CD0B223"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Shine, R. (1979). Sexual selection and sexual dimorphism in the Amphibia. </w:t>
      </w:r>
      <w:r w:rsidRPr="00474C45">
        <w:rPr>
          <w:rFonts w:ascii="Arial" w:eastAsia="Aptos" w:hAnsi="Arial" w:cs="Arial"/>
          <w:i/>
          <w:iCs/>
          <w:kern w:val="2"/>
          <w:sz w:val="20"/>
          <w:szCs w:val="20"/>
          <w:lang w:val="en-IN"/>
        </w:rPr>
        <w:t>Copeia</w:t>
      </w:r>
      <w:r w:rsidRPr="00474C45">
        <w:rPr>
          <w:rFonts w:ascii="Arial" w:eastAsia="Aptos" w:hAnsi="Arial" w:cs="Arial"/>
          <w:kern w:val="2"/>
          <w:sz w:val="20"/>
          <w:szCs w:val="20"/>
          <w:lang w:val="en-IN"/>
        </w:rPr>
        <w:t>, 1979(2): 297–306. https://doi.org/10.2307/1443801</w:t>
      </w:r>
    </w:p>
    <w:p w14:paraId="2D4EC0F9" w14:textId="48610209"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Stuart, S. N., Hoffmann, M., Chanson, J. S., Cox, N. A., Berridge, R. J., Ramani, P., &amp; Young, B. E. (2008). </w:t>
      </w:r>
      <w:r w:rsidRPr="00474C45">
        <w:rPr>
          <w:rFonts w:ascii="Arial" w:eastAsia="Aptos" w:hAnsi="Arial" w:cs="Arial"/>
          <w:i/>
          <w:iCs/>
          <w:kern w:val="2"/>
          <w:sz w:val="20"/>
          <w:szCs w:val="20"/>
          <w:lang w:val="en-IN"/>
        </w:rPr>
        <w:t xml:space="preserve">Threatened </w:t>
      </w:r>
      <w:r w:rsidR="00561AF6" w:rsidRPr="00474C45">
        <w:rPr>
          <w:rFonts w:ascii="Arial" w:eastAsia="Aptos" w:hAnsi="Arial" w:cs="Arial"/>
          <w:i/>
          <w:iCs/>
          <w:kern w:val="2"/>
          <w:sz w:val="20"/>
          <w:szCs w:val="20"/>
          <w:lang w:val="en-IN"/>
        </w:rPr>
        <w:t xml:space="preserve">                 </w:t>
      </w:r>
      <w:r w:rsidRPr="00474C45">
        <w:rPr>
          <w:rFonts w:ascii="Arial" w:eastAsia="Aptos" w:hAnsi="Arial" w:cs="Arial"/>
          <w:i/>
          <w:iCs/>
          <w:kern w:val="2"/>
          <w:sz w:val="20"/>
          <w:szCs w:val="20"/>
          <w:lang w:val="en-IN"/>
        </w:rPr>
        <w:t>amphibians of the world</w:t>
      </w:r>
      <w:r w:rsidRPr="00474C45">
        <w:rPr>
          <w:rFonts w:ascii="Arial" w:eastAsia="Aptos" w:hAnsi="Arial" w:cs="Arial"/>
          <w:kern w:val="2"/>
          <w:sz w:val="20"/>
          <w:szCs w:val="20"/>
          <w:lang w:val="en-IN"/>
        </w:rPr>
        <w:t>. Lynx Edicions, Barcelona.</w:t>
      </w:r>
    </w:p>
    <w:p w14:paraId="414DD9F6" w14:textId="00196731" w:rsidR="000632A6" w:rsidRPr="00474C45" w:rsidRDefault="00561AF6" w:rsidP="000632A6">
      <w:pPr>
        <w:spacing w:after="0" w:line="240" w:lineRule="auto"/>
        <w:ind w:left="540" w:hanging="540"/>
        <w:jc w:val="both"/>
        <w:rPr>
          <w:rFonts w:ascii="Arial" w:eastAsia="Aptos" w:hAnsi="Arial" w:cs="Arial"/>
          <w:color w:val="00B050"/>
          <w:kern w:val="2"/>
          <w:sz w:val="20"/>
          <w:szCs w:val="20"/>
        </w:rPr>
      </w:pPr>
      <w:r w:rsidRPr="00474C45">
        <w:rPr>
          <w:rFonts w:ascii="Arial" w:eastAsia="Aptos" w:hAnsi="Arial" w:cs="Arial"/>
          <w:color w:val="000000"/>
          <w:kern w:val="2"/>
          <w:sz w:val="20"/>
          <w:szCs w:val="20"/>
          <w:lang w:val="en-IN"/>
        </w:rPr>
        <w:t xml:space="preserve">Van </w:t>
      </w:r>
      <w:r w:rsidR="000632A6" w:rsidRPr="00474C45">
        <w:rPr>
          <w:rFonts w:ascii="Arial" w:eastAsia="Aptos" w:hAnsi="Arial" w:cs="Arial"/>
          <w:color w:val="000000"/>
          <w:kern w:val="2"/>
          <w:sz w:val="20"/>
          <w:szCs w:val="20"/>
          <w:lang w:val="en-IN"/>
        </w:rPr>
        <w:t xml:space="preserve">Bocxlaer, I., Loader, S. P., Roelants, K., Biju, S. D., Menegon, M., &amp; Bossuyt, F. (2010). </w:t>
      </w:r>
      <w:r w:rsidR="000632A6" w:rsidRPr="00474C45">
        <w:rPr>
          <w:rFonts w:ascii="Arial" w:eastAsia="Aptos" w:hAnsi="Arial" w:cs="Arial"/>
          <w:color w:val="000000"/>
          <w:kern w:val="2"/>
          <w:sz w:val="20"/>
          <w:szCs w:val="20"/>
          <w:lang w:val="en-IN"/>
        </w:rPr>
        <w:t xml:space="preserve">Gradual adaptation toward a range-expansion phenotype initiated the global radiation of toads. </w:t>
      </w:r>
      <w:r w:rsidR="000632A6" w:rsidRPr="00474C45">
        <w:rPr>
          <w:rFonts w:ascii="Arial" w:eastAsia="Aptos" w:hAnsi="Arial" w:cs="Arial"/>
          <w:i/>
          <w:iCs/>
          <w:color w:val="000000"/>
          <w:kern w:val="2"/>
          <w:sz w:val="20"/>
          <w:szCs w:val="20"/>
          <w:lang w:val="en-IN"/>
        </w:rPr>
        <w:t>Science</w:t>
      </w:r>
      <w:r w:rsidR="000632A6" w:rsidRPr="00474C45">
        <w:rPr>
          <w:rFonts w:ascii="Arial" w:eastAsia="Aptos" w:hAnsi="Arial" w:cs="Arial"/>
          <w:color w:val="000000"/>
          <w:kern w:val="2"/>
          <w:sz w:val="20"/>
          <w:szCs w:val="20"/>
          <w:lang w:val="en-IN"/>
        </w:rPr>
        <w:t>, 327(5966): 679–682. https://doi.org/10.1126/science.1182858</w:t>
      </w:r>
    </w:p>
    <w:p w14:paraId="62AF9379" w14:textId="77777777" w:rsidR="000632A6" w:rsidRPr="00474C45" w:rsidRDefault="000632A6" w:rsidP="000632A6">
      <w:pPr>
        <w:spacing w:after="0" w:line="240" w:lineRule="auto"/>
        <w:ind w:left="540" w:hanging="540"/>
        <w:jc w:val="both"/>
        <w:rPr>
          <w:rFonts w:ascii="Arial" w:eastAsia="Aptos" w:hAnsi="Arial" w:cs="Arial"/>
          <w:kern w:val="2"/>
          <w:sz w:val="20"/>
          <w:szCs w:val="20"/>
          <w:lang w:val="en-IN"/>
        </w:rPr>
      </w:pPr>
      <w:r w:rsidRPr="00474C45">
        <w:rPr>
          <w:rFonts w:ascii="Arial" w:eastAsia="Aptos" w:hAnsi="Arial" w:cs="Arial"/>
          <w:kern w:val="2"/>
          <w:sz w:val="20"/>
          <w:szCs w:val="20"/>
          <w:lang w:val="en-IN"/>
        </w:rPr>
        <w:t xml:space="preserve">Watters, J. L., Cummings, S. T., Flanagan, R. L., &amp; Siler, C. D. (2016). Review of morphometric measurements used in anuran studies. </w:t>
      </w:r>
      <w:r w:rsidRPr="00474C45">
        <w:rPr>
          <w:rFonts w:ascii="Arial" w:eastAsia="Aptos" w:hAnsi="Arial" w:cs="Arial"/>
          <w:i/>
          <w:iCs/>
          <w:kern w:val="2"/>
          <w:sz w:val="20"/>
          <w:szCs w:val="20"/>
          <w:lang w:val="en-IN"/>
        </w:rPr>
        <w:t>Herpetological Review</w:t>
      </w:r>
      <w:r w:rsidRPr="00474C45">
        <w:rPr>
          <w:rFonts w:ascii="Arial" w:eastAsia="Aptos" w:hAnsi="Arial" w:cs="Arial"/>
          <w:kern w:val="2"/>
          <w:sz w:val="20"/>
          <w:szCs w:val="20"/>
          <w:lang w:val="en-IN"/>
        </w:rPr>
        <w:t>, 47(4): 521–532.</w:t>
      </w:r>
    </w:p>
    <w:p w14:paraId="04B97263" w14:textId="4BDCBB5A" w:rsidR="000632A6" w:rsidRPr="00474C45" w:rsidRDefault="000632A6" w:rsidP="000632A6">
      <w:pPr>
        <w:spacing w:after="0" w:line="240" w:lineRule="auto"/>
        <w:ind w:left="540" w:hanging="540"/>
        <w:jc w:val="both"/>
        <w:rPr>
          <w:rFonts w:ascii="Arial" w:eastAsia="Aptos" w:hAnsi="Arial" w:cs="Arial"/>
          <w:kern w:val="2"/>
          <w:sz w:val="20"/>
          <w:szCs w:val="20"/>
        </w:rPr>
      </w:pPr>
      <w:r w:rsidRPr="00474C45">
        <w:rPr>
          <w:rFonts w:ascii="Arial" w:eastAsia="Aptos" w:hAnsi="Arial" w:cs="Arial"/>
          <w:kern w:val="2"/>
          <w:sz w:val="20"/>
          <w:szCs w:val="20"/>
        </w:rPr>
        <w:t xml:space="preserve">Wells, K. D. (2007). </w:t>
      </w:r>
      <w:r w:rsidRPr="00474C45">
        <w:rPr>
          <w:rFonts w:ascii="Arial" w:eastAsia="Aptos" w:hAnsi="Arial" w:cs="Arial"/>
          <w:i/>
          <w:iCs/>
          <w:kern w:val="2"/>
          <w:sz w:val="20"/>
          <w:szCs w:val="20"/>
        </w:rPr>
        <w:t>The ecology and behavior of amphibians</w:t>
      </w:r>
      <w:r w:rsidRPr="00474C45">
        <w:rPr>
          <w:rFonts w:ascii="Arial" w:eastAsia="Aptos" w:hAnsi="Arial" w:cs="Arial"/>
          <w:kern w:val="2"/>
          <w:sz w:val="20"/>
          <w:szCs w:val="20"/>
        </w:rPr>
        <w:t xml:space="preserve">. University of Chicago Press, Chicago. </w:t>
      </w:r>
      <w:r w:rsidR="00474C45" w:rsidRPr="00474C45">
        <w:rPr>
          <w:rFonts w:ascii="Arial" w:eastAsia="Aptos" w:hAnsi="Arial" w:cs="Arial"/>
          <w:kern w:val="2"/>
          <w:sz w:val="20"/>
          <w:szCs w:val="20"/>
        </w:rPr>
        <w:t>https://doi.org/10.7208/chicago/9780226893334.001.0001</w:t>
      </w:r>
    </w:p>
    <w:p w14:paraId="035B12FC" w14:textId="6E0C43E2" w:rsidR="00474C45" w:rsidRPr="00474C45" w:rsidRDefault="00474C45" w:rsidP="00474C45">
      <w:pPr>
        <w:spacing w:after="0" w:line="240" w:lineRule="auto"/>
        <w:ind w:left="540" w:hanging="540"/>
        <w:jc w:val="both"/>
        <w:rPr>
          <w:rFonts w:ascii="Arial" w:eastAsia="Aptos" w:hAnsi="Arial" w:cs="Arial"/>
          <w:kern w:val="2"/>
          <w:sz w:val="20"/>
          <w:szCs w:val="20"/>
        </w:rPr>
      </w:pPr>
      <w:r w:rsidRPr="00474C45">
        <w:rPr>
          <w:rFonts w:ascii="Arial" w:eastAsia="Aptos" w:hAnsi="Arial" w:cs="Arial"/>
          <w:kern w:val="2"/>
          <w:sz w:val="20"/>
          <w:szCs w:val="20"/>
        </w:rPr>
        <w:t xml:space="preserve">Van Dijk, T. A. (2004). From text grammar to critical discourse analysis. </w:t>
      </w:r>
      <w:r w:rsidRPr="00474C45">
        <w:rPr>
          <w:rFonts w:ascii="Arial" w:eastAsia="Aptos" w:hAnsi="Arial" w:cs="Arial"/>
          <w:i/>
          <w:iCs/>
          <w:kern w:val="2"/>
          <w:sz w:val="20"/>
          <w:szCs w:val="20"/>
        </w:rPr>
        <w:t>A brief academic autobiography. version</w:t>
      </w:r>
      <w:r w:rsidRPr="00474C45">
        <w:rPr>
          <w:rFonts w:ascii="Arial" w:eastAsia="Aptos" w:hAnsi="Arial" w:cs="Arial"/>
          <w:kern w:val="2"/>
          <w:sz w:val="20"/>
          <w:szCs w:val="20"/>
        </w:rPr>
        <w:t xml:space="preserve">, </w:t>
      </w:r>
      <w:r w:rsidRPr="00474C45">
        <w:rPr>
          <w:rFonts w:ascii="Arial" w:eastAsia="Aptos" w:hAnsi="Arial" w:cs="Arial"/>
          <w:i/>
          <w:iCs/>
          <w:kern w:val="2"/>
          <w:sz w:val="20"/>
          <w:szCs w:val="20"/>
        </w:rPr>
        <w:t>2</w:t>
      </w:r>
      <w:r w:rsidRPr="00474C45">
        <w:rPr>
          <w:rFonts w:ascii="Arial" w:eastAsia="Aptos" w:hAnsi="Arial" w:cs="Arial"/>
          <w:kern w:val="2"/>
          <w:sz w:val="20"/>
          <w:szCs w:val="20"/>
        </w:rPr>
        <w:t>.</w:t>
      </w:r>
    </w:p>
    <w:p w14:paraId="53D3036A" w14:textId="77777777" w:rsidR="00561AF6" w:rsidRPr="00474C45" w:rsidRDefault="00561AF6" w:rsidP="00BD060A">
      <w:pPr>
        <w:keepNext/>
        <w:spacing w:after="0" w:line="240" w:lineRule="auto"/>
        <w:contextualSpacing/>
        <w:jc w:val="both"/>
        <w:rPr>
          <w:rFonts w:ascii="Arial" w:eastAsia="Calibri" w:hAnsi="Arial" w:cs="Arial"/>
          <w:b/>
          <w:bCs/>
          <w:kern w:val="2"/>
          <w:sz w:val="15"/>
          <w:szCs w:val="15"/>
          <w:lang w:val="en-GB"/>
        </w:rPr>
        <w:sectPr w:rsidR="00561AF6" w:rsidRPr="00474C45" w:rsidSect="000126CE">
          <w:type w:val="continuous"/>
          <w:pgSz w:w="11909" w:h="16834" w:code="9"/>
          <w:pgMar w:top="1440" w:right="1440" w:bottom="1440" w:left="1440" w:header="720" w:footer="864" w:gutter="0"/>
          <w:pgNumType w:start="7"/>
          <w:cols w:num="2" w:space="288"/>
          <w:docGrid w:linePitch="360"/>
        </w:sectPr>
      </w:pPr>
    </w:p>
    <w:p w14:paraId="03755B41" w14:textId="0D15C6D6" w:rsidR="00CD3A89" w:rsidRDefault="00CD3A89" w:rsidP="006972B9">
      <w:pPr>
        <w:pBdr>
          <w:top w:val="single" w:sz="4" w:space="1" w:color="auto"/>
        </w:pBdr>
        <w:spacing w:after="0" w:line="240" w:lineRule="auto"/>
        <w:jc w:val="both"/>
        <w:rPr>
          <w:rFonts w:ascii="Arial" w:hAnsi="Arial" w:cs="Arial"/>
        </w:rPr>
      </w:pPr>
    </w:p>
    <w:sectPr w:rsidR="00CD3A89" w:rsidSect="0026467F">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971C" w14:textId="77777777" w:rsidR="00CA1A28" w:rsidRDefault="00CA1A28" w:rsidP="00CD3A89">
      <w:pPr>
        <w:spacing w:after="0" w:line="240" w:lineRule="auto"/>
      </w:pPr>
      <w:r>
        <w:separator/>
      </w:r>
    </w:p>
  </w:endnote>
  <w:endnote w:type="continuationSeparator" w:id="0">
    <w:p w14:paraId="6BEAE50B" w14:textId="77777777" w:rsidR="00CA1A28" w:rsidRDefault="00CA1A28"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113"/>
      <w:docPartObj>
        <w:docPartGallery w:val="Page Numbers (Bottom of Page)"/>
        <w:docPartUnique/>
      </w:docPartObj>
    </w:sdtPr>
    <w:sdtEndPr/>
    <w:sdtContent>
      <w:p w14:paraId="716D5096" w14:textId="77777777" w:rsidR="00F6450F" w:rsidRPr="00263AE4" w:rsidRDefault="00F6450F">
        <w:pPr>
          <w:pStyle w:val="Footer"/>
          <w:jc w:val="center"/>
          <w:rPr>
            <w:rFonts w:ascii="Arial" w:hAnsi="Arial" w:cs="Arial"/>
            <w:sz w:val="28"/>
          </w:rPr>
        </w:pPr>
      </w:p>
      <w:p w14:paraId="09B98D2C" w14:textId="1180000F" w:rsidR="00263AE4" w:rsidRDefault="00A846AA">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44054C">
          <w:rPr>
            <w:rFonts w:ascii="Arial" w:hAnsi="Arial" w:cs="Arial"/>
            <w:noProof/>
            <w:sz w:val="20"/>
          </w:rPr>
          <w:t>10</w:t>
        </w:r>
        <w:r w:rsidRPr="00945900">
          <w:rPr>
            <w:rFonts w:ascii="Arial" w:hAnsi="Arial" w:cs="Arial"/>
            <w:sz w:val="20"/>
          </w:rPr>
          <w:fldChar w:fldCharType="end"/>
        </w:r>
      </w:p>
      <w:p w14:paraId="2E697C12" w14:textId="77777777" w:rsidR="00485F13" w:rsidRPr="00263AE4" w:rsidRDefault="00CA1A28">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57C5"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7197EB31" w14:textId="77777777" w:rsidR="00E72385" w:rsidRPr="00E72385" w:rsidRDefault="00E72385" w:rsidP="00E72385">
    <w:pPr>
      <w:spacing w:after="0" w:line="240" w:lineRule="auto"/>
      <w:jc w:val="both"/>
      <w:rPr>
        <w:rFonts w:ascii="Arial" w:eastAsia="Times New Roman" w:hAnsi="Arial" w:cs="Arial"/>
        <w:i/>
        <w:sz w:val="16"/>
        <w:szCs w:val="20"/>
      </w:rPr>
    </w:pPr>
  </w:p>
  <w:p w14:paraId="287DD5EE" w14:textId="77777777" w:rsidR="004B0F7E" w:rsidRPr="00AD2DC0" w:rsidRDefault="004B0F7E" w:rsidP="00AD2DC0">
    <w:pPr>
      <w:tabs>
        <w:tab w:val="center" w:pos="4680"/>
        <w:tab w:val="right" w:pos="9360"/>
      </w:tabs>
      <w:spacing w:after="0" w:line="240" w:lineRule="auto"/>
      <w:jc w:val="both"/>
      <w:rPr>
        <w:rFonts w:ascii="Arial" w:eastAsia="Times New Roman" w:hAnsi="Arial" w:cs="Arial"/>
        <w:i/>
        <w:sz w:val="16"/>
      </w:rPr>
    </w:pPr>
  </w:p>
  <w:p w14:paraId="73D18160" w14:textId="77777777" w:rsidR="00AD2DC0" w:rsidRPr="00AD2DC0" w:rsidRDefault="00AD2DC0" w:rsidP="00AD2DC0">
    <w:pPr>
      <w:tabs>
        <w:tab w:val="center" w:pos="4680"/>
        <w:tab w:val="right" w:pos="9360"/>
      </w:tabs>
      <w:spacing w:after="0" w:line="240" w:lineRule="auto"/>
      <w:jc w:val="both"/>
      <w:rPr>
        <w:rFonts w:ascii="Arial" w:eastAsia="Times New Roman" w:hAnsi="Arial" w:cs="Arial"/>
        <w:i/>
        <w:sz w:val="16"/>
      </w:rPr>
    </w:pPr>
  </w:p>
  <w:p w14:paraId="70E61775" w14:textId="77777777" w:rsidR="00CD3A89" w:rsidRDefault="00CD3A89">
    <w:pPr>
      <w:pStyle w:val="Footer"/>
      <w:rPr>
        <w:rFonts w:ascii="Arial" w:hAnsi="Arial" w:cs="Arial"/>
        <w:sz w:val="20"/>
      </w:rPr>
    </w:pPr>
  </w:p>
  <w:p w14:paraId="461ED386"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18BD3" w14:textId="77777777" w:rsidR="00CA1A28" w:rsidRDefault="00CA1A28" w:rsidP="00CD3A89">
      <w:pPr>
        <w:spacing w:after="0" w:line="240" w:lineRule="auto"/>
      </w:pPr>
      <w:r>
        <w:separator/>
      </w:r>
    </w:p>
  </w:footnote>
  <w:footnote w:type="continuationSeparator" w:id="0">
    <w:p w14:paraId="57C307BC" w14:textId="77777777" w:rsidR="00CA1A28" w:rsidRDefault="00CA1A28"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EC0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3786791"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D29E0CB"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AA1B1A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A531853"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336F5"/>
    <w:multiLevelType w:val="hybridMultilevel"/>
    <w:tmpl w:val="90F22EF6"/>
    <w:lvl w:ilvl="0" w:tplc="A2E848C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13266"/>
    <w:rsid w:val="000126CE"/>
    <w:rsid w:val="000140EA"/>
    <w:rsid w:val="000217CF"/>
    <w:rsid w:val="00021CE8"/>
    <w:rsid w:val="00034ECF"/>
    <w:rsid w:val="000372DB"/>
    <w:rsid w:val="00041716"/>
    <w:rsid w:val="000632A6"/>
    <w:rsid w:val="000844EE"/>
    <w:rsid w:val="000A1EF6"/>
    <w:rsid w:val="000A2031"/>
    <w:rsid w:val="000C2408"/>
    <w:rsid w:val="000C32DE"/>
    <w:rsid w:val="001004BF"/>
    <w:rsid w:val="00100B40"/>
    <w:rsid w:val="0010611F"/>
    <w:rsid w:val="00117484"/>
    <w:rsid w:val="00124A37"/>
    <w:rsid w:val="0013012E"/>
    <w:rsid w:val="00135831"/>
    <w:rsid w:val="001458EB"/>
    <w:rsid w:val="00146BE5"/>
    <w:rsid w:val="00150C7B"/>
    <w:rsid w:val="00150CE4"/>
    <w:rsid w:val="0015419E"/>
    <w:rsid w:val="00171FBC"/>
    <w:rsid w:val="0017217A"/>
    <w:rsid w:val="0017218E"/>
    <w:rsid w:val="00190C2D"/>
    <w:rsid w:val="00195242"/>
    <w:rsid w:val="001964D7"/>
    <w:rsid w:val="001A4A55"/>
    <w:rsid w:val="001A69A3"/>
    <w:rsid w:val="001B111C"/>
    <w:rsid w:val="001B6A97"/>
    <w:rsid w:val="001D00F5"/>
    <w:rsid w:val="00203E4F"/>
    <w:rsid w:val="00205B59"/>
    <w:rsid w:val="00220A21"/>
    <w:rsid w:val="00244D42"/>
    <w:rsid w:val="00250135"/>
    <w:rsid w:val="002573C9"/>
    <w:rsid w:val="00260707"/>
    <w:rsid w:val="00263401"/>
    <w:rsid w:val="00263AE4"/>
    <w:rsid w:val="0026467F"/>
    <w:rsid w:val="0028695F"/>
    <w:rsid w:val="00297CC0"/>
    <w:rsid w:val="002A041A"/>
    <w:rsid w:val="002A078A"/>
    <w:rsid w:val="002A635B"/>
    <w:rsid w:val="002B02E7"/>
    <w:rsid w:val="002B46D2"/>
    <w:rsid w:val="002C7DF4"/>
    <w:rsid w:val="002D06CB"/>
    <w:rsid w:val="002D6E70"/>
    <w:rsid w:val="002E2356"/>
    <w:rsid w:val="003139C6"/>
    <w:rsid w:val="0031517D"/>
    <w:rsid w:val="00316FA3"/>
    <w:rsid w:val="00335947"/>
    <w:rsid w:val="0036228D"/>
    <w:rsid w:val="00370C0D"/>
    <w:rsid w:val="0037297D"/>
    <w:rsid w:val="00376494"/>
    <w:rsid w:val="00380ACB"/>
    <w:rsid w:val="003B2B85"/>
    <w:rsid w:val="003B4704"/>
    <w:rsid w:val="003C3705"/>
    <w:rsid w:val="003D0DD7"/>
    <w:rsid w:val="003D34F5"/>
    <w:rsid w:val="003D6D5F"/>
    <w:rsid w:val="003F47A0"/>
    <w:rsid w:val="00400222"/>
    <w:rsid w:val="00407DAB"/>
    <w:rsid w:val="00424421"/>
    <w:rsid w:val="0042500B"/>
    <w:rsid w:val="0043035E"/>
    <w:rsid w:val="0044054C"/>
    <w:rsid w:val="00441E47"/>
    <w:rsid w:val="00454377"/>
    <w:rsid w:val="00455B14"/>
    <w:rsid w:val="004573F9"/>
    <w:rsid w:val="00463FC5"/>
    <w:rsid w:val="004743E7"/>
    <w:rsid w:val="00474C45"/>
    <w:rsid w:val="00485F13"/>
    <w:rsid w:val="0048681C"/>
    <w:rsid w:val="00490A64"/>
    <w:rsid w:val="004B0F7E"/>
    <w:rsid w:val="004B60EC"/>
    <w:rsid w:val="004C0D95"/>
    <w:rsid w:val="004C5940"/>
    <w:rsid w:val="004C5D40"/>
    <w:rsid w:val="004D1486"/>
    <w:rsid w:val="004E094F"/>
    <w:rsid w:val="004E27C9"/>
    <w:rsid w:val="004F18FA"/>
    <w:rsid w:val="004F2085"/>
    <w:rsid w:val="004F2706"/>
    <w:rsid w:val="004F57C2"/>
    <w:rsid w:val="00503560"/>
    <w:rsid w:val="00512B30"/>
    <w:rsid w:val="0051528E"/>
    <w:rsid w:val="00536BCB"/>
    <w:rsid w:val="00537A9D"/>
    <w:rsid w:val="00540A23"/>
    <w:rsid w:val="0054300F"/>
    <w:rsid w:val="00552F33"/>
    <w:rsid w:val="00561AF6"/>
    <w:rsid w:val="00562C90"/>
    <w:rsid w:val="00565BF9"/>
    <w:rsid w:val="005722FD"/>
    <w:rsid w:val="005734C1"/>
    <w:rsid w:val="0058198B"/>
    <w:rsid w:val="005855D2"/>
    <w:rsid w:val="00585E94"/>
    <w:rsid w:val="005A1751"/>
    <w:rsid w:val="005A62EF"/>
    <w:rsid w:val="005B556B"/>
    <w:rsid w:val="005C16E5"/>
    <w:rsid w:val="005C26C6"/>
    <w:rsid w:val="005C63EE"/>
    <w:rsid w:val="005E1E6E"/>
    <w:rsid w:val="00604FB0"/>
    <w:rsid w:val="00611C26"/>
    <w:rsid w:val="00647361"/>
    <w:rsid w:val="006642C2"/>
    <w:rsid w:val="00677844"/>
    <w:rsid w:val="00682F1A"/>
    <w:rsid w:val="006853A4"/>
    <w:rsid w:val="0068719D"/>
    <w:rsid w:val="006972B9"/>
    <w:rsid w:val="006A2F45"/>
    <w:rsid w:val="006A3FCB"/>
    <w:rsid w:val="006B54FB"/>
    <w:rsid w:val="006C667C"/>
    <w:rsid w:val="006C7C39"/>
    <w:rsid w:val="006D658B"/>
    <w:rsid w:val="007017E2"/>
    <w:rsid w:val="00703125"/>
    <w:rsid w:val="007137FB"/>
    <w:rsid w:val="00721737"/>
    <w:rsid w:val="007240A8"/>
    <w:rsid w:val="007277E6"/>
    <w:rsid w:val="007323FC"/>
    <w:rsid w:val="0073748B"/>
    <w:rsid w:val="00747D62"/>
    <w:rsid w:val="00756FFB"/>
    <w:rsid w:val="007622EE"/>
    <w:rsid w:val="00771C18"/>
    <w:rsid w:val="00775557"/>
    <w:rsid w:val="0078302E"/>
    <w:rsid w:val="00785993"/>
    <w:rsid w:val="007B380F"/>
    <w:rsid w:val="007B63EC"/>
    <w:rsid w:val="007C49C7"/>
    <w:rsid w:val="007E02F8"/>
    <w:rsid w:val="007E4345"/>
    <w:rsid w:val="007F504C"/>
    <w:rsid w:val="00807ED0"/>
    <w:rsid w:val="00812548"/>
    <w:rsid w:val="008168E1"/>
    <w:rsid w:val="00843678"/>
    <w:rsid w:val="00853DC1"/>
    <w:rsid w:val="008669F1"/>
    <w:rsid w:val="00873867"/>
    <w:rsid w:val="00873A5C"/>
    <w:rsid w:val="008776D1"/>
    <w:rsid w:val="008C3188"/>
    <w:rsid w:val="008C3497"/>
    <w:rsid w:val="008F0448"/>
    <w:rsid w:val="008F3AD1"/>
    <w:rsid w:val="008F67E8"/>
    <w:rsid w:val="00903441"/>
    <w:rsid w:val="009108DB"/>
    <w:rsid w:val="00942BF1"/>
    <w:rsid w:val="009431AE"/>
    <w:rsid w:val="00945230"/>
    <w:rsid w:val="00945900"/>
    <w:rsid w:val="00951D84"/>
    <w:rsid w:val="00953210"/>
    <w:rsid w:val="00962251"/>
    <w:rsid w:val="00965D0D"/>
    <w:rsid w:val="00971390"/>
    <w:rsid w:val="00974577"/>
    <w:rsid w:val="0098174A"/>
    <w:rsid w:val="00982102"/>
    <w:rsid w:val="00982184"/>
    <w:rsid w:val="00984737"/>
    <w:rsid w:val="009921B5"/>
    <w:rsid w:val="009B0B88"/>
    <w:rsid w:val="009B6A28"/>
    <w:rsid w:val="009B782C"/>
    <w:rsid w:val="009D5065"/>
    <w:rsid w:val="009E1EFB"/>
    <w:rsid w:val="009E5656"/>
    <w:rsid w:val="00A0172A"/>
    <w:rsid w:val="00A0275B"/>
    <w:rsid w:val="00A10DAB"/>
    <w:rsid w:val="00A22248"/>
    <w:rsid w:val="00A22308"/>
    <w:rsid w:val="00A30A6F"/>
    <w:rsid w:val="00A313DC"/>
    <w:rsid w:val="00A324F0"/>
    <w:rsid w:val="00A44C1C"/>
    <w:rsid w:val="00A5393A"/>
    <w:rsid w:val="00A5640A"/>
    <w:rsid w:val="00A61B2E"/>
    <w:rsid w:val="00A6662D"/>
    <w:rsid w:val="00A706F7"/>
    <w:rsid w:val="00A846AA"/>
    <w:rsid w:val="00A90597"/>
    <w:rsid w:val="00A90DA5"/>
    <w:rsid w:val="00AA0D41"/>
    <w:rsid w:val="00AB2BC2"/>
    <w:rsid w:val="00AB7D38"/>
    <w:rsid w:val="00AC3409"/>
    <w:rsid w:val="00AC5767"/>
    <w:rsid w:val="00AD2DC0"/>
    <w:rsid w:val="00AE1DC2"/>
    <w:rsid w:val="00AF47AA"/>
    <w:rsid w:val="00B13C93"/>
    <w:rsid w:val="00B15404"/>
    <w:rsid w:val="00B168F5"/>
    <w:rsid w:val="00B414F6"/>
    <w:rsid w:val="00B635EC"/>
    <w:rsid w:val="00B7605E"/>
    <w:rsid w:val="00B8786D"/>
    <w:rsid w:val="00B87F18"/>
    <w:rsid w:val="00B926FB"/>
    <w:rsid w:val="00B950C8"/>
    <w:rsid w:val="00B95F1C"/>
    <w:rsid w:val="00B976CC"/>
    <w:rsid w:val="00BA1088"/>
    <w:rsid w:val="00BB5B87"/>
    <w:rsid w:val="00BD060A"/>
    <w:rsid w:val="00BE0C36"/>
    <w:rsid w:val="00BE79DC"/>
    <w:rsid w:val="00BF3AB2"/>
    <w:rsid w:val="00C109C2"/>
    <w:rsid w:val="00C11417"/>
    <w:rsid w:val="00C13266"/>
    <w:rsid w:val="00C14909"/>
    <w:rsid w:val="00C32323"/>
    <w:rsid w:val="00C333AF"/>
    <w:rsid w:val="00C47C47"/>
    <w:rsid w:val="00C56D42"/>
    <w:rsid w:val="00C574F0"/>
    <w:rsid w:val="00C70BB1"/>
    <w:rsid w:val="00C82250"/>
    <w:rsid w:val="00C8379B"/>
    <w:rsid w:val="00C972F4"/>
    <w:rsid w:val="00CA1A28"/>
    <w:rsid w:val="00CB0A4D"/>
    <w:rsid w:val="00CD3A89"/>
    <w:rsid w:val="00CD5E65"/>
    <w:rsid w:val="00CE3E7D"/>
    <w:rsid w:val="00CF722D"/>
    <w:rsid w:val="00D05A8E"/>
    <w:rsid w:val="00D20C8C"/>
    <w:rsid w:val="00D210BB"/>
    <w:rsid w:val="00D25A4D"/>
    <w:rsid w:val="00D51808"/>
    <w:rsid w:val="00D61E1D"/>
    <w:rsid w:val="00D62442"/>
    <w:rsid w:val="00D720CF"/>
    <w:rsid w:val="00D851AD"/>
    <w:rsid w:val="00D9224D"/>
    <w:rsid w:val="00D931D5"/>
    <w:rsid w:val="00D96112"/>
    <w:rsid w:val="00DA23C6"/>
    <w:rsid w:val="00DB0903"/>
    <w:rsid w:val="00DB6A8C"/>
    <w:rsid w:val="00DC27D4"/>
    <w:rsid w:val="00DC646E"/>
    <w:rsid w:val="00DE434D"/>
    <w:rsid w:val="00DE494D"/>
    <w:rsid w:val="00DE5E5F"/>
    <w:rsid w:val="00E17D85"/>
    <w:rsid w:val="00E214BA"/>
    <w:rsid w:val="00E21543"/>
    <w:rsid w:val="00E2233D"/>
    <w:rsid w:val="00E4411C"/>
    <w:rsid w:val="00E448E0"/>
    <w:rsid w:val="00E46D35"/>
    <w:rsid w:val="00E51A67"/>
    <w:rsid w:val="00E531CD"/>
    <w:rsid w:val="00E702F4"/>
    <w:rsid w:val="00E7093B"/>
    <w:rsid w:val="00E72385"/>
    <w:rsid w:val="00E73D8F"/>
    <w:rsid w:val="00E743C6"/>
    <w:rsid w:val="00E76C09"/>
    <w:rsid w:val="00E8718E"/>
    <w:rsid w:val="00E913AF"/>
    <w:rsid w:val="00E96D27"/>
    <w:rsid w:val="00EB1005"/>
    <w:rsid w:val="00EB740E"/>
    <w:rsid w:val="00EB7881"/>
    <w:rsid w:val="00EC09B7"/>
    <w:rsid w:val="00ED334A"/>
    <w:rsid w:val="00ED402E"/>
    <w:rsid w:val="00ED56A4"/>
    <w:rsid w:val="00ED6468"/>
    <w:rsid w:val="00EF3322"/>
    <w:rsid w:val="00F02170"/>
    <w:rsid w:val="00F0322C"/>
    <w:rsid w:val="00F12432"/>
    <w:rsid w:val="00F12A20"/>
    <w:rsid w:val="00F12D09"/>
    <w:rsid w:val="00F54FF1"/>
    <w:rsid w:val="00F55591"/>
    <w:rsid w:val="00F62C79"/>
    <w:rsid w:val="00F6450F"/>
    <w:rsid w:val="00F656D4"/>
    <w:rsid w:val="00F725F3"/>
    <w:rsid w:val="00FA6E5A"/>
    <w:rsid w:val="00FE419C"/>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5"/>
        <o:r id="V:Rule2" type="connector" idref="#_x0000_s1054"/>
      </o:rules>
    </o:shapelayout>
  </w:shapeDefaults>
  <w:decimalSymbol w:val="."/>
  <w:listSeparator w:val=","/>
  <w14:docId w14:val="2018A606"/>
  <w15:docId w15:val="{7B341B9C-1873-451B-A1A7-5FDE443C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next w:val="Normal"/>
    <w:link w:val="Heading1Char"/>
    <w:uiPriority w:val="9"/>
    <w:qFormat/>
    <w:rsid w:val="00540A2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725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85E9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7217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40A2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725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85E9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7217A"/>
    <w:rPr>
      <w:rFonts w:ascii="Arial" w:eastAsiaTheme="majorEastAsia" w:hAnsi="Arial" w:cstheme="majorBidi"/>
      <w:b/>
      <w:bCs/>
      <w:i/>
      <w:iCs/>
      <w:sz w:val="20"/>
    </w:rPr>
  </w:style>
  <w:style w:type="table" w:styleId="TableGrid">
    <w:name w:val="Table Grid"/>
    <w:basedOn w:val="TableNormal"/>
    <w:uiPriority w:val="39"/>
    <w:rsid w:val="000632A6"/>
    <w:pPr>
      <w:spacing w:after="0" w:line="240" w:lineRule="auto"/>
    </w:pPr>
    <w:rPr>
      <w:rFonts w:eastAsia="Aptos"/>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2A6"/>
    <w:pPr>
      <w:ind w:left="720"/>
      <w:contextualSpacing/>
    </w:pPr>
  </w:style>
  <w:style w:type="character" w:customStyle="1" w:styleId="UnresolvedMention">
    <w:name w:val="Unresolved Mention"/>
    <w:basedOn w:val="DefaultParagraphFont"/>
    <w:uiPriority w:val="99"/>
    <w:semiHidden/>
    <w:unhideWhenUsed/>
    <w:rsid w:val="00474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98285">
      <w:bodyDiv w:val="1"/>
      <w:marLeft w:val="0"/>
      <w:marRight w:val="0"/>
      <w:marTop w:val="0"/>
      <w:marBottom w:val="0"/>
      <w:divBdr>
        <w:top w:val="none" w:sz="0" w:space="0" w:color="auto"/>
        <w:left w:val="none" w:sz="0" w:space="0" w:color="auto"/>
        <w:bottom w:val="none" w:sz="0" w:space="0" w:color="auto"/>
        <w:right w:val="none" w:sz="0" w:space="0" w:color="auto"/>
      </w:divBdr>
    </w:div>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758454017">
      <w:bodyDiv w:val="1"/>
      <w:marLeft w:val="0"/>
      <w:marRight w:val="0"/>
      <w:marTop w:val="0"/>
      <w:marBottom w:val="0"/>
      <w:divBdr>
        <w:top w:val="none" w:sz="0" w:space="0" w:color="auto"/>
        <w:left w:val="none" w:sz="0" w:space="0" w:color="auto"/>
        <w:bottom w:val="none" w:sz="0" w:space="0" w:color="auto"/>
        <w:right w:val="none" w:sz="0" w:space="0" w:color="auto"/>
      </w:divBdr>
    </w:div>
    <w:div w:id="1058435789">
      <w:bodyDiv w:val="1"/>
      <w:marLeft w:val="0"/>
      <w:marRight w:val="0"/>
      <w:marTop w:val="0"/>
      <w:marBottom w:val="0"/>
      <w:divBdr>
        <w:top w:val="none" w:sz="0" w:space="0" w:color="auto"/>
        <w:left w:val="none" w:sz="0" w:space="0" w:color="auto"/>
        <w:bottom w:val="none" w:sz="0" w:space="0" w:color="auto"/>
        <w:right w:val="none" w:sz="0" w:space="0" w:color="auto"/>
      </w:divBdr>
    </w:div>
    <w:div w:id="1802384808">
      <w:bodyDiv w:val="1"/>
      <w:marLeft w:val="0"/>
      <w:marRight w:val="0"/>
      <w:marTop w:val="0"/>
      <w:marBottom w:val="0"/>
      <w:divBdr>
        <w:top w:val="none" w:sz="0" w:space="0" w:color="auto"/>
        <w:left w:val="none" w:sz="0" w:space="0" w:color="auto"/>
        <w:bottom w:val="none" w:sz="0" w:space="0" w:color="auto"/>
        <w:right w:val="none" w:sz="0" w:space="0" w:color="auto"/>
      </w:divBdr>
    </w:div>
    <w:div w:id="1918442631">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 w:id="20624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oleObject" Target="file:///E:\2-PhD\PhD%20Scholar\2021B--Shalomi\01-WORKING%20FILES\2-Data%20ALL%20files%20FINAL%20240725\03-Data-Habita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03219988562882"/>
          <c:y val="4.6068225367534577E-2"/>
          <c:w val="0.80655410392136739"/>
          <c:h val="0.81107434423457803"/>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1-ED45-446A-BDEC-D8FBFC0C4EB1}"/>
              </c:ext>
            </c:extLst>
          </c:dPt>
          <c:dPt>
            <c:idx val="2"/>
            <c:invertIfNegative val="0"/>
            <c:bubble3D val="0"/>
            <c:spPr>
              <a:solidFill>
                <a:srgbClr val="FFC000"/>
              </a:solidFill>
              <a:ln>
                <a:noFill/>
              </a:ln>
              <a:effectLst/>
            </c:spPr>
            <c:extLst>
              <c:ext xmlns:c16="http://schemas.microsoft.com/office/drawing/2014/chart" uri="{C3380CC4-5D6E-409C-BE32-E72D297353CC}">
                <c16:uniqueId val="{00000003-ED45-446A-BDEC-D8FBFC0C4EB1}"/>
              </c:ext>
            </c:extLst>
          </c:dPt>
          <c:cat>
            <c:strRef>
              <c:f>'Habitat use-Seasonal &amp; monthly '!$I$194:$N$194</c:f>
              <c:strCache>
                <c:ptCount val="6"/>
                <c:pt idx="0">
                  <c:v>EVG</c:v>
                </c:pt>
                <c:pt idx="1">
                  <c:v>SEVG</c:v>
                </c:pt>
                <c:pt idx="2">
                  <c:v>DF</c:v>
                </c:pt>
                <c:pt idx="3">
                  <c:v>GL</c:v>
                </c:pt>
                <c:pt idx="4">
                  <c:v>AG</c:v>
                </c:pt>
                <c:pt idx="5">
                  <c:v>WB</c:v>
                </c:pt>
              </c:strCache>
            </c:strRef>
          </c:cat>
          <c:val>
            <c:numRef>
              <c:f>'Habitat use-Seasonal &amp; monthly '!$I$202:$N$202</c:f>
              <c:numCache>
                <c:formatCode>0.00</c:formatCode>
                <c:ptCount val="6"/>
                <c:pt idx="0">
                  <c:v>-1.2882010819417289</c:v>
                </c:pt>
                <c:pt idx="1">
                  <c:v>36.375267348899506</c:v>
                </c:pt>
                <c:pt idx="2">
                  <c:v>-31.630012313702998</c:v>
                </c:pt>
                <c:pt idx="3">
                  <c:v>-0.98709184904389125</c:v>
                </c:pt>
                <c:pt idx="4">
                  <c:v>-0.42906790612778201</c:v>
                </c:pt>
                <c:pt idx="5">
                  <c:v>-1.009293164603118</c:v>
                </c:pt>
              </c:numCache>
            </c:numRef>
          </c:val>
          <c:extLst>
            <c:ext xmlns:c16="http://schemas.microsoft.com/office/drawing/2014/chart" uri="{C3380CC4-5D6E-409C-BE32-E72D297353CC}">
              <c16:uniqueId val="{00000004-ED45-446A-BDEC-D8FBFC0C4EB1}"/>
            </c:ext>
          </c:extLst>
        </c:ser>
        <c:dLbls>
          <c:showLegendKey val="0"/>
          <c:showVal val="0"/>
          <c:showCatName val="0"/>
          <c:showSerName val="0"/>
          <c:showPercent val="0"/>
          <c:showBubbleSize val="0"/>
        </c:dLbls>
        <c:gapWidth val="16"/>
        <c:overlap val="-27"/>
        <c:axId val="251458304"/>
        <c:axId val="235885312"/>
      </c:barChart>
      <c:catAx>
        <c:axId val="251458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r>
                  <a:rPr lang="en-IN">
                    <a:solidFill>
                      <a:schemeClr val="tx1"/>
                    </a:solidFill>
                    <a:latin typeface="Times New Roman" pitchFamily="18" charset="0"/>
                    <a:cs typeface="Times New Roman" pitchFamily="18" charset="0"/>
                  </a:rPr>
                  <a:t>Habitat types</a:t>
                </a:r>
              </a:p>
            </c:rich>
          </c:tx>
          <c:layout>
            <c:manualLayout>
              <c:xMode val="edge"/>
              <c:yMode val="edge"/>
              <c:x val="0.4061753326092859"/>
              <c:y val="0.87753153196275979"/>
            </c:manualLayout>
          </c:layout>
          <c:overlay val="0"/>
          <c:spPr>
            <a:noFill/>
            <a:ln>
              <a:noFill/>
            </a:ln>
            <a:effectLst/>
          </c:spPr>
        </c:title>
        <c:numFmt formatCode="General" sourceLinked="1"/>
        <c:majorTickMark val="out"/>
        <c:minorTickMark val="none"/>
        <c:tickLblPos val="nextTo"/>
        <c:spPr>
          <a:noFill/>
          <a:ln w="12700">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itchFamily="34" charset="0"/>
                <a:ea typeface="+mn-ea"/>
                <a:cs typeface="+mn-cs"/>
              </a:defRPr>
            </a:pPr>
            <a:endParaRPr lang="en-US"/>
          </a:p>
        </c:txPr>
        <c:crossAx val="235885312"/>
        <c:crosses val="autoZero"/>
        <c:auto val="1"/>
        <c:lblAlgn val="ctr"/>
        <c:lblOffset val="100"/>
        <c:noMultiLvlLbl val="0"/>
      </c:catAx>
      <c:valAx>
        <c:axId val="235885312"/>
        <c:scaling>
          <c:orientation val="minMax"/>
          <c:max val="50"/>
          <c:min val="-5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r>
                  <a:rPr lang="en-IN">
                    <a:solidFill>
                      <a:schemeClr val="tx1"/>
                    </a:solidFill>
                    <a:latin typeface="Times New Roman" pitchFamily="18" charset="0"/>
                    <a:cs typeface="Times New Roman" pitchFamily="18" charset="0"/>
                  </a:rPr>
                  <a:t>Selection (%)</a:t>
                </a:r>
              </a:p>
            </c:rich>
          </c:tx>
          <c:layout>
            <c:manualLayout>
              <c:xMode val="edge"/>
              <c:yMode val="edge"/>
              <c:x val="2.1551724137931026E-2"/>
              <c:y val="0.30071416604839291"/>
            </c:manualLayout>
          </c:layout>
          <c:overlay val="0"/>
          <c:spPr>
            <a:noFill/>
            <a:ln>
              <a:noFill/>
            </a:ln>
            <a:effectLst/>
          </c:spPr>
        </c:title>
        <c:numFmt formatCode="0" sourceLinked="0"/>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251458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bg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73E97-116E-4412-BB69-DD62568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1117</cp:lastModifiedBy>
  <cp:revision>157</cp:revision>
  <dcterms:created xsi:type="dcterms:W3CDTF">2014-09-20T11:25:00Z</dcterms:created>
  <dcterms:modified xsi:type="dcterms:W3CDTF">2026-02-02T07:39:00Z</dcterms:modified>
</cp:coreProperties>
</file>