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91D42" w14:textId="77777777" w:rsidR="0086170B" w:rsidRPr="0086170B" w:rsidRDefault="0086170B" w:rsidP="0086170B">
      <w:pPr>
        <w:spacing w:line="360" w:lineRule="auto"/>
        <w:jc w:val="both"/>
        <w:rPr>
          <w:rFonts w:ascii="Arial" w:eastAsia="Times New Roman" w:hAnsi="Arial" w:cs="Arial"/>
          <w:b/>
          <w:bCs/>
          <w:i/>
          <w:iCs/>
          <w:u w:val="single"/>
          <w:lang w:val="en-US"/>
        </w:rPr>
      </w:pPr>
      <w:r w:rsidRPr="0086170B">
        <w:rPr>
          <w:rFonts w:ascii="Arial" w:eastAsia="Times New Roman" w:hAnsi="Arial" w:cs="Arial"/>
          <w:b/>
          <w:bCs/>
          <w:i/>
          <w:iCs/>
          <w:u w:val="single"/>
          <w:lang w:val="en-US"/>
        </w:rPr>
        <w:t>Short Research Article</w:t>
      </w:r>
    </w:p>
    <w:p w14:paraId="653385B1" w14:textId="3E7C216A" w:rsidR="006D4175" w:rsidRPr="00F01844" w:rsidRDefault="00A7013A">
      <w:pPr>
        <w:spacing w:line="360" w:lineRule="auto"/>
        <w:jc w:val="both"/>
        <w:rPr>
          <w:rFonts w:ascii="Arial" w:eastAsia="Times New Roman" w:hAnsi="Arial" w:cs="Arial"/>
          <w:b/>
          <w:bCs/>
        </w:rPr>
      </w:pPr>
      <w:r w:rsidRPr="00F01844">
        <w:rPr>
          <w:rFonts w:ascii="Arial" w:eastAsia="Times New Roman" w:hAnsi="Arial" w:cs="Arial"/>
          <w:b/>
          <w:bCs/>
        </w:rPr>
        <w:t xml:space="preserve">Community Structure, Dominance, and Ecological Assessment of </w:t>
      </w:r>
      <w:proofErr w:type="spellStart"/>
      <w:r w:rsidRPr="00F01844">
        <w:rPr>
          <w:rFonts w:ascii="Arial" w:eastAsia="Times New Roman" w:hAnsi="Arial" w:cs="Arial"/>
          <w:b/>
          <w:bCs/>
        </w:rPr>
        <w:t>Phintella</w:t>
      </w:r>
      <w:proofErr w:type="spellEnd"/>
      <w:r w:rsidRPr="00F01844">
        <w:rPr>
          <w:rFonts w:ascii="Arial" w:eastAsia="Times New Roman" w:hAnsi="Arial" w:cs="Arial"/>
          <w:b/>
          <w:bCs/>
        </w:rPr>
        <w:t xml:space="preserve"> (</w:t>
      </w:r>
      <w:proofErr w:type="spellStart"/>
      <w:r w:rsidRPr="00F01844">
        <w:rPr>
          <w:rFonts w:ascii="Arial" w:eastAsia="Times New Roman" w:hAnsi="Arial" w:cs="Arial"/>
          <w:b/>
          <w:bCs/>
        </w:rPr>
        <w:t>Salticidae</w:t>
      </w:r>
      <w:proofErr w:type="spellEnd"/>
      <w:r w:rsidRPr="00F01844">
        <w:rPr>
          <w:rFonts w:ascii="Arial" w:eastAsia="Times New Roman" w:hAnsi="Arial" w:cs="Arial"/>
          <w:b/>
          <w:bCs/>
        </w:rPr>
        <w:t xml:space="preserve">) and Associated Spider in a Semi-Natural Urban Habitat </w:t>
      </w:r>
    </w:p>
    <w:p w14:paraId="385F6BF8" w14:textId="72F2760E" w:rsidR="0086170B" w:rsidRDefault="0086170B">
      <w:pPr>
        <w:spacing w:line="360" w:lineRule="auto"/>
        <w:rPr>
          <w:rFonts w:ascii="Arial" w:eastAsia="Times New Roman" w:hAnsi="Arial" w:cs="Arial"/>
          <w:sz w:val="22"/>
          <w:szCs w:val="22"/>
        </w:rPr>
      </w:pPr>
    </w:p>
    <w:p w14:paraId="5AA7EE38" w14:textId="77777777" w:rsidR="00ED63B8" w:rsidRPr="009D2FD5" w:rsidRDefault="00ED63B8">
      <w:pPr>
        <w:spacing w:line="360" w:lineRule="auto"/>
        <w:rPr>
          <w:rFonts w:ascii="Arial" w:eastAsia="Times New Roman" w:hAnsi="Arial" w:cs="Arial"/>
          <w:sz w:val="22"/>
          <w:szCs w:val="22"/>
        </w:rPr>
      </w:pPr>
    </w:p>
    <w:p w14:paraId="3EA7F2BD" w14:textId="553D0A56" w:rsidR="006D4175" w:rsidRPr="002B3615" w:rsidRDefault="00CD4B93">
      <w:pPr>
        <w:spacing w:line="360" w:lineRule="auto"/>
        <w:jc w:val="both"/>
        <w:rPr>
          <w:rFonts w:ascii="Arial" w:eastAsia="Times New Roman" w:hAnsi="Arial" w:cs="Arial"/>
          <w:sz w:val="22"/>
          <w:szCs w:val="22"/>
        </w:rPr>
      </w:pPr>
      <w:bookmarkStart w:id="0" w:name="_3djiek48sjz9" w:colFirst="0" w:colLast="0"/>
      <w:bookmarkEnd w:id="0"/>
      <w:r w:rsidRPr="00F01844">
        <w:rPr>
          <w:rFonts w:ascii="Arial" w:eastAsia="Times New Roman" w:hAnsi="Arial" w:cs="Arial"/>
          <w:b/>
          <w:bCs/>
        </w:rPr>
        <w:t>Abstract:</w:t>
      </w:r>
      <w:r w:rsidRPr="00F01844">
        <w:rPr>
          <w:rFonts w:ascii="Arial" w:eastAsia="Times New Roman" w:hAnsi="Arial" w:cs="Arial"/>
        </w:rPr>
        <w:t xml:space="preserve"> </w:t>
      </w:r>
      <w:r w:rsidR="001A5505" w:rsidRPr="002B3615">
        <w:rPr>
          <w:rFonts w:ascii="Arial" w:hAnsi="Arial" w:cs="Arial"/>
          <w:sz w:val="22"/>
          <w:szCs w:val="22"/>
        </w:rPr>
        <w:t xml:space="preserve">This research investigates the presence and ecological distribution of </w:t>
      </w:r>
      <w:proofErr w:type="spellStart"/>
      <w:r w:rsidR="001A5505" w:rsidRPr="002B3615">
        <w:rPr>
          <w:rFonts w:ascii="Arial" w:hAnsi="Arial" w:cs="Arial"/>
          <w:i/>
          <w:sz w:val="22"/>
          <w:szCs w:val="22"/>
        </w:rPr>
        <w:t>Phintella</w:t>
      </w:r>
      <w:proofErr w:type="spellEnd"/>
      <w:r w:rsidR="001A5505" w:rsidRPr="002B3615">
        <w:rPr>
          <w:rFonts w:ascii="Arial" w:hAnsi="Arial" w:cs="Arial"/>
          <w:sz w:val="22"/>
          <w:szCs w:val="22"/>
        </w:rPr>
        <w:t xml:space="preserve"> spiders (</w:t>
      </w:r>
      <w:proofErr w:type="spellStart"/>
      <w:r w:rsidR="001A5505" w:rsidRPr="002B3615">
        <w:rPr>
          <w:rFonts w:ascii="Arial" w:hAnsi="Arial" w:cs="Arial"/>
          <w:sz w:val="22"/>
          <w:szCs w:val="22"/>
        </w:rPr>
        <w:t>Salticidae</w:t>
      </w:r>
      <w:proofErr w:type="spellEnd"/>
      <w:r w:rsidR="001A5505" w:rsidRPr="002B3615">
        <w:rPr>
          <w:rFonts w:ascii="Arial" w:hAnsi="Arial" w:cs="Arial"/>
          <w:sz w:val="22"/>
          <w:szCs w:val="22"/>
        </w:rPr>
        <w:t xml:space="preserve"> family) within </w:t>
      </w:r>
      <w:proofErr w:type="spellStart"/>
      <w:r w:rsidR="001A5505" w:rsidRPr="002B3615">
        <w:rPr>
          <w:rFonts w:ascii="Arial" w:hAnsi="Arial" w:cs="Arial"/>
          <w:sz w:val="22"/>
          <w:szCs w:val="22"/>
        </w:rPr>
        <w:t>Vaijanti</w:t>
      </w:r>
      <w:proofErr w:type="spellEnd"/>
      <w:r w:rsidR="001A5505" w:rsidRPr="002B3615">
        <w:rPr>
          <w:rFonts w:ascii="Arial" w:hAnsi="Arial" w:cs="Arial"/>
          <w:sz w:val="22"/>
          <w:szCs w:val="22"/>
        </w:rPr>
        <w:t xml:space="preserve"> Bagan, a specialized </w:t>
      </w:r>
      <w:r w:rsidR="001A5505" w:rsidRPr="002B3615">
        <w:rPr>
          <w:rFonts w:ascii="Arial" w:hAnsi="Arial" w:cs="Arial"/>
          <w:i/>
          <w:sz w:val="22"/>
          <w:szCs w:val="22"/>
        </w:rPr>
        <w:t>Canna</w:t>
      </w:r>
      <w:r w:rsidR="001A5505" w:rsidRPr="002B3615">
        <w:rPr>
          <w:rFonts w:ascii="Arial" w:hAnsi="Arial" w:cs="Arial"/>
          <w:sz w:val="22"/>
          <w:szCs w:val="22"/>
        </w:rPr>
        <w:t xml:space="preserve"> lily garden located in Prayagraj, Uttar Pradesh, India. Field surveys were conducted at Chandrashekhar Azad Park utilizing three complementary sampling methodologies: hand-collection, sweep-net sampling, and pitfall traps during both winter and summer seasons</w:t>
      </w:r>
      <w:r w:rsidRPr="002B3615">
        <w:rPr>
          <w:rFonts w:ascii="Arial" w:eastAsia="Times New Roman" w:hAnsi="Arial" w:cs="Arial"/>
          <w:sz w:val="22"/>
          <w:szCs w:val="22"/>
        </w:rPr>
        <w:t>.</w:t>
      </w:r>
    </w:p>
    <w:p w14:paraId="4C1806B0"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 xml:space="preserve">The Simpson's Dominance Index for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spiders was found to be 0.6912.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spiders were </w:t>
      </w:r>
      <w:r w:rsidRPr="002B3615">
        <w:rPr>
          <w:rFonts w:ascii="Arial" w:eastAsia="Times New Roman" w:hAnsi="Arial" w:cs="Arial"/>
          <w:sz w:val="22"/>
          <w:szCs w:val="22"/>
        </w:rPr>
        <w:t xml:space="preserve">found to be abundant within the ecological community. This family may be well adapted to the structure of its host plant or the microclimate of the ecosystem. This research demonstrates an important relationship between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spiders and host plants, a</w:t>
      </w:r>
      <w:r w:rsidRPr="002B3615">
        <w:rPr>
          <w:rFonts w:ascii="Arial" w:eastAsia="Times New Roman" w:hAnsi="Arial" w:cs="Arial"/>
          <w:sz w:val="22"/>
          <w:szCs w:val="22"/>
        </w:rPr>
        <w:t xml:space="preserve">nd the need to conserve such habitats. Host-plant specificity of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jumping spiders has also been documented on </w:t>
      </w:r>
      <w:r w:rsidRPr="002B3615">
        <w:rPr>
          <w:rFonts w:ascii="Arial" w:eastAsia="Times New Roman" w:hAnsi="Arial" w:cs="Arial"/>
          <w:i/>
          <w:iCs/>
          <w:sz w:val="22"/>
          <w:szCs w:val="22"/>
        </w:rPr>
        <w:t>Canna</w:t>
      </w:r>
      <w:r w:rsidRPr="002B3615">
        <w:rPr>
          <w:rFonts w:ascii="Arial" w:eastAsia="Times New Roman" w:hAnsi="Arial" w:cs="Arial"/>
          <w:sz w:val="22"/>
          <w:szCs w:val="22"/>
        </w:rPr>
        <w:t xml:space="preserve"> lilies.</w:t>
      </w:r>
    </w:p>
    <w:p w14:paraId="50C57975" w14:textId="77777777" w:rsidR="006D4175" w:rsidRPr="002B3615" w:rsidRDefault="00CD4B93">
      <w:pPr>
        <w:spacing w:line="360" w:lineRule="auto"/>
        <w:jc w:val="both"/>
        <w:rPr>
          <w:rFonts w:ascii="Arial" w:eastAsia="Times New Roman" w:hAnsi="Arial" w:cs="Arial"/>
          <w:sz w:val="22"/>
          <w:szCs w:val="22"/>
        </w:rPr>
      </w:pPr>
      <w:r w:rsidRPr="00F01844">
        <w:rPr>
          <w:rFonts w:ascii="Arial" w:eastAsia="Times New Roman" w:hAnsi="Arial" w:cs="Arial"/>
          <w:b/>
          <w:bCs/>
        </w:rPr>
        <w:t>Keywords:</w:t>
      </w:r>
      <w:r w:rsidRPr="00F01844">
        <w:rPr>
          <w:rFonts w:ascii="Arial" w:eastAsia="Times New Roman" w:hAnsi="Arial" w:cs="Arial"/>
        </w:rPr>
        <w:t xml:space="preserve"> </w:t>
      </w:r>
      <w:r w:rsidRPr="002B3615">
        <w:rPr>
          <w:rFonts w:ascii="Arial" w:eastAsia="Times New Roman" w:hAnsi="Arial" w:cs="Arial"/>
          <w:sz w:val="22"/>
          <w:szCs w:val="22"/>
        </w:rPr>
        <w:t xml:space="preserve">Araneae, </w:t>
      </w:r>
      <w:r w:rsidRPr="002B3615">
        <w:rPr>
          <w:rFonts w:ascii="Arial" w:eastAsia="Times New Roman" w:hAnsi="Arial" w:cs="Arial"/>
          <w:i/>
          <w:iCs/>
          <w:sz w:val="22"/>
          <w:szCs w:val="22"/>
        </w:rPr>
        <w:t>Phintella</w:t>
      </w:r>
      <w:r w:rsidRPr="002B3615">
        <w:rPr>
          <w:rFonts w:ascii="Arial" w:eastAsia="Times New Roman" w:hAnsi="Arial" w:cs="Arial"/>
          <w:sz w:val="22"/>
          <w:szCs w:val="22"/>
        </w:rPr>
        <w:t>, Micro habitat, Host plant, Abundance</w:t>
      </w:r>
    </w:p>
    <w:p w14:paraId="42D17072" w14:textId="77777777" w:rsidR="006D4175" w:rsidRPr="00F01844" w:rsidRDefault="00CD4B93" w:rsidP="00F01844">
      <w:pPr>
        <w:numPr>
          <w:ilvl w:val="0"/>
          <w:numId w:val="1"/>
        </w:numPr>
        <w:spacing w:line="360" w:lineRule="auto"/>
        <w:ind w:left="360" w:firstLine="0"/>
        <w:jc w:val="both"/>
        <w:rPr>
          <w:rFonts w:ascii="Arial" w:eastAsia="Times New Roman" w:hAnsi="Arial" w:cs="Arial"/>
          <w:b/>
          <w:bCs/>
        </w:rPr>
      </w:pPr>
      <w:r w:rsidRPr="00F01844">
        <w:rPr>
          <w:rFonts w:ascii="Arial" w:eastAsia="Times New Roman" w:hAnsi="Arial" w:cs="Arial"/>
          <w:b/>
          <w:bCs/>
        </w:rPr>
        <w:t>Introduction</w:t>
      </w:r>
    </w:p>
    <w:p w14:paraId="77D39150" w14:textId="43C15DB5"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color w:val="000000" w:themeColor="text1"/>
          <w:sz w:val="22"/>
          <w:szCs w:val="22"/>
        </w:rPr>
        <w:t xml:space="preserve">In nature both plants and animals are </w:t>
      </w:r>
      <w:r w:rsidRPr="002B3615">
        <w:rPr>
          <w:rFonts w:ascii="Arial" w:eastAsia="Times New Roman" w:hAnsi="Arial" w:cs="Arial"/>
          <w:color w:val="000000" w:themeColor="text1"/>
          <w:sz w:val="22"/>
          <w:szCs w:val="22"/>
        </w:rPr>
        <w:t>crucial for maintaining the equilibrium of the food web through both positive and negative interactions. Animals depend on plants for food, medicine, shelter, and protection and in return animals may protect plants from herbivory. Plant-insect interactions</w:t>
      </w:r>
      <w:r w:rsidRPr="002B3615">
        <w:rPr>
          <w:rFonts w:ascii="Arial" w:eastAsia="Times New Roman" w:hAnsi="Arial" w:cs="Arial"/>
          <w:color w:val="000000" w:themeColor="text1"/>
          <w:sz w:val="22"/>
          <w:szCs w:val="22"/>
        </w:rPr>
        <w:t xml:space="preserve"> are unique and are interdependent on each other for mutual benefits that affect the existence of each other</w:t>
      </w:r>
      <w:r w:rsidR="00E976B3" w:rsidRPr="002B3615">
        <w:rPr>
          <w:rFonts w:ascii="Arial" w:eastAsia="Times New Roman" w:hAnsi="Arial" w:cs="Arial"/>
          <w:color w:val="000000" w:themeColor="text1"/>
          <w:sz w:val="22"/>
          <w:szCs w:val="22"/>
        </w:rPr>
        <w:t xml:space="preserve"> (Eschenbrenner &amp; Thebault, 2023)</w:t>
      </w:r>
      <w:r w:rsidRPr="002B3615">
        <w:rPr>
          <w:rFonts w:ascii="Arial" w:eastAsia="Times New Roman" w:hAnsi="Arial" w:cs="Arial"/>
          <w:color w:val="000000" w:themeColor="text1"/>
          <w:sz w:val="22"/>
          <w:szCs w:val="22"/>
        </w:rPr>
        <w:t xml:space="preserve">. </w:t>
      </w:r>
      <w:r w:rsidRPr="002B3615">
        <w:rPr>
          <w:rFonts w:ascii="Arial" w:eastAsia="Times New Roman" w:hAnsi="Arial" w:cs="Arial"/>
          <w:sz w:val="22"/>
          <w:szCs w:val="22"/>
        </w:rPr>
        <w:t>Globally, invertebrate predators placed under the order Araneae annually consume around 400-800 million tons of p</w:t>
      </w:r>
      <w:r w:rsidRPr="002B3615">
        <w:rPr>
          <w:rFonts w:ascii="Arial" w:eastAsia="Times New Roman" w:hAnsi="Arial" w:cs="Arial"/>
          <w:sz w:val="22"/>
          <w:szCs w:val="22"/>
        </w:rPr>
        <w:t xml:space="preserve">rey in terrestrial ecosystems (Nyffeler </w:t>
      </w:r>
      <w:r w:rsidR="00E976B3" w:rsidRPr="002B3615">
        <w:rPr>
          <w:rFonts w:ascii="Arial" w:eastAsia="Times New Roman" w:hAnsi="Arial" w:cs="Arial"/>
          <w:sz w:val="22"/>
          <w:szCs w:val="22"/>
        </w:rPr>
        <w:t>&amp;</w:t>
      </w:r>
      <w:r w:rsidRPr="002B3615">
        <w:rPr>
          <w:rFonts w:ascii="Arial" w:eastAsia="Times New Roman" w:hAnsi="Arial" w:cs="Arial"/>
          <w:sz w:val="22"/>
          <w:szCs w:val="22"/>
        </w:rPr>
        <w:t xml:space="preserve"> Birkhofer, 2017). Approximately 52,865 species of predatory arthropods (Spiders, order Araneae, class Arachnida) have been identified worldwide from all types of terrestrial environments, grouped into 136 families </w:t>
      </w:r>
      <w:r w:rsidRPr="002B3615">
        <w:rPr>
          <w:rFonts w:ascii="Arial" w:eastAsia="Times New Roman" w:hAnsi="Arial" w:cs="Arial"/>
          <w:sz w:val="22"/>
          <w:szCs w:val="22"/>
        </w:rPr>
        <w:t xml:space="preserve">(World Spider Catalog, 2025). Of which the family </w:t>
      </w:r>
      <w:proofErr w:type="spellStart"/>
      <w:r w:rsidRPr="002B3615">
        <w:rPr>
          <w:rFonts w:ascii="Arial" w:eastAsia="Times New Roman" w:hAnsi="Arial" w:cs="Arial"/>
          <w:sz w:val="22"/>
          <w:szCs w:val="22"/>
        </w:rPr>
        <w:t>Salticidae</w:t>
      </w:r>
      <w:proofErr w:type="spellEnd"/>
      <w:r w:rsidRPr="002B3615">
        <w:rPr>
          <w:rFonts w:ascii="Arial" w:eastAsia="Times New Roman" w:hAnsi="Arial" w:cs="Arial"/>
          <w:sz w:val="22"/>
          <w:szCs w:val="22"/>
        </w:rPr>
        <w:t xml:space="preserve"> constitutes 12.8% of all species of Araneae with 681 genera and 6640 species. They are found at the middle of the food chain and play an important role in naturally regulating insect populations </w:t>
      </w:r>
      <w:r w:rsidRPr="002B3615">
        <w:rPr>
          <w:rFonts w:ascii="Arial" w:eastAsia="Times New Roman" w:hAnsi="Arial" w:cs="Arial"/>
          <w:sz w:val="22"/>
          <w:szCs w:val="22"/>
        </w:rPr>
        <w:t xml:space="preserve">(Nyffeler &amp; Birkhofer, 2017). Despite their immense ecological </w:t>
      </w:r>
      <w:r w:rsidRPr="002B3615">
        <w:rPr>
          <w:rFonts w:ascii="Arial" w:eastAsia="Times New Roman" w:hAnsi="Arial" w:cs="Arial"/>
          <w:sz w:val="22"/>
          <w:szCs w:val="22"/>
        </w:rPr>
        <w:lastRenderedPageBreak/>
        <w:t>importance, arachnids are often overlooked in biodiversity studies, especially in rapidly growing cities (Cardoso et al., 2008). Spiders sense even small changes in their surroundings such as p</w:t>
      </w:r>
      <w:r w:rsidRPr="002B3615">
        <w:rPr>
          <w:rFonts w:ascii="Arial" w:eastAsia="Times New Roman" w:hAnsi="Arial" w:cs="Arial"/>
          <w:sz w:val="22"/>
          <w:szCs w:val="22"/>
        </w:rPr>
        <w:t xml:space="preserve">lant structure or food availability. For this reason, they are considered extremely useful bioindicators for environmental quality (Pearce &amp; Venier, 2006). </w:t>
      </w:r>
      <w:r w:rsidRPr="002B3615">
        <w:rPr>
          <w:rFonts w:ascii="Arial" w:eastAsia="Times New Roman" w:hAnsi="Arial" w:cs="Arial"/>
          <w:i/>
          <w:iCs/>
          <w:sz w:val="22"/>
          <w:szCs w:val="22"/>
        </w:rPr>
        <w:t xml:space="preserve">Phintella, </w:t>
      </w:r>
      <w:r w:rsidRPr="002B3615">
        <w:rPr>
          <w:rFonts w:ascii="Arial" w:eastAsia="Times New Roman" w:hAnsi="Arial" w:cs="Arial"/>
          <w:sz w:val="22"/>
          <w:szCs w:val="22"/>
        </w:rPr>
        <w:t xml:space="preserve">a cosmopolitan jumping spider, is one of the species rich </w:t>
      </w:r>
      <w:r w:rsidR="00A7013A" w:rsidRPr="002B3615">
        <w:rPr>
          <w:rFonts w:ascii="Arial" w:eastAsia="Times New Roman" w:hAnsi="Arial" w:cs="Arial"/>
          <w:sz w:val="22"/>
          <w:szCs w:val="22"/>
        </w:rPr>
        <w:t>genera</w:t>
      </w:r>
      <w:r w:rsidRPr="002B3615">
        <w:rPr>
          <w:rFonts w:ascii="Arial" w:eastAsia="Times New Roman" w:hAnsi="Arial" w:cs="Arial"/>
          <w:sz w:val="22"/>
          <w:szCs w:val="22"/>
        </w:rPr>
        <w:t xml:space="preserve"> of the family </w:t>
      </w:r>
      <w:proofErr w:type="spellStart"/>
      <w:r w:rsidRPr="002B3615">
        <w:rPr>
          <w:rFonts w:ascii="Arial" w:eastAsia="Times New Roman" w:hAnsi="Arial" w:cs="Arial"/>
          <w:sz w:val="22"/>
          <w:szCs w:val="22"/>
        </w:rPr>
        <w:t>Salticidae</w:t>
      </w:r>
      <w:proofErr w:type="spellEnd"/>
      <w:r w:rsidRPr="002B3615">
        <w:rPr>
          <w:rFonts w:ascii="Arial" w:eastAsia="Times New Roman" w:hAnsi="Arial" w:cs="Arial"/>
          <w:sz w:val="22"/>
          <w:szCs w:val="22"/>
        </w:rPr>
        <w:t xml:space="preserve"> with 76 species </w:t>
      </w:r>
      <w:r w:rsidRPr="002B3615">
        <w:rPr>
          <w:rFonts w:ascii="Arial" w:eastAsia="Times New Roman" w:hAnsi="Arial" w:cs="Arial"/>
          <w:color w:val="000000" w:themeColor="text1"/>
          <w:sz w:val="22"/>
          <w:szCs w:val="22"/>
        </w:rPr>
        <w:t xml:space="preserve">of which 14 </w:t>
      </w:r>
      <w:r w:rsidR="00802A01" w:rsidRPr="002B3615">
        <w:rPr>
          <w:rFonts w:ascii="Arial" w:hAnsi="Arial" w:cs="Arial"/>
          <w:color w:val="000000" w:themeColor="text1"/>
          <w:sz w:val="22"/>
          <w:szCs w:val="22"/>
        </w:rPr>
        <w:t>occur within Indian territories</w:t>
      </w:r>
      <w:r w:rsidRPr="002B3615">
        <w:rPr>
          <w:rFonts w:ascii="Arial" w:eastAsia="Times New Roman" w:hAnsi="Arial" w:cs="Arial"/>
          <w:color w:val="000000" w:themeColor="text1"/>
          <w:sz w:val="22"/>
          <w:szCs w:val="22"/>
        </w:rPr>
        <w:t xml:space="preserve"> (Sudhin et al. 2024).</w:t>
      </w:r>
    </w:p>
    <w:p w14:paraId="59FD6E9A" w14:textId="02E95E16" w:rsidR="00802A01" w:rsidRPr="002B3615" w:rsidRDefault="00802A01" w:rsidP="00802A01">
      <w:pPr>
        <w:spacing w:after="210" w:line="360" w:lineRule="auto"/>
        <w:jc w:val="both"/>
        <w:rPr>
          <w:rFonts w:ascii="Arial" w:hAnsi="Arial" w:cs="Arial"/>
          <w:color w:val="000000" w:themeColor="text1"/>
          <w:sz w:val="22"/>
          <w:szCs w:val="22"/>
        </w:rPr>
      </w:pPr>
      <w:r w:rsidRPr="002B3615">
        <w:rPr>
          <w:rFonts w:ascii="Arial" w:hAnsi="Arial" w:cs="Arial"/>
          <w:color w:val="000000" w:themeColor="text1"/>
          <w:sz w:val="22"/>
          <w:szCs w:val="22"/>
        </w:rPr>
        <w:t xml:space="preserve">Despite their ecological significance, spiders remain underrepresented in biodiversity assessments, particularly in developing urban ecosystems </w:t>
      </w:r>
      <w:r w:rsidRPr="002B3615">
        <w:rPr>
          <w:rFonts w:ascii="Arial" w:eastAsia="Times New Roman" w:hAnsi="Arial" w:cs="Arial"/>
          <w:color w:val="000000" w:themeColor="text1"/>
          <w:sz w:val="22"/>
          <w:szCs w:val="22"/>
        </w:rPr>
        <w:t>(Cardoso et al., 2008)</w:t>
      </w:r>
      <w:r w:rsidRPr="002B3615">
        <w:rPr>
          <w:rFonts w:ascii="Arial" w:hAnsi="Arial" w:cs="Arial"/>
          <w:color w:val="000000" w:themeColor="text1"/>
          <w:sz w:val="22"/>
          <w:szCs w:val="22"/>
        </w:rPr>
        <w:t xml:space="preserve">. These arthropods serve as sensitive environmental indicators, responding rapidly to changes in habitat structure, vegetation composition, and prey availability </w:t>
      </w:r>
      <w:r w:rsidR="00F90246" w:rsidRPr="002B3615">
        <w:rPr>
          <w:rFonts w:ascii="Arial" w:hAnsi="Arial" w:cs="Arial"/>
          <w:color w:val="000000" w:themeColor="text1"/>
          <w:sz w:val="22"/>
          <w:szCs w:val="22"/>
        </w:rPr>
        <w:t>(</w:t>
      </w:r>
      <w:r w:rsidR="00F90246" w:rsidRPr="002B3615">
        <w:rPr>
          <w:rFonts w:ascii="Arial" w:eastAsia="Times New Roman" w:hAnsi="Arial" w:cs="Arial"/>
          <w:color w:val="000000" w:themeColor="text1"/>
          <w:sz w:val="22"/>
          <w:szCs w:val="22"/>
        </w:rPr>
        <w:t>Pearce &amp; Venier, 2006)</w:t>
      </w:r>
      <w:r w:rsidRPr="002B3615">
        <w:rPr>
          <w:rFonts w:ascii="Arial" w:hAnsi="Arial" w:cs="Arial"/>
          <w:color w:val="000000" w:themeColor="text1"/>
          <w:sz w:val="22"/>
          <w:szCs w:val="22"/>
        </w:rPr>
        <w:t xml:space="preserve">. In India, documented spider diversity exceeds 1,900 species; however, regional knowledge remains incomplete, especially concerning biodiversity in Uttar Pradesh districts </w:t>
      </w:r>
      <w:r w:rsidRPr="002B3615">
        <w:rPr>
          <w:rFonts w:ascii="Arial" w:eastAsia="Times New Roman" w:hAnsi="Arial" w:cs="Arial"/>
          <w:color w:val="000000" w:themeColor="text1"/>
          <w:sz w:val="22"/>
          <w:szCs w:val="22"/>
        </w:rPr>
        <w:t>(Caleb &amp; Shankaran, 2025)</w:t>
      </w:r>
      <w:r w:rsidRPr="002B3615">
        <w:rPr>
          <w:rFonts w:ascii="Arial" w:hAnsi="Arial" w:cs="Arial"/>
          <w:color w:val="000000" w:themeColor="text1"/>
          <w:sz w:val="22"/>
          <w:szCs w:val="22"/>
        </w:rPr>
        <w:t>.</w:t>
      </w:r>
    </w:p>
    <w:p w14:paraId="1EE5A43F" w14:textId="018DFCDC"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 xml:space="preserve">Current study is an effort to address this gap by focusing on the spider community found in Chandrashekhar Azad Park of </w:t>
      </w:r>
      <w:r w:rsidR="00A7013A" w:rsidRPr="002B3615">
        <w:rPr>
          <w:rFonts w:ascii="Arial" w:eastAsia="Times New Roman" w:hAnsi="Arial" w:cs="Arial"/>
          <w:sz w:val="22"/>
          <w:szCs w:val="22"/>
        </w:rPr>
        <w:t>approx.</w:t>
      </w:r>
      <w:r w:rsidRPr="002B3615">
        <w:rPr>
          <w:rFonts w:ascii="Arial" w:eastAsia="Times New Roman" w:hAnsi="Arial" w:cs="Arial"/>
          <w:sz w:val="22"/>
          <w:szCs w:val="22"/>
        </w:rPr>
        <w:t xml:space="preserve"> 4 km area, a protected urban green with vegetation and a semi-natural habitat with minimal disturbance and found abundant in Vaijayanti Bagan (Fig. 1). Vaijayanti Bagan houses the varieties of Canna lily (</w:t>
      </w:r>
      <w:r w:rsidRPr="002B3615">
        <w:rPr>
          <w:rFonts w:ascii="Arial" w:eastAsia="Times New Roman" w:hAnsi="Arial" w:cs="Arial"/>
          <w:i/>
          <w:iCs/>
          <w:sz w:val="22"/>
          <w:szCs w:val="22"/>
        </w:rPr>
        <w:t xml:space="preserve">Canna indica </w:t>
      </w:r>
      <w:r w:rsidRPr="002B3615">
        <w:rPr>
          <w:rFonts w:ascii="Arial" w:eastAsia="Times New Roman" w:hAnsi="Arial" w:cs="Arial"/>
          <w:sz w:val="22"/>
          <w:szCs w:val="22"/>
        </w:rPr>
        <w:t>L.;</w:t>
      </w:r>
      <w:r w:rsidRPr="002B3615">
        <w:rPr>
          <w:rFonts w:ascii="Arial" w:eastAsia="Times New Roman" w:hAnsi="Arial" w:cs="Arial"/>
          <w:i/>
          <w:iCs/>
          <w:sz w:val="22"/>
          <w:szCs w:val="22"/>
        </w:rPr>
        <w:t xml:space="preserve"> </w:t>
      </w:r>
      <w:proofErr w:type="spellStart"/>
      <w:r w:rsidRPr="002B3615">
        <w:rPr>
          <w:rFonts w:ascii="Arial" w:eastAsia="Times New Roman" w:hAnsi="Arial" w:cs="Arial"/>
          <w:sz w:val="22"/>
          <w:szCs w:val="22"/>
        </w:rPr>
        <w:t>Cannaceae</w:t>
      </w:r>
      <w:proofErr w:type="spellEnd"/>
      <w:r w:rsidRPr="002B3615">
        <w:rPr>
          <w:rFonts w:ascii="Arial" w:eastAsia="Times New Roman" w:hAnsi="Arial" w:cs="Arial"/>
          <w:sz w:val="22"/>
          <w:szCs w:val="22"/>
        </w:rPr>
        <w:t>) with red, orangish yel</w:t>
      </w:r>
      <w:r w:rsidRPr="002B3615">
        <w:rPr>
          <w:rFonts w:ascii="Arial" w:eastAsia="Times New Roman" w:hAnsi="Arial" w:cs="Arial"/>
          <w:sz w:val="22"/>
          <w:szCs w:val="22"/>
        </w:rPr>
        <w:t xml:space="preserve">low, orange-yellow, and yellow-orange flowers locally called “Vaijayanti” so the name Vaijayanti Bagan (garden). Our primary aim was to understand the abundance and ecological behavior of the </w:t>
      </w:r>
      <w:proofErr w:type="spellStart"/>
      <w:r w:rsidRPr="002B3615">
        <w:rPr>
          <w:rFonts w:ascii="Arial" w:eastAsia="Times New Roman" w:hAnsi="Arial" w:cs="Arial"/>
          <w:i/>
          <w:iCs/>
          <w:sz w:val="22"/>
          <w:szCs w:val="22"/>
        </w:rPr>
        <w:t>Phintella</w:t>
      </w:r>
      <w:proofErr w:type="spellEnd"/>
      <w:r w:rsidRPr="002B3615">
        <w:rPr>
          <w:rFonts w:ascii="Arial" w:eastAsia="Times New Roman" w:hAnsi="Arial" w:cs="Arial"/>
          <w:sz w:val="22"/>
          <w:szCs w:val="22"/>
        </w:rPr>
        <w:t xml:space="preserve"> (family: </w:t>
      </w:r>
      <w:proofErr w:type="spellStart"/>
      <w:r w:rsidRPr="002B3615">
        <w:rPr>
          <w:rFonts w:ascii="Arial" w:eastAsia="Times New Roman" w:hAnsi="Arial" w:cs="Arial"/>
          <w:sz w:val="22"/>
          <w:szCs w:val="22"/>
        </w:rPr>
        <w:t>Salticidae</w:t>
      </w:r>
      <w:proofErr w:type="spellEnd"/>
      <w:r w:rsidRPr="002B3615">
        <w:rPr>
          <w:rFonts w:ascii="Arial" w:eastAsia="Times New Roman" w:hAnsi="Arial" w:cs="Arial"/>
          <w:sz w:val="22"/>
          <w:szCs w:val="22"/>
        </w:rPr>
        <w:t>) jumping spider; and to gather bas</w:t>
      </w:r>
      <w:r w:rsidRPr="002B3615">
        <w:rPr>
          <w:rFonts w:ascii="Arial" w:eastAsia="Times New Roman" w:hAnsi="Arial" w:cs="Arial"/>
          <w:sz w:val="22"/>
          <w:szCs w:val="22"/>
        </w:rPr>
        <w:t xml:space="preserve">ic information for urban conservation; and the occurrence of this genus in Prayagraj appears to be limited. </w:t>
      </w:r>
    </w:p>
    <w:p w14:paraId="6ADADA27" w14:textId="119E830A" w:rsidR="006D4175" w:rsidRPr="00F01844" w:rsidRDefault="00CD4B93" w:rsidP="00F01844">
      <w:pPr>
        <w:pStyle w:val="ListParagraph"/>
        <w:numPr>
          <w:ilvl w:val="0"/>
          <w:numId w:val="1"/>
        </w:numPr>
        <w:spacing w:line="360" w:lineRule="auto"/>
        <w:ind w:left="360" w:firstLine="0"/>
        <w:jc w:val="both"/>
        <w:rPr>
          <w:rFonts w:ascii="Arial" w:eastAsia="Times New Roman" w:hAnsi="Arial" w:cs="Arial"/>
          <w:b/>
          <w:bCs/>
        </w:rPr>
      </w:pPr>
      <w:r w:rsidRPr="00F01844">
        <w:rPr>
          <w:rFonts w:ascii="Arial" w:eastAsia="Times New Roman" w:hAnsi="Arial" w:cs="Arial"/>
          <w:b/>
          <w:bCs/>
        </w:rPr>
        <w:t>Materials and Methods</w:t>
      </w:r>
      <w:r w:rsidR="00F01844" w:rsidRPr="00F01844">
        <w:rPr>
          <w:rFonts w:ascii="Arial" w:eastAsia="Times New Roman" w:hAnsi="Arial" w:cs="Arial"/>
          <w:b/>
          <w:bCs/>
        </w:rPr>
        <w:t xml:space="preserve"> </w:t>
      </w:r>
    </w:p>
    <w:p w14:paraId="68EFFF21" w14:textId="7777777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b/>
          <w:bCs/>
          <w:sz w:val="22"/>
          <w:szCs w:val="22"/>
        </w:rPr>
        <w:t>2.1 Study Area</w:t>
      </w:r>
    </w:p>
    <w:p w14:paraId="5A1B83A8"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This study was conducted within Chandrashekhar Azad Park Prayagraj, Uttar Pradesh with an area of approx. 4 km located at 25.45°N, 81.84°E (Figure 1). According to regional climatic data, this park has a humid subtropical climate. The ground is covered wit</w:t>
      </w:r>
      <w:r w:rsidRPr="002B3615">
        <w:rPr>
          <w:rFonts w:ascii="Arial" w:eastAsia="Times New Roman" w:hAnsi="Arial" w:cs="Arial"/>
          <w:sz w:val="22"/>
          <w:szCs w:val="22"/>
        </w:rPr>
        <w:t>h grasses, shrubs, and a variety of vegetation, providing a rich and complex habitat for a variety of animal guilds. The climate here varies throughout the year—with average temperatures in January being around 15°C, while average temperatures in June reac</w:t>
      </w:r>
      <w:r w:rsidRPr="002B3615">
        <w:rPr>
          <w:rFonts w:ascii="Arial" w:eastAsia="Times New Roman" w:hAnsi="Arial" w:cs="Arial"/>
          <w:sz w:val="22"/>
          <w:szCs w:val="22"/>
        </w:rPr>
        <w:t xml:space="preserve">h around 42°C (indianclimate.com). </w:t>
      </w:r>
    </w:p>
    <w:p w14:paraId="6C96A8BC" w14:textId="7777777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b/>
          <w:bCs/>
          <w:sz w:val="22"/>
          <w:szCs w:val="22"/>
        </w:rPr>
        <w:t>2.2 Sampling Protocol</w:t>
      </w:r>
    </w:p>
    <w:p w14:paraId="6AD412EE"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lastRenderedPageBreak/>
        <w:t>Spider specimens were systematically collected during both the winter and summer seasons to account for temporal variability in activity and abundance, employing a combination of three standard, wid</w:t>
      </w:r>
      <w:r w:rsidRPr="002B3615">
        <w:rPr>
          <w:rFonts w:ascii="Arial" w:eastAsia="Times New Roman" w:hAnsi="Arial" w:cs="Arial"/>
          <w:sz w:val="22"/>
          <w:szCs w:val="22"/>
        </w:rPr>
        <w:t>ely accepted sampling techniques (Sorensen, Coddington, &amp; Scharff, 2002).</w:t>
      </w:r>
    </w:p>
    <w:p w14:paraId="64E71E2F"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b/>
          <w:bCs/>
          <w:sz w:val="22"/>
          <w:szCs w:val="22"/>
        </w:rPr>
        <w:t>2.2.1 Hand-picking (Active Search):</w:t>
      </w:r>
      <w:r w:rsidRPr="002B3615">
        <w:rPr>
          <w:rFonts w:ascii="Arial" w:eastAsia="Times New Roman" w:hAnsi="Arial" w:cs="Arial"/>
          <w:sz w:val="22"/>
          <w:szCs w:val="22"/>
        </w:rPr>
        <w:t xml:space="preserve"> Manual collection of spiders from specific microhabitats, including tree trunks, beneath stones and leaf litter, and across the foliage of targete</w:t>
      </w:r>
      <w:r w:rsidRPr="002B3615">
        <w:rPr>
          <w:rFonts w:ascii="Arial" w:eastAsia="Times New Roman" w:hAnsi="Arial" w:cs="Arial"/>
          <w:sz w:val="22"/>
          <w:szCs w:val="22"/>
        </w:rPr>
        <w:t>d host plants and shrubs.</w:t>
      </w:r>
    </w:p>
    <w:p w14:paraId="117DD64E"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b/>
          <w:bCs/>
          <w:sz w:val="22"/>
          <w:szCs w:val="22"/>
        </w:rPr>
        <w:t>2.2.2 Sweep-netting:</w:t>
      </w:r>
      <w:r w:rsidRPr="002B3615">
        <w:rPr>
          <w:rFonts w:ascii="Arial" w:eastAsia="Times New Roman" w:hAnsi="Arial" w:cs="Arial"/>
          <w:sz w:val="22"/>
          <w:szCs w:val="22"/>
        </w:rPr>
        <w:t xml:space="preserve"> Utilization of a standard diameter sweep net to collect spiders from low-lying vegetation and grass cover, capturing foliage-dwelling species.</w:t>
      </w:r>
    </w:p>
    <w:p w14:paraId="23933106" w14:textId="77777777" w:rsidR="006D4175" w:rsidRPr="002B3615" w:rsidRDefault="00CD4B93">
      <w:pPr>
        <w:rPr>
          <w:rFonts w:ascii="Arial" w:eastAsia="Times New Roman" w:hAnsi="Arial" w:cs="Arial"/>
          <w:sz w:val="22"/>
          <w:szCs w:val="22"/>
        </w:rPr>
      </w:pPr>
      <w:r w:rsidRPr="002B3615">
        <w:rPr>
          <w:rFonts w:ascii="Arial" w:eastAsia="Times New Roman" w:hAnsi="Arial" w:cs="Arial"/>
          <w:b/>
          <w:bCs/>
          <w:sz w:val="22"/>
          <w:szCs w:val="22"/>
        </w:rPr>
        <w:t>2.2.3 Pitfall Traps:</w:t>
      </w:r>
      <w:r w:rsidRPr="002B3615">
        <w:rPr>
          <w:rFonts w:ascii="Arial" w:eastAsia="Times New Roman" w:hAnsi="Arial" w:cs="Arial"/>
          <w:sz w:val="22"/>
          <w:szCs w:val="22"/>
        </w:rPr>
        <w:t xml:space="preserve"> Installation of plastic collecting cups, fill</w:t>
      </w:r>
      <w:r w:rsidRPr="002B3615">
        <w:rPr>
          <w:rFonts w:ascii="Arial" w:eastAsia="Times New Roman" w:hAnsi="Arial" w:cs="Arial"/>
          <w:sz w:val="22"/>
          <w:szCs w:val="22"/>
        </w:rPr>
        <w:t>ed with 70% ethanol solution and buried flush with the ground, designed to capture cursorial (ground-dwelling) spider species.</w:t>
      </w:r>
    </w:p>
    <w:p w14:paraId="60CC7FFB" w14:textId="7777777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b/>
          <w:bCs/>
          <w:sz w:val="22"/>
          <w:szCs w:val="22"/>
        </w:rPr>
        <w:t>2.3 Preservation and Identification</w:t>
      </w:r>
    </w:p>
    <w:p w14:paraId="2056A0FE" w14:textId="3DBF1F68"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All collected specimens were preserved immediately in 70% ethanol within labeled glass vials.</w:t>
      </w:r>
      <w:r w:rsidRPr="002B3615">
        <w:rPr>
          <w:rFonts w:ascii="Arial" w:eastAsia="Times New Roman" w:hAnsi="Arial" w:cs="Arial"/>
          <w:sz w:val="22"/>
          <w:szCs w:val="22"/>
        </w:rPr>
        <w:t xml:space="preserve"> Photographic documentation was conducted in the field using a Canon DSLR camera and a GPS-enabled mobile camera for precise location recording. Identification was conducted in the laboratory using dissecting and </w:t>
      </w:r>
      <w:proofErr w:type="spellStart"/>
      <w:r w:rsidRPr="002B3615">
        <w:rPr>
          <w:rFonts w:ascii="Arial" w:eastAsia="Times New Roman" w:hAnsi="Arial" w:cs="Arial"/>
          <w:sz w:val="22"/>
          <w:szCs w:val="22"/>
        </w:rPr>
        <w:t>stereozoom</w:t>
      </w:r>
      <w:proofErr w:type="spellEnd"/>
      <w:r w:rsidRPr="002B3615">
        <w:rPr>
          <w:rFonts w:ascii="Arial" w:eastAsia="Times New Roman" w:hAnsi="Arial" w:cs="Arial"/>
          <w:sz w:val="22"/>
          <w:szCs w:val="22"/>
        </w:rPr>
        <w:t xml:space="preserve"> microscopes. Spiders were classi</w:t>
      </w:r>
      <w:r w:rsidRPr="002B3615">
        <w:rPr>
          <w:rFonts w:ascii="Arial" w:eastAsia="Times New Roman" w:hAnsi="Arial" w:cs="Arial"/>
          <w:sz w:val="22"/>
          <w:szCs w:val="22"/>
        </w:rPr>
        <w:t>fied, where feasible, down to the genus and species level using the current version of the World Spider Catalogue (2025) and relevant contemporary taxonomic literature</w:t>
      </w:r>
      <w:r w:rsidR="00CF125D" w:rsidRPr="002B3615">
        <w:rPr>
          <w:rFonts w:ascii="Arial" w:eastAsia="Times New Roman" w:hAnsi="Arial" w:cs="Arial"/>
          <w:sz w:val="22"/>
          <w:szCs w:val="22"/>
        </w:rPr>
        <w:t xml:space="preserve"> (</w:t>
      </w:r>
      <w:r w:rsidR="00CF125D" w:rsidRPr="002B3615">
        <w:rPr>
          <w:rFonts w:ascii="Arial" w:eastAsia="Times New Roman" w:hAnsi="Arial" w:cs="Arial"/>
          <w:color w:val="000000"/>
          <w:sz w:val="22"/>
          <w:szCs w:val="22"/>
        </w:rPr>
        <w:t>Blackwall, 1841).</w:t>
      </w:r>
    </w:p>
    <w:p w14:paraId="366AFDD3" w14:textId="7777777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b/>
          <w:bCs/>
          <w:sz w:val="22"/>
          <w:szCs w:val="22"/>
        </w:rPr>
        <w:t>2.4 Diversity Indices</w:t>
      </w:r>
    </w:p>
    <w:p w14:paraId="4198616B"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To understand the composition of spiders, and s</w:t>
      </w:r>
      <w:r w:rsidRPr="002B3615">
        <w:rPr>
          <w:rFonts w:ascii="Arial" w:eastAsia="Times New Roman" w:hAnsi="Arial" w:cs="Arial"/>
          <w:sz w:val="22"/>
          <w:szCs w:val="22"/>
        </w:rPr>
        <w:t xml:space="preserve">pecifically, the abundance of the genus </w:t>
      </w:r>
      <w:r w:rsidRPr="002B3615">
        <w:rPr>
          <w:rFonts w:ascii="Arial" w:eastAsia="Times New Roman" w:hAnsi="Arial" w:cs="Arial"/>
          <w:i/>
          <w:iCs/>
          <w:sz w:val="22"/>
          <w:szCs w:val="22"/>
        </w:rPr>
        <w:t>Phintella</w:t>
      </w:r>
      <w:r w:rsidRPr="002B3615">
        <w:rPr>
          <w:rFonts w:ascii="Arial" w:eastAsia="Times New Roman" w:hAnsi="Arial" w:cs="Arial"/>
          <w:sz w:val="22"/>
          <w:szCs w:val="22"/>
        </w:rPr>
        <w:t>, we used the following criteria (Simpson, 1949):</w:t>
      </w:r>
    </w:p>
    <w:p w14:paraId="0DDE1094" w14:textId="18F005F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b/>
          <w:bCs/>
          <w:sz w:val="22"/>
          <w:szCs w:val="22"/>
        </w:rPr>
        <w:t>2.4.1 Simpson's Index (D):</w:t>
      </w:r>
      <w:r w:rsidRPr="002B3615">
        <w:rPr>
          <w:rFonts w:ascii="Arial" w:eastAsia="Times New Roman" w:hAnsi="Arial" w:cs="Arial"/>
          <w:sz w:val="22"/>
          <w:szCs w:val="22"/>
        </w:rPr>
        <w:t xml:space="preserve"> It measures how likely it is that two individuals, if randomly selected from a sample, belong to the same species/</w:t>
      </w:r>
      <w:r w:rsidR="00A7013A" w:rsidRPr="002B3615">
        <w:rPr>
          <w:rFonts w:ascii="Arial" w:eastAsia="Times New Roman" w:hAnsi="Arial" w:cs="Arial"/>
          <w:sz w:val="22"/>
          <w:szCs w:val="22"/>
        </w:rPr>
        <w:t>group. Thus</w:t>
      </w:r>
      <w:r w:rsidRPr="002B3615">
        <w:rPr>
          <w:rFonts w:ascii="Arial" w:eastAsia="Times New Roman" w:hAnsi="Arial" w:cs="Arial"/>
          <w:sz w:val="22"/>
          <w:szCs w:val="22"/>
        </w:rPr>
        <w:t xml:space="preserve">, it </w:t>
      </w:r>
      <w:r w:rsidRPr="002B3615">
        <w:rPr>
          <w:rFonts w:ascii="Arial" w:eastAsia="Times New Roman" w:hAnsi="Arial" w:cs="Arial"/>
          <w:sz w:val="22"/>
          <w:szCs w:val="22"/>
        </w:rPr>
        <w:t>reflects the dominance of a single species. It is a simple way to understand which species is dominant in a community.</w:t>
      </w:r>
    </w:p>
    <w:p w14:paraId="1B2EB4EA"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The formula for the Simpson Dominance Index is:</w:t>
      </w:r>
    </w:p>
    <w:p w14:paraId="69DF42DB" w14:textId="77777777" w:rsidR="006D4175" w:rsidRPr="002B3615" w:rsidRDefault="00CD4B93">
      <w:pPr>
        <w:jc w:val="both"/>
        <w:rPr>
          <w:rFonts w:ascii="Arial" w:eastAsia="Times New Roman" w:hAnsi="Arial" w:cs="Arial"/>
          <w:sz w:val="22"/>
          <w:szCs w:val="22"/>
        </w:rPr>
      </w:pPr>
      <w:r w:rsidRPr="002B3615">
        <w:rPr>
          <w:rFonts w:ascii="Arial" w:eastAsia="Gungsuh" w:hAnsi="Arial" w:cs="Arial"/>
          <w:sz w:val="22"/>
          <w:szCs w:val="22"/>
        </w:rPr>
        <w:t>D=∑(pi) 2</w:t>
      </w:r>
    </w:p>
    <w:p w14:paraId="3514C132"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Where:</w:t>
      </w:r>
    </w:p>
    <w:p w14:paraId="78447BBE"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D is the Simpson Dominance Index.</w:t>
      </w:r>
    </w:p>
    <w:p w14:paraId="764C2D65"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 xml:space="preserve">pi is the proportional abundance of the </w:t>
      </w:r>
      <w:proofErr w:type="spellStart"/>
      <w:r w:rsidRPr="002B3615">
        <w:rPr>
          <w:rFonts w:ascii="Arial" w:eastAsia="Times New Roman" w:hAnsi="Arial" w:cs="Arial"/>
          <w:sz w:val="22"/>
          <w:szCs w:val="22"/>
        </w:rPr>
        <w:t>i</w:t>
      </w:r>
      <w:proofErr w:type="spellEnd"/>
      <w:r w:rsidRPr="002B3615">
        <w:rPr>
          <w:rFonts w:ascii="Arial" w:eastAsia="Times New Roman" w:hAnsi="Arial" w:cs="Arial"/>
          <w:sz w:val="22"/>
          <w:szCs w:val="22"/>
        </w:rPr>
        <w:t xml:space="preserve"> -</w:t>
      </w:r>
      <w:proofErr w:type="spellStart"/>
      <w:r w:rsidRPr="002B3615">
        <w:rPr>
          <w:rFonts w:ascii="Arial" w:eastAsia="Times New Roman" w:hAnsi="Arial" w:cs="Arial"/>
          <w:sz w:val="22"/>
          <w:szCs w:val="22"/>
        </w:rPr>
        <w:t>th</w:t>
      </w:r>
      <w:proofErr w:type="spellEnd"/>
      <w:r w:rsidRPr="002B3615">
        <w:rPr>
          <w:rFonts w:ascii="Arial" w:eastAsia="Times New Roman" w:hAnsi="Arial" w:cs="Arial"/>
          <w:sz w:val="22"/>
          <w:szCs w:val="22"/>
        </w:rPr>
        <w:t xml:space="preserve"> category (species, or, in this case, sex), calculated as pi= </w:t>
      </w:r>
      <w:proofErr w:type="spellStart"/>
      <w:r w:rsidRPr="002B3615">
        <w:rPr>
          <w:rFonts w:ascii="Arial" w:eastAsia="Times New Roman" w:hAnsi="Arial" w:cs="Arial"/>
          <w:sz w:val="22"/>
          <w:szCs w:val="22"/>
        </w:rPr>
        <w:t>ni</w:t>
      </w:r>
      <w:proofErr w:type="spellEnd"/>
      <w:r w:rsidRPr="002B3615">
        <w:rPr>
          <w:rFonts w:ascii="Arial" w:eastAsia="Times New Roman" w:hAnsi="Arial" w:cs="Arial"/>
          <w:sz w:val="22"/>
          <w:szCs w:val="22"/>
        </w:rPr>
        <w:t>/N.</w:t>
      </w:r>
    </w:p>
    <w:p w14:paraId="637661D1" w14:textId="77777777" w:rsidR="006D4175" w:rsidRPr="002B3615" w:rsidRDefault="00CD4B93">
      <w:pPr>
        <w:jc w:val="both"/>
        <w:rPr>
          <w:rFonts w:ascii="Arial" w:eastAsia="Times New Roman" w:hAnsi="Arial" w:cs="Arial"/>
          <w:sz w:val="22"/>
          <w:szCs w:val="22"/>
        </w:rPr>
      </w:pPr>
      <w:proofErr w:type="spellStart"/>
      <w:r w:rsidRPr="002B3615">
        <w:rPr>
          <w:rFonts w:ascii="Arial" w:eastAsia="Times New Roman" w:hAnsi="Arial" w:cs="Arial"/>
          <w:sz w:val="22"/>
          <w:szCs w:val="22"/>
        </w:rPr>
        <w:t>ni</w:t>
      </w:r>
      <w:proofErr w:type="spellEnd"/>
      <w:r w:rsidRPr="002B3615">
        <w:rPr>
          <w:rFonts w:ascii="Arial" w:eastAsia="Times New Roman" w:hAnsi="Arial" w:cs="Arial"/>
          <w:sz w:val="22"/>
          <w:szCs w:val="22"/>
        </w:rPr>
        <w:t xml:space="preserve"> is the total count of the </w:t>
      </w:r>
      <w:proofErr w:type="spellStart"/>
      <w:r w:rsidRPr="002B3615">
        <w:rPr>
          <w:rFonts w:ascii="Arial" w:eastAsia="Times New Roman" w:hAnsi="Arial" w:cs="Arial"/>
          <w:sz w:val="22"/>
          <w:szCs w:val="22"/>
        </w:rPr>
        <w:t>i-th</w:t>
      </w:r>
      <w:proofErr w:type="spellEnd"/>
      <w:r w:rsidRPr="002B3615">
        <w:rPr>
          <w:rFonts w:ascii="Arial" w:eastAsia="Times New Roman" w:hAnsi="Arial" w:cs="Arial"/>
          <w:sz w:val="22"/>
          <w:szCs w:val="22"/>
        </w:rPr>
        <w:t xml:space="preserve"> category.</w:t>
      </w:r>
    </w:p>
    <w:p w14:paraId="4F937EF1"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lastRenderedPageBreak/>
        <w:t>N is the grand total number of all individuals.</w:t>
      </w:r>
    </w:p>
    <w:p w14:paraId="6879D298"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1. Identify Totals</w:t>
      </w:r>
    </w:p>
    <w:p w14:paraId="2490F267"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Category</w:t>
      </w:r>
      <w:r w:rsidRPr="002B3615">
        <w:rPr>
          <w:rFonts w:ascii="Arial" w:eastAsia="Times New Roman" w:hAnsi="Arial" w:cs="Arial"/>
          <w:sz w:val="22"/>
          <w:szCs w:val="22"/>
        </w:rPr>
        <w:tab/>
      </w:r>
      <w:r w:rsidRPr="002B3615">
        <w:rPr>
          <w:rFonts w:ascii="Arial" w:eastAsia="Times New Roman" w:hAnsi="Arial" w:cs="Arial"/>
          <w:sz w:val="22"/>
          <w:szCs w:val="22"/>
        </w:rPr>
        <w:tab/>
        <w:t>Total Count (</w:t>
      </w:r>
      <w:proofErr w:type="spellStart"/>
      <w:r w:rsidRPr="002B3615">
        <w:rPr>
          <w:rFonts w:ascii="Arial" w:eastAsia="Times New Roman" w:hAnsi="Arial" w:cs="Arial"/>
          <w:sz w:val="22"/>
          <w:szCs w:val="22"/>
        </w:rPr>
        <w:t>ni</w:t>
      </w:r>
      <w:proofErr w:type="spellEnd"/>
      <w:r w:rsidRPr="002B3615">
        <w:rPr>
          <w:rFonts w:ascii="Arial" w:eastAsia="Times New Roman" w:hAnsi="Arial" w:cs="Arial"/>
          <w:sz w:val="22"/>
          <w:szCs w:val="22"/>
        </w:rPr>
        <w:t>)</w:t>
      </w:r>
    </w:p>
    <w:p w14:paraId="67B02372"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Femal</w:t>
      </w:r>
      <w:r w:rsidRPr="002B3615">
        <w:rPr>
          <w:rFonts w:ascii="Arial" w:eastAsia="Times New Roman" w:hAnsi="Arial" w:cs="Arial"/>
          <w:sz w:val="22"/>
          <w:szCs w:val="22"/>
        </w:rPr>
        <w:t xml:space="preserve">e </w:t>
      </w:r>
      <w:r w:rsidRPr="002B3615">
        <w:rPr>
          <w:rFonts w:ascii="Arial" w:eastAsia="Times New Roman" w:hAnsi="Arial" w:cs="Arial"/>
          <w:i/>
          <w:iCs/>
          <w:sz w:val="22"/>
          <w:szCs w:val="22"/>
        </w:rPr>
        <w:t>Phintella</w:t>
      </w:r>
      <w:r w:rsidRPr="002B3615">
        <w:rPr>
          <w:rFonts w:ascii="Arial" w:eastAsia="Times New Roman" w:hAnsi="Arial" w:cs="Arial"/>
          <w:sz w:val="22"/>
          <w:szCs w:val="22"/>
        </w:rPr>
        <w:t>,</w:t>
      </w:r>
      <w:r w:rsidRPr="002B3615">
        <w:rPr>
          <w:rFonts w:ascii="Arial" w:eastAsia="Times New Roman" w:hAnsi="Arial" w:cs="Arial"/>
          <w:sz w:val="22"/>
          <w:szCs w:val="22"/>
        </w:rPr>
        <w:tab/>
        <w:t>n female =106</w:t>
      </w:r>
    </w:p>
    <w:p w14:paraId="6B4CB7EF"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 xml:space="preserve">Male </w:t>
      </w:r>
      <w:r w:rsidRPr="002B3615">
        <w:rPr>
          <w:rFonts w:ascii="Arial" w:eastAsia="Times New Roman" w:hAnsi="Arial" w:cs="Arial"/>
          <w:i/>
          <w:iCs/>
          <w:sz w:val="22"/>
          <w:szCs w:val="22"/>
        </w:rPr>
        <w:t>Phintella</w:t>
      </w:r>
      <w:r w:rsidRPr="002B3615">
        <w:rPr>
          <w:rFonts w:ascii="Arial" w:eastAsia="Times New Roman" w:hAnsi="Arial" w:cs="Arial"/>
          <w:sz w:val="22"/>
          <w:szCs w:val="22"/>
        </w:rPr>
        <w:t>,</w:t>
      </w:r>
      <w:r w:rsidRPr="002B3615">
        <w:rPr>
          <w:rFonts w:ascii="Arial" w:eastAsia="Times New Roman" w:hAnsi="Arial" w:cs="Arial"/>
          <w:sz w:val="22"/>
          <w:szCs w:val="22"/>
        </w:rPr>
        <w:tab/>
        <w:t>n Male= 25</w:t>
      </w:r>
    </w:p>
    <w:p w14:paraId="79393EC3" w14:textId="559FE5E4"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Grand Total</w:t>
      </w:r>
      <w:r w:rsidRPr="002B3615">
        <w:rPr>
          <w:rFonts w:ascii="Arial" w:eastAsia="Times New Roman" w:hAnsi="Arial" w:cs="Arial"/>
          <w:sz w:val="22"/>
          <w:szCs w:val="22"/>
        </w:rPr>
        <w:tab/>
        <w:t>N=131</w:t>
      </w:r>
    </w:p>
    <w:p w14:paraId="2429B142"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Category, Proportional Abundance (pi​=</w:t>
      </w:r>
      <w:proofErr w:type="spellStart"/>
      <w:r w:rsidRPr="002B3615">
        <w:rPr>
          <w:rFonts w:ascii="Arial" w:eastAsia="Times New Roman" w:hAnsi="Arial" w:cs="Arial"/>
          <w:sz w:val="22"/>
          <w:szCs w:val="22"/>
        </w:rPr>
        <w:t>ni</w:t>
      </w:r>
      <w:proofErr w:type="spellEnd"/>
      <w:r w:rsidRPr="002B3615">
        <w:rPr>
          <w:rFonts w:ascii="Arial" w:eastAsia="Times New Roman" w:hAnsi="Arial" w:cs="Arial"/>
          <w:sz w:val="22"/>
          <w:szCs w:val="22"/>
        </w:rPr>
        <w:t>​/N)</w:t>
      </w:r>
    </w:p>
    <w:p w14:paraId="6E81F289" w14:textId="72432D6C"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 xml:space="preserve">Female </w:t>
      </w:r>
      <w:r w:rsidRPr="002B3615">
        <w:rPr>
          <w:rFonts w:ascii="Arial" w:eastAsia="Times New Roman" w:hAnsi="Arial" w:cs="Arial"/>
          <w:i/>
          <w:iCs/>
          <w:sz w:val="22"/>
          <w:szCs w:val="22"/>
        </w:rPr>
        <w:t xml:space="preserve">Phintella </w:t>
      </w:r>
      <w:r w:rsidR="00E976B3" w:rsidRPr="002B3615">
        <w:rPr>
          <w:rFonts w:ascii="Arial" w:eastAsia="Times New Roman" w:hAnsi="Arial" w:cs="Arial"/>
          <w:i/>
          <w:iCs/>
          <w:sz w:val="22"/>
          <w:szCs w:val="22"/>
        </w:rPr>
        <w:t>vittata</w:t>
      </w:r>
      <w:r w:rsidRPr="002B3615">
        <w:rPr>
          <w:rFonts w:ascii="Arial" w:eastAsia="Gungsuh" w:hAnsi="Arial" w:cs="Arial"/>
          <w:sz w:val="22"/>
          <w:szCs w:val="22"/>
        </w:rPr>
        <w:t>, p</w:t>
      </w:r>
      <w:r w:rsidR="00DD7DCF" w:rsidRPr="002B3615">
        <w:rPr>
          <w:rFonts w:ascii="Arial" w:eastAsia="Gungsuh" w:hAnsi="Arial" w:cs="Arial"/>
          <w:sz w:val="22"/>
          <w:szCs w:val="22"/>
        </w:rPr>
        <w:t xml:space="preserve"> </w:t>
      </w:r>
      <w:r w:rsidRPr="002B3615">
        <w:rPr>
          <w:rFonts w:ascii="Arial" w:eastAsia="Gungsuh" w:hAnsi="Arial" w:cs="Arial"/>
          <w:sz w:val="22"/>
          <w:szCs w:val="22"/>
        </w:rPr>
        <w:t>Female​=106/131​≈0.8092</w:t>
      </w:r>
    </w:p>
    <w:p w14:paraId="0A426F81" w14:textId="16328106"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 xml:space="preserve">Male </w:t>
      </w:r>
      <w:r w:rsidRPr="002B3615">
        <w:rPr>
          <w:rFonts w:ascii="Arial" w:eastAsia="Times New Roman" w:hAnsi="Arial" w:cs="Arial"/>
          <w:i/>
          <w:iCs/>
          <w:sz w:val="22"/>
          <w:szCs w:val="22"/>
        </w:rPr>
        <w:t xml:space="preserve">Phintella </w:t>
      </w:r>
      <w:r w:rsidR="00E976B3" w:rsidRPr="002B3615">
        <w:rPr>
          <w:rFonts w:ascii="Arial" w:eastAsia="Times New Roman" w:hAnsi="Arial" w:cs="Arial"/>
          <w:i/>
          <w:iCs/>
          <w:sz w:val="22"/>
          <w:szCs w:val="22"/>
        </w:rPr>
        <w:t>vittata</w:t>
      </w:r>
      <w:r w:rsidRPr="002B3615">
        <w:rPr>
          <w:rFonts w:ascii="Arial" w:eastAsia="Gungsuh" w:hAnsi="Arial" w:cs="Arial"/>
          <w:sz w:val="22"/>
          <w:szCs w:val="22"/>
        </w:rPr>
        <w:t>, p</w:t>
      </w:r>
      <w:r w:rsidR="00DD7DCF" w:rsidRPr="002B3615">
        <w:rPr>
          <w:rFonts w:ascii="Arial" w:eastAsia="Gungsuh" w:hAnsi="Arial" w:cs="Arial"/>
          <w:sz w:val="22"/>
          <w:szCs w:val="22"/>
        </w:rPr>
        <w:t xml:space="preserve"> </w:t>
      </w:r>
      <w:r w:rsidRPr="002B3615">
        <w:rPr>
          <w:rFonts w:ascii="Arial" w:eastAsia="Gungsuh" w:hAnsi="Arial" w:cs="Arial"/>
          <w:sz w:val="22"/>
          <w:szCs w:val="22"/>
        </w:rPr>
        <w:t>Male​=25/131​≈0.1908</w:t>
      </w:r>
    </w:p>
    <w:p w14:paraId="31BC538C" w14:textId="77777777" w:rsidR="006D4175" w:rsidRPr="002B3615" w:rsidRDefault="00CD4B93">
      <w:pPr>
        <w:jc w:val="both"/>
        <w:rPr>
          <w:rFonts w:ascii="Arial" w:eastAsia="Times New Roman" w:hAnsi="Arial" w:cs="Arial"/>
          <w:b/>
          <w:bCs/>
          <w:sz w:val="22"/>
          <w:szCs w:val="22"/>
        </w:rPr>
      </w:pPr>
      <w:r w:rsidRPr="002B3615">
        <w:rPr>
          <w:rFonts w:ascii="Arial" w:eastAsia="Times New Roman" w:hAnsi="Arial" w:cs="Arial"/>
          <w:sz w:val="22"/>
          <w:szCs w:val="22"/>
        </w:rPr>
        <w:t xml:space="preserve"> </w:t>
      </w:r>
      <w:r w:rsidRPr="002B3615">
        <w:rPr>
          <w:rFonts w:ascii="Arial" w:eastAsia="Times New Roman" w:hAnsi="Arial" w:cs="Arial"/>
          <w:b/>
          <w:bCs/>
          <w:sz w:val="22"/>
          <w:szCs w:val="22"/>
        </w:rPr>
        <w:t>Calculate the Index (D)</w:t>
      </w:r>
    </w:p>
    <w:p w14:paraId="20DDF7BB"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D = (p Female)2</w:t>
      </w:r>
      <w:r w:rsidRPr="002B3615">
        <w:rPr>
          <w:rFonts w:ascii="Arial" w:eastAsia="Times New Roman" w:hAnsi="Arial" w:cs="Arial"/>
          <w:sz w:val="22"/>
          <w:szCs w:val="22"/>
        </w:rPr>
        <w:t xml:space="preserve"> + (p Male)2</w:t>
      </w:r>
    </w:p>
    <w:p w14:paraId="7E757A8D"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D = (0.8092)2 + (0.1908)2</w:t>
      </w:r>
    </w:p>
    <w:p w14:paraId="7BEB6735" w14:textId="77777777" w:rsidR="006D4175" w:rsidRPr="002B3615" w:rsidRDefault="00CD4B93">
      <w:pPr>
        <w:jc w:val="both"/>
        <w:rPr>
          <w:rFonts w:ascii="Arial" w:eastAsia="Times New Roman" w:hAnsi="Arial" w:cs="Arial"/>
          <w:sz w:val="22"/>
          <w:szCs w:val="22"/>
        </w:rPr>
      </w:pPr>
      <w:r w:rsidRPr="002B3615">
        <w:rPr>
          <w:rFonts w:ascii="Arial" w:eastAsia="Gungsuh" w:hAnsi="Arial" w:cs="Arial"/>
          <w:sz w:val="22"/>
          <w:szCs w:val="22"/>
        </w:rPr>
        <w:t>D≈0.6548+0.0364</w:t>
      </w:r>
    </w:p>
    <w:p w14:paraId="10E3635A" w14:textId="77777777" w:rsidR="006D4175" w:rsidRPr="002B3615" w:rsidRDefault="00CD4B93">
      <w:pPr>
        <w:jc w:val="both"/>
        <w:rPr>
          <w:rFonts w:ascii="Arial" w:eastAsia="Times New Roman" w:hAnsi="Arial" w:cs="Arial"/>
          <w:sz w:val="22"/>
          <w:szCs w:val="22"/>
        </w:rPr>
      </w:pPr>
      <w:r w:rsidRPr="002B3615">
        <w:rPr>
          <w:rFonts w:ascii="Arial" w:eastAsia="Gungsuh" w:hAnsi="Arial" w:cs="Arial"/>
          <w:sz w:val="22"/>
          <w:szCs w:val="22"/>
        </w:rPr>
        <w:t>D≈0.6912</w:t>
      </w:r>
    </w:p>
    <w:p w14:paraId="7E673A59"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b/>
          <w:bCs/>
          <w:sz w:val="22"/>
          <w:szCs w:val="22"/>
        </w:rPr>
        <w:t xml:space="preserve">2.4.2 Simpson's Reciprocal Index: </w:t>
      </w:r>
      <w:r w:rsidRPr="002B3615">
        <w:rPr>
          <w:rFonts w:ascii="Arial" w:eastAsia="Times New Roman" w:hAnsi="Arial" w:cs="Arial"/>
          <w:sz w:val="22"/>
          <w:szCs w:val="22"/>
        </w:rPr>
        <w:t>This is the inverse measure of dominance; the higher the value, the more diverse the community and the less dominant a single species is.</w:t>
      </w:r>
    </w:p>
    <w:p w14:paraId="5936738C" w14:textId="77777777" w:rsidR="006D4175" w:rsidRPr="00F01844" w:rsidRDefault="00CD4B93" w:rsidP="00F01844">
      <w:pPr>
        <w:numPr>
          <w:ilvl w:val="0"/>
          <w:numId w:val="1"/>
        </w:numPr>
        <w:spacing w:line="360" w:lineRule="auto"/>
        <w:ind w:left="360" w:firstLine="0"/>
        <w:jc w:val="both"/>
        <w:rPr>
          <w:rFonts w:ascii="Arial" w:eastAsia="Times New Roman" w:hAnsi="Arial" w:cs="Arial"/>
          <w:b/>
          <w:bCs/>
        </w:rPr>
      </w:pPr>
      <w:r w:rsidRPr="00F01844">
        <w:rPr>
          <w:rFonts w:ascii="Arial" w:eastAsia="Times New Roman" w:hAnsi="Arial" w:cs="Arial"/>
          <w:b/>
          <w:bCs/>
        </w:rPr>
        <w:t>Results</w:t>
      </w:r>
    </w:p>
    <w:p w14:paraId="18FBAE95" w14:textId="510AC98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sz w:val="22"/>
          <w:szCs w:val="22"/>
        </w:rPr>
        <w:t>The variatio</w:t>
      </w:r>
      <w:r w:rsidRPr="002B3615">
        <w:rPr>
          <w:rFonts w:ascii="Arial" w:eastAsia="Times New Roman" w:hAnsi="Arial" w:cs="Arial"/>
          <w:sz w:val="22"/>
          <w:szCs w:val="22"/>
        </w:rPr>
        <w:t xml:space="preserve">n in the number of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2C0CF3"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(C. L. Koch, 1846) was observed throughout the year within </w:t>
      </w:r>
      <w:proofErr w:type="spellStart"/>
      <w:r w:rsidRPr="002B3615">
        <w:rPr>
          <w:rFonts w:ascii="Arial" w:eastAsia="Times New Roman" w:hAnsi="Arial" w:cs="Arial"/>
          <w:sz w:val="22"/>
          <w:szCs w:val="22"/>
        </w:rPr>
        <w:t>Vaijayanti</w:t>
      </w:r>
      <w:proofErr w:type="spellEnd"/>
      <w:r w:rsidRPr="002B3615">
        <w:rPr>
          <w:rFonts w:ascii="Arial" w:eastAsia="Times New Roman" w:hAnsi="Arial" w:cs="Arial"/>
          <w:sz w:val="22"/>
          <w:szCs w:val="22"/>
        </w:rPr>
        <w:t xml:space="preserve"> </w:t>
      </w:r>
      <w:proofErr w:type="spellStart"/>
      <w:r w:rsidRPr="002B3615">
        <w:rPr>
          <w:rFonts w:ascii="Arial" w:eastAsia="Times New Roman" w:hAnsi="Arial" w:cs="Arial"/>
          <w:sz w:val="22"/>
          <w:szCs w:val="22"/>
        </w:rPr>
        <w:t>Bhaag</w:t>
      </w:r>
      <w:proofErr w:type="spellEnd"/>
      <w:r w:rsidRPr="002B3615">
        <w:rPr>
          <w:rFonts w:ascii="Arial" w:eastAsia="Times New Roman" w:hAnsi="Arial" w:cs="Arial"/>
          <w:sz w:val="22"/>
          <w:szCs w:val="22"/>
        </w:rPr>
        <w:t xml:space="preserve"> dominated with the varieties of </w:t>
      </w:r>
      <w:r w:rsidRPr="002B3615">
        <w:rPr>
          <w:rFonts w:ascii="Arial" w:eastAsia="Times New Roman" w:hAnsi="Arial" w:cs="Arial"/>
          <w:i/>
          <w:iCs/>
          <w:sz w:val="22"/>
          <w:szCs w:val="22"/>
        </w:rPr>
        <w:t xml:space="preserve">Canna indica </w:t>
      </w:r>
      <w:r w:rsidRPr="002B3615">
        <w:rPr>
          <w:rFonts w:ascii="Arial" w:eastAsia="Times New Roman" w:hAnsi="Arial" w:cs="Arial"/>
          <w:sz w:val="22"/>
          <w:szCs w:val="22"/>
        </w:rPr>
        <w:t xml:space="preserve">L. of family </w:t>
      </w:r>
      <w:proofErr w:type="spellStart"/>
      <w:r w:rsidRPr="002B3615">
        <w:rPr>
          <w:rFonts w:ascii="Arial" w:eastAsia="Times New Roman" w:hAnsi="Arial" w:cs="Arial"/>
          <w:sz w:val="22"/>
          <w:szCs w:val="22"/>
        </w:rPr>
        <w:t>Cannaceae</w:t>
      </w:r>
      <w:proofErr w:type="spellEnd"/>
      <w:r w:rsidRPr="002B3615">
        <w:rPr>
          <w:rFonts w:ascii="Arial" w:eastAsia="Times New Roman" w:hAnsi="Arial" w:cs="Arial"/>
          <w:sz w:val="22"/>
          <w:szCs w:val="22"/>
        </w:rPr>
        <w:t xml:space="preserve"> within the monocot group of order </w:t>
      </w:r>
      <w:proofErr w:type="spellStart"/>
      <w:r w:rsidRPr="002B3615">
        <w:rPr>
          <w:rFonts w:ascii="Arial" w:eastAsia="Times New Roman" w:hAnsi="Arial" w:cs="Arial"/>
          <w:sz w:val="22"/>
          <w:szCs w:val="22"/>
        </w:rPr>
        <w:t>Zingiberales</w:t>
      </w:r>
      <w:proofErr w:type="spellEnd"/>
      <w:r w:rsidRPr="002B3615">
        <w:rPr>
          <w:rFonts w:ascii="Arial" w:eastAsia="Times New Roman" w:hAnsi="Arial" w:cs="Arial"/>
          <w:sz w:val="22"/>
          <w:szCs w:val="22"/>
        </w:rPr>
        <w:t>. The highest numbers were ob</w:t>
      </w:r>
      <w:r w:rsidRPr="002B3615">
        <w:rPr>
          <w:rFonts w:ascii="Arial" w:eastAsia="Times New Roman" w:hAnsi="Arial" w:cs="Arial"/>
          <w:sz w:val="22"/>
          <w:szCs w:val="22"/>
        </w:rPr>
        <w:t>served during the late monsoon and early post-monsoon months, while the numbers decreased during the hot and dry months (Table 1). Female spiders outnumbered males in all observation months (Table 1).</w:t>
      </w:r>
    </w:p>
    <w:p w14:paraId="0A65531D" w14:textId="7777777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b/>
          <w:bCs/>
          <w:sz w:val="22"/>
          <w:szCs w:val="22"/>
        </w:rPr>
        <w:t>3.1 Species Composition and Dominance</w:t>
      </w:r>
    </w:p>
    <w:p w14:paraId="6C322FDD" w14:textId="1CD1E4C0" w:rsidR="006D4175" w:rsidRPr="002B3615" w:rsidRDefault="00F90246" w:rsidP="002C4144">
      <w:pPr>
        <w:spacing w:line="360" w:lineRule="auto"/>
        <w:jc w:val="both"/>
        <w:rPr>
          <w:rFonts w:ascii="Arial" w:eastAsia="Times New Roman" w:hAnsi="Arial" w:cs="Arial"/>
          <w:sz w:val="22"/>
          <w:szCs w:val="22"/>
          <w:lang w:val="en-US"/>
        </w:rPr>
      </w:pPr>
      <w:r w:rsidRPr="002B3615">
        <w:rPr>
          <w:rFonts w:ascii="Arial" w:hAnsi="Arial" w:cs="Arial"/>
          <w:i/>
          <w:sz w:val="22"/>
          <w:szCs w:val="22"/>
        </w:rPr>
        <w:t>Phintella vitta</w:t>
      </w:r>
      <w:r w:rsidR="002C0CF3" w:rsidRPr="002B3615">
        <w:rPr>
          <w:rFonts w:ascii="Arial" w:hAnsi="Arial" w:cs="Arial"/>
          <w:i/>
          <w:sz w:val="22"/>
          <w:szCs w:val="22"/>
        </w:rPr>
        <w:t>t</w:t>
      </w:r>
      <w:r w:rsidRPr="002B3615">
        <w:rPr>
          <w:rFonts w:ascii="Arial" w:hAnsi="Arial" w:cs="Arial"/>
          <w:i/>
          <w:sz w:val="22"/>
          <w:szCs w:val="22"/>
        </w:rPr>
        <w:t>a</w:t>
      </w:r>
      <w:r w:rsidRPr="002B3615">
        <w:rPr>
          <w:rFonts w:ascii="Arial" w:hAnsi="Arial" w:cs="Arial"/>
          <w:sz w:val="22"/>
          <w:szCs w:val="22"/>
        </w:rPr>
        <w:t xml:space="preserve"> (C. L. Koch, 1846) demonstrated variable abundance throughout the observation period within Vaijanti Bagan's </w:t>
      </w:r>
      <w:r w:rsidRPr="002B3615">
        <w:rPr>
          <w:rFonts w:ascii="Arial" w:hAnsi="Arial" w:cs="Arial"/>
          <w:i/>
          <w:sz w:val="22"/>
          <w:szCs w:val="22"/>
        </w:rPr>
        <w:t>Canna indica</w:t>
      </w:r>
      <w:r w:rsidRPr="002B3615">
        <w:rPr>
          <w:rFonts w:ascii="Arial" w:hAnsi="Arial" w:cs="Arial"/>
          <w:sz w:val="22"/>
          <w:szCs w:val="22"/>
        </w:rPr>
        <w:t xml:space="preserve"> ecosystem (Figure 1).</w:t>
      </w:r>
      <w:r w:rsidRPr="002B3615">
        <w:rPr>
          <w:rFonts w:ascii="Arial" w:eastAsia="Times New Roman" w:hAnsi="Arial" w:cs="Arial"/>
          <w:sz w:val="22"/>
          <w:szCs w:val="22"/>
        </w:rPr>
        <w:t xml:space="preserve"> This genus is known for its small, sharp-sighted, jumping spiders, and is reported to be found most commonly in shrubs and the foliage layers of plants. It was found sheltering on the ventral side of </w:t>
      </w:r>
      <w:r w:rsidRPr="002B3615">
        <w:rPr>
          <w:rFonts w:ascii="Arial" w:eastAsia="Times New Roman" w:hAnsi="Arial" w:cs="Arial"/>
          <w:i/>
          <w:iCs/>
          <w:sz w:val="22"/>
          <w:szCs w:val="22"/>
        </w:rPr>
        <w:t xml:space="preserve">C. indica </w:t>
      </w:r>
      <w:r w:rsidRPr="002B3615">
        <w:rPr>
          <w:rFonts w:ascii="Arial" w:eastAsia="Times New Roman" w:hAnsi="Arial" w:cs="Arial"/>
          <w:sz w:val="22"/>
          <w:szCs w:val="22"/>
        </w:rPr>
        <w:t xml:space="preserve">leaf, surfacing only to prey and jumping back on the ventral side if threatened. </w:t>
      </w:r>
      <w:r w:rsidR="008B05E1" w:rsidRPr="002B3615">
        <w:rPr>
          <w:rFonts w:ascii="Arial" w:eastAsia="Times New Roman" w:hAnsi="Arial" w:cs="Arial"/>
          <w:sz w:val="22"/>
          <w:szCs w:val="22"/>
        </w:rPr>
        <w:t xml:space="preserve">Other </w:t>
      </w:r>
      <w:proofErr w:type="spellStart"/>
      <w:r w:rsidR="008B05E1" w:rsidRPr="002B3615">
        <w:rPr>
          <w:rFonts w:ascii="Arial" w:eastAsia="Times New Roman" w:hAnsi="Arial" w:cs="Arial"/>
          <w:sz w:val="22"/>
          <w:szCs w:val="22"/>
        </w:rPr>
        <w:t>Salticidae</w:t>
      </w:r>
      <w:proofErr w:type="spellEnd"/>
      <w:r w:rsidR="008B05E1" w:rsidRPr="002B3615">
        <w:rPr>
          <w:rFonts w:ascii="Arial" w:eastAsia="Times New Roman" w:hAnsi="Arial" w:cs="Arial"/>
          <w:sz w:val="22"/>
          <w:szCs w:val="22"/>
        </w:rPr>
        <w:t xml:space="preserve">, such as </w:t>
      </w:r>
      <w:proofErr w:type="spellStart"/>
      <w:r w:rsidR="008B05E1" w:rsidRPr="002B3615">
        <w:rPr>
          <w:rFonts w:ascii="Arial" w:eastAsia="Times New Roman" w:hAnsi="Arial" w:cs="Arial"/>
          <w:i/>
          <w:iCs/>
          <w:sz w:val="22"/>
          <w:szCs w:val="22"/>
        </w:rPr>
        <w:t>Plexippus</w:t>
      </w:r>
      <w:proofErr w:type="spellEnd"/>
      <w:r w:rsidR="008B05E1" w:rsidRPr="002B3615">
        <w:rPr>
          <w:rFonts w:ascii="Arial" w:eastAsia="Times New Roman" w:hAnsi="Arial" w:cs="Arial"/>
          <w:sz w:val="22"/>
          <w:szCs w:val="22"/>
        </w:rPr>
        <w:t xml:space="preserve">, </w:t>
      </w:r>
      <w:r w:rsidR="008B05E1" w:rsidRPr="002B3615">
        <w:rPr>
          <w:rFonts w:ascii="Arial" w:eastAsia="Times New Roman" w:hAnsi="Arial" w:cs="Arial"/>
          <w:i/>
          <w:iCs/>
          <w:sz w:val="22"/>
          <w:szCs w:val="22"/>
        </w:rPr>
        <w:t>Hyllus</w:t>
      </w:r>
      <w:r w:rsidR="008B05E1" w:rsidRPr="002B3615">
        <w:rPr>
          <w:rFonts w:ascii="Arial" w:eastAsia="Times New Roman" w:hAnsi="Arial" w:cs="Arial"/>
          <w:sz w:val="22"/>
          <w:szCs w:val="22"/>
        </w:rPr>
        <w:t xml:space="preserve">, and </w:t>
      </w:r>
      <w:proofErr w:type="spellStart"/>
      <w:r w:rsidR="008B05E1" w:rsidRPr="002B3615">
        <w:rPr>
          <w:rFonts w:ascii="Arial" w:eastAsia="Times New Roman" w:hAnsi="Arial" w:cs="Arial"/>
          <w:i/>
          <w:iCs/>
          <w:sz w:val="22"/>
          <w:szCs w:val="22"/>
        </w:rPr>
        <w:t>Telamonia</w:t>
      </w:r>
      <w:proofErr w:type="spellEnd"/>
      <w:r w:rsidR="008B05E1" w:rsidRPr="002B3615">
        <w:rPr>
          <w:rFonts w:ascii="Arial" w:eastAsia="Times New Roman" w:hAnsi="Arial" w:cs="Arial"/>
          <w:sz w:val="22"/>
          <w:szCs w:val="22"/>
        </w:rPr>
        <w:t>, are present here, though only in very small numbers.</w:t>
      </w:r>
    </w:p>
    <w:p w14:paraId="5C631131" w14:textId="084D8354"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b/>
          <w:bCs/>
          <w:sz w:val="22"/>
          <w:szCs w:val="22"/>
        </w:rPr>
        <w:lastRenderedPageBreak/>
        <w:t xml:space="preserve">Table 1: </w:t>
      </w:r>
      <w:r w:rsidRPr="002B3615">
        <w:rPr>
          <w:rFonts w:ascii="Arial" w:eastAsia="Times New Roman" w:hAnsi="Arial" w:cs="Arial"/>
          <w:sz w:val="22"/>
          <w:szCs w:val="22"/>
        </w:rPr>
        <w:t xml:space="preserve">Monthly distribution and abundance of female and male </w:t>
      </w:r>
      <w:r w:rsidRPr="002B3615">
        <w:rPr>
          <w:rFonts w:ascii="Arial" w:eastAsia="Times New Roman" w:hAnsi="Arial" w:cs="Arial"/>
          <w:i/>
          <w:iCs/>
          <w:sz w:val="22"/>
          <w:szCs w:val="22"/>
        </w:rPr>
        <w:t>Phintella 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observed from July 2024 to June 2025.</w:t>
      </w:r>
    </w:p>
    <w:tbl>
      <w:tblPr>
        <w:tblStyle w:val="a"/>
        <w:tblW w:w="10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880"/>
        <w:gridCol w:w="880"/>
        <w:gridCol w:w="880"/>
        <w:gridCol w:w="880"/>
        <w:gridCol w:w="880"/>
        <w:gridCol w:w="880"/>
        <w:gridCol w:w="880"/>
        <w:gridCol w:w="1000"/>
        <w:gridCol w:w="780"/>
        <w:gridCol w:w="660"/>
        <w:gridCol w:w="600"/>
        <w:gridCol w:w="600"/>
      </w:tblGrid>
      <w:tr w:rsidR="006D4175" w:rsidRPr="002B3615" w14:paraId="67DD5FB4" w14:textId="77777777">
        <w:trPr>
          <w:trHeight w:val="541"/>
          <w:jc w:val="center"/>
        </w:trPr>
        <w:tc>
          <w:tcPr>
            <w:tcW w:w="1000" w:type="dxa"/>
          </w:tcPr>
          <w:p w14:paraId="5F9771D2"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Months</w:t>
            </w:r>
          </w:p>
        </w:tc>
        <w:tc>
          <w:tcPr>
            <w:tcW w:w="880" w:type="dxa"/>
          </w:tcPr>
          <w:p w14:paraId="4FF66A24"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July 2024 </w:t>
            </w:r>
          </w:p>
        </w:tc>
        <w:tc>
          <w:tcPr>
            <w:tcW w:w="880" w:type="dxa"/>
          </w:tcPr>
          <w:p w14:paraId="3B52D3A6"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August 2024 </w:t>
            </w:r>
          </w:p>
        </w:tc>
        <w:tc>
          <w:tcPr>
            <w:tcW w:w="880" w:type="dxa"/>
          </w:tcPr>
          <w:p w14:paraId="738E68B5"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September 2024</w:t>
            </w:r>
          </w:p>
        </w:tc>
        <w:tc>
          <w:tcPr>
            <w:tcW w:w="880" w:type="dxa"/>
          </w:tcPr>
          <w:p w14:paraId="3953ED0D"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October 2024</w:t>
            </w:r>
          </w:p>
        </w:tc>
        <w:tc>
          <w:tcPr>
            <w:tcW w:w="880" w:type="dxa"/>
          </w:tcPr>
          <w:p w14:paraId="63B9EAF4"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November 2024</w:t>
            </w:r>
          </w:p>
        </w:tc>
        <w:tc>
          <w:tcPr>
            <w:tcW w:w="880" w:type="dxa"/>
          </w:tcPr>
          <w:p w14:paraId="6E778DAC"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December 2024</w:t>
            </w:r>
          </w:p>
        </w:tc>
        <w:tc>
          <w:tcPr>
            <w:tcW w:w="880" w:type="dxa"/>
          </w:tcPr>
          <w:p w14:paraId="7B82E310"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January 2025</w:t>
            </w:r>
          </w:p>
        </w:tc>
        <w:tc>
          <w:tcPr>
            <w:tcW w:w="1000" w:type="dxa"/>
          </w:tcPr>
          <w:p w14:paraId="674DC616"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February 2025</w:t>
            </w:r>
          </w:p>
        </w:tc>
        <w:tc>
          <w:tcPr>
            <w:tcW w:w="780" w:type="dxa"/>
          </w:tcPr>
          <w:p w14:paraId="2DB51BC6"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March 2025 </w:t>
            </w:r>
          </w:p>
        </w:tc>
        <w:tc>
          <w:tcPr>
            <w:tcW w:w="660" w:type="dxa"/>
          </w:tcPr>
          <w:p w14:paraId="17F75658"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April 2025 </w:t>
            </w:r>
          </w:p>
        </w:tc>
        <w:tc>
          <w:tcPr>
            <w:tcW w:w="600" w:type="dxa"/>
          </w:tcPr>
          <w:p w14:paraId="06B83887"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May 2025</w:t>
            </w:r>
          </w:p>
        </w:tc>
        <w:tc>
          <w:tcPr>
            <w:tcW w:w="600" w:type="dxa"/>
          </w:tcPr>
          <w:p w14:paraId="645D3C40"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June 2025 </w:t>
            </w:r>
          </w:p>
        </w:tc>
      </w:tr>
      <w:tr w:rsidR="006D4175" w:rsidRPr="002B3615" w14:paraId="053BFE06" w14:textId="77777777">
        <w:trPr>
          <w:trHeight w:val="1085"/>
          <w:jc w:val="center"/>
        </w:trPr>
        <w:tc>
          <w:tcPr>
            <w:tcW w:w="1000" w:type="dxa"/>
          </w:tcPr>
          <w:p w14:paraId="32AD7148" w14:textId="2D8F3BAF"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Female </w:t>
            </w:r>
            <w:r w:rsidRPr="002B3615">
              <w:rPr>
                <w:rFonts w:ascii="Arial" w:eastAsia="Times New Roman" w:hAnsi="Arial" w:cs="Arial"/>
                <w:i/>
                <w:iCs/>
                <w:sz w:val="22"/>
                <w:szCs w:val="22"/>
              </w:rPr>
              <w:t>Phintella 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p>
        </w:tc>
        <w:tc>
          <w:tcPr>
            <w:tcW w:w="880" w:type="dxa"/>
          </w:tcPr>
          <w:p w14:paraId="42DF986B"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8</w:t>
            </w:r>
          </w:p>
        </w:tc>
        <w:tc>
          <w:tcPr>
            <w:tcW w:w="880" w:type="dxa"/>
          </w:tcPr>
          <w:p w14:paraId="16E722BB"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11</w:t>
            </w:r>
          </w:p>
        </w:tc>
        <w:tc>
          <w:tcPr>
            <w:tcW w:w="880" w:type="dxa"/>
          </w:tcPr>
          <w:p w14:paraId="3C2C1BF4"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17</w:t>
            </w:r>
          </w:p>
        </w:tc>
        <w:tc>
          <w:tcPr>
            <w:tcW w:w="880" w:type="dxa"/>
          </w:tcPr>
          <w:p w14:paraId="03392614"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13</w:t>
            </w:r>
          </w:p>
        </w:tc>
        <w:tc>
          <w:tcPr>
            <w:tcW w:w="880" w:type="dxa"/>
          </w:tcPr>
          <w:p w14:paraId="427676DA"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7</w:t>
            </w:r>
          </w:p>
        </w:tc>
        <w:tc>
          <w:tcPr>
            <w:tcW w:w="880" w:type="dxa"/>
          </w:tcPr>
          <w:p w14:paraId="55BA5BC5"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9</w:t>
            </w:r>
          </w:p>
        </w:tc>
        <w:tc>
          <w:tcPr>
            <w:tcW w:w="880" w:type="dxa"/>
          </w:tcPr>
          <w:p w14:paraId="695F657D"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8</w:t>
            </w:r>
          </w:p>
        </w:tc>
        <w:tc>
          <w:tcPr>
            <w:tcW w:w="1000" w:type="dxa"/>
          </w:tcPr>
          <w:p w14:paraId="0BC54CD9"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7</w:t>
            </w:r>
          </w:p>
        </w:tc>
        <w:tc>
          <w:tcPr>
            <w:tcW w:w="780" w:type="dxa"/>
          </w:tcPr>
          <w:p w14:paraId="2B21CB8B"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7</w:t>
            </w:r>
          </w:p>
        </w:tc>
        <w:tc>
          <w:tcPr>
            <w:tcW w:w="660" w:type="dxa"/>
          </w:tcPr>
          <w:p w14:paraId="4A8A5B80"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6</w:t>
            </w:r>
          </w:p>
        </w:tc>
        <w:tc>
          <w:tcPr>
            <w:tcW w:w="600" w:type="dxa"/>
          </w:tcPr>
          <w:p w14:paraId="38E52CB2"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6</w:t>
            </w:r>
          </w:p>
        </w:tc>
        <w:tc>
          <w:tcPr>
            <w:tcW w:w="600" w:type="dxa"/>
          </w:tcPr>
          <w:p w14:paraId="4AF0716B"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7</w:t>
            </w:r>
          </w:p>
        </w:tc>
      </w:tr>
      <w:tr w:rsidR="006D4175" w:rsidRPr="002B3615" w14:paraId="7481AABC" w14:textId="77777777">
        <w:trPr>
          <w:trHeight w:val="803"/>
          <w:jc w:val="center"/>
        </w:trPr>
        <w:tc>
          <w:tcPr>
            <w:tcW w:w="1000" w:type="dxa"/>
          </w:tcPr>
          <w:p w14:paraId="698CF216" w14:textId="4A7EB836"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 xml:space="preserve">Male </w:t>
            </w:r>
            <w:r w:rsidRPr="002B3615">
              <w:rPr>
                <w:rFonts w:ascii="Arial" w:eastAsia="Times New Roman" w:hAnsi="Arial" w:cs="Arial"/>
                <w:i/>
                <w:iCs/>
                <w:sz w:val="22"/>
                <w:szCs w:val="22"/>
              </w:rPr>
              <w:t>Phintella 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p>
        </w:tc>
        <w:tc>
          <w:tcPr>
            <w:tcW w:w="880" w:type="dxa"/>
          </w:tcPr>
          <w:p w14:paraId="5F3021E3"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2</w:t>
            </w:r>
          </w:p>
        </w:tc>
        <w:tc>
          <w:tcPr>
            <w:tcW w:w="880" w:type="dxa"/>
          </w:tcPr>
          <w:p w14:paraId="5490F0E2"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4</w:t>
            </w:r>
          </w:p>
        </w:tc>
        <w:tc>
          <w:tcPr>
            <w:tcW w:w="880" w:type="dxa"/>
          </w:tcPr>
          <w:p w14:paraId="5775EBC3"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3</w:t>
            </w:r>
          </w:p>
        </w:tc>
        <w:tc>
          <w:tcPr>
            <w:tcW w:w="880" w:type="dxa"/>
          </w:tcPr>
          <w:p w14:paraId="61E273A0"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2</w:t>
            </w:r>
          </w:p>
        </w:tc>
        <w:tc>
          <w:tcPr>
            <w:tcW w:w="880" w:type="dxa"/>
          </w:tcPr>
          <w:p w14:paraId="477AAE85"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3</w:t>
            </w:r>
          </w:p>
        </w:tc>
        <w:tc>
          <w:tcPr>
            <w:tcW w:w="880" w:type="dxa"/>
          </w:tcPr>
          <w:p w14:paraId="488605A6"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3</w:t>
            </w:r>
          </w:p>
        </w:tc>
        <w:tc>
          <w:tcPr>
            <w:tcW w:w="880" w:type="dxa"/>
          </w:tcPr>
          <w:p w14:paraId="58938945"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2</w:t>
            </w:r>
          </w:p>
        </w:tc>
        <w:tc>
          <w:tcPr>
            <w:tcW w:w="1000" w:type="dxa"/>
          </w:tcPr>
          <w:p w14:paraId="2F05FF59"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w:t>
            </w:r>
          </w:p>
        </w:tc>
        <w:tc>
          <w:tcPr>
            <w:tcW w:w="780" w:type="dxa"/>
          </w:tcPr>
          <w:p w14:paraId="1421C6A9"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3</w:t>
            </w:r>
          </w:p>
        </w:tc>
        <w:tc>
          <w:tcPr>
            <w:tcW w:w="660" w:type="dxa"/>
          </w:tcPr>
          <w:p w14:paraId="6ECF0640"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2</w:t>
            </w:r>
          </w:p>
        </w:tc>
        <w:tc>
          <w:tcPr>
            <w:tcW w:w="600" w:type="dxa"/>
          </w:tcPr>
          <w:p w14:paraId="172FC2AF"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00</w:t>
            </w:r>
          </w:p>
        </w:tc>
        <w:tc>
          <w:tcPr>
            <w:tcW w:w="600" w:type="dxa"/>
          </w:tcPr>
          <w:p w14:paraId="1E4C69C0"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00</w:t>
            </w:r>
          </w:p>
        </w:tc>
      </w:tr>
      <w:tr w:rsidR="006D4175" w:rsidRPr="002B3615" w14:paraId="4E81105A" w14:textId="77777777">
        <w:trPr>
          <w:trHeight w:val="270"/>
          <w:jc w:val="center"/>
        </w:trPr>
        <w:tc>
          <w:tcPr>
            <w:tcW w:w="1000" w:type="dxa"/>
          </w:tcPr>
          <w:p w14:paraId="2D7FF325" w14:textId="77777777" w:rsidR="006D4175" w:rsidRPr="002B3615" w:rsidRDefault="00CD4B93">
            <w:pPr>
              <w:rPr>
                <w:rFonts w:ascii="Arial" w:eastAsia="Times New Roman" w:hAnsi="Arial" w:cs="Arial"/>
                <w:sz w:val="22"/>
                <w:szCs w:val="22"/>
              </w:rPr>
            </w:pPr>
            <w:r w:rsidRPr="002B3615">
              <w:rPr>
                <w:rFonts w:ascii="Arial" w:eastAsia="Times New Roman" w:hAnsi="Arial" w:cs="Arial"/>
                <w:sz w:val="22"/>
                <w:szCs w:val="22"/>
              </w:rPr>
              <w:t>Total</w:t>
            </w:r>
          </w:p>
        </w:tc>
        <w:tc>
          <w:tcPr>
            <w:tcW w:w="880" w:type="dxa"/>
          </w:tcPr>
          <w:p w14:paraId="209FAE3B"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10</w:t>
            </w:r>
          </w:p>
        </w:tc>
        <w:tc>
          <w:tcPr>
            <w:tcW w:w="880" w:type="dxa"/>
          </w:tcPr>
          <w:p w14:paraId="28EBD478"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15</w:t>
            </w:r>
          </w:p>
        </w:tc>
        <w:tc>
          <w:tcPr>
            <w:tcW w:w="880" w:type="dxa"/>
          </w:tcPr>
          <w:p w14:paraId="7A42BA8F"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20</w:t>
            </w:r>
          </w:p>
        </w:tc>
        <w:tc>
          <w:tcPr>
            <w:tcW w:w="880" w:type="dxa"/>
          </w:tcPr>
          <w:p w14:paraId="6CFBFE47"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15</w:t>
            </w:r>
          </w:p>
        </w:tc>
        <w:tc>
          <w:tcPr>
            <w:tcW w:w="880" w:type="dxa"/>
          </w:tcPr>
          <w:p w14:paraId="1A56CD3A"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10</w:t>
            </w:r>
          </w:p>
        </w:tc>
        <w:tc>
          <w:tcPr>
            <w:tcW w:w="880" w:type="dxa"/>
          </w:tcPr>
          <w:p w14:paraId="0F0BDF0C"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12</w:t>
            </w:r>
          </w:p>
        </w:tc>
        <w:tc>
          <w:tcPr>
            <w:tcW w:w="880" w:type="dxa"/>
          </w:tcPr>
          <w:p w14:paraId="557892F2"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10</w:t>
            </w:r>
          </w:p>
        </w:tc>
        <w:tc>
          <w:tcPr>
            <w:tcW w:w="1000" w:type="dxa"/>
          </w:tcPr>
          <w:p w14:paraId="0DAA219D"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8</w:t>
            </w:r>
          </w:p>
        </w:tc>
        <w:tc>
          <w:tcPr>
            <w:tcW w:w="780" w:type="dxa"/>
          </w:tcPr>
          <w:p w14:paraId="52D83364"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10</w:t>
            </w:r>
          </w:p>
        </w:tc>
        <w:tc>
          <w:tcPr>
            <w:tcW w:w="660" w:type="dxa"/>
          </w:tcPr>
          <w:p w14:paraId="4B385560"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8</w:t>
            </w:r>
          </w:p>
        </w:tc>
        <w:tc>
          <w:tcPr>
            <w:tcW w:w="600" w:type="dxa"/>
          </w:tcPr>
          <w:p w14:paraId="4B3019BE"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6</w:t>
            </w:r>
          </w:p>
        </w:tc>
        <w:tc>
          <w:tcPr>
            <w:tcW w:w="600" w:type="dxa"/>
          </w:tcPr>
          <w:p w14:paraId="0F586E03" w14:textId="77777777" w:rsidR="006D4175" w:rsidRPr="002B3615" w:rsidRDefault="00CD4B93">
            <w:pPr>
              <w:jc w:val="center"/>
              <w:rPr>
                <w:rFonts w:ascii="Arial" w:eastAsia="Times New Roman" w:hAnsi="Arial" w:cs="Arial"/>
                <w:sz w:val="22"/>
                <w:szCs w:val="22"/>
              </w:rPr>
            </w:pPr>
            <w:r w:rsidRPr="002B3615">
              <w:rPr>
                <w:rFonts w:ascii="Arial" w:eastAsia="Times New Roman" w:hAnsi="Arial" w:cs="Arial"/>
                <w:sz w:val="22"/>
                <w:szCs w:val="22"/>
              </w:rPr>
              <w:t>7</w:t>
            </w:r>
          </w:p>
        </w:tc>
      </w:tr>
    </w:tbl>
    <w:p w14:paraId="485D2D6D" w14:textId="77777777" w:rsidR="006D4175" w:rsidRPr="002B3615" w:rsidRDefault="006D4175">
      <w:pPr>
        <w:jc w:val="both"/>
        <w:rPr>
          <w:rFonts w:ascii="Arial" w:eastAsia="Times New Roman" w:hAnsi="Arial" w:cs="Arial"/>
          <w:sz w:val="22"/>
          <w:szCs w:val="22"/>
        </w:rPr>
      </w:pPr>
    </w:p>
    <w:p w14:paraId="39A49B8B" w14:textId="77777777" w:rsidR="006D4175" w:rsidRPr="002B3615" w:rsidRDefault="00CD4B93" w:rsidP="00700D31">
      <w:pPr>
        <w:spacing w:line="360" w:lineRule="auto"/>
        <w:jc w:val="both"/>
        <w:rPr>
          <w:rFonts w:ascii="Arial" w:eastAsia="Times New Roman" w:hAnsi="Arial" w:cs="Arial"/>
          <w:sz w:val="22"/>
          <w:szCs w:val="22"/>
        </w:rPr>
      </w:pPr>
      <w:r w:rsidRPr="002B3615">
        <w:rPr>
          <w:rFonts w:ascii="Arial" w:eastAsia="Gungsuh" w:hAnsi="Arial" w:cs="Arial"/>
          <w:sz w:val="22"/>
          <w:szCs w:val="22"/>
        </w:rPr>
        <w:t>The Simpson Dominance Index (D) is D≈0.6912 within the</w:t>
      </w:r>
      <w:r w:rsidRPr="002B3615">
        <w:rPr>
          <w:rFonts w:ascii="Arial" w:eastAsia="Gungsuh" w:hAnsi="Arial" w:cs="Arial"/>
          <w:sz w:val="22"/>
          <w:szCs w:val="22"/>
        </w:rPr>
        <w:t xml:space="preserve"> range from 0 to 1. A value close to 0 indicates high diversity (low dominance), where individuals are more evenly distributed across the categories. A value close to 1 indicates low diversity (high dominance), meaning a few categories account for the majo</w:t>
      </w:r>
      <w:r w:rsidRPr="002B3615">
        <w:rPr>
          <w:rFonts w:ascii="Arial" w:eastAsia="Gungsuh" w:hAnsi="Arial" w:cs="Arial"/>
          <w:sz w:val="22"/>
          <w:szCs w:val="22"/>
        </w:rPr>
        <w:t>rity of the individuals.</w:t>
      </w:r>
    </w:p>
    <w:p w14:paraId="7AF00161" w14:textId="77777777" w:rsidR="006D4175" w:rsidRPr="002B3615" w:rsidRDefault="00CD4B93">
      <w:pPr>
        <w:spacing w:line="360" w:lineRule="auto"/>
        <w:jc w:val="both"/>
        <w:rPr>
          <w:rFonts w:ascii="Arial" w:eastAsia="Times New Roman" w:hAnsi="Arial" w:cs="Arial"/>
          <w:b/>
          <w:bCs/>
          <w:sz w:val="22"/>
          <w:szCs w:val="22"/>
        </w:rPr>
      </w:pPr>
      <w:r w:rsidRPr="002B3615">
        <w:rPr>
          <w:rFonts w:ascii="Arial" w:eastAsia="Times New Roman" w:hAnsi="Arial" w:cs="Arial"/>
          <w:b/>
          <w:bCs/>
          <w:sz w:val="22"/>
          <w:szCs w:val="22"/>
        </w:rPr>
        <w:t>3.2 Quantification of Dominance</w:t>
      </w:r>
    </w:p>
    <w:p w14:paraId="6471D6EE" w14:textId="6046A5A4"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When we examined the entire spider community to assess species richness and their relative abundance, we obtained a Simpson’s Reciprocal Index value of 2.58. This value is relatively low, indicating that the community is unevenly structured; some species a</w:t>
      </w:r>
      <w:r w:rsidRPr="002B3615">
        <w:rPr>
          <w:rFonts w:ascii="Arial" w:eastAsia="Times New Roman" w:hAnsi="Arial" w:cs="Arial"/>
          <w:sz w:val="22"/>
          <w:szCs w:val="22"/>
        </w:rPr>
        <w:t>re present in very high numbers, while others occur in much smaller proportions. In other words, the species within this community do not contribute equally to its composition. If all species were equally abundant, the Simpson’s Reciprocal Index would appr</w:t>
      </w:r>
      <w:r w:rsidRPr="002B3615">
        <w:rPr>
          <w:rFonts w:ascii="Arial" w:eastAsia="Times New Roman" w:hAnsi="Arial" w:cs="Arial"/>
          <w:sz w:val="22"/>
          <w:szCs w:val="22"/>
        </w:rPr>
        <w:t xml:space="preserve">oximate the total number of species present. However, our observed index of 2.58 reflects a clear imbalance. This pattern is primarily driven by the overwhelming abundance of </w:t>
      </w:r>
      <w:r w:rsidRPr="002B3615">
        <w:rPr>
          <w:rFonts w:ascii="Arial" w:eastAsia="Times New Roman" w:hAnsi="Arial" w:cs="Arial"/>
          <w:i/>
          <w:iCs/>
          <w:sz w:val="22"/>
          <w:szCs w:val="22"/>
        </w:rPr>
        <w:t>Phintella 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which dominates the community and reduces overall diversity. </w:t>
      </w:r>
      <w:r w:rsidRPr="002B3615">
        <w:rPr>
          <w:rFonts w:ascii="Arial" w:eastAsia="Times New Roman" w:hAnsi="Arial" w:cs="Arial"/>
          <w:sz w:val="22"/>
          <w:szCs w:val="22"/>
        </w:rPr>
        <w:t>Consequently, the community exhibits low diversity due to the strong dominance of this single species.</w:t>
      </w:r>
    </w:p>
    <w:p w14:paraId="7E4F497D" w14:textId="30F1F552" w:rsidR="006D4175" w:rsidRPr="00F01844" w:rsidRDefault="00CD4B93" w:rsidP="00F01844">
      <w:pPr>
        <w:pStyle w:val="ListParagraph"/>
        <w:numPr>
          <w:ilvl w:val="0"/>
          <w:numId w:val="1"/>
        </w:numPr>
        <w:spacing w:line="360" w:lineRule="auto"/>
        <w:ind w:left="360" w:firstLine="0"/>
        <w:jc w:val="both"/>
        <w:rPr>
          <w:rFonts w:ascii="Arial" w:eastAsia="Times New Roman" w:hAnsi="Arial" w:cs="Arial"/>
          <w:b/>
          <w:bCs/>
        </w:rPr>
      </w:pPr>
      <w:r w:rsidRPr="00F01844">
        <w:rPr>
          <w:rFonts w:ascii="Arial" w:eastAsia="Times New Roman" w:hAnsi="Arial" w:cs="Arial"/>
          <w:b/>
          <w:bCs/>
        </w:rPr>
        <w:t>Discussion</w:t>
      </w:r>
    </w:p>
    <w:p w14:paraId="4B16705A" w14:textId="148D08DA" w:rsidR="005A50DB"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 xml:space="preserve">The current study revealed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spiders to be abundant and dominant over other spiders in the </w:t>
      </w:r>
      <w:proofErr w:type="spellStart"/>
      <w:r w:rsidRPr="002B3615">
        <w:rPr>
          <w:rFonts w:ascii="Arial" w:eastAsia="Times New Roman" w:hAnsi="Arial" w:cs="Arial"/>
          <w:sz w:val="22"/>
          <w:szCs w:val="22"/>
        </w:rPr>
        <w:t>Vaijayanti</w:t>
      </w:r>
      <w:proofErr w:type="spellEnd"/>
      <w:r w:rsidRPr="002B3615">
        <w:rPr>
          <w:rFonts w:ascii="Arial" w:eastAsia="Times New Roman" w:hAnsi="Arial" w:cs="Arial"/>
          <w:sz w:val="22"/>
          <w:szCs w:val="22"/>
        </w:rPr>
        <w:t xml:space="preserve"> </w:t>
      </w:r>
      <w:proofErr w:type="spellStart"/>
      <w:r w:rsidRPr="002B3615">
        <w:rPr>
          <w:rFonts w:ascii="Arial" w:eastAsia="Times New Roman" w:hAnsi="Arial" w:cs="Arial"/>
          <w:sz w:val="22"/>
          <w:szCs w:val="22"/>
        </w:rPr>
        <w:t>Bhaag</w:t>
      </w:r>
      <w:proofErr w:type="spellEnd"/>
      <w:r w:rsidRPr="002B3615">
        <w:rPr>
          <w:rFonts w:ascii="Arial" w:eastAsia="Times New Roman" w:hAnsi="Arial" w:cs="Arial"/>
          <w:sz w:val="22"/>
          <w:szCs w:val="22"/>
        </w:rPr>
        <w:t xml:space="preserve"> ecosystem (Figure </w:t>
      </w:r>
      <w:r w:rsidRPr="002B3615">
        <w:rPr>
          <w:rFonts w:ascii="Arial" w:eastAsia="Times New Roman" w:hAnsi="Arial" w:cs="Arial"/>
          <w:sz w:val="22"/>
          <w:szCs w:val="22"/>
        </w:rPr>
        <w:t xml:space="preserve">1), suggesting the success of arthropods that inhabit the urban green area.  The low Simpson's Inverse Index (1/D = 2.58) suggests that the structure of the spider community in this small habitat is influenced by the success of a few </w:t>
      </w:r>
      <w:r w:rsidRPr="002B3615">
        <w:rPr>
          <w:rFonts w:ascii="Arial" w:eastAsia="Times New Roman" w:hAnsi="Arial" w:cs="Arial"/>
          <w:sz w:val="22"/>
          <w:szCs w:val="22"/>
        </w:rPr>
        <w:lastRenderedPageBreak/>
        <w:t xml:space="preserve">species, with </w:t>
      </w:r>
      <w:r w:rsidRPr="002B3615">
        <w:rPr>
          <w:rFonts w:ascii="Arial" w:eastAsia="Times New Roman" w:hAnsi="Arial" w:cs="Arial"/>
          <w:i/>
          <w:iCs/>
          <w:sz w:val="22"/>
          <w:szCs w:val="22"/>
        </w:rPr>
        <w:t>P.</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being the most</w:t>
      </w:r>
      <w:r w:rsidR="00A7013A" w:rsidRPr="002B3615">
        <w:rPr>
          <w:rFonts w:ascii="Arial" w:eastAsia="Times New Roman" w:hAnsi="Arial" w:cs="Arial"/>
          <w:sz w:val="22"/>
          <w:szCs w:val="22"/>
        </w:rPr>
        <w:t xml:space="preserve"> important. </w:t>
      </w:r>
      <w:r w:rsidRPr="002B3615">
        <w:rPr>
          <w:rFonts w:ascii="Arial" w:eastAsia="Times New Roman" w:hAnsi="Arial" w:cs="Arial"/>
          <w:sz w:val="22"/>
          <w:szCs w:val="22"/>
        </w:rPr>
        <w:t xml:space="preserve">The calculated D index of 0.6912 is close to 1, indicating a low diversity and high dominance of the </w:t>
      </w:r>
      <w:r w:rsidRPr="002B3615">
        <w:rPr>
          <w:rFonts w:ascii="Arial" w:eastAsia="Times New Roman" w:hAnsi="Arial" w:cs="Arial"/>
          <w:i/>
          <w:iCs/>
          <w:sz w:val="22"/>
          <w:szCs w:val="22"/>
        </w:rPr>
        <w:t>P. 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spider especially in terms of </w:t>
      </w:r>
      <w:r w:rsidR="00A7013A" w:rsidRPr="002B3615">
        <w:rPr>
          <w:rFonts w:ascii="Arial" w:eastAsia="Times New Roman" w:hAnsi="Arial" w:cs="Arial"/>
          <w:sz w:val="22"/>
          <w:szCs w:val="22"/>
        </w:rPr>
        <w:t>male and female.</w:t>
      </w:r>
    </w:p>
    <w:p w14:paraId="41BD4357" w14:textId="77777777" w:rsidR="005A50DB" w:rsidRPr="002B3615" w:rsidRDefault="005A50DB" w:rsidP="009A0754">
      <w:pPr>
        <w:spacing w:line="360" w:lineRule="auto"/>
        <w:jc w:val="both"/>
        <w:rPr>
          <w:rFonts w:ascii="Arial" w:eastAsia="Times New Roman" w:hAnsi="Arial" w:cs="Arial"/>
          <w:sz w:val="22"/>
          <w:szCs w:val="22"/>
          <w:lang w:val="en-US"/>
        </w:rPr>
      </w:pPr>
      <w:r w:rsidRPr="002B3615">
        <w:rPr>
          <w:rFonts w:ascii="Arial" w:eastAsia="Times New Roman" w:hAnsi="Arial" w:cs="Arial"/>
          <w:sz w:val="22"/>
          <w:szCs w:val="22"/>
          <w:lang w:val="en-US"/>
        </w:rPr>
        <w:t xml:space="preserve">In a Latvian calcareous fen, </w:t>
      </w:r>
      <w:proofErr w:type="spellStart"/>
      <w:r w:rsidRPr="002B3615">
        <w:rPr>
          <w:rFonts w:ascii="Arial" w:eastAsia="Times New Roman" w:hAnsi="Arial" w:cs="Arial"/>
          <w:sz w:val="22"/>
          <w:szCs w:val="22"/>
          <w:lang w:val="en-US"/>
        </w:rPr>
        <w:t>Štokmane</w:t>
      </w:r>
      <w:proofErr w:type="spellEnd"/>
      <w:r w:rsidRPr="002B3615">
        <w:rPr>
          <w:rFonts w:ascii="Arial" w:eastAsia="Times New Roman" w:hAnsi="Arial" w:cs="Arial"/>
          <w:sz w:val="22"/>
          <w:szCs w:val="22"/>
          <w:lang w:val="en-US"/>
        </w:rPr>
        <w:t xml:space="preserve"> &amp; </w:t>
      </w:r>
      <w:proofErr w:type="spellStart"/>
      <w:r w:rsidRPr="002B3615">
        <w:rPr>
          <w:rFonts w:ascii="Arial" w:eastAsia="Times New Roman" w:hAnsi="Arial" w:cs="Arial"/>
          <w:sz w:val="22"/>
          <w:szCs w:val="22"/>
          <w:lang w:val="en-US"/>
        </w:rPr>
        <w:t>Spuņģis</w:t>
      </w:r>
      <w:proofErr w:type="spellEnd"/>
      <w:r w:rsidRPr="002B3615">
        <w:rPr>
          <w:rFonts w:ascii="Arial" w:eastAsia="Times New Roman" w:hAnsi="Arial" w:cs="Arial"/>
          <w:sz w:val="22"/>
          <w:szCs w:val="22"/>
          <w:lang w:val="en-US"/>
        </w:rPr>
        <w:t xml:space="preserve"> (2016) found that a few dominant spider species (especially Lycosidae and Pisauridae) numerically structured the assemblage, and noted that such dominance reflects strong adaptation to habitat architecture and microclimate in a threatened wetland system.​</w:t>
      </w:r>
    </w:p>
    <w:p w14:paraId="14CD2505" w14:textId="132BCBF9" w:rsidR="005A50DB" w:rsidRPr="002B3615" w:rsidRDefault="005A50DB" w:rsidP="009A0754">
      <w:pPr>
        <w:spacing w:line="360" w:lineRule="auto"/>
        <w:jc w:val="both"/>
        <w:rPr>
          <w:rFonts w:ascii="Arial" w:eastAsia="Times New Roman" w:hAnsi="Arial" w:cs="Arial"/>
          <w:sz w:val="22"/>
          <w:szCs w:val="22"/>
          <w:lang w:val="en-US"/>
        </w:rPr>
      </w:pPr>
      <w:r w:rsidRPr="002B3615">
        <w:rPr>
          <w:rFonts w:ascii="Arial" w:eastAsia="Times New Roman" w:hAnsi="Arial" w:cs="Arial"/>
          <w:sz w:val="22"/>
          <w:szCs w:val="22"/>
        </w:rPr>
        <w:t>The same study showed that vegetation structure and host-plant architecture strongly influence spider community organization, with more structurally complex vegetation supporting higher spider richness but often still showing numerical dominance of certain well</w:t>
      </w:r>
      <w:r w:rsidRPr="002B3615">
        <w:rPr>
          <w:rFonts w:ascii="Arial" w:eastAsia="Times New Roman" w:hAnsi="Arial" w:cs="Arial"/>
          <w:sz w:val="22"/>
          <w:szCs w:val="22"/>
        </w:rPr>
        <w:noBreakHyphen/>
        <w:t>adapted taxa</w:t>
      </w:r>
      <w:r w:rsidRPr="002B3615">
        <w:rPr>
          <w:rFonts w:ascii="Arial" w:eastAsia="Times New Roman" w:hAnsi="Arial" w:cs="Arial"/>
          <w:color w:val="000000"/>
          <w:sz w:val="22"/>
          <w:szCs w:val="22"/>
        </w:rPr>
        <w:t xml:space="preserve"> (</w:t>
      </w:r>
      <w:proofErr w:type="spellStart"/>
      <w:r w:rsidRPr="002B3615">
        <w:rPr>
          <w:rFonts w:ascii="Arial" w:eastAsia="Times New Roman" w:hAnsi="Arial" w:cs="Arial"/>
          <w:color w:val="000000"/>
          <w:sz w:val="22"/>
          <w:szCs w:val="22"/>
        </w:rPr>
        <w:t>Štokmane</w:t>
      </w:r>
      <w:proofErr w:type="spellEnd"/>
      <w:r w:rsidRPr="002B3615">
        <w:rPr>
          <w:rFonts w:ascii="Arial" w:eastAsia="Times New Roman" w:hAnsi="Arial" w:cs="Arial"/>
          <w:color w:val="000000"/>
          <w:sz w:val="22"/>
          <w:szCs w:val="22"/>
        </w:rPr>
        <w:t xml:space="preserve">, &amp; </w:t>
      </w:r>
      <w:proofErr w:type="spellStart"/>
      <w:r w:rsidRPr="002B3615">
        <w:rPr>
          <w:rFonts w:ascii="Arial" w:eastAsia="Times New Roman" w:hAnsi="Arial" w:cs="Arial"/>
          <w:color w:val="000000"/>
          <w:sz w:val="22"/>
          <w:szCs w:val="22"/>
        </w:rPr>
        <w:t>Spuņģis</w:t>
      </w:r>
      <w:proofErr w:type="spellEnd"/>
      <w:r w:rsidRPr="002B3615">
        <w:rPr>
          <w:rFonts w:ascii="Arial" w:eastAsia="Times New Roman" w:hAnsi="Arial" w:cs="Arial"/>
          <w:color w:val="000000"/>
          <w:sz w:val="22"/>
          <w:szCs w:val="22"/>
        </w:rPr>
        <w:t xml:space="preserve"> 2016).</w:t>
      </w:r>
    </w:p>
    <w:p w14:paraId="0A21A71A" w14:textId="58CBE744" w:rsidR="005A50DB" w:rsidRPr="002B3615" w:rsidRDefault="005A50DB" w:rsidP="009A0754">
      <w:pPr>
        <w:spacing w:line="360" w:lineRule="auto"/>
        <w:jc w:val="both"/>
        <w:rPr>
          <w:rFonts w:ascii="Arial" w:eastAsia="Times New Roman" w:hAnsi="Arial" w:cs="Arial"/>
          <w:sz w:val="22"/>
          <w:szCs w:val="22"/>
          <w:lang w:val="en-US"/>
        </w:rPr>
      </w:pPr>
      <w:r w:rsidRPr="002B3615">
        <w:rPr>
          <w:rFonts w:ascii="Arial" w:eastAsia="Times New Roman" w:hAnsi="Arial" w:cs="Arial"/>
          <w:sz w:val="22"/>
          <w:szCs w:val="22"/>
        </w:rPr>
        <w:t>Kersch-Becker et al. (2018) demonstrated that plant–spider mutualisms involving flower- and foliage-dwelling spiders can lead to high local abundance of particular spider species on trichome</w:t>
      </w:r>
      <w:r w:rsidRPr="002B3615">
        <w:rPr>
          <w:rFonts w:ascii="Arial" w:eastAsia="Times New Roman" w:hAnsi="Arial" w:cs="Arial"/>
          <w:sz w:val="22"/>
          <w:szCs w:val="22"/>
        </w:rPr>
        <w:noBreakHyphen/>
        <w:t xml:space="preserve">bearing shrubs, because plant structure, microclimate and prey availability strongly </w:t>
      </w:r>
      <w:proofErr w:type="spellStart"/>
      <w:r w:rsidRPr="002B3615">
        <w:rPr>
          <w:rFonts w:ascii="Arial" w:eastAsia="Times New Roman" w:hAnsi="Arial" w:cs="Arial"/>
          <w:sz w:val="22"/>
          <w:szCs w:val="22"/>
        </w:rPr>
        <w:t>favour</w:t>
      </w:r>
      <w:proofErr w:type="spellEnd"/>
      <w:r w:rsidRPr="002B3615">
        <w:rPr>
          <w:rFonts w:ascii="Arial" w:eastAsia="Times New Roman" w:hAnsi="Arial" w:cs="Arial"/>
          <w:sz w:val="22"/>
          <w:szCs w:val="22"/>
        </w:rPr>
        <w:t xml:space="preserve"> those spiders.</w:t>
      </w:r>
    </w:p>
    <w:p w14:paraId="42C3493B" w14:textId="2DFD0BC9"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 xml:space="preserve"> This is primarily because there is a significant disparity in the numbers of the two categories (male and female), as shown in Observation Table 1. </w:t>
      </w:r>
      <w:r w:rsidRPr="002B3615">
        <w:rPr>
          <w:rFonts w:ascii="Arial" w:eastAsia="Times New Roman" w:hAnsi="Arial" w:cs="Arial"/>
          <w:sz w:val="22"/>
          <w:szCs w:val="22"/>
        </w:rPr>
        <w:t xml:space="preserve">Female </w:t>
      </w:r>
      <w:r w:rsidRPr="002B3615">
        <w:rPr>
          <w:rFonts w:ascii="Arial" w:eastAsia="Times New Roman" w:hAnsi="Arial" w:cs="Arial"/>
          <w:i/>
          <w:iCs/>
          <w:sz w:val="22"/>
          <w:szCs w:val="22"/>
        </w:rPr>
        <w:t>P.</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w:t>
      </w:r>
      <w:r w:rsidR="001D76C5" w:rsidRPr="002B3615">
        <w:rPr>
          <w:rFonts w:ascii="Arial" w:eastAsia="Times New Roman" w:hAnsi="Arial" w:cs="Arial"/>
          <w:sz w:val="22"/>
          <w:szCs w:val="22"/>
        </w:rPr>
        <w:t>comprises</w:t>
      </w:r>
      <w:r w:rsidRPr="002B3615">
        <w:rPr>
          <w:rFonts w:ascii="Arial" w:eastAsia="Times New Roman" w:hAnsi="Arial" w:cs="Arial"/>
          <w:sz w:val="22"/>
          <w:szCs w:val="22"/>
        </w:rPr>
        <w:t xml:space="preserve"> approximately 80.92% (106 out of 131) while male only 19.08% (25 out of 131) of the total population. This index indicates that if you randomly select two spiders, there is a 69.12% chance that they will be of the same sex (male</w:t>
      </w:r>
      <w:r w:rsidRPr="002B3615">
        <w:rPr>
          <w:rFonts w:ascii="Arial" w:eastAsia="Times New Roman" w:hAnsi="Arial" w:cs="Arial"/>
          <w:sz w:val="22"/>
          <w:szCs w:val="22"/>
        </w:rPr>
        <w:t xml:space="preserve"> or female). The number of </w:t>
      </w:r>
      <w:r w:rsidRPr="002B3615">
        <w:rPr>
          <w:rFonts w:ascii="Arial" w:eastAsia="Times New Roman" w:hAnsi="Arial" w:cs="Arial"/>
          <w:i/>
          <w:iCs/>
          <w:sz w:val="22"/>
          <w:szCs w:val="22"/>
        </w:rPr>
        <w:t>P.</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 xml:space="preserve">a </w:t>
      </w:r>
      <w:r w:rsidRPr="002B3615">
        <w:rPr>
          <w:rFonts w:ascii="Arial" w:eastAsia="Times New Roman" w:hAnsi="Arial" w:cs="Arial"/>
          <w:sz w:val="22"/>
          <w:szCs w:val="22"/>
        </w:rPr>
        <w:t>spiders varies seasonally, with females outnumbering the male (Figures 3A, 3B, 3C), most visible during August-October, with the numbers peaking in September. Males were not reported during May-June, which warrants fur</w:t>
      </w:r>
      <w:r w:rsidRPr="002B3615">
        <w:rPr>
          <w:rFonts w:ascii="Arial" w:eastAsia="Times New Roman" w:hAnsi="Arial" w:cs="Arial"/>
          <w:sz w:val="22"/>
          <w:szCs w:val="22"/>
        </w:rPr>
        <w:t xml:space="preserve">ther study; it is possible that their mating season ends by then, or perhaps males migrate to other locations. </w:t>
      </w:r>
    </w:p>
    <w:p w14:paraId="58DD29FC" w14:textId="77777777" w:rsidR="006D4175" w:rsidRPr="002B3615" w:rsidRDefault="00CD4B93">
      <w:pPr>
        <w:jc w:val="both"/>
        <w:rPr>
          <w:rFonts w:ascii="Arial" w:eastAsia="Times New Roman" w:hAnsi="Arial" w:cs="Arial"/>
          <w:b/>
          <w:bCs/>
          <w:sz w:val="22"/>
          <w:szCs w:val="22"/>
        </w:rPr>
      </w:pPr>
      <w:r w:rsidRPr="002B3615">
        <w:rPr>
          <w:rFonts w:ascii="Arial" w:eastAsia="Times New Roman" w:hAnsi="Arial" w:cs="Arial"/>
          <w:b/>
          <w:bCs/>
          <w:sz w:val="22"/>
          <w:szCs w:val="22"/>
        </w:rPr>
        <w:t>Rationale for Host Plant Association</w:t>
      </w:r>
    </w:p>
    <w:p w14:paraId="37A08250" w14:textId="78BA8EE1"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a species in the </w:t>
      </w:r>
      <w:proofErr w:type="spellStart"/>
      <w:r w:rsidRPr="002B3615">
        <w:rPr>
          <w:rFonts w:ascii="Arial" w:eastAsia="Times New Roman" w:hAnsi="Arial" w:cs="Arial"/>
          <w:sz w:val="22"/>
          <w:szCs w:val="22"/>
        </w:rPr>
        <w:t>Salticidae</w:t>
      </w:r>
      <w:proofErr w:type="spellEnd"/>
      <w:r w:rsidRPr="002B3615">
        <w:rPr>
          <w:rFonts w:ascii="Arial" w:eastAsia="Times New Roman" w:hAnsi="Arial" w:cs="Arial"/>
          <w:sz w:val="22"/>
          <w:szCs w:val="22"/>
        </w:rPr>
        <w:t xml:space="preserve"> family, is more numerous than other species because it adapts to the structure of its host plant (Figure 2A, 2B). Its hunting methods and habit of foraging on a particular plant contribute to its greater abundance there. A similar relationship is observed</w:t>
      </w:r>
      <w:r w:rsidRPr="002B3615">
        <w:rPr>
          <w:rFonts w:ascii="Arial" w:eastAsia="Times New Roman" w:hAnsi="Arial" w:cs="Arial"/>
          <w:sz w:val="22"/>
          <w:szCs w:val="22"/>
        </w:rPr>
        <w:t xml:space="preserve"> between </w:t>
      </w:r>
      <w:proofErr w:type="spellStart"/>
      <w:r w:rsidRPr="002B3615">
        <w:rPr>
          <w:rFonts w:ascii="Arial" w:eastAsia="Times New Roman" w:hAnsi="Arial" w:cs="Arial"/>
          <w:i/>
          <w:iCs/>
          <w:sz w:val="22"/>
          <w:szCs w:val="22"/>
        </w:rPr>
        <w:t>Eustala</w:t>
      </w:r>
      <w:proofErr w:type="spellEnd"/>
      <w:r w:rsidRPr="002B3615">
        <w:rPr>
          <w:rFonts w:ascii="Arial" w:eastAsia="Times New Roman" w:hAnsi="Arial" w:cs="Arial"/>
          <w:i/>
          <w:iCs/>
          <w:sz w:val="22"/>
          <w:szCs w:val="22"/>
        </w:rPr>
        <w:t xml:space="preserve"> </w:t>
      </w:r>
      <w:r w:rsidRPr="002B3615">
        <w:rPr>
          <w:rFonts w:ascii="Arial" w:eastAsia="Times New Roman" w:hAnsi="Arial" w:cs="Arial"/>
          <w:sz w:val="22"/>
          <w:szCs w:val="22"/>
        </w:rPr>
        <w:t>orb spiders and the thorny acacia plant, where both benefit (Hesselberg et al., 2023).</w:t>
      </w:r>
    </w:p>
    <w:p w14:paraId="23B401C5" w14:textId="77777777"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Adaptation to Plant Structure:</w:t>
      </w:r>
    </w:p>
    <w:p w14:paraId="4BB499B7" w14:textId="624C80BE"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lastRenderedPageBreak/>
        <w:t>The robust structure of the plant—its large, straight, banana-like leaves—provides a hiding place for the spiders (Figure</w:t>
      </w:r>
      <w:r w:rsidRPr="002B3615">
        <w:rPr>
          <w:rFonts w:ascii="Arial" w:eastAsia="Times New Roman" w:hAnsi="Arial" w:cs="Arial"/>
          <w:sz w:val="22"/>
          <w:szCs w:val="22"/>
        </w:rPr>
        <w:t xml:space="preserve"> 2A, B). This location selection is crucial for the spiders.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spiders are active and do not hunt by building webs. Their high numbers suggest that certain types of plants (those with dense foliage and specific leaf shapes, with specific br</w:t>
      </w:r>
      <w:r w:rsidRPr="002B3615">
        <w:rPr>
          <w:rFonts w:ascii="Arial" w:eastAsia="Times New Roman" w:hAnsi="Arial" w:cs="Arial"/>
          <w:sz w:val="22"/>
          <w:szCs w:val="22"/>
        </w:rPr>
        <w:t>anches) create niches perfectly suited to their hunting methods (Figure 2A, B). Such plants provide them with hiding places, a strong surface for quick movement, and the visual complexity necessary for their sharp eyesight.</w:t>
      </w:r>
    </w:p>
    <w:p w14:paraId="6A79CF54" w14:textId="77777777"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Concentration on food:</w:t>
      </w:r>
    </w:p>
    <w:p w14:paraId="5E13BF27" w14:textId="77777777"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Host plan</w:t>
      </w:r>
      <w:r w:rsidRPr="002B3615">
        <w:rPr>
          <w:rFonts w:ascii="Arial" w:eastAsia="Times New Roman" w:hAnsi="Arial" w:cs="Arial"/>
          <w:sz w:val="22"/>
          <w:szCs w:val="22"/>
        </w:rPr>
        <w:t xml:space="preserve">ts are rich in small, easily visible insects (such as small butterflies or flies), which are the preferred food of the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spider these spiders have learned to drink the nectar from the plant (Soren &amp; Chowdhury, 2011). This spider moves quickly and h</w:t>
      </w:r>
      <w:r w:rsidRPr="002B3615">
        <w:rPr>
          <w:rFonts w:ascii="Arial" w:eastAsia="Times New Roman" w:hAnsi="Arial" w:cs="Arial"/>
          <w:sz w:val="22"/>
          <w:szCs w:val="22"/>
        </w:rPr>
        <w:t>as sharp eyesight, allowing it to hunt efficiently in the suitable, food-rich environment of such plants. This allows their numbers to increase rapidly.</w:t>
      </w:r>
    </w:p>
    <w:p w14:paraId="36991BC0" w14:textId="77777777"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Microclimate and Niche:</w:t>
      </w:r>
    </w:p>
    <w:p w14:paraId="2ACA73C3" w14:textId="4401590D"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The leaf layer environment is highly conducive for the survival, growth, and re</w:t>
      </w:r>
      <w:r w:rsidRPr="002B3615">
        <w:rPr>
          <w:rFonts w:ascii="Arial" w:eastAsia="Times New Roman" w:hAnsi="Arial" w:cs="Arial"/>
          <w:sz w:val="22"/>
          <w:szCs w:val="22"/>
        </w:rPr>
        <w:t xml:space="preserve">production of this Salticid spider, while other ground-dwelling or web-building spiders are less likely to thrive there. The high abundance of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at this site suggests that this spider is highly dependent on the habitat and food availability</w:t>
      </w:r>
      <w:r w:rsidRPr="002B3615">
        <w:rPr>
          <w:rFonts w:ascii="Arial" w:eastAsia="Times New Roman" w:hAnsi="Arial" w:cs="Arial"/>
          <w:sz w:val="22"/>
          <w:szCs w:val="22"/>
        </w:rPr>
        <w:t xml:space="preserve"> of its host plant. This suggests that some species are best adapted to specific plant structures or specific climate niches.</w:t>
      </w:r>
    </w:p>
    <w:p w14:paraId="33C7BF9B" w14:textId="6DEA3355"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 xml:space="preserve">Further, the study indicates that </w:t>
      </w:r>
      <w:r w:rsidRPr="002B3615">
        <w:rPr>
          <w:rFonts w:ascii="Arial" w:eastAsia="Times New Roman" w:hAnsi="Arial" w:cs="Arial"/>
          <w:i/>
          <w:iCs/>
          <w:sz w:val="22"/>
          <w:szCs w:val="22"/>
        </w:rPr>
        <w:t>P.</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1D76C5"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is an important bioindicator, reflecting the health of the Vaijayanti Park ecosystem.</w:t>
      </w:r>
      <w:r w:rsidRPr="002B3615">
        <w:rPr>
          <w:rFonts w:ascii="Arial" w:eastAsia="Times New Roman" w:hAnsi="Arial" w:cs="Arial"/>
          <w:sz w:val="22"/>
          <w:szCs w:val="22"/>
        </w:rPr>
        <w:t xml:space="preserve"> The high abundance of predatory spiders like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indicates that the park has a complex plant structure and a stable and balanced food web. This research provides a strong foundation for studies on spiders and demonstrates that diverse and semi-natur</w:t>
      </w:r>
      <w:r w:rsidRPr="002B3615">
        <w:rPr>
          <w:rFonts w:ascii="Arial" w:eastAsia="Times New Roman" w:hAnsi="Arial" w:cs="Arial"/>
          <w:sz w:val="22"/>
          <w:szCs w:val="22"/>
        </w:rPr>
        <w:t>al green spaces in cities are ecologically valuable. Therefore, conservation of such complex green spaces is crucial for maintaining biodiversity in urban areas.</w:t>
      </w:r>
    </w:p>
    <w:p w14:paraId="110E66E4" w14:textId="77777777" w:rsidR="006D4175" w:rsidRPr="00F01844" w:rsidRDefault="00CD4B93" w:rsidP="00F01844">
      <w:pPr>
        <w:numPr>
          <w:ilvl w:val="0"/>
          <w:numId w:val="1"/>
        </w:numPr>
        <w:spacing w:line="360" w:lineRule="auto"/>
        <w:ind w:left="360" w:firstLine="0"/>
        <w:jc w:val="both"/>
        <w:rPr>
          <w:rFonts w:ascii="Arial" w:eastAsia="Times New Roman" w:hAnsi="Arial" w:cs="Arial"/>
          <w:b/>
          <w:bCs/>
        </w:rPr>
      </w:pPr>
      <w:r w:rsidRPr="00F01844">
        <w:rPr>
          <w:rFonts w:ascii="Arial" w:eastAsia="Times New Roman" w:hAnsi="Arial" w:cs="Arial"/>
          <w:b/>
          <w:bCs/>
        </w:rPr>
        <w:t>Conclusion</w:t>
      </w:r>
    </w:p>
    <w:p w14:paraId="708DFA8A" w14:textId="3BB6EAAE"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sz w:val="22"/>
          <w:szCs w:val="22"/>
        </w:rPr>
        <w:t xml:space="preserve">This research demonstrates that </w:t>
      </w:r>
      <w:r w:rsidRPr="002B3615">
        <w:rPr>
          <w:rFonts w:ascii="Arial" w:eastAsia="Times New Roman" w:hAnsi="Arial" w:cs="Arial"/>
          <w:i/>
          <w:iCs/>
          <w:sz w:val="22"/>
          <w:szCs w:val="22"/>
        </w:rPr>
        <w:t>Phintella</w:t>
      </w:r>
      <w:r w:rsidRPr="002B3615">
        <w:rPr>
          <w:rFonts w:ascii="Arial" w:eastAsia="Times New Roman" w:hAnsi="Arial" w:cs="Arial"/>
          <w:sz w:val="22"/>
          <w:szCs w:val="22"/>
        </w:rPr>
        <w:t xml:space="preserve"> </w:t>
      </w:r>
      <w:r w:rsidRPr="002B3615">
        <w:rPr>
          <w:rFonts w:ascii="Arial" w:eastAsia="Times New Roman" w:hAnsi="Arial" w:cs="Arial"/>
          <w:i/>
          <w:iCs/>
          <w:sz w:val="22"/>
          <w:szCs w:val="22"/>
        </w:rPr>
        <w:t>vitta</w:t>
      </w:r>
      <w:r w:rsidR="00A64A87"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is a reliable bioindicator that can be used to understand the quality and ecological complexity of urban green spaces like Chandrashekhar Azad Park in Prayagraj. The increased numbers of this spider are likely due to its ability to exploit the unique stru</w:t>
      </w:r>
      <w:r w:rsidRPr="002B3615">
        <w:rPr>
          <w:rFonts w:ascii="Arial" w:eastAsia="Times New Roman" w:hAnsi="Arial" w:cs="Arial"/>
          <w:sz w:val="22"/>
          <w:szCs w:val="22"/>
        </w:rPr>
        <w:t xml:space="preserve">cture and microenvironment of its host plant. Our results demonstrate the success </w:t>
      </w:r>
      <w:r w:rsidRPr="002B3615">
        <w:rPr>
          <w:rFonts w:ascii="Arial" w:eastAsia="Times New Roman" w:hAnsi="Arial" w:cs="Arial"/>
          <w:sz w:val="22"/>
          <w:szCs w:val="22"/>
        </w:rPr>
        <w:lastRenderedPageBreak/>
        <w:t xml:space="preserve">of </w:t>
      </w:r>
      <w:r w:rsidRPr="002B3615">
        <w:rPr>
          <w:rFonts w:ascii="Arial" w:eastAsia="Times New Roman" w:hAnsi="Arial" w:cs="Arial"/>
          <w:i/>
          <w:iCs/>
          <w:sz w:val="22"/>
          <w:szCs w:val="22"/>
        </w:rPr>
        <w:t>Phintella</w:t>
      </w:r>
      <w:r w:rsidRPr="002B3615">
        <w:rPr>
          <w:rFonts w:ascii="Arial" w:eastAsia="Times New Roman" w:hAnsi="Arial" w:cs="Arial"/>
          <w:sz w:val="22"/>
          <w:szCs w:val="22"/>
        </w:rPr>
        <w:t>, but future studies should include monitoring across different seasons and use molecular techniques</w:t>
      </w:r>
      <w:r w:rsidR="00531452" w:rsidRPr="002B3615">
        <w:rPr>
          <w:rFonts w:ascii="Arial" w:eastAsia="Times New Roman" w:hAnsi="Arial" w:cs="Arial"/>
          <w:sz w:val="22"/>
          <w:szCs w:val="22"/>
        </w:rPr>
        <w:t xml:space="preserve"> (Hong Phung et al. </w:t>
      </w:r>
      <w:r w:rsidR="00531452" w:rsidRPr="002B3615">
        <w:rPr>
          <w:rFonts w:ascii="Arial" w:eastAsia="Times New Roman" w:hAnsi="Arial" w:cs="Arial"/>
          <w:color w:val="000000" w:themeColor="text1"/>
          <w:sz w:val="22"/>
          <w:szCs w:val="22"/>
        </w:rPr>
        <w:t>2024)</w:t>
      </w:r>
      <w:r w:rsidRPr="002B3615">
        <w:rPr>
          <w:rFonts w:ascii="Arial" w:eastAsia="Times New Roman" w:hAnsi="Arial" w:cs="Arial"/>
          <w:sz w:val="22"/>
          <w:szCs w:val="22"/>
        </w:rPr>
        <w:t xml:space="preserve"> to identify cryptic diversity.</w:t>
      </w:r>
    </w:p>
    <w:p w14:paraId="11D16570" w14:textId="77777777" w:rsidR="006D4175" w:rsidRPr="002B3615" w:rsidRDefault="00CD4B93" w:rsidP="00A7013A">
      <w:pPr>
        <w:spacing w:line="360" w:lineRule="auto"/>
        <w:jc w:val="both"/>
        <w:rPr>
          <w:rFonts w:ascii="Arial" w:eastAsia="Times New Roman" w:hAnsi="Arial" w:cs="Arial"/>
          <w:sz w:val="22"/>
          <w:szCs w:val="22"/>
        </w:rPr>
      </w:pPr>
      <w:r w:rsidRPr="002B3615">
        <w:rPr>
          <w:rFonts w:ascii="Arial" w:eastAsia="Times New Roman" w:hAnsi="Arial" w:cs="Arial"/>
          <w:b/>
          <w:bCs/>
          <w:sz w:val="22"/>
          <w:szCs w:val="22"/>
        </w:rPr>
        <w:t>Confl</w:t>
      </w:r>
      <w:r w:rsidRPr="002B3615">
        <w:rPr>
          <w:rFonts w:ascii="Arial" w:eastAsia="Times New Roman" w:hAnsi="Arial" w:cs="Arial"/>
          <w:b/>
          <w:bCs/>
          <w:sz w:val="22"/>
          <w:szCs w:val="22"/>
        </w:rPr>
        <w:t>ict of Interest:</w:t>
      </w:r>
      <w:r w:rsidRPr="002B3615">
        <w:rPr>
          <w:rFonts w:ascii="Arial" w:eastAsia="Times New Roman" w:hAnsi="Arial" w:cs="Arial"/>
          <w:sz w:val="22"/>
          <w:szCs w:val="22"/>
        </w:rPr>
        <w:t xml:space="preserve"> No conflict of interest to declare.</w:t>
      </w:r>
    </w:p>
    <w:p w14:paraId="487D4FA6" w14:textId="77777777" w:rsidR="006D4175" w:rsidRPr="00F01844" w:rsidRDefault="00CD4B93">
      <w:pPr>
        <w:spacing w:line="360" w:lineRule="auto"/>
        <w:jc w:val="both"/>
        <w:rPr>
          <w:rFonts w:ascii="Arial" w:eastAsia="Times New Roman" w:hAnsi="Arial" w:cs="Arial"/>
          <w:b/>
          <w:bCs/>
        </w:rPr>
      </w:pPr>
      <w:bookmarkStart w:id="1" w:name="_GoBack"/>
      <w:bookmarkEnd w:id="1"/>
      <w:r w:rsidRPr="00F01844">
        <w:rPr>
          <w:rFonts w:ascii="Arial" w:eastAsia="Times New Roman" w:hAnsi="Arial" w:cs="Arial"/>
          <w:b/>
          <w:bCs/>
        </w:rPr>
        <w:t>References</w:t>
      </w:r>
    </w:p>
    <w:p w14:paraId="65969C55"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9D2FD5">
        <w:rPr>
          <w:rFonts w:ascii="Arial" w:eastAsia="Times New Roman" w:hAnsi="Arial" w:cs="Arial"/>
          <w:i/>
          <w:iCs/>
          <w:color w:val="000000"/>
          <w:sz w:val="22"/>
          <w:szCs w:val="22"/>
        </w:rPr>
        <w:t>Transactions of the Linnean Society of London</w:t>
      </w:r>
      <w:r w:rsidRPr="009D2FD5">
        <w:rPr>
          <w:rFonts w:ascii="Arial" w:eastAsia="Times New Roman" w:hAnsi="Arial" w:cs="Arial"/>
          <w:color w:val="000000"/>
          <w:sz w:val="22"/>
          <w:szCs w:val="22"/>
        </w:rPr>
        <w:t>, 18, 601–670.</w:t>
      </w:r>
    </w:p>
    <w:p w14:paraId="5DF850F4"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Caleb, J.T.D. &amp; Sankaran, P.M. (2025). </w:t>
      </w:r>
      <w:r w:rsidRPr="009D2FD5">
        <w:rPr>
          <w:rFonts w:ascii="Arial" w:eastAsia="Times New Roman" w:hAnsi="Arial" w:cs="Arial"/>
          <w:i/>
          <w:iCs/>
          <w:color w:val="000000"/>
          <w:sz w:val="22"/>
          <w:szCs w:val="22"/>
        </w:rPr>
        <w:t>Araneae of India</w:t>
      </w:r>
      <w:r w:rsidRPr="009D2FD5">
        <w:rPr>
          <w:rFonts w:ascii="Arial" w:eastAsia="Times New Roman" w:hAnsi="Arial" w:cs="Arial"/>
          <w:color w:val="000000"/>
          <w:sz w:val="22"/>
          <w:szCs w:val="22"/>
        </w:rPr>
        <w:t xml:space="preserve">. Version 2025. Available at: </w:t>
      </w:r>
      <w:hyperlink r:id="rId7">
        <w:r w:rsidRPr="009D2FD5">
          <w:rPr>
            <w:rFonts w:ascii="Arial" w:eastAsia="Times New Roman" w:hAnsi="Arial" w:cs="Arial"/>
            <w:color w:val="0563C1"/>
            <w:sz w:val="22"/>
            <w:szCs w:val="22"/>
            <w:u w:val="single"/>
          </w:rPr>
          <w:t>http://www.indianspiders.in</w:t>
        </w:r>
      </w:hyperlink>
      <w:r w:rsidRPr="009D2FD5">
        <w:rPr>
          <w:rFonts w:ascii="Arial" w:eastAsia="Times New Roman" w:hAnsi="Arial" w:cs="Arial"/>
          <w:color w:val="000000"/>
          <w:sz w:val="22"/>
          <w:szCs w:val="22"/>
        </w:rPr>
        <w:t xml:space="preserve"> </w:t>
      </w:r>
    </w:p>
    <w:p w14:paraId="1A4685F2"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Cardoso, P., Scharff, N., Gaspar, C., Henriques, S. S., Carvalho, R., Castro, P. H., &amp; Crespo, L. C. (2008). Rapid biodiversity assessment of spiders (Araneae) using semi</w:t>
      </w:r>
      <w:r w:rsidRPr="009D2FD5">
        <w:rPr>
          <w:rFonts w:ascii="Cambria Math" w:eastAsia="Times New Roman" w:hAnsi="Cambria Math" w:cs="Cambria Math"/>
          <w:color w:val="000000"/>
          <w:sz w:val="22"/>
          <w:szCs w:val="22"/>
        </w:rPr>
        <w:t>‐</w:t>
      </w:r>
      <w:r w:rsidRPr="009D2FD5">
        <w:rPr>
          <w:rFonts w:ascii="Arial" w:eastAsia="Times New Roman" w:hAnsi="Arial" w:cs="Arial"/>
          <w:color w:val="000000"/>
          <w:sz w:val="22"/>
          <w:szCs w:val="22"/>
        </w:rPr>
        <w:t xml:space="preserve">quantitative sampling: a case study in a Mediterranean forest. </w:t>
      </w:r>
      <w:r w:rsidRPr="009D2FD5">
        <w:rPr>
          <w:rFonts w:ascii="Arial" w:eastAsia="Times New Roman" w:hAnsi="Arial" w:cs="Arial"/>
          <w:i/>
          <w:iCs/>
          <w:color w:val="000000"/>
          <w:sz w:val="22"/>
          <w:szCs w:val="22"/>
        </w:rPr>
        <w:t>Insect Conservation and Diversity</w:t>
      </w:r>
      <w:r w:rsidRPr="009D2FD5">
        <w:rPr>
          <w:rFonts w:ascii="Arial" w:eastAsia="Times New Roman" w:hAnsi="Arial" w:cs="Arial"/>
          <w:color w:val="000000"/>
          <w:sz w:val="22"/>
          <w:szCs w:val="22"/>
        </w:rPr>
        <w:t>, 1(2), 71–84.</w:t>
      </w:r>
    </w:p>
    <w:p w14:paraId="1E8D5E92"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Eschenbrenner, J., &amp; Thébault, É. (2023). Diversity, food web structure and the temporal stability of total plant and animal biomasses. </w:t>
      </w:r>
      <w:r w:rsidRPr="009D2FD5">
        <w:rPr>
          <w:rFonts w:ascii="Arial" w:eastAsia="Times New Roman" w:hAnsi="Arial" w:cs="Arial"/>
          <w:i/>
          <w:iCs/>
          <w:color w:val="000000"/>
          <w:sz w:val="22"/>
          <w:szCs w:val="22"/>
        </w:rPr>
        <w:t>Oikos</w:t>
      </w:r>
      <w:r w:rsidRPr="009D2FD5">
        <w:rPr>
          <w:rFonts w:ascii="Arial" w:eastAsia="Times New Roman" w:hAnsi="Arial" w:cs="Arial"/>
          <w:color w:val="000000"/>
          <w:sz w:val="22"/>
          <w:szCs w:val="22"/>
        </w:rPr>
        <w:t>, </w:t>
      </w:r>
      <w:r w:rsidRPr="009D2FD5">
        <w:rPr>
          <w:rFonts w:ascii="Arial" w:eastAsia="Times New Roman" w:hAnsi="Arial" w:cs="Arial"/>
          <w:i/>
          <w:iCs/>
          <w:color w:val="000000"/>
          <w:sz w:val="22"/>
          <w:szCs w:val="22"/>
        </w:rPr>
        <w:t>2023</w:t>
      </w:r>
      <w:r w:rsidRPr="009D2FD5">
        <w:rPr>
          <w:rFonts w:ascii="Arial" w:eastAsia="Times New Roman" w:hAnsi="Arial" w:cs="Arial"/>
          <w:color w:val="000000"/>
          <w:sz w:val="22"/>
          <w:szCs w:val="22"/>
        </w:rPr>
        <w:t>(2), e08769.</w:t>
      </w:r>
    </w:p>
    <w:p w14:paraId="0D6395B6" w14:textId="0794069C" w:rsidR="00531452"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Hesselberg, T., Boyd, K. M., Styrsky, J. D., &amp; Gálvez, D. (2023). Host plant specificity in web-building spiders. </w:t>
      </w:r>
      <w:r w:rsidRPr="009D2FD5">
        <w:rPr>
          <w:rFonts w:ascii="Arial" w:eastAsia="Times New Roman" w:hAnsi="Arial" w:cs="Arial"/>
          <w:i/>
          <w:iCs/>
          <w:color w:val="000000"/>
          <w:sz w:val="22"/>
          <w:szCs w:val="22"/>
        </w:rPr>
        <w:t>Insects</w:t>
      </w:r>
      <w:r w:rsidRPr="009D2FD5">
        <w:rPr>
          <w:rFonts w:ascii="Arial" w:eastAsia="Times New Roman" w:hAnsi="Arial" w:cs="Arial"/>
          <w:color w:val="000000"/>
          <w:sz w:val="22"/>
          <w:szCs w:val="22"/>
        </w:rPr>
        <w:t>, 14(3), 229.</w:t>
      </w:r>
    </w:p>
    <w:p w14:paraId="193AA707"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Kersch-Becker, M. F., Grisolia, B. B., Campos, M. J., &amp; Romero, G. Q. (2018). The role of spider hunting mode on the strength of spider–plant mutualisms. </w:t>
      </w:r>
      <w:proofErr w:type="spellStart"/>
      <w:r w:rsidRPr="009D2FD5">
        <w:rPr>
          <w:rFonts w:ascii="Arial" w:eastAsia="Times New Roman" w:hAnsi="Arial" w:cs="Arial"/>
          <w:i/>
          <w:iCs/>
          <w:color w:val="000000"/>
          <w:sz w:val="22"/>
          <w:szCs w:val="22"/>
        </w:rPr>
        <w:t>Oecologia</w:t>
      </w:r>
      <w:proofErr w:type="spellEnd"/>
      <w:r w:rsidRPr="009D2FD5">
        <w:rPr>
          <w:rFonts w:ascii="Arial" w:eastAsia="Times New Roman" w:hAnsi="Arial" w:cs="Arial"/>
          <w:color w:val="000000"/>
          <w:sz w:val="22"/>
          <w:szCs w:val="22"/>
        </w:rPr>
        <w:t>, </w:t>
      </w:r>
      <w:r w:rsidRPr="009D2FD5">
        <w:rPr>
          <w:rFonts w:ascii="Arial" w:eastAsia="Times New Roman" w:hAnsi="Arial" w:cs="Arial"/>
          <w:i/>
          <w:iCs/>
          <w:color w:val="000000"/>
          <w:sz w:val="22"/>
          <w:szCs w:val="22"/>
        </w:rPr>
        <w:t>188</w:t>
      </w:r>
      <w:r w:rsidRPr="009D2FD5">
        <w:rPr>
          <w:rFonts w:ascii="Arial" w:eastAsia="Times New Roman" w:hAnsi="Arial" w:cs="Arial"/>
          <w:color w:val="000000"/>
          <w:sz w:val="22"/>
          <w:szCs w:val="22"/>
        </w:rPr>
        <w:t>(1), 213-222.</w:t>
      </w:r>
    </w:p>
    <w:p w14:paraId="7A268192"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Nyffeler, M., &amp; Birkhofer, K. (2017). An estimated 400–800 million tons of prey are annually killed by the global spider community. </w:t>
      </w:r>
      <w:r w:rsidRPr="009D2FD5">
        <w:rPr>
          <w:rFonts w:ascii="Arial" w:eastAsia="Times New Roman" w:hAnsi="Arial" w:cs="Arial"/>
          <w:i/>
          <w:iCs/>
          <w:color w:val="000000"/>
          <w:sz w:val="22"/>
          <w:szCs w:val="22"/>
        </w:rPr>
        <w:t>The Science of Nature</w:t>
      </w:r>
      <w:r w:rsidRPr="009D2FD5">
        <w:rPr>
          <w:rFonts w:ascii="Arial" w:eastAsia="Times New Roman" w:hAnsi="Arial" w:cs="Arial"/>
          <w:color w:val="000000"/>
          <w:sz w:val="22"/>
          <w:szCs w:val="22"/>
        </w:rPr>
        <w:t>, 104(3-4), 30.</w:t>
      </w:r>
    </w:p>
    <w:p w14:paraId="3245A990"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Pearce, J. L., &amp; Venier, L. A. (2006). The use of ground beetles (Coleoptera: </w:t>
      </w:r>
      <w:proofErr w:type="spellStart"/>
      <w:r w:rsidRPr="009D2FD5">
        <w:rPr>
          <w:rFonts w:ascii="Arial" w:eastAsia="Times New Roman" w:hAnsi="Arial" w:cs="Arial"/>
          <w:color w:val="000000"/>
          <w:sz w:val="22"/>
          <w:szCs w:val="22"/>
        </w:rPr>
        <w:t>Carabidae</w:t>
      </w:r>
      <w:proofErr w:type="spellEnd"/>
      <w:r w:rsidRPr="009D2FD5">
        <w:rPr>
          <w:rFonts w:ascii="Arial" w:eastAsia="Times New Roman" w:hAnsi="Arial" w:cs="Arial"/>
          <w:color w:val="000000"/>
          <w:sz w:val="22"/>
          <w:szCs w:val="22"/>
        </w:rPr>
        <w:t xml:space="preserve">) and spiders (Araneae) as bioindicators of sustainable forest management: a review. </w:t>
      </w:r>
      <w:r w:rsidRPr="009D2FD5">
        <w:rPr>
          <w:rFonts w:ascii="Arial" w:eastAsia="Times New Roman" w:hAnsi="Arial" w:cs="Arial"/>
          <w:i/>
          <w:iCs/>
          <w:color w:val="000000"/>
          <w:sz w:val="22"/>
          <w:szCs w:val="22"/>
        </w:rPr>
        <w:t>Ecological Indicators</w:t>
      </w:r>
      <w:r w:rsidRPr="009D2FD5">
        <w:rPr>
          <w:rFonts w:ascii="Arial" w:eastAsia="Times New Roman" w:hAnsi="Arial" w:cs="Arial"/>
          <w:color w:val="000000"/>
          <w:sz w:val="22"/>
          <w:szCs w:val="22"/>
        </w:rPr>
        <w:t>, 6(4), 780–793.</w:t>
      </w:r>
    </w:p>
    <w:p w14:paraId="05D5741D" w14:textId="0D8E5369" w:rsidR="00531452" w:rsidRPr="009D2FD5" w:rsidRDefault="00531452"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Phung, L. T. H., Su, Y. C., Yamasaki, T., Li, Y. Y., &amp; Eguchi, K. (2024). High species diversity of Phintella and </w:t>
      </w:r>
      <w:proofErr w:type="spellStart"/>
      <w:r w:rsidRPr="009D2FD5">
        <w:rPr>
          <w:rFonts w:ascii="Arial" w:eastAsia="Times New Roman" w:hAnsi="Arial" w:cs="Arial"/>
          <w:color w:val="000000"/>
          <w:sz w:val="22"/>
          <w:szCs w:val="22"/>
        </w:rPr>
        <w:t>Phintella</w:t>
      </w:r>
      <w:proofErr w:type="spellEnd"/>
      <w:r w:rsidRPr="009D2FD5">
        <w:rPr>
          <w:rFonts w:ascii="Cambria Math" w:eastAsia="Times New Roman" w:hAnsi="Cambria Math" w:cs="Cambria Math"/>
          <w:color w:val="000000"/>
          <w:sz w:val="22"/>
          <w:szCs w:val="22"/>
        </w:rPr>
        <w:t>‐</w:t>
      </w:r>
      <w:r w:rsidRPr="009D2FD5">
        <w:rPr>
          <w:rFonts w:ascii="Arial" w:eastAsia="Times New Roman" w:hAnsi="Arial" w:cs="Arial"/>
          <w:color w:val="000000"/>
          <w:sz w:val="22"/>
          <w:szCs w:val="22"/>
        </w:rPr>
        <w:t xml:space="preserve">like spiders (Araneae: </w:t>
      </w:r>
      <w:proofErr w:type="spellStart"/>
      <w:r w:rsidRPr="009D2FD5">
        <w:rPr>
          <w:rFonts w:ascii="Arial" w:eastAsia="Times New Roman" w:hAnsi="Arial" w:cs="Arial"/>
          <w:color w:val="000000"/>
          <w:sz w:val="22"/>
          <w:szCs w:val="22"/>
        </w:rPr>
        <w:t>Salticidae</w:t>
      </w:r>
      <w:proofErr w:type="spellEnd"/>
      <w:r w:rsidRPr="009D2FD5">
        <w:rPr>
          <w:rFonts w:ascii="Arial" w:eastAsia="Times New Roman" w:hAnsi="Arial" w:cs="Arial"/>
          <w:color w:val="000000"/>
          <w:sz w:val="22"/>
          <w:szCs w:val="22"/>
        </w:rPr>
        <w:t>) in Vietnam revealed by DNA</w:t>
      </w:r>
      <w:r w:rsidRPr="009D2FD5">
        <w:rPr>
          <w:rFonts w:ascii="Cambria Math" w:eastAsia="Times New Roman" w:hAnsi="Cambria Math" w:cs="Cambria Math"/>
          <w:color w:val="000000"/>
          <w:sz w:val="22"/>
          <w:szCs w:val="22"/>
        </w:rPr>
        <w:t>‐</w:t>
      </w:r>
      <w:r w:rsidRPr="009D2FD5">
        <w:rPr>
          <w:rFonts w:ascii="Arial" w:eastAsia="Times New Roman" w:hAnsi="Arial" w:cs="Arial"/>
          <w:color w:val="000000"/>
          <w:sz w:val="22"/>
          <w:szCs w:val="22"/>
        </w:rPr>
        <w:t>based species delimitation analyses. </w:t>
      </w:r>
      <w:r w:rsidRPr="009D2FD5">
        <w:rPr>
          <w:rFonts w:ascii="Arial" w:eastAsia="Times New Roman" w:hAnsi="Arial" w:cs="Arial"/>
          <w:i/>
          <w:iCs/>
          <w:color w:val="000000"/>
          <w:sz w:val="22"/>
          <w:szCs w:val="22"/>
        </w:rPr>
        <w:t>Ecology and Evolution</w:t>
      </w:r>
      <w:r w:rsidRPr="009D2FD5">
        <w:rPr>
          <w:rFonts w:ascii="Arial" w:eastAsia="Times New Roman" w:hAnsi="Arial" w:cs="Arial"/>
          <w:color w:val="000000"/>
          <w:sz w:val="22"/>
          <w:szCs w:val="22"/>
        </w:rPr>
        <w:t>, </w:t>
      </w:r>
      <w:r w:rsidRPr="009D2FD5">
        <w:rPr>
          <w:rFonts w:ascii="Arial" w:eastAsia="Times New Roman" w:hAnsi="Arial" w:cs="Arial"/>
          <w:i/>
          <w:iCs/>
          <w:color w:val="000000"/>
          <w:sz w:val="22"/>
          <w:szCs w:val="22"/>
        </w:rPr>
        <w:t>14</w:t>
      </w:r>
      <w:r w:rsidRPr="009D2FD5">
        <w:rPr>
          <w:rFonts w:ascii="Arial" w:eastAsia="Times New Roman" w:hAnsi="Arial" w:cs="Arial"/>
          <w:color w:val="000000"/>
          <w:sz w:val="22"/>
          <w:szCs w:val="22"/>
        </w:rPr>
        <w:t>(3), e11144.</w:t>
      </w:r>
    </w:p>
    <w:p w14:paraId="3586C5F7"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Simpson, E. H. (1949). Measurement of diversity. </w:t>
      </w:r>
      <w:r w:rsidRPr="009D2FD5">
        <w:rPr>
          <w:rFonts w:ascii="Arial" w:eastAsia="Times New Roman" w:hAnsi="Arial" w:cs="Arial"/>
          <w:i/>
          <w:iCs/>
          <w:color w:val="000000"/>
          <w:sz w:val="22"/>
          <w:szCs w:val="22"/>
        </w:rPr>
        <w:t>Nature</w:t>
      </w:r>
      <w:r w:rsidRPr="009D2FD5">
        <w:rPr>
          <w:rFonts w:ascii="Arial" w:eastAsia="Times New Roman" w:hAnsi="Arial" w:cs="Arial"/>
          <w:color w:val="000000"/>
          <w:sz w:val="22"/>
          <w:szCs w:val="22"/>
        </w:rPr>
        <w:t xml:space="preserve">, 163(4148), 688. Available at: </w:t>
      </w:r>
      <w:hyperlink r:id="rId8">
        <w:r w:rsidRPr="009D2FD5">
          <w:rPr>
            <w:rFonts w:ascii="Arial" w:eastAsia="Times New Roman" w:hAnsi="Arial" w:cs="Arial"/>
            <w:color w:val="0563C1"/>
            <w:sz w:val="22"/>
            <w:szCs w:val="22"/>
            <w:u w:val="single"/>
          </w:rPr>
          <w:t>https://doi.org/10.1038/163688a0</w:t>
        </w:r>
      </w:hyperlink>
      <w:r w:rsidRPr="009D2FD5">
        <w:rPr>
          <w:rFonts w:ascii="Arial" w:eastAsia="Times New Roman" w:hAnsi="Arial" w:cs="Arial"/>
          <w:color w:val="000000"/>
          <w:sz w:val="22"/>
          <w:szCs w:val="22"/>
        </w:rPr>
        <w:t xml:space="preserve"> </w:t>
      </w:r>
    </w:p>
    <w:p w14:paraId="0E65679B"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lastRenderedPageBreak/>
        <w:t xml:space="preserve">Soren, R., &amp; Chowdhury, S. (2011). Spider </w:t>
      </w:r>
      <w:proofErr w:type="spellStart"/>
      <w:r w:rsidRPr="009D2FD5">
        <w:rPr>
          <w:rFonts w:ascii="Arial" w:eastAsia="Times New Roman" w:hAnsi="Arial" w:cs="Arial"/>
          <w:color w:val="000000"/>
          <w:sz w:val="22"/>
          <w:szCs w:val="22"/>
        </w:rPr>
        <w:t>nectivory</w:t>
      </w:r>
      <w:proofErr w:type="spellEnd"/>
      <w:r w:rsidRPr="009D2FD5">
        <w:rPr>
          <w:rFonts w:ascii="Arial" w:eastAsia="Times New Roman" w:hAnsi="Arial" w:cs="Arial"/>
          <w:color w:val="000000"/>
          <w:sz w:val="22"/>
          <w:szCs w:val="22"/>
        </w:rPr>
        <w:t xml:space="preserve"> by </w:t>
      </w:r>
      <w:proofErr w:type="spellStart"/>
      <w:r w:rsidRPr="009D2FD5">
        <w:rPr>
          <w:rFonts w:ascii="Arial" w:eastAsia="Times New Roman" w:hAnsi="Arial" w:cs="Arial"/>
          <w:i/>
          <w:iCs/>
          <w:color w:val="000000"/>
          <w:sz w:val="22"/>
          <w:szCs w:val="22"/>
        </w:rPr>
        <w:t>Phintella</w:t>
      </w:r>
      <w:proofErr w:type="spellEnd"/>
      <w:r w:rsidRPr="009D2FD5">
        <w:rPr>
          <w:rFonts w:ascii="Arial" w:eastAsia="Times New Roman" w:hAnsi="Arial" w:cs="Arial"/>
          <w:i/>
          <w:iCs/>
          <w:color w:val="000000"/>
          <w:sz w:val="22"/>
          <w:szCs w:val="22"/>
        </w:rPr>
        <w:t xml:space="preserve"> </w:t>
      </w:r>
      <w:proofErr w:type="spellStart"/>
      <w:r w:rsidRPr="009D2FD5">
        <w:rPr>
          <w:rFonts w:ascii="Arial" w:eastAsia="Times New Roman" w:hAnsi="Arial" w:cs="Arial"/>
          <w:i/>
          <w:iCs/>
          <w:color w:val="000000"/>
          <w:sz w:val="22"/>
          <w:szCs w:val="22"/>
        </w:rPr>
        <w:t>vittata</w:t>
      </w:r>
      <w:proofErr w:type="spellEnd"/>
      <w:r w:rsidRPr="009D2FD5">
        <w:rPr>
          <w:rFonts w:ascii="Arial" w:eastAsia="Times New Roman" w:hAnsi="Arial" w:cs="Arial"/>
          <w:color w:val="000000"/>
          <w:sz w:val="22"/>
          <w:szCs w:val="22"/>
        </w:rPr>
        <w:t xml:space="preserve"> Koch (Araneae: </w:t>
      </w:r>
      <w:proofErr w:type="spellStart"/>
      <w:r w:rsidRPr="009D2FD5">
        <w:rPr>
          <w:rFonts w:ascii="Arial" w:eastAsia="Times New Roman" w:hAnsi="Arial" w:cs="Arial"/>
          <w:color w:val="000000"/>
          <w:sz w:val="22"/>
          <w:szCs w:val="22"/>
        </w:rPr>
        <w:t>Salticidae</w:t>
      </w:r>
      <w:proofErr w:type="spellEnd"/>
      <w:r w:rsidRPr="009D2FD5">
        <w:rPr>
          <w:rFonts w:ascii="Arial" w:eastAsia="Times New Roman" w:hAnsi="Arial" w:cs="Arial"/>
          <w:color w:val="000000"/>
          <w:sz w:val="22"/>
          <w:szCs w:val="22"/>
        </w:rPr>
        <w:t xml:space="preserve">) from the extrafloral </w:t>
      </w:r>
      <w:proofErr w:type="spellStart"/>
      <w:r w:rsidRPr="009D2FD5">
        <w:rPr>
          <w:rFonts w:ascii="Arial" w:eastAsia="Times New Roman" w:hAnsi="Arial" w:cs="Arial"/>
          <w:color w:val="000000"/>
          <w:sz w:val="22"/>
          <w:szCs w:val="22"/>
        </w:rPr>
        <w:t>nectaries</w:t>
      </w:r>
      <w:proofErr w:type="spellEnd"/>
      <w:r w:rsidRPr="009D2FD5">
        <w:rPr>
          <w:rFonts w:ascii="Arial" w:eastAsia="Times New Roman" w:hAnsi="Arial" w:cs="Arial"/>
          <w:color w:val="000000"/>
          <w:sz w:val="22"/>
          <w:szCs w:val="22"/>
        </w:rPr>
        <w:t xml:space="preserve"> of </w:t>
      </w:r>
      <w:proofErr w:type="spellStart"/>
      <w:r w:rsidRPr="009D2FD5">
        <w:rPr>
          <w:rFonts w:ascii="Arial" w:eastAsia="Times New Roman" w:hAnsi="Arial" w:cs="Arial"/>
          <w:i/>
          <w:iCs/>
          <w:color w:val="000000"/>
          <w:sz w:val="22"/>
          <w:szCs w:val="22"/>
        </w:rPr>
        <w:t>Urena</w:t>
      </w:r>
      <w:proofErr w:type="spellEnd"/>
      <w:r w:rsidRPr="009D2FD5">
        <w:rPr>
          <w:rFonts w:ascii="Arial" w:eastAsia="Times New Roman" w:hAnsi="Arial" w:cs="Arial"/>
          <w:i/>
          <w:iCs/>
          <w:color w:val="000000"/>
          <w:sz w:val="22"/>
          <w:szCs w:val="22"/>
        </w:rPr>
        <w:t xml:space="preserve"> </w:t>
      </w:r>
      <w:proofErr w:type="spellStart"/>
      <w:r w:rsidRPr="009D2FD5">
        <w:rPr>
          <w:rFonts w:ascii="Arial" w:eastAsia="Times New Roman" w:hAnsi="Arial" w:cs="Arial"/>
          <w:i/>
          <w:iCs/>
          <w:color w:val="000000"/>
          <w:sz w:val="22"/>
          <w:szCs w:val="22"/>
        </w:rPr>
        <w:t>lobata</w:t>
      </w:r>
      <w:proofErr w:type="spellEnd"/>
      <w:r w:rsidRPr="009D2FD5">
        <w:rPr>
          <w:rFonts w:ascii="Arial" w:eastAsia="Times New Roman" w:hAnsi="Arial" w:cs="Arial"/>
          <w:color w:val="000000"/>
          <w:sz w:val="22"/>
          <w:szCs w:val="22"/>
        </w:rPr>
        <w:t xml:space="preserve"> L. from the Indian region. </w:t>
      </w:r>
      <w:r w:rsidRPr="009D2FD5">
        <w:rPr>
          <w:rFonts w:ascii="Arial" w:eastAsia="Times New Roman" w:hAnsi="Arial" w:cs="Arial"/>
          <w:i/>
          <w:iCs/>
          <w:color w:val="000000"/>
          <w:sz w:val="22"/>
          <w:szCs w:val="22"/>
        </w:rPr>
        <w:t>Current Science (00113891)</w:t>
      </w:r>
      <w:r w:rsidRPr="009D2FD5">
        <w:rPr>
          <w:rFonts w:ascii="Arial" w:eastAsia="Times New Roman" w:hAnsi="Arial" w:cs="Arial"/>
          <w:color w:val="000000"/>
          <w:sz w:val="22"/>
          <w:szCs w:val="22"/>
        </w:rPr>
        <w:t>, 100(8).</w:t>
      </w:r>
    </w:p>
    <w:p w14:paraId="634454BD"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Sorensen, L. L., Coddington, J. A., &amp; Scharff, N. (2002). Inventorying and estimating subcanopy spider diversity using semiquantitative sampling methods in an Afromontane forest. </w:t>
      </w:r>
      <w:r w:rsidRPr="009D2FD5">
        <w:rPr>
          <w:rFonts w:ascii="Arial" w:eastAsia="Times New Roman" w:hAnsi="Arial" w:cs="Arial"/>
          <w:i/>
          <w:iCs/>
          <w:color w:val="000000"/>
          <w:sz w:val="22"/>
          <w:szCs w:val="22"/>
        </w:rPr>
        <w:t>Environmental Entomology</w:t>
      </w:r>
      <w:r w:rsidRPr="009D2FD5">
        <w:rPr>
          <w:rFonts w:ascii="Arial" w:eastAsia="Times New Roman" w:hAnsi="Arial" w:cs="Arial"/>
          <w:color w:val="000000"/>
          <w:sz w:val="22"/>
          <w:szCs w:val="22"/>
        </w:rPr>
        <w:t xml:space="preserve">, 31(2), 319–330. Available at: </w:t>
      </w:r>
      <w:hyperlink r:id="rId9">
        <w:r w:rsidRPr="009D2FD5">
          <w:rPr>
            <w:rFonts w:ascii="Arial" w:eastAsia="Times New Roman" w:hAnsi="Arial" w:cs="Arial"/>
            <w:color w:val="0563C1"/>
            <w:sz w:val="22"/>
            <w:szCs w:val="22"/>
            <w:u w:val="single"/>
          </w:rPr>
          <w:t>https://doi.org/10.1603/0046-225X-31.2.319</w:t>
        </w:r>
      </w:hyperlink>
      <w:r w:rsidRPr="009D2FD5">
        <w:rPr>
          <w:rFonts w:ascii="Arial" w:eastAsia="Times New Roman" w:hAnsi="Arial" w:cs="Arial"/>
          <w:color w:val="000000"/>
          <w:sz w:val="22"/>
          <w:szCs w:val="22"/>
        </w:rPr>
        <w:t xml:space="preserve"> </w:t>
      </w:r>
    </w:p>
    <w:p w14:paraId="4F73AFAD"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proofErr w:type="spellStart"/>
      <w:r w:rsidRPr="009D2FD5">
        <w:rPr>
          <w:rFonts w:ascii="Arial" w:eastAsia="Times New Roman" w:hAnsi="Arial" w:cs="Arial"/>
          <w:color w:val="000000"/>
          <w:sz w:val="22"/>
          <w:szCs w:val="22"/>
        </w:rPr>
        <w:t>Štokmane</w:t>
      </w:r>
      <w:proofErr w:type="spellEnd"/>
      <w:r w:rsidRPr="009D2FD5">
        <w:rPr>
          <w:rFonts w:ascii="Arial" w:eastAsia="Times New Roman" w:hAnsi="Arial" w:cs="Arial"/>
          <w:color w:val="000000"/>
          <w:sz w:val="22"/>
          <w:szCs w:val="22"/>
        </w:rPr>
        <w:t xml:space="preserve">, M., &amp; </w:t>
      </w:r>
      <w:proofErr w:type="spellStart"/>
      <w:r w:rsidRPr="009D2FD5">
        <w:rPr>
          <w:rFonts w:ascii="Arial" w:eastAsia="Times New Roman" w:hAnsi="Arial" w:cs="Arial"/>
          <w:color w:val="000000"/>
          <w:sz w:val="22"/>
          <w:szCs w:val="22"/>
        </w:rPr>
        <w:t>Spuņģis</w:t>
      </w:r>
      <w:proofErr w:type="spellEnd"/>
      <w:r w:rsidRPr="009D2FD5">
        <w:rPr>
          <w:rFonts w:ascii="Arial" w:eastAsia="Times New Roman" w:hAnsi="Arial" w:cs="Arial"/>
          <w:color w:val="000000"/>
          <w:sz w:val="22"/>
          <w:szCs w:val="22"/>
        </w:rPr>
        <w:t xml:space="preserve">, V. (2016). The influence of vegetation structure on spider species richness, diversity and community organization in the </w:t>
      </w:r>
      <w:proofErr w:type="spellStart"/>
      <w:r w:rsidRPr="009D2FD5">
        <w:rPr>
          <w:rFonts w:ascii="Arial" w:eastAsia="Times New Roman" w:hAnsi="Arial" w:cs="Arial"/>
          <w:color w:val="000000"/>
          <w:sz w:val="22"/>
          <w:szCs w:val="22"/>
        </w:rPr>
        <w:t>Apšuciems</w:t>
      </w:r>
      <w:proofErr w:type="spellEnd"/>
      <w:r w:rsidRPr="009D2FD5">
        <w:rPr>
          <w:rFonts w:ascii="Arial" w:eastAsia="Times New Roman" w:hAnsi="Arial" w:cs="Arial"/>
          <w:color w:val="000000"/>
          <w:sz w:val="22"/>
          <w:szCs w:val="22"/>
        </w:rPr>
        <w:t xml:space="preserve"> calcareous fen, Latvia. </w:t>
      </w:r>
      <w:r w:rsidRPr="009D2FD5">
        <w:rPr>
          <w:rFonts w:ascii="Arial" w:eastAsia="Times New Roman" w:hAnsi="Arial" w:cs="Arial"/>
          <w:i/>
          <w:iCs/>
          <w:color w:val="000000"/>
          <w:sz w:val="22"/>
          <w:szCs w:val="22"/>
        </w:rPr>
        <w:t>Animal Biodiversity and Conservation</w:t>
      </w:r>
      <w:r w:rsidRPr="009D2FD5">
        <w:rPr>
          <w:rFonts w:ascii="Arial" w:eastAsia="Times New Roman" w:hAnsi="Arial" w:cs="Arial"/>
          <w:color w:val="000000"/>
          <w:sz w:val="22"/>
          <w:szCs w:val="22"/>
        </w:rPr>
        <w:t>, </w:t>
      </w:r>
      <w:r w:rsidRPr="009D2FD5">
        <w:rPr>
          <w:rFonts w:ascii="Arial" w:eastAsia="Times New Roman" w:hAnsi="Arial" w:cs="Arial"/>
          <w:i/>
          <w:iCs/>
          <w:color w:val="000000"/>
          <w:sz w:val="22"/>
          <w:szCs w:val="22"/>
        </w:rPr>
        <w:t>39</w:t>
      </w:r>
      <w:r w:rsidRPr="009D2FD5">
        <w:rPr>
          <w:rFonts w:ascii="Arial" w:eastAsia="Times New Roman" w:hAnsi="Arial" w:cs="Arial"/>
          <w:color w:val="000000"/>
          <w:sz w:val="22"/>
          <w:szCs w:val="22"/>
        </w:rPr>
        <w:t>(2), 221-236.</w:t>
      </w:r>
    </w:p>
    <w:p w14:paraId="24275199"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Sudhin, P. P., Caleb, J. T. D., &amp; Sen, S. (2024). Additions to the knowledge on the genus </w:t>
      </w:r>
      <w:r w:rsidRPr="009D2FD5">
        <w:rPr>
          <w:rFonts w:ascii="Arial" w:eastAsia="Times New Roman" w:hAnsi="Arial" w:cs="Arial"/>
          <w:i/>
          <w:iCs/>
          <w:color w:val="000000"/>
          <w:sz w:val="22"/>
          <w:szCs w:val="22"/>
        </w:rPr>
        <w:t>Phintella</w:t>
      </w:r>
      <w:r w:rsidRPr="009D2FD5">
        <w:rPr>
          <w:rFonts w:ascii="Arial" w:eastAsia="Times New Roman" w:hAnsi="Arial" w:cs="Arial"/>
          <w:color w:val="000000"/>
          <w:sz w:val="22"/>
          <w:szCs w:val="22"/>
        </w:rPr>
        <w:t xml:space="preserve"> Strand, 1906 (Araneae, </w:t>
      </w:r>
      <w:proofErr w:type="spellStart"/>
      <w:r w:rsidRPr="009D2FD5">
        <w:rPr>
          <w:rFonts w:ascii="Arial" w:eastAsia="Times New Roman" w:hAnsi="Arial" w:cs="Arial"/>
          <w:color w:val="000000"/>
          <w:sz w:val="22"/>
          <w:szCs w:val="22"/>
        </w:rPr>
        <w:t>Salticidae</w:t>
      </w:r>
      <w:proofErr w:type="spellEnd"/>
      <w:r w:rsidRPr="009D2FD5">
        <w:rPr>
          <w:rFonts w:ascii="Arial" w:eastAsia="Times New Roman" w:hAnsi="Arial" w:cs="Arial"/>
          <w:color w:val="000000"/>
          <w:sz w:val="22"/>
          <w:szCs w:val="22"/>
        </w:rPr>
        <w:t xml:space="preserve">, </w:t>
      </w:r>
      <w:proofErr w:type="spellStart"/>
      <w:r w:rsidRPr="009D2FD5">
        <w:rPr>
          <w:rFonts w:ascii="Arial" w:eastAsia="Times New Roman" w:hAnsi="Arial" w:cs="Arial"/>
          <w:color w:val="000000"/>
          <w:sz w:val="22"/>
          <w:szCs w:val="22"/>
        </w:rPr>
        <w:t>Chrysillini</w:t>
      </w:r>
      <w:proofErr w:type="spellEnd"/>
      <w:r w:rsidRPr="009D2FD5">
        <w:rPr>
          <w:rFonts w:ascii="Arial" w:eastAsia="Times New Roman" w:hAnsi="Arial" w:cs="Arial"/>
          <w:color w:val="000000"/>
          <w:sz w:val="22"/>
          <w:szCs w:val="22"/>
        </w:rPr>
        <w:t xml:space="preserve">) from India. </w:t>
      </w:r>
      <w:proofErr w:type="spellStart"/>
      <w:r w:rsidRPr="009D2FD5">
        <w:rPr>
          <w:rFonts w:ascii="Arial" w:eastAsia="Times New Roman" w:hAnsi="Arial" w:cs="Arial"/>
          <w:i/>
          <w:iCs/>
          <w:color w:val="000000"/>
          <w:sz w:val="22"/>
          <w:szCs w:val="22"/>
        </w:rPr>
        <w:t>Zoosystematics</w:t>
      </w:r>
      <w:proofErr w:type="spellEnd"/>
      <w:r w:rsidRPr="009D2FD5">
        <w:rPr>
          <w:rFonts w:ascii="Arial" w:eastAsia="Times New Roman" w:hAnsi="Arial" w:cs="Arial"/>
          <w:i/>
          <w:iCs/>
          <w:color w:val="000000"/>
          <w:sz w:val="22"/>
          <w:szCs w:val="22"/>
        </w:rPr>
        <w:t xml:space="preserve"> and Evolution</w:t>
      </w:r>
      <w:r w:rsidRPr="009D2FD5">
        <w:rPr>
          <w:rFonts w:ascii="Arial" w:eastAsia="Times New Roman" w:hAnsi="Arial" w:cs="Arial"/>
          <w:color w:val="000000"/>
          <w:sz w:val="22"/>
          <w:szCs w:val="22"/>
        </w:rPr>
        <w:t>, 100(1), 31–48.</w:t>
      </w:r>
    </w:p>
    <w:p w14:paraId="13721494" w14:textId="77777777" w:rsidR="00CF125D" w:rsidRPr="009D2FD5" w:rsidRDefault="00CF125D" w:rsidP="009D2FD5">
      <w:pPr>
        <w:pStyle w:val="ListParagraph"/>
        <w:numPr>
          <w:ilvl w:val="0"/>
          <w:numId w:val="3"/>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World Spider Catalog (2025). </w:t>
      </w:r>
      <w:r w:rsidRPr="009D2FD5">
        <w:rPr>
          <w:rFonts w:ascii="Arial" w:eastAsia="Times New Roman" w:hAnsi="Arial" w:cs="Arial"/>
          <w:i/>
          <w:iCs/>
          <w:color w:val="000000"/>
          <w:sz w:val="22"/>
          <w:szCs w:val="22"/>
        </w:rPr>
        <w:t>World Spider Catalog</w:t>
      </w:r>
      <w:r w:rsidRPr="009D2FD5">
        <w:rPr>
          <w:rFonts w:ascii="Arial" w:eastAsia="Times New Roman" w:hAnsi="Arial" w:cs="Arial"/>
          <w:color w:val="000000"/>
          <w:sz w:val="22"/>
          <w:szCs w:val="22"/>
        </w:rPr>
        <w:t>. Version 26. Natural History Museum Bern.</w:t>
      </w:r>
    </w:p>
    <w:p w14:paraId="5BB86035" w14:textId="77777777" w:rsidR="006D4175" w:rsidRPr="009D2FD5" w:rsidRDefault="00CD4B93" w:rsidP="009D2FD5">
      <w:pPr>
        <w:pStyle w:val="ListParagraph"/>
        <w:numPr>
          <w:ilvl w:val="0"/>
          <w:numId w:val="4"/>
        </w:numPr>
        <w:spacing w:line="360" w:lineRule="auto"/>
        <w:jc w:val="both"/>
        <w:rPr>
          <w:rFonts w:ascii="Arial" w:eastAsia="Times New Roman" w:hAnsi="Arial" w:cs="Arial"/>
          <w:color w:val="000000"/>
          <w:sz w:val="22"/>
          <w:szCs w:val="22"/>
        </w:rPr>
      </w:pPr>
      <w:r w:rsidRPr="009D2FD5">
        <w:rPr>
          <w:rFonts w:ascii="Arial" w:eastAsia="Times New Roman" w:hAnsi="Arial" w:cs="Arial"/>
          <w:color w:val="000000"/>
          <w:sz w:val="22"/>
          <w:szCs w:val="22"/>
        </w:rPr>
        <w:t xml:space="preserve">Indianclimate.com (no date). Available at: </w:t>
      </w:r>
      <w:hyperlink r:id="rId10">
        <w:r w:rsidR="006D4175" w:rsidRPr="009D2FD5">
          <w:rPr>
            <w:rFonts w:ascii="Arial" w:eastAsia="Times New Roman" w:hAnsi="Arial" w:cs="Arial"/>
            <w:color w:val="0563C1"/>
            <w:sz w:val="22"/>
            <w:szCs w:val="22"/>
            <w:u w:val="single"/>
          </w:rPr>
          <w:t>https://www.indianclimate.com/show-data.php?request=JB4OK4INZ0</w:t>
        </w:r>
      </w:hyperlink>
      <w:r w:rsidRPr="009D2FD5">
        <w:rPr>
          <w:rFonts w:ascii="Arial" w:eastAsia="Times New Roman" w:hAnsi="Arial" w:cs="Arial"/>
          <w:color w:val="000000"/>
          <w:sz w:val="22"/>
          <w:szCs w:val="22"/>
        </w:rPr>
        <w:t xml:space="preserve"> </w:t>
      </w:r>
    </w:p>
    <w:p w14:paraId="4B4FAEB0" w14:textId="4D08EE2D" w:rsidR="006D4175" w:rsidRPr="002B3615" w:rsidRDefault="00CD4B93">
      <w:pPr>
        <w:jc w:val="both"/>
        <w:rPr>
          <w:rFonts w:ascii="Arial" w:eastAsia="Times New Roman" w:hAnsi="Arial" w:cs="Arial"/>
          <w:sz w:val="22"/>
          <w:szCs w:val="22"/>
        </w:rPr>
      </w:pPr>
      <w:r w:rsidRPr="002B3615">
        <w:rPr>
          <w:rFonts w:ascii="Arial" w:eastAsia="Times New Roman" w:hAnsi="Arial" w:cs="Arial"/>
          <w:b/>
          <w:bCs/>
          <w:sz w:val="22"/>
          <w:szCs w:val="22"/>
        </w:rPr>
        <w:t>Graph 1:</w:t>
      </w:r>
      <w:r w:rsidRPr="002B3615">
        <w:rPr>
          <w:rFonts w:ascii="Arial" w:eastAsia="Times New Roman" w:hAnsi="Arial" w:cs="Arial"/>
          <w:sz w:val="22"/>
          <w:szCs w:val="22"/>
        </w:rPr>
        <w:t xml:space="preserve"> The Simpson Dominance Index (D), calculated from the provided data on Female </w:t>
      </w:r>
      <w:r w:rsidRPr="002B3615">
        <w:rPr>
          <w:rFonts w:ascii="Arial" w:eastAsia="Times New Roman" w:hAnsi="Arial" w:cs="Arial"/>
          <w:i/>
          <w:iCs/>
          <w:sz w:val="22"/>
          <w:szCs w:val="22"/>
        </w:rPr>
        <w:t xml:space="preserve">Phintella </w:t>
      </w:r>
      <w:r w:rsidR="00E976B3" w:rsidRPr="002B3615">
        <w:rPr>
          <w:rFonts w:ascii="Arial" w:eastAsia="Times New Roman" w:hAnsi="Arial" w:cs="Arial"/>
          <w:i/>
          <w:iCs/>
          <w:sz w:val="22"/>
          <w:szCs w:val="22"/>
        </w:rPr>
        <w:t>vittata</w:t>
      </w:r>
      <w:r w:rsidRPr="002B3615">
        <w:rPr>
          <w:rFonts w:ascii="Arial" w:eastAsia="Times New Roman" w:hAnsi="Arial" w:cs="Arial"/>
          <w:sz w:val="22"/>
          <w:szCs w:val="22"/>
        </w:rPr>
        <w:t xml:space="preserve"> and Male </w:t>
      </w:r>
      <w:r w:rsidRPr="002B3615">
        <w:rPr>
          <w:rFonts w:ascii="Arial" w:eastAsia="Times New Roman" w:hAnsi="Arial" w:cs="Arial"/>
          <w:i/>
          <w:iCs/>
          <w:sz w:val="22"/>
          <w:szCs w:val="22"/>
        </w:rPr>
        <w:t xml:space="preserve">Phintella </w:t>
      </w:r>
      <w:r w:rsidR="00E976B3" w:rsidRPr="002B3615">
        <w:rPr>
          <w:rFonts w:ascii="Arial" w:eastAsia="Times New Roman" w:hAnsi="Arial" w:cs="Arial"/>
          <w:i/>
          <w:iCs/>
          <w:sz w:val="22"/>
          <w:szCs w:val="22"/>
        </w:rPr>
        <w:t>vittata</w:t>
      </w:r>
      <w:r w:rsidRPr="002B3615">
        <w:rPr>
          <w:rFonts w:ascii="Arial" w:eastAsia="Times New Roman" w:hAnsi="Arial" w:cs="Arial"/>
          <w:sz w:val="22"/>
          <w:szCs w:val="22"/>
        </w:rPr>
        <w:t xml:space="preserve"> counts, is approximately 0.6912.</w:t>
      </w:r>
    </w:p>
    <w:p w14:paraId="4AED832F"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noProof/>
          <w:sz w:val="22"/>
          <w:szCs w:val="22"/>
        </w:rPr>
        <w:drawing>
          <wp:inline distT="0" distB="0" distL="0" distR="0" wp14:anchorId="7ED97636" wp14:editId="7798F01F">
            <wp:extent cx="5029200" cy="27241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29200" cy="2724150"/>
                    </a:xfrm>
                    <a:prstGeom prst="rect">
                      <a:avLst/>
                    </a:prstGeom>
                    <a:ln/>
                  </pic:spPr>
                </pic:pic>
              </a:graphicData>
            </a:graphic>
          </wp:inline>
        </w:drawing>
      </w:r>
    </w:p>
    <w:p w14:paraId="14CE7579"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noProof/>
          <w:sz w:val="22"/>
          <w:szCs w:val="22"/>
        </w:rPr>
        <w:lastRenderedPageBreak/>
        <w:drawing>
          <wp:inline distT="0" distB="0" distL="0" distR="0" wp14:anchorId="4140D4DD" wp14:editId="6F330902">
            <wp:extent cx="4636630" cy="279894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19946" t="9752"/>
                    <a:stretch>
                      <a:fillRect/>
                    </a:stretch>
                  </pic:blipFill>
                  <pic:spPr>
                    <a:xfrm>
                      <a:off x="0" y="0"/>
                      <a:ext cx="4636630" cy="2798945"/>
                    </a:xfrm>
                    <a:prstGeom prst="rect">
                      <a:avLst/>
                    </a:prstGeom>
                    <a:ln/>
                  </pic:spPr>
                </pic:pic>
              </a:graphicData>
            </a:graphic>
          </wp:inline>
        </w:drawing>
      </w:r>
    </w:p>
    <w:p w14:paraId="4F7D5CCD" w14:textId="77777777" w:rsidR="006D4175" w:rsidRPr="002B3615" w:rsidRDefault="00CD4B93">
      <w:pPr>
        <w:spacing w:line="360" w:lineRule="auto"/>
        <w:jc w:val="both"/>
        <w:rPr>
          <w:rFonts w:ascii="Arial" w:eastAsia="Times New Roman" w:hAnsi="Arial" w:cs="Arial"/>
          <w:sz w:val="22"/>
          <w:szCs w:val="22"/>
        </w:rPr>
      </w:pPr>
      <w:r w:rsidRPr="002B3615">
        <w:rPr>
          <w:rFonts w:ascii="Arial" w:eastAsia="Times New Roman" w:hAnsi="Arial" w:cs="Arial"/>
          <w:sz w:val="22"/>
          <w:szCs w:val="22"/>
        </w:rPr>
        <w:t>Figure 1: Map of Chandra</w:t>
      </w:r>
      <w:r w:rsidRPr="002B3615">
        <w:rPr>
          <w:rFonts w:ascii="Arial" w:eastAsia="Times New Roman" w:hAnsi="Arial" w:cs="Arial"/>
          <w:sz w:val="22"/>
          <w:szCs w:val="22"/>
        </w:rPr>
        <w:t>shekhar Azad Park, Prayagraj by Google Earth Pro application.</w:t>
      </w:r>
    </w:p>
    <w:p w14:paraId="175E0702" w14:textId="77777777" w:rsidR="006D4175" w:rsidRPr="002B3615" w:rsidRDefault="006D4175">
      <w:pPr>
        <w:jc w:val="both"/>
        <w:rPr>
          <w:rFonts w:ascii="Arial" w:eastAsia="Times New Roman" w:hAnsi="Arial" w:cs="Arial"/>
          <w:sz w:val="22"/>
          <w:szCs w:val="22"/>
        </w:rPr>
      </w:pPr>
    </w:p>
    <w:p w14:paraId="0D3F85BC"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noProof/>
          <w:sz w:val="22"/>
          <w:szCs w:val="22"/>
        </w:rPr>
        <w:drawing>
          <wp:inline distT="0" distB="0" distL="0" distR="0" wp14:anchorId="13ED930E" wp14:editId="1C2F4758">
            <wp:extent cx="5160074" cy="33958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160074" cy="3395838"/>
                    </a:xfrm>
                    <a:prstGeom prst="rect">
                      <a:avLst/>
                    </a:prstGeom>
                    <a:ln/>
                  </pic:spPr>
                </pic:pic>
              </a:graphicData>
            </a:graphic>
          </wp:inline>
        </w:drawing>
      </w:r>
    </w:p>
    <w:p w14:paraId="58FA4501" w14:textId="707E01CA"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 xml:space="preserve">Figure 2: Fig 2A shows the jumping strategy and leaf spacing of the male </w:t>
      </w:r>
      <w:r w:rsidRPr="002B3615">
        <w:rPr>
          <w:rFonts w:ascii="Arial" w:eastAsia="Times New Roman" w:hAnsi="Arial" w:cs="Arial"/>
          <w:i/>
          <w:iCs/>
          <w:sz w:val="22"/>
          <w:szCs w:val="22"/>
        </w:rPr>
        <w:t xml:space="preserve">Phintella </w:t>
      </w:r>
      <w:r w:rsidR="00E976B3" w:rsidRPr="002B3615">
        <w:rPr>
          <w:rFonts w:ascii="Arial" w:eastAsia="Times New Roman" w:hAnsi="Arial" w:cs="Arial"/>
          <w:i/>
          <w:iCs/>
          <w:sz w:val="22"/>
          <w:szCs w:val="22"/>
        </w:rPr>
        <w:t>vittata</w:t>
      </w:r>
      <w:r w:rsidRPr="002B3615">
        <w:rPr>
          <w:rFonts w:ascii="Arial" w:eastAsia="Times New Roman" w:hAnsi="Arial" w:cs="Arial"/>
          <w:sz w:val="22"/>
          <w:szCs w:val="22"/>
        </w:rPr>
        <w:t xml:space="preserve">, Fig 2B shows the female's use of </w:t>
      </w:r>
      <w:r w:rsidRPr="002B3615">
        <w:rPr>
          <w:rFonts w:ascii="Arial" w:eastAsia="Times New Roman" w:hAnsi="Arial" w:cs="Arial"/>
          <w:i/>
          <w:iCs/>
          <w:sz w:val="22"/>
          <w:szCs w:val="22"/>
        </w:rPr>
        <w:t>Canna</w:t>
      </w:r>
      <w:r w:rsidRPr="002B3615">
        <w:rPr>
          <w:rFonts w:ascii="Arial" w:eastAsia="Times New Roman" w:hAnsi="Arial" w:cs="Arial"/>
          <w:sz w:val="22"/>
          <w:szCs w:val="22"/>
        </w:rPr>
        <w:t xml:space="preserve"> lily leaf space, Fig 2C view of a </w:t>
      </w:r>
      <w:r w:rsidRPr="002B3615">
        <w:rPr>
          <w:rFonts w:ascii="Arial" w:eastAsia="Times New Roman" w:hAnsi="Arial" w:cs="Arial"/>
          <w:i/>
          <w:iCs/>
          <w:sz w:val="22"/>
          <w:szCs w:val="22"/>
        </w:rPr>
        <w:t>Canna</w:t>
      </w:r>
      <w:r w:rsidRPr="002B3615">
        <w:rPr>
          <w:rFonts w:ascii="Arial" w:eastAsia="Times New Roman" w:hAnsi="Arial" w:cs="Arial"/>
          <w:sz w:val="22"/>
          <w:szCs w:val="22"/>
        </w:rPr>
        <w:t xml:space="preserve"> lily garden.</w:t>
      </w:r>
    </w:p>
    <w:p w14:paraId="14360AB0" w14:textId="77777777" w:rsidR="006D4175" w:rsidRPr="002B3615" w:rsidRDefault="00CD4B93">
      <w:pPr>
        <w:jc w:val="both"/>
        <w:rPr>
          <w:rFonts w:ascii="Arial" w:eastAsia="Times New Roman" w:hAnsi="Arial" w:cs="Arial"/>
          <w:sz w:val="22"/>
          <w:szCs w:val="22"/>
        </w:rPr>
      </w:pPr>
      <w:r w:rsidRPr="002B3615">
        <w:rPr>
          <w:rFonts w:ascii="Arial" w:eastAsia="Times New Roman" w:hAnsi="Arial" w:cs="Arial"/>
          <w:noProof/>
          <w:sz w:val="22"/>
          <w:szCs w:val="22"/>
        </w:rPr>
        <w:lastRenderedPageBreak/>
        <w:drawing>
          <wp:inline distT="0" distB="0" distL="0" distR="0" wp14:anchorId="5CD0CAD7" wp14:editId="51028C12">
            <wp:extent cx="5736526" cy="153966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t="7978"/>
                    <a:stretch>
                      <a:fillRect/>
                    </a:stretch>
                  </pic:blipFill>
                  <pic:spPr>
                    <a:xfrm>
                      <a:off x="0" y="0"/>
                      <a:ext cx="5736526" cy="1539660"/>
                    </a:xfrm>
                    <a:prstGeom prst="rect">
                      <a:avLst/>
                    </a:prstGeom>
                    <a:ln/>
                  </pic:spPr>
                </pic:pic>
              </a:graphicData>
            </a:graphic>
          </wp:inline>
        </w:drawing>
      </w:r>
    </w:p>
    <w:p w14:paraId="7844B4D0" w14:textId="22DAF190" w:rsidR="006D4175" w:rsidRPr="002B3615" w:rsidRDefault="00CD4B93">
      <w:pPr>
        <w:jc w:val="both"/>
        <w:rPr>
          <w:rFonts w:ascii="Arial" w:eastAsia="Times New Roman" w:hAnsi="Arial" w:cs="Arial"/>
          <w:sz w:val="22"/>
          <w:szCs w:val="22"/>
        </w:rPr>
      </w:pPr>
      <w:r w:rsidRPr="002B3615">
        <w:rPr>
          <w:rFonts w:ascii="Arial" w:eastAsia="Times New Roman" w:hAnsi="Arial" w:cs="Arial"/>
          <w:sz w:val="22"/>
          <w:szCs w:val="22"/>
        </w:rPr>
        <w:t xml:space="preserve">Figure 3: Fig 3A shows Male </w:t>
      </w:r>
      <w:r w:rsidRPr="002B3615">
        <w:rPr>
          <w:rFonts w:ascii="Arial" w:eastAsia="Times New Roman" w:hAnsi="Arial" w:cs="Arial"/>
          <w:i/>
          <w:iCs/>
          <w:sz w:val="22"/>
          <w:szCs w:val="22"/>
        </w:rPr>
        <w:t>Phintella vitta</w:t>
      </w:r>
      <w:r w:rsidR="00E976B3"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dorsal view; Fig 3B shows Female </w:t>
      </w:r>
      <w:r w:rsidRPr="002B3615">
        <w:rPr>
          <w:rFonts w:ascii="Arial" w:eastAsia="Times New Roman" w:hAnsi="Arial" w:cs="Arial"/>
          <w:i/>
          <w:iCs/>
          <w:sz w:val="22"/>
          <w:szCs w:val="22"/>
        </w:rPr>
        <w:t>Phintella vitta</w:t>
      </w:r>
      <w:r w:rsidR="00E976B3" w:rsidRPr="002B3615">
        <w:rPr>
          <w:rFonts w:ascii="Arial" w:eastAsia="Times New Roman" w:hAnsi="Arial" w:cs="Arial"/>
          <w:i/>
          <w:iCs/>
          <w:sz w:val="22"/>
          <w:szCs w:val="22"/>
        </w:rPr>
        <w:t>t</w:t>
      </w:r>
      <w:r w:rsidRPr="002B3615">
        <w:rPr>
          <w:rFonts w:ascii="Arial" w:eastAsia="Times New Roman" w:hAnsi="Arial" w:cs="Arial"/>
          <w:i/>
          <w:iCs/>
          <w:sz w:val="22"/>
          <w:szCs w:val="22"/>
        </w:rPr>
        <w:t>a</w:t>
      </w:r>
      <w:r w:rsidRPr="002B3615">
        <w:rPr>
          <w:rFonts w:ascii="Arial" w:eastAsia="Times New Roman" w:hAnsi="Arial" w:cs="Arial"/>
          <w:sz w:val="22"/>
          <w:szCs w:val="22"/>
        </w:rPr>
        <w:t xml:space="preserve">, dorsal view; Fig 3C shows Female </w:t>
      </w:r>
      <w:proofErr w:type="spellStart"/>
      <w:r w:rsidRPr="002B3615">
        <w:rPr>
          <w:rFonts w:ascii="Arial" w:eastAsia="Times New Roman" w:hAnsi="Arial" w:cs="Arial"/>
          <w:i/>
          <w:iCs/>
          <w:sz w:val="22"/>
          <w:szCs w:val="22"/>
        </w:rPr>
        <w:t>Phintella</w:t>
      </w:r>
      <w:proofErr w:type="spellEnd"/>
      <w:r w:rsidRPr="002B3615">
        <w:rPr>
          <w:rFonts w:ascii="Arial" w:eastAsia="Times New Roman" w:hAnsi="Arial" w:cs="Arial"/>
          <w:i/>
          <w:iCs/>
          <w:sz w:val="22"/>
          <w:szCs w:val="22"/>
        </w:rPr>
        <w:t xml:space="preserve"> </w:t>
      </w:r>
      <w:proofErr w:type="spellStart"/>
      <w:r w:rsidRPr="002B3615">
        <w:rPr>
          <w:rFonts w:ascii="Arial" w:eastAsia="Times New Roman" w:hAnsi="Arial" w:cs="Arial"/>
          <w:i/>
          <w:iCs/>
          <w:sz w:val="22"/>
          <w:szCs w:val="22"/>
        </w:rPr>
        <w:t>vitta</w:t>
      </w:r>
      <w:r w:rsidR="00E976B3" w:rsidRPr="002B3615">
        <w:rPr>
          <w:rFonts w:ascii="Arial" w:eastAsia="Times New Roman" w:hAnsi="Arial" w:cs="Arial"/>
          <w:i/>
          <w:iCs/>
          <w:sz w:val="22"/>
          <w:szCs w:val="22"/>
        </w:rPr>
        <w:t>t</w:t>
      </w:r>
      <w:r w:rsidRPr="002B3615">
        <w:rPr>
          <w:rFonts w:ascii="Arial" w:eastAsia="Times New Roman" w:hAnsi="Arial" w:cs="Arial"/>
          <w:i/>
          <w:iCs/>
          <w:sz w:val="22"/>
          <w:szCs w:val="22"/>
        </w:rPr>
        <w:t>a</w:t>
      </w:r>
      <w:proofErr w:type="spellEnd"/>
      <w:r w:rsidRPr="002B3615">
        <w:rPr>
          <w:rFonts w:ascii="Arial" w:eastAsia="Times New Roman" w:hAnsi="Arial" w:cs="Arial"/>
          <w:sz w:val="22"/>
          <w:szCs w:val="22"/>
        </w:rPr>
        <w:t xml:space="preserve"> </w:t>
      </w:r>
      <w:proofErr w:type="spellStart"/>
      <w:r w:rsidRPr="002B3615">
        <w:rPr>
          <w:rFonts w:ascii="Arial" w:eastAsia="Times New Roman" w:hAnsi="Arial" w:cs="Arial"/>
          <w:sz w:val="22"/>
          <w:szCs w:val="22"/>
        </w:rPr>
        <w:t>Epigyne</w:t>
      </w:r>
      <w:proofErr w:type="spellEnd"/>
      <w:r w:rsidRPr="002B3615">
        <w:rPr>
          <w:rFonts w:ascii="Arial" w:eastAsia="Times New Roman" w:hAnsi="Arial" w:cs="Arial"/>
          <w:sz w:val="22"/>
          <w:szCs w:val="22"/>
        </w:rPr>
        <w:t>, ventral view; scale bar:5mm.</w:t>
      </w:r>
    </w:p>
    <w:sectPr w:rsidR="006D4175" w:rsidRPr="002B361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9293F" w14:textId="77777777" w:rsidR="00CD4B93" w:rsidRDefault="00CD4B93" w:rsidP="00ED63B8">
      <w:pPr>
        <w:spacing w:after="0" w:line="240" w:lineRule="auto"/>
      </w:pPr>
      <w:r>
        <w:separator/>
      </w:r>
    </w:p>
  </w:endnote>
  <w:endnote w:type="continuationSeparator" w:id="0">
    <w:p w14:paraId="4BCA0683" w14:textId="77777777" w:rsidR="00CD4B93" w:rsidRDefault="00CD4B93" w:rsidP="00ED6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DCB171-C6BB-4771-9CC0-F84EBF4B4516}"/>
    <w:embedItalic r:id="rId2" w:fontKey="{A12508FD-8743-4466-858F-1F6FA280777B}"/>
  </w:font>
  <w:font w:name="Cambria">
    <w:panose1 w:val="02040503050406030204"/>
    <w:charset w:val="00"/>
    <w:family w:val="roman"/>
    <w:pitch w:val="variable"/>
    <w:sig w:usb0="E00006FF" w:usb1="420024FF" w:usb2="02000000" w:usb3="00000000" w:csb0="0000019F" w:csb1="00000000"/>
    <w:embedRegular r:id="rId3" w:fontKey="{C453EA21-7A51-4978-A14E-9106E582954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7B4DE1D7-5F3C-4CE0-8E82-8D1BBBF0D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C3E9" w14:textId="77777777" w:rsidR="00ED63B8" w:rsidRDefault="00ED6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DF29" w14:textId="77777777" w:rsidR="00ED63B8" w:rsidRDefault="00ED63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E2A2" w14:textId="77777777" w:rsidR="00ED63B8" w:rsidRDefault="00ED6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F9C1D" w14:textId="77777777" w:rsidR="00CD4B93" w:rsidRDefault="00CD4B93" w:rsidP="00ED63B8">
      <w:pPr>
        <w:spacing w:after="0" w:line="240" w:lineRule="auto"/>
      </w:pPr>
      <w:r>
        <w:separator/>
      </w:r>
    </w:p>
  </w:footnote>
  <w:footnote w:type="continuationSeparator" w:id="0">
    <w:p w14:paraId="31F4B419" w14:textId="77777777" w:rsidR="00CD4B93" w:rsidRDefault="00CD4B93" w:rsidP="00ED6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677A1" w14:textId="2664D658" w:rsidR="00ED63B8" w:rsidRDefault="00ED63B8">
    <w:pPr>
      <w:pStyle w:val="Header"/>
    </w:pPr>
    <w:r>
      <w:rPr>
        <w:noProof/>
      </w:rPr>
      <w:pict w14:anchorId="30ED9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AE30" w14:textId="664B1089" w:rsidR="00ED63B8" w:rsidRDefault="00ED63B8">
    <w:pPr>
      <w:pStyle w:val="Header"/>
    </w:pPr>
    <w:r>
      <w:rPr>
        <w:noProof/>
      </w:rPr>
      <w:pict w14:anchorId="138B6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4638" w14:textId="4EF63CFE" w:rsidR="00ED63B8" w:rsidRDefault="00ED63B8">
    <w:pPr>
      <w:pStyle w:val="Header"/>
    </w:pPr>
    <w:r>
      <w:rPr>
        <w:noProof/>
      </w:rPr>
      <w:pict w14:anchorId="620E0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6ACC"/>
    <w:multiLevelType w:val="multilevel"/>
    <w:tmpl w:val="D3C49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A03FDB"/>
    <w:multiLevelType w:val="multilevel"/>
    <w:tmpl w:val="FDE4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032E61"/>
    <w:multiLevelType w:val="hybridMultilevel"/>
    <w:tmpl w:val="FB34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801FD"/>
    <w:multiLevelType w:val="hybridMultilevel"/>
    <w:tmpl w:val="E46A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75"/>
    <w:rsid w:val="00055B27"/>
    <w:rsid w:val="00114B15"/>
    <w:rsid w:val="001A5505"/>
    <w:rsid w:val="001B00DB"/>
    <w:rsid w:val="001D76C5"/>
    <w:rsid w:val="002B3615"/>
    <w:rsid w:val="002C0CF3"/>
    <w:rsid w:val="002C4144"/>
    <w:rsid w:val="0030504F"/>
    <w:rsid w:val="004A0FA2"/>
    <w:rsid w:val="00531452"/>
    <w:rsid w:val="005A50DB"/>
    <w:rsid w:val="005E6640"/>
    <w:rsid w:val="006D1572"/>
    <w:rsid w:val="006D4175"/>
    <w:rsid w:val="006D4EB5"/>
    <w:rsid w:val="00700D31"/>
    <w:rsid w:val="007B515D"/>
    <w:rsid w:val="00802A01"/>
    <w:rsid w:val="00807ED6"/>
    <w:rsid w:val="0086170B"/>
    <w:rsid w:val="008B05E1"/>
    <w:rsid w:val="009A0754"/>
    <w:rsid w:val="009D2FD5"/>
    <w:rsid w:val="00A24B6C"/>
    <w:rsid w:val="00A50651"/>
    <w:rsid w:val="00A64A87"/>
    <w:rsid w:val="00A7013A"/>
    <w:rsid w:val="00BC2490"/>
    <w:rsid w:val="00BF4F9C"/>
    <w:rsid w:val="00CD4B93"/>
    <w:rsid w:val="00CF125D"/>
    <w:rsid w:val="00D946DA"/>
    <w:rsid w:val="00DD7DCF"/>
    <w:rsid w:val="00E976B3"/>
    <w:rsid w:val="00ED63B8"/>
    <w:rsid w:val="00F01844"/>
    <w:rsid w:val="00F07F82"/>
    <w:rsid w:val="00F90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993062"/>
  <w15:docId w15:val="{BCF537A4-9DB5-4021-8AB8-2F73751B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A0754"/>
    <w:pPr>
      <w:ind w:left="720"/>
      <w:contextualSpacing/>
    </w:pPr>
  </w:style>
  <w:style w:type="character" w:styleId="Hyperlink">
    <w:name w:val="Hyperlink"/>
    <w:basedOn w:val="DefaultParagraphFont"/>
    <w:uiPriority w:val="99"/>
    <w:unhideWhenUsed/>
    <w:rsid w:val="009D2FD5"/>
    <w:rPr>
      <w:color w:val="0000FF" w:themeColor="hyperlink"/>
      <w:u w:val="single"/>
    </w:rPr>
  </w:style>
  <w:style w:type="character" w:styleId="UnresolvedMention">
    <w:name w:val="Unresolved Mention"/>
    <w:basedOn w:val="DefaultParagraphFont"/>
    <w:uiPriority w:val="99"/>
    <w:semiHidden/>
    <w:unhideWhenUsed/>
    <w:rsid w:val="009D2FD5"/>
    <w:rPr>
      <w:color w:val="605E5C"/>
      <w:shd w:val="clear" w:color="auto" w:fill="E1DFDD"/>
    </w:rPr>
  </w:style>
  <w:style w:type="table" w:styleId="TableGrid">
    <w:name w:val="Table Grid"/>
    <w:basedOn w:val="TableNormal"/>
    <w:uiPriority w:val="39"/>
    <w:rsid w:val="0086170B"/>
    <w:pPr>
      <w:spacing w:after="0" w:line="240" w:lineRule="auto"/>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3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3B8"/>
  </w:style>
  <w:style w:type="paragraph" w:styleId="Footer">
    <w:name w:val="footer"/>
    <w:basedOn w:val="Normal"/>
    <w:link w:val="FooterChar"/>
    <w:uiPriority w:val="99"/>
    <w:unhideWhenUsed/>
    <w:rsid w:val="00ED63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38/163688a0"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ndianspiders.in" TargetMode="Externa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dianclimate.com/show-data.php?request=JB4OK4INZ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603/0046-225X-31.2.319" TargetMode="Externa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11</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11</cp:revision>
  <dcterms:created xsi:type="dcterms:W3CDTF">2025-12-08T08:35:00Z</dcterms:created>
  <dcterms:modified xsi:type="dcterms:W3CDTF">2026-02-07T12:31:00Z</dcterms:modified>
</cp:coreProperties>
</file>