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770CA" w14:textId="77777777" w:rsidR="00A537A0" w:rsidRPr="00A537A0" w:rsidRDefault="00A537A0" w:rsidP="00A537A0">
      <w:pPr>
        <w:jc w:val="center"/>
        <w:rPr>
          <w:rFonts w:cs="Times New Roman"/>
          <w:b/>
          <w:bCs/>
          <w:i/>
          <w:iCs/>
          <w:color w:val="000000" w:themeColor="text1"/>
          <w:szCs w:val="24"/>
          <w:u w:val="single"/>
        </w:rPr>
      </w:pPr>
      <w:r w:rsidRPr="00A537A0">
        <w:rPr>
          <w:rFonts w:cs="Times New Roman"/>
          <w:b/>
          <w:bCs/>
          <w:i/>
          <w:iCs/>
          <w:color w:val="000000" w:themeColor="text1"/>
          <w:szCs w:val="24"/>
          <w:u w:val="single"/>
        </w:rPr>
        <w:t>Original Research Article</w:t>
      </w:r>
    </w:p>
    <w:p w14:paraId="4AD3E698" w14:textId="77777777" w:rsidR="009E37DF" w:rsidRDefault="009E37DF">
      <w:pPr>
        <w:jc w:val="center"/>
        <w:rPr>
          <w:rFonts w:cs="Times New Roman"/>
          <w:b/>
          <w:bCs/>
          <w:color w:val="000000" w:themeColor="text1"/>
          <w:szCs w:val="24"/>
        </w:rPr>
      </w:pPr>
    </w:p>
    <w:p w14:paraId="3E42338E" w14:textId="77777777" w:rsidR="009E37DF" w:rsidRDefault="00F33276">
      <w:pPr>
        <w:jc w:val="center"/>
        <w:rPr>
          <w:rFonts w:cs="Times New Roman"/>
          <w:b/>
          <w:bCs/>
          <w:color w:val="000000" w:themeColor="text1"/>
          <w:szCs w:val="24"/>
        </w:rPr>
      </w:pPr>
      <w:r>
        <w:rPr>
          <w:rFonts w:cs="Times New Roman"/>
          <w:b/>
          <w:bCs/>
          <w:color w:val="000000" w:themeColor="text1"/>
          <w:szCs w:val="24"/>
        </w:rPr>
        <w:t>Isolation and Identification of Bacterial Pathogens in Poultry Liver from Post-mortem Specimens Using the VITEK® 2 Compact System</w:t>
      </w:r>
    </w:p>
    <w:p w14:paraId="02EDA581" w14:textId="77777777" w:rsidR="009E37DF" w:rsidRDefault="009E37DF">
      <w:pPr>
        <w:rPr>
          <w:rFonts w:cs="Times New Roman"/>
          <w:color w:val="000000" w:themeColor="text1"/>
          <w:szCs w:val="24"/>
        </w:rPr>
      </w:pPr>
    </w:p>
    <w:p w14:paraId="71F2F84A" w14:textId="77777777" w:rsidR="009E37DF" w:rsidRDefault="00F33276">
      <w:pPr>
        <w:rPr>
          <w:rFonts w:eastAsia="Segoe UI" w:cs="Times New Roman"/>
          <w:b/>
          <w:bCs/>
          <w:color w:val="000000" w:themeColor="text1"/>
          <w:szCs w:val="24"/>
          <w:shd w:val="clear" w:color="auto" w:fill="FFFFFF"/>
        </w:rPr>
      </w:pPr>
      <w:r>
        <w:rPr>
          <w:rFonts w:eastAsia="Segoe UI" w:cs="Times New Roman"/>
          <w:b/>
          <w:bCs/>
          <w:color w:val="000000" w:themeColor="text1"/>
          <w:szCs w:val="24"/>
          <w:shd w:val="clear" w:color="auto" w:fill="FFFFFF"/>
        </w:rPr>
        <w:t xml:space="preserve">Abstract: </w:t>
      </w:r>
    </w:p>
    <w:p w14:paraId="112C1218" w14:textId="77777777" w:rsidR="009E37DF" w:rsidRDefault="00F33276">
      <w:pPr>
        <w:rPr>
          <w:rFonts w:eastAsia="Segoe UI" w:cs="Times New Roman"/>
          <w:color w:val="000000" w:themeColor="text1"/>
          <w:szCs w:val="24"/>
          <w:shd w:val="clear" w:color="auto" w:fill="FFFFFF"/>
        </w:rPr>
      </w:pPr>
      <w:r>
        <w:rPr>
          <w:rFonts w:eastAsia="Segoe UI" w:cs="Times New Roman"/>
          <w:b/>
          <w:bCs/>
          <w:color w:val="000000" w:themeColor="text1"/>
          <w:szCs w:val="24"/>
          <w:shd w:val="clear" w:color="auto" w:fill="FFFFFF"/>
        </w:rPr>
        <w:t>Introduction:</w:t>
      </w:r>
      <w:r>
        <w:rPr>
          <w:rFonts w:eastAsia="Segoe UI" w:cs="Times New Roman"/>
          <w:color w:val="000000" w:themeColor="text1"/>
          <w:szCs w:val="24"/>
          <w:shd w:val="clear" w:color="auto" w:fill="FFFFFF"/>
        </w:rPr>
        <w:t xml:space="preserve"> Bacterial liver infections in poultry cause significant mortality and economic losses, with pathogens like </w:t>
      </w:r>
      <w:r>
        <w:rPr>
          <w:rStyle w:val="Emphasis"/>
          <w:rFonts w:eastAsia="Segoe UI" w:cs="Times New Roman"/>
          <w:color w:val="000000" w:themeColor="text1"/>
          <w:szCs w:val="24"/>
          <w:shd w:val="clear" w:color="auto" w:fill="FFFFFF"/>
        </w:rPr>
        <w:t>Escherichia coli</w:t>
      </w:r>
      <w:r>
        <w:rPr>
          <w:rFonts w:eastAsia="Segoe UI" w:cs="Times New Roman"/>
          <w:color w:val="000000" w:themeColor="text1"/>
          <w:szCs w:val="24"/>
          <w:shd w:val="clear" w:color="auto" w:fill="FFFFFF"/>
        </w:rPr>
        <w:t>, </w:t>
      </w:r>
      <w:r>
        <w:rPr>
          <w:rStyle w:val="Emphasis"/>
          <w:rFonts w:eastAsia="Segoe UI" w:cs="Times New Roman"/>
          <w:color w:val="000000" w:themeColor="text1"/>
          <w:szCs w:val="24"/>
          <w:shd w:val="clear" w:color="auto" w:fill="FFFFFF"/>
        </w:rPr>
        <w:t>Salmonella</w:t>
      </w:r>
      <w:r>
        <w:rPr>
          <w:rFonts w:eastAsia="Segoe UI" w:cs="Times New Roman"/>
          <w:color w:val="000000" w:themeColor="text1"/>
          <w:szCs w:val="24"/>
          <w:shd w:val="clear" w:color="auto" w:fill="FFFFFF"/>
        </w:rPr>
        <w:t>, and </w:t>
      </w:r>
      <w:r>
        <w:rPr>
          <w:rStyle w:val="Emphasis"/>
          <w:rFonts w:eastAsia="Segoe UI" w:cs="Times New Roman"/>
          <w:color w:val="000000" w:themeColor="text1"/>
          <w:szCs w:val="24"/>
          <w:shd w:val="clear" w:color="auto" w:fill="FFFFFF"/>
        </w:rPr>
        <w:t xml:space="preserve">Pasteurella </w:t>
      </w:r>
      <w:proofErr w:type="spellStart"/>
      <w:r>
        <w:rPr>
          <w:rStyle w:val="Emphasis"/>
          <w:rFonts w:eastAsia="Segoe UI" w:cs="Times New Roman"/>
          <w:color w:val="000000" w:themeColor="text1"/>
          <w:szCs w:val="24"/>
          <w:shd w:val="clear" w:color="auto" w:fill="FFFFFF"/>
        </w:rPr>
        <w:t>multocida</w:t>
      </w:r>
      <w:proofErr w:type="spellEnd"/>
      <w:r>
        <w:rPr>
          <w:rFonts w:eastAsia="Segoe UI" w:cs="Times New Roman"/>
          <w:color w:val="000000" w:themeColor="text1"/>
          <w:szCs w:val="24"/>
          <w:shd w:val="clear" w:color="auto" w:fill="FFFFFF"/>
        </w:rPr>
        <w:t xml:space="preserve"> implicated in sepsis, necrosis, and systemic </w:t>
      </w:r>
      <w:proofErr w:type="spellStart"/>
      <w:proofErr w:type="gramStart"/>
      <w:r>
        <w:rPr>
          <w:rFonts w:eastAsia="Segoe UI" w:cs="Times New Roman"/>
          <w:color w:val="000000" w:themeColor="text1"/>
          <w:szCs w:val="24"/>
          <w:shd w:val="clear" w:color="auto" w:fill="FFFFFF"/>
        </w:rPr>
        <w:t>disease.The</w:t>
      </w:r>
      <w:proofErr w:type="spellEnd"/>
      <w:proofErr w:type="gramEnd"/>
      <w:r>
        <w:rPr>
          <w:rFonts w:eastAsia="Segoe UI" w:cs="Times New Roman"/>
          <w:color w:val="000000" w:themeColor="text1"/>
          <w:szCs w:val="24"/>
          <w:shd w:val="clear" w:color="auto" w:fill="FFFFFF"/>
        </w:rPr>
        <w:t xml:space="preserve"> use of the VITEK® 2 system enabled rapid identification and susceptibility testing of the pathogens, contributing to a better understanding of microbial threats in poultry production. The findings emphasize the significance of bacterial sepsis as a cause of mortality in broilers and highlight the importance of rapid diagnostic techniques in veterinary practice.  </w:t>
      </w:r>
    </w:p>
    <w:p w14:paraId="62BED9CA" w14:textId="77777777" w:rsidR="009E37DF" w:rsidRDefault="00F33276">
      <w:pPr>
        <w:rPr>
          <w:rFonts w:eastAsia="Segoe UI" w:cs="Times New Roman"/>
          <w:color w:val="000000" w:themeColor="text1"/>
          <w:szCs w:val="24"/>
          <w:shd w:val="clear" w:color="auto" w:fill="FFFFFF"/>
        </w:rPr>
      </w:pPr>
      <w:proofErr w:type="spellStart"/>
      <w:proofErr w:type="gramStart"/>
      <w:r>
        <w:rPr>
          <w:rFonts w:eastAsia="Segoe UI" w:cs="Times New Roman"/>
          <w:b/>
          <w:bCs/>
          <w:color w:val="000000" w:themeColor="text1"/>
          <w:szCs w:val="24"/>
          <w:shd w:val="clear" w:color="auto" w:fill="FFFFFF"/>
        </w:rPr>
        <w:t>Aim:</w:t>
      </w:r>
      <w:r>
        <w:rPr>
          <w:rFonts w:eastAsia="Segoe UI" w:cs="Times New Roman"/>
          <w:color w:val="000000" w:themeColor="text1"/>
          <w:szCs w:val="24"/>
          <w:shd w:val="clear" w:color="auto" w:fill="FFFFFF"/>
        </w:rPr>
        <w:t>This</w:t>
      </w:r>
      <w:proofErr w:type="spellEnd"/>
      <w:proofErr w:type="gramEnd"/>
      <w:r>
        <w:rPr>
          <w:rFonts w:eastAsia="Segoe UI" w:cs="Times New Roman"/>
          <w:color w:val="000000" w:themeColor="text1"/>
          <w:szCs w:val="24"/>
          <w:shd w:val="clear" w:color="auto" w:fill="FFFFFF"/>
        </w:rPr>
        <w:t xml:space="preserve"> study aimed to isolate and identify bacterial pathogens in post-mortem poultry liver specimens and assess their antimicrobial resistance profiles. </w:t>
      </w:r>
    </w:p>
    <w:p w14:paraId="4EB607A1" w14:textId="77777777" w:rsidR="009E37DF" w:rsidRDefault="00F33276">
      <w:pPr>
        <w:rPr>
          <w:rFonts w:eastAsia="Segoe UI" w:cs="Times New Roman"/>
          <w:color w:val="000000" w:themeColor="text1"/>
          <w:szCs w:val="24"/>
          <w:shd w:val="clear" w:color="auto" w:fill="FFFFFF"/>
        </w:rPr>
      </w:pPr>
      <w:r>
        <w:rPr>
          <w:rFonts w:eastAsia="Segoe UI" w:cs="Times New Roman"/>
          <w:b/>
          <w:bCs/>
          <w:color w:val="000000" w:themeColor="text1"/>
          <w:szCs w:val="24"/>
          <w:shd w:val="clear" w:color="auto" w:fill="FFFFFF"/>
        </w:rPr>
        <w:t xml:space="preserve">Methodology: </w:t>
      </w:r>
      <w:r>
        <w:rPr>
          <w:rFonts w:eastAsia="Segoe UI" w:cs="Times New Roman"/>
          <w:color w:val="000000" w:themeColor="text1"/>
          <w:szCs w:val="24"/>
          <w:shd w:val="clear" w:color="auto" w:fill="FFFFFF"/>
        </w:rPr>
        <w:t xml:space="preserve">Seventy-five liver samples were aseptically obtained and subjected to microbiological examination involving homogenization, culturing on selective media, and subsequent identification using the VITEK® 2 Compact System. This automated system facilitated accurate biochemical profiling and antimicrobial susceptibility testing of isolated organisms. Liver samples were collected aseptically during necropsy, homogenized in peptone water (1:10 ratio), and cultured on selective media (MacConkey, MSA, EMB). Isolates were identified and tested for antimicrobial susceptibility using the VITEK® 2 Compact System. </w:t>
      </w:r>
    </w:p>
    <w:p w14:paraId="384F7EE2" w14:textId="77777777" w:rsidR="009E37DF" w:rsidRDefault="00F33276">
      <w:pPr>
        <w:rPr>
          <w:rFonts w:eastAsia="Segoe UI" w:cs="Times New Roman"/>
          <w:color w:val="000000" w:themeColor="text1"/>
          <w:szCs w:val="24"/>
          <w:shd w:val="clear" w:color="auto" w:fill="FFFFFF"/>
        </w:rPr>
      </w:pPr>
      <w:r>
        <w:rPr>
          <w:rFonts w:eastAsia="Segoe UI" w:cs="Times New Roman"/>
          <w:b/>
          <w:bCs/>
          <w:color w:val="000000" w:themeColor="text1"/>
          <w:szCs w:val="24"/>
          <w:shd w:val="clear" w:color="auto" w:fill="FFFFFF"/>
        </w:rPr>
        <w:t>Results:</w:t>
      </w:r>
      <w:r>
        <w:rPr>
          <w:rFonts w:eastAsia="Segoe UI" w:cs="Times New Roman"/>
          <w:color w:val="000000" w:themeColor="text1"/>
          <w:szCs w:val="24"/>
          <w:shd w:val="clear" w:color="auto" w:fill="FFFFFF"/>
        </w:rPr>
        <w:t xml:space="preserve">  </w:t>
      </w:r>
      <w:r>
        <w:rPr>
          <w:rFonts w:cs="Times New Roman"/>
          <w:color w:val="000000" w:themeColor="text1"/>
          <w:szCs w:val="24"/>
        </w:rPr>
        <w:t xml:space="preserve">The results revealed that 68% of the examined liver samples had high bacterial loads (≥10⁶ CFU/g), indicating significant microbial involvement in the birds' mortality. Among the isolates, Escherichia coli was the most frequently detected bacterium (42%), followed by Klebsiella spp. (28%) and Staphylococcus aureus (5%). Interestingly, no bacterial growth was observed in 25% of the </w:t>
      </w:r>
      <w:proofErr w:type="spellStart"/>
      <w:proofErr w:type="gramStart"/>
      <w:r>
        <w:rPr>
          <w:rFonts w:cs="Times New Roman"/>
          <w:color w:val="000000" w:themeColor="text1"/>
          <w:szCs w:val="24"/>
        </w:rPr>
        <w:t>samples,identified</w:t>
      </w:r>
      <w:proofErr w:type="spellEnd"/>
      <w:proofErr w:type="gramEnd"/>
      <w:r>
        <w:rPr>
          <w:rFonts w:cs="Times New Roman"/>
          <w:color w:val="000000" w:themeColor="text1"/>
          <w:szCs w:val="24"/>
        </w:rPr>
        <w:t xml:space="preserve"> E. coli , Staphylococcus aureus, and Klebsiella pneumoniae as predominant pathogens. E. coli exhibited resistance to beta-lactams (e.g., ampicillin, piperacillin) and fluoroquinolones (ciprofloxacin) but susceptibility to carbapenems (imipenem, meropenem), aminoglycosides (amikacin, gentamicin), and tigecycline. K. pneumoniae isolates showed multidrug resistance (including to fluoroquinolones and trimethoprim-sulfamethoxazole) but remained susceptible to carbapenems and aminoglycosides. S. aureus was methicillin-sensitive but resistant to moxifloxacin and </w:t>
      </w:r>
      <w:proofErr w:type="spellStart"/>
      <w:r>
        <w:rPr>
          <w:rFonts w:cs="Times New Roman"/>
          <w:color w:val="000000" w:themeColor="text1"/>
          <w:szCs w:val="24"/>
        </w:rPr>
        <w:t>fusidic</w:t>
      </w:r>
      <w:proofErr w:type="spellEnd"/>
      <w:r>
        <w:rPr>
          <w:rFonts w:cs="Times New Roman"/>
          <w:color w:val="000000" w:themeColor="text1"/>
          <w:szCs w:val="24"/>
        </w:rPr>
        <w:t xml:space="preserve"> acid.  </w:t>
      </w:r>
    </w:p>
    <w:p w14:paraId="5CC3844F" w14:textId="77777777" w:rsidR="009E37DF" w:rsidRDefault="00F33276">
      <w:pPr>
        <w:rPr>
          <w:rFonts w:cs="Times New Roman"/>
          <w:color w:val="000000" w:themeColor="text1"/>
          <w:szCs w:val="24"/>
          <w:rtl/>
        </w:rPr>
      </w:pPr>
      <w:proofErr w:type="spellStart"/>
      <w:proofErr w:type="gramStart"/>
      <w:r>
        <w:rPr>
          <w:rFonts w:eastAsia="Segoe UI" w:cs="Times New Roman"/>
          <w:b/>
          <w:bCs/>
          <w:color w:val="000000" w:themeColor="text1"/>
          <w:szCs w:val="24"/>
          <w:shd w:val="clear" w:color="auto" w:fill="FFFFFF"/>
        </w:rPr>
        <w:lastRenderedPageBreak/>
        <w:t>Conclusion:</w:t>
      </w:r>
      <w:r>
        <w:rPr>
          <w:rFonts w:eastAsia="Segoe UI" w:cs="Times New Roman"/>
          <w:color w:val="000000" w:themeColor="text1"/>
          <w:szCs w:val="24"/>
          <w:shd w:val="clear" w:color="auto" w:fill="FFFFFF"/>
        </w:rPr>
        <w:t>The</w:t>
      </w:r>
      <w:proofErr w:type="spellEnd"/>
      <w:proofErr w:type="gramEnd"/>
      <w:r>
        <w:rPr>
          <w:rFonts w:eastAsia="Segoe UI" w:cs="Times New Roman"/>
          <w:color w:val="000000" w:themeColor="text1"/>
          <w:szCs w:val="24"/>
          <w:shd w:val="clear" w:color="auto" w:fill="FFFFFF"/>
        </w:rPr>
        <w:t xml:space="preserve"> study concludes that automated systems like VITEK® 2 enable rapid, targeted therapy and antimicrobial stewardship, crucial for mitigating poultry mortality and combating resistance linked to bacterial liver sepsis.</w:t>
      </w:r>
      <w:r>
        <w:rPr>
          <w:rFonts w:cs="Times New Roman"/>
          <w:color w:val="000000" w:themeColor="text1"/>
          <w:szCs w:val="24"/>
        </w:rPr>
        <w:t xml:space="preserve"> This study underlines the necessity of improving diagnostic capabilities and monitoring resistance patterns to enhance poultry health, reduce losses, and maintain food safety standards in commercial poultry operations.</w:t>
      </w:r>
    </w:p>
    <w:p w14:paraId="53B7AD3B" w14:textId="77777777" w:rsidR="009E37DF" w:rsidRDefault="00F33276">
      <w:pPr>
        <w:rPr>
          <w:rFonts w:cs="Times New Roman"/>
          <w:color w:val="000000" w:themeColor="text1"/>
          <w:szCs w:val="24"/>
          <w:rtl/>
          <w:lang w:bidi="ar-IQ"/>
        </w:rPr>
      </w:pPr>
      <w:r>
        <w:rPr>
          <w:rFonts w:cs="Times New Roman"/>
          <w:b/>
          <w:bCs/>
          <w:color w:val="000000" w:themeColor="text1"/>
          <w:szCs w:val="24"/>
        </w:rPr>
        <w:t>Keywords:</w:t>
      </w:r>
      <w:r>
        <w:rPr>
          <w:rFonts w:cs="Times New Roman"/>
          <w:color w:val="000000" w:themeColor="text1"/>
          <w:szCs w:val="24"/>
        </w:rPr>
        <w:t xml:space="preserve"> Poultry Liver, Bacterial Sepsis, VITEK® 2 Compact System, Escherichia coli, Antimicrobial, Resistance, Broiler Mortality</w:t>
      </w:r>
    </w:p>
    <w:p w14:paraId="487D84CD" w14:textId="77777777" w:rsidR="009E37DF" w:rsidRDefault="00F33276">
      <w:pPr>
        <w:rPr>
          <w:rFonts w:cs="Times New Roman"/>
          <w:b/>
          <w:bCs/>
          <w:color w:val="000000" w:themeColor="text1"/>
          <w:szCs w:val="24"/>
        </w:rPr>
      </w:pPr>
      <w:r>
        <w:rPr>
          <w:rFonts w:cs="Times New Roman"/>
          <w:b/>
          <w:bCs/>
          <w:color w:val="000000" w:themeColor="text1"/>
          <w:szCs w:val="24"/>
        </w:rPr>
        <w:t>Introduction</w:t>
      </w:r>
    </w:p>
    <w:p w14:paraId="125C9A8C" w14:textId="77777777" w:rsidR="009E37DF" w:rsidRDefault="00F33276">
      <w:pPr>
        <w:ind w:firstLine="720"/>
        <w:rPr>
          <w:rFonts w:cs="Times New Roman"/>
          <w:color w:val="000000" w:themeColor="text1"/>
          <w:szCs w:val="24"/>
        </w:rPr>
      </w:pPr>
      <w:r>
        <w:rPr>
          <w:rFonts w:cs="Times New Roman"/>
          <w:color w:val="000000" w:themeColor="text1"/>
          <w:szCs w:val="24"/>
        </w:rPr>
        <w:t>The liver is one of the vital organs in the poultry body, as it performs essential functions such as metabolism, detoxification, and protein synthesis. However, the liver is often susceptible to many bacterial diseases that negatively affect the health and productivity of birds. Bacterial diseases affecting the liver pose a major threat to livestock, as they lead to huge economic losses due to high mortality rates, decreased productivity, and treatment and prevention costs.</w:t>
      </w:r>
    </w:p>
    <w:p w14:paraId="05A199D2" w14:textId="77777777" w:rsidR="009E37DF" w:rsidRDefault="00F33276">
      <w:pPr>
        <w:autoSpaceDE w:val="0"/>
        <w:autoSpaceDN w:val="0"/>
        <w:adjustRightInd w:val="0"/>
        <w:spacing w:after="0" w:line="240" w:lineRule="auto"/>
        <w:ind w:firstLine="720"/>
        <w:rPr>
          <w:rFonts w:cs="Times New Roman"/>
          <w:color w:val="000000" w:themeColor="text1"/>
          <w:szCs w:val="24"/>
        </w:rPr>
      </w:pPr>
      <w:r>
        <w:rPr>
          <w:rFonts w:cs="Times New Roman"/>
          <w:color w:val="000000" w:themeColor="text1"/>
          <w:szCs w:val="24"/>
        </w:rPr>
        <w:t>Among the bacterial diseases in chicken liver, infection with Escherichia coli (E. coli) is the most common infection. The organism causes hepatitis, which presents itself in the form of liver inflammation and necrosis, leading to overall weakness in the health of birds and lower growth rates (1).</w:t>
      </w:r>
    </w:p>
    <w:p w14:paraId="2396C02B" w14:textId="77777777" w:rsidR="009E37DF" w:rsidRDefault="00F33276">
      <w:pPr>
        <w:autoSpaceDE w:val="0"/>
        <w:autoSpaceDN w:val="0"/>
        <w:adjustRightInd w:val="0"/>
        <w:spacing w:after="0" w:line="240" w:lineRule="auto"/>
        <w:rPr>
          <w:rFonts w:cs="Times New Roman"/>
          <w:color w:val="000000" w:themeColor="text1"/>
          <w:szCs w:val="24"/>
        </w:rPr>
      </w:pPr>
      <w:r>
        <w:rPr>
          <w:rFonts w:cs="Times New Roman"/>
          <w:color w:val="000000" w:themeColor="text1"/>
          <w:szCs w:val="24"/>
        </w:rPr>
        <w:t>Salmonella bacteria are also the main source of poultry liver infection, leading to acute liver inflammation that can lead to mortality of birds if not treated early and efficiently (2).</w:t>
      </w:r>
    </w:p>
    <w:p w14:paraId="6956F1E8" w14:textId="77777777" w:rsidR="009E37DF" w:rsidRDefault="00F33276">
      <w:pPr>
        <w:autoSpaceDE w:val="0"/>
        <w:autoSpaceDN w:val="0"/>
        <w:adjustRightInd w:val="0"/>
        <w:spacing w:after="0" w:line="240" w:lineRule="auto"/>
        <w:ind w:firstLine="720"/>
        <w:rPr>
          <w:rFonts w:cs="Times New Roman"/>
          <w:color w:val="000000" w:themeColor="text1"/>
          <w:szCs w:val="24"/>
        </w:rPr>
      </w:pPr>
      <w:r>
        <w:rPr>
          <w:rFonts w:cs="Times New Roman"/>
          <w:color w:val="000000" w:themeColor="text1"/>
          <w:szCs w:val="24"/>
        </w:rPr>
        <w:t xml:space="preserve">In addition, Pasteurella </w:t>
      </w:r>
      <w:proofErr w:type="spellStart"/>
      <w:r>
        <w:rPr>
          <w:rFonts w:cs="Times New Roman"/>
          <w:color w:val="000000" w:themeColor="text1"/>
          <w:szCs w:val="24"/>
        </w:rPr>
        <w:t>multocida</w:t>
      </w:r>
      <w:proofErr w:type="spellEnd"/>
      <w:r>
        <w:rPr>
          <w:rFonts w:cs="Times New Roman"/>
          <w:color w:val="000000" w:themeColor="text1"/>
          <w:szCs w:val="24"/>
        </w:rPr>
        <w:t xml:space="preserve"> is the major cause of fowl cholera, which manifests as acute liver inflammation with hemorrhage and destruction of liver tissue. The disease is highly contagious and can result in tremendous loss in bird population if not checked (3).</w:t>
      </w:r>
    </w:p>
    <w:p w14:paraId="478B4BA4" w14:textId="77777777" w:rsidR="009E37DF" w:rsidRDefault="00F33276">
      <w:pPr>
        <w:autoSpaceDE w:val="0"/>
        <w:autoSpaceDN w:val="0"/>
        <w:adjustRightInd w:val="0"/>
        <w:spacing w:after="0" w:line="240" w:lineRule="auto"/>
        <w:ind w:firstLine="720"/>
        <w:rPr>
          <w:rFonts w:cs="Times New Roman"/>
          <w:color w:val="000000" w:themeColor="text1"/>
          <w:szCs w:val="24"/>
        </w:rPr>
      </w:pPr>
      <w:r>
        <w:rPr>
          <w:rFonts w:cs="Times New Roman"/>
          <w:color w:val="000000" w:themeColor="text1"/>
          <w:szCs w:val="24"/>
        </w:rPr>
        <w:t xml:space="preserve">Bacterial liver disease symptoms in poultry birds are dullness, loss of appetite, decreased egg production, and </w:t>
      </w:r>
      <w:proofErr w:type="spellStart"/>
      <w:r>
        <w:rPr>
          <w:rFonts w:cs="Times New Roman"/>
          <w:color w:val="000000" w:themeColor="text1"/>
          <w:szCs w:val="24"/>
        </w:rPr>
        <w:t>diarrhoea</w:t>
      </w:r>
      <w:proofErr w:type="spellEnd"/>
      <w:r>
        <w:rPr>
          <w:rFonts w:cs="Times New Roman"/>
          <w:color w:val="000000" w:themeColor="text1"/>
          <w:szCs w:val="24"/>
        </w:rPr>
        <w:t xml:space="preserve">. Coloration and form of the liver also alter upon autopsy, e.g., swelling, </w:t>
      </w:r>
      <w:proofErr w:type="spellStart"/>
      <w:r>
        <w:rPr>
          <w:rFonts w:cs="Times New Roman"/>
          <w:color w:val="000000" w:themeColor="text1"/>
          <w:szCs w:val="24"/>
        </w:rPr>
        <w:t>haemorrhage</w:t>
      </w:r>
      <w:proofErr w:type="spellEnd"/>
      <w:r>
        <w:rPr>
          <w:rFonts w:cs="Times New Roman"/>
          <w:color w:val="000000" w:themeColor="text1"/>
          <w:szCs w:val="24"/>
        </w:rPr>
        <w:t xml:space="preserve">, or necrotic </w:t>
      </w:r>
      <w:proofErr w:type="spellStart"/>
      <w:proofErr w:type="gramStart"/>
      <w:r>
        <w:rPr>
          <w:rFonts w:cs="Times New Roman"/>
          <w:color w:val="000000" w:themeColor="text1"/>
          <w:szCs w:val="24"/>
        </w:rPr>
        <w:t>foci,These</w:t>
      </w:r>
      <w:proofErr w:type="spellEnd"/>
      <w:proofErr w:type="gramEnd"/>
      <w:r>
        <w:rPr>
          <w:rFonts w:cs="Times New Roman"/>
          <w:color w:val="000000" w:themeColor="text1"/>
          <w:szCs w:val="24"/>
        </w:rPr>
        <w:t xml:space="preserve"> bacterial diseases are extremely hazardous to livestock, not only because of their immediate impact on bird health, but also because of their ability to spread extremely fast among flocks, which cause widespread outbreaks of the disease. Therefore, knowledge about the nature of</w:t>
      </w:r>
    </w:p>
    <w:p w14:paraId="45E19DCE" w14:textId="77777777" w:rsidR="009E37DF" w:rsidRDefault="00F33276">
      <w:pPr>
        <w:autoSpaceDE w:val="0"/>
        <w:autoSpaceDN w:val="0"/>
        <w:adjustRightInd w:val="0"/>
        <w:spacing w:after="0" w:line="240" w:lineRule="auto"/>
        <w:rPr>
          <w:rFonts w:cs="Times New Roman"/>
          <w:color w:val="000000" w:themeColor="text1"/>
          <w:szCs w:val="24"/>
        </w:rPr>
      </w:pPr>
      <w:r>
        <w:rPr>
          <w:rFonts w:cs="Times New Roman"/>
          <w:color w:val="000000" w:themeColor="text1"/>
          <w:szCs w:val="24"/>
        </w:rPr>
        <w:t>such diseases, symptoms, and prevention and treatment processes is very crucial to maintain the flocks' health and productivity (4).</w:t>
      </w:r>
    </w:p>
    <w:p w14:paraId="7B6FCFC2" w14:textId="77777777" w:rsidR="009E37DF" w:rsidRDefault="009E37DF">
      <w:pPr>
        <w:autoSpaceDE w:val="0"/>
        <w:autoSpaceDN w:val="0"/>
        <w:adjustRightInd w:val="0"/>
        <w:spacing w:after="0" w:line="240" w:lineRule="auto"/>
        <w:rPr>
          <w:rFonts w:cs="Times New Roman"/>
          <w:color w:val="000000" w:themeColor="text1"/>
          <w:szCs w:val="24"/>
        </w:rPr>
      </w:pPr>
    </w:p>
    <w:p w14:paraId="0B824336" w14:textId="77777777" w:rsidR="009E37DF" w:rsidRDefault="00F33276">
      <w:pPr>
        <w:autoSpaceDE w:val="0"/>
        <w:autoSpaceDN w:val="0"/>
        <w:adjustRightInd w:val="0"/>
        <w:spacing w:after="0" w:line="240" w:lineRule="auto"/>
        <w:ind w:firstLine="720"/>
        <w:rPr>
          <w:rFonts w:cs="Times New Roman"/>
          <w:color w:val="000000" w:themeColor="text1"/>
          <w:szCs w:val="24"/>
        </w:rPr>
      </w:pPr>
      <w:r>
        <w:rPr>
          <w:rFonts w:cs="Times New Roman"/>
          <w:color w:val="000000" w:themeColor="text1"/>
          <w:szCs w:val="24"/>
        </w:rPr>
        <w:t xml:space="preserve">We will elaborate in this study the most prominent bacterial poultry liver diseases, in reference to the causative bacteria types, clinical signs, its </w:t>
      </w:r>
      <w:proofErr w:type="spellStart"/>
      <w:r>
        <w:rPr>
          <w:rFonts w:cs="Times New Roman"/>
          <w:color w:val="000000" w:themeColor="text1"/>
          <w:szCs w:val="24"/>
        </w:rPr>
        <w:t>Affect</w:t>
      </w:r>
      <w:proofErr w:type="spellEnd"/>
      <w:r>
        <w:rPr>
          <w:rFonts w:cs="Times New Roman"/>
          <w:color w:val="000000" w:themeColor="text1"/>
          <w:szCs w:val="24"/>
        </w:rPr>
        <w:t xml:space="preserve"> on livestock, and current prevention and treatment methods.</w:t>
      </w:r>
    </w:p>
    <w:p w14:paraId="1F591A4D" w14:textId="77777777" w:rsidR="009E37DF" w:rsidRDefault="009E37DF">
      <w:pPr>
        <w:rPr>
          <w:rFonts w:cs="Times New Roman"/>
          <w:color w:val="000000" w:themeColor="text1"/>
          <w:szCs w:val="24"/>
          <w:rtl/>
        </w:rPr>
      </w:pPr>
    </w:p>
    <w:p w14:paraId="3852D1D7" w14:textId="77777777" w:rsidR="009E37DF" w:rsidRDefault="00F33276">
      <w:pPr>
        <w:rPr>
          <w:rFonts w:cs="Times New Roman"/>
          <w:b/>
          <w:bCs/>
          <w:color w:val="000000" w:themeColor="text1"/>
          <w:szCs w:val="24"/>
        </w:rPr>
      </w:pPr>
      <w:r>
        <w:rPr>
          <w:rFonts w:cs="Times New Roman"/>
          <w:b/>
          <w:bCs/>
          <w:color w:val="000000" w:themeColor="text1"/>
          <w:szCs w:val="24"/>
        </w:rPr>
        <w:t xml:space="preserve">Materials and Methods </w:t>
      </w:r>
    </w:p>
    <w:p w14:paraId="5C490516" w14:textId="77777777" w:rsidR="009E37DF" w:rsidRDefault="00F33276">
      <w:pPr>
        <w:spacing w:after="0" w:line="360" w:lineRule="auto"/>
        <w:ind w:left="426"/>
        <w:jc w:val="both"/>
        <w:rPr>
          <w:rFonts w:cs="Times New Roman"/>
          <w:b/>
          <w:bCs/>
          <w:color w:val="000000" w:themeColor="text1"/>
          <w:szCs w:val="24"/>
        </w:rPr>
      </w:pPr>
      <w:r>
        <w:rPr>
          <w:rFonts w:cs="Times New Roman"/>
          <w:b/>
          <w:bCs/>
          <w:color w:val="000000" w:themeColor="text1"/>
          <w:szCs w:val="24"/>
        </w:rPr>
        <w:lastRenderedPageBreak/>
        <w:t>Ethical Approval</w:t>
      </w:r>
    </w:p>
    <w:p w14:paraId="785510FA" w14:textId="77777777" w:rsidR="009E37DF" w:rsidRDefault="00F33276">
      <w:pPr>
        <w:spacing w:after="0" w:line="360" w:lineRule="auto"/>
        <w:ind w:left="426" w:firstLine="720"/>
        <w:jc w:val="both"/>
        <w:rPr>
          <w:rFonts w:asciiTheme="majorBidi" w:hAnsiTheme="majorBidi" w:cstheme="majorBidi"/>
          <w:b/>
          <w:bCs/>
          <w:color w:val="000000" w:themeColor="text1"/>
          <w:szCs w:val="24"/>
        </w:rPr>
      </w:pPr>
      <w:r>
        <w:rPr>
          <w:rStyle w:val="A2"/>
          <w:rFonts w:cs="Times New Roman"/>
          <w:color w:val="000000" w:themeColor="text1"/>
          <w:sz w:val="24"/>
          <w:szCs w:val="24"/>
        </w:rPr>
        <w:t>This study was conducted in conformity with the rules of the Animal Ethics Committee of the Faculty of Veterinary Medicine at the University of Kufa</w:t>
      </w:r>
      <w:r>
        <w:rPr>
          <w:rStyle w:val="A2"/>
          <w:rFonts w:cs="Times New Roman"/>
          <w:color w:val="000000" w:themeColor="text1"/>
        </w:rPr>
        <w:t xml:space="preserve"> </w:t>
      </w:r>
      <w:r>
        <w:rPr>
          <w:rFonts w:cs="Times New Roman"/>
          <w:color w:val="000000" w:themeColor="text1"/>
          <w:szCs w:val="24"/>
        </w:rPr>
        <w:t>(license number: 27885 in 13/12/2024)</w:t>
      </w:r>
      <w:r>
        <w:rPr>
          <w:rStyle w:val="A2"/>
          <w:rFonts w:cs="Times New Roman"/>
          <w:color w:val="000000" w:themeColor="text1"/>
          <w:sz w:val="24"/>
          <w:szCs w:val="24"/>
        </w:rPr>
        <w:t>.</w:t>
      </w:r>
    </w:p>
    <w:p w14:paraId="72794DEA" w14:textId="77777777" w:rsidR="009E37DF" w:rsidRDefault="009E37DF">
      <w:pPr>
        <w:rPr>
          <w:rFonts w:cs="Times New Roman"/>
          <w:b/>
          <w:bCs/>
          <w:color w:val="000000" w:themeColor="text1"/>
          <w:szCs w:val="24"/>
        </w:rPr>
      </w:pPr>
    </w:p>
    <w:p w14:paraId="32AEF708" w14:textId="77777777" w:rsidR="009E37DF" w:rsidRDefault="00F33276">
      <w:pPr>
        <w:rPr>
          <w:rFonts w:cs="Times New Roman"/>
          <w:b/>
          <w:bCs/>
          <w:color w:val="000000" w:themeColor="text1"/>
          <w:szCs w:val="24"/>
        </w:rPr>
      </w:pPr>
      <w:r>
        <w:rPr>
          <w:rFonts w:cs="Times New Roman"/>
          <w:b/>
          <w:bCs/>
          <w:color w:val="000000" w:themeColor="text1"/>
          <w:szCs w:val="24"/>
        </w:rPr>
        <w:t>3.1 Sample Collection</w:t>
      </w:r>
    </w:p>
    <w:p w14:paraId="7D47AC78" w14:textId="77777777" w:rsidR="009E37DF" w:rsidRDefault="00F33276">
      <w:pPr>
        <w:ind w:firstLine="720"/>
        <w:rPr>
          <w:rFonts w:cs="Times New Roman"/>
          <w:color w:val="000000" w:themeColor="text1"/>
          <w:szCs w:val="24"/>
        </w:rPr>
      </w:pPr>
      <w:r>
        <w:rPr>
          <w:rFonts w:cs="Times New Roman"/>
          <w:color w:val="000000" w:themeColor="text1"/>
          <w:szCs w:val="24"/>
        </w:rPr>
        <w:t xml:space="preserve">Sample collection from poultry liver during postmortem examination involves a systematic and aseptic approach to achieve proper diagnostic findings. Following euthanizing the bird, the carcass is positioned in a supine position, and a midline incision is performed to open the abdominal cavity. The liver is identified cautiously and inspected for any visible lesions, discoloration, or abnormalities. Using sterile instruments, a small section of the liver tissue, both involved and uninvolved if present, is taken and collected in </w:t>
      </w:r>
      <w:proofErr w:type="gramStart"/>
      <w:r>
        <w:rPr>
          <w:rFonts w:cs="Times New Roman"/>
          <w:color w:val="000000" w:themeColor="text1"/>
          <w:szCs w:val="24"/>
        </w:rPr>
        <w:t>an</w:t>
      </w:r>
      <w:proofErr w:type="gramEnd"/>
      <w:r>
        <w:rPr>
          <w:rFonts w:cs="Times New Roman"/>
          <w:color w:val="000000" w:themeColor="text1"/>
          <w:szCs w:val="24"/>
        </w:rPr>
        <w:t xml:space="preserve"> labeled, sterile container with a suitable preservative (e.g., 10% formalin for histopathology or sterile transport medium for microbiological examination). Proper labeling, including the bird’s identification, date, and sample type, is essential. The sample is then taken immediately to the laboratory under the right conditions to retain its integrity for additional analysis.</w:t>
      </w:r>
    </w:p>
    <w:p w14:paraId="41B06B22" w14:textId="77777777" w:rsidR="009E37DF" w:rsidRDefault="00F33276">
      <w:pPr>
        <w:rPr>
          <w:rFonts w:cs="Times New Roman"/>
          <w:b/>
          <w:bCs/>
          <w:color w:val="000000" w:themeColor="text1"/>
          <w:szCs w:val="24"/>
        </w:rPr>
      </w:pPr>
      <w:r>
        <w:rPr>
          <w:rFonts w:cs="Times New Roman"/>
          <w:b/>
          <w:bCs/>
          <w:color w:val="000000" w:themeColor="text1"/>
          <w:szCs w:val="24"/>
        </w:rPr>
        <w:t>3.2 Bacterial Isolation</w:t>
      </w:r>
    </w:p>
    <w:p w14:paraId="280AD4CA" w14:textId="77777777" w:rsidR="009E37DF" w:rsidRDefault="00F33276">
      <w:pPr>
        <w:autoSpaceDE w:val="0"/>
        <w:autoSpaceDN w:val="0"/>
        <w:adjustRightInd w:val="0"/>
        <w:spacing w:after="0" w:line="240" w:lineRule="auto"/>
        <w:ind w:firstLine="720"/>
        <w:rPr>
          <w:rFonts w:cs="Times New Roman"/>
          <w:color w:val="000000" w:themeColor="text1"/>
          <w:szCs w:val="24"/>
        </w:rPr>
      </w:pPr>
      <w:r>
        <w:rPr>
          <w:rFonts w:cs="Times New Roman"/>
          <w:color w:val="000000" w:themeColor="text1"/>
          <w:szCs w:val="24"/>
        </w:rPr>
        <w:t>Homogenization of liver tissue in peptone water in a 1:10 ratio is a standard procedure</w:t>
      </w:r>
      <w:r>
        <w:rPr>
          <w:rFonts w:cs="Times New Roman"/>
          <w:color w:val="000000" w:themeColor="text1"/>
          <w:szCs w:val="24"/>
        </w:rPr>
        <w:br/>
        <w:t>utilized in microbiology and biochemistry to ready tissue samples for additional analysis</w:t>
      </w:r>
      <w:r>
        <w:rPr>
          <w:rFonts w:cs="Times New Roman"/>
          <w:color w:val="000000" w:themeColor="text1"/>
          <w:szCs w:val="24"/>
        </w:rPr>
        <w:br/>
        <w:t>(5).</w:t>
      </w:r>
    </w:p>
    <w:p w14:paraId="42921044" w14:textId="77777777" w:rsidR="009E37DF" w:rsidRDefault="00F33276">
      <w:pPr>
        <w:autoSpaceDE w:val="0"/>
        <w:autoSpaceDN w:val="0"/>
        <w:adjustRightInd w:val="0"/>
        <w:spacing w:after="0" w:line="240" w:lineRule="auto"/>
        <w:rPr>
          <w:color w:val="000000" w:themeColor="text1"/>
        </w:rPr>
      </w:pPr>
      <w:r>
        <w:rPr>
          <w:rFonts w:cs="Times New Roman"/>
          <w:color w:val="000000" w:themeColor="text1"/>
          <w:szCs w:val="24"/>
        </w:rPr>
        <w:br/>
        <w:t>Materials Needed:</w:t>
      </w:r>
      <w:r>
        <w:rPr>
          <w:rFonts w:cs="Times New Roman"/>
          <w:color w:val="000000" w:themeColor="text1"/>
          <w:szCs w:val="24"/>
        </w:rPr>
        <w:br/>
        <w:t>• Liver tissue sample</w:t>
      </w:r>
      <w:r>
        <w:rPr>
          <w:rFonts w:cs="Times New Roman"/>
          <w:color w:val="000000" w:themeColor="text1"/>
          <w:szCs w:val="24"/>
        </w:rPr>
        <w:br/>
        <w:t>• Peptone water (0.1% peptone in water)</w:t>
      </w:r>
      <w:r>
        <w:rPr>
          <w:rFonts w:cs="Times New Roman"/>
          <w:color w:val="000000" w:themeColor="text1"/>
          <w:szCs w:val="24"/>
        </w:rPr>
        <w:br/>
        <w:t xml:space="preserve">• </w:t>
      </w:r>
      <w:r>
        <w:rPr>
          <w:color w:val="000000" w:themeColor="text1"/>
        </w:rPr>
        <w:t>Mechanical homogenizer, blender, or mortar and pestle</w:t>
      </w:r>
    </w:p>
    <w:p w14:paraId="7886D418" w14:textId="77777777" w:rsidR="009E37DF" w:rsidRDefault="00F33276">
      <w:pPr>
        <w:autoSpaceDE w:val="0"/>
        <w:autoSpaceDN w:val="0"/>
        <w:adjustRightInd w:val="0"/>
        <w:spacing w:after="0" w:line="240" w:lineRule="auto"/>
        <w:rPr>
          <w:color w:val="000000" w:themeColor="text1"/>
        </w:rPr>
      </w:pPr>
      <w:r>
        <w:rPr>
          <w:rFonts w:cs="Times New Roman"/>
          <w:color w:val="000000" w:themeColor="text1"/>
          <w:szCs w:val="24"/>
        </w:rPr>
        <w:t xml:space="preserve">• Sterile test tubes </w:t>
      </w:r>
      <w:r>
        <w:rPr>
          <w:rFonts w:cs="Times New Roman"/>
          <w:color w:val="000000" w:themeColor="text1"/>
          <w:szCs w:val="24"/>
        </w:rPr>
        <w:br/>
        <w:t>• Pipettes</w:t>
      </w:r>
      <w:r>
        <w:rPr>
          <w:rFonts w:cs="Times New Roman"/>
          <w:color w:val="000000" w:themeColor="text1"/>
          <w:szCs w:val="24"/>
        </w:rPr>
        <w:br/>
        <w:t>• Weighing scale</w:t>
      </w:r>
      <w:r>
        <w:rPr>
          <w:rFonts w:cs="Times New Roman"/>
          <w:color w:val="000000" w:themeColor="text1"/>
          <w:szCs w:val="24"/>
        </w:rPr>
        <w:br/>
        <w:t>•</w:t>
      </w:r>
      <w:r>
        <w:rPr>
          <w:rFonts w:ascii="Arial" w:eastAsia="Times New Roman" w:hAnsi="Arial" w:cs="Arial"/>
          <w:color w:val="000000" w:themeColor="text1"/>
          <w:szCs w:val="24"/>
        </w:rPr>
        <w:t xml:space="preserve"> su</w:t>
      </w:r>
      <w:r>
        <w:rPr>
          <w:color w:val="000000" w:themeColor="text1"/>
        </w:rPr>
        <w:t>rgical scalpels or sterile scissors</w:t>
      </w:r>
    </w:p>
    <w:p w14:paraId="6783A34A" w14:textId="77777777" w:rsidR="009E37DF" w:rsidRDefault="00F33276">
      <w:pPr>
        <w:autoSpaceDE w:val="0"/>
        <w:autoSpaceDN w:val="0"/>
        <w:adjustRightInd w:val="0"/>
        <w:spacing w:after="0" w:line="240" w:lineRule="auto"/>
        <w:rPr>
          <w:rFonts w:cs="Times New Roman"/>
          <w:color w:val="000000" w:themeColor="text1"/>
          <w:szCs w:val="24"/>
        </w:rPr>
      </w:pPr>
      <w:r>
        <w:rPr>
          <w:rFonts w:cs="Times New Roman"/>
          <w:color w:val="000000" w:themeColor="text1"/>
          <w:szCs w:val="24"/>
        </w:rPr>
        <w:t>• Other types of personal protective equipment (PPE) and mask or gloves</w:t>
      </w:r>
    </w:p>
    <w:p w14:paraId="401C306A" w14:textId="77777777" w:rsidR="009E37DF" w:rsidRDefault="00F33276">
      <w:pPr>
        <w:autoSpaceDE w:val="0"/>
        <w:autoSpaceDN w:val="0"/>
        <w:adjustRightInd w:val="0"/>
        <w:spacing w:after="0" w:line="240" w:lineRule="auto"/>
        <w:rPr>
          <w:color w:val="000000" w:themeColor="text1"/>
        </w:rPr>
      </w:pPr>
      <w:r>
        <w:rPr>
          <w:rFonts w:cs="Times New Roman"/>
          <w:color w:val="000000" w:themeColor="text1"/>
          <w:szCs w:val="24"/>
        </w:rPr>
        <w:br/>
      </w:r>
      <w:r>
        <w:rPr>
          <w:rFonts w:cs="Times New Roman"/>
          <w:b/>
          <w:bCs/>
          <w:color w:val="000000" w:themeColor="text1"/>
          <w:szCs w:val="24"/>
        </w:rPr>
        <w:t>Procedure:</w:t>
      </w:r>
      <w:r>
        <w:rPr>
          <w:rFonts w:cs="Times New Roman"/>
          <w:color w:val="000000" w:themeColor="text1"/>
          <w:szCs w:val="24"/>
        </w:rPr>
        <w:br/>
      </w:r>
      <w:r>
        <w:rPr>
          <w:rFonts w:cs="Times New Roman"/>
          <w:color w:val="000000" w:themeColor="text1"/>
          <w:szCs w:val="24"/>
        </w:rPr>
        <w:tab/>
        <w:t xml:space="preserve">Preparation: Sterilize all containers and equipment to prevent contamination. </w:t>
      </w:r>
      <w:r>
        <w:rPr>
          <w:color w:val="000000" w:themeColor="text1"/>
        </w:rPr>
        <w:t>Put on the appropriate PPE which includes gloves and a laboratory coat.</w:t>
      </w:r>
    </w:p>
    <w:p w14:paraId="147A26E1" w14:textId="77777777" w:rsidR="009E37DF" w:rsidRDefault="00F33276">
      <w:pPr>
        <w:autoSpaceDE w:val="0"/>
        <w:autoSpaceDN w:val="0"/>
        <w:adjustRightInd w:val="0"/>
        <w:spacing w:after="0" w:line="240" w:lineRule="auto"/>
        <w:rPr>
          <w:rFonts w:cs="Times New Roman"/>
          <w:color w:val="000000" w:themeColor="text1"/>
          <w:szCs w:val="24"/>
        </w:rPr>
      </w:pPr>
      <w:r>
        <w:rPr>
          <w:rFonts w:cs="Times New Roman"/>
          <w:color w:val="000000" w:themeColor="text1"/>
          <w:szCs w:val="24"/>
        </w:rPr>
        <w:t>Weigh the Tissue: Use a weighing balance to measure the liver tissue sample accurately.</w:t>
      </w:r>
    </w:p>
    <w:p w14:paraId="2D324D72" w14:textId="77777777" w:rsidR="009E37DF" w:rsidRDefault="00F33276">
      <w:pPr>
        <w:autoSpaceDE w:val="0"/>
        <w:autoSpaceDN w:val="0"/>
        <w:adjustRightInd w:val="0"/>
        <w:spacing w:after="0" w:line="240" w:lineRule="auto"/>
        <w:rPr>
          <w:rFonts w:cs="Times New Roman"/>
          <w:color w:val="000000" w:themeColor="text1"/>
          <w:szCs w:val="24"/>
        </w:rPr>
      </w:pPr>
      <w:r>
        <w:rPr>
          <w:rFonts w:cs="Times New Roman"/>
          <w:color w:val="000000" w:themeColor="text1"/>
          <w:szCs w:val="24"/>
        </w:rPr>
        <w:t>Determine the amount of peptone water required to achieve a 1:10 ratio (for example, 1 gram of liver tissue to 10 mL peptone water) (6).</w:t>
      </w:r>
    </w:p>
    <w:p w14:paraId="7DD1E1BB" w14:textId="77777777" w:rsidR="009E37DF" w:rsidRDefault="00F33276">
      <w:pPr>
        <w:autoSpaceDE w:val="0"/>
        <w:autoSpaceDN w:val="0"/>
        <w:adjustRightInd w:val="0"/>
        <w:spacing w:after="0" w:line="240" w:lineRule="auto"/>
        <w:rPr>
          <w:rFonts w:cs="Times New Roman"/>
          <w:color w:val="000000" w:themeColor="text1"/>
          <w:szCs w:val="24"/>
        </w:rPr>
      </w:pPr>
      <w:r>
        <w:rPr>
          <w:rFonts w:cs="Times New Roman"/>
          <w:color w:val="000000" w:themeColor="text1"/>
          <w:szCs w:val="24"/>
        </w:rPr>
        <w:lastRenderedPageBreak/>
        <w:t xml:space="preserve">Tissue </w:t>
      </w:r>
      <w:proofErr w:type="gramStart"/>
      <w:r>
        <w:rPr>
          <w:rFonts w:cs="Times New Roman"/>
          <w:color w:val="000000" w:themeColor="text1"/>
          <w:szCs w:val="24"/>
        </w:rPr>
        <w:t>Cutting  :</w:t>
      </w:r>
      <w:proofErr w:type="gramEnd"/>
      <w:r>
        <w:rPr>
          <w:rFonts w:cs="Times New Roman"/>
          <w:color w:val="000000" w:themeColor="text1"/>
          <w:szCs w:val="24"/>
        </w:rPr>
        <w:t xml:space="preserve"> Use a sterile scalpel  to cut the liver tissue into small pieces as necessary for homogenization (7).Homogenization: Place the chopped liver tissue in the homogenizer and add the  measured amount of peptone water. Homogenize the mixture thoroughly to get a uniform suspension.</w:t>
      </w:r>
    </w:p>
    <w:p w14:paraId="77CDC289" w14:textId="77777777" w:rsidR="009E37DF" w:rsidRDefault="00F33276">
      <w:pPr>
        <w:autoSpaceDE w:val="0"/>
        <w:autoSpaceDN w:val="0"/>
        <w:adjustRightInd w:val="0"/>
        <w:spacing w:after="0" w:line="240" w:lineRule="auto"/>
        <w:rPr>
          <w:rFonts w:cs="Times New Roman"/>
          <w:color w:val="000000" w:themeColor="text1"/>
          <w:szCs w:val="24"/>
        </w:rPr>
      </w:pPr>
      <w:r>
        <w:rPr>
          <w:rFonts w:cs="Times New Roman"/>
          <w:color w:val="000000" w:themeColor="text1"/>
          <w:szCs w:val="24"/>
        </w:rPr>
        <w:br/>
      </w:r>
      <w:r>
        <w:rPr>
          <w:rFonts w:cs="Times New Roman"/>
          <w:b/>
          <w:bCs/>
          <w:color w:val="000000" w:themeColor="text1"/>
          <w:szCs w:val="24"/>
        </w:rPr>
        <w:t>3.3 Culture</w:t>
      </w:r>
      <w:r>
        <w:rPr>
          <w:rFonts w:cs="Times New Roman"/>
          <w:color w:val="000000" w:themeColor="text1"/>
          <w:szCs w:val="24"/>
        </w:rPr>
        <w:br/>
      </w:r>
      <w:r>
        <w:rPr>
          <w:rFonts w:cs="Times New Roman"/>
          <w:color w:val="000000" w:themeColor="text1"/>
          <w:szCs w:val="24"/>
        </w:rPr>
        <w:tab/>
        <w:t>Streaking liver tissue homogenate onto selective and differential agar media such as</w:t>
      </w:r>
      <w:r>
        <w:rPr>
          <w:rFonts w:cs="Times New Roman"/>
          <w:color w:val="000000" w:themeColor="text1"/>
          <w:szCs w:val="24"/>
        </w:rPr>
        <w:br/>
        <w:t>MacConkey agar, Mannitol Salt Agar (MSA), and Eosin Methylene Blue (EMB) agar is a</w:t>
      </w:r>
      <w:r>
        <w:rPr>
          <w:rFonts w:cs="Times New Roman"/>
          <w:color w:val="000000" w:themeColor="text1"/>
          <w:szCs w:val="24"/>
        </w:rPr>
        <w:br/>
        <w:t>standard microbiological method to separate and identify particular kinds of bacteria</w:t>
      </w:r>
      <w:r>
        <w:rPr>
          <w:rFonts w:cs="Times New Roman"/>
          <w:color w:val="000000" w:themeColor="text1"/>
          <w:szCs w:val="24"/>
        </w:rPr>
        <w:br/>
        <w:t>(8).</w:t>
      </w:r>
      <w:r>
        <w:rPr>
          <w:rFonts w:cs="Times New Roman"/>
          <w:color w:val="000000" w:themeColor="text1"/>
          <w:szCs w:val="24"/>
        </w:rPr>
        <w:br/>
        <w:t>Materials Needed:</w:t>
      </w:r>
      <w:r>
        <w:rPr>
          <w:rFonts w:cs="Times New Roman"/>
          <w:color w:val="000000" w:themeColor="text1"/>
          <w:szCs w:val="24"/>
        </w:rPr>
        <w:br/>
        <w:t>• Liver tissue homogenate</w:t>
      </w:r>
      <w:r>
        <w:rPr>
          <w:rFonts w:cs="Times New Roman"/>
          <w:color w:val="000000" w:themeColor="text1"/>
          <w:szCs w:val="24"/>
        </w:rPr>
        <w:br/>
        <w:t>• MacConkey agar plates</w:t>
      </w:r>
      <w:r>
        <w:rPr>
          <w:rFonts w:cs="Times New Roman"/>
          <w:color w:val="000000" w:themeColor="text1"/>
          <w:szCs w:val="24"/>
        </w:rPr>
        <w:br/>
        <w:t>• Mannitol Salt Agar (MSA) plates</w:t>
      </w:r>
      <w:r>
        <w:rPr>
          <w:rFonts w:cs="Times New Roman"/>
          <w:color w:val="000000" w:themeColor="text1"/>
          <w:szCs w:val="24"/>
        </w:rPr>
        <w:br/>
        <w:t>• Eosin Methylene Blue (EMB) agar plates</w:t>
      </w:r>
      <w:r>
        <w:rPr>
          <w:rFonts w:cs="Times New Roman"/>
          <w:color w:val="000000" w:themeColor="text1"/>
          <w:szCs w:val="24"/>
        </w:rPr>
        <w:br/>
        <w:t>• Sterile streaking tool or inoculating loop</w:t>
      </w:r>
      <w:r>
        <w:rPr>
          <w:rFonts w:cs="Times New Roman"/>
          <w:color w:val="000000" w:themeColor="text1"/>
          <w:szCs w:val="24"/>
        </w:rPr>
        <w:br/>
        <w:t>• Alcohol lamp or Bunsen burner</w:t>
      </w:r>
      <w:r>
        <w:rPr>
          <w:rFonts w:cs="Times New Roman"/>
          <w:color w:val="000000" w:themeColor="text1"/>
          <w:szCs w:val="24"/>
        </w:rPr>
        <w:br/>
        <w:t>• Incubator (35–37°C)</w:t>
      </w:r>
      <w:r>
        <w:rPr>
          <w:rFonts w:cs="Times New Roman"/>
          <w:color w:val="000000" w:themeColor="text1"/>
          <w:szCs w:val="24"/>
        </w:rPr>
        <w:br/>
        <w:t>• Marker for labeling plates</w:t>
      </w:r>
      <w:r>
        <w:rPr>
          <w:rFonts w:cs="Times New Roman"/>
          <w:color w:val="000000" w:themeColor="text1"/>
          <w:szCs w:val="24"/>
        </w:rPr>
        <w:br/>
        <w:t>• Personal protective equipment (PPE)</w:t>
      </w:r>
    </w:p>
    <w:p w14:paraId="2BACE87F" w14:textId="77777777" w:rsidR="009E37DF" w:rsidRDefault="009E37DF">
      <w:pPr>
        <w:autoSpaceDE w:val="0"/>
        <w:autoSpaceDN w:val="0"/>
        <w:adjustRightInd w:val="0"/>
        <w:spacing w:after="0" w:line="240" w:lineRule="auto"/>
        <w:rPr>
          <w:rFonts w:cs="Times New Roman"/>
          <w:color w:val="000000" w:themeColor="text1"/>
          <w:szCs w:val="24"/>
        </w:rPr>
      </w:pPr>
    </w:p>
    <w:p w14:paraId="23602B2D" w14:textId="77777777" w:rsidR="009E37DF" w:rsidRDefault="00F33276">
      <w:pPr>
        <w:autoSpaceDE w:val="0"/>
        <w:autoSpaceDN w:val="0"/>
        <w:adjustRightInd w:val="0"/>
        <w:spacing w:after="0" w:line="240" w:lineRule="auto"/>
        <w:rPr>
          <w:rFonts w:cs="Times New Roman"/>
          <w:b/>
          <w:bCs/>
          <w:color w:val="000000" w:themeColor="text1"/>
          <w:szCs w:val="24"/>
        </w:rPr>
      </w:pPr>
      <w:r>
        <w:rPr>
          <w:rFonts w:cs="Times New Roman"/>
          <w:b/>
          <w:bCs/>
          <w:color w:val="000000" w:themeColor="text1"/>
          <w:szCs w:val="24"/>
        </w:rPr>
        <w:t>Procedure:</w:t>
      </w:r>
    </w:p>
    <w:p w14:paraId="3B652B6C" w14:textId="77777777" w:rsidR="009E37DF" w:rsidRDefault="00F33276">
      <w:pPr>
        <w:autoSpaceDE w:val="0"/>
        <w:autoSpaceDN w:val="0"/>
        <w:adjustRightInd w:val="0"/>
        <w:spacing w:after="0" w:line="240" w:lineRule="auto"/>
        <w:rPr>
          <w:rFonts w:cs="Times New Roman"/>
          <w:color w:val="000000" w:themeColor="text1"/>
          <w:szCs w:val="24"/>
        </w:rPr>
      </w:pPr>
      <w:r>
        <w:rPr>
          <w:rFonts w:cs="Times New Roman"/>
          <w:color w:val="000000" w:themeColor="text1"/>
          <w:szCs w:val="24"/>
        </w:rPr>
        <w:t>Preparation: Mark the agar plates with the name of the sample, date, and agar type. Sterilize</w:t>
      </w:r>
    </w:p>
    <w:p w14:paraId="333FB26A" w14:textId="77777777" w:rsidR="009E37DF" w:rsidRDefault="00F33276">
      <w:pPr>
        <w:autoSpaceDE w:val="0"/>
        <w:autoSpaceDN w:val="0"/>
        <w:adjustRightInd w:val="0"/>
        <w:spacing w:after="0" w:line="240" w:lineRule="auto"/>
        <w:rPr>
          <w:rFonts w:cs="Times New Roman"/>
          <w:color w:val="000000" w:themeColor="text1"/>
          <w:szCs w:val="24"/>
        </w:rPr>
      </w:pPr>
      <w:r>
        <w:rPr>
          <w:rFonts w:cs="Times New Roman"/>
          <w:color w:val="000000" w:themeColor="text1"/>
          <w:szCs w:val="24"/>
        </w:rPr>
        <w:t>the inoculating loop with flame and let it cool (9).</w:t>
      </w:r>
    </w:p>
    <w:p w14:paraId="2DAC60BB" w14:textId="77777777" w:rsidR="009E37DF" w:rsidRDefault="00F33276">
      <w:pPr>
        <w:rPr>
          <w:rFonts w:cs="Times New Roman"/>
          <w:color w:val="000000" w:themeColor="text1"/>
          <w:szCs w:val="24"/>
        </w:rPr>
      </w:pPr>
      <w:r>
        <w:rPr>
          <w:rFonts w:cs="Times New Roman"/>
          <w:color w:val="000000" w:themeColor="text1"/>
          <w:szCs w:val="24"/>
        </w:rPr>
        <w:t>Streaking: Streak the homogenate in a zigzag pattern using a sterile loop.  Apply the quadrant streaking method and repeat for each type of agar plate (10).</w:t>
      </w:r>
      <w:r>
        <w:rPr>
          <w:rFonts w:cs="Times New Roman"/>
          <w:color w:val="000000" w:themeColor="text1"/>
          <w:szCs w:val="24"/>
        </w:rPr>
        <w:br/>
        <w:t>Incubation: Invert the plates and incubate at 35–37°C for 18–24 hours (11).</w:t>
      </w:r>
      <w:r>
        <w:rPr>
          <w:rFonts w:cs="Times New Roman"/>
          <w:color w:val="000000" w:themeColor="text1"/>
          <w:szCs w:val="24"/>
        </w:rPr>
        <w:br/>
        <w:t>Observation: Inspect plates for colony morphology and agar color changes.</w:t>
      </w:r>
      <w:r>
        <w:rPr>
          <w:rFonts w:cs="Times New Roman"/>
          <w:color w:val="000000" w:themeColor="text1"/>
          <w:szCs w:val="24"/>
        </w:rPr>
        <w:br/>
        <w:t>Interpretation: MacConkey Agar selects for Gram-negative bacteria and distinguishes lactose fermenters (12).</w:t>
      </w:r>
    </w:p>
    <w:p w14:paraId="49079FB4" w14:textId="77777777" w:rsidR="009E37DF" w:rsidRDefault="00F33276">
      <w:pPr>
        <w:keepNext/>
        <w:keepLines/>
        <w:spacing w:before="480" w:after="0"/>
        <w:outlineLvl w:val="0"/>
        <w:rPr>
          <w:rFonts w:eastAsiaTheme="majorEastAsia" w:cs="Times New Roman"/>
          <w:b/>
          <w:bCs/>
          <w:color w:val="000000" w:themeColor="text1"/>
          <w:szCs w:val="24"/>
        </w:rPr>
      </w:pPr>
      <w:r>
        <w:rPr>
          <w:rFonts w:eastAsiaTheme="majorEastAsia" w:cs="Times New Roman"/>
          <w:b/>
          <w:bCs/>
          <w:color w:val="000000" w:themeColor="text1"/>
          <w:szCs w:val="24"/>
        </w:rPr>
        <w:t>Results</w:t>
      </w:r>
    </w:p>
    <w:p w14:paraId="448697F4" w14:textId="77777777" w:rsidR="009E37DF" w:rsidRDefault="00F33276">
      <w:pPr>
        <w:ind w:firstLine="720"/>
        <w:rPr>
          <w:rFonts w:cs="Times New Roman"/>
          <w:color w:val="000000" w:themeColor="text1"/>
          <w:szCs w:val="24"/>
        </w:rPr>
      </w:pPr>
      <w:r>
        <w:rPr>
          <w:rFonts w:cs="Times New Roman"/>
          <w:color w:val="000000" w:themeColor="text1"/>
          <w:szCs w:val="24"/>
        </w:rPr>
        <w:t>The results obtained from various culture media and antimicrobial susceptibility testing using the VITEK® 2 Compact System are as follows:</w:t>
      </w:r>
    </w:p>
    <w:p w14:paraId="7A804421" w14:textId="77777777" w:rsidR="009E37DF" w:rsidRDefault="00F33276">
      <w:pPr>
        <w:keepNext/>
        <w:keepLines/>
        <w:spacing w:before="200" w:after="0"/>
        <w:outlineLvl w:val="1"/>
        <w:rPr>
          <w:rFonts w:eastAsiaTheme="majorEastAsia" w:cs="Times New Roman"/>
          <w:b/>
          <w:bCs/>
          <w:color w:val="000000" w:themeColor="text1"/>
          <w:szCs w:val="24"/>
        </w:rPr>
      </w:pPr>
      <w:r>
        <w:rPr>
          <w:rFonts w:eastAsiaTheme="majorEastAsia" w:cs="Times New Roman"/>
          <w:b/>
          <w:bCs/>
          <w:color w:val="000000" w:themeColor="text1"/>
          <w:szCs w:val="24"/>
        </w:rPr>
        <w:t>MacConkey Agar Results</w:t>
      </w:r>
    </w:p>
    <w:p w14:paraId="25C293AF" w14:textId="77777777" w:rsidR="009E37DF" w:rsidRDefault="00F33276">
      <w:pPr>
        <w:ind w:firstLine="720"/>
        <w:rPr>
          <w:rFonts w:cs="Times New Roman"/>
          <w:color w:val="000000" w:themeColor="text1"/>
          <w:szCs w:val="24"/>
        </w:rPr>
      </w:pPr>
      <w:r>
        <w:rPr>
          <w:rFonts w:cs="Times New Roman"/>
          <w:color w:val="000000" w:themeColor="text1"/>
          <w:szCs w:val="24"/>
        </w:rPr>
        <w:t>Lactose fermenters (e.g., E. coli, Klebsiella): Pink to red colonies with a surrounding pink halo (due to acid production). Non-lactose fermenters (e.g., Salmonella, Shigella, Pseudomonas): Colorless or transparent colonies. No growth: Indicates the absence of Gram-negative bacteria or inhibition by bile salts and crystal violet (13).</w:t>
      </w:r>
    </w:p>
    <w:p w14:paraId="34A8776B" w14:textId="77777777" w:rsidR="009E37DF" w:rsidRDefault="00F33276">
      <w:pPr>
        <w:keepNext/>
        <w:keepLines/>
        <w:spacing w:before="200" w:after="0"/>
        <w:outlineLvl w:val="1"/>
        <w:rPr>
          <w:rFonts w:eastAsiaTheme="majorEastAsia" w:cs="Times New Roman"/>
          <w:b/>
          <w:bCs/>
          <w:color w:val="000000" w:themeColor="text1"/>
          <w:szCs w:val="24"/>
        </w:rPr>
      </w:pPr>
      <w:r>
        <w:rPr>
          <w:rFonts w:eastAsiaTheme="majorEastAsia" w:cs="Times New Roman"/>
          <w:b/>
          <w:bCs/>
          <w:color w:val="000000" w:themeColor="text1"/>
          <w:szCs w:val="24"/>
        </w:rPr>
        <w:lastRenderedPageBreak/>
        <w:t>Mannitol Salt Agar (MSA) Results</w:t>
      </w:r>
    </w:p>
    <w:p w14:paraId="3DFA0B5A" w14:textId="77777777" w:rsidR="009E37DF" w:rsidRDefault="00F33276">
      <w:pPr>
        <w:ind w:firstLine="720"/>
        <w:rPr>
          <w:rFonts w:cs="Times New Roman"/>
          <w:color w:val="000000" w:themeColor="text1"/>
          <w:szCs w:val="24"/>
        </w:rPr>
      </w:pPr>
      <w:r>
        <w:rPr>
          <w:rFonts w:cs="Times New Roman"/>
          <w:color w:val="000000" w:themeColor="text1"/>
          <w:szCs w:val="24"/>
        </w:rPr>
        <w:t>Mannitol fermenters (e.g., Staphylococcus aureus): Yellow colonies with a yellow halo. Non-mannitol fermenters (e.g., Staphylococcus epidermidis): Pink or red colonies. No growth: Indicates absence of salt-tolerant bacteria (14).</w:t>
      </w:r>
    </w:p>
    <w:p w14:paraId="3C926079" w14:textId="77777777" w:rsidR="009E37DF" w:rsidRDefault="00F33276">
      <w:pPr>
        <w:keepNext/>
        <w:keepLines/>
        <w:spacing w:before="200" w:after="0"/>
        <w:outlineLvl w:val="1"/>
        <w:rPr>
          <w:rFonts w:eastAsiaTheme="majorEastAsia" w:cs="Times New Roman"/>
          <w:b/>
          <w:bCs/>
          <w:color w:val="000000" w:themeColor="text1"/>
          <w:szCs w:val="24"/>
        </w:rPr>
      </w:pPr>
      <w:r>
        <w:rPr>
          <w:rFonts w:eastAsiaTheme="majorEastAsia" w:cs="Times New Roman"/>
          <w:b/>
          <w:bCs/>
          <w:color w:val="000000" w:themeColor="text1"/>
          <w:szCs w:val="24"/>
        </w:rPr>
        <w:t>Eosin Methylene Blue (EMB) Agar Results</w:t>
      </w:r>
    </w:p>
    <w:p w14:paraId="568BE78F" w14:textId="77777777" w:rsidR="009E37DF" w:rsidRDefault="00F33276">
      <w:pPr>
        <w:ind w:firstLine="720"/>
        <w:rPr>
          <w:rFonts w:cs="Times New Roman"/>
          <w:color w:val="000000" w:themeColor="text1"/>
          <w:szCs w:val="24"/>
        </w:rPr>
      </w:pPr>
      <w:r>
        <w:rPr>
          <w:rFonts w:cs="Times New Roman"/>
          <w:color w:val="000000" w:themeColor="text1"/>
          <w:szCs w:val="24"/>
        </w:rPr>
        <w:t>Strong lactose fermenters (e.g., E. coli): Metallic green sheen. Weak lactose fermenters (e.g., Enterobacter, Klebsiella): Pink or purple colonies. Non-lactose fermenters: Colorless or transparent colonies (15).</w:t>
      </w:r>
    </w:p>
    <w:p w14:paraId="503F3E7A" w14:textId="77777777" w:rsidR="009E37DF" w:rsidRDefault="00F33276">
      <w:pPr>
        <w:rPr>
          <w:rFonts w:eastAsia="Calibri" w:cs="Times New Roman"/>
          <w:color w:val="000000"/>
          <w:szCs w:val="24"/>
        </w:rPr>
      </w:pPr>
      <w:bookmarkStart w:id="0" w:name="_Hlk202861435"/>
      <w:bookmarkStart w:id="1" w:name="_Hlk202861434"/>
      <w:proofErr w:type="gramStart"/>
      <w:r>
        <w:rPr>
          <w:rFonts w:eastAsia="Calibri" w:cs="Times New Roman"/>
          <w:b/>
          <w:bCs/>
          <w:color w:val="000000"/>
          <w:szCs w:val="24"/>
        </w:rPr>
        <w:t>Figure  (</w:t>
      </w:r>
      <w:proofErr w:type="gramEnd"/>
      <w:r>
        <w:rPr>
          <w:rFonts w:eastAsia="Calibri" w:cs="Times New Roman"/>
          <w:b/>
          <w:bCs/>
          <w:color w:val="000000"/>
          <w:szCs w:val="24"/>
        </w:rPr>
        <w:t>1) : E.coli on EMB agar</w:t>
      </w:r>
      <w:r>
        <w:rPr>
          <w:rFonts w:eastAsia="Calibri" w:cs="Times New Roman"/>
          <w:color w:val="000000"/>
          <w:szCs w:val="24"/>
        </w:rPr>
        <w:t xml:space="preserve">      </w:t>
      </w:r>
      <w:bookmarkEnd w:id="0"/>
      <w:bookmarkEnd w:id="1"/>
    </w:p>
    <w:p w14:paraId="254CACE2" w14:textId="77777777" w:rsidR="009E37DF" w:rsidRDefault="00F33276">
      <w:pPr>
        <w:rPr>
          <w:rFonts w:eastAsia="Calibri" w:cs="Times New Roman"/>
          <w:color w:val="000000"/>
          <w:szCs w:val="24"/>
        </w:rPr>
      </w:pPr>
      <w:r>
        <w:rPr>
          <w:rFonts w:eastAsia="Calibri" w:cs="Times New Roman"/>
          <w:noProof/>
          <w:color w:val="000000"/>
          <w:szCs w:val="24"/>
        </w:rPr>
        <w:drawing>
          <wp:anchor distT="0" distB="0" distL="114300" distR="114300" simplePos="0" relativeHeight="251659264" behindDoc="0" locked="0" layoutInCell="1" allowOverlap="1" wp14:anchorId="644E365F" wp14:editId="2788D28C">
            <wp:simplePos x="0" y="0"/>
            <wp:positionH relativeFrom="column">
              <wp:posOffset>703580</wp:posOffset>
            </wp:positionH>
            <wp:positionV relativeFrom="paragraph">
              <wp:posOffset>148590</wp:posOffset>
            </wp:positionV>
            <wp:extent cx="3257550" cy="1932305"/>
            <wp:effectExtent l="10795" t="0" r="27305" b="563245"/>
            <wp:wrapNone/>
            <wp:docPr id="4" name="Picture 4" descr="صورة تحتوي على داخلي, أخضر, شخص, طعام&#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صورة تحتوي على داخلي, أخضر, شخص, طعام&#10;&#10;قد يكون المحتوى الذي تم إنشاؤه بواسطة الذكاء الاصطناعي غير صحيح."/>
                    <pic:cNvPicPr>
                      <a:picLocks noChangeAspect="1"/>
                    </pic:cNvPicPr>
                  </pic:nvPicPr>
                  <pic:blipFill>
                    <a:blip r:embed="rId8" cstate="print">
                      <a:extLst>
                        <a:ext uri="{28A0092B-C50C-407E-A947-70E740481C1C}">
                          <a14:useLocalDpi xmlns:a14="http://schemas.microsoft.com/office/drawing/2010/main" val="0"/>
                        </a:ext>
                      </a:extLst>
                    </a:blip>
                    <a:srcRect t="22223" b="21644"/>
                    <a:stretch>
                      <a:fillRect/>
                    </a:stretch>
                  </pic:blipFill>
                  <pic:spPr>
                    <a:xfrm>
                      <a:off x="0" y="0"/>
                      <a:ext cx="3258820" cy="2057400"/>
                    </a:xfrm>
                    <a:prstGeom prst="rect">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0991166C" w14:textId="77777777" w:rsidR="009E37DF" w:rsidRDefault="009E37DF">
      <w:pPr>
        <w:rPr>
          <w:rFonts w:eastAsia="Calibri" w:cs="Times New Roman"/>
          <w:color w:val="000000"/>
          <w:szCs w:val="24"/>
        </w:rPr>
      </w:pPr>
    </w:p>
    <w:p w14:paraId="1E15E92E" w14:textId="77777777" w:rsidR="009E37DF" w:rsidRDefault="009E37DF">
      <w:pPr>
        <w:rPr>
          <w:rFonts w:eastAsia="Calibri" w:cs="Times New Roman"/>
          <w:color w:val="000000"/>
          <w:szCs w:val="24"/>
        </w:rPr>
      </w:pPr>
    </w:p>
    <w:p w14:paraId="499F492D" w14:textId="77777777" w:rsidR="009E37DF" w:rsidRDefault="009E37DF">
      <w:pPr>
        <w:rPr>
          <w:rFonts w:eastAsia="Calibri" w:cs="Times New Roman"/>
          <w:color w:val="000000"/>
          <w:szCs w:val="24"/>
        </w:rPr>
      </w:pPr>
    </w:p>
    <w:p w14:paraId="7EC7176A" w14:textId="77777777" w:rsidR="009E37DF" w:rsidRDefault="009E37DF">
      <w:pPr>
        <w:rPr>
          <w:rFonts w:eastAsia="Calibri" w:cs="Times New Roman"/>
          <w:color w:val="000000"/>
          <w:szCs w:val="24"/>
        </w:rPr>
      </w:pPr>
    </w:p>
    <w:p w14:paraId="2F7D0DCC" w14:textId="77777777" w:rsidR="009E37DF" w:rsidRDefault="009E37DF">
      <w:pPr>
        <w:rPr>
          <w:rFonts w:eastAsia="Calibri" w:cs="Times New Roman"/>
          <w:color w:val="000000"/>
          <w:szCs w:val="24"/>
        </w:rPr>
      </w:pPr>
    </w:p>
    <w:p w14:paraId="6B87155C" w14:textId="77777777" w:rsidR="009E37DF" w:rsidRDefault="009E37DF">
      <w:pPr>
        <w:rPr>
          <w:rFonts w:eastAsia="Calibri" w:cs="Times New Roman"/>
          <w:color w:val="000000"/>
          <w:szCs w:val="24"/>
        </w:rPr>
      </w:pPr>
    </w:p>
    <w:p w14:paraId="384B6ADA" w14:textId="77777777" w:rsidR="009E37DF" w:rsidRDefault="00F33276">
      <w:pPr>
        <w:spacing w:after="0"/>
        <w:rPr>
          <w:rFonts w:ascii="Calibri" w:eastAsia="Calibri" w:hAnsi="Calibri" w:cs="Arial"/>
          <w:b/>
          <w:bCs/>
          <w:i/>
          <w:iCs/>
        </w:rPr>
      </w:pPr>
      <w:bookmarkStart w:id="2" w:name="_Hlk202861364"/>
      <w:bookmarkStart w:id="3" w:name="_Hlk202861365"/>
      <w:r>
        <w:rPr>
          <w:rFonts w:ascii="Calibri" w:eastAsia="Calibri" w:hAnsi="Calibri" w:cs="Arial"/>
          <w:b/>
          <w:bCs/>
          <w:i/>
          <w:iCs/>
        </w:rPr>
        <w:t>Figure (2</w:t>
      </w:r>
      <w:proofErr w:type="gramStart"/>
      <w:r>
        <w:rPr>
          <w:rFonts w:ascii="Calibri" w:eastAsia="Calibri" w:hAnsi="Calibri" w:cs="Arial"/>
          <w:b/>
          <w:bCs/>
          <w:i/>
          <w:iCs/>
        </w:rPr>
        <w:t>) :</w:t>
      </w:r>
      <w:proofErr w:type="gramEnd"/>
      <w:r>
        <w:rPr>
          <w:rFonts w:ascii="Calibri" w:eastAsia="Calibri" w:hAnsi="Calibri" w:cs="Arial"/>
          <w:b/>
          <w:bCs/>
          <w:i/>
          <w:iCs/>
        </w:rPr>
        <w:t xml:space="preserve"> Klebsiella  </w:t>
      </w:r>
      <w:proofErr w:type="spellStart"/>
      <w:r>
        <w:rPr>
          <w:rFonts w:ascii="Calibri" w:eastAsia="Calibri" w:hAnsi="Calibri" w:cs="Arial"/>
          <w:b/>
          <w:bCs/>
          <w:i/>
          <w:iCs/>
        </w:rPr>
        <w:t>spp.on</w:t>
      </w:r>
      <w:proofErr w:type="spellEnd"/>
      <w:r>
        <w:rPr>
          <w:rFonts w:ascii="Calibri" w:eastAsia="Calibri" w:hAnsi="Calibri" w:cs="Arial"/>
          <w:b/>
          <w:bCs/>
          <w:i/>
          <w:iCs/>
        </w:rPr>
        <w:t xml:space="preserve"> </w:t>
      </w:r>
      <w:proofErr w:type="spellStart"/>
      <w:r>
        <w:rPr>
          <w:rFonts w:ascii="Calibri" w:eastAsia="Calibri" w:hAnsi="Calibri" w:cs="Arial"/>
          <w:b/>
          <w:bCs/>
          <w:i/>
          <w:iCs/>
        </w:rPr>
        <w:t>Macconky</w:t>
      </w:r>
      <w:proofErr w:type="spellEnd"/>
      <w:r>
        <w:rPr>
          <w:rFonts w:ascii="Calibri" w:eastAsia="Calibri" w:hAnsi="Calibri" w:cs="Arial"/>
          <w:b/>
          <w:bCs/>
          <w:i/>
          <w:iCs/>
        </w:rPr>
        <w:t xml:space="preserve"> agar</w:t>
      </w:r>
    </w:p>
    <w:p w14:paraId="404EED8F" w14:textId="4083BB9B" w:rsidR="009E37DF" w:rsidRDefault="001A25B4">
      <w:pPr>
        <w:spacing w:after="0"/>
        <w:rPr>
          <w:rFonts w:ascii="Calibri" w:eastAsia="Calibri" w:hAnsi="Calibri" w:cs="Arial"/>
          <w:b/>
          <w:bCs/>
          <w:i/>
          <w:iCs/>
        </w:rPr>
      </w:pPr>
      <w:r>
        <w:rPr>
          <w:rFonts w:eastAsia="Calibri" w:cs="Times New Roman"/>
          <w:noProof/>
          <w:color w:val="000000"/>
          <w:szCs w:val="24"/>
        </w:rPr>
        <w:drawing>
          <wp:anchor distT="0" distB="0" distL="114300" distR="114300" simplePos="0" relativeHeight="251660288" behindDoc="0" locked="0" layoutInCell="1" allowOverlap="1" wp14:anchorId="47021E40" wp14:editId="3CCF1DBB">
            <wp:simplePos x="0" y="0"/>
            <wp:positionH relativeFrom="column">
              <wp:posOffset>749935</wp:posOffset>
            </wp:positionH>
            <wp:positionV relativeFrom="paragraph">
              <wp:posOffset>118186</wp:posOffset>
            </wp:positionV>
            <wp:extent cx="2907665" cy="2574290"/>
            <wp:effectExtent l="10795" t="0" r="15240" b="7404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rcRect l="22334" r="23903"/>
                    <a:stretch>
                      <a:fillRect/>
                    </a:stretch>
                  </pic:blipFill>
                  <pic:spPr>
                    <a:xfrm>
                      <a:off x="0" y="0"/>
                      <a:ext cx="2907665" cy="2574290"/>
                    </a:xfrm>
                    <a:prstGeom prst="rect">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2EFC61EA" w14:textId="43DAEB5A" w:rsidR="009E37DF" w:rsidRDefault="009E37DF">
      <w:pPr>
        <w:spacing w:after="0"/>
        <w:rPr>
          <w:rFonts w:ascii="Calibri" w:eastAsia="Calibri" w:hAnsi="Calibri" w:cs="Arial"/>
          <w:b/>
          <w:bCs/>
          <w:i/>
          <w:iCs/>
        </w:rPr>
      </w:pPr>
    </w:p>
    <w:p w14:paraId="2345151E" w14:textId="77777777" w:rsidR="009E37DF" w:rsidRDefault="009E37DF">
      <w:pPr>
        <w:spacing w:after="0"/>
        <w:rPr>
          <w:rFonts w:ascii="Calibri" w:eastAsia="Calibri" w:hAnsi="Calibri" w:cs="Arial"/>
          <w:b/>
          <w:bCs/>
          <w:i/>
          <w:iCs/>
        </w:rPr>
      </w:pPr>
    </w:p>
    <w:p w14:paraId="2C47E1D6" w14:textId="77777777" w:rsidR="009E37DF" w:rsidRDefault="009E37DF">
      <w:pPr>
        <w:spacing w:after="0"/>
        <w:rPr>
          <w:rFonts w:ascii="Calibri" w:eastAsia="Calibri" w:hAnsi="Calibri" w:cs="Arial"/>
          <w:b/>
          <w:bCs/>
          <w:i/>
          <w:iCs/>
        </w:rPr>
      </w:pPr>
    </w:p>
    <w:p w14:paraId="5CAFA296" w14:textId="77777777" w:rsidR="009E37DF" w:rsidRDefault="009E37DF">
      <w:pPr>
        <w:spacing w:after="0"/>
        <w:rPr>
          <w:rFonts w:ascii="Calibri" w:eastAsia="Calibri" w:hAnsi="Calibri" w:cs="Arial"/>
          <w:b/>
          <w:bCs/>
          <w:i/>
          <w:iCs/>
        </w:rPr>
      </w:pPr>
    </w:p>
    <w:p w14:paraId="58FD3825" w14:textId="77777777" w:rsidR="009E37DF" w:rsidRDefault="009E37DF">
      <w:pPr>
        <w:spacing w:after="0"/>
        <w:rPr>
          <w:rFonts w:ascii="Calibri" w:eastAsia="Calibri" w:hAnsi="Calibri" w:cs="Arial"/>
          <w:b/>
          <w:bCs/>
          <w:i/>
          <w:iCs/>
        </w:rPr>
      </w:pPr>
    </w:p>
    <w:p w14:paraId="055FD39D" w14:textId="77777777" w:rsidR="009E37DF" w:rsidRDefault="009E37DF">
      <w:pPr>
        <w:spacing w:after="0"/>
        <w:rPr>
          <w:rFonts w:ascii="Calibri" w:eastAsia="Calibri" w:hAnsi="Calibri" w:cs="Arial"/>
          <w:b/>
          <w:bCs/>
          <w:i/>
          <w:iCs/>
        </w:rPr>
      </w:pPr>
    </w:p>
    <w:p w14:paraId="4845DE4A" w14:textId="77777777" w:rsidR="009E37DF" w:rsidRDefault="009E37DF">
      <w:pPr>
        <w:spacing w:after="0"/>
        <w:rPr>
          <w:rFonts w:ascii="Calibri" w:eastAsia="Calibri" w:hAnsi="Calibri" w:cs="Arial"/>
          <w:b/>
          <w:bCs/>
          <w:i/>
          <w:iCs/>
        </w:rPr>
      </w:pPr>
    </w:p>
    <w:p w14:paraId="3B6D95D3" w14:textId="77777777" w:rsidR="009E37DF" w:rsidRDefault="009E37DF">
      <w:pPr>
        <w:spacing w:after="0"/>
        <w:rPr>
          <w:rFonts w:ascii="Calibri" w:eastAsia="Calibri" w:hAnsi="Calibri" w:cs="Arial"/>
          <w:b/>
          <w:bCs/>
          <w:i/>
          <w:iCs/>
        </w:rPr>
      </w:pPr>
    </w:p>
    <w:p w14:paraId="76198A6E" w14:textId="77777777" w:rsidR="009E37DF" w:rsidRDefault="009E37DF">
      <w:pPr>
        <w:spacing w:after="0"/>
        <w:rPr>
          <w:rFonts w:ascii="Calibri" w:eastAsia="Calibri" w:hAnsi="Calibri" w:cs="Arial"/>
          <w:b/>
          <w:bCs/>
          <w:i/>
          <w:iCs/>
        </w:rPr>
      </w:pPr>
    </w:p>
    <w:p w14:paraId="4CE08270" w14:textId="77777777" w:rsidR="009E37DF" w:rsidRDefault="009E37DF">
      <w:pPr>
        <w:spacing w:after="0"/>
        <w:rPr>
          <w:rFonts w:ascii="Calibri" w:eastAsia="Calibri" w:hAnsi="Calibri" w:cs="Arial"/>
          <w:b/>
          <w:bCs/>
          <w:i/>
          <w:iCs/>
        </w:rPr>
      </w:pPr>
    </w:p>
    <w:p w14:paraId="5BF8F2DB" w14:textId="77777777" w:rsidR="009E37DF" w:rsidRDefault="009E37DF">
      <w:pPr>
        <w:spacing w:after="0"/>
        <w:rPr>
          <w:rFonts w:ascii="Calibri" w:eastAsia="Calibri" w:hAnsi="Calibri" w:cs="Arial"/>
          <w:b/>
          <w:bCs/>
          <w:i/>
          <w:iCs/>
        </w:rPr>
      </w:pPr>
    </w:p>
    <w:p w14:paraId="7889922C" w14:textId="77777777" w:rsidR="009E37DF" w:rsidRDefault="009E37DF">
      <w:pPr>
        <w:spacing w:after="0"/>
        <w:rPr>
          <w:rFonts w:ascii="Calibri" w:eastAsia="Calibri" w:hAnsi="Calibri" w:cs="Arial"/>
          <w:b/>
          <w:bCs/>
          <w:i/>
          <w:iCs/>
        </w:rPr>
      </w:pPr>
    </w:p>
    <w:p w14:paraId="50B9A149" w14:textId="77777777" w:rsidR="009E37DF" w:rsidRDefault="009E37DF">
      <w:pPr>
        <w:spacing w:after="0"/>
        <w:rPr>
          <w:rFonts w:ascii="Calibri" w:eastAsia="Calibri" w:hAnsi="Calibri" w:cs="Arial"/>
          <w:b/>
          <w:bCs/>
          <w:i/>
          <w:iCs/>
        </w:rPr>
      </w:pPr>
    </w:p>
    <w:p w14:paraId="7C6D5EBC" w14:textId="77777777" w:rsidR="009E37DF" w:rsidRDefault="009E37DF">
      <w:pPr>
        <w:spacing w:after="0"/>
        <w:rPr>
          <w:rFonts w:ascii="Calibri" w:eastAsia="Calibri" w:hAnsi="Calibri" w:cs="Arial"/>
          <w:b/>
          <w:bCs/>
          <w:i/>
          <w:iCs/>
        </w:rPr>
      </w:pPr>
    </w:p>
    <w:p w14:paraId="0AD83DBF" w14:textId="77777777" w:rsidR="009E37DF" w:rsidRDefault="009E37DF">
      <w:pPr>
        <w:spacing w:after="0"/>
        <w:rPr>
          <w:rFonts w:ascii="Calibri" w:eastAsia="Calibri" w:hAnsi="Calibri" w:cs="Arial"/>
          <w:b/>
          <w:bCs/>
          <w:i/>
          <w:iCs/>
        </w:rPr>
      </w:pPr>
    </w:p>
    <w:p w14:paraId="24C58E26" w14:textId="77777777" w:rsidR="009E37DF" w:rsidRDefault="009E37DF">
      <w:pPr>
        <w:spacing w:after="0"/>
        <w:rPr>
          <w:rFonts w:ascii="Calibri" w:eastAsia="Calibri" w:hAnsi="Calibri" w:cs="Arial"/>
          <w:b/>
          <w:bCs/>
          <w:i/>
          <w:iCs/>
        </w:rPr>
      </w:pPr>
    </w:p>
    <w:p w14:paraId="49EAFF67" w14:textId="77777777" w:rsidR="009E37DF" w:rsidRDefault="009E37DF">
      <w:pPr>
        <w:spacing w:after="0"/>
        <w:rPr>
          <w:rFonts w:ascii="Calibri" w:eastAsia="Calibri" w:hAnsi="Calibri" w:cs="Arial"/>
          <w:b/>
          <w:bCs/>
          <w:i/>
          <w:iCs/>
        </w:rPr>
      </w:pPr>
    </w:p>
    <w:bookmarkEnd w:id="2"/>
    <w:bookmarkEnd w:id="3"/>
    <w:p w14:paraId="0DD19F29" w14:textId="77777777" w:rsidR="009E37DF" w:rsidRDefault="00F33276">
      <w:pPr>
        <w:rPr>
          <w:rFonts w:ascii="Calibri" w:eastAsia="Calibri" w:hAnsi="Calibri" w:cs="Arial"/>
          <w:i/>
          <w:iCs/>
          <w:color w:val="000000"/>
        </w:rPr>
      </w:pPr>
      <w:proofErr w:type="gramStart"/>
      <w:r>
        <w:rPr>
          <w:rFonts w:ascii="Calibri" w:eastAsia="Calibri" w:hAnsi="Calibri" w:cs="Arial"/>
          <w:i/>
          <w:iCs/>
          <w:color w:val="000000"/>
        </w:rPr>
        <w:t>Figure( 3</w:t>
      </w:r>
      <w:proofErr w:type="gramEnd"/>
      <w:r>
        <w:rPr>
          <w:rFonts w:ascii="Calibri" w:eastAsia="Calibri" w:hAnsi="Calibri" w:cs="Arial"/>
          <w:i/>
          <w:iCs/>
          <w:color w:val="000000"/>
        </w:rPr>
        <w:t xml:space="preserve">): Staphylococcus aureus on Eosin </w:t>
      </w:r>
      <w:proofErr w:type="spellStart"/>
      <w:r>
        <w:rPr>
          <w:rFonts w:ascii="Calibri" w:eastAsia="Calibri" w:hAnsi="Calibri" w:cs="Arial"/>
          <w:i/>
          <w:iCs/>
          <w:color w:val="000000"/>
        </w:rPr>
        <w:t>mathelin</w:t>
      </w:r>
      <w:proofErr w:type="spellEnd"/>
      <w:r>
        <w:rPr>
          <w:rFonts w:ascii="Calibri" w:eastAsia="Calibri" w:hAnsi="Calibri" w:cs="Arial"/>
          <w:i/>
          <w:iCs/>
          <w:color w:val="000000"/>
        </w:rPr>
        <w:t xml:space="preserve"> blue.</w:t>
      </w:r>
    </w:p>
    <w:p w14:paraId="3DD3B1D9" w14:textId="77777777" w:rsidR="009E37DF" w:rsidRDefault="00F33276">
      <w:pPr>
        <w:rPr>
          <w:rFonts w:ascii="Calibri" w:eastAsia="Calibri" w:hAnsi="Calibri" w:cs="Arial"/>
          <w:i/>
          <w:iCs/>
          <w:color w:val="000000"/>
        </w:rPr>
      </w:pPr>
      <w:r>
        <w:rPr>
          <w:rFonts w:eastAsia="Calibri" w:cs="Times New Roman"/>
          <w:noProof/>
          <w:color w:val="000000"/>
          <w:szCs w:val="24"/>
        </w:rPr>
        <w:drawing>
          <wp:anchor distT="0" distB="0" distL="114300" distR="114300" simplePos="0" relativeHeight="251661312" behindDoc="0" locked="0" layoutInCell="1" allowOverlap="1" wp14:anchorId="780F5312" wp14:editId="7EF2CBE0">
            <wp:simplePos x="0" y="0"/>
            <wp:positionH relativeFrom="column">
              <wp:posOffset>686435</wp:posOffset>
            </wp:positionH>
            <wp:positionV relativeFrom="paragraph">
              <wp:posOffset>130175</wp:posOffset>
            </wp:positionV>
            <wp:extent cx="2762250" cy="2315845"/>
            <wp:effectExtent l="10795" t="0" r="27305" b="6750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rcRect t="11404" b="14272"/>
                    <a:stretch>
                      <a:fillRect/>
                    </a:stretch>
                  </pic:blipFill>
                  <pic:spPr>
                    <a:xfrm>
                      <a:off x="0" y="0"/>
                      <a:ext cx="2774950" cy="2448560"/>
                    </a:xfrm>
                    <a:prstGeom prst="rect">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7D5AB662" w14:textId="77777777" w:rsidR="009E37DF" w:rsidRDefault="009E37DF">
      <w:pPr>
        <w:ind w:firstLine="720"/>
        <w:rPr>
          <w:rFonts w:cs="Times New Roman"/>
          <w:color w:val="000000" w:themeColor="text1"/>
          <w:szCs w:val="24"/>
        </w:rPr>
      </w:pPr>
    </w:p>
    <w:p w14:paraId="1C13C4AA" w14:textId="77777777" w:rsidR="009E37DF" w:rsidRDefault="009E37DF">
      <w:pPr>
        <w:keepNext/>
        <w:keepLines/>
        <w:spacing w:before="200" w:after="0"/>
        <w:outlineLvl w:val="1"/>
        <w:rPr>
          <w:rFonts w:eastAsiaTheme="majorEastAsia" w:cs="Times New Roman"/>
          <w:b/>
          <w:bCs/>
          <w:color w:val="000000" w:themeColor="text1"/>
          <w:szCs w:val="24"/>
        </w:rPr>
      </w:pPr>
    </w:p>
    <w:p w14:paraId="3D6C795C" w14:textId="77777777" w:rsidR="009E37DF" w:rsidRDefault="009E37DF">
      <w:pPr>
        <w:keepNext/>
        <w:keepLines/>
        <w:spacing w:before="200" w:after="0"/>
        <w:outlineLvl w:val="1"/>
        <w:rPr>
          <w:rFonts w:eastAsiaTheme="majorEastAsia" w:cs="Times New Roman"/>
          <w:b/>
          <w:bCs/>
          <w:color w:val="000000" w:themeColor="text1"/>
          <w:szCs w:val="24"/>
        </w:rPr>
      </w:pPr>
    </w:p>
    <w:p w14:paraId="0578A2D4" w14:textId="77777777" w:rsidR="009E37DF" w:rsidRDefault="009E37DF">
      <w:pPr>
        <w:keepNext/>
        <w:keepLines/>
        <w:spacing w:before="200" w:after="0"/>
        <w:outlineLvl w:val="1"/>
        <w:rPr>
          <w:rFonts w:eastAsiaTheme="majorEastAsia" w:cs="Times New Roman"/>
          <w:b/>
          <w:bCs/>
          <w:color w:val="000000" w:themeColor="text1"/>
          <w:szCs w:val="24"/>
        </w:rPr>
      </w:pPr>
    </w:p>
    <w:p w14:paraId="000B61C8" w14:textId="77777777" w:rsidR="009E37DF" w:rsidRDefault="009E37DF">
      <w:pPr>
        <w:keepNext/>
        <w:keepLines/>
        <w:spacing w:before="200" w:after="0"/>
        <w:outlineLvl w:val="1"/>
        <w:rPr>
          <w:rFonts w:eastAsiaTheme="majorEastAsia" w:cs="Times New Roman"/>
          <w:b/>
          <w:bCs/>
          <w:color w:val="000000" w:themeColor="text1"/>
          <w:szCs w:val="24"/>
        </w:rPr>
      </w:pPr>
    </w:p>
    <w:p w14:paraId="4FB2E310" w14:textId="77777777" w:rsidR="009E37DF" w:rsidRDefault="009E37DF">
      <w:pPr>
        <w:keepNext/>
        <w:keepLines/>
        <w:spacing w:before="200" w:after="0"/>
        <w:outlineLvl w:val="1"/>
        <w:rPr>
          <w:rFonts w:eastAsiaTheme="majorEastAsia" w:cs="Times New Roman"/>
          <w:b/>
          <w:bCs/>
          <w:color w:val="000000" w:themeColor="text1"/>
          <w:szCs w:val="24"/>
        </w:rPr>
      </w:pPr>
    </w:p>
    <w:p w14:paraId="1CBDB981" w14:textId="77777777" w:rsidR="009E37DF" w:rsidRDefault="009E37DF">
      <w:pPr>
        <w:keepNext/>
        <w:keepLines/>
        <w:spacing w:before="200" w:after="0"/>
        <w:outlineLvl w:val="1"/>
        <w:rPr>
          <w:rFonts w:eastAsiaTheme="majorEastAsia" w:cs="Times New Roman"/>
          <w:b/>
          <w:bCs/>
          <w:color w:val="000000" w:themeColor="text1"/>
          <w:szCs w:val="24"/>
        </w:rPr>
      </w:pPr>
    </w:p>
    <w:p w14:paraId="35823F10" w14:textId="77777777" w:rsidR="009E37DF" w:rsidRDefault="009E37DF">
      <w:pPr>
        <w:keepNext/>
        <w:keepLines/>
        <w:spacing w:before="200" w:after="0"/>
        <w:outlineLvl w:val="1"/>
        <w:rPr>
          <w:rFonts w:eastAsiaTheme="majorEastAsia" w:cs="Times New Roman"/>
          <w:b/>
          <w:bCs/>
          <w:color w:val="000000" w:themeColor="text1"/>
          <w:szCs w:val="24"/>
        </w:rPr>
      </w:pPr>
    </w:p>
    <w:p w14:paraId="60BA214D" w14:textId="77777777" w:rsidR="009E37DF" w:rsidRDefault="009E37DF">
      <w:pPr>
        <w:keepNext/>
        <w:keepLines/>
        <w:spacing w:before="200" w:after="0"/>
        <w:outlineLvl w:val="1"/>
        <w:rPr>
          <w:rFonts w:eastAsiaTheme="majorEastAsia" w:cs="Times New Roman"/>
          <w:b/>
          <w:bCs/>
          <w:color w:val="000000" w:themeColor="text1"/>
          <w:szCs w:val="24"/>
        </w:rPr>
      </w:pPr>
    </w:p>
    <w:p w14:paraId="5F9C74AB" w14:textId="77777777" w:rsidR="009E37DF" w:rsidRDefault="00F33276">
      <w:pPr>
        <w:keepNext/>
        <w:keepLines/>
        <w:spacing w:before="200" w:after="0"/>
        <w:outlineLvl w:val="1"/>
        <w:rPr>
          <w:rFonts w:eastAsiaTheme="majorEastAsia" w:cs="Times New Roman"/>
          <w:b/>
          <w:bCs/>
          <w:color w:val="000000" w:themeColor="text1"/>
          <w:szCs w:val="24"/>
        </w:rPr>
      </w:pPr>
      <w:r>
        <w:rPr>
          <w:rFonts w:eastAsiaTheme="majorEastAsia" w:cs="Times New Roman"/>
          <w:b/>
          <w:bCs/>
          <w:color w:val="000000" w:themeColor="text1"/>
          <w:szCs w:val="24"/>
        </w:rPr>
        <w:t>VITEK® 2 Analysis and Antimicrobial Susceptibility Testing</w:t>
      </w:r>
    </w:p>
    <w:p w14:paraId="10349AF7" w14:textId="77777777" w:rsidR="009E37DF" w:rsidRDefault="00F33276">
      <w:pPr>
        <w:ind w:firstLine="720"/>
        <w:rPr>
          <w:rFonts w:cs="Times New Roman"/>
          <w:color w:val="000000" w:themeColor="text1"/>
          <w:szCs w:val="24"/>
        </w:rPr>
      </w:pPr>
      <w:r>
        <w:rPr>
          <w:rFonts w:cs="Times New Roman"/>
          <w:color w:val="000000" w:themeColor="text1"/>
          <w:szCs w:val="24"/>
        </w:rPr>
        <w:t>The VITEK® 2 system demonstrated its effectiveness in identifying bacterial isolates and their resistance patterns. The AST-N334 cards used identified Escherichia coli, Staphylococcus aureus, and Klebsiella pneumoniae with high accuracy.</w:t>
      </w:r>
    </w:p>
    <w:p w14:paraId="4D29BD36" w14:textId="77777777" w:rsidR="009E37DF" w:rsidRDefault="00F33276">
      <w:pPr>
        <w:ind w:firstLine="720"/>
        <w:rPr>
          <w:rFonts w:cs="Times New Roman"/>
          <w:color w:val="000000" w:themeColor="text1"/>
          <w:szCs w:val="24"/>
        </w:rPr>
      </w:pPr>
      <w:r>
        <w:rPr>
          <w:rFonts w:cs="Times New Roman"/>
          <w:color w:val="000000" w:themeColor="text1"/>
          <w:szCs w:val="24"/>
        </w:rPr>
        <w:t xml:space="preserve">In (Table </w:t>
      </w:r>
      <w:proofErr w:type="gramStart"/>
      <w:r>
        <w:rPr>
          <w:rFonts w:cs="Times New Roman"/>
          <w:color w:val="000000" w:themeColor="text1"/>
          <w:szCs w:val="24"/>
        </w:rPr>
        <w:t>1)VITEK</w:t>
      </w:r>
      <w:proofErr w:type="gramEnd"/>
      <w:r>
        <w:rPr>
          <w:rFonts w:cs="Times New Roman"/>
          <w:color w:val="000000" w:themeColor="text1"/>
          <w:szCs w:val="24"/>
        </w:rPr>
        <w:t>® antimicrobial susceptibility results for Escherichia coli show resistance to various beta-lactam antibiotics and fluoroquinolones, but susceptibility to carbapenems, aminoglycosides, and tigecycline, supporting their use in clinical therapy.</w:t>
      </w:r>
    </w:p>
    <w:p w14:paraId="554CA565" w14:textId="77777777" w:rsidR="009E37DF" w:rsidRDefault="00F33276">
      <w:pPr>
        <w:keepNext/>
        <w:keepLines/>
        <w:spacing w:before="200" w:after="0"/>
        <w:outlineLvl w:val="2"/>
        <w:rPr>
          <w:rFonts w:eastAsia="DengXian Light" w:cs="Times New Roman"/>
          <w:b/>
          <w:bCs/>
          <w:color w:val="000000"/>
          <w:szCs w:val="24"/>
        </w:rPr>
      </w:pPr>
      <w:r>
        <w:rPr>
          <w:rFonts w:eastAsia="DengXian Light" w:cs="Times New Roman"/>
          <w:b/>
          <w:bCs/>
          <w:color w:val="000000"/>
          <w:szCs w:val="24"/>
        </w:rPr>
        <w:t xml:space="preserve">Table 1: </w:t>
      </w:r>
      <w:r>
        <w:rPr>
          <w:rFonts w:eastAsia="DengXian Light" w:cs="Times New Roman"/>
          <w:color w:val="000000"/>
          <w:szCs w:val="24"/>
        </w:rPr>
        <w:t>Escherichia coli Antimicrobial Susceptibility Profile</w:t>
      </w:r>
    </w:p>
    <w:tbl>
      <w:tblPr>
        <w:tblStyle w:val="TableGrid"/>
        <w:tblW w:w="0" w:type="auto"/>
        <w:tblInd w:w="113" w:type="dxa"/>
        <w:tblLook w:val="04A0" w:firstRow="1" w:lastRow="0" w:firstColumn="1" w:lastColumn="0" w:noHBand="0" w:noVBand="1"/>
      </w:tblPr>
      <w:tblGrid>
        <w:gridCol w:w="3362"/>
        <w:gridCol w:w="2521"/>
        <w:gridCol w:w="2634"/>
      </w:tblGrid>
      <w:tr w:rsidR="009E37DF" w14:paraId="5EE12EF6" w14:textId="77777777">
        <w:tc>
          <w:tcPr>
            <w:tcW w:w="3362" w:type="dxa"/>
          </w:tcPr>
          <w:p w14:paraId="7871F94B" w14:textId="77777777" w:rsidR="009E37DF" w:rsidRDefault="00F33276">
            <w:pPr>
              <w:spacing w:after="0" w:line="240" w:lineRule="auto"/>
              <w:rPr>
                <w:rFonts w:cs="Times New Roman"/>
                <w:color w:val="000000"/>
                <w:szCs w:val="24"/>
              </w:rPr>
            </w:pPr>
            <w:r>
              <w:rPr>
                <w:rFonts w:cs="Times New Roman"/>
                <w:color w:val="000000"/>
                <w:szCs w:val="24"/>
              </w:rPr>
              <w:t>Antimicrobial Agent</w:t>
            </w:r>
          </w:p>
        </w:tc>
        <w:tc>
          <w:tcPr>
            <w:tcW w:w="2588" w:type="dxa"/>
          </w:tcPr>
          <w:p w14:paraId="477597C6" w14:textId="77777777" w:rsidR="009E37DF" w:rsidRDefault="00F33276">
            <w:pPr>
              <w:spacing w:after="0" w:line="240" w:lineRule="auto"/>
              <w:rPr>
                <w:rFonts w:cs="Times New Roman"/>
                <w:color w:val="000000"/>
                <w:szCs w:val="24"/>
              </w:rPr>
            </w:pPr>
            <w:r>
              <w:rPr>
                <w:rFonts w:cs="Times New Roman"/>
                <w:color w:val="000000"/>
                <w:szCs w:val="24"/>
              </w:rPr>
              <w:t>MIC</w:t>
            </w:r>
          </w:p>
        </w:tc>
        <w:tc>
          <w:tcPr>
            <w:tcW w:w="2680" w:type="dxa"/>
          </w:tcPr>
          <w:p w14:paraId="054C6591" w14:textId="77777777" w:rsidR="009E37DF" w:rsidRDefault="00F33276">
            <w:pPr>
              <w:spacing w:after="0" w:line="240" w:lineRule="auto"/>
              <w:rPr>
                <w:rFonts w:cs="Times New Roman"/>
                <w:color w:val="000000"/>
                <w:szCs w:val="24"/>
              </w:rPr>
            </w:pPr>
            <w:r>
              <w:rPr>
                <w:rFonts w:cs="Times New Roman"/>
                <w:color w:val="000000"/>
                <w:szCs w:val="24"/>
              </w:rPr>
              <w:t>Interpretation</w:t>
            </w:r>
          </w:p>
        </w:tc>
      </w:tr>
      <w:tr w:rsidR="009E37DF" w14:paraId="4098F179" w14:textId="77777777">
        <w:tc>
          <w:tcPr>
            <w:tcW w:w="3362" w:type="dxa"/>
          </w:tcPr>
          <w:p w14:paraId="7FD3718C" w14:textId="77777777" w:rsidR="009E37DF" w:rsidRDefault="00F33276">
            <w:pPr>
              <w:spacing w:after="0" w:line="240" w:lineRule="auto"/>
              <w:rPr>
                <w:rFonts w:cs="Times New Roman"/>
                <w:color w:val="000000"/>
                <w:szCs w:val="24"/>
              </w:rPr>
            </w:pPr>
            <w:r>
              <w:rPr>
                <w:rFonts w:cs="Times New Roman"/>
                <w:color w:val="000000"/>
                <w:szCs w:val="24"/>
              </w:rPr>
              <w:t>Ampicillin</w:t>
            </w:r>
          </w:p>
        </w:tc>
        <w:tc>
          <w:tcPr>
            <w:tcW w:w="2588" w:type="dxa"/>
          </w:tcPr>
          <w:p w14:paraId="6DB8146C" w14:textId="77777777" w:rsidR="009E37DF" w:rsidRDefault="009E37DF">
            <w:pPr>
              <w:spacing w:after="0" w:line="240" w:lineRule="auto"/>
              <w:rPr>
                <w:rFonts w:cs="Times New Roman"/>
                <w:color w:val="000000"/>
                <w:szCs w:val="24"/>
              </w:rPr>
            </w:pPr>
          </w:p>
        </w:tc>
        <w:tc>
          <w:tcPr>
            <w:tcW w:w="2680" w:type="dxa"/>
          </w:tcPr>
          <w:p w14:paraId="49F46A25"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34A982AA" w14:textId="77777777">
        <w:tc>
          <w:tcPr>
            <w:tcW w:w="3362" w:type="dxa"/>
          </w:tcPr>
          <w:p w14:paraId="4674753D" w14:textId="77777777" w:rsidR="009E37DF" w:rsidRDefault="00F33276">
            <w:pPr>
              <w:spacing w:after="0" w:line="240" w:lineRule="auto"/>
              <w:rPr>
                <w:rFonts w:cs="Times New Roman"/>
                <w:color w:val="000000"/>
                <w:szCs w:val="24"/>
              </w:rPr>
            </w:pPr>
            <w:r>
              <w:rPr>
                <w:rFonts w:cs="Times New Roman"/>
                <w:color w:val="000000"/>
                <w:szCs w:val="24"/>
              </w:rPr>
              <w:t>Amoxicillin/Clavulanic Acid</w:t>
            </w:r>
          </w:p>
        </w:tc>
        <w:tc>
          <w:tcPr>
            <w:tcW w:w="2588" w:type="dxa"/>
          </w:tcPr>
          <w:p w14:paraId="7CC28D88" w14:textId="77777777" w:rsidR="009E37DF" w:rsidRDefault="009E37DF">
            <w:pPr>
              <w:spacing w:after="0" w:line="240" w:lineRule="auto"/>
              <w:rPr>
                <w:rFonts w:cs="Times New Roman"/>
                <w:color w:val="000000"/>
                <w:szCs w:val="24"/>
              </w:rPr>
            </w:pPr>
          </w:p>
        </w:tc>
        <w:tc>
          <w:tcPr>
            <w:tcW w:w="2680" w:type="dxa"/>
          </w:tcPr>
          <w:p w14:paraId="4EBC9B95" w14:textId="77777777" w:rsidR="009E37DF" w:rsidRDefault="009E37DF">
            <w:pPr>
              <w:spacing w:after="0" w:line="240" w:lineRule="auto"/>
              <w:rPr>
                <w:rFonts w:cs="Times New Roman"/>
                <w:color w:val="000000"/>
                <w:szCs w:val="24"/>
              </w:rPr>
            </w:pPr>
          </w:p>
        </w:tc>
      </w:tr>
      <w:tr w:rsidR="009E37DF" w14:paraId="22BB0D36" w14:textId="77777777">
        <w:tc>
          <w:tcPr>
            <w:tcW w:w="3362" w:type="dxa"/>
          </w:tcPr>
          <w:p w14:paraId="66067DEF" w14:textId="77777777" w:rsidR="009E37DF" w:rsidRDefault="00F33276">
            <w:pPr>
              <w:spacing w:after="0" w:line="240" w:lineRule="auto"/>
              <w:rPr>
                <w:rFonts w:cs="Times New Roman"/>
                <w:color w:val="000000"/>
                <w:szCs w:val="24"/>
              </w:rPr>
            </w:pPr>
            <w:r>
              <w:rPr>
                <w:rFonts w:cs="Times New Roman"/>
                <w:color w:val="000000"/>
                <w:szCs w:val="24"/>
              </w:rPr>
              <w:t>Ampicillin / Sulbactam</w:t>
            </w:r>
          </w:p>
        </w:tc>
        <w:tc>
          <w:tcPr>
            <w:tcW w:w="2588" w:type="dxa"/>
          </w:tcPr>
          <w:p w14:paraId="221A3349" w14:textId="77777777" w:rsidR="009E37DF" w:rsidRDefault="00F33276">
            <w:pPr>
              <w:spacing w:after="0" w:line="240" w:lineRule="auto"/>
              <w:rPr>
                <w:rFonts w:cs="Times New Roman"/>
                <w:color w:val="000000"/>
                <w:szCs w:val="24"/>
              </w:rPr>
            </w:pPr>
            <w:r>
              <w:rPr>
                <w:rFonts w:cs="Times New Roman"/>
                <w:color w:val="000000"/>
                <w:szCs w:val="24"/>
              </w:rPr>
              <w:t>&lt;=2</w:t>
            </w:r>
          </w:p>
        </w:tc>
        <w:tc>
          <w:tcPr>
            <w:tcW w:w="2680" w:type="dxa"/>
          </w:tcPr>
          <w:p w14:paraId="622E3BDA"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43E2B4E6" w14:textId="77777777">
        <w:tc>
          <w:tcPr>
            <w:tcW w:w="3362" w:type="dxa"/>
          </w:tcPr>
          <w:p w14:paraId="7CF6A37C" w14:textId="77777777" w:rsidR="009E37DF" w:rsidRDefault="00F33276">
            <w:pPr>
              <w:spacing w:after="0" w:line="240" w:lineRule="auto"/>
              <w:rPr>
                <w:rFonts w:cs="Times New Roman"/>
                <w:color w:val="000000"/>
                <w:szCs w:val="24"/>
              </w:rPr>
            </w:pPr>
            <w:r>
              <w:rPr>
                <w:rFonts w:cs="Times New Roman"/>
                <w:color w:val="000000"/>
                <w:szCs w:val="24"/>
              </w:rPr>
              <w:t>Ticarcillin</w:t>
            </w:r>
          </w:p>
        </w:tc>
        <w:tc>
          <w:tcPr>
            <w:tcW w:w="2588" w:type="dxa"/>
          </w:tcPr>
          <w:p w14:paraId="1CEAC835" w14:textId="77777777" w:rsidR="009E37DF" w:rsidRDefault="009E37DF">
            <w:pPr>
              <w:spacing w:after="0" w:line="240" w:lineRule="auto"/>
              <w:rPr>
                <w:rFonts w:cs="Times New Roman"/>
                <w:color w:val="000000"/>
                <w:szCs w:val="24"/>
              </w:rPr>
            </w:pPr>
          </w:p>
        </w:tc>
        <w:tc>
          <w:tcPr>
            <w:tcW w:w="2680" w:type="dxa"/>
          </w:tcPr>
          <w:p w14:paraId="760F4BFA"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340074E1" w14:textId="77777777">
        <w:tc>
          <w:tcPr>
            <w:tcW w:w="3362" w:type="dxa"/>
          </w:tcPr>
          <w:p w14:paraId="6B42B7CA" w14:textId="77777777" w:rsidR="009E37DF" w:rsidRDefault="00F33276">
            <w:pPr>
              <w:spacing w:after="0" w:line="240" w:lineRule="auto"/>
              <w:rPr>
                <w:rFonts w:cs="Times New Roman"/>
                <w:color w:val="000000"/>
                <w:szCs w:val="24"/>
              </w:rPr>
            </w:pPr>
            <w:r>
              <w:rPr>
                <w:rFonts w:cs="Times New Roman"/>
                <w:color w:val="000000"/>
                <w:szCs w:val="24"/>
              </w:rPr>
              <w:t>Ticarcillin /Clavulanic Acid</w:t>
            </w:r>
          </w:p>
        </w:tc>
        <w:tc>
          <w:tcPr>
            <w:tcW w:w="2588" w:type="dxa"/>
          </w:tcPr>
          <w:p w14:paraId="7991B139" w14:textId="77777777" w:rsidR="009E37DF" w:rsidRDefault="009E37DF">
            <w:pPr>
              <w:spacing w:after="0" w:line="240" w:lineRule="auto"/>
              <w:rPr>
                <w:rFonts w:cs="Times New Roman"/>
                <w:color w:val="000000"/>
                <w:szCs w:val="24"/>
              </w:rPr>
            </w:pPr>
          </w:p>
        </w:tc>
        <w:tc>
          <w:tcPr>
            <w:tcW w:w="2680" w:type="dxa"/>
          </w:tcPr>
          <w:p w14:paraId="6548C6D3"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1546346A" w14:textId="77777777">
        <w:tc>
          <w:tcPr>
            <w:tcW w:w="3362" w:type="dxa"/>
          </w:tcPr>
          <w:p w14:paraId="1090A89E" w14:textId="77777777" w:rsidR="009E37DF" w:rsidRDefault="00F33276">
            <w:pPr>
              <w:spacing w:after="0" w:line="240" w:lineRule="auto"/>
              <w:rPr>
                <w:rFonts w:cs="Times New Roman"/>
                <w:color w:val="000000"/>
                <w:szCs w:val="24"/>
              </w:rPr>
            </w:pPr>
            <w:r>
              <w:rPr>
                <w:rFonts w:cs="Times New Roman"/>
                <w:color w:val="000000"/>
                <w:szCs w:val="24"/>
              </w:rPr>
              <w:t>Piperacillin</w:t>
            </w:r>
          </w:p>
        </w:tc>
        <w:tc>
          <w:tcPr>
            <w:tcW w:w="2588" w:type="dxa"/>
          </w:tcPr>
          <w:p w14:paraId="18A176D0" w14:textId="77777777" w:rsidR="009E37DF" w:rsidRDefault="009E37DF">
            <w:pPr>
              <w:spacing w:after="0" w:line="240" w:lineRule="auto"/>
              <w:rPr>
                <w:rFonts w:cs="Times New Roman"/>
                <w:color w:val="000000"/>
                <w:szCs w:val="24"/>
              </w:rPr>
            </w:pPr>
          </w:p>
        </w:tc>
        <w:tc>
          <w:tcPr>
            <w:tcW w:w="2680" w:type="dxa"/>
          </w:tcPr>
          <w:p w14:paraId="0557D2FF"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223FE2DA" w14:textId="77777777">
        <w:tc>
          <w:tcPr>
            <w:tcW w:w="3362" w:type="dxa"/>
          </w:tcPr>
          <w:p w14:paraId="41558DB1" w14:textId="77777777" w:rsidR="009E37DF" w:rsidRDefault="00F33276">
            <w:pPr>
              <w:spacing w:after="0" w:line="240" w:lineRule="auto"/>
              <w:rPr>
                <w:rFonts w:cs="Times New Roman"/>
                <w:color w:val="000000"/>
                <w:szCs w:val="24"/>
              </w:rPr>
            </w:pPr>
            <w:r>
              <w:rPr>
                <w:rFonts w:cs="Times New Roman"/>
                <w:color w:val="000000"/>
                <w:szCs w:val="24"/>
              </w:rPr>
              <w:t>Piperacillin/Sulbactam</w:t>
            </w:r>
          </w:p>
        </w:tc>
        <w:tc>
          <w:tcPr>
            <w:tcW w:w="2588" w:type="dxa"/>
          </w:tcPr>
          <w:p w14:paraId="0A298836" w14:textId="77777777" w:rsidR="009E37DF" w:rsidRDefault="009E37DF">
            <w:pPr>
              <w:spacing w:after="0" w:line="240" w:lineRule="auto"/>
              <w:rPr>
                <w:rFonts w:cs="Times New Roman"/>
                <w:color w:val="000000"/>
                <w:szCs w:val="24"/>
              </w:rPr>
            </w:pPr>
          </w:p>
        </w:tc>
        <w:tc>
          <w:tcPr>
            <w:tcW w:w="2680" w:type="dxa"/>
          </w:tcPr>
          <w:p w14:paraId="765B28FA"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10FEEA0F" w14:textId="77777777">
        <w:tc>
          <w:tcPr>
            <w:tcW w:w="3362" w:type="dxa"/>
          </w:tcPr>
          <w:p w14:paraId="07EE8B8F" w14:textId="77777777" w:rsidR="009E37DF" w:rsidRDefault="00F33276">
            <w:pPr>
              <w:spacing w:after="0" w:line="240" w:lineRule="auto"/>
              <w:rPr>
                <w:rFonts w:cs="Times New Roman"/>
                <w:color w:val="000000"/>
                <w:szCs w:val="24"/>
              </w:rPr>
            </w:pPr>
            <w:r>
              <w:rPr>
                <w:rFonts w:cs="Times New Roman"/>
                <w:color w:val="000000"/>
                <w:szCs w:val="24"/>
              </w:rPr>
              <w:t>Piperacillin/Tazobactam</w:t>
            </w:r>
          </w:p>
        </w:tc>
        <w:tc>
          <w:tcPr>
            <w:tcW w:w="2588" w:type="dxa"/>
          </w:tcPr>
          <w:p w14:paraId="656C8F90" w14:textId="77777777" w:rsidR="009E37DF" w:rsidRDefault="00F33276">
            <w:pPr>
              <w:spacing w:after="0" w:line="240" w:lineRule="auto"/>
              <w:rPr>
                <w:rFonts w:cs="Times New Roman"/>
                <w:color w:val="000000"/>
                <w:szCs w:val="24"/>
              </w:rPr>
            </w:pPr>
            <w:r>
              <w:rPr>
                <w:rFonts w:cs="Times New Roman"/>
                <w:color w:val="000000"/>
                <w:szCs w:val="24"/>
              </w:rPr>
              <w:t>&lt;=4</w:t>
            </w:r>
          </w:p>
        </w:tc>
        <w:tc>
          <w:tcPr>
            <w:tcW w:w="2680" w:type="dxa"/>
          </w:tcPr>
          <w:p w14:paraId="10CC845F"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5D2B6023" w14:textId="77777777">
        <w:tc>
          <w:tcPr>
            <w:tcW w:w="3362" w:type="dxa"/>
          </w:tcPr>
          <w:p w14:paraId="1E66081C" w14:textId="77777777" w:rsidR="009E37DF" w:rsidRDefault="00F33276">
            <w:pPr>
              <w:spacing w:after="0" w:line="240" w:lineRule="auto"/>
              <w:rPr>
                <w:rFonts w:cs="Times New Roman"/>
                <w:color w:val="000000"/>
                <w:szCs w:val="24"/>
              </w:rPr>
            </w:pPr>
            <w:r>
              <w:rPr>
                <w:rFonts w:cs="Times New Roman"/>
                <w:color w:val="000000"/>
                <w:szCs w:val="24"/>
              </w:rPr>
              <w:t>Cefotiam</w:t>
            </w:r>
          </w:p>
        </w:tc>
        <w:tc>
          <w:tcPr>
            <w:tcW w:w="2588" w:type="dxa"/>
          </w:tcPr>
          <w:p w14:paraId="4B51D8A9" w14:textId="77777777" w:rsidR="009E37DF" w:rsidRDefault="009E37DF">
            <w:pPr>
              <w:spacing w:after="0" w:line="240" w:lineRule="auto"/>
              <w:rPr>
                <w:rFonts w:cs="Times New Roman"/>
                <w:color w:val="000000"/>
                <w:szCs w:val="24"/>
              </w:rPr>
            </w:pPr>
          </w:p>
        </w:tc>
        <w:tc>
          <w:tcPr>
            <w:tcW w:w="2680" w:type="dxa"/>
          </w:tcPr>
          <w:p w14:paraId="1DF1B7F8"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4A0F543D" w14:textId="77777777">
        <w:tc>
          <w:tcPr>
            <w:tcW w:w="3362" w:type="dxa"/>
          </w:tcPr>
          <w:p w14:paraId="6413FDA6" w14:textId="77777777" w:rsidR="009E37DF" w:rsidRDefault="00F33276">
            <w:pPr>
              <w:spacing w:after="0" w:line="240" w:lineRule="auto"/>
              <w:rPr>
                <w:rFonts w:cs="Times New Roman"/>
                <w:color w:val="000000"/>
                <w:szCs w:val="24"/>
              </w:rPr>
            </w:pPr>
            <w:r>
              <w:rPr>
                <w:rFonts w:cs="Times New Roman"/>
                <w:color w:val="000000"/>
                <w:szCs w:val="24"/>
              </w:rPr>
              <w:t>Cefoxitin</w:t>
            </w:r>
          </w:p>
        </w:tc>
        <w:tc>
          <w:tcPr>
            <w:tcW w:w="2588" w:type="dxa"/>
          </w:tcPr>
          <w:p w14:paraId="6DF6A876" w14:textId="77777777" w:rsidR="009E37DF" w:rsidRDefault="009E37DF">
            <w:pPr>
              <w:spacing w:after="0" w:line="240" w:lineRule="auto"/>
              <w:rPr>
                <w:rFonts w:cs="Times New Roman"/>
                <w:color w:val="000000"/>
                <w:szCs w:val="24"/>
              </w:rPr>
            </w:pPr>
          </w:p>
        </w:tc>
        <w:tc>
          <w:tcPr>
            <w:tcW w:w="2680" w:type="dxa"/>
          </w:tcPr>
          <w:p w14:paraId="2AA9AAEF"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35122932" w14:textId="77777777">
        <w:tc>
          <w:tcPr>
            <w:tcW w:w="3362" w:type="dxa"/>
          </w:tcPr>
          <w:p w14:paraId="491F7197" w14:textId="77777777" w:rsidR="009E37DF" w:rsidRDefault="00F33276">
            <w:pPr>
              <w:spacing w:after="0" w:line="240" w:lineRule="auto"/>
              <w:rPr>
                <w:rFonts w:cs="Times New Roman"/>
                <w:color w:val="000000"/>
                <w:szCs w:val="24"/>
              </w:rPr>
            </w:pPr>
            <w:r>
              <w:rPr>
                <w:rFonts w:cs="Times New Roman"/>
                <w:color w:val="000000"/>
                <w:szCs w:val="24"/>
              </w:rPr>
              <w:lastRenderedPageBreak/>
              <w:t>Cefixime</w:t>
            </w:r>
          </w:p>
        </w:tc>
        <w:tc>
          <w:tcPr>
            <w:tcW w:w="2588" w:type="dxa"/>
          </w:tcPr>
          <w:p w14:paraId="565587FE" w14:textId="77777777" w:rsidR="009E37DF" w:rsidRDefault="009E37DF">
            <w:pPr>
              <w:spacing w:after="0" w:line="240" w:lineRule="auto"/>
              <w:rPr>
                <w:rFonts w:cs="Times New Roman"/>
                <w:color w:val="000000"/>
                <w:szCs w:val="24"/>
              </w:rPr>
            </w:pPr>
          </w:p>
        </w:tc>
        <w:tc>
          <w:tcPr>
            <w:tcW w:w="2680" w:type="dxa"/>
          </w:tcPr>
          <w:p w14:paraId="2A4F08D2"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5C3AE93F" w14:textId="77777777">
        <w:tc>
          <w:tcPr>
            <w:tcW w:w="3362" w:type="dxa"/>
          </w:tcPr>
          <w:p w14:paraId="14C332E4" w14:textId="77777777" w:rsidR="009E37DF" w:rsidRDefault="00F33276">
            <w:pPr>
              <w:spacing w:after="0" w:line="240" w:lineRule="auto"/>
              <w:rPr>
                <w:rFonts w:cs="Times New Roman"/>
                <w:color w:val="000000"/>
                <w:szCs w:val="24"/>
              </w:rPr>
            </w:pPr>
            <w:r>
              <w:rPr>
                <w:rFonts w:cs="Times New Roman"/>
                <w:color w:val="000000"/>
                <w:szCs w:val="24"/>
              </w:rPr>
              <w:t>Cefotaxime</w:t>
            </w:r>
          </w:p>
        </w:tc>
        <w:tc>
          <w:tcPr>
            <w:tcW w:w="2588" w:type="dxa"/>
          </w:tcPr>
          <w:p w14:paraId="1F84127F" w14:textId="77777777" w:rsidR="009E37DF" w:rsidRDefault="00F33276">
            <w:pPr>
              <w:spacing w:after="0" w:line="240" w:lineRule="auto"/>
              <w:rPr>
                <w:rFonts w:cs="Times New Roman"/>
                <w:color w:val="000000"/>
                <w:szCs w:val="24"/>
              </w:rPr>
            </w:pPr>
            <w:r>
              <w:rPr>
                <w:rFonts w:cs="Times New Roman"/>
                <w:color w:val="000000"/>
                <w:szCs w:val="24"/>
              </w:rPr>
              <w:t>1</w:t>
            </w:r>
          </w:p>
        </w:tc>
        <w:tc>
          <w:tcPr>
            <w:tcW w:w="2680" w:type="dxa"/>
          </w:tcPr>
          <w:p w14:paraId="28C6586C"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62034CDE" w14:textId="77777777">
        <w:tc>
          <w:tcPr>
            <w:tcW w:w="3362" w:type="dxa"/>
          </w:tcPr>
          <w:p w14:paraId="5B12F0B3" w14:textId="77777777" w:rsidR="009E37DF" w:rsidRDefault="00F33276">
            <w:pPr>
              <w:spacing w:after="0" w:line="240" w:lineRule="auto"/>
              <w:rPr>
                <w:rFonts w:cs="Times New Roman"/>
                <w:color w:val="000000"/>
                <w:szCs w:val="24"/>
              </w:rPr>
            </w:pPr>
            <w:r>
              <w:rPr>
                <w:rFonts w:cs="Times New Roman"/>
                <w:color w:val="000000"/>
                <w:szCs w:val="24"/>
              </w:rPr>
              <w:t>Ceftazidime</w:t>
            </w:r>
          </w:p>
        </w:tc>
        <w:tc>
          <w:tcPr>
            <w:tcW w:w="2588" w:type="dxa"/>
          </w:tcPr>
          <w:p w14:paraId="00A8E291" w14:textId="77777777" w:rsidR="009E37DF" w:rsidRDefault="00F33276">
            <w:pPr>
              <w:spacing w:after="0" w:line="240" w:lineRule="auto"/>
              <w:rPr>
                <w:rFonts w:cs="Times New Roman"/>
                <w:color w:val="000000"/>
                <w:szCs w:val="24"/>
              </w:rPr>
            </w:pPr>
            <w:r>
              <w:rPr>
                <w:rFonts w:cs="Times New Roman"/>
                <w:color w:val="000000"/>
                <w:szCs w:val="24"/>
              </w:rPr>
              <w:t>32</w:t>
            </w:r>
          </w:p>
        </w:tc>
        <w:tc>
          <w:tcPr>
            <w:tcW w:w="2680" w:type="dxa"/>
          </w:tcPr>
          <w:p w14:paraId="6A08787D"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19DFF4C4" w14:textId="77777777">
        <w:tc>
          <w:tcPr>
            <w:tcW w:w="3362" w:type="dxa"/>
          </w:tcPr>
          <w:p w14:paraId="33A8D6D0" w14:textId="77777777" w:rsidR="009E37DF" w:rsidRDefault="00F33276">
            <w:pPr>
              <w:spacing w:after="0" w:line="240" w:lineRule="auto"/>
              <w:rPr>
                <w:rFonts w:cs="Times New Roman"/>
                <w:color w:val="000000"/>
                <w:szCs w:val="24"/>
              </w:rPr>
            </w:pPr>
            <w:r>
              <w:rPr>
                <w:rFonts w:cs="Times New Roman"/>
                <w:color w:val="000000"/>
                <w:szCs w:val="24"/>
              </w:rPr>
              <w:t>Ceftazidime/Avibactam</w:t>
            </w:r>
          </w:p>
        </w:tc>
        <w:tc>
          <w:tcPr>
            <w:tcW w:w="2588" w:type="dxa"/>
          </w:tcPr>
          <w:p w14:paraId="6F45AE32" w14:textId="77777777" w:rsidR="009E37DF" w:rsidRDefault="00F33276">
            <w:pPr>
              <w:spacing w:after="0" w:line="240" w:lineRule="auto"/>
              <w:rPr>
                <w:rFonts w:cs="Times New Roman"/>
                <w:color w:val="000000"/>
                <w:szCs w:val="24"/>
              </w:rPr>
            </w:pPr>
            <w:r>
              <w:rPr>
                <w:rFonts w:cs="Times New Roman"/>
                <w:color w:val="000000"/>
                <w:szCs w:val="24"/>
              </w:rPr>
              <w:t>&gt;=16</w:t>
            </w:r>
          </w:p>
        </w:tc>
        <w:tc>
          <w:tcPr>
            <w:tcW w:w="2680" w:type="dxa"/>
          </w:tcPr>
          <w:p w14:paraId="5F389CB0"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479A38F6" w14:textId="77777777">
        <w:tc>
          <w:tcPr>
            <w:tcW w:w="3362" w:type="dxa"/>
          </w:tcPr>
          <w:p w14:paraId="3FBDBB1A" w14:textId="77777777" w:rsidR="009E37DF" w:rsidRDefault="00F33276">
            <w:pPr>
              <w:spacing w:after="0" w:line="240" w:lineRule="auto"/>
              <w:rPr>
                <w:rFonts w:cs="Times New Roman"/>
                <w:color w:val="000000"/>
                <w:szCs w:val="24"/>
              </w:rPr>
            </w:pPr>
            <w:proofErr w:type="spellStart"/>
            <w:r>
              <w:rPr>
                <w:rFonts w:cs="Times New Roman"/>
                <w:color w:val="000000"/>
                <w:szCs w:val="24"/>
              </w:rPr>
              <w:t>Ceftolozane</w:t>
            </w:r>
            <w:proofErr w:type="spellEnd"/>
            <w:r>
              <w:rPr>
                <w:rFonts w:cs="Times New Roman"/>
                <w:color w:val="000000"/>
                <w:szCs w:val="24"/>
              </w:rPr>
              <w:t>/Tazobactam</w:t>
            </w:r>
          </w:p>
        </w:tc>
        <w:tc>
          <w:tcPr>
            <w:tcW w:w="2588" w:type="dxa"/>
          </w:tcPr>
          <w:p w14:paraId="6CBF9B40" w14:textId="77777777" w:rsidR="009E37DF" w:rsidRDefault="00F33276">
            <w:pPr>
              <w:spacing w:after="0" w:line="240" w:lineRule="auto"/>
              <w:rPr>
                <w:rFonts w:cs="Times New Roman"/>
                <w:color w:val="000000"/>
                <w:szCs w:val="24"/>
              </w:rPr>
            </w:pPr>
            <w:r>
              <w:rPr>
                <w:rFonts w:cs="Times New Roman"/>
                <w:color w:val="000000"/>
                <w:szCs w:val="24"/>
              </w:rPr>
              <w:t>8</w:t>
            </w:r>
          </w:p>
        </w:tc>
        <w:tc>
          <w:tcPr>
            <w:tcW w:w="2680" w:type="dxa"/>
          </w:tcPr>
          <w:p w14:paraId="0DB3D90B"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217CCD26" w14:textId="77777777">
        <w:tc>
          <w:tcPr>
            <w:tcW w:w="3362" w:type="dxa"/>
          </w:tcPr>
          <w:p w14:paraId="02881787" w14:textId="77777777" w:rsidR="009E37DF" w:rsidRDefault="00F33276">
            <w:pPr>
              <w:spacing w:after="0" w:line="240" w:lineRule="auto"/>
              <w:rPr>
                <w:rFonts w:cs="Times New Roman"/>
                <w:color w:val="000000"/>
                <w:szCs w:val="24"/>
              </w:rPr>
            </w:pPr>
            <w:r>
              <w:rPr>
                <w:rFonts w:cs="Times New Roman"/>
                <w:color w:val="000000"/>
                <w:szCs w:val="24"/>
              </w:rPr>
              <w:t>Cefepime</w:t>
            </w:r>
          </w:p>
        </w:tc>
        <w:tc>
          <w:tcPr>
            <w:tcW w:w="2588" w:type="dxa"/>
          </w:tcPr>
          <w:p w14:paraId="39FB4792" w14:textId="77777777" w:rsidR="009E37DF" w:rsidRDefault="00F33276">
            <w:pPr>
              <w:spacing w:after="0" w:line="240" w:lineRule="auto"/>
              <w:rPr>
                <w:rFonts w:cs="Times New Roman"/>
                <w:color w:val="000000"/>
                <w:szCs w:val="24"/>
              </w:rPr>
            </w:pPr>
            <w:r>
              <w:rPr>
                <w:rFonts w:cs="Times New Roman"/>
                <w:color w:val="000000"/>
                <w:szCs w:val="24"/>
              </w:rPr>
              <w:t>0.5</w:t>
            </w:r>
          </w:p>
        </w:tc>
        <w:tc>
          <w:tcPr>
            <w:tcW w:w="2680" w:type="dxa"/>
          </w:tcPr>
          <w:p w14:paraId="77F5885A"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2891A8E8" w14:textId="77777777">
        <w:tc>
          <w:tcPr>
            <w:tcW w:w="3362" w:type="dxa"/>
          </w:tcPr>
          <w:p w14:paraId="4BD6E65F" w14:textId="77777777" w:rsidR="009E37DF" w:rsidRDefault="00F33276">
            <w:pPr>
              <w:spacing w:after="0" w:line="240" w:lineRule="auto"/>
              <w:rPr>
                <w:rFonts w:cs="Times New Roman"/>
                <w:color w:val="000000"/>
                <w:szCs w:val="24"/>
              </w:rPr>
            </w:pPr>
            <w:r>
              <w:rPr>
                <w:rFonts w:cs="Times New Roman"/>
                <w:color w:val="000000"/>
                <w:szCs w:val="24"/>
              </w:rPr>
              <w:t>Cefpirome</w:t>
            </w:r>
          </w:p>
        </w:tc>
        <w:tc>
          <w:tcPr>
            <w:tcW w:w="2588" w:type="dxa"/>
          </w:tcPr>
          <w:p w14:paraId="0E50B3DD" w14:textId="77777777" w:rsidR="009E37DF" w:rsidRDefault="009E37DF">
            <w:pPr>
              <w:spacing w:after="0" w:line="240" w:lineRule="auto"/>
              <w:rPr>
                <w:rFonts w:cs="Times New Roman"/>
                <w:color w:val="000000"/>
                <w:szCs w:val="24"/>
              </w:rPr>
            </w:pPr>
          </w:p>
        </w:tc>
        <w:tc>
          <w:tcPr>
            <w:tcW w:w="2680" w:type="dxa"/>
          </w:tcPr>
          <w:p w14:paraId="4910E799"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37CB54C0" w14:textId="77777777">
        <w:tc>
          <w:tcPr>
            <w:tcW w:w="3362" w:type="dxa"/>
          </w:tcPr>
          <w:p w14:paraId="77099B54" w14:textId="77777777" w:rsidR="009E37DF" w:rsidRDefault="00F33276">
            <w:pPr>
              <w:spacing w:after="0" w:line="240" w:lineRule="auto"/>
              <w:rPr>
                <w:rFonts w:cs="Times New Roman"/>
                <w:color w:val="000000"/>
                <w:szCs w:val="24"/>
              </w:rPr>
            </w:pPr>
            <w:r>
              <w:rPr>
                <w:rFonts w:cs="Times New Roman"/>
                <w:color w:val="000000"/>
                <w:szCs w:val="24"/>
              </w:rPr>
              <w:t>Cefquinome</w:t>
            </w:r>
          </w:p>
        </w:tc>
        <w:tc>
          <w:tcPr>
            <w:tcW w:w="2588" w:type="dxa"/>
          </w:tcPr>
          <w:p w14:paraId="4698D78E" w14:textId="77777777" w:rsidR="009E37DF" w:rsidRDefault="009E37DF">
            <w:pPr>
              <w:spacing w:after="0" w:line="240" w:lineRule="auto"/>
              <w:rPr>
                <w:rFonts w:cs="Times New Roman"/>
                <w:color w:val="000000"/>
                <w:szCs w:val="24"/>
              </w:rPr>
            </w:pPr>
          </w:p>
        </w:tc>
        <w:tc>
          <w:tcPr>
            <w:tcW w:w="2680" w:type="dxa"/>
          </w:tcPr>
          <w:p w14:paraId="70924E1B"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7D12403D" w14:textId="77777777">
        <w:tc>
          <w:tcPr>
            <w:tcW w:w="3362" w:type="dxa"/>
          </w:tcPr>
          <w:p w14:paraId="0E7F15CE" w14:textId="77777777" w:rsidR="009E37DF" w:rsidRDefault="00F33276">
            <w:pPr>
              <w:spacing w:after="0" w:line="240" w:lineRule="auto"/>
              <w:rPr>
                <w:rFonts w:cs="Times New Roman"/>
                <w:color w:val="000000"/>
                <w:szCs w:val="24"/>
              </w:rPr>
            </w:pPr>
            <w:r>
              <w:rPr>
                <w:rFonts w:cs="Times New Roman"/>
                <w:color w:val="000000"/>
                <w:szCs w:val="24"/>
              </w:rPr>
              <w:t>Imipenem</w:t>
            </w:r>
          </w:p>
        </w:tc>
        <w:tc>
          <w:tcPr>
            <w:tcW w:w="2588" w:type="dxa"/>
          </w:tcPr>
          <w:p w14:paraId="3C744153" w14:textId="77777777" w:rsidR="009E37DF" w:rsidRDefault="00F33276">
            <w:pPr>
              <w:spacing w:after="0" w:line="240" w:lineRule="auto"/>
              <w:rPr>
                <w:rFonts w:cs="Times New Roman"/>
                <w:color w:val="000000"/>
                <w:szCs w:val="24"/>
              </w:rPr>
            </w:pPr>
            <w:r>
              <w:rPr>
                <w:rFonts w:cs="Times New Roman"/>
                <w:color w:val="000000"/>
                <w:szCs w:val="24"/>
              </w:rPr>
              <w:t>&lt;=0.25</w:t>
            </w:r>
          </w:p>
        </w:tc>
        <w:tc>
          <w:tcPr>
            <w:tcW w:w="2680" w:type="dxa"/>
          </w:tcPr>
          <w:p w14:paraId="52FADD8D"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3BDBD1D5" w14:textId="77777777">
        <w:tc>
          <w:tcPr>
            <w:tcW w:w="3362" w:type="dxa"/>
          </w:tcPr>
          <w:p w14:paraId="40375215" w14:textId="77777777" w:rsidR="009E37DF" w:rsidRDefault="00F33276">
            <w:pPr>
              <w:spacing w:after="0" w:line="240" w:lineRule="auto"/>
              <w:rPr>
                <w:rFonts w:cs="Times New Roman"/>
                <w:color w:val="000000"/>
                <w:szCs w:val="24"/>
              </w:rPr>
            </w:pPr>
            <w:r>
              <w:rPr>
                <w:rFonts w:cs="Times New Roman"/>
                <w:color w:val="000000"/>
                <w:szCs w:val="24"/>
              </w:rPr>
              <w:t>Meropenem</w:t>
            </w:r>
          </w:p>
        </w:tc>
        <w:tc>
          <w:tcPr>
            <w:tcW w:w="2588" w:type="dxa"/>
          </w:tcPr>
          <w:p w14:paraId="2554B517" w14:textId="77777777" w:rsidR="009E37DF" w:rsidRDefault="00F33276">
            <w:pPr>
              <w:spacing w:after="0" w:line="240" w:lineRule="auto"/>
              <w:rPr>
                <w:rFonts w:cs="Times New Roman"/>
                <w:color w:val="000000"/>
                <w:szCs w:val="24"/>
              </w:rPr>
            </w:pPr>
            <w:r>
              <w:rPr>
                <w:rFonts w:cs="Times New Roman"/>
                <w:color w:val="000000"/>
                <w:szCs w:val="24"/>
              </w:rPr>
              <w:t>&lt;=0.25</w:t>
            </w:r>
          </w:p>
        </w:tc>
        <w:tc>
          <w:tcPr>
            <w:tcW w:w="2680" w:type="dxa"/>
          </w:tcPr>
          <w:p w14:paraId="3DB3F571"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3A1AEAD3" w14:textId="77777777">
        <w:tc>
          <w:tcPr>
            <w:tcW w:w="3362" w:type="dxa"/>
          </w:tcPr>
          <w:p w14:paraId="7B0DB3CA" w14:textId="77777777" w:rsidR="009E37DF" w:rsidRDefault="00F33276">
            <w:pPr>
              <w:spacing w:after="0" w:line="240" w:lineRule="auto"/>
              <w:rPr>
                <w:rFonts w:cs="Times New Roman"/>
                <w:color w:val="000000"/>
                <w:szCs w:val="24"/>
              </w:rPr>
            </w:pPr>
            <w:r>
              <w:rPr>
                <w:rFonts w:cs="Times New Roman"/>
                <w:color w:val="000000"/>
                <w:szCs w:val="24"/>
              </w:rPr>
              <w:t>Amikacin</w:t>
            </w:r>
          </w:p>
        </w:tc>
        <w:tc>
          <w:tcPr>
            <w:tcW w:w="2588" w:type="dxa"/>
          </w:tcPr>
          <w:p w14:paraId="57B73D4C" w14:textId="77777777" w:rsidR="009E37DF" w:rsidRDefault="00F33276">
            <w:pPr>
              <w:spacing w:after="0" w:line="240" w:lineRule="auto"/>
              <w:rPr>
                <w:rFonts w:cs="Times New Roman"/>
                <w:color w:val="000000"/>
                <w:szCs w:val="24"/>
              </w:rPr>
            </w:pPr>
            <w:r>
              <w:rPr>
                <w:rFonts w:cs="Times New Roman"/>
                <w:color w:val="000000"/>
                <w:szCs w:val="24"/>
              </w:rPr>
              <w:t>&lt;=1</w:t>
            </w:r>
          </w:p>
        </w:tc>
        <w:tc>
          <w:tcPr>
            <w:tcW w:w="2680" w:type="dxa"/>
          </w:tcPr>
          <w:p w14:paraId="2BB7829F"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30BE864B" w14:textId="77777777">
        <w:tc>
          <w:tcPr>
            <w:tcW w:w="3362" w:type="dxa"/>
          </w:tcPr>
          <w:p w14:paraId="35AF6B0F" w14:textId="77777777" w:rsidR="009E37DF" w:rsidRDefault="00F33276">
            <w:pPr>
              <w:spacing w:after="0" w:line="240" w:lineRule="auto"/>
              <w:rPr>
                <w:rFonts w:cs="Times New Roman"/>
                <w:color w:val="000000"/>
                <w:szCs w:val="24"/>
              </w:rPr>
            </w:pPr>
            <w:r>
              <w:rPr>
                <w:rFonts w:cs="Times New Roman"/>
                <w:color w:val="000000"/>
                <w:szCs w:val="24"/>
              </w:rPr>
              <w:t>Gentamicin</w:t>
            </w:r>
          </w:p>
        </w:tc>
        <w:tc>
          <w:tcPr>
            <w:tcW w:w="2588" w:type="dxa"/>
          </w:tcPr>
          <w:p w14:paraId="25AAE017" w14:textId="77777777" w:rsidR="009E37DF" w:rsidRDefault="00F33276">
            <w:pPr>
              <w:spacing w:after="0" w:line="240" w:lineRule="auto"/>
              <w:rPr>
                <w:rFonts w:cs="Times New Roman"/>
                <w:color w:val="000000"/>
                <w:szCs w:val="24"/>
              </w:rPr>
            </w:pPr>
            <w:r>
              <w:rPr>
                <w:rFonts w:cs="Times New Roman"/>
                <w:color w:val="000000"/>
                <w:szCs w:val="24"/>
              </w:rPr>
              <w:t>&lt;=1</w:t>
            </w:r>
          </w:p>
        </w:tc>
        <w:tc>
          <w:tcPr>
            <w:tcW w:w="2680" w:type="dxa"/>
          </w:tcPr>
          <w:p w14:paraId="27638A54"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6E84F5A8" w14:textId="77777777">
        <w:tc>
          <w:tcPr>
            <w:tcW w:w="3362" w:type="dxa"/>
          </w:tcPr>
          <w:p w14:paraId="1832B38E" w14:textId="77777777" w:rsidR="009E37DF" w:rsidRDefault="00F33276">
            <w:pPr>
              <w:spacing w:after="0" w:line="240" w:lineRule="auto"/>
              <w:rPr>
                <w:rFonts w:cs="Times New Roman"/>
                <w:color w:val="000000"/>
                <w:szCs w:val="24"/>
              </w:rPr>
            </w:pPr>
            <w:r>
              <w:rPr>
                <w:rFonts w:cs="Times New Roman"/>
                <w:color w:val="000000"/>
                <w:szCs w:val="24"/>
              </w:rPr>
              <w:t>Ciprofloxacin</w:t>
            </w:r>
          </w:p>
        </w:tc>
        <w:tc>
          <w:tcPr>
            <w:tcW w:w="2588" w:type="dxa"/>
          </w:tcPr>
          <w:p w14:paraId="6C1F0CED" w14:textId="77777777" w:rsidR="009E37DF" w:rsidRDefault="00F33276">
            <w:pPr>
              <w:spacing w:after="0" w:line="240" w:lineRule="auto"/>
              <w:rPr>
                <w:rFonts w:cs="Times New Roman"/>
                <w:color w:val="000000"/>
                <w:szCs w:val="24"/>
              </w:rPr>
            </w:pPr>
            <w:r>
              <w:rPr>
                <w:rFonts w:cs="Times New Roman"/>
                <w:color w:val="000000"/>
                <w:szCs w:val="24"/>
              </w:rPr>
              <w:t>&gt;=4</w:t>
            </w:r>
          </w:p>
        </w:tc>
        <w:tc>
          <w:tcPr>
            <w:tcW w:w="2680" w:type="dxa"/>
          </w:tcPr>
          <w:p w14:paraId="7E3FBEBB"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6DCE8389" w14:textId="77777777">
        <w:tc>
          <w:tcPr>
            <w:tcW w:w="3362" w:type="dxa"/>
          </w:tcPr>
          <w:p w14:paraId="7DD11342" w14:textId="77777777" w:rsidR="009E37DF" w:rsidRDefault="00F33276">
            <w:pPr>
              <w:spacing w:after="0" w:line="240" w:lineRule="auto"/>
              <w:rPr>
                <w:rFonts w:cs="Times New Roman"/>
                <w:color w:val="000000"/>
                <w:szCs w:val="24"/>
              </w:rPr>
            </w:pPr>
            <w:r>
              <w:rPr>
                <w:rFonts w:cs="Times New Roman"/>
                <w:color w:val="000000"/>
                <w:szCs w:val="24"/>
              </w:rPr>
              <w:t>Tigecycline</w:t>
            </w:r>
          </w:p>
        </w:tc>
        <w:tc>
          <w:tcPr>
            <w:tcW w:w="2588" w:type="dxa"/>
          </w:tcPr>
          <w:p w14:paraId="58DCB41A" w14:textId="77777777" w:rsidR="009E37DF" w:rsidRDefault="00F33276">
            <w:pPr>
              <w:spacing w:after="0" w:line="240" w:lineRule="auto"/>
              <w:rPr>
                <w:rFonts w:cs="Times New Roman"/>
                <w:color w:val="000000"/>
                <w:szCs w:val="24"/>
              </w:rPr>
            </w:pPr>
            <w:r>
              <w:rPr>
                <w:rFonts w:cs="Times New Roman"/>
                <w:color w:val="000000"/>
                <w:szCs w:val="24"/>
              </w:rPr>
              <w:t>&lt;0.5</w:t>
            </w:r>
          </w:p>
        </w:tc>
        <w:tc>
          <w:tcPr>
            <w:tcW w:w="2680" w:type="dxa"/>
          </w:tcPr>
          <w:p w14:paraId="25F61D4B"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1713BCF7" w14:textId="77777777">
        <w:tc>
          <w:tcPr>
            <w:tcW w:w="3362" w:type="dxa"/>
          </w:tcPr>
          <w:p w14:paraId="26990EF0" w14:textId="77777777" w:rsidR="009E37DF" w:rsidRDefault="00F33276">
            <w:pPr>
              <w:spacing w:after="0" w:line="240" w:lineRule="auto"/>
              <w:rPr>
                <w:rFonts w:cs="Times New Roman"/>
                <w:color w:val="000000"/>
                <w:szCs w:val="24"/>
              </w:rPr>
            </w:pPr>
            <w:r>
              <w:rPr>
                <w:rFonts w:cs="Times New Roman"/>
                <w:color w:val="000000"/>
                <w:szCs w:val="24"/>
              </w:rPr>
              <w:t>Trimethoprim/Sulfamethoxazole</w:t>
            </w:r>
          </w:p>
        </w:tc>
        <w:tc>
          <w:tcPr>
            <w:tcW w:w="2588" w:type="dxa"/>
          </w:tcPr>
          <w:p w14:paraId="58DEE3E1" w14:textId="77777777" w:rsidR="009E37DF" w:rsidRDefault="00F33276">
            <w:pPr>
              <w:spacing w:after="0" w:line="240" w:lineRule="auto"/>
              <w:rPr>
                <w:rFonts w:cs="Times New Roman"/>
                <w:color w:val="000000"/>
                <w:szCs w:val="24"/>
              </w:rPr>
            </w:pPr>
            <w:r>
              <w:rPr>
                <w:rFonts w:cs="Times New Roman"/>
                <w:color w:val="000000"/>
                <w:szCs w:val="24"/>
              </w:rPr>
              <w:t>&lt;=20</w:t>
            </w:r>
          </w:p>
        </w:tc>
        <w:tc>
          <w:tcPr>
            <w:tcW w:w="2680" w:type="dxa"/>
          </w:tcPr>
          <w:p w14:paraId="79D90EA5" w14:textId="77777777" w:rsidR="009E37DF" w:rsidRDefault="00F33276">
            <w:pPr>
              <w:spacing w:after="0" w:line="240" w:lineRule="auto"/>
              <w:rPr>
                <w:rFonts w:cs="Times New Roman"/>
                <w:color w:val="000000"/>
                <w:szCs w:val="24"/>
              </w:rPr>
            </w:pPr>
            <w:r>
              <w:rPr>
                <w:rFonts w:cs="Times New Roman"/>
                <w:color w:val="000000"/>
                <w:szCs w:val="24"/>
              </w:rPr>
              <w:t>S</w:t>
            </w:r>
          </w:p>
        </w:tc>
      </w:tr>
    </w:tbl>
    <w:p w14:paraId="6B450E4B" w14:textId="77777777" w:rsidR="009E37DF" w:rsidRDefault="009E37DF">
      <w:pPr>
        <w:rPr>
          <w:rFonts w:cs="Times New Roman"/>
          <w:color w:val="000000" w:themeColor="text1"/>
          <w:szCs w:val="24"/>
        </w:rPr>
      </w:pPr>
    </w:p>
    <w:p w14:paraId="534246C9" w14:textId="77777777" w:rsidR="009E37DF" w:rsidRDefault="00F33276">
      <w:pPr>
        <w:ind w:firstLine="720"/>
        <w:rPr>
          <w:rFonts w:cs="Times New Roman"/>
          <w:color w:val="000000" w:themeColor="text1"/>
          <w:szCs w:val="24"/>
        </w:rPr>
      </w:pPr>
      <w:proofErr w:type="gramStart"/>
      <w:r>
        <w:rPr>
          <w:rFonts w:cs="Times New Roman"/>
          <w:color w:val="000000" w:themeColor="text1"/>
          <w:szCs w:val="24"/>
        </w:rPr>
        <w:t>In( Table</w:t>
      </w:r>
      <w:proofErr w:type="gramEnd"/>
      <w:r>
        <w:rPr>
          <w:rFonts w:cs="Times New Roman"/>
          <w:color w:val="000000" w:themeColor="text1"/>
          <w:szCs w:val="24"/>
        </w:rPr>
        <w:t xml:space="preserve"> 2) The susceptibility profile of Staphylococcus aureus shows resistance to Moxifloxacin and </w:t>
      </w:r>
      <w:proofErr w:type="spellStart"/>
      <w:r>
        <w:rPr>
          <w:rFonts w:cs="Times New Roman"/>
          <w:color w:val="000000" w:themeColor="text1"/>
          <w:szCs w:val="24"/>
        </w:rPr>
        <w:t>Fusidic</w:t>
      </w:r>
      <w:proofErr w:type="spellEnd"/>
      <w:r>
        <w:rPr>
          <w:rFonts w:cs="Times New Roman"/>
          <w:color w:val="000000" w:themeColor="text1"/>
          <w:szCs w:val="24"/>
        </w:rPr>
        <w:t xml:space="preserve"> Acid. However, susceptibility to Oxacillin and Linezolid indicates a methicillin-sensitive strain. Absence of inducible clindamycin resistance is favorable.</w:t>
      </w:r>
    </w:p>
    <w:p w14:paraId="30A26A75" w14:textId="77777777" w:rsidR="009E37DF" w:rsidRDefault="00F33276">
      <w:pPr>
        <w:spacing w:after="0" w:line="240" w:lineRule="auto"/>
        <w:rPr>
          <w:rFonts w:cs="Times New Roman"/>
          <w:color w:val="000000"/>
          <w:szCs w:val="24"/>
        </w:rPr>
      </w:pPr>
      <w:r>
        <w:rPr>
          <w:rFonts w:cs="Times New Roman"/>
          <w:color w:val="000000"/>
          <w:szCs w:val="24"/>
        </w:rPr>
        <w:t>Table 2: Staphylococcus aureus Antimicrobial Susceptibility Profile</w:t>
      </w:r>
    </w:p>
    <w:tbl>
      <w:tblPr>
        <w:tblStyle w:val="15"/>
        <w:tblW w:w="0" w:type="auto"/>
        <w:tblInd w:w="11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4A0" w:firstRow="1" w:lastRow="0" w:firstColumn="1" w:lastColumn="0" w:noHBand="0" w:noVBand="1"/>
      </w:tblPr>
      <w:tblGrid>
        <w:gridCol w:w="2846"/>
        <w:gridCol w:w="2825"/>
        <w:gridCol w:w="2846"/>
      </w:tblGrid>
      <w:tr w:rsidR="009E37DF" w14:paraId="53F52E05" w14:textId="77777777">
        <w:tc>
          <w:tcPr>
            <w:tcW w:w="2880" w:type="dxa"/>
          </w:tcPr>
          <w:p w14:paraId="61DAD162" w14:textId="77777777" w:rsidR="009E37DF" w:rsidRDefault="00F33276">
            <w:pPr>
              <w:spacing w:after="0" w:line="240" w:lineRule="auto"/>
              <w:rPr>
                <w:rFonts w:cs="Times New Roman"/>
                <w:color w:val="000000"/>
                <w:szCs w:val="24"/>
              </w:rPr>
            </w:pPr>
            <w:r>
              <w:rPr>
                <w:rFonts w:cs="Times New Roman"/>
                <w:color w:val="000000"/>
                <w:szCs w:val="24"/>
              </w:rPr>
              <w:t>Antimicrobial Agent</w:t>
            </w:r>
          </w:p>
        </w:tc>
        <w:tc>
          <w:tcPr>
            <w:tcW w:w="2880" w:type="dxa"/>
          </w:tcPr>
          <w:p w14:paraId="229F965D" w14:textId="77777777" w:rsidR="009E37DF" w:rsidRDefault="00F33276">
            <w:pPr>
              <w:spacing w:after="0" w:line="240" w:lineRule="auto"/>
              <w:rPr>
                <w:rFonts w:cs="Times New Roman"/>
                <w:color w:val="000000"/>
                <w:szCs w:val="24"/>
              </w:rPr>
            </w:pPr>
            <w:r>
              <w:rPr>
                <w:rFonts w:cs="Times New Roman"/>
                <w:color w:val="000000"/>
                <w:szCs w:val="24"/>
              </w:rPr>
              <w:t>MIC</w:t>
            </w:r>
          </w:p>
        </w:tc>
        <w:tc>
          <w:tcPr>
            <w:tcW w:w="2880" w:type="dxa"/>
          </w:tcPr>
          <w:p w14:paraId="5F5827A1" w14:textId="77777777" w:rsidR="009E37DF" w:rsidRDefault="00F33276">
            <w:pPr>
              <w:spacing w:after="0" w:line="240" w:lineRule="auto"/>
              <w:rPr>
                <w:rFonts w:cs="Times New Roman"/>
                <w:color w:val="000000"/>
                <w:szCs w:val="24"/>
              </w:rPr>
            </w:pPr>
            <w:r>
              <w:rPr>
                <w:rFonts w:cs="Times New Roman"/>
                <w:color w:val="000000"/>
                <w:szCs w:val="24"/>
              </w:rPr>
              <w:t>Interpretation</w:t>
            </w:r>
          </w:p>
        </w:tc>
      </w:tr>
      <w:tr w:rsidR="009E37DF" w14:paraId="02E10AF4" w14:textId="77777777">
        <w:tc>
          <w:tcPr>
            <w:tcW w:w="2880" w:type="dxa"/>
          </w:tcPr>
          <w:p w14:paraId="7FF34A2F" w14:textId="77777777" w:rsidR="009E37DF" w:rsidRDefault="00F33276">
            <w:pPr>
              <w:spacing w:after="0" w:line="240" w:lineRule="auto"/>
              <w:rPr>
                <w:rFonts w:cs="Times New Roman"/>
                <w:color w:val="000000"/>
                <w:szCs w:val="24"/>
              </w:rPr>
            </w:pPr>
            <w:r>
              <w:rPr>
                <w:rFonts w:cs="Times New Roman"/>
                <w:color w:val="000000"/>
                <w:szCs w:val="24"/>
              </w:rPr>
              <w:t>Cefoxitin Screen</w:t>
            </w:r>
          </w:p>
        </w:tc>
        <w:tc>
          <w:tcPr>
            <w:tcW w:w="2880" w:type="dxa"/>
          </w:tcPr>
          <w:p w14:paraId="3371DB25" w14:textId="77777777" w:rsidR="009E37DF" w:rsidRDefault="00F33276">
            <w:pPr>
              <w:spacing w:after="0" w:line="240" w:lineRule="auto"/>
              <w:rPr>
                <w:rFonts w:cs="Times New Roman"/>
                <w:color w:val="000000"/>
                <w:szCs w:val="24"/>
              </w:rPr>
            </w:pPr>
            <w:r>
              <w:rPr>
                <w:rFonts w:cs="Times New Roman"/>
                <w:color w:val="000000"/>
                <w:szCs w:val="24"/>
              </w:rPr>
              <w:t>NEG</w:t>
            </w:r>
          </w:p>
        </w:tc>
        <w:tc>
          <w:tcPr>
            <w:tcW w:w="2880" w:type="dxa"/>
          </w:tcPr>
          <w:p w14:paraId="31F0EDD6" w14:textId="77777777" w:rsidR="009E37DF" w:rsidRDefault="00F33276">
            <w:pPr>
              <w:spacing w:after="0" w:line="240" w:lineRule="auto"/>
              <w:rPr>
                <w:rFonts w:cs="Times New Roman"/>
                <w:color w:val="000000"/>
                <w:szCs w:val="24"/>
              </w:rPr>
            </w:pPr>
            <w:r>
              <w:rPr>
                <w:rFonts w:cs="Times New Roman"/>
                <w:color w:val="000000"/>
                <w:szCs w:val="24"/>
              </w:rPr>
              <w:t>-</w:t>
            </w:r>
          </w:p>
        </w:tc>
      </w:tr>
      <w:tr w:rsidR="009E37DF" w14:paraId="0EDAFA02" w14:textId="77777777">
        <w:tc>
          <w:tcPr>
            <w:tcW w:w="2880" w:type="dxa"/>
          </w:tcPr>
          <w:p w14:paraId="0E6DEED0" w14:textId="77777777" w:rsidR="009E37DF" w:rsidRDefault="00F33276">
            <w:pPr>
              <w:spacing w:after="0" w:line="240" w:lineRule="auto"/>
              <w:rPr>
                <w:rFonts w:cs="Times New Roman"/>
                <w:color w:val="000000"/>
                <w:szCs w:val="24"/>
              </w:rPr>
            </w:pPr>
            <w:r>
              <w:rPr>
                <w:rFonts w:cs="Times New Roman"/>
                <w:color w:val="000000"/>
                <w:szCs w:val="24"/>
              </w:rPr>
              <w:t>Oxacillin</w:t>
            </w:r>
          </w:p>
        </w:tc>
        <w:tc>
          <w:tcPr>
            <w:tcW w:w="2880" w:type="dxa"/>
          </w:tcPr>
          <w:p w14:paraId="2A6F4F93" w14:textId="77777777" w:rsidR="009E37DF" w:rsidRDefault="00F33276">
            <w:pPr>
              <w:spacing w:after="0" w:line="240" w:lineRule="auto"/>
              <w:rPr>
                <w:rFonts w:cs="Times New Roman"/>
                <w:color w:val="000000"/>
                <w:szCs w:val="24"/>
              </w:rPr>
            </w:pPr>
            <w:r>
              <w:rPr>
                <w:rFonts w:cs="Times New Roman"/>
                <w:color w:val="000000"/>
                <w:szCs w:val="24"/>
              </w:rPr>
              <w:t>&lt;= 0.25</w:t>
            </w:r>
          </w:p>
        </w:tc>
        <w:tc>
          <w:tcPr>
            <w:tcW w:w="2880" w:type="dxa"/>
          </w:tcPr>
          <w:p w14:paraId="0B4C72C1"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25B3FE3B" w14:textId="77777777">
        <w:tc>
          <w:tcPr>
            <w:tcW w:w="2880" w:type="dxa"/>
          </w:tcPr>
          <w:p w14:paraId="01B5D26E" w14:textId="77777777" w:rsidR="009E37DF" w:rsidRDefault="00F33276">
            <w:pPr>
              <w:spacing w:after="0" w:line="240" w:lineRule="auto"/>
              <w:rPr>
                <w:rFonts w:cs="Times New Roman"/>
                <w:color w:val="000000"/>
                <w:szCs w:val="24"/>
              </w:rPr>
            </w:pPr>
            <w:r>
              <w:rPr>
                <w:rFonts w:cs="Times New Roman"/>
                <w:color w:val="000000"/>
                <w:szCs w:val="24"/>
              </w:rPr>
              <w:t>Linezolid</w:t>
            </w:r>
          </w:p>
        </w:tc>
        <w:tc>
          <w:tcPr>
            <w:tcW w:w="2880" w:type="dxa"/>
          </w:tcPr>
          <w:p w14:paraId="3756862D" w14:textId="77777777" w:rsidR="009E37DF" w:rsidRDefault="00F33276">
            <w:pPr>
              <w:spacing w:after="0" w:line="240" w:lineRule="auto"/>
              <w:rPr>
                <w:rFonts w:cs="Times New Roman"/>
                <w:color w:val="000000"/>
                <w:szCs w:val="24"/>
              </w:rPr>
            </w:pPr>
            <w:r>
              <w:rPr>
                <w:rFonts w:cs="Times New Roman"/>
                <w:color w:val="000000"/>
                <w:szCs w:val="24"/>
              </w:rPr>
              <w:t>2</w:t>
            </w:r>
          </w:p>
        </w:tc>
        <w:tc>
          <w:tcPr>
            <w:tcW w:w="2880" w:type="dxa"/>
          </w:tcPr>
          <w:p w14:paraId="0D663961"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5BC9C4B9" w14:textId="77777777">
        <w:tc>
          <w:tcPr>
            <w:tcW w:w="2880" w:type="dxa"/>
          </w:tcPr>
          <w:p w14:paraId="052CD58F" w14:textId="77777777" w:rsidR="009E37DF" w:rsidRDefault="00F33276">
            <w:pPr>
              <w:spacing w:after="0" w:line="240" w:lineRule="auto"/>
              <w:rPr>
                <w:rFonts w:cs="Times New Roman"/>
                <w:color w:val="000000"/>
                <w:szCs w:val="24"/>
              </w:rPr>
            </w:pPr>
            <w:proofErr w:type="spellStart"/>
            <w:r>
              <w:rPr>
                <w:rFonts w:cs="Times New Roman"/>
                <w:color w:val="000000"/>
                <w:szCs w:val="24"/>
              </w:rPr>
              <w:t>Tetocplanin</w:t>
            </w:r>
            <w:proofErr w:type="spellEnd"/>
          </w:p>
        </w:tc>
        <w:tc>
          <w:tcPr>
            <w:tcW w:w="2880" w:type="dxa"/>
          </w:tcPr>
          <w:p w14:paraId="2409844D" w14:textId="77777777" w:rsidR="009E37DF" w:rsidRDefault="00F33276">
            <w:pPr>
              <w:spacing w:after="0" w:line="240" w:lineRule="auto"/>
              <w:rPr>
                <w:rFonts w:cs="Times New Roman"/>
                <w:color w:val="000000"/>
                <w:szCs w:val="24"/>
              </w:rPr>
            </w:pPr>
            <w:r>
              <w:rPr>
                <w:rFonts w:cs="Times New Roman"/>
                <w:color w:val="000000"/>
                <w:szCs w:val="24"/>
              </w:rPr>
              <w:t>&lt;= 0.5</w:t>
            </w:r>
          </w:p>
        </w:tc>
        <w:tc>
          <w:tcPr>
            <w:tcW w:w="2880" w:type="dxa"/>
          </w:tcPr>
          <w:p w14:paraId="1C253E0A"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0E6118C1" w14:textId="77777777">
        <w:tc>
          <w:tcPr>
            <w:tcW w:w="2880" w:type="dxa"/>
          </w:tcPr>
          <w:p w14:paraId="668CC4CC" w14:textId="77777777" w:rsidR="009E37DF" w:rsidRDefault="00F33276">
            <w:pPr>
              <w:spacing w:after="0" w:line="240" w:lineRule="auto"/>
              <w:rPr>
                <w:rFonts w:cs="Times New Roman"/>
                <w:color w:val="000000"/>
                <w:szCs w:val="24"/>
              </w:rPr>
            </w:pPr>
            <w:r>
              <w:rPr>
                <w:rFonts w:cs="Times New Roman"/>
                <w:color w:val="000000"/>
                <w:szCs w:val="24"/>
              </w:rPr>
              <w:t>Tigecycline</w:t>
            </w:r>
          </w:p>
        </w:tc>
        <w:tc>
          <w:tcPr>
            <w:tcW w:w="2880" w:type="dxa"/>
          </w:tcPr>
          <w:p w14:paraId="4166ACE9" w14:textId="77777777" w:rsidR="009E37DF" w:rsidRDefault="00F33276">
            <w:pPr>
              <w:spacing w:after="0" w:line="240" w:lineRule="auto"/>
              <w:rPr>
                <w:rFonts w:cs="Times New Roman"/>
                <w:color w:val="000000"/>
                <w:szCs w:val="24"/>
              </w:rPr>
            </w:pPr>
            <w:r>
              <w:rPr>
                <w:rFonts w:cs="Times New Roman"/>
                <w:color w:val="000000"/>
                <w:szCs w:val="24"/>
              </w:rPr>
              <w:t>&lt;= 0.12</w:t>
            </w:r>
          </w:p>
        </w:tc>
        <w:tc>
          <w:tcPr>
            <w:tcW w:w="2880" w:type="dxa"/>
          </w:tcPr>
          <w:p w14:paraId="1B044894"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5B12F1B2" w14:textId="77777777">
        <w:tc>
          <w:tcPr>
            <w:tcW w:w="2880" w:type="dxa"/>
          </w:tcPr>
          <w:p w14:paraId="3DFF666D" w14:textId="77777777" w:rsidR="009E37DF" w:rsidRDefault="00F33276">
            <w:pPr>
              <w:spacing w:after="0" w:line="240" w:lineRule="auto"/>
              <w:rPr>
                <w:rFonts w:cs="Times New Roman"/>
                <w:color w:val="000000"/>
                <w:szCs w:val="24"/>
              </w:rPr>
            </w:pPr>
            <w:r>
              <w:rPr>
                <w:rFonts w:cs="Times New Roman"/>
                <w:color w:val="000000"/>
                <w:szCs w:val="24"/>
              </w:rPr>
              <w:t>Rifampicin</w:t>
            </w:r>
          </w:p>
        </w:tc>
        <w:tc>
          <w:tcPr>
            <w:tcW w:w="2880" w:type="dxa"/>
          </w:tcPr>
          <w:p w14:paraId="0A0933ED" w14:textId="77777777" w:rsidR="009E37DF" w:rsidRDefault="00F33276">
            <w:pPr>
              <w:spacing w:after="0" w:line="240" w:lineRule="auto"/>
              <w:rPr>
                <w:rFonts w:cs="Times New Roman"/>
                <w:color w:val="000000"/>
                <w:szCs w:val="24"/>
              </w:rPr>
            </w:pPr>
            <w:r>
              <w:rPr>
                <w:rFonts w:cs="Times New Roman"/>
                <w:color w:val="000000"/>
                <w:szCs w:val="24"/>
              </w:rPr>
              <w:t>&lt;= 0.5</w:t>
            </w:r>
          </w:p>
        </w:tc>
        <w:tc>
          <w:tcPr>
            <w:tcW w:w="2880" w:type="dxa"/>
          </w:tcPr>
          <w:p w14:paraId="1E19B3C9"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4489C012" w14:textId="77777777">
        <w:tc>
          <w:tcPr>
            <w:tcW w:w="2880" w:type="dxa"/>
          </w:tcPr>
          <w:p w14:paraId="00CF250A" w14:textId="77777777" w:rsidR="009E37DF" w:rsidRDefault="00F33276">
            <w:pPr>
              <w:spacing w:after="0" w:line="240" w:lineRule="auto"/>
              <w:rPr>
                <w:rFonts w:cs="Times New Roman"/>
                <w:color w:val="000000"/>
                <w:szCs w:val="24"/>
              </w:rPr>
            </w:pPr>
            <w:r>
              <w:rPr>
                <w:rFonts w:cs="Times New Roman"/>
                <w:color w:val="000000"/>
                <w:szCs w:val="24"/>
              </w:rPr>
              <w:t>Moxifloxacin</w:t>
            </w:r>
          </w:p>
        </w:tc>
        <w:tc>
          <w:tcPr>
            <w:tcW w:w="2880" w:type="dxa"/>
          </w:tcPr>
          <w:p w14:paraId="25CCAF46" w14:textId="77777777" w:rsidR="009E37DF" w:rsidRDefault="00F33276">
            <w:pPr>
              <w:spacing w:after="0" w:line="240" w:lineRule="auto"/>
              <w:rPr>
                <w:rFonts w:cs="Times New Roman"/>
                <w:color w:val="000000"/>
                <w:szCs w:val="24"/>
              </w:rPr>
            </w:pPr>
            <w:r>
              <w:rPr>
                <w:rFonts w:cs="Times New Roman"/>
                <w:color w:val="000000"/>
                <w:szCs w:val="24"/>
              </w:rPr>
              <w:t>4</w:t>
            </w:r>
          </w:p>
        </w:tc>
        <w:tc>
          <w:tcPr>
            <w:tcW w:w="2880" w:type="dxa"/>
          </w:tcPr>
          <w:p w14:paraId="386CE493"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0F9380FB" w14:textId="77777777">
        <w:tc>
          <w:tcPr>
            <w:tcW w:w="2880" w:type="dxa"/>
          </w:tcPr>
          <w:p w14:paraId="739A3A78" w14:textId="77777777" w:rsidR="009E37DF" w:rsidRDefault="00F33276">
            <w:pPr>
              <w:spacing w:after="0" w:line="240" w:lineRule="auto"/>
              <w:rPr>
                <w:rFonts w:cs="Times New Roman"/>
                <w:color w:val="000000"/>
                <w:szCs w:val="24"/>
              </w:rPr>
            </w:pPr>
            <w:proofErr w:type="spellStart"/>
            <w:r>
              <w:rPr>
                <w:rFonts w:cs="Times New Roman"/>
                <w:color w:val="000000"/>
                <w:szCs w:val="24"/>
              </w:rPr>
              <w:t>Fusidic</w:t>
            </w:r>
            <w:proofErr w:type="spellEnd"/>
            <w:r>
              <w:rPr>
                <w:rFonts w:cs="Times New Roman"/>
                <w:color w:val="000000"/>
                <w:szCs w:val="24"/>
              </w:rPr>
              <w:t xml:space="preserve"> Acid</w:t>
            </w:r>
          </w:p>
        </w:tc>
        <w:tc>
          <w:tcPr>
            <w:tcW w:w="2880" w:type="dxa"/>
          </w:tcPr>
          <w:p w14:paraId="7EC1F5D1" w14:textId="77777777" w:rsidR="009E37DF" w:rsidRDefault="00F33276">
            <w:pPr>
              <w:spacing w:after="0" w:line="240" w:lineRule="auto"/>
              <w:rPr>
                <w:rFonts w:cs="Times New Roman"/>
                <w:color w:val="000000"/>
                <w:szCs w:val="24"/>
              </w:rPr>
            </w:pPr>
            <w:r>
              <w:rPr>
                <w:rFonts w:cs="Times New Roman"/>
                <w:color w:val="000000"/>
                <w:szCs w:val="24"/>
              </w:rPr>
              <w:t>16</w:t>
            </w:r>
          </w:p>
        </w:tc>
        <w:tc>
          <w:tcPr>
            <w:tcW w:w="2880" w:type="dxa"/>
          </w:tcPr>
          <w:p w14:paraId="7200463D"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6B5B5A38" w14:textId="77777777">
        <w:tc>
          <w:tcPr>
            <w:tcW w:w="2880" w:type="dxa"/>
          </w:tcPr>
          <w:p w14:paraId="28C7E98A" w14:textId="77777777" w:rsidR="009E37DF" w:rsidRDefault="00F33276">
            <w:pPr>
              <w:spacing w:after="0" w:line="240" w:lineRule="auto"/>
              <w:rPr>
                <w:rFonts w:cs="Times New Roman"/>
                <w:color w:val="000000"/>
                <w:szCs w:val="24"/>
              </w:rPr>
            </w:pPr>
            <w:r>
              <w:rPr>
                <w:rFonts w:cs="Times New Roman"/>
                <w:color w:val="000000"/>
                <w:szCs w:val="24"/>
              </w:rPr>
              <w:t>Inducible Clindamycin Resistance</w:t>
            </w:r>
          </w:p>
        </w:tc>
        <w:tc>
          <w:tcPr>
            <w:tcW w:w="2880" w:type="dxa"/>
          </w:tcPr>
          <w:p w14:paraId="18570A22" w14:textId="77777777" w:rsidR="009E37DF" w:rsidRDefault="00F33276">
            <w:pPr>
              <w:spacing w:after="0" w:line="240" w:lineRule="auto"/>
              <w:rPr>
                <w:rFonts w:cs="Times New Roman"/>
                <w:color w:val="000000"/>
                <w:szCs w:val="24"/>
              </w:rPr>
            </w:pPr>
            <w:r>
              <w:rPr>
                <w:rFonts w:cs="Times New Roman"/>
                <w:color w:val="000000"/>
                <w:szCs w:val="24"/>
              </w:rPr>
              <w:t>NEG</w:t>
            </w:r>
          </w:p>
        </w:tc>
        <w:tc>
          <w:tcPr>
            <w:tcW w:w="2880" w:type="dxa"/>
          </w:tcPr>
          <w:p w14:paraId="5E2C7A44" w14:textId="77777777" w:rsidR="009E37DF" w:rsidRDefault="00F33276">
            <w:pPr>
              <w:spacing w:after="0" w:line="240" w:lineRule="auto"/>
              <w:rPr>
                <w:rFonts w:cs="Times New Roman"/>
                <w:color w:val="000000"/>
                <w:szCs w:val="24"/>
              </w:rPr>
            </w:pPr>
            <w:r>
              <w:rPr>
                <w:rFonts w:cs="Times New Roman"/>
                <w:color w:val="000000"/>
                <w:szCs w:val="24"/>
              </w:rPr>
              <w:t>-</w:t>
            </w:r>
          </w:p>
        </w:tc>
      </w:tr>
    </w:tbl>
    <w:p w14:paraId="2AA0F62E" w14:textId="77777777" w:rsidR="009E37DF" w:rsidRDefault="009E37DF">
      <w:pPr>
        <w:ind w:firstLine="720"/>
        <w:rPr>
          <w:rFonts w:cs="Times New Roman"/>
          <w:color w:val="000000" w:themeColor="text1"/>
          <w:szCs w:val="24"/>
        </w:rPr>
      </w:pPr>
    </w:p>
    <w:p w14:paraId="7C110279" w14:textId="77777777" w:rsidR="009E37DF" w:rsidRDefault="00F33276">
      <w:pPr>
        <w:ind w:firstLine="720"/>
        <w:rPr>
          <w:rFonts w:cs="Times New Roman"/>
          <w:color w:val="000000" w:themeColor="text1"/>
          <w:szCs w:val="24"/>
        </w:rPr>
      </w:pPr>
      <w:r>
        <w:rPr>
          <w:rFonts w:cs="Times New Roman"/>
          <w:color w:val="000000" w:themeColor="text1"/>
          <w:szCs w:val="24"/>
        </w:rPr>
        <w:t>In (Table 3) Klebsiella pneumoniae shows multidrug resistance to fluoroquinolones and beta-lactam antibiotics. However, it remains susceptible to carbapenems and aminoglycosides, indicating possible treatment options.</w:t>
      </w:r>
    </w:p>
    <w:p w14:paraId="3398CBE7" w14:textId="77777777" w:rsidR="009E37DF" w:rsidRDefault="00F33276">
      <w:pPr>
        <w:keepNext/>
        <w:keepLines/>
        <w:spacing w:before="200" w:after="0"/>
        <w:outlineLvl w:val="2"/>
        <w:rPr>
          <w:rFonts w:eastAsia="DengXian Light" w:cs="Times New Roman"/>
          <w:b/>
          <w:bCs/>
          <w:color w:val="000000"/>
          <w:szCs w:val="24"/>
        </w:rPr>
      </w:pPr>
      <w:r>
        <w:rPr>
          <w:rFonts w:eastAsia="DengXian Light" w:cs="Times New Roman"/>
          <w:b/>
          <w:bCs/>
          <w:color w:val="000000"/>
          <w:szCs w:val="24"/>
        </w:rPr>
        <w:t xml:space="preserve">Table 3: </w:t>
      </w:r>
      <w:r>
        <w:rPr>
          <w:rFonts w:eastAsia="DengXian Light" w:cs="Times New Roman"/>
          <w:color w:val="000000"/>
          <w:szCs w:val="24"/>
        </w:rPr>
        <w:t>Klebsiella pneumoniae Antimicrobial Susceptibility Profile (1)</w:t>
      </w:r>
    </w:p>
    <w:tbl>
      <w:tblPr>
        <w:tblStyle w:val="15"/>
        <w:tblW w:w="9122" w:type="dxa"/>
        <w:tblInd w:w="11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4A0" w:firstRow="1" w:lastRow="0" w:firstColumn="1" w:lastColumn="0" w:noHBand="0" w:noVBand="1"/>
      </w:tblPr>
      <w:tblGrid>
        <w:gridCol w:w="3362"/>
        <w:gridCol w:w="2880"/>
        <w:gridCol w:w="2880"/>
      </w:tblGrid>
      <w:tr w:rsidR="009E37DF" w14:paraId="1A969C82" w14:textId="77777777">
        <w:tc>
          <w:tcPr>
            <w:tcW w:w="3362" w:type="dxa"/>
          </w:tcPr>
          <w:p w14:paraId="07D31EC9" w14:textId="77777777" w:rsidR="009E37DF" w:rsidRDefault="00F33276">
            <w:pPr>
              <w:spacing w:after="0" w:line="240" w:lineRule="auto"/>
              <w:rPr>
                <w:rFonts w:cs="Times New Roman"/>
                <w:color w:val="000000"/>
                <w:szCs w:val="24"/>
              </w:rPr>
            </w:pPr>
            <w:r>
              <w:rPr>
                <w:rFonts w:cs="Times New Roman"/>
                <w:color w:val="000000"/>
                <w:szCs w:val="24"/>
              </w:rPr>
              <w:t>Antimicrobial Agent</w:t>
            </w:r>
          </w:p>
        </w:tc>
        <w:tc>
          <w:tcPr>
            <w:tcW w:w="2880" w:type="dxa"/>
          </w:tcPr>
          <w:p w14:paraId="4950AB88" w14:textId="77777777" w:rsidR="009E37DF" w:rsidRDefault="00F33276">
            <w:pPr>
              <w:spacing w:after="0" w:line="240" w:lineRule="auto"/>
              <w:rPr>
                <w:rFonts w:cs="Times New Roman"/>
                <w:color w:val="000000"/>
                <w:szCs w:val="24"/>
              </w:rPr>
            </w:pPr>
            <w:r>
              <w:rPr>
                <w:rFonts w:cs="Times New Roman"/>
                <w:color w:val="000000"/>
                <w:szCs w:val="24"/>
              </w:rPr>
              <w:t>MIC</w:t>
            </w:r>
          </w:p>
        </w:tc>
        <w:tc>
          <w:tcPr>
            <w:tcW w:w="2880" w:type="dxa"/>
          </w:tcPr>
          <w:p w14:paraId="36D1682F" w14:textId="77777777" w:rsidR="009E37DF" w:rsidRDefault="00F33276">
            <w:pPr>
              <w:spacing w:after="0" w:line="240" w:lineRule="auto"/>
              <w:rPr>
                <w:rFonts w:cs="Times New Roman"/>
                <w:color w:val="000000"/>
                <w:szCs w:val="24"/>
              </w:rPr>
            </w:pPr>
            <w:r>
              <w:rPr>
                <w:rFonts w:cs="Times New Roman"/>
                <w:color w:val="000000"/>
                <w:szCs w:val="24"/>
              </w:rPr>
              <w:t>Interpretation</w:t>
            </w:r>
          </w:p>
        </w:tc>
      </w:tr>
      <w:tr w:rsidR="009E37DF" w14:paraId="4B9161ED" w14:textId="77777777">
        <w:tc>
          <w:tcPr>
            <w:tcW w:w="3362" w:type="dxa"/>
          </w:tcPr>
          <w:p w14:paraId="1EFEDB01" w14:textId="77777777" w:rsidR="009E37DF" w:rsidRDefault="00F33276">
            <w:pPr>
              <w:spacing w:after="0" w:line="240" w:lineRule="auto"/>
              <w:rPr>
                <w:rFonts w:cs="Times New Roman"/>
                <w:color w:val="000000"/>
                <w:szCs w:val="24"/>
              </w:rPr>
            </w:pPr>
            <w:r>
              <w:rPr>
                <w:rFonts w:cs="Times New Roman"/>
                <w:color w:val="000000"/>
                <w:szCs w:val="24"/>
              </w:rPr>
              <w:t>Ampicillin</w:t>
            </w:r>
          </w:p>
        </w:tc>
        <w:tc>
          <w:tcPr>
            <w:tcW w:w="2880" w:type="dxa"/>
          </w:tcPr>
          <w:p w14:paraId="32247C8C"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3CCACFC4"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64945DDD" w14:textId="77777777">
        <w:tc>
          <w:tcPr>
            <w:tcW w:w="3362" w:type="dxa"/>
          </w:tcPr>
          <w:p w14:paraId="2366A521" w14:textId="77777777" w:rsidR="009E37DF" w:rsidRDefault="00F33276">
            <w:pPr>
              <w:spacing w:after="0" w:line="240" w:lineRule="auto"/>
              <w:rPr>
                <w:rFonts w:cs="Times New Roman"/>
                <w:color w:val="000000"/>
                <w:szCs w:val="24"/>
              </w:rPr>
            </w:pPr>
            <w:r>
              <w:rPr>
                <w:rFonts w:cs="Times New Roman"/>
                <w:color w:val="000000"/>
                <w:szCs w:val="24"/>
              </w:rPr>
              <w:t xml:space="preserve">Ampicillin/ </w:t>
            </w:r>
            <w:proofErr w:type="spellStart"/>
            <w:r>
              <w:rPr>
                <w:rFonts w:cs="Times New Roman"/>
                <w:color w:val="000000"/>
                <w:szCs w:val="24"/>
              </w:rPr>
              <w:t>Subactam</w:t>
            </w:r>
            <w:proofErr w:type="spellEnd"/>
          </w:p>
        </w:tc>
        <w:tc>
          <w:tcPr>
            <w:tcW w:w="2880" w:type="dxa"/>
          </w:tcPr>
          <w:p w14:paraId="33D9A946" w14:textId="77777777" w:rsidR="009E37DF" w:rsidRDefault="00F33276">
            <w:pPr>
              <w:spacing w:after="0" w:line="240" w:lineRule="auto"/>
              <w:rPr>
                <w:rFonts w:cs="Times New Roman"/>
                <w:color w:val="000000"/>
                <w:szCs w:val="24"/>
              </w:rPr>
            </w:pPr>
            <w:r>
              <w:rPr>
                <w:rFonts w:cs="Times New Roman"/>
                <w:color w:val="000000"/>
                <w:szCs w:val="24"/>
              </w:rPr>
              <w:t>16</w:t>
            </w:r>
          </w:p>
        </w:tc>
        <w:tc>
          <w:tcPr>
            <w:tcW w:w="2880" w:type="dxa"/>
          </w:tcPr>
          <w:p w14:paraId="403FA471"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337ED0A3" w14:textId="77777777">
        <w:tc>
          <w:tcPr>
            <w:tcW w:w="3362" w:type="dxa"/>
          </w:tcPr>
          <w:p w14:paraId="2AE1C6D2" w14:textId="77777777" w:rsidR="009E37DF" w:rsidRDefault="00F33276">
            <w:pPr>
              <w:spacing w:after="0" w:line="240" w:lineRule="auto"/>
              <w:rPr>
                <w:rFonts w:cs="Times New Roman"/>
                <w:color w:val="000000"/>
                <w:szCs w:val="24"/>
              </w:rPr>
            </w:pPr>
            <w:r>
              <w:rPr>
                <w:rFonts w:cs="Times New Roman"/>
                <w:color w:val="000000"/>
                <w:szCs w:val="24"/>
              </w:rPr>
              <w:t>Ticarcillin</w:t>
            </w:r>
          </w:p>
        </w:tc>
        <w:tc>
          <w:tcPr>
            <w:tcW w:w="2880" w:type="dxa"/>
          </w:tcPr>
          <w:p w14:paraId="32953078"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20713EB1"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01B53B31" w14:textId="77777777">
        <w:tc>
          <w:tcPr>
            <w:tcW w:w="3362" w:type="dxa"/>
          </w:tcPr>
          <w:p w14:paraId="2316C9DE" w14:textId="77777777" w:rsidR="009E37DF" w:rsidRDefault="00F33276">
            <w:pPr>
              <w:spacing w:after="0" w:line="240" w:lineRule="auto"/>
              <w:rPr>
                <w:rFonts w:cs="Times New Roman"/>
                <w:color w:val="000000"/>
                <w:szCs w:val="24"/>
              </w:rPr>
            </w:pPr>
            <w:r>
              <w:rPr>
                <w:rFonts w:cs="Times New Roman"/>
                <w:color w:val="000000"/>
                <w:szCs w:val="24"/>
              </w:rPr>
              <w:lastRenderedPageBreak/>
              <w:t>Piperacillin/ tazobactam</w:t>
            </w:r>
          </w:p>
        </w:tc>
        <w:tc>
          <w:tcPr>
            <w:tcW w:w="2880" w:type="dxa"/>
          </w:tcPr>
          <w:p w14:paraId="3C4B1C85" w14:textId="77777777" w:rsidR="009E37DF" w:rsidRDefault="00F33276">
            <w:pPr>
              <w:spacing w:after="0" w:line="240" w:lineRule="auto"/>
              <w:rPr>
                <w:rFonts w:cs="Times New Roman"/>
                <w:color w:val="000000"/>
                <w:szCs w:val="24"/>
              </w:rPr>
            </w:pPr>
            <w:r>
              <w:rPr>
                <w:rFonts w:cs="Times New Roman"/>
                <w:color w:val="000000"/>
                <w:szCs w:val="24"/>
              </w:rPr>
              <w:t>32</w:t>
            </w:r>
          </w:p>
        </w:tc>
        <w:tc>
          <w:tcPr>
            <w:tcW w:w="2880" w:type="dxa"/>
          </w:tcPr>
          <w:p w14:paraId="2891F01C" w14:textId="77777777" w:rsidR="009E37DF" w:rsidRDefault="00F33276">
            <w:pPr>
              <w:spacing w:after="0" w:line="240" w:lineRule="auto"/>
              <w:rPr>
                <w:rFonts w:cs="Times New Roman"/>
                <w:color w:val="000000"/>
                <w:szCs w:val="24"/>
              </w:rPr>
            </w:pPr>
            <w:r>
              <w:rPr>
                <w:rFonts w:cs="Times New Roman"/>
                <w:color w:val="000000"/>
                <w:szCs w:val="24"/>
              </w:rPr>
              <w:t>I</w:t>
            </w:r>
          </w:p>
        </w:tc>
      </w:tr>
      <w:tr w:rsidR="009E37DF" w14:paraId="74D8B962" w14:textId="77777777">
        <w:tc>
          <w:tcPr>
            <w:tcW w:w="3362" w:type="dxa"/>
          </w:tcPr>
          <w:p w14:paraId="20AC7230" w14:textId="77777777" w:rsidR="009E37DF" w:rsidRDefault="00F33276">
            <w:pPr>
              <w:spacing w:after="0" w:line="240" w:lineRule="auto"/>
              <w:rPr>
                <w:rFonts w:cs="Times New Roman"/>
                <w:color w:val="000000"/>
                <w:szCs w:val="24"/>
              </w:rPr>
            </w:pPr>
            <w:r>
              <w:rPr>
                <w:rFonts w:cs="Times New Roman"/>
                <w:color w:val="000000"/>
                <w:szCs w:val="24"/>
              </w:rPr>
              <w:t>Norfloxacin</w:t>
            </w:r>
          </w:p>
        </w:tc>
        <w:tc>
          <w:tcPr>
            <w:tcW w:w="2880" w:type="dxa"/>
          </w:tcPr>
          <w:p w14:paraId="12A55570"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6BCB646E"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5DEA20E7" w14:textId="77777777">
        <w:tc>
          <w:tcPr>
            <w:tcW w:w="3362" w:type="dxa"/>
          </w:tcPr>
          <w:p w14:paraId="394CD452" w14:textId="77777777" w:rsidR="009E37DF" w:rsidRDefault="00F33276">
            <w:pPr>
              <w:spacing w:after="0" w:line="240" w:lineRule="auto"/>
              <w:rPr>
                <w:rFonts w:cs="Times New Roman"/>
                <w:color w:val="000000"/>
                <w:szCs w:val="24"/>
              </w:rPr>
            </w:pPr>
            <w:r>
              <w:rPr>
                <w:rFonts w:cs="Times New Roman"/>
                <w:color w:val="000000"/>
                <w:szCs w:val="24"/>
              </w:rPr>
              <w:t>Moxifloxacin</w:t>
            </w:r>
          </w:p>
        </w:tc>
        <w:tc>
          <w:tcPr>
            <w:tcW w:w="2880" w:type="dxa"/>
          </w:tcPr>
          <w:p w14:paraId="537A2109"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0F52288B"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26798940" w14:textId="77777777">
        <w:tc>
          <w:tcPr>
            <w:tcW w:w="3362" w:type="dxa"/>
          </w:tcPr>
          <w:p w14:paraId="79FD37E6" w14:textId="77777777" w:rsidR="009E37DF" w:rsidRDefault="00F33276">
            <w:pPr>
              <w:spacing w:after="0" w:line="240" w:lineRule="auto"/>
              <w:rPr>
                <w:rFonts w:cs="Times New Roman"/>
                <w:color w:val="000000"/>
                <w:szCs w:val="24"/>
              </w:rPr>
            </w:pPr>
            <w:r>
              <w:rPr>
                <w:rFonts w:cs="Times New Roman"/>
                <w:color w:val="000000"/>
                <w:szCs w:val="24"/>
              </w:rPr>
              <w:t>Lomefloxacin</w:t>
            </w:r>
          </w:p>
        </w:tc>
        <w:tc>
          <w:tcPr>
            <w:tcW w:w="2880" w:type="dxa"/>
          </w:tcPr>
          <w:p w14:paraId="025667AC"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47D3E15D"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6F3737A2" w14:textId="77777777">
        <w:tc>
          <w:tcPr>
            <w:tcW w:w="3362" w:type="dxa"/>
          </w:tcPr>
          <w:p w14:paraId="1F932C47" w14:textId="77777777" w:rsidR="009E37DF" w:rsidRDefault="00F33276">
            <w:pPr>
              <w:spacing w:after="0" w:line="240" w:lineRule="auto"/>
              <w:rPr>
                <w:rFonts w:cs="Times New Roman"/>
                <w:color w:val="000000"/>
                <w:szCs w:val="24"/>
              </w:rPr>
            </w:pPr>
            <w:r>
              <w:rPr>
                <w:rFonts w:cs="Times New Roman"/>
                <w:color w:val="000000"/>
                <w:szCs w:val="24"/>
              </w:rPr>
              <w:t>Levofloxacin</w:t>
            </w:r>
          </w:p>
        </w:tc>
        <w:tc>
          <w:tcPr>
            <w:tcW w:w="2880" w:type="dxa"/>
          </w:tcPr>
          <w:p w14:paraId="6C1652F7"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2F79D042"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19FDBBE3" w14:textId="77777777">
        <w:tc>
          <w:tcPr>
            <w:tcW w:w="3362" w:type="dxa"/>
          </w:tcPr>
          <w:p w14:paraId="345E42E1" w14:textId="77777777" w:rsidR="009E37DF" w:rsidRDefault="00F33276">
            <w:pPr>
              <w:spacing w:after="0" w:line="240" w:lineRule="auto"/>
              <w:rPr>
                <w:rFonts w:cs="Times New Roman"/>
                <w:color w:val="000000"/>
                <w:szCs w:val="24"/>
              </w:rPr>
            </w:pPr>
            <w:proofErr w:type="spellStart"/>
            <w:r>
              <w:rPr>
                <w:rFonts w:cs="Times New Roman"/>
                <w:color w:val="000000"/>
                <w:szCs w:val="24"/>
              </w:rPr>
              <w:t>Gatifloxacin</w:t>
            </w:r>
            <w:proofErr w:type="spellEnd"/>
          </w:p>
        </w:tc>
        <w:tc>
          <w:tcPr>
            <w:tcW w:w="2880" w:type="dxa"/>
          </w:tcPr>
          <w:p w14:paraId="1F38837D"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56190C67"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30E3D905" w14:textId="77777777">
        <w:tc>
          <w:tcPr>
            <w:tcW w:w="3362" w:type="dxa"/>
          </w:tcPr>
          <w:p w14:paraId="361DBF98" w14:textId="77777777" w:rsidR="009E37DF" w:rsidRDefault="00F33276">
            <w:pPr>
              <w:spacing w:after="0" w:line="240" w:lineRule="auto"/>
              <w:rPr>
                <w:rFonts w:cs="Times New Roman"/>
                <w:color w:val="000000"/>
                <w:szCs w:val="24"/>
              </w:rPr>
            </w:pPr>
            <w:r>
              <w:rPr>
                <w:rFonts w:cs="Times New Roman"/>
                <w:color w:val="000000"/>
                <w:szCs w:val="24"/>
              </w:rPr>
              <w:t>Ciprofloxacin</w:t>
            </w:r>
          </w:p>
        </w:tc>
        <w:tc>
          <w:tcPr>
            <w:tcW w:w="2880" w:type="dxa"/>
          </w:tcPr>
          <w:p w14:paraId="2E4BF2AD" w14:textId="77777777" w:rsidR="009E37DF" w:rsidRDefault="00F33276">
            <w:pPr>
              <w:spacing w:after="0" w:line="240" w:lineRule="auto"/>
              <w:rPr>
                <w:rFonts w:cs="Times New Roman"/>
                <w:color w:val="000000"/>
                <w:szCs w:val="24"/>
              </w:rPr>
            </w:pPr>
            <w:r>
              <w:rPr>
                <w:rFonts w:cs="Times New Roman"/>
                <w:color w:val="000000"/>
                <w:szCs w:val="24"/>
              </w:rPr>
              <w:t>&gt;=4</w:t>
            </w:r>
          </w:p>
        </w:tc>
        <w:tc>
          <w:tcPr>
            <w:tcW w:w="2880" w:type="dxa"/>
          </w:tcPr>
          <w:p w14:paraId="32A9A320"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79887A06" w14:textId="77777777">
        <w:tc>
          <w:tcPr>
            <w:tcW w:w="3362" w:type="dxa"/>
          </w:tcPr>
          <w:p w14:paraId="300958DA" w14:textId="77777777" w:rsidR="009E37DF" w:rsidRDefault="00F33276">
            <w:pPr>
              <w:spacing w:after="0" w:line="240" w:lineRule="auto"/>
              <w:rPr>
                <w:rFonts w:cs="Times New Roman"/>
                <w:color w:val="000000"/>
                <w:szCs w:val="24"/>
              </w:rPr>
            </w:pPr>
            <w:r>
              <w:rPr>
                <w:rFonts w:cs="Times New Roman"/>
                <w:color w:val="000000"/>
                <w:szCs w:val="24"/>
              </w:rPr>
              <w:t>Fleroxacin</w:t>
            </w:r>
          </w:p>
        </w:tc>
        <w:tc>
          <w:tcPr>
            <w:tcW w:w="2880" w:type="dxa"/>
          </w:tcPr>
          <w:p w14:paraId="71A27A56"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013C189A"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00A7EA78" w14:textId="77777777">
        <w:tc>
          <w:tcPr>
            <w:tcW w:w="3362" w:type="dxa"/>
          </w:tcPr>
          <w:p w14:paraId="03BE2D39" w14:textId="77777777" w:rsidR="009E37DF" w:rsidRDefault="00F33276">
            <w:pPr>
              <w:spacing w:after="0" w:line="240" w:lineRule="auto"/>
              <w:rPr>
                <w:rFonts w:cs="Times New Roman"/>
                <w:color w:val="000000"/>
                <w:szCs w:val="24"/>
              </w:rPr>
            </w:pPr>
            <w:r>
              <w:rPr>
                <w:rFonts w:cs="Times New Roman"/>
                <w:color w:val="000000"/>
                <w:szCs w:val="24"/>
              </w:rPr>
              <w:t>Trimethoprim/Sulfamethoxazole</w:t>
            </w:r>
          </w:p>
        </w:tc>
        <w:tc>
          <w:tcPr>
            <w:tcW w:w="2880" w:type="dxa"/>
          </w:tcPr>
          <w:p w14:paraId="31D99815" w14:textId="77777777" w:rsidR="009E37DF" w:rsidRDefault="00F33276">
            <w:pPr>
              <w:spacing w:after="0" w:line="240" w:lineRule="auto"/>
              <w:rPr>
                <w:rFonts w:cs="Times New Roman"/>
                <w:color w:val="000000"/>
                <w:szCs w:val="24"/>
              </w:rPr>
            </w:pPr>
            <w:r>
              <w:rPr>
                <w:rFonts w:cs="Times New Roman"/>
                <w:color w:val="000000"/>
                <w:szCs w:val="24"/>
              </w:rPr>
              <w:t>&gt;=320</w:t>
            </w:r>
          </w:p>
        </w:tc>
        <w:tc>
          <w:tcPr>
            <w:tcW w:w="2880" w:type="dxa"/>
          </w:tcPr>
          <w:p w14:paraId="03AC3633"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1B04C9E8" w14:textId="77777777">
        <w:tc>
          <w:tcPr>
            <w:tcW w:w="3362" w:type="dxa"/>
          </w:tcPr>
          <w:p w14:paraId="44DAA9F4" w14:textId="77777777" w:rsidR="009E37DF" w:rsidRDefault="00F33276">
            <w:pPr>
              <w:spacing w:after="0" w:line="240" w:lineRule="auto"/>
              <w:rPr>
                <w:rFonts w:cs="Times New Roman"/>
                <w:color w:val="000000"/>
                <w:szCs w:val="24"/>
              </w:rPr>
            </w:pPr>
            <w:proofErr w:type="spellStart"/>
            <w:r>
              <w:rPr>
                <w:rFonts w:cs="Times New Roman"/>
                <w:color w:val="000000"/>
                <w:szCs w:val="24"/>
              </w:rPr>
              <w:t>Ceftolozane</w:t>
            </w:r>
            <w:proofErr w:type="spellEnd"/>
            <w:r>
              <w:rPr>
                <w:rFonts w:cs="Times New Roman"/>
                <w:color w:val="000000"/>
                <w:szCs w:val="24"/>
              </w:rPr>
              <w:t>/ Tazobactam</w:t>
            </w:r>
          </w:p>
        </w:tc>
        <w:tc>
          <w:tcPr>
            <w:tcW w:w="2880" w:type="dxa"/>
          </w:tcPr>
          <w:p w14:paraId="13B6BD80" w14:textId="77777777" w:rsidR="009E37DF" w:rsidRDefault="00F33276">
            <w:pPr>
              <w:spacing w:after="0" w:line="240" w:lineRule="auto"/>
              <w:rPr>
                <w:rFonts w:cs="Times New Roman"/>
                <w:color w:val="000000"/>
                <w:szCs w:val="24"/>
              </w:rPr>
            </w:pPr>
            <w:r>
              <w:rPr>
                <w:rFonts w:cs="Times New Roman"/>
                <w:color w:val="000000"/>
                <w:szCs w:val="24"/>
              </w:rPr>
              <w:t>&lt;=0.12</w:t>
            </w:r>
          </w:p>
        </w:tc>
        <w:tc>
          <w:tcPr>
            <w:tcW w:w="2880" w:type="dxa"/>
          </w:tcPr>
          <w:p w14:paraId="64909DDB"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51D212DF" w14:textId="77777777">
        <w:tc>
          <w:tcPr>
            <w:tcW w:w="3362" w:type="dxa"/>
          </w:tcPr>
          <w:p w14:paraId="21C2799D" w14:textId="77777777" w:rsidR="009E37DF" w:rsidRDefault="00F33276">
            <w:pPr>
              <w:spacing w:after="0" w:line="240" w:lineRule="auto"/>
              <w:rPr>
                <w:rFonts w:cs="Times New Roman"/>
                <w:color w:val="000000"/>
                <w:szCs w:val="24"/>
              </w:rPr>
            </w:pPr>
            <w:r>
              <w:rPr>
                <w:rFonts w:cs="Times New Roman"/>
                <w:color w:val="000000"/>
                <w:szCs w:val="24"/>
              </w:rPr>
              <w:t>Cefotiam</w:t>
            </w:r>
          </w:p>
        </w:tc>
        <w:tc>
          <w:tcPr>
            <w:tcW w:w="2880" w:type="dxa"/>
          </w:tcPr>
          <w:p w14:paraId="3CC03595"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34D45BCA"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45D1FF8D" w14:textId="77777777">
        <w:tc>
          <w:tcPr>
            <w:tcW w:w="3362" w:type="dxa"/>
          </w:tcPr>
          <w:p w14:paraId="032AE196" w14:textId="77777777" w:rsidR="009E37DF" w:rsidRDefault="00F33276">
            <w:pPr>
              <w:spacing w:after="0" w:line="240" w:lineRule="auto"/>
              <w:rPr>
                <w:rFonts w:cs="Times New Roman"/>
                <w:color w:val="000000"/>
                <w:szCs w:val="24"/>
              </w:rPr>
            </w:pPr>
            <w:r>
              <w:rPr>
                <w:rFonts w:cs="Times New Roman"/>
                <w:color w:val="000000"/>
                <w:szCs w:val="24"/>
              </w:rPr>
              <w:t>Cefotaxime</w:t>
            </w:r>
          </w:p>
        </w:tc>
        <w:tc>
          <w:tcPr>
            <w:tcW w:w="2880" w:type="dxa"/>
          </w:tcPr>
          <w:p w14:paraId="1F1CF28A" w14:textId="77777777" w:rsidR="009E37DF" w:rsidRDefault="00F33276">
            <w:pPr>
              <w:spacing w:after="0" w:line="240" w:lineRule="auto"/>
              <w:rPr>
                <w:rFonts w:cs="Times New Roman"/>
                <w:color w:val="000000"/>
                <w:szCs w:val="24"/>
              </w:rPr>
            </w:pPr>
            <w:r>
              <w:rPr>
                <w:rFonts w:cs="Times New Roman"/>
                <w:color w:val="000000"/>
                <w:szCs w:val="24"/>
              </w:rPr>
              <w:t>&lt;=0.25</w:t>
            </w:r>
          </w:p>
        </w:tc>
        <w:tc>
          <w:tcPr>
            <w:tcW w:w="2880" w:type="dxa"/>
          </w:tcPr>
          <w:p w14:paraId="349150B5"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69799058" w14:textId="77777777">
        <w:tc>
          <w:tcPr>
            <w:tcW w:w="3362" w:type="dxa"/>
          </w:tcPr>
          <w:p w14:paraId="2445AF39" w14:textId="77777777" w:rsidR="009E37DF" w:rsidRDefault="00F33276">
            <w:pPr>
              <w:spacing w:after="0" w:line="240" w:lineRule="auto"/>
              <w:rPr>
                <w:rFonts w:cs="Times New Roman"/>
                <w:color w:val="000000"/>
                <w:szCs w:val="24"/>
              </w:rPr>
            </w:pPr>
            <w:r>
              <w:rPr>
                <w:rFonts w:cs="Times New Roman"/>
                <w:color w:val="000000"/>
                <w:szCs w:val="24"/>
              </w:rPr>
              <w:t>Ceftazidime</w:t>
            </w:r>
          </w:p>
        </w:tc>
        <w:tc>
          <w:tcPr>
            <w:tcW w:w="2880" w:type="dxa"/>
          </w:tcPr>
          <w:p w14:paraId="205FDFDF"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191C3067"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0C75A3FC" w14:textId="77777777">
        <w:tc>
          <w:tcPr>
            <w:tcW w:w="3362" w:type="dxa"/>
          </w:tcPr>
          <w:p w14:paraId="77A37142" w14:textId="77777777" w:rsidR="009E37DF" w:rsidRDefault="00F33276">
            <w:pPr>
              <w:spacing w:after="0" w:line="240" w:lineRule="auto"/>
              <w:rPr>
                <w:rFonts w:cs="Times New Roman"/>
                <w:color w:val="000000"/>
                <w:szCs w:val="24"/>
              </w:rPr>
            </w:pPr>
            <w:r>
              <w:rPr>
                <w:rFonts w:cs="Times New Roman"/>
                <w:color w:val="000000"/>
                <w:szCs w:val="24"/>
              </w:rPr>
              <w:t>Ceftazidime/Avibactam</w:t>
            </w:r>
          </w:p>
        </w:tc>
        <w:tc>
          <w:tcPr>
            <w:tcW w:w="2880" w:type="dxa"/>
          </w:tcPr>
          <w:p w14:paraId="543CE364" w14:textId="77777777" w:rsidR="009E37DF" w:rsidRDefault="00F33276">
            <w:pPr>
              <w:spacing w:after="0" w:line="240" w:lineRule="auto"/>
              <w:rPr>
                <w:rFonts w:cs="Times New Roman"/>
                <w:color w:val="000000"/>
                <w:szCs w:val="24"/>
              </w:rPr>
            </w:pPr>
            <w:r>
              <w:rPr>
                <w:rFonts w:cs="Times New Roman"/>
                <w:color w:val="000000"/>
                <w:szCs w:val="24"/>
              </w:rPr>
              <w:t>0.25</w:t>
            </w:r>
          </w:p>
        </w:tc>
        <w:tc>
          <w:tcPr>
            <w:tcW w:w="2880" w:type="dxa"/>
          </w:tcPr>
          <w:p w14:paraId="3EEC5B41"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301E1C3A" w14:textId="77777777">
        <w:tc>
          <w:tcPr>
            <w:tcW w:w="3362" w:type="dxa"/>
          </w:tcPr>
          <w:p w14:paraId="1820A615" w14:textId="77777777" w:rsidR="009E37DF" w:rsidRDefault="00F33276">
            <w:pPr>
              <w:spacing w:after="0" w:line="240" w:lineRule="auto"/>
              <w:rPr>
                <w:rFonts w:cs="Times New Roman"/>
                <w:color w:val="000000"/>
                <w:szCs w:val="24"/>
              </w:rPr>
            </w:pPr>
            <w:proofErr w:type="spellStart"/>
            <w:r>
              <w:rPr>
                <w:rFonts w:cs="Times New Roman"/>
                <w:color w:val="000000"/>
                <w:szCs w:val="24"/>
              </w:rPr>
              <w:t>Ceftolozane</w:t>
            </w:r>
            <w:proofErr w:type="spellEnd"/>
            <w:r>
              <w:rPr>
                <w:rFonts w:cs="Times New Roman"/>
                <w:color w:val="000000"/>
                <w:szCs w:val="24"/>
              </w:rPr>
              <w:t>/Tazobactam</w:t>
            </w:r>
          </w:p>
        </w:tc>
        <w:tc>
          <w:tcPr>
            <w:tcW w:w="2880" w:type="dxa"/>
          </w:tcPr>
          <w:p w14:paraId="37903B90" w14:textId="77777777" w:rsidR="009E37DF" w:rsidRDefault="00F33276">
            <w:pPr>
              <w:spacing w:after="0" w:line="240" w:lineRule="auto"/>
              <w:rPr>
                <w:rFonts w:cs="Times New Roman"/>
                <w:color w:val="000000"/>
                <w:szCs w:val="24"/>
              </w:rPr>
            </w:pPr>
            <w:r>
              <w:rPr>
                <w:rFonts w:cs="Times New Roman"/>
                <w:color w:val="000000"/>
                <w:szCs w:val="24"/>
              </w:rPr>
              <w:t>0.5</w:t>
            </w:r>
          </w:p>
        </w:tc>
        <w:tc>
          <w:tcPr>
            <w:tcW w:w="2880" w:type="dxa"/>
          </w:tcPr>
          <w:p w14:paraId="3349C52D"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4ED4B40C" w14:textId="77777777">
        <w:tc>
          <w:tcPr>
            <w:tcW w:w="3362" w:type="dxa"/>
          </w:tcPr>
          <w:p w14:paraId="0E2D9E7C" w14:textId="77777777" w:rsidR="009E37DF" w:rsidRDefault="00F33276">
            <w:pPr>
              <w:spacing w:after="0" w:line="240" w:lineRule="auto"/>
              <w:rPr>
                <w:rFonts w:cs="Times New Roman"/>
                <w:color w:val="000000"/>
                <w:szCs w:val="24"/>
              </w:rPr>
            </w:pPr>
            <w:r>
              <w:rPr>
                <w:rFonts w:cs="Times New Roman"/>
                <w:color w:val="000000"/>
                <w:szCs w:val="24"/>
              </w:rPr>
              <w:t>Cefepime</w:t>
            </w:r>
          </w:p>
        </w:tc>
        <w:tc>
          <w:tcPr>
            <w:tcW w:w="2880" w:type="dxa"/>
          </w:tcPr>
          <w:p w14:paraId="0725C47B" w14:textId="77777777" w:rsidR="009E37DF" w:rsidRDefault="00F33276">
            <w:pPr>
              <w:spacing w:after="0" w:line="240" w:lineRule="auto"/>
              <w:rPr>
                <w:rFonts w:cs="Times New Roman"/>
                <w:color w:val="000000"/>
                <w:szCs w:val="24"/>
              </w:rPr>
            </w:pPr>
            <w:r>
              <w:rPr>
                <w:rFonts w:cs="Times New Roman"/>
                <w:color w:val="000000"/>
                <w:szCs w:val="24"/>
              </w:rPr>
              <w:t>&lt;=0.12</w:t>
            </w:r>
          </w:p>
        </w:tc>
        <w:tc>
          <w:tcPr>
            <w:tcW w:w="2880" w:type="dxa"/>
          </w:tcPr>
          <w:p w14:paraId="4EEF5675"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4EABE096" w14:textId="77777777">
        <w:tc>
          <w:tcPr>
            <w:tcW w:w="3362" w:type="dxa"/>
          </w:tcPr>
          <w:p w14:paraId="510C1FA1" w14:textId="77777777" w:rsidR="009E37DF" w:rsidRDefault="00F33276">
            <w:pPr>
              <w:spacing w:after="0" w:line="240" w:lineRule="auto"/>
              <w:rPr>
                <w:rFonts w:cs="Times New Roman"/>
                <w:color w:val="000000"/>
                <w:szCs w:val="24"/>
              </w:rPr>
            </w:pPr>
            <w:r>
              <w:rPr>
                <w:rFonts w:cs="Times New Roman"/>
                <w:color w:val="000000"/>
                <w:szCs w:val="24"/>
              </w:rPr>
              <w:t>Amikacin</w:t>
            </w:r>
          </w:p>
        </w:tc>
        <w:tc>
          <w:tcPr>
            <w:tcW w:w="2880" w:type="dxa"/>
          </w:tcPr>
          <w:p w14:paraId="59263336"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298782A6"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5715F099" w14:textId="77777777">
        <w:tc>
          <w:tcPr>
            <w:tcW w:w="3362" w:type="dxa"/>
          </w:tcPr>
          <w:p w14:paraId="32D3C2DE" w14:textId="77777777" w:rsidR="009E37DF" w:rsidRDefault="00F33276">
            <w:pPr>
              <w:spacing w:after="0" w:line="240" w:lineRule="auto"/>
              <w:rPr>
                <w:rFonts w:cs="Times New Roman"/>
                <w:color w:val="000000"/>
                <w:szCs w:val="24"/>
              </w:rPr>
            </w:pPr>
            <w:proofErr w:type="spellStart"/>
            <w:r>
              <w:rPr>
                <w:rFonts w:cs="Times New Roman"/>
                <w:color w:val="000000"/>
                <w:szCs w:val="24"/>
              </w:rPr>
              <w:t>Doripenem</w:t>
            </w:r>
            <w:proofErr w:type="spellEnd"/>
          </w:p>
        </w:tc>
        <w:tc>
          <w:tcPr>
            <w:tcW w:w="2880" w:type="dxa"/>
          </w:tcPr>
          <w:p w14:paraId="00E79977"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4FF72366"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7BF40D5A" w14:textId="77777777">
        <w:tc>
          <w:tcPr>
            <w:tcW w:w="3362" w:type="dxa"/>
          </w:tcPr>
          <w:p w14:paraId="7FBBFC23" w14:textId="77777777" w:rsidR="009E37DF" w:rsidRDefault="00F33276">
            <w:pPr>
              <w:spacing w:after="0" w:line="240" w:lineRule="auto"/>
              <w:rPr>
                <w:rFonts w:cs="Times New Roman"/>
                <w:color w:val="000000"/>
                <w:szCs w:val="24"/>
              </w:rPr>
            </w:pPr>
            <w:r>
              <w:rPr>
                <w:rFonts w:cs="Times New Roman"/>
                <w:color w:val="000000"/>
                <w:szCs w:val="24"/>
              </w:rPr>
              <w:t>Ertapenem</w:t>
            </w:r>
          </w:p>
        </w:tc>
        <w:tc>
          <w:tcPr>
            <w:tcW w:w="2880" w:type="dxa"/>
          </w:tcPr>
          <w:p w14:paraId="69C4D3C2"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3EFC9BDC"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073E0839" w14:textId="77777777">
        <w:tc>
          <w:tcPr>
            <w:tcW w:w="3362" w:type="dxa"/>
          </w:tcPr>
          <w:p w14:paraId="5CB12C01" w14:textId="77777777" w:rsidR="009E37DF" w:rsidRDefault="00F33276">
            <w:pPr>
              <w:spacing w:after="0" w:line="240" w:lineRule="auto"/>
              <w:rPr>
                <w:rFonts w:cs="Times New Roman"/>
                <w:color w:val="000000"/>
                <w:szCs w:val="24"/>
              </w:rPr>
            </w:pPr>
            <w:r>
              <w:rPr>
                <w:rFonts w:cs="Times New Roman"/>
                <w:color w:val="000000"/>
                <w:szCs w:val="24"/>
              </w:rPr>
              <w:t>Imipenem</w:t>
            </w:r>
          </w:p>
        </w:tc>
        <w:tc>
          <w:tcPr>
            <w:tcW w:w="2880" w:type="dxa"/>
          </w:tcPr>
          <w:p w14:paraId="13F21B60" w14:textId="77777777" w:rsidR="009E37DF" w:rsidRDefault="00F33276">
            <w:pPr>
              <w:spacing w:after="0" w:line="240" w:lineRule="auto"/>
              <w:rPr>
                <w:rFonts w:cs="Times New Roman"/>
                <w:color w:val="000000"/>
                <w:szCs w:val="24"/>
              </w:rPr>
            </w:pPr>
            <w:r>
              <w:rPr>
                <w:rFonts w:cs="Times New Roman"/>
                <w:color w:val="000000"/>
                <w:szCs w:val="24"/>
              </w:rPr>
              <w:t>&lt;=0.25</w:t>
            </w:r>
          </w:p>
        </w:tc>
        <w:tc>
          <w:tcPr>
            <w:tcW w:w="2880" w:type="dxa"/>
          </w:tcPr>
          <w:p w14:paraId="4A10F2C3"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341E0973" w14:textId="77777777">
        <w:tc>
          <w:tcPr>
            <w:tcW w:w="3362" w:type="dxa"/>
          </w:tcPr>
          <w:p w14:paraId="71CE1CF7" w14:textId="77777777" w:rsidR="009E37DF" w:rsidRDefault="00F33276">
            <w:pPr>
              <w:spacing w:after="0" w:line="240" w:lineRule="auto"/>
              <w:rPr>
                <w:rFonts w:cs="Times New Roman"/>
                <w:color w:val="000000"/>
                <w:szCs w:val="24"/>
              </w:rPr>
            </w:pPr>
            <w:r>
              <w:rPr>
                <w:rFonts w:cs="Times New Roman"/>
                <w:color w:val="000000"/>
                <w:szCs w:val="24"/>
              </w:rPr>
              <w:t>Meropenem</w:t>
            </w:r>
          </w:p>
        </w:tc>
        <w:tc>
          <w:tcPr>
            <w:tcW w:w="2880" w:type="dxa"/>
          </w:tcPr>
          <w:p w14:paraId="0B3A1AA8" w14:textId="77777777" w:rsidR="009E37DF" w:rsidRDefault="00F33276">
            <w:pPr>
              <w:spacing w:after="0" w:line="240" w:lineRule="auto"/>
              <w:rPr>
                <w:rFonts w:cs="Times New Roman"/>
                <w:color w:val="000000"/>
                <w:szCs w:val="24"/>
              </w:rPr>
            </w:pPr>
            <w:r>
              <w:rPr>
                <w:rFonts w:cs="Times New Roman"/>
                <w:color w:val="000000"/>
                <w:szCs w:val="24"/>
              </w:rPr>
              <w:t>&lt;=0.25</w:t>
            </w:r>
          </w:p>
        </w:tc>
        <w:tc>
          <w:tcPr>
            <w:tcW w:w="2880" w:type="dxa"/>
          </w:tcPr>
          <w:p w14:paraId="4F1D5A4D"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23FFFDA1" w14:textId="77777777">
        <w:tc>
          <w:tcPr>
            <w:tcW w:w="3362" w:type="dxa"/>
          </w:tcPr>
          <w:p w14:paraId="7F5D5392" w14:textId="77777777" w:rsidR="009E37DF" w:rsidRDefault="00F33276">
            <w:pPr>
              <w:spacing w:after="0" w:line="240" w:lineRule="auto"/>
              <w:rPr>
                <w:rFonts w:cs="Times New Roman"/>
                <w:color w:val="000000"/>
                <w:szCs w:val="24"/>
              </w:rPr>
            </w:pPr>
            <w:r>
              <w:rPr>
                <w:rFonts w:cs="Times New Roman"/>
                <w:color w:val="000000"/>
                <w:szCs w:val="24"/>
              </w:rPr>
              <w:t>Gentamicin</w:t>
            </w:r>
          </w:p>
        </w:tc>
        <w:tc>
          <w:tcPr>
            <w:tcW w:w="2880" w:type="dxa"/>
          </w:tcPr>
          <w:p w14:paraId="3A5BFD3A"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760E7734"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2F668014" w14:textId="77777777">
        <w:tc>
          <w:tcPr>
            <w:tcW w:w="3362" w:type="dxa"/>
          </w:tcPr>
          <w:p w14:paraId="2EB1C728" w14:textId="77777777" w:rsidR="009E37DF" w:rsidRDefault="00F33276">
            <w:pPr>
              <w:spacing w:after="0" w:line="240" w:lineRule="auto"/>
              <w:rPr>
                <w:rFonts w:cs="Times New Roman"/>
                <w:color w:val="000000"/>
                <w:szCs w:val="24"/>
              </w:rPr>
            </w:pPr>
            <w:r>
              <w:rPr>
                <w:rFonts w:cs="Times New Roman"/>
                <w:color w:val="000000"/>
                <w:szCs w:val="24"/>
              </w:rPr>
              <w:t>Netilmicin</w:t>
            </w:r>
          </w:p>
        </w:tc>
        <w:tc>
          <w:tcPr>
            <w:tcW w:w="2880" w:type="dxa"/>
          </w:tcPr>
          <w:p w14:paraId="75320FD0"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1C9586F1" w14:textId="77777777" w:rsidR="009E37DF" w:rsidRDefault="00F33276">
            <w:pPr>
              <w:spacing w:after="0" w:line="240" w:lineRule="auto"/>
              <w:rPr>
                <w:rFonts w:cs="Times New Roman"/>
                <w:color w:val="000000"/>
                <w:szCs w:val="24"/>
              </w:rPr>
            </w:pPr>
            <w:r>
              <w:rPr>
                <w:rFonts w:cs="Times New Roman"/>
                <w:color w:val="000000"/>
                <w:szCs w:val="24"/>
              </w:rPr>
              <w:t>S</w:t>
            </w:r>
          </w:p>
        </w:tc>
      </w:tr>
    </w:tbl>
    <w:p w14:paraId="0A4C3F68" w14:textId="77777777" w:rsidR="009E37DF" w:rsidRDefault="009E37DF">
      <w:pPr>
        <w:rPr>
          <w:rFonts w:cs="Times New Roman"/>
          <w:color w:val="000000" w:themeColor="text1"/>
          <w:szCs w:val="24"/>
        </w:rPr>
      </w:pPr>
    </w:p>
    <w:p w14:paraId="2A293ED7" w14:textId="77777777" w:rsidR="009E37DF" w:rsidRDefault="00F33276">
      <w:pPr>
        <w:ind w:firstLine="720"/>
        <w:rPr>
          <w:rFonts w:cs="Times New Roman"/>
          <w:color w:val="000000" w:themeColor="text1"/>
          <w:szCs w:val="24"/>
        </w:rPr>
      </w:pPr>
      <w:r>
        <w:rPr>
          <w:rFonts w:cs="Times New Roman"/>
          <w:color w:val="000000" w:themeColor="text1"/>
          <w:szCs w:val="24"/>
        </w:rPr>
        <w:t>In (Table 4) A second Klebsiella pneumoniae isolate demonstrates extensive drug resistance, particularly to fluoroquinolones and trimethoprim. Carbapenems and aminoglycosides continue to be effective therapeutic options.</w:t>
      </w:r>
    </w:p>
    <w:p w14:paraId="0B5C9194" w14:textId="77777777" w:rsidR="009E37DF" w:rsidRDefault="00F33276">
      <w:pPr>
        <w:keepNext/>
        <w:keepLines/>
        <w:spacing w:before="200" w:after="0"/>
        <w:outlineLvl w:val="2"/>
        <w:rPr>
          <w:rFonts w:eastAsia="DengXian Light" w:cs="Times New Roman"/>
          <w:b/>
          <w:bCs/>
          <w:color w:val="000000"/>
          <w:szCs w:val="24"/>
        </w:rPr>
      </w:pPr>
      <w:r>
        <w:rPr>
          <w:rFonts w:eastAsia="DengXian Light" w:cs="Times New Roman"/>
          <w:b/>
          <w:bCs/>
          <w:color w:val="000000"/>
          <w:szCs w:val="24"/>
        </w:rPr>
        <w:t xml:space="preserve">Table 4: </w:t>
      </w:r>
      <w:r>
        <w:rPr>
          <w:rFonts w:eastAsia="DengXian Light" w:cs="Times New Roman"/>
          <w:color w:val="000000"/>
          <w:szCs w:val="24"/>
        </w:rPr>
        <w:t>Klebsiella pneumoniae Antimicrobial Susceptibility Profile (2)</w:t>
      </w:r>
    </w:p>
    <w:tbl>
      <w:tblPr>
        <w:tblStyle w:val="TableGrid"/>
        <w:tblW w:w="0" w:type="auto"/>
        <w:tblLook w:val="04A0" w:firstRow="1" w:lastRow="0" w:firstColumn="1" w:lastColumn="0" w:noHBand="0" w:noVBand="1"/>
      </w:tblPr>
      <w:tblGrid>
        <w:gridCol w:w="3362"/>
        <w:gridCol w:w="2588"/>
        <w:gridCol w:w="2680"/>
      </w:tblGrid>
      <w:tr w:rsidR="009E37DF" w14:paraId="1BE736E8" w14:textId="77777777">
        <w:tc>
          <w:tcPr>
            <w:tcW w:w="2880" w:type="dxa"/>
          </w:tcPr>
          <w:p w14:paraId="79499B93" w14:textId="77777777" w:rsidR="009E37DF" w:rsidRDefault="00F33276">
            <w:pPr>
              <w:spacing w:after="0" w:line="240" w:lineRule="auto"/>
              <w:rPr>
                <w:rFonts w:cs="Times New Roman"/>
                <w:color w:val="000000"/>
                <w:szCs w:val="24"/>
              </w:rPr>
            </w:pPr>
            <w:r>
              <w:rPr>
                <w:rFonts w:cs="Times New Roman"/>
                <w:color w:val="000000"/>
                <w:szCs w:val="24"/>
              </w:rPr>
              <w:t>Antimicrobial Agent</w:t>
            </w:r>
          </w:p>
        </w:tc>
        <w:tc>
          <w:tcPr>
            <w:tcW w:w="2880" w:type="dxa"/>
          </w:tcPr>
          <w:p w14:paraId="17E25B2E" w14:textId="77777777" w:rsidR="009E37DF" w:rsidRDefault="00F33276">
            <w:pPr>
              <w:spacing w:after="0" w:line="240" w:lineRule="auto"/>
              <w:rPr>
                <w:rFonts w:cs="Times New Roman"/>
                <w:color w:val="000000"/>
                <w:szCs w:val="24"/>
              </w:rPr>
            </w:pPr>
            <w:r>
              <w:rPr>
                <w:rFonts w:cs="Times New Roman"/>
                <w:color w:val="000000"/>
                <w:szCs w:val="24"/>
              </w:rPr>
              <w:t>MIC</w:t>
            </w:r>
          </w:p>
        </w:tc>
        <w:tc>
          <w:tcPr>
            <w:tcW w:w="2880" w:type="dxa"/>
          </w:tcPr>
          <w:p w14:paraId="61D0A217" w14:textId="77777777" w:rsidR="009E37DF" w:rsidRDefault="00F33276">
            <w:pPr>
              <w:spacing w:after="0" w:line="240" w:lineRule="auto"/>
              <w:rPr>
                <w:rFonts w:cs="Times New Roman"/>
                <w:color w:val="000000"/>
                <w:szCs w:val="24"/>
              </w:rPr>
            </w:pPr>
            <w:r>
              <w:rPr>
                <w:rFonts w:cs="Times New Roman"/>
                <w:color w:val="000000"/>
                <w:szCs w:val="24"/>
              </w:rPr>
              <w:t>Interpretation</w:t>
            </w:r>
          </w:p>
        </w:tc>
      </w:tr>
      <w:tr w:rsidR="009E37DF" w14:paraId="3DC436E1" w14:textId="77777777">
        <w:tc>
          <w:tcPr>
            <w:tcW w:w="2880" w:type="dxa"/>
          </w:tcPr>
          <w:p w14:paraId="10322100" w14:textId="77777777" w:rsidR="009E37DF" w:rsidRDefault="00F33276">
            <w:pPr>
              <w:spacing w:after="0" w:line="240" w:lineRule="auto"/>
              <w:rPr>
                <w:rFonts w:cs="Times New Roman"/>
                <w:color w:val="000000"/>
                <w:szCs w:val="24"/>
              </w:rPr>
            </w:pPr>
            <w:r>
              <w:rPr>
                <w:rFonts w:cs="Times New Roman"/>
                <w:color w:val="000000"/>
                <w:szCs w:val="24"/>
              </w:rPr>
              <w:t>Ampicillin</w:t>
            </w:r>
          </w:p>
        </w:tc>
        <w:tc>
          <w:tcPr>
            <w:tcW w:w="2880" w:type="dxa"/>
          </w:tcPr>
          <w:p w14:paraId="6E28B1BF"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2A37E7CC"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1792FE28" w14:textId="77777777">
        <w:tc>
          <w:tcPr>
            <w:tcW w:w="2880" w:type="dxa"/>
          </w:tcPr>
          <w:p w14:paraId="2B7A314D" w14:textId="77777777" w:rsidR="009E37DF" w:rsidRDefault="00F33276">
            <w:pPr>
              <w:spacing w:after="0" w:line="240" w:lineRule="auto"/>
              <w:rPr>
                <w:rFonts w:cs="Times New Roman"/>
                <w:color w:val="000000"/>
                <w:szCs w:val="24"/>
              </w:rPr>
            </w:pPr>
            <w:r>
              <w:rPr>
                <w:rFonts w:cs="Times New Roman"/>
                <w:color w:val="000000"/>
                <w:szCs w:val="24"/>
              </w:rPr>
              <w:t>Ampicillin /Sulbactam</w:t>
            </w:r>
          </w:p>
        </w:tc>
        <w:tc>
          <w:tcPr>
            <w:tcW w:w="2880" w:type="dxa"/>
          </w:tcPr>
          <w:p w14:paraId="09C22F77" w14:textId="77777777" w:rsidR="009E37DF" w:rsidRDefault="00F33276">
            <w:pPr>
              <w:spacing w:after="0" w:line="240" w:lineRule="auto"/>
              <w:rPr>
                <w:rFonts w:cs="Times New Roman"/>
                <w:color w:val="000000"/>
                <w:szCs w:val="24"/>
              </w:rPr>
            </w:pPr>
            <w:r>
              <w:rPr>
                <w:rFonts w:cs="Times New Roman"/>
                <w:color w:val="000000"/>
                <w:szCs w:val="24"/>
              </w:rPr>
              <w:t>16</w:t>
            </w:r>
          </w:p>
        </w:tc>
        <w:tc>
          <w:tcPr>
            <w:tcW w:w="2880" w:type="dxa"/>
          </w:tcPr>
          <w:p w14:paraId="79A3AF8F"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5F5F59B8" w14:textId="77777777">
        <w:tc>
          <w:tcPr>
            <w:tcW w:w="2880" w:type="dxa"/>
          </w:tcPr>
          <w:p w14:paraId="7D2D0C16" w14:textId="77777777" w:rsidR="009E37DF" w:rsidRDefault="00F33276">
            <w:pPr>
              <w:spacing w:after="0" w:line="240" w:lineRule="auto"/>
              <w:rPr>
                <w:rFonts w:cs="Times New Roman"/>
                <w:color w:val="000000"/>
                <w:szCs w:val="24"/>
              </w:rPr>
            </w:pPr>
            <w:r>
              <w:rPr>
                <w:rFonts w:cs="Times New Roman"/>
                <w:color w:val="000000"/>
                <w:szCs w:val="24"/>
              </w:rPr>
              <w:t>Piperacillin</w:t>
            </w:r>
          </w:p>
        </w:tc>
        <w:tc>
          <w:tcPr>
            <w:tcW w:w="2880" w:type="dxa"/>
          </w:tcPr>
          <w:p w14:paraId="443593BD"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56719B4A"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775EB0C5" w14:textId="77777777">
        <w:tc>
          <w:tcPr>
            <w:tcW w:w="2880" w:type="dxa"/>
          </w:tcPr>
          <w:p w14:paraId="6801E100" w14:textId="77777777" w:rsidR="009E37DF" w:rsidRDefault="00F33276">
            <w:pPr>
              <w:spacing w:after="0" w:line="240" w:lineRule="auto"/>
              <w:rPr>
                <w:rFonts w:cs="Times New Roman"/>
                <w:color w:val="000000"/>
                <w:szCs w:val="24"/>
              </w:rPr>
            </w:pPr>
            <w:r>
              <w:rPr>
                <w:rFonts w:cs="Times New Roman"/>
                <w:color w:val="000000"/>
                <w:szCs w:val="24"/>
              </w:rPr>
              <w:t>Cefazolin</w:t>
            </w:r>
          </w:p>
        </w:tc>
        <w:tc>
          <w:tcPr>
            <w:tcW w:w="2880" w:type="dxa"/>
          </w:tcPr>
          <w:p w14:paraId="2B21B230" w14:textId="77777777" w:rsidR="009E37DF" w:rsidRDefault="00F33276">
            <w:pPr>
              <w:spacing w:after="0" w:line="240" w:lineRule="auto"/>
              <w:rPr>
                <w:rFonts w:cs="Times New Roman"/>
                <w:color w:val="000000"/>
                <w:szCs w:val="24"/>
              </w:rPr>
            </w:pPr>
            <w:r>
              <w:rPr>
                <w:rFonts w:cs="Times New Roman"/>
                <w:color w:val="000000"/>
                <w:szCs w:val="24"/>
              </w:rPr>
              <w:t>I</w:t>
            </w:r>
          </w:p>
        </w:tc>
        <w:tc>
          <w:tcPr>
            <w:tcW w:w="2880" w:type="dxa"/>
          </w:tcPr>
          <w:p w14:paraId="46BDB893" w14:textId="77777777" w:rsidR="009E37DF" w:rsidRDefault="00F33276">
            <w:pPr>
              <w:spacing w:after="0" w:line="240" w:lineRule="auto"/>
              <w:rPr>
                <w:rFonts w:cs="Times New Roman"/>
                <w:color w:val="000000"/>
                <w:szCs w:val="24"/>
              </w:rPr>
            </w:pPr>
            <w:r>
              <w:rPr>
                <w:rFonts w:cs="Times New Roman"/>
                <w:color w:val="000000"/>
                <w:szCs w:val="24"/>
              </w:rPr>
              <w:t>I</w:t>
            </w:r>
          </w:p>
        </w:tc>
      </w:tr>
      <w:tr w:rsidR="009E37DF" w14:paraId="4938D582" w14:textId="77777777">
        <w:tc>
          <w:tcPr>
            <w:tcW w:w="2880" w:type="dxa"/>
          </w:tcPr>
          <w:p w14:paraId="06B07FD0" w14:textId="77777777" w:rsidR="009E37DF" w:rsidRDefault="00F33276">
            <w:pPr>
              <w:spacing w:after="0" w:line="240" w:lineRule="auto"/>
              <w:rPr>
                <w:rFonts w:cs="Times New Roman"/>
                <w:color w:val="000000"/>
                <w:szCs w:val="24"/>
              </w:rPr>
            </w:pPr>
            <w:r>
              <w:rPr>
                <w:rFonts w:cs="Times New Roman"/>
                <w:color w:val="000000"/>
                <w:szCs w:val="24"/>
              </w:rPr>
              <w:t>Ciprofloxacin</w:t>
            </w:r>
          </w:p>
        </w:tc>
        <w:tc>
          <w:tcPr>
            <w:tcW w:w="2880" w:type="dxa"/>
          </w:tcPr>
          <w:p w14:paraId="3C2406FC" w14:textId="77777777" w:rsidR="009E37DF" w:rsidRDefault="00F33276">
            <w:pPr>
              <w:spacing w:after="0" w:line="240" w:lineRule="auto"/>
              <w:rPr>
                <w:rFonts w:cs="Times New Roman"/>
                <w:color w:val="000000"/>
                <w:szCs w:val="24"/>
              </w:rPr>
            </w:pPr>
            <w:r>
              <w:rPr>
                <w:rFonts w:cs="Times New Roman"/>
                <w:color w:val="000000"/>
                <w:szCs w:val="24"/>
              </w:rPr>
              <w:t>&gt;=4</w:t>
            </w:r>
          </w:p>
        </w:tc>
        <w:tc>
          <w:tcPr>
            <w:tcW w:w="2880" w:type="dxa"/>
          </w:tcPr>
          <w:p w14:paraId="4D2CC2C5"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0F8AE56B" w14:textId="77777777">
        <w:tc>
          <w:tcPr>
            <w:tcW w:w="2880" w:type="dxa"/>
          </w:tcPr>
          <w:p w14:paraId="2463C32E" w14:textId="77777777" w:rsidR="009E37DF" w:rsidRDefault="00F33276">
            <w:pPr>
              <w:spacing w:after="0" w:line="240" w:lineRule="auto"/>
              <w:rPr>
                <w:rFonts w:cs="Times New Roman"/>
                <w:color w:val="000000"/>
                <w:szCs w:val="24"/>
              </w:rPr>
            </w:pPr>
            <w:r>
              <w:rPr>
                <w:rFonts w:cs="Times New Roman"/>
                <w:color w:val="000000"/>
                <w:szCs w:val="24"/>
              </w:rPr>
              <w:t>Fleroxacin</w:t>
            </w:r>
          </w:p>
        </w:tc>
        <w:tc>
          <w:tcPr>
            <w:tcW w:w="2880" w:type="dxa"/>
          </w:tcPr>
          <w:p w14:paraId="22438538"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135A7017"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2C849158" w14:textId="77777777">
        <w:tc>
          <w:tcPr>
            <w:tcW w:w="2880" w:type="dxa"/>
          </w:tcPr>
          <w:p w14:paraId="5E900326" w14:textId="77777777" w:rsidR="009E37DF" w:rsidRDefault="00F33276">
            <w:pPr>
              <w:spacing w:after="0" w:line="240" w:lineRule="auto"/>
              <w:rPr>
                <w:rFonts w:cs="Times New Roman"/>
                <w:color w:val="000000"/>
                <w:szCs w:val="24"/>
              </w:rPr>
            </w:pPr>
            <w:proofErr w:type="spellStart"/>
            <w:r>
              <w:rPr>
                <w:rFonts w:cs="Times New Roman"/>
                <w:color w:val="000000"/>
                <w:szCs w:val="24"/>
              </w:rPr>
              <w:t>Gatifloxacin</w:t>
            </w:r>
            <w:proofErr w:type="spellEnd"/>
          </w:p>
        </w:tc>
        <w:tc>
          <w:tcPr>
            <w:tcW w:w="2880" w:type="dxa"/>
          </w:tcPr>
          <w:p w14:paraId="55D5BB5E"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0381FAF1"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46518D33" w14:textId="77777777">
        <w:tc>
          <w:tcPr>
            <w:tcW w:w="2880" w:type="dxa"/>
          </w:tcPr>
          <w:p w14:paraId="74C8B3BC" w14:textId="77777777" w:rsidR="009E37DF" w:rsidRDefault="00F33276">
            <w:pPr>
              <w:spacing w:after="0" w:line="240" w:lineRule="auto"/>
              <w:rPr>
                <w:rFonts w:cs="Times New Roman"/>
                <w:color w:val="000000"/>
                <w:szCs w:val="24"/>
              </w:rPr>
            </w:pPr>
            <w:r>
              <w:rPr>
                <w:rFonts w:cs="Times New Roman"/>
                <w:color w:val="000000"/>
                <w:szCs w:val="24"/>
              </w:rPr>
              <w:t>Lomefloxacin</w:t>
            </w:r>
          </w:p>
        </w:tc>
        <w:tc>
          <w:tcPr>
            <w:tcW w:w="2880" w:type="dxa"/>
          </w:tcPr>
          <w:p w14:paraId="52A41A2C"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7C8CF2F5"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30349E72" w14:textId="77777777">
        <w:tc>
          <w:tcPr>
            <w:tcW w:w="2880" w:type="dxa"/>
          </w:tcPr>
          <w:p w14:paraId="41A2C275" w14:textId="77777777" w:rsidR="009E37DF" w:rsidRDefault="00F33276">
            <w:pPr>
              <w:spacing w:after="0" w:line="240" w:lineRule="auto"/>
              <w:rPr>
                <w:rFonts w:cs="Times New Roman"/>
                <w:color w:val="000000"/>
                <w:szCs w:val="24"/>
              </w:rPr>
            </w:pPr>
            <w:r>
              <w:rPr>
                <w:rFonts w:cs="Times New Roman"/>
                <w:color w:val="000000"/>
                <w:szCs w:val="24"/>
              </w:rPr>
              <w:t>Moxifloxacin</w:t>
            </w:r>
          </w:p>
        </w:tc>
        <w:tc>
          <w:tcPr>
            <w:tcW w:w="2880" w:type="dxa"/>
          </w:tcPr>
          <w:p w14:paraId="1C0ACFAF"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65CE237F"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14F4F28E" w14:textId="77777777">
        <w:tc>
          <w:tcPr>
            <w:tcW w:w="2880" w:type="dxa"/>
          </w:tcPr>
          <w:p w14:paraId="6DAF570D" w14:textId="77777777" w:rsidR="009E37DF" w:rsidRDefault="00F33276">
            <w:pPr>
              <w:spacing w:after="0" w:line="240" w:lineRule="auto"/>
              <w:rPr>
                <w:rFonts w:cs="Times New Roman"/>
                <w:color w:val="000000"/>
                <w:szCs w:val="24"/>
              </w:rPr>
            </w:pPr>
            <w:r>
              <w:rPr>
                <w:rFonts w:cs="Times New Roman"/>
                <w:color w:val="000000"/>
                <w:szCs w:val="24"/>
              </w:rPr>
              <w:t>Norfloxacin</w:t>
            </w:r>
          </w:p>
        </w:tc>
        <w:tc>
          <w:tcPr>
            <w:tcW w:w="2880" w:type="dxa"/>
          </w:tcPr>
          <w:p w14:paraId="7AAB6D2E"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1D886770"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1F06CE14" w14:textId="77777777">
        <w:tc>
          <w:tcPr>
            <w:tcW w:w="2880" w:type="dxa"/>
          </w:tcPr>
          <w:p w14:paraId="1409F446" w14:textId="77777777" w:rsidR="009E37DF" w:rsidRDefault="00F33276">
            <w:pPr>
              <w:spacing w:after="0" w:line="240" w:lineRule="auto"/>
              <w:rPr>
                <w:rFonts w:cs="Times New Roman"/>
                <w:color w:val="000000"/>
                <w:szCs w:val="24"/>
              </w:rPr>
            </w:pPr>
            <w:r>
              <w:rPr>
                <w:rFonts w:cs="Times New Roman"/>
                <w:color w:val="000000"/>
                <w:szCs w:val="24"/>
              </w:rPr>
              <w:t>Tigecycline</w:t>
            </w:r>
          </w:p>
        </w:tc>
        <w:tc>
          <w:tcPr>
            <w:tcW w:w="2880" w:type="dxa"/>
          </w:tcPr>
          <w:p w14:paraId="5CECEE3B" w14:textId="77777777" w:rsidR="009E37DF" w:rsidRDefault="00F33276">
            <w:pPr>
              <w:spacing w:after="0" w:line="240" w:lineRule="auto"/>
              <w:rPr>
                <w:rFonts w:cs="Times New Roman"/>
                <w:color w:val="000000"/>
                <w:szCs w:val="24"/>
              </w:rPr>
            </w:pPr>
            <w:r>
              <w:rPr>
                <w:rFonts w:cs="Times New Roman"/>
                <w:color w:val="000000"/>
                <w:szCs w:val="24"/>
              </w:rPr>
              <w:t>1</w:t>
            </w:r>
          </w:p>
        </w:tc>
        <w:tc>
          <w:tcPr>
            <w:tcW w:w="2880" w:type="dxa"/>
          </w:tcPr>
          <w:p w14:paraId="087C2E3F"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29DE071C" w14:textId="77777777">
        <w:tc>
          <w:tcPr>
            <w:tcW w:w="2880" w:type="dxa"/>
          </w:tcPr>
          <w:p w14:paraId="631C88AA" w14:textId="77777777" w:rsidR="009E37DF" w:rsidRDefault="00F33276">
            <w:pPr>
              <w:spacing w:after="0" w:line="240" w:lineRule="auto"/>
              <w:rPr>
                <w:rFonts w:cs="Times New Roman"/>
                <w:color w:val="000000"/>
                <w:szCs w:val="24"/>
              </w:rPr>
            </w:pPr>
            <w:r>
              <w:rPr>
                <w:rFonts w:cs="Times New Roman"/>
                <w:color w:val="000000"/>
                <w:szCs w:val="24"/>
              </w:rPr>
              <w:t>Trimethoprim</w:t>
            </w:r>
          </w:p>
        </w:tc>
        <w:tc>
          <w:tcPr>
            <w:tcW w:w="2880" w:type="dxa"/>
          </w:tcPr>
          <w:p w14:paraId="58B3D2D3" w14:textId="77777777" w:rsidR="009E37DF" w:rsidRDefault="00F33276">
            <w:pPr>
              <w:spacing w:after="0" w:line="240" w:lineRule="auto"/>
              <w:rPr>
                <w:rFonts w:cs="Times New Roman"/>
                <w:color w:val="000000"/>
                <w:szCs w:val="24"/>
              </w:rPr>
            </w:pPr>
            <w:r>
              <w:rPr>
                <w:rFonts w:cs="Times New Roman"/>
                <w:color w:val="000000"/>
                <w:szCs w:val="24"/>
              </w:rPr>
              <w:t>R</w:t>
            </w:r>
          </w:p>
        </w:tc>
        <w:tc>
          <w:tcPr>
            <w:tcW w:w="2880" w:type="dxa"/>
          </w:tcPr>
          <w:p w14:paraId="05ABC62B"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4B6A5A11" w14:textId="77777777">
        <w:tc>
          <w:tcPr>
            <w:tcW w:w="2880" w:type="dxa"/>
          </w:tcPr>
          <w:p w14:paraId="45C38C72" w14:textId="77777777" w:rsidR="009E37DF" w:rsidRDefault="00F33276">
            <w:pPr>
              <w:spacing w:after="0" w:line="240" w:lineRule="auto"/>
              <w:rPr>
                <w:rFonts w:cs="Times New Roman"/>
                <w:color w:val="000000"/>
                <w:szCs w:val="24"/>
              </w:rPr>
            </w:pPr>
            <w:r>
              <w:rPr>
                <w:rFonts w:cs="Times New Roman"/>
                <w:color w:val="000000"/>
                <w:szCs w:val="24"/>
              </w:rPr>
              <w:t>Trimethoprim/Sulfamethoxazole</w:t>
            </w:r>
          </w:p>
        </w:tc>
        <w:tc>
          <w:tcPr>
            <w:tcW w:w="2880" w:type="dxa"/>
          </w:tcPr>
          <w:p w14:paraId="79EFD1FE" w14:textId="77777777" w:rsidR="009E37DF" w:rsidRDefault="00F33276">
            <w:pPr>
              <w:spacing w:after="0" w:line="240" w:lineRule="auto"/>
              <w:rPr>
                <w:rFonts w:cs="Times New Roman"/>
                <w:color w:val="000000"/>
                <w:szCs w:val="24"/>
              </w:rPr>
            </w:pPr>
            <w:r>
              <w:rPr>
                <w:rFonts w:cs="Times New Roman"/>
                <w:color w:val="000000"/>
                <w:szCs w:val="24"/>
              </w:rPr>
              <w:t>&gt;=320</w:t>
            </w:r>
          </w:p>
        </w:tc>
        <w:tc>
          <w:tcPr>
            <w:tcW w:w="2880" w:type="dxa"/>
          </w:tcPr>
          <w:p w14:paraId="005802A6" w14:textId="77777777" w:rsidR="009E37DF" w:rsidRDefault="00F33276">
            <w:pPr>
              <w:spacing w:after="0" w:line="240" w:lineRule="auto"/>
              <w:rPr>
                <w:rFonts w:cs="Times New Roman"/>
                <w:color w:val="000000"/>
                <w:szCs w:val="24"/>
              </w:rPr>
            </w:pPr>
            <w:r>
              <w:rPr>
                <w:rFonts w:cs="Times New Roman"/>
                <w:color w:val="000000"/>
                <w:szCs w:val="24"/>
              </w:rPr>
              <w:t>R</w:t>
            </w:r>
          </w:p>
        </w:tc>
      </w:tr>
      <w:tr w:rsidR="009E37DF" w14:paraId="4842AA80" w14:textId="77777777">
        <w:tc>
          <w:tcPr>
            <w:tcW w:w="2880" w:type="dxa"/>
          </w:tcPr>
          <w:p w14:paraId="4A0E2E1F" w14:textId="77777777" w:rsidR="009E37DF" w:rsidRDefault="00F33276">
            <w:pPr>
              <w:spacing w:after="0" w:line="240" w:lineRule="auto"/>
              <w:rPr>
                <w:rFonts w:cs="Times New Roman"/>
                <w:color w:val="000000"/>
                <w:szCs w:val="24"/>
              </w:rPr>
            </w:pPr>
            <w:r>
              <w:rPr>
                <w:rFonts w:cs="Times New Roman"/>
                <w:color w:val="000000"/>
                <w:szCs w:val="24"/>
              </w:rPr>
              <w:t>Cefixime</w:t>
            </w:r>
          </w:p>
        </w:tc>
        <w:tc>
          <w:tcPr>
            <w:tcW w:w="2880" w:type="dxa"/>
          </w:tcPr>
          <w:p w14:paraId="1D0C2B5D"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76E848ED"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3E6E13E9" w14:textId="77777777">
        <w:tc>
          <w:tcPr>
            <w:tcW w:w="2880" w:type="dxa"/>
          </w:tcPr>
          <w:p w14:paraId="4093DAD3" w14:textId="77777777" w:rsidR="009E37DF" w:rsidRDefault="00F33276">
            <w:pPr>
              <w:spacing w:after="0" w:line="240" w:lineRule="auto"/>
              <w:rPr>
                <w:rFonts w:cs="Times New Roman"/>
                <w:color w:val="000000"/>
                <w:szCs w:val="24"/>
              </w:rPr>
            </w:pPr>
            <w:r>
              <w:rPr>
                <w:rFonts w:cs="Times New Roman"/>
                <w:color w:val="000000"/>
                <w:szCs w:val="24"/>
              </w:rPr>
              <w:lastRenderedPageBreak/>
              <w:t>Cefotaxime</w:t>
            </w:r>
          </w:p>
        </w:tc>
        <w:tc>
          <w:tcPr>
            <w:tcW w:w="2880" w:type="dxa"/>
          </w:tcPr>
          <w:p w14:paraId="033EA0D4"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14ACA622"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51FD68E0" w14:textId="77777777">
        <w:tc>
          <w:tcPr>
            <w:tcW w:w="2880" w:type="dxa"/>
          </w:tcPr>
          <w:p w14:paraId="1FFEACE9" w14:textId="77777777" w:rsidR="009E37DF" w:rsidRDefault="00F33276">
            <w:pPr>
              <w:spacing w:after="0" w:line="240" w:lineRule="auto"/>
              <w:rPr>
                <w:rFonts w:cs="Times New Roman"/>
                <w:color w:val="000000"/>
                <w:szCs w:val="24"/>
              </w:rPr>
            </w:pPr>
            <w:r>
              <w:rPr>
                <w:rFonts w:cs="Times New Roman"/>
                <w:color w:val="000000"/>
                <w:szCs w:val="24"/>
              </w:rPr>
              <w:t>Ceftazidime</w:t>
            </w:r>
          </w:p>
        </w:tc>
        <w:tc>
          <w:tcPr>
            <w:tcW w:w="2880" w:type="dxa"/>
          </w:tcPr>
          <w:p w14:paraId="083C2344"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06219929"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3CE96F32" w14:textId="77777777">
        <w:tc>
          <w:tcPr>
            <w:tcW w:w="2880" w:type="dxa"/>
          </w:tcPr>
          <w:p w14:paraId="01AD2EF2" w14:textId="77777777" w:rsidR="009E37DF" w:rsidRDefault="00F33276">
            <w:pPr>
              <w:spacing w:after="0" w:line="240" w:lineRule="auto"/>
              <w:rPr>
                <w:rFonts w:cs="Times New Roman"/>
                <w:color w:val="000000"/>
                <w:szCs w:val="24"/>
              </w:rPr>
            </w:pPr>
            <w:r>
              <w:rPr>
                <w:rFonts w:cs="Times New Roman"/>
                <w:color w:val="000000"/>
                <w:szCs w:val="24"/>
              </w:rPr>
              <w:t>Ceftriaxone</w:t>
            </w:r>
          </w:p>
        </w:tc>
        <w:tc>
          <w:tcPr>
            <w:tcW w:w="2880" w:type="dxa"/>
          </w:tcPr>
          <w:p w14:paraId="6BEEBE06"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40FCCA4B"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1D78F6F4" w14:textId="77777777">
        <w:tc>
          <w:tcPr>
            <w:tcW w:w="2880" w:type="dxa"/>
          </w:tcPr>
          <w:p w14:paraId="625BA3BC" w14:textId="77777777" w:rsidR="009E37DF" w:rsidRDefault="00F33276">
            <w:pPr>
              <w:spacing w:after="0" w:line="240" w:lineRule="auto"/>
              <w:rPr>
                <w:rFonts w:cs="Times New Roman"/>
                <w:color w:val="000000"/>
                <w:szCs w:val="24"/>
              </w:rPr>
            </w:pPr>
            <w:r>
              <w:rPr>
                <w:rFonts w:cs="Times New Roman"/>
                <w:color w:val="000000"/>
                <w:szCs w:val="24"/>
              </w:rPr>
              <w:t>Ceftazidime/Avibactam</w:t>
            </w:r>
          </w:p>
        </w:tc>
        <w:tc>
          <w:tcPr>
            <w:tcW w:w="2880" w:type="dxa"/>
          </w:tcPr>
          <w:p w14:paraId="70A54394" w14:textId="77777777" w:rsidR="009E37DF" w:rsidRDefault="00F33276">
            <w:pPr>
              <w:spacing w:after="0" w:line="240" w:lineRule="auto"/>
              <w:rPr>
                <w:rFonts w:cs="Times New Roman"/>
                <w:color w:val="000000"/>
                <w:szCs w:val="24"/>
              </w:rPr>
            </w:pPr>
            <w:r>
              <w:rPr>
                <w:rFonts w:cs="Times New Roman"/>
                <w:color w:val="000000"/>
                <w:szCs w:val="24"/>
              </w:rPr>
              <w:t>&gt;=16</w:t>
            </w:r>
          </w:p>
        </w:tc>
        <w:tc>
          <w:tcPr>
            <w:tcW w:w="2880" w:type="dxa"/>
          </w:tcPr>
          <w:p w14:paraId="0F1E6E45"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6DC9FDF2" w14:textId="77777777">
        <w:tc>
          <w:tcPr>
            <w:tcW w:w="2880" w:type="dxa"/>
          </w:tcPr>
          <w:p w14:paraId="44A6B6B9" w14:textId="77777777" w:rsidR="009E37DF" w:rsidRDefault="00F33276">
            <w:pPr>
              <w:spacing w:after="0" w:line="240" w:lineRule="auto"/>
              <w:rPr>
                <w:rFonts w:cs="Times New Roman"/>
                <w:color w:val="000000"/>
                <w:szCs w:val="24"/>
              </w:rPr>
            </w:pPr>
            <w:proofErr w:type="spellStart"/>
            <w:r>
              <w:rPr>
                <w:rFonts w:cs="Times New Roman"/>
                <w:color w:val="000000"/>
                <w:szCs w:val="24"/>
              </w:rPr>
              <w:t>Ceftolozane</w:t>
            </w:r>
            <w:proofErr w:type="spellEnd"/>
            <w:r>
              <w:rPr>
                <w:rFonts w:cs="Times New Roman"/>
                <w:color w:val="000000"/>
                <w:szCs w:val="24"/>
              </w:rPr>
              <w:t>/Tazobactam</w:t>
            </w:r>
          </w:p>
        </w:tc>
        <w:tc>
          <w:tcPr>
            <w:tcW w:w="2880" w:type="dxa"/>
          </w:tcPr>
          <w:p w14:paraId="4ABCA701" w14:textId="77777777" w:rsidR="009E37DF" w:rsidRDefault="00F33276">
            <w:pPr>
              <w:spacing w:after="0" w:line="240" w:lineRule="auto"/>
              <w:rPr>
                <w:rFonts w:cs="Times New Roman"/>
                <w:color w:val="000000"/>
                <w:szCs w:val="24"/>
              </w:rPr>
            </w:pPr>
            <w:r>
              <w:rPr>
                <w:rFonts w:cs="Times New Roman"/>
                <w:color w:val="000000"/>
                <w:szCs w:val="24"/>
              </w:rPr>
              <w:t>&lt;0.25</w:t>
            </w:r>
          </w:p>
        </w:tc>
        <w:tc>
          <w:tcPr>
            <w:tcW w:w="2880" w:type="dxa"/>
          </w:tcPr>
          <w:p w14:paraId="425FBC5C"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4309315F" w14:textId="77777777">
        <w:tc>
          <w:tcPr>
            <w:tcW w:w="2880" w:type="dxa"/>
          </w:tcPr>
          <w:p w14:paraId="792015A9" w14:textId="77777777" w:rsidR="009E37DF" w:rsidRDefault="00F33276">
            <w:pPr>
              <w:spacing w:after="0" w:line="240" w:lineRule="auto"/>
              <w:rPr>
                <w:rFonts w:cs="Times New Roman"/>
                <w:color w:val="000000"/>
                <w:szCs w:val="24"/>
              </w:rPr>
            </w:pPr>
            <w:proofErr w:type="spellStart"/>
            <w:r>
              <w:rPr>
                <w:rFonts w:cs="Times New Roman"/>
                <w:color w:val="000000"/>
                <w:szCs w:val="24"/>
              </w:rPr>
              <w:t>Doripenem</w:t>
            </w:r>
            <w:proofErr w:type="spellEnd"/>
          </w:p>
        </w:tc>
        <w:tc>
          <w:tcPr>
            <w:tcW w:w="2880" w:type="dxa"/>
          </w:tcPr>
          <w:p w14:paraId="5EEBF233"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1CB76778"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0CE5793B" w14:textId="77777777">
        <w:tc>
          <w:tcPr>
            <w:tcW w:w="2880" w:type="dxa"/>
          </w:tcPr>
          <w:p w14:paraId="52B7EDFD" w14:textId="77777777" w:rsidR="009E37DF" w:rsidRDefault="00F33276">
            <w:pPr>
              <w:spacing w:after="0" w:line="240" w:lineRule="auto"/>
              <w:rPr>
                <w:rFonts w:cs="Times New Roman"/>
                <w:color w:val="000000"/>
                <w:szCs w:val="24"/>
              </w:rPr>
            </w:pPr>
            <w:r>
              <w:rPr>
                <w:rFonts w:cs="Times New Roman"/>
                <w:color w:val="000000"/>
                <w:szCs w:val="24"/>
              </w:rPr>
              <w:t>Ertapenem</w:t>
            </w:r>
          </w:p>
        </w:tc>
        <w:tc>
          <w:tcPr>
            <w:tcW w:w="2880" w:type="dxa"/>
          </w:tcPr>
          <w:p w14:paraId="7531F300"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18443D04"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22815C3E" w14:textId="77777777">
        <w:tc>
          <w:tcPr>
            <w:tcW w:w="2880" w:type="dxa"/>
          </w:tcPr>
          <w:p w14:paraId="5A687771" w14:textId="77777777" w:rsidR="009E37DF" w:rsidRDefault="00F33276">
            <w:pPr>
              <w:spacing w:after="0" w:line="240" w:lineRule="auto"/>
              <w:rPr>
                <w:rFonts w:cs="Times New Roman"/>
                <w:color w:val="000000"/>
                <w:szCs w:val="24"/>
              </w:rPr>
            </w:pPr>
            <w:r>
              <w:rPr>
                <w:rFonts w:cs="Times New Roman"/>
                <w:color w:val="000000"/>
                <w:szCs w:val="24"/>
              </w:rPr>
              <w:t>Imipenem</w:t>
            </w:r>
          </w:p>
        </w:tc>
        <w:tc>
          <w:tcPr>
            <w:tcW w:w="2880" w:type="dxa"/>
          </w:tcPr>
          <w:p w14:paraId="74BB0DED" w14:textId="77777777" w:rsidR="009E37DF" w:rsidRDefault="00F33276">
            <w:pPr>
              <w:spacing w:after="0" w:line="240" w:lineRule="auto"/>
              <w:rPr>
                <w:rFonts w:cs="Times New Roman"/>
                <w:color w:val="000000"/>
                <w:szCs w:val="24"/>
              </w:rPr>
            </w:pPr>
            <w:r>
              <w:rPr>
                <w:rFonts w:cs="Times New Roman"/>
                <w:color w:val="000000"/>
                <w:szCs w:val="24"/>
              </w:rPr>
              <w:t>&lt;=0.25</w:t>
            </w:r>
          </w:p>
        </w:tc>
        <w:tc>
          <w:tcPr>
            <w:tcW w:w="2880" w:type="dxa"/>
          </w:tcPr>
          <w:p w14:paraId="4712422C"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27903E36" w14:textId="77777777">
        <w:tc>
          <w:tcPr>
            <w:tcW w:w="2880" w:type="dxa"/>
          </w:tcPr>
          <w:p w14:paraId="57BC6A39" w14:textId="77777777" w:rsidR="009E37DF" w:rsidRDefault="00F33276">
            <w:pPr>
              <w:spacing w:after="0" w:line="240" w:lineRule="auto"/>
              <w:rPr>
                <w:rFonts w:cs="Times New Roman"/>
                <w:color w:val="000000"/>
                <w:szCs w:val="24"/>
              </w:rPr>
            </w:pPr>
            <w:r>
              <w:rPr>
                <w:rFonts w:cs="Times New Roman"/>
                <w:color w:val="000000"/>
                <w:szCs w:val="24"/>
              </w:rPr>
              <w:t>Meropenem</w:t>
            </w:r>
          </w:p>
        </w:tc>
        <w:tc>
          <w:tcPr>
            <w:tcW w:w="2880" w:type="dxa"/>
          </w:tcPr>
          <w:p w14:paraId="7243F348" w14:textId="77777777" w:rsidR="009E37DF" w:rsidRDefault="00F33276">
            <w:pPr>
              <w:spacing w:after="0" w:line="240" w:lineRule="auto"/>
              <w:rPr>
                <w:rFonts w:cs="Times New Roman"/>
                <w:color w:val="000000"/>
                <w:szCs w:val="24"/>
              </w:rPr>
            </w:pPr>
            <w:r>
              <w:rPr>
                <w:rFonts w:cs="Times New Roman"/>
                <w:color w:val="000000"/>
                <w:szCs w:val="24"/>
              </w:rPr>
              <w:t>1</w:t>
            </w:r>
          </w:p>
        </w:tc>
        <w:tc>
          <w:tcPr>
            <w:tcW w:w="2880" w:type="dxa"/>
          </w:tcPr>
          <w:p w14:paraId="33D9048C"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1249E62E" w14:textId="77777777">
        <w:tc>
          <w:tcPr>
            <w:tcW w:w="2880" w:type="dxa"/>
          </w:tcPr>
          <w:p w14:paraId="63AF5ECE" w14:textId="77777777" w:rsidR="009E37DF" w:rsidRDefault="00F33276">
            <w:pPr>
              <w:spacing w:after="0" w:line="240" w:lineRule="auto"/>
              <w:rPr>
                <w:rFonts w:cs="Times New Roman"/>
                <w:color w:val="000000"/>
                <w:szCs w:val="24"/>
              </w:rPr>
            </w:pPr>
            <w:r>
              <w:rPr>
                <w:rFonts w:cs="Times New Roman"/>
                <w:color w:val="000000"/>
                <w:szCs w:val="24"/>
              </w:rPr>
              <w:t>Meropenem/</w:t>
            </w:r>
            <w:proofErr w:type="spellStart"/>
            <w:r>
              <w:rPr>
                <w:rFonts w:cs="Times New Roman"/>
                <w:color w:val="000000"/>
                <w:szCs w:val="24"/>
              </w:rPr>
              <w:t>Vaborbactam</w:t>
            </w:r>
            <w:proofErr w:type="spellEnd"/>
          </w:p>
        </w:tc>
        <w:tc>
          <w:tcPr>
            <w:tcW w:w="2880" w:type="dxa"/>
          </w:tcPr>
          <w:p w14:paraId="59D4DFB9"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5697A2B5"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2D8CD94E" w14:textId="77777777">
        <w:tc>
          <w:tcPr>
            <w:tcW w:w="2880" w:type="dxa"/>
          </w:tcPr>
          <w:p w14:paraId="38101FD2" w14:textId="77777777" w:rsidR="009E37DF" w:rsidRDefault="00F33276">
            <w:pPr>
              <w:spacing w:after="0" w:line="240" w:lineRule="auto"/>
              <w:rPr>
                <w:rFonts w:cs="Times New Roman"/>
                <w:color w:val="000000"/>
                <w:szCs w:val="24"/>
              </w:rPr>
            </w:pPr>
            <w:r>
              <w:rPr>
                <w:rFonts w:cs="Times New Roman"/>
                <w:color w:val="000000"/>
                <w:szCs w:val="24"/>
              </w:rPr>
              <w:t>Amikacin</w:t>
            </w:r>
          </w:p>
        </w:tc>
        <w:tc>
          <w:tcPr>
            <w:tcW w:w="2880" w:type="dxa"/>
          </w:tcPr>
          <w:p w14:paraId="5DA17C1A" w14:textId="77777777" w:rsidR="009E37DF" w:rsidRDefault="00F33276">
            <w:pPr>
              <w:spacing w:after="0" w:line="240" w:lineRule="auto"/>
              <w:rPr>
                <w:rFonts w:cs="Times New Roman"/>
                <w:color w:val="000000"/>
                <w:szCs w:val="24"/>
              </w:rPr>
            </w:pPr>
            <w:r>
              <w:rPr>
                <w:rFonts w:cs="Times New Roman"/>
                <w:color w:val="000000"/>
                <w:szCs w:val="24"/>
              </w:rPr>
              <w:t>2</w:t>
            </w:r>
          </w:p>
        </w:tc>
        <w:tc>
          <w:tcPr>
            <w:tcW w:w="2880" w:type="dxa"/>
          </w:tcPr>
          <w:p w14:paraId="1722CFDC"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4AD7B4E1" w14:textId="77777777">
        <w:tc>
          <w:tcPr>
            <w:tcW w:w="2880" w:type="dxa"/>
          </w:tcPr>
          <w:p w14:paraId="0F794986" w14:textId="77777777" w:rsidR="009E37DF" w:rsidRDefault="00F33276">
            <w:pPr>
              <w:spacing w:after="0" w:line="240" w:lineRule="auto"/>
              <w:rPr>
                <w:rFonts w:cs="Times New Roman"/>
                <w:color w:val="000000"/>
                <w:szCs w:val="24"/>
              </w:rPr>
            </w:pPr>
            <w:r>
              <w:rPr>
                <w:rFonts w:cs="Times New Roman"/>
                <w:color w:val="000000"/>
                <w:szCs w:val="24"/>
              </w:rPr>
              <w:t>Gentamicin</w:t>
            </w:r>
          </w:p>
        </w:tc>
        <w:tc>
          <w:tcPr>
            <w:tcW w:w="2880" w:type="dxa"/>
          </w:tcPr>
          <w:p w14:paraId="3B065865" w14:textId="77777777" w:rsidR="009E37DF" w:rsidRDefault="00F33276">
            <w:pPr>
              <w:spacing w:after="0" w:line="240" w:lineRule="auto"/>
              <w:rPr>
                <w:rFonts w:cs="Times New Roman"/>
                <w:color w:val="000000"/>
                <w:szCs w:val="24"/>
              </w:rPr>
            </w:pPr>
            <w:r>
              <w:rPr>
                <w:rFonts w:cs="Times New Roman"/>
                <w:color w:val="000000"/>
                <w:szCs w:val="24"/>
              </w:rPr>
              <w:t>&lt;=1</w:t>
            </w:r>
          </w:p>
        </w:tc>
        <w:tc>
          <w:tcPr>
            <w:tcW w:w="2880" w:type="dxa"/>
          </w:tcPr>
          <w:p w14:paraId="7D79F5CD" w14:textId="77777777" w:rsidR="009E37DF" w:rsidRDefault="00F33276">
            <w:pPr>
              <w:spacing w:after="0" w:line="240" w:lineRule="auto"/>
              <w:rPr>
                <w:rFonts w:cs="Times New Roman"/>
                <w:color w:val="000000"/>
                <w:szCs w:val="24"/>
              </w:rPr>
            </w:pPr>
            <w:r>
              <w:rPr>
                <w:rFonts w:cs="Times New Roman"/>
                <w:color w:val="000000"/>
                <w:szCs w:val="24"/>
              </w:rPr>
              <w:t>S</w:t>
            </w:r>
          </w:p>
        </w:tc>
      </w:tr>
      <w:tr w:rsidR="009E37DF" w14:paraId="255DF886" w14:textId="77777777">
        <w:tc>
          <w:tcPr>
            <w:tcW w:w="2880" w:type="dxa"/>
          </w:tcPr>
          <w:p w14:paraId="5042FBDF" w14:textId="77777777" w:rsidR="009E37DF" w:rsidRDefault="00F33276">
            <w:pPr>
              <w:spacing w:after="0" w:line="240" w:lineRule="auto"/>
              <w:rPr>
                <w:rFonts w:cs="Times New Roman"/>
                <w:color w:val="000000"/>
                <w:szCs w:val="24"/>
              </w:rPr>
            </w:pPr>
            <w:r>
              <w:rPr>
                <w:rFonts w:cs="Times New Roman"/>
                <w:color w:val="000000"/>
                <w:szCs w:val="24"/>
              </w:rPr>
              <w:t>Netilmicin</w:t>
            </w:r>
          </w:p>
        </w:tc>
        <w:tc>
          <w:tcPr>
            <w:tcW w:w="2880" w:type="dxa"/>
          </w:tcPr>
          <w:p w14:paraId="34C57593" w14:textId="77777777" w:rsidR="009E37DF" w:rsidRDefault="00F33276">
            <w:pPr>
              <w:spacing w:after="0" w:line="240" w:lineRule="auto"/>
              <w:rPr>
                <w:rFonts w:cs="Times New Roman"/>
                <w:color w:val="000000"/>
                <w:szCs w:val="24"/>
              </w:rPr>
            </w:pPr>
            <w:r>
              <w:rPr>
                <w:rFonts w:cs="Times New Roman"/>
                <w:color w:val="000000"/>
                <w:szCs w:val="24"/>
              </w:rPr>
              <w:t>S</w:t>
            </w:r>
          </w:p>
        </w:tc>
        <w:tc>
          <w:tcPr>
            <w:tcW w:w="2880" w:type="dxa"/>
          </w:tcPr>
          <w:p w14:paraId="163C60E5" w14:textId="77777777" w:rsidR="009E37DF" w:rsidRDefault="00F33276">
            <w:pPr>
              <w:spacing w:after="0" w:line="240" w:lineRule="auto"/>
              <w:rPr>
                <w:rFonts w:cs="Times New Roman"/>
                <w:color w:val="000000"/>
                <w:szCs w:val="24"/>
              </w:rPr>
            </w:pPr>
            <w:r>
              <w:rPr>
                <w:rFonts w:cs="Times New Roman"/>
                <w:color w:val="000000"/>
                <w:szCs w:val="24"/>
              </w:rPr>
              <w:t>S</w:t>
            </w:r>
          </w:p>
        </w:tc>
      </w:tr>
    </w:tbl>
    <w:p w14:paraId="21140386" w14:textId="77777777" w:rsidR="009E37DF" w:rsidRDefault="009E37DF">
      <w:pPr>
        <w:rPr>
          <w:rFonts w:cs="Times New Roman"/>
          <w:color w:val="000000" w:themeColor="text1"/>
          <w:szCs w:val="24"/>
        </w:rPr>
      </w:pPr>
    </w:p>
    <w:p w14:paraId="17D7F32A" w14:textId="77777777" w:rsidR="009E37DF" w:rsidRDefault="00F33276">
      <w:pPr>
        <w:spacing w:before="100" w:beforeAutospacing="1" w:after="100" w:afterAutospacing="1" w:line="240" w:lineRule="auto"/>
        <w:outlineLvl w:val="2"/>
        <w:rPr>
          <w:rFonts w:eastAsia="Times New Roman" w:cs="Times New Roman"/>
          <w:b/>
          <w:bCs/>
          <w:color w:val="000000" w:themeColor="text1"/>
          <w:szCs w:val="24"/>
        </w:rPr>
      </w:pPr>
      <w:r>
        <w:rPr>
          <w:rFonts w:eastAsia="Times New Roman" w:cs="Times New Roman"/>
          <w:b/>
          <w:bCs/>
          <w:color w:val="000000" w:themeColor="text1"/>
          <w:szCs w:val="24"/>
        </w:rPr>
        <w:t>Discussion</w:t>
      </w:r>
    </w:p>
    <w:p w14:paraId="529850AC" w14:textId="77777777" w:rsidR="009E37DF" w:rsidRDefault="00F33276">
      <w:pPr>
        <w:spacing w:before="100" w:beforeAutospacing="1" w:after="100" w:afterAutospacing="1" w:line="240" w:lineRule="auto"/>
        <w:ind w:firstLine="720"/>
        <w:rPr>
          <w:rFonts w:eastAsia="Times New Roman" w:cs="Times New Roman"/>
          <w:color w:val="000000" w:themeColor="text1"/>
          <w:szCs w:val="24"/>
        </w:rPr>
      </w:pPr>
      <w:r>
        <w:rPr>
          <w:rFonts w:eastAsia="Times New Roman" w:cs="Times New Roman"/>
          <w:color w:val="000000" w:themeColor="text1"/>
          <w:szCs w:val="24"/>
        </w:rPr>
        <w:t xml:space="preserve">High bacterial loads in poultry flocks are closely associated with acute mortality events, as they often indicate severe infections that can overwhelm avian immune defenses. Once bacterial concentrations surpass critical levels, they can induce systemic infections such as septicemia and multiple organ dysfunction, particularly involving the liver (16). Pathogens including </w:t>
      </w:r>
      <w:r>
        <w:rPr>
          <w:rFonts w:eastAsia="Times New Roman" w:cs="Times New Roman"/>
          <w:i/>
          <w:iCs/>
          <w:color w:val="000000" w:themeColor="text1"/>
          <w:szCs w:val="24"/>
        </w:rPr>
        <w:t>Escherichia coli</w:t>
      </w:r>
      <w:r>
        <w:rPr>
          <w:rFonts w:eastAsia="Times New Roman" w:cs="Times New Roman"/>
          <w:color w:val="000000" w:themeColor="text1"/>
          <w:szCs w:val="24"/>
        </w:rPr>
        <w:t xml:space="preserve">, </w:t>
      </w:r>
      <w:r>
        <w:rPr>
          <w:rFonts w:eastAsia="Times New Roman" w:cs="Times New Roman"/>
          <w:i/>
          <w:iCs/>
          <w:color w:val="000000" w:themeColor="text1"/>
          <w:szCs w:val="24"/>
        </w:rPr>
        <w:t>Klebsiella spp.</w:t>
      </w:r>
      <w:r>
        <w:rPr>
          <w:rFonts w:eastAsia="Times New Roman" w:cs="Times New Roman"/>
          <w:color w:val="000000" w:themeColor="text1"/>
          <w:szCs w:val="24"/>
        </w:rPr>
        <w:t xml:space="preserve">, and </w:t>
      </w:r>
      <w:r>
        <w:rPr>
          <w:rFonts w:eastAsia="Times New Roman" w:cs="Times New Roman"/>
          <w:i/>
          <w:iCs/>
          <w:color w:val="000000" w:themeColor="text1"/>
          <w:szCs w:val="24"/>
        </w:rPr>
        <w:t>Staphylococcus aureus</w:t>
      </w:r>
      <w:r>
        <w:rPr>
          <w:rFonts w:eastAsia="Times New Roman" w:cs="Times New Roman"/>
          <w:color w:val="000000" w:themeColor="text1"/>
          <w:szCs w:val="24"/>
        </w:rPr>
        <w:t xml:space="preserve"> are frequently implicated in such outbreaks and are known to rapidly disseminate in compromised environments, leading to widespread mortality and significant economic losses.</w:t>
      </w:r>
    </w:p>
    <w:p w14:paraId="385BBC17" w14:textId="77777777" w:rsidR="009E37DF" w:rsidRDefault="00F33276">
      <w:pPr>
        <w:spacing w:after="0" w:line="240" w:lineRule="auto"/>
        <w:ind w:firstLine="720"/>
        <w:rPr>
          <w:rFonts w:eastAsia="Times New Roman" w:cs="Times New Roman"/>
          <w:color w:val="000000" w:themeColor="text1"/>
          <w:szCs w:val="24"/>
        </w:rPr>
      </w:pPr>
      <w:r>
        <w:rPr>
          <w:rFonts w:eastAsia="Times New Roman" w:cs="Times New Roman"/>
          <w:i/>
          <w:iCs/>
          <w:color w:val="000000" w:themeColor="text1"/>
          <w:szCs w:val="24"/>
        </w:rPr>
        <w:t>E. coli</w:t>
      </w:r>
      <w:r>
        <w:rPr>
          <w:rFonts w:eastAsia="Times New Roman" w:cs="Times New Roman"/>
          <w:color w:val="000000" w:themeColor="text1"/>
          <w:szCs w:val="24"/>
        </w:rPr>
        <w:t xml:space="preserve">, particularly avian pathogenic strains (APEC), remains the most prevalent agent in poultry septicemia, often responsible for colibacillosis with complications such as hepatomegaly, necrosis, and perihepatitis (17). </w:t>
      </w:r>
      <w:r>
        <w:rPr>
          <w:rFonts w:eastAsia="Times New Roman" w:cs="Times New Roman"/>
          <w:i/>
          <w:iCs/>
          <w:color w:val="000000" w:themeColor="text1"/>
          <w:szCs w:val="24"/>
        </w:rPr>
        <w:t>Klebsiella pneumoniae</w:t>
      </w:r>
      <w:r>
        <w:rPr>
          <w:rFonts w:eastAsia="Times New Roman" w:cs="Times New Roman"/>
          <w:color w:val="000000" w:themeColor="text1"/>
          <w:szCs w:val="24"/>
        </w:rPr>
        <w:t xml:space="preserve"> has also been increasingly recognized as a causative agent of systemic infections in poultry, exploiting immunocompromised conditions, poor sanitation, or antibiotic misuse. </w:t>
      </w:r>
      <w:r>
        <w:rPr>
          <w:rFonts w:eastAsia="Times New Roman"/>
          <w:color w:val="000000" w:themeColor="text1"/>
        </w:rPr>
        <w:t xml:space="preserve">The inception of multi-drug resistant forms of these pathogenic bacterial poses </w:t>
      </w:r>
      <w:r>
        <w:rPr>
          <w:rFonts w:eastAsia="Times New Roman" w:cs="Times New Roman"/>
          <w:color w:val="000000" w:themeColor="text1"/>
          <w:szCs w:val="24"/>
        </w:rPr>
        <w:t>a serious threat due to limited treatment options and increased hazard of uncontrolled epidemics (18).</w:t>
      </w:r>
    </w:p>
    <w:p w14:paraId="324B7D85" w14:textId="77777777" w:rsidR="009E37DF" w:rsidRDefault="00F33276">
      <w:pPr>
        <w:spacing w:after="0" w:line="240" w:lineRule="auto"/>
        <w:ind w:firstLine="720"/>
        <w:rPr>
          <w:rFonts w:eastAsia="Times New Roman" w:cs="Times New Roman"/>
          <w:color w:val="000000" w:themeColor="text1"/>
          <w:szCs w:val="24"/>
        </w:rPr>
      </w:pPr>
      <w:r>
        <w:rPr>
          <w:rFonts w:eastAsia="Times New Roman" w:cs="Times New Roman"/>
          <w:color w:val="000000" w:themeColor="text1"/>
          <w:szCs w:val="24"/>
        </w:rPr>
        <w:t xml:space="preserve">The VITEK® 2 system revolutionizes the way we identify microbes and test for antibiotic susceptibility, making these processes not just faster but also more precise. While traditional culture-based methods can stretch out over five grueling days, VITEK® 2 swoops in with accurate results in a mere 8 to 12 hours (19). This remarkable reduction in time is nothing short of vital for various sectors, especially agriculture and medicine, where timely and effective treatment can mean the difference between life and death. The system isn’t just quick; it also showcases a wide-ranging biochemical panel that allows it to pinpoint resistance mechanisms, such as extended-spectrum beta-lactamases (ESBLs) and </w:t>
      </w:r>
      <w:proofErr w:type="spellStart"/>
      <w:r>
        <w:rPr>
          <w:rFonts w:eastAsia="Times New Roman" w:cs="Times New Roman"/>
          <w:color w:val="000000" w:themeColor="text1"/>
          <w:szCs w:val="24"/>
        </w:rPr>
        <w:t>carbapenemases</w:t>
      </w:r>
      <w:proofErr w:type="spellEnd"/>
      <w:r>
        <w:rPr>
          <w:rFonts w:eastAsia="Times New Roman" w:cs="Times New Roman"/>
          <w:color w:val="000000" w:themeColor="text1"/>
          <w:szCs w:val="24"/>
        </w:rPr>
        <w:t xml:space="preserve"> (20). Yet, amidst this technological advancement, a dark cloud looms—the menace of antimicrobial resistance (AMR). This challenge is particularly acute in both veterinary medicine and public health arenas. In the poultry sector, for instance, lurking pathogens can lead to disastrous treatment failures, skyrocketing costs, and the unsettling possibility of zoonotic transmission (21). The situation is further </w:t>
      </w:r>
      <w:r>
        <w:rPr>
          <w:rFonts w:eastAsia="Times New Roman" w:cs="Times New Roman"/>
          <w:color w:val="000000" w:themeColor="text1"/>
          <w:szCs w:val="24"/>
        </w:rPr>
        <w:lastRenderedPageBreak/>
        <w:t>complicated by rampant antibiotic abuse and careless management in livestock operations, where weak biosecurity protocols fuel the flames of the AMR crisis (20). Factors like poor biosecurity, inadequate hygiene practices, and the absence of effective vaccination strategies only serve to amplify these risks, adding urgency to an already critical situation.</w:t>
      </w:r>
    </w:p>
    <w:p w14:paraId="151B35E1" w14:textId="77777777" w:rsidR="009E37DF" w:rsidRDefault="004B4845">
      <w:pPr>
        <w:spacing w:after="0" w:line="240" w:lineRule="auto"/>
        <w:rPr>
          <w:rFonts w:eastAsia="Times New Roman" w:cs="Times New Roman"/>
          <w:color w:val="000000" w:themeColor="text1"/>
          <w:szCs w:val="24"/>
        </w:rPr>
      </w:pPr>
      <w:r>
        <w:rPr>
          <w:rFonts w:eastAsia="Times New Roman" w:cs="Times New Roman"/>
          <w:color w:val="000000" w:themeColor="text1"/>
          <w:szCs w:val="24"/>
        </w:rPr>
        <w:pict w14:anchorId="438457C5">
          <v:rect id="_x0000_i1025" style="width:0;height:1.5pt" o:hralign="center" o:hrstd="t" o:hr="t" fillcolor="#a0a0a0" stroked="f"/>
        </w:pict>
      </w:r>
    </w:p>
    <w:p w14:paraId="4FEEB50E" w14:textId="77777777" w:rsidR="009E37DF" w:rsidRDefault="00F33276">
      <w:pPr>
        <w:spacing w:before="100" w:beforeAutospacing="1" w:after="100" w:afterAutospacing="1" w:line="240" w:lineRule="auto"/>
        <w:outlineLvl w:val="2"/>
        <w:rPr>
          <w:rFonts w:eastAsia="Times New Roman" w:cs="Times New Roman"/>
          <w:b/>
          <w:bCs/>
          <w:color w:val="000000" w:themeColor="text1"/>
          <w:szCs w:val="24"/>
        </w:rPr>
      </w:pPr>
      <w:r>
        <w:rPr>
          <w:rFonts w:eastAsia="Times New Roman" w:cs="Times New Roman"/>
          <w:b/>
          <w:bCs/>
          <w:color w:val="000000" w:themeColor="text1"/>
          <w:szCs w:val="24"/>
        </w:rPr>
        <w:t>Conclusion</w:t>
      </w:r>
    </w:p>
    <w:p w14:paraId="13A4BC65" w14:textId="77777777" w:rsidR="009E37DF" w:rsidRDefault="00F33276">
      <w:pPr>
        <w:autoSpaceDE w:val="0"/>
        <w:autoSpaceDN w:val="0"/>
        <w:adjustRightInd w:val="0"/>
        <w:spacing w:after="0" w:line="240" w:lineRule="auto"/>
        <w:ind w:firstLine="720"/>
        <w:rPr>
          <w:rFonts w:cs="Times New Roman"/>
          <w:color w:val="000000" w:themeColor="text1"/>
          <w:szCs w:val="24"/>
        </w:rPr>
      </w:pPr>
      <w:r>
        <w:rPr>
          <w:rFonts w:cs="Times New Roman"/>
          <w:color w:val="000000" w:themeColor="text1"/>
          <w:szCs w:val="24"/>
        </w:rPr>
        <w:t>Bacterial infections pose a serious threat to the poultry liver, often leading to sepsis that can tragically result in the death of these birds. Why? Because the liver plays a crucial role in purification, metabolism, and regulating the immune system. When infections strike, particularly from pesky culprits like E. coli, Klebsiella spp., and Staphylococcus aureus, the consequences can spiral into systemic dissemination, liver necrosis, and even multiorgan failure. But thankfully, we have tools like the VITEK® 2 system, along with other automated mechanisms, making it possible to diagnose these issues quickly and accurately. This kind of timely intervention is vital for administering targeted antibiotic therapy when it counts the most. What’s remarkable about the VITEK® 2 system is its proficiency not just in identifying bacterial species but also in assessing their antimicrobial susceptibility. This capability is a game changer for targeted therapies and bolstering antimicrobial stewardship. By using this advanced technology, we can significantly curb outbreaks, reduce mortality rates, and ultimately boost poultry productivity. Yet, let’s not forget that while tools like VITEK® 2 are invaluable, they shouldn't be our sole strategy. Emphasizing good hygiene practices, keeping vigilant surveillance, and being smart about antibiotic usage are fundamental to combatting antimicrobial resistance and ensuring food safety for everyone.</w:t>
      </w:r>
    </w:p>
    <w:p w14:paraId="31DC2E28" w14:textId="77777777" w:rsidR="009E37DF" w:rsidRDefault="009E37DF">
      <w:pPr>
        <w:autoSpaceDE w:val="0"/>
        <w:autoSpaceDN w:val="0"/>
        <w:adjustRightInd w:val="0"/>
        <w:spacing w:after="0" w:line="240" w:lineRule="auto"/>
        <w:rPr>
          <w:rFonts w:cs="Times New Roman"/>
          <w:color w:val="000000" w:themeColor="text1"/>
          <w:szCs w:val="24"/>
        </w:rPr>
      </w:pPr>
    </w:p>
    <w:p w14:paraId="41FC4E24" w14:textId="77777777" w:rsidR="009E37DF" w:rsidRDefault="009E37DF">
      <w:pPr>
        <w:spacing w:before="100" w:beforeAutospacing="1" w:after="100" w:afterAutospacing="1" w:line="240" w:lineRule="auto"/>
        <w:outlineLvl w:val="2"/>
        <w:rPr>
          <w:rFonts w:eastAsia="Times New Roman" w:cs="Times New Roman"/>
          <w:b/>
          <w:bCs/>
          <w:color w:val="000000" w:themeColor="text1"/>
          <w:szCs w:val="24"/>
        </w:rPr>
      </w:pPr>
      <w:bookmarkStart w:id="4" w:name="_GoBack"/>
      <w:bookmarkEnd w:id="4"/>
    </w:p>
    <w:p w14:paraId="074E9EE3" w14:textId="77777777" w:rsidR="009E37DF" w:rsidRDefault="00F33276">
      <w:pPr>
        <w:spacing w:before="100" w:beforeAutospacing="1" w:after="100" w:afterAutospacing="1" w:line="240" w:lineRule="auto"/>
        <w:outlineLvl w:val="2"/>
        <w:rPr>
          <w:rFonts w:eastAsia="Times New Roman" w:cs="Times New Roman"/>
          <w:b/>
          <w:bCs/>
          <w:color w:val="000000" w:themeColor="text1"/>
          <w:szCs w:val="24"/>
        </w:rPr>
      </w:pPr>
      <w:r>
        <w:rPr>
          <w:rFonts w:eastAsia="Times New Roman" w:cs="Times New Roman"/>
          <w:b/>
          <w:bCs/>
          <w:color w:val="000000" w:themeColor="text1"/>
          <w:szCs w:val="24"/>
        </w:rPr>
        <w:t>References</w:t>
      </w:r>
    </w:p>
    <w:p w14:paraId="5B53DA8B" w14:textId="77777777" w:rsidR="00705F9B" w:rsidRDefault="00705F9B">
      <w:pPr>
        <w:pStyle w:val="ListNumber"/>
        <w:numPr>
          <w:ilvl w:val="0"/>
          <w:numId w:val="7"/>
        </w:numPr>
        <w:rPr>
          <w:rFonts w:cs="Times New Roman"/>
          <w:color w:val="000000" w:themeColor="text1"/>
          <w:szCs w:val="24"/>
        </w:rPr>
      </w:pPr>
      <w:r w:rsidRPr="00705F9B">
        <w:rPr>
          <w:rFonts w:cs="Times New Roman"/>
          <w:color w:val="000000" w:themeColor="text1"/>
          <w:szCs w:val="24"/>
        </w:rPr>
        <w:t xml:space="preserve">Christensen, J. P., &amp; Bisgaard, M. (2000). Fowl cholera. Revue </w:t>
      </w:r>
      <w:proofErr w:type="spellStart"/>
      <w:r w:rsidRPr="00705F9B">
        <w:rPr>
          <w:rFonts w:cs="Times New Roman"/>
          <w:color w:val="000000" w:themeColor="text1"/>
          <w:szCs w:val="24"/>
        </w:rPr>
        <w:t>Scientifique</w:t>
      </w:r>
      <w:proofErr w:type="spellEnd"/>
      <w:r w:rsidRPr="00705F9B">
        <w:rPr>
          <w:rFonts w:cs="Times New Roman"/>
          <w:color w:val="000000" w:themeColor="text1"/>
          <w:szCs w:val="24"/>
        </w:rPr>
        <w:t xml:space="preserve"> et Technique, 19(2), 626–637. </w:t>
      </w:r>
      <w:hyperlink r:id="rId11" w:history="1">
        <w:r w:rsidRPr="00411BE8">
          <w:rPr>
            <w:rStyle w:val="Hyperlink"/>
            <w:rFonts w:cs="Times New Roman"/>
            <w:szCs w:val="24"/>
          </w:rPr>
          <w:t>https://doi.org/10.20506/rst.19.2.1236</w:t>
        </w:r>
      </w:hyperlink>
      <w:r>
        <w:rPr>
          <w:rFonts w:cs="Times New Roman"/>
          <w:color w:val="000000" w:themeColor="text1"/>
          <w:szCs w:val="24"/>
        </w:rPr>
        <w:t xml:space="preserve"> </w:t>
      </w:r>
    </w:p>
    <w:p w14:paraId="0BD9C72B" w14:textId="77777777" w:rsidR="00705F9B" w:rsidRDefault="00705F9B">
      <w:pPr>
        <w:pStyle w:val="ListNumber"/>
        <w:numPr>
          <w:ilvl w:val="0"/>
          <w:numId w:val="7"/>
        </w:numPr>
        <w:rPr>
          <w:rFonts w:cs="Times New Roman"/>
          <w:color w:val="000000" w:themeColor="text1"/>
          <w:szCs w:val="24"/>
        </w:rPr>
      </w:pPr>
      <w:r w:rsidRPr="00705F9B">
        <w:rPr>
          <w:rFonts w:cs="Times New Roman"/>
          <w:color w:val="000000" w:themeColor="text1"/>
          <w:szCs w:val="24"/>
        </w:rPr>
        <w:t xml:space="preserve">Gast, R. K., &amp; Porter, R. E. (2020). Salmonella infections. In D. E. Swayne (Ed.), Diseases of Poultry (14th ed.). Wiley-Blackwell. </w:t>
      </w:r>
      <w:hyperlink r:id="rId12" w:history="1">
        <w:r w:rsidRPr="00411BE8">
          <w:rPr>
            <w:rStyle w:val="Hyperlink"/>
            <w:rFonts w:cs="Times New Roman"/>
            <w:szCs w:val="24"/>
          </w:rPr>
          <w:t>https://doi.org/10.1002/9781119371199.ch16</w:t>
        </w:r>
      </w:hyperlink>
      <w:r>
        <w:rPr>
          <w:rFonts w:cs="Times New Roman"/>
          <w:color w:val="000000" w:themeColor="text1"/>
          <w:szCs w:val="24"/>
        </w:rPr>
        <w:t xml:space="preserve"> </w:t>
      </w:r>
    </w:p>
    <w:p w14:paraId="5F0E1901" w14:textId="77777777" w:rsidR="00705F9B" w:rsidRDefault="00705F9B">
      <w:pPr>
        <w:pStyle w:val="ListNumber"/>
        <w:numPr>
          <w:ilvl w:val="0"/>
          <w:numId w:val="7"/>
        </w:numPr>
        <w:rPr>
          <w:rFonts w:cs="Times New Roman"/>
          <w:color w:val="000000" w:themeColor="text1"/>
          <w:szCs w:val="24"/>
        </w:rPr>
      </w:pPr>
      <w:r w:rsidRPr="00705F9B">
        <w:rPr>
          <w:rFonts w:cs="Times New Roman"/>
          <w:color w:val="000000" w:themeColor="text1"/>
          <w:szCs w:val="24"/>
        </w:rPr>
        <w:t xml:space="preserve">Nolan, L. K., Barnes, H. J., Vaillancourt, J. P., Abdul-Aziz, T., &amp; Logue, C. M. (2013). Colibacillosis. In Diseases of Poultry (13th ed., pp. 751-805). Wiley-Blackwell. </w:t>
      </w:r>
      <w:hyperlink r:id="rId13" w:history="1">
        <w:r w:rsidRPr="00411BE8">
          <w:rPr>
            <w:rStyle w:val="Hyperlink"/>
            <w:rFonts w:cs="Times New Roman"/>
            <w:szCs w:val="24"/>
          </w:rPr>
          <w:t>https://doi.org/10.1002/9781119421481.ch18</w:t>
        </w:r>
      </w:hyperlink>
      <w:r>
        <w:rPr>
          <w:rFonts w:cs="Times New Roman"/>
          <w:color w:val="000000" w:themeColor="text1"/>
          <w:szCs w:val="24"/>
        </w:rPr>
        <w:t xml:space="preserve"> </w:t>
      </w:r>
    </w:p>
    <w:p w14:paraId="6872E66B" w14:textId="77777777" w:rsidR="00705F9B" w:rsidRDefault="00705F9B">
      <w:pPr>
        <w:pStyle w:val="ListNumber"/>
        <w:numPr>
          <w:ilvl w:val="0"/>
          <w:numId w:val="7"/>
        </w:numPr>
        <w:rPr>
          <w:rFonts w:cs="Times New Roman"/>
          <w:color w:val="000000" w:themeColor="text1"/>
          <w:szCs w:val="24"/>
        </w:rPr>
      </w:pPr>
      <w:proofErr w:type="spellStart"/>
      <w:r w:rsidRPr="00705F9B">
        <w:rPr>
          <w:rFonts w:cs="Times New Roman"/>
          <w:color w:val="000000" w:themeColor="text1"/>
          <w:szCs w:val="24"/>
        </w:rPr>
        <w:t>Shivaprasad</w:t>
      </w:r>
      <w:proofErr w:type="spellEnd"/>
      <w:r w:rsidRPr="00705F9B">
        <w:rPr>
          <w:rFonts w:cs="Times New Roman"/>
          <w:color w:val="000000" w:themeColor="text1"/>
          <w:szCs w:val="24"/>
        </w:rPr>
        <w:t xml:space="preserve">, H. L. (2000). Fowl typhoid and pullorum disease. Revue </w:t>
      </w:r>
      <w:proofErr w:type="spellStart"/>
      <w:r w:rsidRPr="00705F9B">
        <w:rPr>
          <w:rFonts w:cs="Times New Roman"/>
          <w:color w:val="000000" w:themeColor="text1"/>
          <w:szCs w:val="24"/>
        </w:rPr>
        <w:t>Scientifique</w:t>
      </w:r>
      <w:proofErr w:type="spellEnd"/>
      <w:r w:rsidRPr="00705F9B">
        <w:rPr>
          <w:rFonts w:cs="Times New Roman"/>
          <w:color w:val="000000" w:themeColor="text1"/>
          <w:szCs w:val="24"/>
        </w:rPr>
        <w:t xml:space="preserve"> et Technique de </w:t>
      </w:r>
      <w:proofErr w:type="spellStart"/>
      <w:r w:rsidRPr="00705F9B">
        <w:rPr>
          <w:rFonts w:cs="Times New Roman"/>
          <w:color w:val="000000" w:themeColor="text1"/>
          <w:szCs w:val="24"/>
        </w:rPr>
        <w:t>l'OIE</w:t>
      </w:r>
      <w:proofErr w:type="spellEnd"/>
      <w:r w:rsidRPr="00705F9B">
        <w:rPr>
          <w:rFonts w:cs="Times New Roman"/>
          <w:color w:val="000000" w:themeColor="text1"/>
          <w:szCs w:val="24"/>
        </w:rPr>
        <w:t xml:space="preserve">, 19(2), 405–424. </w:t>
      </w:r>
      <w:hyperlink r:id="rId14" w:history="1">
        <w:r w:rsidRPr="00411BE8">
          <w:rPr>
            <w:rStyle w:val="Hyperlink"/>
            <w:rFonts w:cs="Times New Roman"/>
            <w:szCs w:val="24"/>
          </w:rPr>
          <w:t>https://doi.org/10.20506/rst.19.2.1222</w:t>
        </w:r>
      </w:hyperlink>
      <w:r>
        <w:rPr>
          <w:rFonts w:cs="Times New Roman"/>
          <w:color w:val="000000" w:themeColor="text1"/>
          <w:szCs w:val="24"/>
        </w:rPr>
        <w:t xml:space="preserve"> </w:t>
      </w:r>
    </w:p>
    <w:p w14:paraId="32DFFCE7" w14:textId="201533DA" w:rsidR="009E37DF" w:rsidRDefault="00F33276">
      <w:pPr>
        <w:pStyle w:val="ListNumber"/>
        <w:numPr>
          <w:ilvl w:val="0"/>
          <w:numId w:val="7"/>
        </w:numPr>
        <w:rPr>
          <w:rFonts w:cs="Times New Roman"/>
          <w:color w:val="000000" w:themeColor="text1"/>
          <w:szCs w:val="24"/>
        </w:rPr>
      </w:pPr>
      <w:proofErr w:type="spellStart"/>
      <w:r>
        <w:rPr>
          <w:rFonts w:cs="Times New Roman"/>
          <w:color w:val="000000" w:themeColor="text1"/>
          <w:szCs w:val="24"/>
        </w:rPr>
        <w:t>Entis</w:t>
      </w:r>
      <w:proofErr w:type="spellEnd"/>
      <w:r>
        <w:rPr>
          <w:rFonts w:cs="Times New Roman"/>
          <w:color w:val="000000" w:themeColor="text1"/>
          <w:szCs w:val="24"/>
        </w:rPr>
        <w:t>, P. (2002). The Microbiology of Raw Foods. Aspen Publishers, Inc.</w:t>
      </w:r>
    </w:p>
    <w:p w14:paraId="55F5F824" w14:textId="77777777" w:rsidR="009E37DF" w:rsidRDefault="00F33276">
      <w:pPr>
        <w:pStyle w:val="ListNumber"/>
        <w:numPr>
          <w:ilvl w:val="0"/>
          <w:numId w:val="7"/>
        </w:numPr>
        <w:rPr>
          <w:rFonts w:cs="Times New Roman"/>
          <w:color w:val="000000" w:themeColor="text1"/>
          <w:szCs w:val="24"/>
        </w:rPr>
      </w:pPr>
      <w:r>
        <w:rPr>
          <w:rFonts w:cs="Times New Roman"/>
          <w:color w:val="000000" w:themeColor="text1"/>
          <w:szCs w:val="24"/>
        </w:rPr>
        <w:lastRenderedPageBreak/>
        <w:t>Hook, A. E. (1940). Peptone water as a medium for biological preparations. Journal of Hygiene.</w:t>
      </w:r>
    </w:p>
    <w:p w14:paraId="583D6F31" w14:textId="77777777" w:rsidR="009E37DF" w:rsidRDefault="00F33276">
      <w:pPr>
        <w:pStyle w:val="ListNumber"/>
        <w:numPr>
          <w:ilvl w:val="0"/>
          <w:numId w:val="7"/>
        </w:numPr>
        <w:rPr>
          <w:rFonts w:cs="Times New Roman"/>
          <w:color w:val="000000" w:themeColor="text1"/>
          <w:szCs w:val="24"/>
        </w:rPr>
      </w:pPr>
      <w:proofErr w:type="spellStart"/>
      <w:r>
        <w:rPr>
          <w:rFonts w:cs="Times New Roman"/>
          <w:color w:val="000000" w:themeColor="text1"/>
          <w:szCs w:val="24"/>
        </w:rPr>
        <w:t>Dzobo</w:t>
      </w:r>
      <w:proofErr w:type="spellEnd"/>
      <w:r>
        <w:rPr>
          <w:rFonts w:cs="Times New Roman"/>
          <w:color w:val="000000" w:themeColor="text1"/>
          <w:szCs w:val="24"/>
        </w:rPr>
        <w:t xml:space="preserve">, K., Motaung, K. S., &amp; </w:t>
      </w:r>
      <w:proofErr w:type="spellStart"/>
      <w:r>
        <w:rPr>
          <w:rFonts w:cs="Times New Roman"/>
          <w:color w:val="000000" w:themeColor="text1"/>
          <w:szCs w:val="24"/>
        </w:rPr>
        <w:t>Adesida</w:t>
      </w:r>
      <w:proofErr w:type="spellEnd"/>
      <w:r>
        <w:rPr>
          <w:rFonts w:cs="Times New Roman"/>
          <w:color w:val="000000" w:themeColor="text1"/>
          <w:szCs w:val="24"/>
        </w:rPr>
        <w:t xml:space="preserve">, A. (2019). Regenerative Medicine and Tissue Engineering. </w:t>
      </w:r>
      <w:proofErr w:type="spellStart"/>
      <w:r>
        <w:rPr>
          <w:rFonts w:cs="Times New Roman"/>
          <w:color w:val="000000" w:themeColor="text1"/>
          <w:szCs w:val="24"/>
        </w:rPr>
        <w:t>IntechOpen</w:t>
      </w:r>
      <w:proofErr w:type="spellEnd"/>
      <w:r>
        <w:rPr>
          <w:rFonts w:cs="Times New Roman"/>
          <w:color w:val="000000" w:themeColor="text1"/>
          <w:szCs w:val="24"/>
        </w:rPr>
        <w:t>.</w:t>
      </w:r>
    </w:p>
    <w:p w14:paraId="47DF9D24" w14:textId="77777777" w:rsidR="009E37DF" w:rsidRDefault="00F33276">
      <w:pPr>
        <w:pStyle w:val="ListNumber"/>
        <w:numPr>
          <w:ilvl w:val="0"/>
          <w:numId w:val="7"/>
        </w:numPr>
        <w:rPr>
          <w:rFonts w:cs="Times New Roman"/>
          <w:color w:val="000000" w:themeColor="text1"/>
          <w:szCs w:val="24"/>
        </w:rPr>
      </w:pPr>
      <w:r>
        <w:rPr>
          <w:rFonts w:cs="Times New Roman"/>
          <w:color w:val="000000" w:themeColor="text1"/>
          <w:szCs w:val="24"/>
        </w:rPr>
        <w:t>MOHAMED, M. O. (2017). Diagnostic Bacteriology. Sudan Journal of Medical Sciences.</w:t>
      </w:r>
    </w:p>
    <w:p w14:paraId="689C4EF5" w14:textId="77777777" w:rsidR="009E37DF" w:rsidRDefault="00F33276">
      <w:pPr>
        <w:pStyle w:val="ListNumber"/>
        <w:numPr>
          <w:ilvl w:val="0"/>
          <w:numId w:val="7"/>
        </w:numPr>
        <w:rPr>
          <w:rFonts w:cs="Times New Roman"/>
          <w:color w:val="000000" w:themeColor="text1"/>
          <w:szCs w:val="24"/>
        </w:rPr>
      </w:pPr>
      <w:proofErr w:type="spellStart"/>
      <w:r>
        <w:rPr>
          <w:rFonts w:cs="Times New Roman"/>
          <w:color w:val="000000" w:themeColor="text1"/>
          <w:szCs w:val="24"/>
        </w:rPr>
        <w:t>Murugalatha</w:t>
      </w:r>
      <w:proofErr w:type="spellEnd"/>
      <w:r>
        <w:rPr>
          <w:rFonts w:cs="Times New Roman"/>
          <w:color w:val="000000" w:themeColor="text1"/>
          <w:szCs w:val="24"/>
        </w:rPr>
        <w:t xml:space="preserve">, N., </w:t>
      </w:r>
      <w:proofErr w:type="spellStart"/>
      <w:r>
        <w:rPr>
          <w:rFonts w:cs="Times New Roman"/>
          <w:color w:val="000000" w:themeColor="text1"/>
          <w:szCs w:val="24"/>
        </w:rPr>
        <w:t>Growther</w:t>
      </w:r>
      <w:proofErr w:type="spellEnd"/>
      <w:r>
        <w:rPr>
          <w:rFonts w:cs="Times New Roman"/>
          <w:color w:val="000000" w:themeColor="text1"/>
          <w:szCs w:val="24"/>
        </w:rPr>
        <w:t>, H., &amp; Hena, M. (2022). Advances in Laboratory Diagnostics. Academic Press.</w:t>
      </w:r>
    </w:p>
    <w:p w14:paraId="4F8E07E3" w14:textId="77777777" w:rsidR="009E37DF" w:rsidRDefault="00F33276">
      <w:pPr>
        <w:pStyle w:val="ListNumber"/>
        <w:numPr>
          <w:ilvl w:val="0"/>
          <w:numId w:val="7"/>
        </w:numPr>
        <w:rPr>
          <w:rFonts w:cs="Times New Roman"/>
          <w:color w:val="000000" w:themeColor="text1"/>
          <w:szCs w:val="24"/>
        </w:rPr>
      </w:pPr>
      <w:proofErr w:type="spellStart"/>
      <w:r>
        <w:rPr>
          <w:rFonts w:cs="Times New Roman"/>
          <w:color w:val="000000" w:themeColor="text1"/>
          <w:szCs w:val="24"/>
        </w:rPr>
        <w:t>Tagesu</w:t>
      </w:r>
      <w:proofErr w:type="spellEnd"/>
      <w:r>
        <w:rPr>
          <w:rFonts w:cs="Times New Roman"/>
          <w:color w:val="000000" w:themeColor="text1"/>
          <w:szCs w:val="24"/>
        </w:rPr>
        <w:t>, A. (2018). Microbiological Techniques Manual. Ethiopian Public Health Institute.</w:t>
      </w:r>
    </w:p>
    <w:p w14:paraId="16D1651C" w14:textId="77777777" w:rsidR="009E37DF" w:rsidRDefault="00F33276">
      <w:pPr>
        <w:pStyle w:val="ListNumber"/>
        <w:numPr>
          <w:ilvl w:val="0"/>
          <w:numId w:val="7"/>
        </w:numPr>
        <w:rPr>
          <w:rFonts w:cs="Times New Roman"/>
          <w:color w:val="000000" w:themeColor="text1"/>
          <w:szCs w:val="24"/>
        </w:rPr>
      </w:pPr>
      <w:proofErr w:type="spellStart"/>
      <w:r>
        <w:rPr>
          <w:rFonts w:cs="Times New Roman"/>
          <w:color w:val="000000" w:themeColor="text1"/>
          <w:szCs w:val="24"/>
        </w:rPr>
        <w:t>Parumasivam</w:t>
      </w:r>
      <w:proofErr w:type="spellEnd"/>
      <w:r>
        <w:rPr>
          <w:rFonts w:cs="Times New Roman"/>
          <w:color w:val="000000" w:themeColor="text1"/>
          <w:szCs w:val="24"/>
        </w:rPr>
        <w:t>, T., Riazi, M., &amp; Mohamad, S. (2024). Clinical Microbiology Practices. Malaysian Journal of Medical Sciences.</w:t>
      </w:r>
    </w:p>
    <w:p w14:paraId="4E032A14" w14:textId="77777777" w:rsidR="00705F9B" w:rsidRPr="00705F9B" w:rsidRDefault="00705F9B">
      <w:pPr>
        <w:numPr>
          <w:ilvl w:val="0"/>
          <w:numId w:val="7"/>
        </w:numPr>
        <w:spacing w:before="100" w:beforeAutospacing="1" w:after="100" w:afterAutospacing="1" w:line="240" w:lineRule="auto"/>
        <w:rPr>
          <w:rFonts w:eastAsia="Times New Roman" w:cs="Times New Roman"/>
          <w:color w:val="000000" w:themeColor="text1"/>
          <w:szCs w:val="24"/>
        </w:rPr>
      </w:pPr>
      <w:r w:rsidRPr="00705F9B">
        <w:rPr>
          <w:rFonts w:cs="Times New Roman"/>
          <w:color w:val="000000" w:themeColor="text1"/>
          <w:szCs w:val="24"/>
        </w:rPr>
        <w:t xml:space="preserve">U.S. Department of Agriculture, Food Safety and Inspection Service. (2015). *Microbiology Laboratory Guidebook*. Food Safety and Inspection Service. </w:t>
      </w:r>
      <w:hyperlink r:id="rId15" w:history="1">
        <w:r w:rsidRPr="00411BE8">
          <w:rPr>
            <w:rStyle w:val="Hyperlink"/>
            <w:rFonts w:cs="Times New Roman"/>
            <w:szCs w:val="24"/>
          </w:rPr>
          <w:t>https://www.fsis.usda.gov/science/laboratories-procedures/microbiology-laboratory-guidebook</w:t>
        </w:r>
      </w:hyperlink>
      <w:r>
        <w:rPr>
          <w:rFonts w:cs="Times New Roman"/>
          <w:color w:val="000000" w:themeColor="text1"/>
          <w:szCs w:val="24"/>
        </w:rPr>
        <w:t xml:space="preserve"> </w:t>
      </w:r>
    </w:p>
    <w:p w14:paraId="52C9A73D" w14:textId="5E3262BF" w:rsidR="009E37DF" w:rsidRDefault="00F33276">
      <w:pPr>
        <w:numPr>
          <w:ilvl w:val="0"/>
          <w:numId w:val="7"/>
        </w:numPr>
        <w:spacing w:before="100" w:beforeAutospacing="1" w:after="100" w:afterAutospacing="1" w:line="240" w:lineRule="auto"/>
        <w:rPr>
          <w:rFonts w:eastAsia="Times New Roman" w:cs="Times New Roman"/>
          <w:color w:val="000000" w:themeColor="text1"/>
          <w:szCs w:val="24"/>
        </w:rPr>
      </w:pPr>
      <w:r>
        <w:rPr>
          <w:rFonts w:eastAsia="Times New Roman" w:cs="Times New Roman"/>
          <w:color w:val="000000" w:themeColor="text1"/>
          <w:szCs w:val="24"/>
        </w:rPr>
        <w:t xml:space="preserve">Smith, A. L., Powers, C., &amp; Beal, R. K. (2022). Pathogen load and immune response in poultry mortality. </w:t>
      </w:r>
      <w:r>
        <w:rPr>
          <w:rFonts w:eastAsia="Times New Roman" w:cs="Times New Roman"/>
          <w:i/>
          <w:iCs/>
          <w:color w:val="000000" w:themeColor="text1"/>
          <w:szCs w:val="24"/>
        </w:rPr>
        <w:t>Avian Pathology</w:t>
      </w:r>
      <w:r>
        <w:rPr>
          <w:rFonts w:eastAsia="Times New Roman" w:cs="Times New Roman"/>
          <w:color w:val="000000" w:themeColor="text1"/>
          <w:szCs w:val="24"/>
        </w:rPr>
        <w:t>, 51(2), 145-152.</w:t>
      </w:r>
    </w:p>
    <w:p w14:paraId="1D21AED9" w14:textId="77777777" w:rsidR="009E37DF" w:rsidRDefault="00F33276">
      <w:pPr>
        <w:numPr>
          <w:ilvl w:val="0"/>
          <w:numId w:val="7"/>
        </w:numPr>
        <w:spacing w:before="100" w:beforeAutospacing="1" w:after="100" w:afterAutospacing="1" w:line="240" w:lineRule="auto"/>
        <w:rPr>
          <w:rFonts w:eastAsia="Times New Roman" w:cs="Times New Roman"/>
          <w:color w:val="000000" w:themeColor="text1"/>
          <w:szCs w:val="24"/>
        </w:rPr>
      </w:pPr>
      <w:r>
        <w:rPr>
          <w:rFonts w:eastAsia="Times New Roman" w:cs="Times New Roman"/>
          <w:color w:val="000000" w:themeColor="text1"/>
          <w:szCs w:val="24"/>
        </w:rPr>
        <w:t xml:space="preserve">Kunert Filho, H. C., Brito, W. M. E. D., Cavalli, L. S., &amp; Brito, B. G. D. (2015). Isolation and pathogenicity of </w:t>
      </w:r>
      <w:r>
        <w:rPr>
          <w:rFonts w:eastAsia="Times New Roman" w:cs="Times New Roman"/>
          <w:i/>
          <w:iCs/>
          <w:color w:val="000000" w:themeColor="text1"/>
          <w:szCs w:val="24"/>
        </w:rPr>
        <w:t>Klebsiella</w:t>
      </w:r>
      <w:r>
        <w:rPr>
          <w:rFonts w:eastAsia="Times New Roman" w:cs="Times New Roman"/>
          <w:color w:val="000000" w:themeColor="text1"/>
          <w:szCs w:val="24"/>
        </w:rPr>
        <w:t xml:space="preserve"> spp. in poultry. </w:t>
      </w:r>
      <w:r>
        <w:rPr>
          <w:rFonts w:eastAsia="Times New Roman" w:cs="Times New Roman"/>
          <w:i/>
          <w:iCs/>
          <w:color w:val="000000" w:themeColor="text1"/>
          <w:szCs w:val="24"/>
        </w:rPr>
        <w:t>Brazilian Journal of Poultry Science</w:t>
      </w:r>
      <w:r>
        <w:rPr>
          <w:rFonts w:eastAsia="Times New Roman" w:cs="Times New Roman"/>
          <w:color w:val="000000" w:themeColor="text1"/>
          <w:szCs w:val="24"/>
        </w:rPr>
        <w:t>, 17(3), 361-367.</w:t>
      </w:r>
    </w:p>
    <w:p w14:paraId="303D6C96" w14:textId="77777777" w:rsidR="009E37DF" w:rsidRDefault="00F33276">
      <w:pPr>
        <w:numPr>
          <w:ilvl w:val="0"/>
          <w:numId w:val="7"/>
        </w:numPr>
        <w:spacing w:before="100" w:beforeAutospacing="1" w:after="100" w:afterAutospacing="1" w:line="240" w:lineRule="auto"/>
        <w:rPr>
          <w:rFonts w:eastAsia="Times New Roman" w:cs="Times New Roman"/>
          <w:color w:val="000000" w:themeColor="text1"/>
          <w:szCs w:val="24"/>
        </w:rPr>
      </w:pPr>
      <w:r>
        <w:rPr>
          <w:rFonts w:eastAsia="Times New Roman" w:cs="Times New Roman"/>
          <w:color w:val="000000" w:themeColor="text1"/>
          <w:szCs w:val="24"/>
        </w:rPr>
        <w:t xml:space="preserve">Wiener, E., Quinn, J. P., Bradford, P. A., Goering, R. V., Nathan, C., Bush, K., &amp; Weinstein, R. A. (1999). Antimicrobial resistance in animal agriculture. </w:t>
      </w:r>
      <w:r>
        <w:rPr>
          <w:rFonts w:eastAsia="Times New Roman" w:cs="Times New Roman"/>
          <w:i/>
          <w:iCs/>
          <w:color w:val="000000" w:themeColor="text1"/>
          <w:szCs w:val="24"/>
        </w:rPr>
        <w:t>Journal of Clinical Microbiology</w:t>
      </w:r>
      <w:r>
        <w:rPr>
          <w:rFonts w:eastAsia="Times New Roman" w:cs="Times New Roman"/>
          <w:color w:val="000000" w:themeColor="text1"/>
          <w:szCs w:val="24"/>
        </w:rPr>
        <w:t>, 37(5), 1673-1680.</w:t>
      </w:r>
    </w:p>
    <w:p w14:paraId="386B84D7" w14:textId="77777777" w:rsidR="00705F9B" w:rsidRDefault="00705F9B">
      <w:pPr>
        <w:numPr>
          <w:ilvl w:val="0"/>
          <w:numId w:val="7"/>
        </w:numPr>
        <w:spacing w:before="100" w:beforeAutospacing="1" w:after="100" w:afterAutospacing="1" w:line="240" w:lineRule="auto"/>
        <w:rPr>
          <w:rFonts w:eastAsia="Times New Roman" w:cs="Times New Roman"/>
          <w:color w:val="000000" w:themeColor="text1"/>
          <w:szCs w:val="24"/>
        </w:rPr>
      </w:pPr>
      <w:r w:rsidRPr="00705F9B">
        <w:rPr>
          <w:rFonts w:eastAsia="Times New Roman" w:cs="Times New Roman"/>
          <w:color w:val="000000" w:themeColor="text1"/>
          <w:szCs w:val="24"/>
        </w:rPr>
        <w:t xml:space="preserve">Hogan, C. A., </w:t>
      </w:r>
      <w:proofErr w:type="spellStart"/>
      <w:r w:rsidRPr="00705F9B">
        <w:rPr>
          <w:rFonts w:eastAsia="Times New Roman" w:cs="Times New Roman"/>
          <w:color w:val="000000" w:themeColor="text1"/>
          <w:szCs w:val="24"/>
        </w:rPr>
        <w:t>Watz</w:t>
      </w:r>
      <w:proofErr w:type="spellEnd"/>
      <w:r w:rsidRPr="00705F9B">
        <w:rPr>
          <w:rFonts w:eastAsia="Times New Roman" w:cs="Times New Roman"/>
          <w:color w:val="000000" w:themeColor="text1"/>
          <w:szCs w:val="24"/>
        </w:rPr>
        <w:t xml:space="preserve">, N., </w:t>
      </w:r>
      <w:proofErr w:type="spellStart"/>
      <w:r w:rsidRPr="00705F9B">
        <w:rPr>
          <w:rFonts w:eastAsia="Times New Roman" w:cs="Times New Roman"/>
          <w:color w:val="000000" w:themeColor="text1"/>
          <w:szCs w:val="24"/>
        </w:rPr>
        <w:t>Budvytiene</w:t>
      </w:r>
      <w:proofErr w:type="spellEnd"/>
      <w:r w:rsidRPr="00705F9B">
        <w:rPr>
          <w:rFonts w:eastAsia="Times New Roman" w:cs="Times New Roman"/>
          <w:color w:val="000000" w:themeColor="text1"/>
          <w:szCs w:val="24"/>
        </w:rPr>
        <w:t xml:space="preserve">, I., &amp; </w:t>
      </w:r>
      <w:proofErr w:type="spellStart"/>
      <w:r w:rsidRPr="00705F9B">
        <w:rPr>
          <w:rFonts w:eastAsia="Times New Roman" w:cs="Times New Roman"/>
          <w:color w:val="000000" w:themeColor="text1"/>
          <w:szCs w:val="24"/>
        </w:rPr>
        <w:t>Banaei</w:t>
      </w:r>
      <w:proofErr w:type="spellEnd"/>
      <w:r w:rsidRPr="00705F9B">
        <w:rPr>
          <w:rFonts w:eastAsia="Times New Roman" w:cs="Times New Roman"/>
          <w:color w:val="000000" w:themeColor="text1"/>
          <w:szCs w:val="24"/>
        </w:rPr>
        <w:t xml:space="preserve">, N. (2019). Rapid antimicrobial susceptibility testing by VITEK®2 directly from blood cultures in patients with Gram-negative rod bacteremia. Diagnostic Microbiology and Infectious Disease. </w:t>
      </w:r>
      <w:hyperlink r:id="rId16" w:history="1">
        <w:r w:rsidRPr="00411BE8">
          <w:rPr>
            <w:rStyle w:val="Hyperlink"/>
            <w:rFonts w:eastAsia="Times New Roman" w:cs="Times New Roman"/>
            <w:szCs w:val="24"/>
          </w:rPr>
          <w:t>https://doi.org/10.1016/j.diagmicrobio.2019.01.001</w:t>
        </w:r>
      </w:hyperlink>
      <w:r>
        <w:rPr>
          <w:rFonts w:eastAsia="Times New Roman" w:cs="Times New Roman"/>
          <w:color w:val="000000" w:themeColor="text1"/>
          <w:szCs w:val="24"/>
        </w:rPr>
        <w:t xml:space="preserve"> </w:t>
      </w:r>
    </w:p>
    <w:p w14:paraId="734D48F4" w14:textId="77777777" w:rsidR="00705F9B" w:rsidRDefault="00705F9B">
      <w:pPr>
        <w:numPr>
          <w:ilvl w:val="0"/>
          <w:numId w:val="7"/>
        </w:numPr>
        <w:spacing w:before="100" w:beforeAutospacing="1" w:after="100" w:afterAutospacing="1" w:line="240" w:lineRule="auto"/>
        <w:rPr>
          <w:rFonts w:eastAsia="Times New Roman" w:cs="Times New Roman"/>
          <w:color w:val="000000" w:themeColor="text1"/>
          <w:szCs w:val="24"/>
        </w:rPr>
      </w:pPr>
      <w:r w:rsidRPr="00705F9B">
        <w:rPr>
          <w:rFonts w:eastAsia="Times New Roman" w:cs="Times New Roman"/>
          <w:color w:val="000000" w:themeColor="text1"/>
          <w:szCs w:val="24"/>
        </w:rPr>
        <w:t>Kareem, A., Al-</w:t>
      </w:r>
      <w:proofErr w:type="spellStart"/>
      <w:r w:rsidRPr="00705F9B">
        <w:rPr>
          <w:rFonts w:eastAsia="Times New Roman" w:cs="Times New Roman"/>
          <w:color w:val="000000" w:themeColor="text1"/>
          <w:szCs w:val="24"/>
        </w:rPr>
        <w:t>Sahlany</w:t>
      </w:r>
      <w:proofErr w:type="spellEnd"/>
      <w:r w:rsidRPr="00705F9B">
        <w:rPr>
          <w:rFonts w:eastAsia="Times New Roman" w:cs="Times New Roman"/>
          <w:color w:val="000000" w:themeColor="text1"/>
          <w:szCs w:val="24"/>
        </w:rPr>
        <w:t xml:space="preserve">, S. T. G., Verma, D. K., Thakur, M., Mohapatra, B., Singh, S., Chávez-González, M. L., Aguilar, C. N., Patel, A. R., &amp; </w:t>
      </w:r>
      <w:proofErr w:type="spellStart"/>
      <w:r w:rsidRPr="00705F9B">
        <w:rPr>
          <w:rFonts w:eastAsia="Times New Roman" w:cs="Times New Roman"/>
          <w:color w:val="000000" w:themeColor="text1"/>
          <w:szCs w:val="24"/>
        </w:rPr>
        <w:t>Banwo</w:t>
      </w:r>
      <w:proofErr w:type="spellEnd"/>
      <w:r w:rsidRPr="00705F9B">
        <w:rPr>
          <w:rFonts w:eastAsia="Times New Roman" w:cs="Times New Roman"/>
          <w:color w:val="000000" w:themeColor="text1"/>
          <w:szCs w:val="24"/>
        </w:rPr>
        <w:t xml:space="preserve">, K. (2022). Trends, Analytical Approaches, and Applications of the VITEK System for Identification and Classification of Bacteria and Yeasts. In Quantitative Methods and Analytical Techniques in Food Microbiology. Apple Academic Press. </w:t>
      </w:r>
      <w:hyperlink r:id="rId17" w:history="1">
        <w:r w:rsidRPr="00411BE8">
          <w:rPr>
            <w:rStyle w:val="Hyperlink"/>
            <w:rFonts w:eastAsia="Times New Roman" w:cs="Times New Roman"/>
            <w:szCs w:val="24"/>
          </w:rPr>
          <w:t>https://doi.org/10.1201/9781003260904-1</w:t>
        </w:r>
      </w:hyperlink>
      <w:r>
        <w:rPr>
          <w:rFonts w:eastAsia="Times New Roman" w:cs="Times New Roman"/>
          <w:color w:val="000000" w:themeColor="text1"/>
          <w:szCs w:val="24"/>
        </w:rPr>
        <w:t xml:space="preserve"> </w:t>
      </w:r>
    </w:p>
    <w:p w14:paraId="18CFE67B" w14:textId="6C938B20" w:rsidR="009E37DF" w:rsidRDefault="00F33276">
      <w:pPr>
        <w:numPr>
          <w:ilvl w:val="0"/>
          <w:numId w:val="7"/>
        </w:numPr>
        <w:spacing w:before="100" w:beforeAutospacing="1" w:after="100" w:afterAutospacing="1" w:line="240" w:lineRule="auto"/>
        <w:rPr>
          <w:rFonts w:eastAsia="Times New Roman" w:cs="Times New Roman"/>
          <w:color w:val="000000" w:themeColor="text1"/>
          <w:szCs w:val="24"/>
        </w:rPr>
      </w:pPr>
      <w:r>
        <w:rPr>
          <w:rFonts w:eastAsia="Times New Roman" w:cs="Times New Roman"/>
          <w:color w:val="000000" w:themeColor="text1"/>
          <w:szCs w:val="24"/>
        </w:rPr>
        <w:t xml:space="preserve">Sharma, C. (2018). Antimicrobial resistance: implications for poultry and public health. </w:t>
      </w:r>
      <w:r>
        <w:rPr>
          <w:rFonts w:eastAsia="Times New Roman" w:cs="Times New Roman"/>
          <w:i/>
          <w:iCs/>
          <w:color w:val="000000" w:themeColor="text1"/>
          <w:szCs w:val="24"/>
        </w:rPr>
        <w:t>Frontiers in Veterinary Science</w:t>
      </w:r>
      <w:r>
        <w:rPr>
          <w:rFonts w:eastAsia="Times New Roman" w:cs="Times New Roman"/>
          <w:color w:val="000000" w:themeColor="text1"/>
          <w:szCs w:val="24"/>
        </w:rPr>
        <w:t>, 5, 254.</w:t>
      </w:r>
    </w:p>
    <w:p w14:paraId="1AFDAAA3" w14:textId="77777777" w:rsidR="00705F9B" w:rsidRDefault="00705F9B">
      <w:pPr>
        <w:numPr>
          <w:ilvl w:val="0"/>
          <w:numId w:val="7"/>
        </w:numPr>
        <w:spacing w:before="100" w:beforeAutospacing="1" w:after="100" w:afterAutospacing="1" w:line="240" w:lineRule="auto"/>
        <w:rPr>
          <w:rFonts w:eastAsia="Times New Roman" w:cs="Times New Roman"/>
          <w:color w:val="000000" w:themeColor="text1"/>
          <w:szCs w:val="24"/>
        </w:rPr>
      </w:pPr>
      <w:proofErr w:type="spellStart"/>
      <w:r w:rsidRPr="00705F9B">
        <w:rPr>
          <w:rFonts w:eastAsia="Times New Roman" w:cs="Times New Roman"/>
          <w:color w:val="000000" w:themeColor="text1"/>
          <w:szCs w:val="24"/>
        </w:rPr>
        <w:t>Dadgostar</w:t>
      </w:r>
      <w:proofErr w:type="spellEnd"/>
      <w:r w:rsidRPr="00705F9B">
        <w:rPr>
          <w:rFonts w:eastAsia="Times New Roman" w:cs="Times New Roman"/>
          <w:color w:val="000000" w:themeColor="text1"/>
          <w:szCs w:val="24"/>
        </w:rPr>
        <w:t xml:space="preserve">, P. (2019). Antimicrobial Resistance: Implications and Costs. Infection and Drug Resistance. </w:t>
      </w:r>
      <w:hyperlink r:id="rId18" w:history="1">
        <w:r w:rsidRPr="00411BE8">
          <w:rPr>
            <w:rStyle w:val="Hyperlink"/>
            <w:rFonts w:eastAsia="Times New Roman" w:cs="Times New Roman"/>
            <w:szCs w:val="24"/>
          </w:rPr>
          <w:t>https://doi.org/10.2147/IDR.S234610</w:t>
        </w:r>
      </w:hyperlink>
      <w:r>
        <w:rPr>
          <w:rFonts w:eastAsia="Times New Roman" w:cs="Times New Roman"/>
          <w:color w:val="000000" w:themeColor="text1"/>
          <w:szCs w:val="24"/>
        </w:rPr>
        <w:t xml:space="preserve"> </w:t>
      </w:r>
    </w:p>
    <w:p w14:paraId="60E1DCAA" w14:textId="77777777" w:rsidR="00705F9B" w:rsidRDefault="00705F9B" w:rsidP="00705F9B">
      <w:pPr>
        <w:numPr>
          <w:ilvl w:val="0"/>
          <w:numId w:val="7"/>
        </w:numPr>
        <w:spacing w:before="100" w:beforeAutospacing="1" w:after="100" w:afterAutospacing="1" w:line="240" w:lineRule="auto"/>
        <w:rPr>
          <w:rFonts w:eastAsia="Times New Roman" w:cs="Times New Roman"/>
          <w:color w:val="000000" w:themeColor="text1"/>
          <w:szCs w:val="24"/>
        </w:rPr>
      </w:pPr>
      <w:r w:rsidRPr="00705F9B">
        <w:rPr>
          <w:rFonts w:eastAsia="Times New Roman" w:cs="Times New Roman"/>
          <w:color w:val="000000" w:themeColor="text1"/>
          <w:szCs w:val="24"/>
        </w:rPr>
        <w:t xml:space="preserve">Economou, V., &amp; </w:t>
      </w:r>
      <w:proofErr w:type="spellStart"/>
      <w:r w:rsidRPr="00705F9B">
        <w:rPr>
          <w:rFonts w:eastAsia="Times New Roman" w:cs="Times New Roman"/>
          <w:color w:val="000000" w:themeColor="text1"/>
          <w:szCs w:val="24"/>
        </w:rPr>
        <w:t>Gousia</w:t>
      </w:r>
      <w:proofErr w:type="spellEnd"/>
      <w:r w:rsidRPr="00705F9B">
        <w:rPr>
          <w:rFonts w:eastAsia="Times New Roman" w:cs="Times New Roman"/>
          <w:color w:val="000000" w:themeColor="text1"/>
          <w:szCs w:val="24"/>
        </w:rPr>
        <w:t xml:space="preserve">, P. (2015). Agriculture and food animals as a source of antimicrobial-resistant bacteria. Infectious Drug Resistance, 8, 49–61. </w:t>
      </w:r>
      <w:hyperlink r:id="rId19" w:history="1">
        <w:r w:rsidRPr="00411BE8">
          <w:rPr>
            <w:rStyle w:val="Hyperlink"/>
            <w:rFonts w:eastAsia="Times New Roman" w:cs="Times New Roman"/>
            <w:szCs w:val="24"/>
          </w:rPr>
          <w:t>https://doi.org/10.2147/IDR.S55778</w:t>
        </w:r>
      </w:hyperlink>
      <w:r>
        <w:rPr>
          <w:rFonts w:eastAsia="Times New Roman" w:cs="Times New Roman"/>
          <w:color w:val="000000" w:themeColor="text1"/>
          <w:szCs w:val="24"/>
        </w:rPr>
        <w:t xml:space="preserve"> </w:t>
      </w:r>
    </w:p>
    <w:p w14:paraId="6D5A9A28" w14:textId="35999B26" w:rsidR="009E37DF" w:rsidRPr="00705F9B" w:rsidRDefault="00705F9B" w:rsidP="00705F9B">
      <w:pPr>
        <w:numPr>
          <w:ilvl w:val="0"/>
          <w:numId w:val="7"/>
        </w:numPr>
        <w:spacing w:before="100" w:beforeAutospacing="1" w:after="100" w:afterAutospacing="1" w:line="240" w:lineRule="auto"/>
        <w:rPr>
          <w:rFonts w:eastAsia="Times New Roman" w:cs="Times New Roman"/>
          <w:color w:val="000000" w:themeColor="text1"/>
          <w:szCs w:val="24"/>
        </w:rPr>
      </w:pPr>
      <w:r w:rsidRPr="00705F9B">
        <w:rPr>
          <w:rFonts w:eastAsia="Times New Roman" w:cs="Times New Roman"/>
          <w:color w:val="000000" w:themeColor="text1"/>
          <w:szCs w:val="24"/>
        </w:rPr>
        <w:t xml:space="preserve">Fletcher, S. (2015). Understanding the contribution of environmental factors in the spread of antimicrobial resistance. Environmental Health and Preventive Medicine, 20(4), 243-252. </w:t>
      </w:r>
      <w:hyperlink r:id="rId20" w:history="1">
        <w:r w:rsidRPr="00705F9B">
          <w:rPr>
            <w:rStyle w:val="Hyperlink"/>
            <w:rFonts w:eastAsia="Times New Roman" w:cs="Times New Roman"/>
            <w:szCs w:val="24"/>
          </w:rPr>
          <w:t>https://doi.org/10.1007/s12199-015-0468-0</w:t>
        </w:r>
      </w:hyperlink>
    </w:p>
    <w:p w14:paraId="6A449942" w14:textId="77777777" w:rsidR="00705F9B" w:rsidRDefault="00705F9B">
      <w:pPr>
        <w:spacing w:before="100" w:beforeAutospacing="1" w:after="100" w:afterAutospacing="1" w:line="240" w:lineRule="auto"/>
        <w:rPr>
          <w:rFonts w:eastAsia="Times New Roman" w:cs="Times New Roman"/>
          <w:color w:val="000000" w:themeColor="text1"/>
          <w:szCs w:val="24"/>
        </w:rPr>
      </w:pPr>
    </w:p>
    <w:p w14:paraId="47D8D41D" w14:textId="77777777" w:rsidR="009E37DF" w:rsidRDefault="009E37DF">
      <w:pPr>
        <w:rPr>
          <w:rFonts w:cs="Times New Roman"/>
          <w:color w:val="000000" w:themeColor="text1"/>
          <w:szCs w:val="24"/>
        </w:rPr>
      </w:pPr>
    </w:p>
    <w:sectPr w:rsidR="009E37DF">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024EA" w14:textId="77777777" w:rsidR="004B4845" w:rsidRDefault="004B4845">
      <w:pPr>
        <w:spacing w:line="240" w:lineRule="auto"/>
      </w:pPr>
      <w:r>
        <w:separator/>
      </w:r>
    </w:p>
  </w:endnote>
  <w:endnote w:type="continuationSeparator" w:id="0">
    <w:p w14:paraId="6EE1E2F8" w14:textId="77777777" w:rsidR="004B4845" w:rsidRDefault="004B4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9CD1" w14:textId="77777777" w:rsidR="00AD7082" w:rsidRDefault="00AD7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8C31" w14:textId="77777777" w:rsidR="00AD7082" w:rsidRDefault="00AD7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8AD8A" w14:textId="77777777" w:rsidR="00AD7082" w:rsidRDefault="00AD7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139F9" w14:textId="77777777" w:rsidR="004B4845" w:rsidRDefault="004B4845">
      <w:pPr>
        <w:spacing w:after="0"/>
      </w:pPr>
      <w:r>
        <w:separator/>
      </w:r>
    </w:p>
  </w:footnote>
  <w:footnote w:type="continuationSeparator" w:id="0">
    <w:p w14:paraId="3C0D1A39" w14:textId="77777777" w:rsidR="004B4845" w:rsidRDefault="004B48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3AEE" w14:textId="11BBF5AD" w:rsidR="00AD7082" w:rsidRDefault="00AD7082">
    <w:pPr>
      <w:pStyle w:val="Header"/>
    </w:pPr>
    <w:r>
      <w:rPr>
        <w:noProof/>
      </w:rPr>
      <w:pict w14:anchorId="0204E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25063"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BDA8" w14:textId="4348D725" w:rsidR="00AD7082" w:rsidRDefault="00AD7082">
    <w:pPr>
      <w:pStyle w:val="Header"/>
    </w:pPr>
    <w:r>
      <w:rPr>
        <w:noProof/>
      </w:rPr>
      <w:pict w14:anchorId="25EAF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25064"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A541C" w14:textId="5C80765B" w:rsidR="00AD7082" w:rsidRDefault="00AD7082">
    <w:pPr>
      <w:pStyle w:val="Header"/>
    </w:pPr>
    <w:r>
      <w:rPr>
        <w:noProof/>
      </w:rPr>
      <w:pict w14:anchorId="44D28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25062"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3D5E0657"/>
    <w:multiLevelType w:val="multilevel"/>
    <w:tmpl w:val="3D5E06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31EE"/>
    <w:rsid w:val="00034616"/>
    <w:rsid w:val="0006063C"/>
    <w:rsid w:val="0015074B"/>
    <w:rsid w:val="00174836"/>
    <w:rsid w:val="001A25B4"/>
    <w:rsid w:val="0029639D"/>
    <w:rsid w:val="00326F90"/>
    <w:rsid w:val="00354784"/>
    <w:rsid w:val="0043312B"/>
    <w:rsid w:val="004B4845"/>
    <w:rsid w:val="004D5285"/>
    <w:rsid w:val="00516ED0"/>
    <w:rsid w:val="005B667A"/>
    <w:rsid w:val="00661AC9"/>
    <w:rsid w:val="0067574B"/>
    <w:rsid w:val="00705F9B"/>
    <w:rsid w:val="008415AE"/>
    <w:rsid w:val="008974E9"/>
    <w:rsid w:val="00900FC0"/>
    <w:rsid w:val="00905744"/>
    <w:rsid w:val="009A76E0"/>
    <w:rsid w:val="009E37DF"/>
    <w:rsid w:val="00A537A0"/>
    <w:rsid w:val="00A61463"/>
    <w:rsid w:val="00AA1D8D"/>
    <w:rsid w:val="00AD7082"/>
    <w:rsid w:val="00B47730"/>
    <w:rsid w:val="00BD7861"/>
    <w:rsid w:val="00CB0664"/>
    <w:rsid w:val="00EF4C65"/>
    <w:rsid w:val="00F33276"/>
    <w:rsid w:val="00FC693F"/>
    <w:rsid w:val="0EE2690E"/>
    <w:rsid w:val="11683085"/>
    <w:rsid w:val="1A881228"/>
    <w:rsid w:val="3AEC0EEC"/>
    <w:rsid w:val="3BB61D74"/>
    <w:rsid w:val="3BC6700B"/>
    <w:rsid w:val="47460387"/>
    <w:rsid w:val="4B246D7E"/>
    <w:rsid w:val="4DE228E6"/>
    <w:rsid w:val="4E7C68B9"/>
    <w:rsid w:val="5B540D0C"/>
    <w:rsid w:val="68696871"/>
    <w:rsid w:val="731A5B5A"/>
    <w:rsid w:val="7B6146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56B436F"/>
  <w14:defaultImageDpi w14:val="300"/>
  <w15:docId w15:val="{2BADE991-72AB-4F9F-82F8-0E3B451E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Theme="minorEastAsia" w:cstheme="minorBidi"/>
      <w:sz w:val="24"/>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Web">
    <w:name w:val="Normal (Web)"/>
    <w:basedOn w:val="Normal"/>
    <w:uiPriority w:val="99"/>
    <w:semiHidden/>
    <w:unhideWhenUsed/>
    <w:qFormat/>
    <w:rPr>
      <w:rFonts w:cs="Times New Roman"/>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1">
    <w:name w:val="تأكيد دقيق1"/>
    <w:basedOn w:val="DefaultParagraphFont"/>
    <w:uiPriority w:val="19"/>
    <w:qFormat/>
    <w:rPr>
      <w:i/>
      <w:iCs/>
      <w:color w:val="7F7F7F" w:themeColor="text1" w:themeTint="80"/>
    </w:rPr>
  </w:style>
  <w:style w:type="character" w:customStyle="1" w:styleId="10">
    <w:name w:val="تأكيد مكثف1"/>
    <w:basedOn w:val="DefaultParagraphFont"/>
    <w:uiPriority w:val="21"/>
    <w:qFormat/>
    <w:rPr>
      <w:b/>
      <w:bCs/>
      <w:i/>
      <w:iCs/>
      <w:color w:val="4F81BD" w:themeColor="accent1"/>
    </w:rPr>
  </w:style>
  <w:style w:type="character" w:customStyle="1" w:styleId="11">
    <w:name w:val="مرجع دقيق1"/>
    <w:basedOn w:val="DefaultParagraphFont"/>
    <w:uiPriority w:val="31"/>
    <w:qFormat/>
    <w:rPr>
      <w:smallCaps/>
      <w:color w:val="C0504D" w:themeColor="accent2"/>
      <w:u w:val="single"/>
    </w:rPr>
  </w:style>
  <w:style w:type="character" w:customStyle="1" w:styleId="12">
    <w:name w:val="مرجع مكثف1"/>
    <w:basedOn w:val="DefaultParagraphFont"/>
    <w:uiPriority w:val="32"/>
    <w:qFormat/>
    <w:rPr>
      <w:b/>
      <w:bCs/>
      <w:smallCaps/>
      <w:color w:val="C0504D" w:themeColor="accent2"/>
      <w:spacing w:val="5"/>
      <w:u w:val="single"/>
    </w:rPr>
  </w:style>
  <w:style w:type="character" w:customStyle="1" w:styleId="13">
    <w:name w:val="عنوان الكتاب1"/>
    <w:basedOn w:val="DefaultParagraphFont"/>
    <w:uiPriority w:val="33"/>
    <w:qFormat/>
    <w:rPr>
      <w:b/>
      <w:bCs/>
      <w:smallCaps/>
      <w:spacing w:val="5"/>
    </w:rPr>
  </w:style>
  <w:style w:type="paragraph" w:customStyle="1" w:styleId="14">
    <w:name w:val="عنوان جدول المحتويات1"/>
    <w:basedOn w:val="Heading1"/>
    <w:next w:val="Normal"/>
    <w:uiPriority w:val="39"/>
    <w:semiHidden/>
    <w:unhideWhenUsed/>
    <w:qFormat/>
    <w:pPr>
      <w:outlineLvl w:val="9"/>
    </w:pPr>
  </w:style>
  <w:style w:type="table" w:customStyle="1" w:styleId="15">
    <w:name w:val="شبكة جدول فاتح1"/>
    <w:basedOn w:val="TableNormal"/>
    <w:uiPriority w:val="99"/>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mmentTextChar">
    <w:name w:val="Comment Text Char"/>
    <w:basedOn w:val="DefaultParagraphFont"/>
    <w:link w:val="CommentText"/>
    <w:uiPriority w:val="99"/>
    <w:semiHidden/>
    <w:qFormat/>
    <w:rPr>
      <w:rFonts w:ascii="Times New Roman" w:hAnsi="Times New Roman"/>
      <w:sz w:val="20"/>
      <w:szCs w:val="20"/>
    </w:rPr>
  </w:style>
  <w:style w:type="character" w:customStyle="1" w:styleId="16">
    <w:name w:val="إشارة لم يتم حلها1"/>
    <w:basedOn w:val="DefaultParagraphFont"/>
    <w:uiPriority w:val="99"/>
    <w:semiHidden/>
    <w:unhideWhenUsed/>
    <w:qFormat/>
    <w:rPr>
      <w:color w:val="605E5C"/>
      <w:shd w:val="clear" w:color="auto" w:fill="E1DFDD"/>
    </w:rPr>
  </w:style>
  <w:style w:type="character" w:customStyle="1" w:styleId="A2">
    <w:name w:val="A2"/>
    <w:uiPriority w:val="99"/>
    <w:qFormat/>
    <w:rPr>
      <w:color w:val="000000"/>
      <w:sz w:val="22"/>
      <w:szCs w:val="22"/>
    </w:rPr>
  </w:style>
  <w:style w:type="character" w:styleId="UnresolvedMention">
    <w:name w:val="Unresolved Mention"/>
    <w:basedOn w:val="DefaultParagraphFont"/>
    <w:uiPriority w:val="99"/>
    <w:semiHidden/>
    <w:unhideWhenUsed/>
    <w:rsid w:val="00705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02/9781119421481.ch18" TargetMode="External"/><Relationship Id="rId18" Type="http://schemas.openxmlformats.org/officeDocument/2006/relationships/hyperlink" Target="https://doi.org/10.2147/IDR.S23461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02/9781119371199.ch16" TargetMode="External"/><Relationship Id="rId17" Type="http://schemas.openxmlformats.org/officeDocument/2006/relationships/hyperlink" Target="https://doi.org/10.1201/9781003260904-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16/j.diagmicrobio.2019.01.001" TargetMode="External"/><Relationship Id="rId20" Type="http://schemas.openxmlformats.org/officeDocument/2006/relationships/hyperlink" Target="https://doi.org/10.1007/s12199-015-046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506/rst.19.2.1236"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sis.usda.gov/science/laboratories-procedures/microbiology-laboratory-guideboo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oi.org/10.2147/IDR.S5577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20506/rst.19.2.122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73CBF-31C9-45EC-9540-22FC0C64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3254</Words>
  <Characters>18548</Characters>
  <Application>Microsoft Office Word</Application>
  <DocSecurity>0</DocSecurity>
  <Lines>154</Lines>
  <Paragraphs>43</Paragraphs>
  <ScaleCrop>false</ScaleCrop>
  <Company>SACC</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9</cp:revision>
  <dcterms:created xsi:type="dcterms:W3CDTF">2025-07-08T18:01:00Z</dcterms:created>
  <dcterms:modified xsi:type="dcterms:W3CDTF">2025-12-15T12:51:00Z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adc490be-8cd6-4806-b71f-1f5273a558a5</vt:lpwstr>
  </property>
  <property fmtid="{D5CDD505-2E9C-101B-9397-08002B2CF9AE}" pid="3" name="KSOProductBuildVer">
    <vt:lpwstr>1033-12.2.0.22549</vt:lpwstr>
  </property>
  <property fmtid="{D5CDD505-2E9C-101B-9397-08002B2CF9AE}" pid="4" name="ICV">
    <vt:lpwstr>EAB315DA24A14886ADCBB0B298DC0061_12</vt:lpwstr>
  </property>
</Properties>
</file>