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0B86E"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ISOLATION, 16S rDNA SEQUENCING, AND PHYLOGENETIC TREE ANALYSIS OF A BACTERIAL ISOLATE FROM EARTHWORMS</w:t>
      </w:r>
    </w:p>
    <w:p w14:paraId="60074500" w14:textId="77777777" w:rsidR="00FC772B" w:rsidRDefault="00FC772B" w:rsidP="00194078">
      <w:pPr>
        <w:spacing w:before="100" w:beforeAutospacing="1" w:after="100" w:afterAutospacing="1" w:line="240" w:lineRule="auto"/>
        <w:outlineLvl w:val="2"/>
        <w:rPr>
          <w:rFonts w:ascii="Times New Roman" w:hAnsi="Times New Roman"/>
          <w:b/>
          <w:bCs/>
          <w:sz w:val="27"/>
          <w:szCs w:val="27"/>
        </w:rPr>
      </w:pPr>
    </w:p>
    <w:p w14:paraId="11EF01D8" w14:textId="77777777" w:rsidR="00194078" w:rsidRPr="00194078" w:rsidRDefault="00194078" w:rsidP="00194078">
      <w:pPr>
        <w:spacing w:before="100" w:beforeAutospacing="1" w:after="100" w:afterAutospacing="1" w:line="240" w:lineRule="auto"/>
        <w:outlineLvl w:val="2"/>
        <w:rPr>
          <w:rFonts w:ascii="Times New Roman" w:hAnsi="Times New Roman"/>
          <w:b/>
          <w:bCs/>
          <w:sz w:val="27"/>
          <w:szCs w:val="27"/>
        </w:rPr>
      </w:pPr>
      <w:r w:rsidRPr="00194078">
        <w:rPr>
          <w:rFonts w:ascii="Times New Roman" w:hAnsi="Times New Roman"/>
          <w:b/>
          <w:bCs/>
          <w:sz w:val="27"/>
          <w:szCs w:val="27"/>
        </w:rPr>
        <w:t>Abstract</w:t>
      </w:r>
    </w:p>
    <w:p w14:paraId="19268414" w14:textId="77777777" w:rsidR="00194078" w:rsidRPr="00194078" w:rsidRDefault="00194078" w:rsidP="00194078">
      <w:pPr>
        <w:spacing w:before="100" w:beforeAutospacing="1" w:after="100" w:afterAutospacing="1" w:line="360" w:lineRule="auto"/>
        <w:ind w:firstLine="720"/>
        <w:jc w:val="both"/>
        <w:rPr>
          <w:rFonts w:ascii="Times New Roman" w:hAnsi="Times New Roman"/>
          <w:sz w:val="24"/>
          <w:szCs w:val="24"/>
        </w:rPr>
      </w:pPr>
      <w:r w:rsidRPr="00194078">
        <w:rPr>
          <w:rFonts w:ascii="Times New Roman" w:hAnsi="Times New Roman"/>
          <w:sz w:val="24"/>
          <w:szCs w:val="24"/>
        </w:rPr>
        <w:t xml:space="preserve">Earthworms, often referred to as "ecosystem engineers," play a vital role in soil health by decomposing organic matter, cycling nutrients, and fostering microbial biodiversity. This study focuses on isolating and identifying bacteria associated with earthworms using molecular techniques. Bacterial colonies were isolated from earthworm tissue, characterized morphologically and biochemically, and subjected to 16S rDNA sequencing for genetic identification. Bioinformatics analysis using BLAST and phylogenetic tree construction revealed the isolate as </w:t>
      </w:r>
      <w:r w:rsidRPr="00194078">
        <w:rPr>
          <w:rFonts w:ascii="Times New Roman" w:hAnsi="Times New Roman"/>
          <w:i/>
          <w:iCs/>
          <w:sz w:val="24"/>
          <w:szCs w:val="24"/>
        </w:rPr>
        <w:t xml:space="preserve">Acinetobacter </w:t>
      </w:r>
      <w:proofErr w:type="spellStart"/>
      <w:r w:rsidRPr="00194078">
        <w:rPr>
          <w:rFonts w:ascii="Times New Roman" w:hAnsi="Times New Roman"/>
          <w:i/>
          <w:iCs/>
          <w:sz w:val="24"/>
          <w:szCs w:val="24"/>
        </w:rPr>
        <w:t>junii</w:t>
      </w:r>
      <w:proofErr w:type="spellEnd"/>
      <w:r w:rsidRPr="00194078">
        <w:rPr>
          <w:rFonts w:ascii="Times New Roman" w:hAnsi="Times New Roman"/>
          <w:sz w:val="24"/>
          <w:szCs w:val="24"/>
        </w:rPr>
        <w:t>, a bacterium with known biotechnological potential. Phylogenetic analysis confirmed its evolutionary relationship with closely related species, highlighting its ecological significance.</w:t>
      </w:r>
    </w:p>
    <w:p w14:paraId="75A5A71D" w14:textId="77777777" w:rsidR="00194078" w:rsidRPr="00194078" w:rsidRDefault="00194078" w:rsidP="00194078">
      <w:pPr>
        <w:spacing w:before="100" w:beforeAutospacing="1" w:after="100" w:afterAutospacing="1" w:line="360" w:lineRule="auto"/>
        <w:ind w:firstLine="720"/>
        <w:jc w:val="both"/>
        <w:rPr>
          <w:rFonts w:ascii="Times New Roman" w:hAnsi="Times New Roman"/>
          <w:sz w:val="24"/>
          <w:szCs w:val="24"/>
        </w:rPr>
      </w:pPr>
      <w:r w:rsidRPr="00194078">
        <w:rPr>
          <w:rFonts w:ascii="Times New Roman" w:hAnsi="Times New Roman"/>
          <w:i/>
          <w:iCs/>
          <w:sz w:val="24"/>
          <w:szCs w:val="24"/>
        </w:rPr>
        <w:t xml:space="preserve">Acinetobacter </w:t>
      </w:r>
      <w:proofErr w:type="spellStart"/>
      <w:r w:rsidRPr="00194078">
        <w:rPr>
          <w:rFonts w:ascii="Times New Roman" w:hAnsi="Times New Roman"/>
          <w:i/>
          <w:iCs/>
          <w:sz w:val="24"/>
          <w:szCs w:val="24"/>
        </w:rPr>
        <w:t>junii</w:t>
      </w:r>
      <w:proofErr w:type="spellEnd"/>
      <w:r w:rsidRPr="00194078">
        <w:rPr>
          <w:rFonts w:ascii="Times New Roman" w:hAnsi="Times New Roman"/>
          <w:sz w:val="24"/>
          <w:szCs w:val="24"/>
        </w:rPr>
        <w:t xml:space="preserve"> exhibits traits such as biodegradation of organic pollutants, resistance to environmental stressors, and plant growth promotion through the synthesis of phytohormones and nutrient solubilization. These attributes position it as a promising candidate for applications in biofertilizer development, sustainable agriculture, and bioremediation. The study underscores the importance of exploring earthworm-associated microbiomes as a reservoir of beneficial microorganisms and provides a foundation for future research into their ecological and agricultural applications.</w:t>
      </w:r>
    </w:p>
    <w:p w14:paraId="6F08F80C"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Keywords</w:t>
      </w:r>
    </w:p>
    <w:p w14:paraId="4620CF95" w14:textId="77777777" w:rsidR="00381AAF" w:rsidRPr="00E906DE" w:rsidRDefault="00381AAF" w:rsidP="00381AAF">
      <w:pPr>
        <w:pStyle w:val="NormalWeb"/>
        <w:spacing w:line="360" w:lineRule="auto"/>
        <w:jc w:val="both"/>
      </w:pPr>
      <w:r w:rsidRPr="00E906DE">
        <w:t xml:space="preserve">Earthworms, microbial diversity, </w:t>
      </w:r>
      <w:r w:rsidRPr="00E906DE">
        <w:rPr>
          <w:rStyle w:val="Emphasis"/>
        </w:rPr>
        <w:t xml:space="preserve">Acinetobacter </w:t>
      </w:r>
      <w:proofErr w:type="spellStart"/>
      <w:r w:rsidRPr="00E906DE">
        <w:rPr>
          <w:rStyle w:val="Emphasis"/>
        </w:rPr>
        <w:t>junii</w:t>
      </w:r>
      <w:proofErr w:type="spellEnd"/>
      <w:r w:rsidRPr="00E906DE">
        <w:t>, 16S rDNA sequencing, phylogenetic analysis.</w:t>
      </w:r>
    </w:p>
    <w:p w14:paraId="73C85E45" w14:textId="77777777" w:rsidR="00381AAF" w:rsidRDefault="00381AAF" w:rsidP="00381AAF">
      <w:pPr>
        <w:pStyle w:val="Heading3"/>
        <w:spacing w:line="360" w:lineRule="auto"/>
        <w:jc w:val="both"/>
        <w:rPr>
          <w:rStyle w:val="Strong"/>
          <w:rFonts w:eastAsiaTheme="minorEastAsia"/>
          <w:b/>
          <w:bCs/>
          <w:sz w:val="24"/>
          <w:szCs w:val="24"/>
        </w:rPr>
      </w:pPr>
      <w:r w:rsidRPr="00E906DE">
        <w:rPr>
          <w:rStyle w:val="Strong"/>
          <w:rFonts w:eastAsiaTheme="minorEastAsia"/>
          <w:b/>
          <w:bCs/>
          <w:sz w:val="24"/>
          <w:szCs w:val="24"/>
        </w:rPr>
        <w:t>Introduction</w:t>
      </w:r>
    </w:p>
    <w:p w14:paraId="68D5606B" w14:textId="77777777"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 xml:space="preserve">Earthworms, the "ecosystem engineers" of the soil, play a crucial role in maintaining terrestrial ecosystem functionality. They influence soil structure, organic matter decomposition, </w:t>
      </w:r>
      <w:r w:rsidRPr="00AA1917">
        <w:rPr>
          <w:rFonts w:ascii="Times New Roman" w:hAnsi="Times New Roman"/>
          <w:sz w:val="24"/>
          <w:szCs w:val="24"/>
        </w:rPr>
        <w:lastRenderedPageBreak/>
        <w:t>nutrient dynamics, and water infiltration (Edwards &amp; Bohlen, 1996). By ingesting soil and organic material, earthworms facilitate the breakdown of complex organic substances, transforming them into simpler compounds readily accessible to plants. These processes are essential for improving soil fertility and promoting agricultural productivity, making earthworms integral to sustainable farming practices (Lavelle et al., 2007).</w:t>
      </w:r>
      <w:r>
        <w:rPr>
          <w:rFonts w:ascii="Times New Roman" w:hAnsi="Times New Roman"/>
          <w:sz w:val="24"/>
          <w:szCs w:val="24"/>
        </w:rPr>
        <w:t xml:space="preserve"> </w:t>
      </w:r>
      <w:r w:rsidRPr="00AA1917">
        <w:rPr>
          <w:rFonts w:ascii="Times New Roman" w:hAnsi="Times New Roman"/>
          <w:sz w:val="24"/>
          <w:szCs w:val="24"/>
        </w:rPr>
        <w:t>A less explored but equally important aspect of earthworms is their interaction with diverse microbial communities. Earthworms’ guts harbor an enriched microbiome, distinct from the surrounding soil, which includes bacteria, fungi, and actinomycetes. These microorganisms contribute to critical soil processes such as nitrogen fixation, phosphate solubilization, production of plant growth regulators, and suppression of plant pathogens (Binet et al., 1998). The activity of earthworms stimulates microbial biomass and activity, creating a synergy that enhances soil quality. However, despite their ecological and agricultural significance, the diversity and functional roles of microbes associated with earthworms remain poorly understood.</w:t>
      </w:r>
    </w:p>
    <w:p w14:paraId="5CE0E3AD" w14:textId="77777777"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The 16S rRNA gene, a conserved genetic marker, has emerged as a reliable tool for bacterial identification and phylogenetic analysis. Its conserved regions allow for universal primer binding, while its variable regions provide specificity for distinguishing between species (Hebert et al., 2003). Advances in molecular techniques, such as polymerase chain reaction (PCR) and next-generation sequencing, have enabled the exploration of microbial diversity beyond the limitations of traditional culture-based methods. These techniques allow the identification of novel species and elucidate their evolutionary relationships within microbial communities (Tamura et al., 2011).</w:t>
      </w:r>
      <w:r>
        <w:rPr>
          <w:rFonts w:ascii="Times New Roman" w:hAnsi="Times New Roman"/>
          <w:sz w:val="24"/>
          <w:szCs w:val="24"/>
        </w:rPr>
        <w:t xml:space="preserve"> </w:t>
      </w:r>
      <w:r w:rsidRPr="00AA1917">
        <w:rPr>
          <w:rFonts w:ascii="Times New Roman" w:hAnsi="Times New Roman"/>
          <w:sz w:val="24"/>
          <w:szCs w:val="24"/>
        </w:rPr>
        <w:t xml:space="preserve">Among the bacteria frequently isolated from soil and earthworm-associated environments, </w:t>
      </w:r>
      <w:r w:rsidRPr="00AA1917">
        <w:rPr>
          <w:rFonts w:ascii="Times New Roman" w:hAnsi="Times New Roman"/>
          <w:i/>
          <w:iCs/>
          <w:sz w:val="24"/>
          <w:szCs w:val="24"/>
        </w:rPr>
        <w:t xml:space="preserve">Acinetobacter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is noteworthy for its ecological adaptability and multifunctionality. This gram-negative bacterium is known for its role in bioremediation, particularly in the degradation of hydrocarbons and other organic pollutants (Lavelle et al., 2007). Additionally, </w:t>
      </w:r>
      <w:r w:rsidRPr="00AA1917">
        <w:rPr>
          <w:rFonts w:ascii="Times New Roman" w:hAnsi="Times New Roman"/>
          <w:i/>
          <w:iCs/>
          <w:sz w:val="24"/>
          <w:szCs w:val="24"/>
        </w:rPr>
        <w:t xml:space="preserve">A.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exhibits traits such as resistance to heavy metals, production of biofilms, and plant-growth-promoting capabilities, which make it a valuable candidate for biotechnological applications (Bergey’s Manual, 1994). Understanding its role within earthworm microbiomes can offer insights into its contributions to soil health and potential utility as a biofertilizer or </w:t>
      </w:r>
      <w:proofErr w:type="spellStart"/>
      <w:r w:rsidRPr="00AA1917">
        <w:rPr>
          <w:rFonts w:ascii="Times New Roman" w:hAnsi="Times New Roman"/>
          <w:sz w:val="24"/>
          <w:szCs w:val="24"/>
        </w:rPr>
        <w:t>bioremediator</w:t>
      </w:r>
      <w:proofErr w:type="spellEnd"/>
      <w:r w:rsidRPr="00AA1917">
        <w:rPr>
          <w:rFonts w:ascii="Times New Roman" w:hAnsi="Times New Roman"/>
          <w:sz w:val="24"/>
          <w:szCs w:val="24"/>
        </w:rPr>
        <w:t>.</w:t>
      </w:r>
      <w:r>
        <w:rPr>
          <w:rFonts w:ascii="Times New Roman" w:hAnsi="Times New Roman"/>
          <w:sz w:val="24"/>
          <w:szCs w:val="24"/>
        </w:rPr>
        <w:t xml:space="preserve"> </w:t>
      </w:r>
      <w:r w:rsidRPr="00AA1917">
        <w:rPr>
          <w:rFonts w:ascii="Times New Roman" w:hAnsi="Times New Roman"/>
          <w:sz w:val="24"/>
          <w:szCs w:val="24"/>
        </w:rPr>
        <w:t xml:space="preserve">This study aimed to isolate and identify bacterial species associated with earthworms, focusing on their genetic and phylogenetic </w:t>
      </w:r>
      <w:r w:rsidRPr="00AA1917">
        <w:rPr>
          <w:rFonts w:ascii="Times New Roman" w:hAnsi="Times New Roman"/>
          <w:sz w:val="24"/>
          <w:szCs w:val="24"/>
        </w:rPr>
        <w:lastRenderedPageBreak/>
        <w:t>characterization using 16S rRNA sequencing. By leveraging bioinformatics tools, we sought to analyze the evolutionary relationships of the identified bacterial isolate and explore its ecological and potential agricultural significance. The findings contribute to a broader understanding of the microbial diversity associated with earthworms and underscore their importance in environmental sustainability and agricultural innovation.</w:t>
      </w:r>
    </w:p>
    <w:p w14:paraId="3A8B58E3"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Materials and Methods</w:t>
      </w:r>
    </w:p>
    <w:p w14:paraId="0EDDCBAB"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Sample Collection and Preparation</w:t>
      </w:r>
    </w:p>
    <w:p w14:paraId="6DDB125F" w14:textId="77777777" w:rsidR="00381AAF" w:rsidRDefault="00381AAF" w:rsidP="00381AAF">
      <w:pPr>
        <w:pStyle w:val="NormalWeb"/>
        <w:spacing w:line="360" w:lineRule="auto"/>
        <w:jc w:val="both"/>
      </w:pPr>
      <w:r w:rsidRPr="00E906DE">
        <w:t>Earthworms were collected from a garden in Arasalur, Perambalur District, Tamil Nadu, India (11.2342° N, 78.8807° E). A 0.1 g tissue sample was homogenized in sterile distilled water, serially diluted, and plated on nutrient agar.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3"/>
        <w:gridCol w:w="4096"/>
      </w:tblGrid>
      <w:tr w:rsidR="00255B39" w:rsidRPr="000D52E4" w14:paraId="18350FDB" w14:textId="77777777" w:rsidTr="0023380E">
        <w:trPr>
          <w:trHeight w:val="3358"/>
          <w:jc w:val="center"/>
        </w:trPr>
        <w:tc>
          <w:tcPr>
            <w:tcW w:w="4093" w:type="dxa"/>
          </w:tcPr>
          <w:p w14:paraId="085CA9A5"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3F908751" wp14:editId="26A3FE00">
                  <wp:extent cx="2327275" cy="2172970"/>
                  <wp:effectExtent l="0" t="0" r="0" b="0"/>
                  <wp:docPr id="2" name="Picture 2" descr="C:\Users\User\AppData\Local\Microsoft\Windows\Temporary Internet Files\Content.Word\IMG-2020010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00103-WA0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275" cy="2172970"/>
                          </a:xfrm>
                          <a:prstGeom prst="rect">
                            <a:avLst/>
                          </a:prstGeom>
                          <a:noFill/>
                          <a:ln>
                            <a:noFill/>
                          </a:ln>
                        </pic:spPr>
                      </pic:pic>
                    </a:graphicData>
                  </a:graphic>
                </wp:inline>
              </w:drawing>
            </w:r>
          </w:p>
        </w:tc>
        <w:tc>
          <w:tcPr>
            <w:tcW w:w="4096" w:type="dxa"/>
          </w:tcPr>
          <w:p w14:paraId="65E4DE67"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7C541C17" wp14:editId="41C6933E">
                  <wp:extent cx="2410460" cy="2220595"/>
                  <wp:effectExtent l="0" t="0" r="8890" b="8255"/>
                  <wp:docPr id="1" name="Picture 1" descr="C:\Users\User\AppData\Local\Microsoft\Windows\Temporary Internet Files\Content.Word\IMG-20200103-WA00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200103-WA0016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460" cy="2220595"/>
                          </a:xfrm>
                          <a:prstGeom prst="rect">
                            <a:avLst/>
                          </a:prstGeom>
                          <a:noFill/>
                          <a:ln>
                            <a:noFill/>
                          </a:ln>
                        </pic:spPr>
                      </pic:pic>
                    </a:graphicData>
                  </a:graphic>
                </wp:inline>
              </w:drawing>
            </w:r>
          </w:p>
        </w:tc>
      </w:tr>
    </w:tbl>
    <w:p w14:paraId="46ADF064" w14:textId="77777777" w:rsidR="00255B39" w:rsidRDefault="00255B39" w:rsidP="00255B39">
      <w:pPr>
        <w:spacing w:before="240" w:after="240" w:line="480" w:lineRule="auto"/>
        <w:jc w:val="center"/>
        <w:rPr>
          <w:rFonts w:ascii="Times New Roman" w:hAnsi="Times New Roman"/>
          <w:b/>
          <w:sz w:val="24"/>
          <w:szCs w:val="24"/>
        </w:rPr>
      </w:pPr>
      <w:r>
        <w:rPr>
          <w:rFonts w:ascii="Times New Roman" w:hAnsi="Times New Roman"/>
          <w:b/>
          <w:sz w:val="24"/>
          <w:szCs w:val="24"/>
        </w:rPr>
        <w:t>Figure 1. Collection and extraction of earthworm</w:t>
      </w:r>
    </w:p>
    <w:p w14:paraId="19EC1023" w14:textId="77777777" w:rsidR="00255B39" w:rsidRPr="00E906DE" w:rsidRDefault="00255B39" w:rsidP="00381AAF">
      <w:pPr>
        <w:pStyle w:val="NormalWeb"/>
        <w:spacing w:line="360" w:lineRule="auto"/>
        <w:jc w:val="both"/>
      </w:pPr>
    </w:p>
    <w:p w14:paraId="1033C01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Bacterial Isolation and Characterization</w:t>
      </w:r>
    </w:p>
    <w:p w14:paraId="2C5D2718" w14:textId="77777777" w:rsidR="00381AAF" w:rsidRPr="00E906DE" w:rsidRDefault="00381AAF" w:rsidP="00381AAF">
      <w:pPr>
        <w:pStyle w:val="NormalWeb"/>
        <w:spacing w:line="360" w:lineRule="auto"/>
        <w:jc w:val="both"/>
      </w:pPr>
      <w:r w:rsidRPr="00E906DE">
        <w:t xml:space="preserve">Isolated bacterial colonies were subjected to gram staining, motility tests, and </w:t>
      </w:r>
      <w:proofErr w:type="spellStart"/>
      <w:r w:rsidRPr="00E906DE">
        <w:t>IMViC</w:t>
      </w:r>
      <w:proofErr w:type="spellEnd"/>
      <w:r w:rsidRPr="00E906DE">
        <w:t xml:space="preserve"> biochemical assays. Morphological and physiological properties were recorded (Bergey’s Manual, 1994).</w:t>
      </w:r>
    </w:p>
    <w:p w14:paraId="0CB19D6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lastRenderedPageBreak/>
        <w:t>DNA Extraction and 16S rRNA Sequencing</w:t>
      </w:r>
    </w:p>
    <w:p w14:paraId="14F088E2" w14:textId="77777777" w:rsidR="00381AAF" w:rsidRPr="00E906DE" w:rsidRDefault="00381AAF" w:rsidP="00381AAF">
      <w:pPr>
        <w:pStyle w:val="NormalWeb"/>
        <w:spacing w:line="360" w:lineRule="auto"/>
        <w:jc w:val="both"/>
      </w:pPr>
      <w:r w:rsidRPr="00E906DE">
        <w:t xml:space="preserve">Bacterial DNA was extracted using the salting-out method. PCR amplification of the 16S rRNA gene was performed using universal primers. Sequencing was carried out with the </w:t>
      </w:r>
      <w:proofErr w:type="spellStart"/>
      <w:r w:rsidRPr="00E906DE">
        <w:t>BigDye</w:t>
      </w:r>
      <w:proofErr w:type="spellEnd"/>
      <w:r w:rsidRPr="00E906DE">
        <w:t xml:space="preserve"> Terminator v3.1 Cycle Sequencing Kit.</w:t>
      </w:r>
    </w:p>
    <w:p w14:paraId="6AC0015E"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Bioinformatics Analysis</w:t>
      </w:r>
    </w:p>
    <w:p w14:paraId="630166FC" w14:textId="77777777" w:rsidR="00381AAF" w:rsidRPr="00E906DE" w:rsidRDefault="00381AAF" w:rsidP="00381AAF">
      <w:pPr>
        <w:pStyle w:val="NormalWeb"/>
        <w:spacing w:line="360" w:lineRule="auto"/>
        <w:jc w:val="both"/>
      </w:pPr>
      <w:r w:rsidRPr="00E906DE">
        <w:t>Sequences were analyzed using BLAST (NCBI) to identify homologous sequences. Multiple sequence alignment and phylogenetic tree construction were performed using MEGA7 software, employing the Neighbor-Joining method with 1000 bootstrap replicates (Tamura et al., 2011).</w:t>
      </w:r>
    </w:p>
    <w:p w14:paraId="47D8CAB5"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Results</w:t>
      </w:r>
    </w:p>
    <w:p w14:paraId="62E55094"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Isolation and Identification of Bacteria</w:t>
      </w:r>
    </w:p>
    <w:p w14:paraId="12511AE8" w14:textId="77777777" w:rsidR="00381AAF" w:rsidRPr="00E906DE" w:rsidRDefault="00381AAF" w:rsidP="00381AAF">
      <w:pPr>
        <w:pStyle w:val="NormalWeb"/>
        <w:spacing w:line="360" w:lineRule="auto"/>
        <w:jc w:val="both"/>
      </w:pPr>
      <w:r w:rsidRPr="00E906DE">
        <w:t xml:space="preserve">Thirteen bacterial isolates were recovered, with variations in gram staining and biochemical properties. One isolate was identified as </w:t>
      </w:r>
      <w:r w:rsidRPr="00E906DE">
        <w:rPr>
          <w:rStyle w:val="Emphasis"/>
        </w:rPr>
        <w:t xml:space="preserve">Acinetobacter </w:t>
      </w:r>
      <w:proofErr w:type="spellStart"/>
      <w:r w:rsidRPr="00E906DE">
        <w:rPr>
          <w:rStyle w:val="Emphasis"/>
        </w:rPr>
        <w:t>junii</w:t>
      </w:r>
      <w:proofErr w:type="spellEnd"/>
      <w:r w:rsidRPr="00E906DE">
        <w:t xml:space="preserve"> based on 16S rRNA sequencing. The sequence showed 100% similarity with reference sequences in the NCBI database.</w:t>
      </w:r>
    </w:p>
    <w:p w14:paraId="4C81E14A"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Phylogenetic Analysis</w:t>
      </w:r>
    </w:p>
    <w:p w14:paraId="2DACB7C3" w14:textId="77777777" w:rsidR="00381AAF" w:rsidRDefault="00381AAF" w:rsidP="00381AAF">
      <w:pPr>
        <w:pStyle w:val="NormalWeb"/>
        <w:spacing w:line="360" w:lineRule="auto"/>
        <w:jc w:val="both"/>
      </w:pPr>
      <w:r w:rsidRPr="00E906DE">
        <w:t xml:space="preserve">The phylogenetic tree confirmed the evolutionary relationship of </w:t>
      </w:r>
      <w:r w:rsidRPr="00E906DE">
        <w:rPr>
          <w:rStyle w:val="Emphasis"/>
        </w:rPr>
        <w:t xml:space="preserve">A. </w:t>
      </w:r>
      <w:proofErr w:type="spellStart"/>
      <w:r w:rsidRPr="00E906DE">
        <w:rPr>
          <w:rStyle w:val="Emphasis"/>
        </w:rPr>
        <w:t>junii</w:t>
      </w:r>
      <w:proofErr w:type="spellEnd"/>
      <w:r w:rsidRPr="00E906DE">
        <w:t xml:space="preserve"> with other species in the genus </w:t>
      </w:r>
      <w:r w:rsidRPr="00E906DE">
        <w:rPr>
          <w:rStyle w:val="Emphasis"/>
        </w:rPr>
        <w:t>Acinetobacter</w:t>
      </w:r>
      <w:r w:rsidRPr="00E906DE">
        <w:t>. High bootstrap values indicated robust clustering with closely related species.</w:t>
      </w:r>
    </w:p>
    <w:p w14:paraId="5612928C" w14:textId="77777777" w:rsidR="00255B39" w:rsidRPr="008C0B8A" w:rsidRDefault="00255B39" w:rsidP="00255B39">
      <w:pPr>
        <w:tabs>
          <w:tab w:val="center" w:pos="4680"/>
        </w:tabs>
        <w:spacing w:after="0" w:line="480" w:lineRule="auto"/>
        <w:jc w:val="both"/>
        <w:rPr>
          <w:rFonts w:ascii="Times New Roman" w:hAnsi="Times New Roman"/>
          <w:b/>
          <w:sz w:val="24"/>
          <w:szCs w:val="24"/>
          <w:lang w:eastAsia="en-IN"/>
        </w:rPr>
      </w:pPr>
      <w:r w:rsidRPr="008C0B8A">
        <w:rPr>
          <w:rFonts w:ascii="Times New Roman" w:hAnsi="Times New Roman"/>
          <w:b/>
          <w:sz w:val="24"/>
          <w:szCs w:val="24"/>
          <w:lang w:eastAsia="en-IN"/>
        </w:rPr>
        <w:t>DNA isolation from the pure culture</w:t>
      </w:r>
    </w:p>
    <w:p w14:paraId="218CF57B" w14:textId="77777777" w:rsidR="00255B39" w:rsidRDefault="00255B39" w:rsidP="00255B39">
      <w:pPr>
        <w:spacing w:after="0" w:line="360" w:lineRule="auto"/>
        <w:ind w:left="360" w:right="346" w:firstLine="720"/>
        <w:jc w:val="both"/>
        <w:rPr>
          <w:rFonts w:ascii="Times New Roman" w:hAnsi="Times New Roman"/>
          <w:color w:val="000000"/>
          <w:sz w:val="24"/>
          <w:szCs w:val="24"/>
          <w:lang w:eastAsia="en-IN"/>
        </w:rPr>
      </w:pPr>
      <w:r w:rsidRPr="00266A74">
        <w:rPr>
          <w:rFonts w:ascii="Times New Roman" w:hAnsi="Times New Roman"/>
          <w:color w:val="000000"/>
          <w:sz w:val="24"/>
          <w:szCs w:val="24"/>
          <w:lang w:eastAsia="en-IN"/>
        </w:rPr>
        <w:t xml:space="preserve">The pure </w:t>
      </w:r>
      <w:r>
        <w:rPr>
          <w:rFonts w:ascii="Times New Roman" w:hAnsi="Times New Roman"/>
          <w:color w:val="000000"/>
          <w:sz w:val="24"/>
          <w:szCs w:val="24"/>
          <w:lang w:eastAsia="en-IN"/>
        </w:rPr>
        <w:t xml:space="preserve">bacterial </w:t>
      </w:r>
      <w:r w:rsidRPr="00266A74">
        <w:rPr>
          <w:rFonts w:ascii="Times New Roman" w:hAnsi="Times New Roman"/>
          <w:color w:val="000000"/>
          <w:sz w:val="24"/>
          <w:szCs w:val="24"/>
          <w:lang w:eastAsia="en-IN"/>
        </w:rPr>
        <w:t>cultures were made for all the</w:t>
      </w:r>
      <w:r>
        <w:rPr>
          <w:rFonts w:ascii="Times New Roman" w:hAnsi="Times New Roman"/>
          <w:color w:val="000000"/>
          <w:sz w:val="24"/>
          <w:szCs w:val="24"/>
          <w:lang w:eastAsia="en-IN"/>
        </w:rPr>
        <w:t xml:space="preserve"> four bacterial </w:t>
      </w:r>
      <w:r w:rsidRPr="00266A74">
        <w:rPr>
          <w:rFonts w:ascii="Times New Roman" w:hAnsi="Times New Roman"/>
          <w:color w:val="000000"/>
          <w:sz w:val="24"/>
          <w:szCs w:val="24"/>
          <w:lang w:eastAsia="en-IN"/>
        </w:rPr>
        <w:t xml:space="preserve">samples and the DNA was isolated from each sample and </w:t>
      </w:r>
      <w:proofErr w:type="spellStart"/>
      <w:r w:rsidRPr="00266A74">
        <w:rPr>
          <w:rFonts w:ascii="Times New Roman" w:hAnsi="Times New Roman"/>
          <w:color w:val="000000"/>
          <w:sz w:val="24"/>
          <w:szCs w:val="24"/>
          <w:lang w:eastAsia="en-IN"/>
        </w:rPr>
        <w:t>analysed</w:t>
      </w:r>
      <w:proofErr w:type="spellEnd"/>
      <w:r w:rsidRPr="00266A74">
        <w:rPr>
          <w:rFonts w:ascii="Times New Roman" w:hAnsi="Times New Roman"/>
          <w:color w:val="000000"/>
          <w:sz w:val="24"/>
          <w:szCs w:val="24"/>
          <w:lang w:eastAsia="en-IN"/>
        </w:rPr>
        <w:t xml:space="preserve"> using agarose gel electrophoresis technique. The quality was checked by measuring the ratio of absorbance at 260 nm and 280 nm (260/280). The value obtained was between the range 1.7 - 1.8 was for the isolated fungal samples, which indicated good quality of DNA without protein/RNA contamination.</w:t>
      </w:r>
    </w:p>
    <w:p w14:paraId="37B22363" w14:textId="77777777" w:rsidR="00255B39" w:rsidRPr="00A000FD" w:rsidRDefault="00255B39" w:rsidP="00255B39">
      <w:pPr>
        <w:spacing w:line="360" w:lineRule="auto"/>
        <w:ind w:firstLine="720"/>
        <w:jc w:val="both"/>
        <w:rPr>
          <w:rFonts w:ascii="Times New Roman" w:hAnsi="Times New Roman"/>
          <w:sz w:val="24"/>
          <w:szCs w:val="24"/>
        </w:rPr>
      </w:pPr>
      <w:r w:rsidRPr="00A000FD">
        <w:rPr>
          <w:rFonts w:ascii="Times New Roman" w:hAnsi="Times New Roman"/>
          <w:sz w:val="24"/>
          <w:szCs w:val="24"/>
        </w:rPr>
        <w:t xml:space="preserve">DNA was isolated from </w:t>
      </w:r>
      <w:r>
        <w:rPr>
          <w:rFonts w:ascii="Times New Roman" w:hAnsi="Times New Roman"/>
          <w:sz w:val="24"/>
          <w:szCs w:val="24"/>
        </w:rPr>
        <w:t xml:space="preserve">the bacterial isolate and subjected to 16s rRNA </w:t>
      </w:r>
      <w:proofErr w:type="spellStart"/>
      <w:r>
        <w:rPr>
          <w:rFonts w:ascii="Times New Roman" w:hAnsi="Times New Roman"/>
          <w:sz w:val="24"/>
          <w:szCs w:val="24"/>
        </w:rPr>
        <w:t>sequecning</w:t>
      </w:r>
      <w:proofErr w:type="spellEnd"/>
      <w:r w:rsidRPr="00A000FD">
        <w:rPr>
          <w:rFonts w:ascii="Times New Roman" w:hAnsi="Times New Roman"/>
          <w:sz w:val="24"/>
          <w:szCs w:val="24"/>
        </w:rPr>
        <w:t>.</w:t>
      </w:r>
    </w:p>
    <w:p w14:paraId="48044D2E" w14:textId="77777777" w:rsidR="00255B39" w:rsidRPr="00A000FD" w:rsidRDefault="00255B39" w:rsidP="00255B39">
      <w:pPr>
        <w:widowControl w:val="0"/>
        <w:spacing w:before="240" w:after="240" w:line="48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7A0B9925" wp14:editId="7E4A3490">
            <wp:extent cx="1686560" cy="1531620"/>
            <wp:effectExtent l="0" t="0" r="8890" b="0"/>
            <wp:docPr id="7" name="Picture 7" descr="C:\Users\User\AppData\Local\Microsoft\Windows\Temporary Internet Files\Content.Word\IMG-202001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AppData\Local\Microsoft\Windows\Temporary Internet Files\Content.Word\IMG-20200129-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560" cy="1531620"/>
                    </a:xfrm>
                    <a:prstGeom prst="rect">
                      <a:avLst/>
                    </a:prstGeom>
                    <a:noFill/>
                    <a:ln>
                      <a:noFill/>
                    </a:ln>
                  </pic:spPr>
                </pic:pic>
              </a:graphicData>
            </a:graphic>
          </wp:inline>
        </w:drawing>
      </w:r>
    </w:p>
    <w:p w14:paraId="6811AABC" w14:textId="77777777" w:rsidR="00255B39" w:rsidRDefault="0040323D" w:rsidP="00255B39">
      <w:pPr>
        <w:widowControl w:val="0"/>
        <w:spacing w:after="0" w:line="240" w:lineRule="auto"/>
        <w:jc w:val="center"/>
        <w:rPr>
          <w:rFonts w:ascii="Times New Roman" w:hAnsi="Times New Roman"/>
          <w:b/>
          <w:sz w:val="24"/>
          <w:szCs w:val="24"/>
        </w:rPr>
      </w:pPr>
      <w:r>
        <w:rPr>
          <w:rFonts w:ascii="Times New Roman" w:hAnsi="Times New Roman"/>
          <w:b/>
          <w:sz w:val="24"/>
          <w:szCs w:val="24"/>
        </w:rPr>
        <w:t>Figure 2</w:t>
      </w:r>
      <w:r w:rsidR="00255B39">
        <w:rPr>
          <w:rFonts w:ascii="Times New Roman" w:hAnsi="Times New Roman"/>
          <w:b/>
          <w:sz w:val="24"/>
          <w:szCs w:val="24"/>
        </w:rPr>
        <w:t>. isolation of bacterial DNA from the pure culture</w:t>
      </w:r>
    </w:p>
    <w:p w14:paraId="08CFE403" w14:textId="77777777" w:rsidR="00255B39" w:rsidRDefault="00255B39" w:rsidP="00255B39">
      <w:pPr>
        <w:widowControl w:val="0"/>
        <w:spacing w:after="0" w:line="24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3CC7BDED" wp14:editId="7B40C172">
            <wp:simplePos x="0" y="0"/>
            <wp:positionH relativeFrom="column">
              <wp:posOffset>1605915</wp:posOffset>
            </wp:positionH>
            <wp:positionV relativeFrom="paragraph">
              <wp:posOffset>334010</wp:posOffset>
            </wp:positionV>
            <wp:extent cx="1971675" cy="1354455"/>
            <wp:effectExtent l="0" t="0" r="9525" b="0"/>
            <wp:wrapSquare wrapText="bothSides"/>
            <wp:docPr id="8" name="Picture 8" descr="C:\Users\User\AppData\Local\Microsoft\Windows\Temporary Internet Files\Content.Word\IMG-20200125-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Word\IMG-20200125-WA00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B0847" w14:textId="77777777" w:rsidR="00255B39" w:rsidRDefault="00255B39" w:rsidP="00255B39">
      <w:pPr>
        <w:widowControl w:val="0"/>
        <w:spacing w:after="0" w:line="240" w:lineRule="auto"/>
        <w:jc w:val="both"/>
        <w:rPr>
          <w:rFonts w:ascii="Times New Roman" w:hAnsi="Times New Roman"/>
          <w:b/>
          <w:sz w:val="24"/>
          <w:szCs w:val="24"/>
        </w:rPr>
      </w:pPr>
    </w:p>
    <w:p w14:paraId="672966AE" w14:textId="77777777" w:rsidR="00255B39" w:rsidRDefault="00255B39" w:rsidP="00255B39">
      <w:pPr>
        <w:widowControl w:val="0"/>
        <w:spacing w:after="0" w:line="240" w:lineRule="auto"/>
        <w:jc w:val="both"/>
        <w:rPr>
          <w:rFonts w:ascii="Times New Roman" w:hAnsi="Times New Roman"/>
          <w:b/>
          <w:sz w:val="24"/>
          <w:szCs w:val="24"/>
        </w:rPr>
      </w:pPr>
    </w:p>
    <w:p w14:paraId="3A5507B7" w14:textId="77777777" w:rsidR="00255B39" w:rsidRDefault="00255B39" w:rsidP="00255B39">
      <w:pPr>
        <w:widowControl w:val="0"/>
        <w:spacing w:after="0" w:line="240" w:lineRule="auto"/>
        <w:jc w:val="both"/>
        <w:rPr>
          <w:rFonts w:ascii="Times New Roman" w:hAnsi="Times New Roman"/>
          <w:b/>
          <w:sz w:val="24"/>
          <w:szCs w:val="24"/>
        </w:rPr>
      </w:pPr>
    </w:p>
    <w:p w14:paraId="6B15BD89" w14:textId="77777777" w:rsidR="00255B39" w:rsidRDefault="00255B39" w:rsidP="00255B39">
      <w:pPr>
        <w:widowControl w:val="0"/>
        <w:spacing w:after="0" w:line="240" w:lineRule="auto"/>
        <w:jc w:val="both"/>
        <w:rPr>
          <w:rFonts w:ascii="Times New Roman" w:hAnsi="Times New Roman"/>
          <w:b/>
          <w:sz w:val="24"/>
          <w:szCs w:val="24"/>
        </w:rPr>
      </w:pPr>
    </w:p>
    <w:p w14:paraId="3C152A9A" w14:textId="77777777" w:rsidR="00255B39" w:rsidRDefault="00255B39" w:rsidP="00255B39">
      <w:pPr>
        <w:widowControl w:val="0"/>
        <w:spacing w:after="0" w:line="240" w:lineRule="auto"/>
        <w:jc w:val="both"/>
        <w:rPr>
          <w:rFonts w:ascii="Times New Roman" w:hAnsi="Times New Roman"/>
          <w:b/>
          <w:sz w:val="24"/>
          <w:szCs w:val="24"/>
        </w:rPr>
      </w:pPr>
    </w:p>
    <w:p w14:paraId="13103D46" w14:textId="77777777" w:rsidR="00255B39" w:rsidRDefault="00255B39" w:rsidP="00255B39">
      <w:pPr>
        <w:widowControl w:val="0"/>
        <w:spacing w:after="0" w:line="240" w:lineRule="auto"/>
        <w:jc w:val="both"/>
        <w:rPr>
          <w:rFonts w:ascii="Times New Roman" w:hAnsi="Times New Roman"/>
          <w:b/>
          <w:sz w:val="24"/>
          <w:szCs w:val="24"/>
        </w:rPr>
      </w:pPr>
    </w:p>
    <w:p w14:paraId="710B6C69" w14:textId="77777777" w:rsidR="00255B39" w:rsidRDefault="00255B39" w:rsidP="00255B39">
      <w:pPr>
        <w:widowControl w:val="0"/>
        <w:spacing w:after="0" w:line="240" w:lineRule="auto"/>
        <w:jc w:val="both"/>
        <w:rPr>
          <w:rFonts w:ascii="Times New Roman" w:hAnsi="Times New Roman"/>
          <w:b/>
          <w:sz w:val="24"/>
          <w:szCs w:val="24"/>
        </w:rPr>
      </w:pPr>
    </w:p>
    <w:p w14:paraId="5E4AEB02" w14:textId="77777777" w:rsidR="00255B39" w:rsidRDefault="00255B39" w:rsidP="00255B39">
      <w:pPr>
        <w:widowControl w:val="0"/>
        <w:spacing w:after="0" w:line="240" w:lineRule="auto"/>
        <w:jc w:val="both"/>
        <w:rPr>
          <w:rFonts w:ascii="Times New Roman" w:hAnsi="Times New Roman"/>
          <w:b/>
          <w:sz w:val="24"/>
          <w:szCs w:val="24"/>
        </w:rPr>
      </w:pPr>
    </w:p>
    <w:p w14:paraId="7B269718" w14:textId="77777777" w:rsidR="00255B39" w:rsidRDefault="00255B39" w:rsidP="00255B39">
      <w:pPr>
        <w:widowControl w:val="0"/>
        <w:spacing w:after="0" w:line="240" w:lineRule="auto"/>
        <w:jc w:val="both"/>
        <w:rPr>
          <w:rFonts w:ascii="Times New Roman" w:hAnsi="Times New Roman"/>
          <w:b/>
          <w:sz w:val="24"/>
          <w:szCs w:val="24"/>
        </w:rPr>
      </w:pPr>
    </w:p>
    <w:p w14:paraId="127F7F17" w14:textId="77777777" w:rsidR="00255B39" w:rsidRDefault="00255B39" w:rsidP="00255B39">
      <w:pPr>
        <w:widowControl w:val="0"/>
        <w:spacing w:after="0" w:line="360" w:lineRule="auto"/>
        <w:jc w:val="both"/>
        <w:rPr>
          <w:rFonts w:ascii="Times New Roman" w:hAnsi="Times New Roman"/>
          <w:b/>
          <w:sz w:val="24"/>
          <w:szCs w:val="24"/>
        </w:rPr>
      </w:pPr>
    </w:p>
    <w:p w14:paraId="403B4323" w14:textId="77777777" w:rsidR="00255B39" w:rsidRDefault="00255B39" w:rsidP="00255B39">
      <w:pPr>
        <w:widowControl w:val="0"/>
        <w:spacing w:after="0" w:line="360" w:lineRule="auto"/>
        <w:jc w:val="both"/>
        <w:rPr>
          <w:rFonts w:ascii="Times New Roman" w:hAnsi="Times New Roman"/>
          <w:b/>
          <w:sz w:val="24"/>
          <w:szCs w:val="24"/>
        </w:rPr>
      </w:pPr>
    </w:p>
    <w:p w14:paraId="3C8B6EE1" w14:textId="77777777" w:rsidR="00255B39" w:rsidRDefault="00255B39" w:rsidP="00255B39">
      <w:pPr>
        <w:widowControl w:val="0"/>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Figure </w:t>
      </w:r>
      <w:r w:rsidR="0040323D">
        <w:rPr>
          <w:rFonts w:ascii="Times New Roman" w:hAnsi="Times New Roman"/>
          <w:b/>
          <w:sz w:val="24"/>
          <w:szCs w:val="24"/>
        </w:rPr>
        <w:t>3</w:t>
      </w:r>
      <w:r>
        <w:rPr>
          <w:rFonts w:ascii="Times New Roman" w:hAnsi="Times New Roman"/>
          <w:b/>
          <w:sz w:val="24"/>
          <w:szCs w:val="24"/>
        </w:rPr>
        <w:t>. Aga</w:t>
      </w:r>
      <w:r w:rsidRPr="00A000FD">
        <w:rPr>
          <w:rFonts w:ascii="Times New Roman" w:hAnsi="Times New Roman"/>
          <w:b/>
          <w:sz w:val="24"/>
          <w:szCs w:val="24"/>
        </w:rPr>
        <w:t xml:space="preserve">rose gel electrophoresis </w:t>
      </w:r>
      <w:r>
        <w:rPr>
          <w:rFonts w:ascii="Times New Roman" w:hAnsi="Times New Roman"/>
          <w:b/>
          <w:sz w:val="24"/>
          <w:szCs w:val="24"/>
        </w:rPr>
        <w:t>of bacterial DNA sample</w:t>
      </w:r>
      <w:r w:rsidRPr="00A000FD">
        <w:rPr>
          <w:rFonts w:ascii="Times New Roman" w:hAnsi="Times New Roman"/>
          <w:b/>
          <w:sz w:val="24"/>
          <w:szCs w:val="24"/>
        </w:rPr>
        <w:t>.</w:t>
      </w:r>
    </w:p>
    <w:p w14:paraId="4C298D6C" w14:textId="77777777" w:rsidR="00255B39" w:rsidRPr="00A000FD" w:rsidRDefault="00255B39" w:rsidP="00255B39">
      <w:pPr>
        <w:widowControl w:val="0"/>
        <w:spacing w:after="0" w:line="360" w:lineRule="auto"/>
        <w:ind w:firstLine="720"/>
        <w:jc w:val="both"/>
        <w:rPr>
          <w:rFonts w:ascii="Times New Roman" w:hAnsi="Times New Roman"/>
          <w:b/>
          <w:sz w:val="24"/>
          <w:szCs w:val="24"/>
        </w:rPr>
      </w:pPr>
    </w:p>
    <w:p w14:paraId="71234059" w14:textId="77777777" w:rsidR="00255B39" w:rsidRPr="00A000FD" w:rsidRDefault="00255B39" w:rsidP="00255B39">
      <w:pPr>
        <w:tabs>
          <w:tab w:val="center" w:pos="4680"/>
        </w:tabs>
        <w:spacing w:after="0" w:line="360" w:lineRule="auto"/>
        <w:jc w:val="both"/>
        <w:rPr>
          <w:rFonts w:ascii="Times New Roman" w:hAnsi="Times New Roman"/>
          <w:b/>
          <w:sz w:val="24"/>
          <w:szCs w:val="24"/>
        </w:rPr>
      </w:pPr>
      <w:r>
        <w:rPr>
          <w:rFonts w:ascii="Times New Roman" w:hAnsi="Times New Roman"/>
          <w:b/>
          <w:sz w:val="24"/>
          <w:szCs w:val="24"/>
        </w:rPr>
        <w:t xml:space="preserve"> Molecular identification of bacterial isolate by 16s rRNA sequencing</w:t>
      </w:r>
    </w:p>
    <w:p w14:paraId="7068878C" w14:textId="77777777" w:rsidR="00255B39" w:rsidRDefault="00255B39" w:rsidP="00255B39">
      <w:pPr>
        <w:spacing w:after="0" w:line="360" w:lineRule="auto"/>
        <w:ind w:left="360" w:firstLine="720"/>
        <w:jc w:val="both"/>
        <w:rPr>
          <w:rFonts w:ascii="Times New Roman" w:hAnsi="Times New Roman"/>
          <w:color w:val="000000"/>
          <w:sz w:val="24"/>
          <w:szCs w:val="24"/>
          <w:shd w:val="clear" w:color="auto" w:fill="FFFFFF"/>
          <w:lang w:eastAsia="en-IN"/>
        </w:rPr>
      </w:pPr>
      <w:r>
        <w:rPr>
          <w:rFonts w:ascii="Times New Roman" w:hAnsi="Times New Roman"/>
          <w:bCs/>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region is universally accepted as a DNA barcode for</w:t>
      </w:r>
      <w:r>
        <w:rPr>
          <w:rFonts w:ascii="Times New Roman" w:hAnsi="Times New Roman"/>
          <w:color w:val="000000"/>
          <w:sz w:val="24"/>
          <w:szCs w:val="24"/>
          <w:shd w:val="clear" w:color="auto" w:fill="FFFFFF"/>
          <w:lang w:eastAsia="en-IN"/>
        </w:rPr>
        <w:t xml:space="preserve"> bacterial species.</w:t>
      </w:r>
      <w:r w:rsidRPr="00C6632B">
        <w:rPr>
          <w:rFonts w:ascii="Times New Roman" w:hAnsi="Times New Roman"/>
          <w:color w:val="000000"/>
          <w:sz w:val="24"/>
          <w:szCs w:val="24"/>
          <w:shd w:val="clear" w:color="auto" w:fill="FFFFFF"/>
          <w:lang w:eastAsia="en-IN"/>
        </w:rPr>
        <w:t xml:space="preserve"> PCR amplification of the</w:t>
      </w:r>
      <w:r>
        <w:rPr>
          <w:rFonts w:ascii="Times New Roman" w:hAnsi="Times New Roman"/>
          <w:color w:val="000000"/>
          <w:sz w:val="24"/>
          <w:szCs w:val="24"/>
          <w:shd w:val="clear" w:color="auto" w:fill="FFFFFF"/>
          <w:lang w:eastAsia="en-IN"/>
        </w:rPr>
        <w:t xml:space="preserve"> 16sr DNA region for</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the bacterial</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 xml:space="preserve">isolate </w:t>
      </w:r>
      <w:r w:rsidRPr="00C6632B">
        <w:rPr>
          <w:rFonts w:ascii="Times New Roman" w:hAnsi="Times New Roman"/>
          <w:color w:val="000000"/>
          <w:sz w:val="24"/>
          <w:szCs w:val="24"/>
          <w:shd w:val="clear" w:color="auto" w:fill="FFFFFF"/>
          <w:lang w:eastAsia="en-IN"/>
        </w:rPr>
        <w:t>resulted in a predicted</w:t>
      </w:r>
      <w:r w:rsidRPr="00C6632B">
        <w:rPr>
          <w:rFonts w:ascii="Times New Roman" w:hAnsi="Times New Roman"/>
          <w:b/>
          <w:bCs/>
          <w:color w:val="FF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~700 amplicon, using </w:t>
      </w:r>
      <w:r w:rsidRPr="00C6632B">
        <w:rPr>
          <w:rFonts w:ascii="Times New Roman" w:hAnsi="Times New Roman"/>
          <w:color w:val="000000"/>
          <w:sz w:val="24"/>
          <w:szCs w:val="24"/>
          <w:lang w:eastAsia="en-IN"/>
        </w:rPr>
        <w:t xml:space="preserve">Big Dye Terminator v3.1 following manufacturer's protocol. </w:t>
      </w:r>
      <w:r w:rsidRPr="00C6632B">
        <w:rPr>
          <w:rFonts w:ascii="Times New Roman" w:hAnsi="Times New Roman"/>
          <w:color w:val="000000"/>
          <w:sz w:val="24"/>
          <w:szCs w:val="24"/>
          <w:shd w:val="clear" w:color="auto" w:fill="FFFFFF"/>
          <w:lang w:eastAsia="en-IN"/>
        </w:rPr>
        <w:t xml:space="preserve">Each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genome sequence was subjected to BLAST to verify their identity. Consensus was obtained for the </w:t>
      </w:r>
      <w:r>
        <w:rPr>
          <w:rFonts w:ascii="Times New Roman" w:hAnsi="Times New Roman"/>
          <w:color w:val="000000"/>
          <w:sz w:val="24"/>
          <w:szCs w:val="24"/>
          <w:shd w:val="clear" w:color="auto" w:fill="FFFFFF"/>
          <w:lang w:eastAsia="en-IN"/>
        </w:rPr>
        <w:t>bacterial species. </w:t>
      </w:r>
      <w:r w:rsidRPr="00C6632B">
        <w:rPr>
          <w:rFonts w:ascii="Times New Roman" w:hAnsi="Times New Roman"/>
          <w:color w:val="000000"/>
          <w:sz w:val="24"/>
          <w:szCs w:val="24"/>
          <w:shd w:val="clear" w:color="auto" w:fill="FFFFFF"/>
          <w:lang w:eastAsia="en-IN"/>
        </w:rPr>
        <w:t xml:space="preserve">The BLAST analysis for the consensus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exhibited 100% similarity with</w:t>
      </w:r>
      <w:r>
        <w:rPr>
          <w:rFonts w:ascii="Times New Roman" w:hAnsi="Times New Roman"/>
          <w:color w:val="000000"/>
          <w:sz w:val="24"/>
          <w:szCs w:val="24"/>
          <w:shd w:val="clear" w:color="auto" w:fill="FFFFFF"/>
          <w:lang w:eastAsia="en-IN"/>
        </w:rPr>
        <w:t xml:space="preserve"> </w:t>
      </w:r>
      <w:r w:rsidRPr="00FB1078">
        <w:rPr>
          <w:rFonts w:ascii="Times New Roman" w:hAnsi="Times New Roman"/>
          <w:i/>
          <w:color w:val="000000"/>
          <w:sz w:val="24"/>
          <w:szCs w:val="24"/>
          <w:shd w:val="clear" w:color="auto" w:fill="FFFFFF"/>
          <w:lang w:eastAsia="en-IN"/>
        </w:rPr>
        <w:t xml:space="preserve">Acinetobacter </w:t>
      </w:r>
      <w:proofErr w:type="spellStart"/>
      <w:r w:rsidRPr="00FB1078">
        <w:rPr>
          <w:rFonts w:ascii="Times New Roman" w:hAnsi="Times New Roman"/>
          <w:i/>
          <w:color w:val="000000"/>
          <w:sz w:val="24"/>
          <w:szCs w:val="24"/>
          <w:shd w:val="clear" w:color="auto" w:fill="FFFFFF"/>
          <w:lang w:eastAsia="en-IN"/>
        </w:rPr>
        <w:t>junii</w:t>
      </w:r>
      <w:proofErr w:type="spellEnd"/>
      <w:r>
        <w:rPr>
          <w:rFonts w:ascii="Times New Roman" w:hAnsi="Times New Roman"/>
          <w:color w:val="00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of </w:t>
      </w:r>
      <w:r>
        <w:rPr>
          <w:rFonts w:ascii="Times New Roman" w:hAnsi="Times New Roman"/>
          <w:color w:val="000000"/>
          <w:sz w:val="24"/>
          <w:szCs w:val="24"/>
          <w:shd w:val="clear" w:color="auto" w:fill="FFFFFF"/>
          <w:lang w:eastAsia="en-IN"/>
        </w:rPr>
        <w:t xml:space="preserve">bacterial isolate </w:t>
      </w:r>
      <w:r w:rsidRPr="00C6632B">
        <w:rPr>
          <w:rFonts w:ascii="Times New Roman" w:hAnsi="Times New Roman"/>
          <w:color w:val="000000"/>
          <w:sz w:val="24"/>
          <w:szCs w:val="24"/>
          <w:shd w:val="clear" w:color="auto" w:fill="FFFFFF"/>
          <w:lang w:eastAsia="en-IN"/>
        </w:rPr>
        <w:t>was deposited in GenBank. </w:t>
      </w:r>
    </w:p>
    <w:p w14:paraId="7524F161" w14:textId="77777777" w:rsidR="00255B39" w:rsidRPr="00D21DDF" w:rsidRDefault="00255B39" w:rsidP="00255B39">
      <w:pPr>
        <w:widowControl w:val="0"/>
        <w:spacing w:before="240" w:after="240" w:line="240" w:lineRule="auto"/>
        <w:jc w:val="center"/>
        <w:rPr>
          <w:rFonts w:ascii="Times New Roman" w:eastAsia="Cambria" w:hAnsi="Times New Roman"/>
          <w:sz w:val="24"/>
          <w:szCs w:val="24"/>
        </w:rPr>
      </w:pPr>
      <w:r>
        <w:rPr>
          <w:rFonts w:ascii="Times New Roman" w:eastAsia="Cambria" w:hAnsi="Times New Roman"/>
          <w:noProof/>
          <w:sz w:val="24"/>
          <w:szCs w:val="24"/>
        </w:rPr>
        <w:lastRenderedPageBreak/>
        <w:drawing>
          <wp:inline distT="0" distB="0" distL="0" distR="0" wp14:anchorId="5B1B204C" wp14:editId="3AB2FD4B">
            <wp:extent cx="843280" cy="1971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7909" t="18213"/>
                    <a:stretch>
                      <a:fillRect/>
                    </a:stretch>
                  </pic:blipFill>
                  <pic:spPr bwMode="auto">
                    <a:xfrm flipH="1">
                      <a:off x="0" y="0"/>
                      <a:ext cx="843280" cy="1971040"/>
                    </a:xfrm>
                    <a:prstGeom prst="rect">
                      <a:avLst/>
                    </a:prstGeom>
                    <a:noFill/>
                    <a:ln>
                      <a:noFill/>
                    </a:ln>
                  </pic:spPr>
                </pic:pic>
              </a:graphicData>
            </a:graphic>
          </wp:inline>
        </w:drawing>
      </w:r>
    </w:p>
    <w:p w14:paraId="254D0941" w14:textId="77777777" w:rsidR="00255B39" w:rsidRPr="002B3567" w:rsidRDefault="00255B39" w:rsidP="0040323D">
      <w:pPr>
        <w:widowControl w:val="0"/>
        <w:spacing w:before="240" w:after="240" w:line="360" w:lineRule="auto"/>
        <w:jc w:val="center"/>
        <w:rPr>
          <w:rFonts w:ascii="Times New Roman" w:eastAsia="Cambria" w:hAnsi="Times New Roman"/>
          <w:b/>
          <w:sz w:val="24"/>
          <w:szCs w:val="24"/>
        </w:rPr>
      </w:pPr>
      <w:r w:rsidRPr="002B3567">
        <w:rPr>
          <w:rFonts w:ascii="Times New Roman" w:eastAsia="Cambria" w:hAnsi="Times New Roman"/>
          <w:b/>
          <w:sz w:val="24"/>
          <w:szCs w:val="24"/>
        </w:rPr>
        <w:t>Fig</w:t>
      </w:r>
      <w:r w:rsidR="0040323D">
        <w:rPr>
          <w:rFonts w:ascii="Times New Roman" w:eastAsia="Cambria" w:hAnsi="Times New Roman"/>
          <w:b/>
          <w:sz w:val="24"/>
          <w:szCs w:val="24"/>
        </w:rPr>
        <w:t>ure 4</w:t>
      </w:r>
      <w:r w:rsidRPr="002B3567">
        <w:rPr>
          <w:rFonts w:ascii="Times New Roman" w:eastAsia="Cambria" w:hAnsi="Times New Roman"/>
          <w:b/>
          <w:sz w:val="24"/>
          <w:szCs w:val="24"/>
        </w:rPr>
        <w:t>. Shows the PCR amplification of 16S rRNA gene</w:t>
      </w:r>
    </w:p>
    <w:p w14:paraId="1768D590" w14:textId="77777777" w:rsidR="00255B39" w:rsidRPr="00A000FD" w:rsidRDefault="00255B39" w:rsidP="0040323D">
      <w:pPr>
        <w:spacing w:before="240" w:after="240" w:line="360" w:lineRule="auto"/>
        <w:jc w:val="both"/>
        <w:rPr>
          <w:rFonts w:ascii="Times New Roman" w:hAnsi="Times New Roman"/>
          <w:b/>
          <w:sz w:val="24"/>
          <w:szCs w:val="24"/>
        </w:rPr>
      </w:pPr>
      <w:r w:rsidRPr="00A000FD">
        <w:rPr>
          <w:rFonts w:ascii="Times New Roman" w:hAnsi="Times New Roman"/>
          <w:b/>
          <w:sz w:val="24"/>
          <w:szCs w:val="24"/>
        </w:rPr>
        <w:t>Primer 1</w:t>
      </w:r>
    </w:p>
    <w:p w14:paraId="2BD5ABB6"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AGCGCGTTAGCTTGCGACTCACTGACAGTCGCTCAAAGGACACCAACGGCTAATAGACATCGTTTACGGCATGGACTACCAGGGTATCTAATCCTGTTTGCTCCCCATGCTTTCGTACCTCAGCGTCAGTATTAGGCCAGAGGGCTGCCTTCGCCATCGGTATTCCTCCAGATCTCTACGCATTTCACCGCTACACCTGGAATTCTACCATCCTCTCCCATACTCTAGCTTCCCAGTATCGAATGCAATTCCCAAGTTAAGCTCGGGGATTTCACATCCGACTTAAAAAGCCGCCTACGCACGCTTTACGCCCAGTAAATCCGATTAACGCTCGCACCCTCTGTATTACCGCGGCTGCTGGCACAGAGTTAGCCGGTGCTTATTCTGCGAGTAACGTCCA</w:t>
      </w:r>
    </w:p>
    <w:p w14:paraId="3F293A03"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CTATCCCAGAGTATTAGTCTCAGTAGATCTTCCTCCTCGCTTAAAGGGCTTTACAACCATAAGGCCTTCTTCACACACGCGGCATGGCTGGATCAGGGTTCCCCCCATTGTCCAATATTCCCCACTGCTGCCTCCCGTAGGAGTCTGGGCCGTGTCTCAGTCCCAGTGTGGCGGATCATCCTCTCAGACCCGCTACAGATCGTCGCCTTGGTAGGCCTTTACCCCACCAACTAGCTAATCCGACTTAGGCTCATCTATTAGCGCAAGGTCCGAAGATCCCCTGCTTTCTCCCGTAGGACGTATGCGGTATTAGCATTCCTTTCCGAATGTTGTCCCCCACTAATAGGCAGATTCCTAAGCATTACTCACCCGTCCGCCGCTCAGATACCGTGCAAGCACC</w:t>
      </w:r>
    </w:p>
    <w:p w14:paraId="2BA35736" w14:textId="77777777" w:rsidR="00255B39"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TCATCTCCGCTCGACTTGCATGTGTTAAGCCTGCCGCCAGCGTTCAATCTGAGCACGAAACAACAACTAAACCCCCAAATGGAACCCCCTCCGGGTGTGTTTTCCCCCCTTAAATTTCAAAAAAACGGCCCC</w:t>
      </w:r>
    </w:p>
    <w:p w14:paraId="34558F74" w14:textId="77777777" w:rsidR="00255B39" w:rsidRDefault="00255B39" w:rsidP="0040323D">
      <w:pPr>
        <w:pStyle w:val="PlainText"/>
        <w:spacing w:line="360" w:lineRule="auto"/>
        <w:jc w:val="both"/>
        <w:rPr>
          <w:rFonts w:ascii="Times New Roman" w:hAnsi="Times New Roman" w:cs="Times New Roman"/>
          <w:b/>
          <w:sz w:val="24"/>
          <w:szCs w:val="24"/>
        </w:rPr>
      </w:pPr>
    </w:p>
    <w:p w14:paraId="516D3101" w14:textId="77777777" w:rsidR="00255B39" w:rsidRPr="00A000FD" w:rsidRDefault="00255B39" w:rsidP="0040323D">
      <w:pPr>
        <w:pStyle w:val="PlainText"/>
        <w:spacing w:line="360" w:lineRule="auto"/>
        <w:jc w:val="both"/>
        <w:rPr>
          <w:rFonts w:ascii="Times New Roman" w:hAnsi="Times New Roman" w:cs="Times New Roman"/>
          <w:b/>
          <w:sz w:val="24"/>
          <w:szCs w:val="24"/>
        </w:rPr>
      </w:pPr>
      <w:r w:rsidRPr="00A000FD">
        <w:rPr>
          <w:rFonts w:ascii="Times New Roman" w:hAnsi="Times New Roman" w:cs="Times New Roman"/>
          <w:b/>
          <w:sz w:val="24"/>
          <w:szCs w:val="24"/>
        </w:rPr>
        <w:t>Primer2</w:t>
      </w:r>
    </w:p>
    <w:p w14:paraId="64FDC15D"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lastRenderedPageBreak/>
        <w:t>GGGGGCCTTTGAAGGCTTTAGTTGGCGCAGCTAACGCGATAAGTAGACCGCCTGGGGGAGTACGGTCGCAAGACTAAAACTCAAATGAATTGACGGGGGCCCGCACAAGCGGTGGAGCATGTGGTTTAATTCGATGCAACGCGAAGAACCTTACCTGGCCTTGACATACTAGAAACTTTCCAGAGATGGATTGGTGCCTTCGGGAATCTAGATACAGGTGCTGCATGGCTGTCGTCAGCTCGTGTCGTGAGATGTTGGGTTAAGTCCCGCAACGAGCGCAACCCTTTTCCTTACTTGCCAGCATTTCAGATGGGAACTTTAAGGATACTGCCAGTGACAAACTGGAAGAAAGCGGGGACTACCTCCAGTCATCATGGGCCTTACGGCCAGGGCTACACACGTGCTACAATGGTCGGTACAAAGGGGTGCTACACAGCGATGTGATGCTAATCTCAAAAAGCCGATCGTAATCCGGATTGGAGTCTGCAACTCCACTCCCTGAAATCGGAATCCCTAGTAATCGCGGATCAAAATGCCGCGGTGAATACGTTCCCGGGCCTTGTACACACCGCCCGTCACACCATGGGAGTTTGTTGCACCAGAAGTAGGTAGTCTAACCGCAAGGAGGACGCTTACCACGGTGTGGCCGATGACTGGGGTGGAAGTCGTCAACAACGGTAACCGTAAACAC</w:t>
      </w:r>
    </w:p>
    <w:p w14:paraId="75EFE9FE" w14:textId="77777777" w:rsidR="00255B39" w:rsidRPr="00A000FD" w:rsidRDefault="0040323D" w:rsidP="0040323D">
      <w:pPr>
        <w:spacing w:before="240" w:after="240" w:line="360" w:lineRule="auto"/>
        <w:jc w:val="both"/>
        <w:rPr>
          <w:rFonts w:ascii="Times New Roman" w:hAnsi="Times New Roman"/>
          <w:b/>
          <w:sz w:val="24"/>
          <w:szCs w:val="24"/>
        </w:rPr>
      </w:pPr>
      <w:r>
        <w:rPr>
          <w:rFonts w:ascii="Times New Roman" w:hAnsi="Times New Roman"/>
          <w:b/>
          <w:sz w:val="24"/>
          <w:szCs w:val="24"/>
        </w:rPr>
        <w:t>Figure 5</w:t>
      </w:r>
      <w:r w:rsidR="00255B39">
        <w:rPr>
          <w:rFonts w:ascii="Times New Roman" w:hAnsi="Times New Roman"/>
          <w:b/>
          <w:sz w:val="24"/>
          <w:szCs w:val="24"/>
        </w:rPr>
        <w:t xml:space="preserve">. </w:t>
      </w:r>
      <w:r w:rsidR="00255B39" w:rsidRPr="00A000FD">
        <w:rPr>
          <w:rFonts w:ascii="Times New Roman" w:hAnsi="Times New Roman"/>
          <w:b/>
          <w:sz w:val="24"/>
          <w:szCs w:val="24"/>
        </w:rPr>
        <w:t>Homology search by BLAST analysis</w:t>
      </w:r>
    </w:p>
    <w:p w14:paraId="0FF0B3FB" w14:textId="77777777" w:rsidR="00255B39" w:rsidRPr="00A000FD" w:rsidRDefault="00255B39" w:rsidP="0040323D">
      <w:pPr>
        <w:spacing w:before="240" w:after="24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7FABFF7B" wp14:editId="04751EB4">
            <wp:extent cx="3776353" cy="275640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6199" cy="2756291"/>
                    </a:xfrm>
                    <a:prstGeom prst="rect">
                      <a:avLst/>
                    </a:prstGeom>
                    <a:noFill/>
                    <a:ln>
                      <a:noFill/>
                    </a:ln>
                  </pic:spPr>
                </pic:pic>
              </a:graphicData>
            </a:graphic>
          </wp:inline>
        </w:drawing>
      </w:r>
    </w:p>
    <w:p w14:paraId="20355DA8" w14:textId="77777777" w:rsidR="00255B39"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3A56B5B9" w14:textId="77777777" w:rsidR="00255B39" w:rsidRPr="00A000FD" w:rsidRDefault="00255B39" w:rsidP="0040323D">
      <w:pPr>
        <w:widowControl w:val="0"/>
        <w:autoSpaceDE w:val="0"/>
        <w:autoSpaceDN w:val="0"/>
        <w:adjustRightInd w:val="0"/>
        <w:spacing w:line="360" w:lineRule="auto"/>
        <w:jc w:val="cente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rPr>
        <w:lastRenderedPageBreak/>
        <w:drawing>
          <wp:inline distT="0" distB="0" distL="0" distR="0" wp14:anchorId="1C278D2D" wp14:editId="345FAA26">
            <wp:extent cx="5047013" cy="2814582"/>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475" cy="2814840"/>
                    </a:xfrm>
                    <a:prstGeom prst="rect">
                      <a:avLst/>
                    </a:prstGeom>
                    <a:noFill/>
                    <a:ln>
                      <a:noFill/>
                    </a:ln>
                  </pic:spPr>
                </pic:pic>
              </a:graphicData>
            </a:graphic>
          </wp:inline>
        </w:drawing>
      </w:r>
    </w:p>
    <w:p w14:paraId="2B863CD2" w14:textId="77777777" w:rsidR="00255B39" w:rsidRPr="00A000FD"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57D80A1F" w14:textId="77777777" w:rsidR="00255B39" w:rsidRDefault="00255B39" w:rsidP="0040323D">
      <w:pPr>
        <w:spacing w:before="240" w:after="240" w:line="360" w:lineRule="auto"/>
        <w:jc w:val="both"/>
        <w:rPr>
          <w:rFonts w:ascii="Times New Roman" w:hAnsi="Times New Roman"/>
          <w:b/>
          <w:sz w:val="24"/>
          <w:szCs w:val="24"/>
        </w:rPr>
      </w:pPr>
    </w:p>
    <w:p w14:paraId="5357C6F6" w14:textId="32DABC9A" w:rsidR="00A64456" w:rsidRDefault="00255B39" w:rsidP="0040323D">
      <w:pPr>
        <w:spacing w:before="240" w:after="240" w:line="360" w:lineRule="auto"/>
        <w:jc w:val="both"/>
        <w:rPr>
          <w:rFonts w:ascii="Times New Roman" w:hAnsi="Times New Roman"/>
          <w:b/>
          <w:sz w:val="24"/>
          <w:szCs w:val="24"/>
        </w:rPr>
      </w:pPr>
      <w:r>
        <w:rPr>
          <w:rFonts w:ascii="Times New Roman" w:hAnsi="Times New Roman"/>
          <w:b/>
          <w:sz w:val="24"/>
          <w:szCs w:val="24"/>
        </w:rPr>
        <w:t xml:space="preserve">Figure </w:t>
      </w:r>
      <w:r w:rsidR="00883CE5">
        <w:rPr>
          <w:rFonts w:ascii="Times New Roman" w:hAnsi="Times New Roman"/>
          <w:b/>
          <w:sz w:val="24"/>
          <w:szCs w:val="24"/>
        </w:rPr>
        <w:t>6</w:t>
      </w:r>
      <w:r>
        <w:rPr>
          <w:rFonts w:ascii="Times New Roman" w:hAnsi="Times New Roman"/>
          <w:b/>
          <w:sz w:val="24"/>
          <w:szCs w:val="24"/>
        </w:rPr>
        <w:t>.</w:t>
      </w:r>
      <w:r w:rsidRPr="00A000FD">
        <w:rPr>
          <w:rFonts w:ascii="Times New Roman" w:hAnsi="Times New Roman"/>
          <w:b/>
          <w:sz w:val="24"/>
          <w:szCs w:val="24"/>
        </w:rPr>
        <w:t xml:space="preserve"> </w:t>
      </w:r>
      <w:r w:rsidR="00A64456" w:rsidRPr="00A64456">
        <w:rPr>
          <w:rFonts w:ascii="Times New Roman" w:hAnsi="Times New Roman"/>
          <w:b/>
          <w:sz w:val="24"/>
          <w:szCs w:val="24"/>
          <w:highlight w:val="yellow"/>
        </w:rPr>
        <w:t>Description of the analysis</w:t>
      </w:r>
      <w:r w:rsidR="00A64456">
        <w:rPr>
          <w:rFonts w:ascii="Times New Roman" w:hAnsi="Times New Roman"/>
          <w:b/>
          <w:sz w:val="24"/>
          <w:szCs w:val="24"/>
        </w:rPr>
        <w:t xml:space="preserve"> </w:t>
      </w:r>
    </w:p>
    <w:p w14:paraId="78F120F9" w14:textId="77777777" w:rsidR="00255B39" w:rsidRPr="00A000FD" w:rsidRDefault="00255B39" w:rsidP="00255B39">
      <w:pPr>
        <w:spacing w:before="240" w:after="240" w:line="480" w:lineRule="auto"/>
        <w:jc w:val="both"/>
        <w:rPr>
          <w:rFonts w:ascii="Times New Roman" w:hAnsi="Times New Roman"/>
          <w:b/>
          <w:color w:val="FF0000"/>
          <w:sz w:val="24"/>
          <w:szCs w:val="24"/>
        </w:rPr>
      </w:pPr>
      <w:r>
        <w:rPr>
          <w:rFonts w:ascii="Times New Roman" w:hAnsi="Times New Roman"/>
          <w:b/>
          <w:noProof/>
          <w:color w:val="FF0000"/>
          <w:sz w:val="24"/>
          <w:szCs w:val="24"/>
        </w:rPr>
        <w:drawing>
          <wp:inline distT="0" distB="0" distL="0" distR="0" wp14:anchorId="550F537D" wp14:editId="4802BA87">
            <wp:extent cx="6245981" cy="251756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6246495" cy="2517775"/>
                    </a:xfrm>
                    <a:prstGeom prst="rect">
                      <a:avLst/>
                    </a:prstGeom>
                    <a:noFill/>
                    <a:ln>
                      <a:noFill/>
                    </a:ln>
                    <a:extLst>
                      <a:ext uri="{53640926-AAD7-44D8-BBD7-CCE9431645EC}">
                        <a14:shadowObscured xmlns:a14="http://schemas.microsoft.com/office/drawing/2010/main"/>
                      </a:ext>
                    </a:extLst>
                  </pic:spPr>
                </pic:pic>
              </a:graphicData>
            </a:graphic>
          </wp:inline>
        </w:drawing>
      </w:r>
    </w:p>
    <w:p w14:paraId="558AF41B" w14:textId="17FA303A" w:rsidR="0040323D" w:rsidRPr="00866075" w:rsidRDefault="005671DD" w:rsidP="00EA046E">
      <w:pPr>
        <w:pStyle w:val="Heading3"/>
        <w:spacing w:line="360" w:lineRule="auto"/>
        <w:jc w:val="both"/>
        <w:rPr>
          <w:rStyle w:val="Strong"/>
          <w:rFonts w:eastAsiaTheme="minorEastAsia"/>
          <w:b/>
          <w:bCs/>
          <w:sz w:val="24"/>
          <w:szCs w:val="18"/>
        </w:rPr>
      </w:pPr>
      <w:r w:rsidRPr="00866075">
        <w:rPr>
          <w:rStyle w:val="Strong"/>
          <w:rFonts w:eastAsiaTheme="minorEastAsia"/>
          <w:b/>
          <w:bCs/>
          <w:sz w:val="24"/>
          <w:szCs w:val="18"/>
        </w:rPr>
        <w:t xml:space="preserve">Fig </w:t>
      </w:r>
      <w:proofErr w:type="gramStart"/>
      <w:r w:rsidRPr="00866075">
        <w:rPr>
          <w:rStyle w:val="Strong"/>
          <w:rFonts w:eastAsiaTheme="minorEastAsia"/>
          <w:b/>
          <w:bCs/>
          <w:sz w:val="24"/>
          <w:szCs w:val="18"/>
        </w:rPr>
        <w:t>7 :</w:t>
      </w:r>
      <w:proofErr w:type="gramEnd"/>
      <w:r w:rsidRPr="00866075">
        <w:rPr>
          <w:rStyle w:val="Strong"/>
          <w:rFonts w:eastAsiaTheme="minorEastAsia"/>
          <w:b/>
          <w:bCs/>
          <w:sz w:val="24"/>
          <w:szCs w:val="18"/>
        </w:rPr>
        <w:t xml:space="preserve"> </w:t>
      </w:r>
      <w:r w:rsidR="003260FD" w:rsidRPr="00866075">
        <w:rPr>
          <w:rStyle w:val="Strong"/>
          <w:rFonts w:eastAsiaTheme="minorEastAsia"/>
          <w:b/>
          <w:bCs/>
          <w:sz w:val="24"/>
          <w:szCs w:val="18"/>
          <w:highlight w:val="yellow"/>
        </w:rPr>
        <w:t>Phylogenetic Tree Analysis</w:t>
      </w:r>
    </w:p>
    <w:p w14:paraId="4EC38F31" w14:textId="77777777" w:rsidR="0040323D" w:rsidRDefault="0040323D" w:rsidP="00EA046E">
      <w:pPr>
        <w:pStyle w:val="Heading3"/>
        <w:spacing w:line="360" w:lineRule="auto"/>
        <w:jc w:val="both"/>
        <w:rPr>
          <w:rStyle w:val="Strong"/>
          <w:rFonts w:eastAsiaTheme="minorEastAsia"/>
          <w:b/>
          <w:bCs/>
        </w:rPr>
      </w:pPr>
    </w:p>
    <w:p w14:paraId="3F592D68" w14:textId="77777777" w:rsidR="00EA046E" w:rsidRDefault="00EA046E" w:rsidP="00EA046E">
      <w:pPr>
        <w:pStyle w:val="Heading3"/>
        <w:spacing w:line="360" w:lineRule="auto"/>
        <w:jc w:val="both"/>
      </w:pPr>
      <w:r>
        <w:rPr>
          <w:rStyle w:val="Strong"/>
          <w:rFonts w:eastAsiaTheme="minorEastAsia"/>
          <w:b/>
          <w:bCs/>
        </w:rPr>
        <w:lastRenderedPageBreak/>
        <w:t>Discussion</w:t>
      </w:r>
    </w:p>
    <w:p w14:paraId="5B2FCA1E" w14:textId="77777777" w:rsidR="00EA046E" w:rsidRDefault="00EA046E" w:rsidP="00EA046E">
      <w:pPr>
        <w:pStyle w:val="NormalWeb"/>
        <w:spacing w:line="360" w:lineRule="auto"/>
        <w:ind w:firstLine="720"/>
        <w:jc w:val="both"/>
      </w:pPr>
      <w:r>
        <w:t xml:space="preserve">The current study demonstrates the successful isolation and identification of </w:t>
      </w:r>
      <w:r>
        <w:rPr>
          <w:rStyle w:val="Emphasis"/>
        </w:rPr>
        <w:t xml:space="preserve">Acinetobacter </w:t>
      </w:r>
      <w:proofErr w:type="spellStart"/>
      <w:r>
        <w:rPr>
          <w:rStyle w:val="Emphasis"/>
        </w:rPr>
        <w:t>junii</w:t>
      </w:r>
      <w:proofErr w:type="spellEnd"/>
      <w:r>
        <w:t xml:space="preserve"> from earthworms using 16S rDNA sequencing and phylogenetic analysis. The findings provide insights into the microbial diversity within earthworm-associated habitats and emphasize the potential ecological and agricultural applications of these microbial communities. Earthworms serve as critical drivers of soil ecosystem processes. By ingesting organic matter and soil particles, they alter the physical, chemical, and biological properties of soil, creating conditions conducive to microbial proliferation. Earthworm guts act as bioreactors, supporting the enrichment and transformation of microbial communities that play significant roles in decomposition, nutrient cycling, and organic matter mineralization (Lavelle et al., 2007). The bacterial isolates identified in this study further affirm the hypothesis that earthworms harbor a diverse microbiota, which may include species with unique metabolic and ecological functions.</w:t>
      </w:r>
    </w:p>
    <w:p w14:paraId="5369CAD9" w14:textId="77777777" w:rsidR="00EA046E" w:rsidRDefault="00EA046E" w:rsidP="00EA046E">
      <w:pPr>
        <w:pStyle w:val="NormalWeb"/>
        <w:spacing w:line="360" w:lineRule="auto"/>
        <w:jc w:val="both"/>
      </w:pPr>
      <w:r>
        <w:t xml:space="preserve">The identification of </w:t>
      </w:r>
      <w:r>
        <w:rPr>
          <w:rStyle w:val="Emphasis"/>
        </w:rPr>
        <w:t xml:space="preserve">A. </w:t>
      </w:r>
      <w:proofErr w:type="spellStart"/>
      <w:r>
        <w:rPr>
          <w:rStyle w:val="Emphasis"/>
        </w:rPr>
        <w:t>junii</w:t>
      </w:r>
      <w:proofErr w:type="spellEnd"/>
      <w:r>
        <w:t xml:space="preserve"> in the current investigation underscores its adaptability to the earthworm gut environment. The gut milieu, characterized by fluctuating oxygen levels and abundant organic matter, provides a selective environment for microbes capable of anaerobic and facultative metabolism. The presence of </w:t>
      </w:r>
      <w:r>
        <w:rPr>
          <w:rStyle w:val="Emphasis"/>
        </w:rPr>
        <w:t xml:space="preserve">A. </w:t>
      </w:r>
      <w:proofErr w:type="spellStart"/>
      <w:r>
        <w:rPr>
          <w:rStyle w:val="Emphasis"/>
        </w:rPr>
        <w:t>junii</w:t>
      </w:r>
      <w:proofErr w:type="spellEnd"/>
      <w:r>
        <w:t xml:space="preserve">, a bacterium known for its metabolic versatility, suggests its potential role in breaking down complex organic compounds and contributing to nutrient availability in the soil. </w:t>
      </w:r>
      <w:r>
        <w:rPr>
          <w:rStyle w:val="Emphasis"/>
        </w:rPr>
        <w:t xml:space="preserve">Acinetobacter </w:t>
      </w:r>
      <w:proofErr w:type="spellStart"/>
      <w:r>
        <w:rPr>
          <w:rStyle w:val="Emphasis"/>
        </w:rPr>
        <w:t>junii</w:t>
      </w:r>
      <w:proofErr w:type="spellEnd"/>
      <w:r>
        <w:t xml:space="preserve"> has emerged as a bacterium of significant ecological and biotechnological interest. Previous studies have documented its abilities to degrade hydrocarbons, metabolize complex organic substances, and resist environmental stressors, including heavy metals and antibiotics (Binet et al., 1998). These characteristics position </w:t>
      </w:r>
      <w:r>
        <w:rPr>
          <w:rStyle w:val="Emphasis"/>
        </w:rPr>
        <w:t xml:space="preserve">A. </w:t>
      </w:r>
      <w:proofErr w:type="spellStart"/>
      <w:r>
        <w:rPr>
          <w:rStyle w:val="Emphasis"/>
        </w:rPr>
        <w:t>junii</w:t>
      </w:r>
      <w:proofErr w:type="spellEnd"/>
      <w:r>
        <w:t xml:space="preserve"> as a key player in soil remediation and environmental sustainability.</w:t>
      </w:r>
    </w:p>
    <w:p w14:paraId="1C97BA88" w14:textId="77777777" w:rsidR="00EA046E" w:rsidRDefault="00EA046E" w:rsidP="00EA046E">
      <w:pPr>
        <w:pStyle w:val="NormalWeb"/>
        <w:spacing w:line="360" w:lineRule="auto"/>
        <w:jc w:val="both"/>
      </w:pPr>
      <w:r>
        <w:t xml:space="preserve">One of the notable traits of </w:t>
      </w:r>
      <w:r>
        <w:rPr>
          <w:rStyle w:val="Emphasis"/>
        </w:rPr>
        <w:t xml:space="preserve">A. </w:t>
      </w:r>
      <w:proofErr w:type="spellStart"/>
      <w:r>
        <w:rPr>
          <w:rStyle w:val="Emphasis"/>
        </w:rPr>
        <w:t>junii</w:t>
      </w:r>
      <w:proofErr w:type="spellEnd"/>
      <w:r>
        <w:t xml:space="preserve"> is its capability to produce plant growth-promoting substances such as indole-3-acetic acid (IAA) and siderophores. IAA enhances root elongation and biomass accumulation, while siderophores improve iron acquisition by plants, mitigating nutrient deficiencies in crops (Lavelle et al., 2007). Moreover, </w:t>
      </w:r>
      <w:r>
        <w:rPr>
          <w:rStyle w:val="Emphasis"/>
        </w:rPr>
        <w:t xml:space="preserve">A. </w:t>
      </w:r>
      <w:proofErr w:type="spellStart"/>
      <w:r>
        <w:rPr>
          <w:rStyle w:val="Emphasis"/>
        </w:rPr>
        <w:t>junii</w:t>
      </w:r>
      <w:proofErr w:type="spellEnd"/>
      <w:r>
        <w:t xml:space="preserve"> can solubilize phosphates, making it available for plant uptake. These attributes suggest that </w:t>
      </w:r>
      <w:r>
        <w:rPr>
          <w:rStyle w:val="Emphasis"/>
        </w:rPr>
        <w:t xml:space="preserve">A. </w:t>
      </w:r>
      <w:proofErr w:type="spellStart"/>
      <w:r>
        <w:rPr>
          <w:rStyle w:val="Emphasis"/>
        </w:rPr>
        <w:t>junii</w:t>
      </w:r>
      <w:proofErr w:type="spellEnd"/>
      <w:r>
        <w:t xml:space="preserve"> could be utilized in biofertilizer formulations to enhance crop productivity while reducing dependency on chemical </w:t>
      </w:r>
      <w:r>
        <w:lastRenderedPageBreak/>
        <w:t xml:space="preserve">fertilizers. The application of 16S rDNA sequencing provided robust molecular evidence for the identification of </w:t>
      </w:r>
      <w:r>
        <w:rPr>
          <w:rStyle w:val="Emphasis"/>
        </w:rPr>
        <w:t xml:space="preserve">A. </w:t>
      </w:r>
      <w:proofErr w:type="spellStart"/>
      <w:r>
        <w:rPr>
          <w:rStyle w:val="Emphasis"/>
        </w:rPr>
        <w:t>junii</w:t>
      </w:r>
      <w:proofErr w:type="spellEnd"/>
      <w:r>
        <w:t xml:space="preserve">. The high similarity (100%) with reference sequences in the NCBI database highlights the accuracy and reliability of the approach. Phylogenetic analysis further placed </w:t>
      </w:r>
      <w:r>
        <w:rPr>
          <w:rStyle w:val="Emphasis"/>
        </w:rPr>
        <w:t xml:space="preserve">A. </w:t>
      </w:r>
      <w:proofErr w:type="spellStart"/>
      <w:r>
        <w:rPr>
          <w:rStyle w:val="Emphasis"/>
        </w:rPr>
        <w:t>junii</w:t>
      </w:r>
      <w:proofErr w:type="spellEnd"/>
      <w:r>
        <w:t xml:space="preserve"> in a well-defined clade with closely related species within the genus </w:t>
      </w:r>
      <w:r>
        <w:rPr>
          <w:rStyle w:val="Emphasis"/>
        </w:rPr>
        <w:t>Acinetobacter</w:t>
      </w:r>
      <w:r>
        <w:t>. The high bootstrap values in the phylogenetic tree affirm its evolutionary relationship with other soil-dwelling bacteria, many of which have significant ecological roles.</w:t>
      </w:r>
    </w:p>
    <w:p w14:paraId="03DBA2C4" w14:textId="77777777" w:rsidR="00EA046E" w:rsidRDefault="00EA046E" w:rsidP="00EA046E">
      <w:pPr>
        <w:pStyle w:val="NormalWeb"/>
        <w:spacing w:line="360" w:lineRule="auto"/>
        <w:ind w:firstLine="720"/>
        <w:jc w:val="both"/>
      </w:pPr>
      <w:r>
        <w:t xml:space="preserve">Phylogenetic analysis also revealed genetic diversity within the genus </w:t>
      </w:r>
      <w:r>
        <w:rPr>
          <w:rStyle w:val="Emphasis"/>
        </w:rPr>
        <w:t>Acinetobacter</w:t>
      </w:r>
      <w:r>
        <w:t xml:space="preserve">, suggesting niche specialization among species. This diversity could be linked to environmental factors, such as soil type, organic matter availability, and host-microbe interactions within the earthworm gut. Further studies employing metagenomic or </w:t>
      </w:r>
      <w:proofErr w:type="spellStart"/>
      <w:r>
        <w:t>metatranscriptomic</w:t>
      </w:r>
      <w:proofErr w:type="spellEnd"/>
      <w:r>
        <w:t xml:space="preserve"> approaches could provide deeper insights into the functional roles and adaptive strategies of </w:t>
      </w:r>
      <w:r>
        <w:rPr>
          <w:rStyle w:val="Emphasis"/>
        </w:rPr>
        <w:t xml:space="preserve">A. </w:t>
      </w:r>
      <w:proofErr w:type="spellStart"/>
      <w:r>
        <w:rPr>
          <w:rStyle w:val="Emphasis"/>
        </w:rPr>
        <w:t>junii</w:t>
      </w:r>
      <w:proofErr w:type="spellEnd"/>
      <w:r>
        <w:t xml:space="preserve"> in soil ecosystems. The dual capabilities of </w:t>
      </w:r>
      <w:r>
        <w:rPr>
          <w:rStyle w:val="Emphasis"/>
        </w:rPr>
        <w:t xml:space="preserve">A. </w:t>
      </w:r>
      <w:proofErr w:type="spellStart"/>
      <w:r>
        <w:rPr>
          <w:rStyle w:val="Emphasis"/>
        </w:rPr>
        <w:t>junii</w:t>
      </w:r>
      <w:proofErr w:type="spellEnd"/>
      <w:r>
        <w:t xml:space="preserve"> in promoting plant growth and degrading pollutants make it an ideal candidate for applications in sustainable agriculture and environmental management. In agricultural systems, the use of biofertilizers containing </w:t>
      </w:r>
      <w:r>
        <w:rPr>
          <w:rStyle w:val="Emphasis"/>
        </w:rPr>
        <w:t xml:space="preserve">A. </w:t>
      </w:r>
      <w:proofErr w:type="spellStart"/>
      <w:r>
        <w:rPr>
          <w:rStyle w:val="Emphasis"/>
        </w:rPr>
        <w:t>junii</w:t>
      </w:r>
      <w:proofErr w:type="spellEnd"/>
      <w:r>
        <w:t xml:space="preserve"> can enhance nutrient cycling, improve soil health, and increase crop yields. Furthermore, its biodegradative properties can be harnessed for cleaning up soils contaminated with hydrocarbons and heavy metals, contributing to the restoration of degraded lands.</w:t>
      </w:r>
    </w:p>
    <w:p w14:paraId="1BFFE4E4" w14:textId="77777777" w:rsidR="00EA046E" w:rsidRDefault="00EA046E" w:rsidP="00EA046E">
      <w:pPr>
        <w:pStyle w:val="NormalWeb"/>
        <w:spacing w:line="360" w:lineRule="auto"/>
        <w:ind w:firstLine="720"/>
        <w:jc w:val="both"/>
      </w:pPr>
      <w:r>
        <w:t xml:space="preserve"> The symbiotic association between earthworms and </w:t>
      </w:r>
      <w:r>
        <w:rPr>
          <w:rStyle w:val="Emphasis"/>
        </w:rPr>
        <w:t xml:space="preserve">A. </w:t>
      </w:r>
      <w:proofErr w:type="spellStart"/>
      <w:r>
        <w:rPr>
          <w:rStyle w:val="Emphasis"/>
        </w:rPr>
        <w:t>junii</w:t>
      </w:r>
      <w:proofErr w:type="spellEnd"/>
      <w:r>
        <w:t xml:space="preserve"> also presents opportunities for integrated vermiculture-based solutions. By combining earthworms and bacterial inoculants, it is possible to enhance the efficiency of organic waste decomposition and nutrient recovery processes. Such integrated approaches can address challenges in waste management, organic farming, and climate-resilient agriculture. While this study highlights the potential of </w:t>
      </w:r>
      <w:r>
        <w:rPr>
          <w:rStyle w:val="Emphasis"/>
        </w:rPr>
        <w:t xml:space="preserve">A. </w:t>
      </w:r>
      <w:proofErr w:type="spellStart"/>
      <w:r>
        <w:rPr>
          <w:rStyle w:val="Emphasis"/>
        </w:rPr>
        <w:t>junii</w:t>
      </w:r>
      <w:proofErr w:type="spellEnd"/>
      <w:r>
        <w:t xml:space="preserve">, further research is needed to explore its interactions with other soil microorganisms and plants under field conditions. Investigations into its genomic and proteomic profiles could unravel the mechanisms underlying its biotechnological traits, such as IAA synthesis and hydrocarbon degradation. Additionally, testing its efficacy in diverse soil types and climatic conditions would provide practical insights for its large-scale application. Field trials incorporating </w:t>
      </w:r>
      <w:r>
        <w:rPr>
          <w:rStyle w:val="Emphasis"/>
        </w:rPr>
        <w:t xml:space="preserve">A. </w:t>
      </w:r>
      <w:proofErr w:type="spellStart"/>
      <w:r>
        <w:rPr>
          <w:rStyle w:val="Emphasis"/>
        </w:rPr>
        <w:t>junii</w:t>
      </w:r>
      <w:proofErr w:type="spellEnd"/>
      <w:r>
        <w:t xml:space="preserve"> as part of biofertilizer formulations or bioremediation consortia could validate its effectiveness and safety. Collaboration with agricultural industries and environmental agencies could expedite the translation of laboratory findings into real-world applications. Moreover, long-term studies on </w:t>
      </w:r>
      <w:r>
        <w:lastRenderedPageBreak/>
        <w:t xml:space="preserve">the ecological impacts of introducing </w:t>
      </w:r>
      <w:r>
        <w:rPr>
          <w:rStyle w:val="Emphasis"/>
        </w:rPr>
        <w:t xml:space="preserve">A. </w:t>
      </w:r>
      <w:proofErr w:type="spellStart"/>
      <w:r>
        <w:rPr>
          <w:rStyle w:val="Emphasis"/>
        </w:rPr>
        <w:t>junii</w:t>
      </w:r>
      <w:proofErr w:type="spellEnd"/>
      <w:r>
        <w:t xml:space="preserve"> into agricultural soils are essential to ensure its sustainability and compatibility with existing ecosystems.</w:t>
      </w:r>
    </w:p>
    <w:p w14:paraId="42FCAE55" w14:textId="77777777" w:rsidR="00EA046E" w:rsidRDefault="00EA046E" w:rsidP="00EA046E">
      <w:pPr>
        <w:pStyle w:val="Heading3"/>
        <w:spacing w:line="360" w:lineRule="auto"/>
        <w:jc w:val="both"/>
      </w:pPr>
      <w:r>
        <w:rPr>
          <w:rStyle w:val="Strong"/>
          <w:rFonts w:eastAsiaTheme="minorEastAsia"/>
          <w:b/>
          <w:bCs/>
        </w:rPr>
        <w:t>Conclusion</w:t>
      </w:r>
    </w:p>
    <w:p w14:paraId="72B8D2DC" w14:textId="77777777" w:rsidR="00EA046E" w:rsidRDefault="00EA046E" w:rsidP="00EA046E">
      <w:pPr>
        <w:pStyle w:val="NormalWeb"/>
        <w:spacing w:line="360" w:lineRule="auto"/>
        <w:jc w:val="both"/>
      </w:pPr>
      <w:r>
        <w:t xml:space="preserve">The findings of this study demonstrate the ecological significance and potential applications of </w:t>
      </w:r>
      <w:r>
        <w:rPr>
          <w:rStyle w:val="Emphasis"/>
        </w:rPr>
        <w:t xml:space="preserve">Acinetobacter </w:t>
      </w:r>
      <w:proofErr w:type="spellStart"/>
      <w:r>
        <w:rPr>
          <w:rStyle w:val="Emphasis"/>
        </w:rPr>
        <w:t>junii</w:t>
      </w:r>
      <w:proofErr w:type="spellEnd"/>
      <w:r>
        <w:t xml:space="preserve"> isolated from earthworms. The use of 16S rDNA sequencing allowed precise identification and phylogenetic placement, underscoring its adaptability and multifunctionality. As a bacterium capable of promoting plant growth and degrading pollutants, </w:t>
      </w:r>
      <w:r>
        <w:rPr>
          <w:rStyle w:val="Emphasis"/>
        </w:rPr>
        <w:t xml:space="preserve">A. </w:t>
      </w:r>
      <w:proofErr w:type="spellStart"/>
      <w:r>
        <w:rPr>
          <w:rStyle w:val="Emphasis"/>
        </w:rPr>
        <w:t>junii</w:t>
      </w:r>
      <w:proofErr w:type="spellEnd"/>
      <w:r>
        <w:t xml:space="preserve"> represents a promising candidate for advancing sustainable agriculture and environmental restoration efforts. Future research should focus on leveraging its potential through integrated biotechnological solutions.</w:t>
      </w:r>
    </w:p>
    <w:p w14:paraId="5DD2ABD2" w14:textId="77777777" w:rsidR="00EA046E" w:rsidRDefault="00EA046E" w:rsidP="00381AAF">
      <w:pPr>
        <w:pStyle w:val="NormalWeb"/>
        <w:spacing w:line="360" w:lineRule="auto"/>
        <w:jc w:val="both"/>
        <w:rPr>
          <w:b/>
        </w:rPr>
      </w:pPr>
    </w:p>
    <w:p w14:paraId="76167552" w14:textId="77777777" w:rsidR="004B6553" w:rsidRPr="004B6553" w:rsidRDefault="004B6553" w:rsidP="00381AAF">
      <w:pPr>
        <w:pStyle w:val="NormalWeb"/>
        <w:spacing w:line="360" w:lineRule="auto"/>
        <w:jc w:val="both"/>
        <w:rPr>
          <w:b/>
        </w:rPr>
      </w:pPr>
      <w:r w:rsidRPr="004B6553">
        <w:rPr>
          <w:b/>
        </w:rPr>
        <w:t>References</w:t>
      </w:r>
    </w:p>
    <w:p w14:paraId="569FC96B"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Edwards, C.A., &amp; Bohlen, P.J. (1996). </w:t>
      </w:r>
      <w:r w:rsidRPr="004B6553">
        <w:rPr>
          <w:rFonts w:ascii="Times New Roman" w:hAnsi="Times New Roman"/>
          <w:i/>
          <w:iCs/>
          <w:sz w:val="24"/>
          <w:szCs w:val="24"/>
        </w:rPr>
        <w:t>Biology and Ecology of Earthworms</w:t>
      </w:r>
      <w:r w:rsidRPr="004B6553">
        <w:rPr>
          <w:rFonts w:ascii="Times New Roman" w:hAnsi="Times New Roman"/>
          <w:sz w:val="24"/>
          <w:szCs w:val="24"/>
        </w:rPr>
        <w:t>. Chapman &amp; Hall.</w:t>
      </w:r>
    </w:p>
    <w:p w14:paraId="4AFEE6D0"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Brown, G.G., James, S.W., &amp; Pasini, S. (2006). Exotic earthworms in Brazil: Diversity and impacts on soils and plants. </w:t>
      </w:r>
      <w:r w:rsidRPr="004B6553">
        <w:rPr>
          <w:rFonts w:ascii="Times New Roman" w:hAnsi="Times New Roman"/>
          <w:i/>
          <w:iCs/>
          <w:sz w:val="24"/>
          <w:szCs w:val="24"/>
        </w:rPr>
        <w:t>Caribbean Journal of Science</w:t>
      </w:r>
      <w:r w:rsidRPr="004B6553">
        <w:rPr>
          <w:rFonts w:ascii="Times New Roman" w:hAnsi="Times New Roman"/>
          <w:sz w:val="24"/>
          <w:szCs w:val="24"/>
        </w:rPr>
        <w:t>, 42, 339–358.</w:t>
      </w:r>
    </w:p>
    <w:p w14:paraId="2FE98458"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Hebert, P.D.N., </w:t>
      </w:r>
      <w:proofErr w:type="spellStart"/>
      <w:r w:rsidRPr="004B6553">
        <w:rPr>
          <w:rFonts w:ascii="Times New Roman" w:hAnsi="Times New Roman"/>
          <w:sz w:val="24"/>
          <w:szCs w:val="24"/>
        </w:rPr>
        <w:t>Ratnasingham</w:t>
      </w:r>
      <w:proofErr w:type="spellEnd"/>
      <w:r w:rsidRPr="004B6553">
        <w:rPr>
          <w:rFonts w:ascii="Times New Roman" w:hAnsi="Times New Roman"/>
          <w:sz w:val="24"/>
          <w:szCs w:val="24"/>
        </w:rPr>
        <w:t xml:space="preserve">, S., &amp; de Waard, J.R. (2003). Barcoding animal life: Cytochrome c oxidase subunit 1 divergences among closely related species. </w:t>
      </w:r>
      <w:r w:rsidRPr="004B6553">
        <w:rPr>
          <w:rFonts w:ascii="Times New Roman" w:hAnsi="Times New Roman"/>
          <w:i/>
          <w:iCs/>
          <w:sz w:val="24"/>
          <w:szCs w:val="24"/>
        </w:rPr>
        <w:t>Proceedings of the Royal Society B: Biological Sciences</w:t>
      </w:r>
      <w:r w:rsidRPr="004B6553">
        <w:rPr>
          <w:rFonts w:ascii="Times New Roman" w:hAnsi="Times New Roman"/>
          <w:sz w:val="24"/>
          <w:szCs w:val="24"/>
        </w:rPr>
        <w:t>, 270, S96–S99.</w:t>
      </w:r>
    </w:p>
    <w:p w14:paraId="2C86E216"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Lavelle, P., Barot, S., &amp; Blouin, M. (2007). Earthworms as key actors in self-organized soil systems. </w:t>
      </w:r>
      <w:r w:rsidRPr="004B6553">
        <w:rPr>
          <w:rFonts w:ascii="Times New Roman" w:hAnsi="Times New Roman"/>
          <w:i/>
          <w:iCs/>
          <w:sz w:val="24"/>
          <w:szCs w:val="24"/>
        </w:rPr>
        <w:t>Theoretical Ecology Series</w:t>
      </w:r>
      <w:r w:rsidRPr="004B6553">
        <w:rPr>
          <w:rFonts w:ascii="Times New Roman" w:hAnsi="Times New Roman"/>
          <w:sz w:val="24"/>
          <w:szCs w:val="24"/>
        </w:rPr>
        <w:t>, 4, 77–106.</w:t>
      </w:r>
    </w:p>
    <w:p w14:paraId="4D9C2FB9"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F92945">
        <w:rPr>
          <w:rFonts w:ascii="Times New Roman" w:hAnsi="Times New Roman"/>
          <w:sz w:val="24"/>
          <w:szCs w:val="24"/>
          <w:lang w:val="de-DE"/>
        </w:rPr>
        <w:t xml:space="preserve">Tamura, K., Peterson, D., Stecher, G., Nei, M., &amp; Kumar, S. (2011). </w:t>
      </w:r>
      <w:r w:rsidRPr="004B6553">
        <w:rPr>
          <w:rFonts w:ascii="Times New Roman" w:hAnsi="Times New Roman"/>
          <w:sz w:val="24"/>
          <w:szCs w:val="24"/>
        </w:rPr>
        <w:t xml:space="preserve">MEGA5: Molecular Evolutionary Genetics Analysis using Maximum Likelihood, Evolutionary Distance, and Maximum Parsimony Methods. </w:t>
      </w:r>
      <w:r w:rsidRPr="004B6553">
        <w:rPr>
          <w:rFonts w:ascii="Times New Roman" w:hAnsi="Times New Roman"/>
          <w:i/>
          <w:iCs/>
          <w:sz w:val="24"/>
          <w:szCs w:val="24"/>
        </w:rPr>
        <w:t>Molecular Biology and Evolution</w:t>
      </w:r>
      <w:r w:rsidRPr="004B6553">
        <w:rPr>
          <w:rFonts w:ascii="Times New Roman" w:hAnsi="Times New Roman"/>
          <w:sz w:val="24"/>
          <w:szCs w:val="24"/>
        </w:rPr>
        <w:t>, 28(10), 2731–2739.</w:t>
      </w:r>
    </w:p>
    <w:p w14:paraId="7BDF9BDA"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Bergey, D.H., &amp; Holt, J.G. (1994). </w:t>
      </w:r>
      <w:r w:rsidRPr="004B6553">
        <w:rPr>
          <w:rFonts w:ascii="Times New Roman" w:hAnsi="Times New Roman"/>
          <w:i/>
          <w:iCs/>
          <w:sz w:val="24"/>
          <w:szCs w:val="24"/>
        </w:rPr>
        <w:t>Bergey’s Manual of Determinative Bacteriology</w:t>
      </w:r>
      <w:r w:rsidRPr="004B6553">
        <w:rPr>
          <w:rFonts w:ascii="Times New Roman" w:hAnsi="Times New Roman"/>
          <w:sz w:val="24"/>
          <w:szCs w:val="24"/>
        </w:rPr>
        <w:t>. Lippincott Williams &amp; Wilkins.</w:t>
      </w:r>
    </w:p>
    <w:p w14:paraId="4C6AFD9E" w14:textId="77777777" w:rsidR="00533B4D" w:rsidRPr="004B6553" w:rsidRDefault="004B6553" w:rsidP="004B6553">
      <w:pPr>
        <w:pStyle w:val="ListParagraph"/>
        <w:numPr>
          <w:ilvl w:val="0"/>
          <w:numId w:val="1"/>
        </w:numPr>
        <w:spacing w:line="360" w:lineRule="auto"/>
        <w:jc w:val="both"/>
        <w:rPr>
          <w:rFonts w:ascii="Times New Roman" w:hAnsi="Times New Roman"/>
          <w:sz w:val="24"/>
          <w:szCs w:val="24"/>
        </w:rPr>
      </w:pPr>
      <w:r w:rsidRPr="004B6553">
        <w:rPr>
          <w:rFonts w:ascii="Times New Roman" w:hAnsi="Times New Roman"/>
          <w:sz w:val="24"/>
          <w:szCs w:val="24"/>
        </w:rPr>
        <w:t xml:space="preserve">Binet, F., Fayolle, L., &amp; </w:t>
      </w:r>
      <w:proofErr w:type="spellStart"/>
      <w:r w:rsidRPr="004B6553">
        <w:rPr>
          <w:rFonts w:ascii="Times New Roman" w:hAnsi="Times New Roman"/>
          <w:sz w:val="24"/>
          <w:szCs w:val="24"/>
        </w:rPr>
        <w:t>Pussard</w:t>
      </w:r>
      <w:proofErr w:type="spellEnd"/>
      <w:r w:rsidRPr="004B6553">
        <w:rPr>
          <w:rFonts w:ascii="Times New Roman" w:hAnsi="Times New Roman"/>
          <w:sz w:val="24"/>
          <w:szCs w:val="24"/>
        </w:rPr>
        <w:t xml:space="preserve">, M. (1998). Earthworm contribution to soil microbial activity. </w:t>
      </w:r>
      <w:r w:rsidRPr="004B6553">
        <w:rPr>
          <w:rFonts w:ascii="Times New Roman" w:hAnsi="Times New Roman"/>
          <w:i/>
          <w:iCs/>
          <w:sz w:val="24"/>
          <w:szCs w:val="24"/>
        </w:rPr>
        <w:t>Biology and Fertility of Soils</w:t>
      </w:r>
      <w:r w:rsidRPr="004B6553">
        <w:rPr>
          <w:rFonts w:ascii="Times New Roman" w:hAnsi="Times New Roman"/>
          <w:sz w:val="24"/>
          <w:szCs w:val="24"/>
        </w:rPr>
        <w:t>, 27(1), 79–84.</w:t>
      </w:r>
    </w:p>
    <w:sectPr w:rsidR="00533B4D" w:rsidRPr="004B655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1CA42" w14:textId="77777777" w:rsidR="00583851" w:rsidRDefault="00583851" w:rsidP="00F92945">
      <w:pPr>
        <w:spacing w:after="0" w:line="240" w:lineRule="auto"/>
      </w:pPr>
      <w:r>
        <w:separator/>
      </w:r>
    </w:p>
  </w:endnote>
  <w:endnote w:type="continuationSeparator" w:id="0">
    <w:p w14:paraId="07B4B9CD" w14:textId="77777777" w:rsidR="00583851" w:rsidRDefault="00583851" w:rsidP="00F9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1F4C" w14:textId="77777777" w:rsidR="00F92945" w:rsidRDefault="00F92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8941" w14:textId="77777777" w:rsidR="00F92945" w:rsidRDefault="00F92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2296" w14:textId="77777777" w:rsidR="00F92945" w:rsidRDefault="00F9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4F310" w14:textId="77777777" w:rsidR="00583851" w:rsidRDefault="00583851" w:rsidP="00F92945">
      <w:pPr>
        <w:spacing w:after="0" w:line="240" w:lineRule="auto"/>
      </w:pPr>
      <w:r>
        <w:separator/>
      </w:r>
    </w:p>
  </w:footnote>
  <w:footnote w:type="continuationSeparator" w:id="0">
    <w:p w14:paraId="1694CBB8" w14:textId="77777777" w:rsidR="00583851" w:rsidRDefault="00583851" w:rsidP="00F92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72486" w14:textId="3F2D00EB" w:rsidR="00F92945" w:rsidRDefault="00F92945">
    <w:pPr>
      <w:pStyle w:val="Header"/>
    </w:pPr>
    <w:r>
      <w:rPr>
        <w:noProof/>
      </w:rPr>
      <w:pict w14:anchorId="3F80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E9D56" w14:textId="1B31B786" w:rsidR="00F92945" w:rsidRDefault="00F92945">
    <w:pPr>
      <w:pStyle w:val="Header"/>
    </w:pPr>
    <w:r>
      <w:rPr>
        <w:noProof/>
      </w:rPr>
      <w:pict w14:anchorId="3637F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3A41" w14:textId="58094595" w:rsidR="00F92945" w:rsidRDefault="00F92945">
    <w:pPr>
      <w:pStyle w:val="Header"/>
    </w:pPr>
    <w:r>
      <w:rPr>
        <w:noProof/>
      </w:rPr>
      <w:pict w14:anchorId="58E80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B7B52"/>
    <w:multiLevelType w:val="hybridMultilevel"/>
    <w:tmpl w:val="9124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7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sDAyNDc1MLMwNTVV0lEKTi0uzszPAykwrAUA8HEcEiwAAAA="/>
  </w:docVars>
  <w:rsids>
    <w:rsidRoot w:val="00381AAF"/>
    <w:rsid w:val="00194078"/>
    <w:rsid w:val="001C6F44"/>
    <w:rsid w:val="00255B39"/>
    <w:rsid w:val="002B2FCF"/>
    <w:rsid w:val="003260FD"/>
    <w:rsid w:val="00352953"/>
    <w:rsid w:val="00381AAF"/>
    <w:rsid w:val="0040323D"/>
    <w:rsid w:val="004B6553"/>
    <w:rsid w:val="00533B4D"/>
    <w:rsid w:val="005671DD"/>
    <w:rsid w:val="00583851"/>
    <w:rsid w:val="006363F3"/>
    <w:rsid w:val="00866075"/>
    <w:rsid w:val="00883CE5"/>
    <w:rsid w:val="008C2EFF"/>
    <w:rsid w:val="0091195B"/>
    <w:rsid w:val="00913872"/>
    <w:rsid w:val="00A64456"/>
    <w:rsid w:val="00AA1917"/>
    <w:rsid w:val="00AF3E50"/>
    <w:rsid w:val="00B461CC"/>
    <w:rsid w:val="00BE77D1"/>
    <w:rsid w:val="00BF2A6F"/>
    <w:rsid w:val="00C61463"/>
    <w:rsid w:val="00EA046E"/>
    <w:rsid w:val="00F5591F"/>
    <w:rsid w:val="00F92945"/>
    <w:rsid w:val="00FC772B"/>
    <w:rsid w:val="00FD7D0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1B430"/>
  <w15:docId w15:val="{A7548E29-A44F-4C4D-98D4-88521354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AF"/>
    <w:rPr>
      <w:rFonts w:ascii="Calibri" w:eastAsia="Times New Roman" w:hAnsi="Calibri" w:cs="Times New Roman"/>
      <w:lang w:bidi="ar-SA"/>
    </w:rPr>
  </w:style>
  <w:style w:type="paragraph" w:styleId="Heading3">
    <w:name w:val="heading 3"/>
    <w:basedOn w:val="Normal"/>
    <w:link w:val="Heading3Char"/>
    <w:uiPriority w:val="9"/>
    <w:qFormat/>
    <w:rsid w:val="00381AA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381AA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1AAF"/>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381AAF"/>
    <w:rPr>
      <w:rFonts w:eastAsiaTheme="minorEastAsia"/>
      <w:b/>
      <w:bCs/>
      <w:sz w:val="28"/>
      <w:szCs w:val="28"/>
      <w:lang w:bidi="ar-SA"/>
    </w:rPr>
  </w:style>
  <w:style w:type="character" w:styleId="Emphasis">
    <w:name w:val="Emphasis"/>
    <w:uiPriority w:val="20"/>
    <w:qFormat/>
    <w:rsid w:val="00381AAF"/>
    <w:rPr>
      <w:rFonts w:cs="Times New Roman"/>
      <w:i/>
      <w:iCs/>
    </w:rPr>
  </w:style>
  <w:style w:type="paragraph" w:styleId="NormalWeb">
    <w:name w:val="Normal (Web)"/>
    <w:basedOn w:val="Normal"/>
    <w:uiPriority w:val="99"/>
    <w:unhideWhenUsed/>
    <w:rsid w:val="00381AAF"/>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81AAF"/>
    <w:rPr>
      <w:rFonts w:cs="Times New Roman"/>
      <w:b/>
      <w:bCs/>
    </w:rPr>
  </w:style>
  <w:style w:type="paragraph" w:styleId="ListParagraph">
    <w:name w:val="List Paragraph"/>
    <w:basedOn w:val="Normal"/>
    <w:uiPriority w:val="34"/>
    <w:qFormat/>
    <w:rsid w:val="004B6553"/>
    <w:pPr>
      <w:ind w:left="720"/>
      <w:contextualSpacing/>
    </w:pPr>
  </w:style>
  <w:style w:type="paragraph" w:styleId="BalloonText">
    <w:name w:val="Balloon Text"/>
    <w:basedOn w:val="Normal"/>
    <w:link w:val="BalloonTextChar"/>
    <w:uiPriority w:val="99"/>
    <w:semiHidden/>
    <w:unhideWhenUsed/>
    <w:rsid w:val="00255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39"/>
    <w:rPr>
      <w:rFonts w:ascii="Tahoma" w:eastAsia="Times New Roman" w:hAnsi="Tahoma" w:cs="Tahoma"/>
      <w:sz w:val="16"/>
      <w:szCs w:val="16"/>
      <w:lang w:bidi="ar-SA"/>
    </w:rPr>
  </w:style>
  <w:style w:type="paragraph" w:styleId="PlainText">
    <w:name w:val="Plain Text"/>
    <w:basedOn w:val="Normal"/>
    <w:link w:val="PlainTextChar"/>
    <w:uiPriority w:val="99"/>
    <w:unhideWhenUsed/>
    <w:rsid w:val="00255B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55B39"/>
    <w:rPr>
      <w:rFonts w:ascii="Consolas" w:eastAsia="Times New Roman" w:hAnsi="Consolas" w:cs="Consolas"/>
      <w:sz w:val="21"/>
      <w:szCs w:val="21"/>
      <w:lang w:bidi="ar-SA"/>
    </w:rPr>
  </w:style>
  <w:style w:type="character" w:styleId="Hyperlink">
    <w:name w:val="Hyperlink"/>
    <w:basedOn w:val="DefaultParagraphFont"/>
    <w:uiPriority w:val="99"/>
    <w:unhideWhenUsed/>
    <w:rsid w:val="00C61463"/>
    <w:rPr>
      <w:color w:val="0000FF" w:themeColor="hyperlink"/>
      <w:u w:val="single"/>
    </w:rPr>
  </w:style>
  <w:style w:type="paragraph" w:styleId="Header">
    <w:name w:val="header"/>
    <w:basedOn w:val="Normal"/>
    <w:link w:val="HeaderChar"/>
    <w:uiPriority w:val="99"/>
    <w:unhideWhenUsed/>
    <w:rsid w:val="00F92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945"/>
    <w:rPr>
      <w:rFonts w:ascii="Calibri" w:eastAsia="Times New Roman" w:hAnsi="Calibri" w:cs="Times New Roman"/>
      <w:lang w:bidi="ar-SA"/>
    </w:rPr>
  </w:style>
  <w:style w:type="paragraph" w:styleId="Footer">
    <w:name w:val="footer"/>
    <w:basedOn w:val="Normal"/>
    <w:link w:val="FooterChar"/>
    <w:uiPriority w:val="99"/>
    <w:unhideWhenUsed/>
    <w:rsid w:val="00F92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945"/>
    <w:rPr>
      <w:rFonts w:ascii="Calibri" w:eastAsia="Times New Roman"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141843">
      <w:bodyDiv w:val="1"/>
      <w:marLeft w:val="0"/>
      <w:marRight w:val="0"/>
      <w:marTop w:val="0"/>
      <w:marBottom w:val="0"/>
      <w:divBdr>
        <w:top w:val="none" w:sz="0" w:space="0" w:color="auto"/>
        <w:left w:val="none" w:sz="0" w:space="0" w:color="auto"/>
        <w:bottom w:val="none" w:sz="0" w:space="0" w:color="auto"/>
        <w:right w:val="none" w:sz="0" w:space="0" w:color="auto"/>
      </w:divBdr>
    </w:div>
    <w:div w:id="538586422">
      <w:bodyDiv w:val="1"/>
      <w:marLeft w:val="0"/>
      <w:marRight w:val="0"/>
      <w:marTop w:val="0"/>
      <w:marBottom w:val="0"/>
      <w:divBdr>
        <w:top w:val="none" w:sz="0" w:space="0" w:color="auto"/>
        <w:left w:val="none" w:sz="0" w:space="0" w:color="auto"/>
        <w:bottom w:val="none" w:sz="0" w:space="0" w:color="auto"/>
        <w:right w:val="none" w:sz="0" w:space="0" w:color="auto"/>
      </w:divBdr>
    </w:div>
    <w:div w:id="583606934">
      <w:bodyDiv w:val="1"/>
      <w:marLeft w:val="0"/>
      <w:marRight w:val="0"/>
      <w:marTop w:val="0"/>
      <w:marBottom w:val="0"/>
      <w:divBdr>
        <w:top w:val="none" w:sz="0" w:space="0" w:color="auto"/>
        <w:left w:val="none" w:sz="0" w:space="0" w:color="auto"/>
        <w:bottom w:val="none" w:sz="0" w:space="0" w:color="auto"/>
        <w:right w:val="none" w:sz="0" w:space="0" w:color="auto"/>
      </w:divBdr>
    </w:div>
    <w:div w:id="788160368">
      <w:bodyDiv w:val="1"/>
      <w:marLeft w:val="0"/>
      <w:marRight w:val="0"/>
      <w:marTop w:val="0"/>
      <w:marBottom w:val="0"/>
      <w:divBdr>
        <w:top w:val="none" w:sz="0" w:space="0" w:color="auto"/>
        <w:left w:val="none" w:sz="0" w:space="0" w:color="auto"/>
        <w:bottom w:val="none" w:sz="0" w:space="0" w:color="auto"/>
        <w:right w:val="none" w:sz="0" w:space="0" w:color="auto"/>
      </w:divBdr>
    </w:div>
    <w:div w:id="20683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dc:creator>
  <cp:lastModifiedBy>Editor-23</cp:lastModifiedBy>
  <cp:revision>24</cp:revision>
  <dcterms:created xsi:type="dcterms:W3CDTF">2024-12-09T15:43:00Z</dcterms:created>
  <dcterms:modified xsi:type="dcterms:W3CDTF">2024-12-12T08:11:00Z</dcterms:modified>
</cp:coreProperties>
</file>