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C56D" w14:textId="77777777" w:rsidR="00C00626" w:rsidRPr="00C00626" w:rsidRDefault="00C00626" w:rsidP="00C00626">
      <w:pPr>
        <w:ind w:left="90"/>
        <w:rPr>
          <w:b/>
          <w:bCs/>
          <w:i/>
          <w:iCs/>
          <w:sz w:val="24"/>
          <w:szCs w:val="24"/>
          <w:u w:val="single"/>
          <w:lang w:val="en-US"/>
        </w:rPr>
      </w:pPr>
      <w:r w:rsidRPr="00C00626">
        <w:rPr>
          <w:b/>
          <w:bCs/>
          <w:i/>
          <w:iCs/>
          <w:sz w:val="24"/>
          <w:szCs w:val="24"/>
          <w:u w:val="single"/>
          <w:lang w:val="en-US"/>
        </w:rPr>
        <w:t>Original Research Article</w:t>
      </w:r>
    </w:p>
    <w:p w14:paraId="1F3C80DC" w14:textId="73F309B0" w:rsidR="000C0E02" w:rsidRPr="00A7015F" w:rsidRDefault="000C0E02" w:rsidP="00F142EC">
      <w:pPr>
        <w:ind w:left="90"/>
        <w:rPr>
          <w:b/>
          <w:bCs/>
          <w:sz w:val="24"/>
          <w:szCs w:val="24"/>
        </w:rPr>
      </w:pPr>
      <w:r w:rsidRPr="000C0E02">
        <w:rPr>
          <w:b/>
          <w:bCs/>
          <w:sz w:val="24"/>
          <w:szCs w:val="24"/>
        </w:rPr>
        <w:t xml:space="preserve">Assessment of the </w:t>
      </w:r>
      <w:r>
        <w:rPr>
          <w:b/>
          <w:bCs/>
          <w:sz w:val="24"/>
          <w:szCs w:val="24"/>
        </w:rPr>
        <w:t>t</w:t>
      </w:r>
      <w:r w:rsidRPr="000C0E02">
        <w:rPr>
          <w:b/>
          <w:bCs/>
          <w:sz w:val="24"/>
          <w:szCs w:val="24"/>
        </w:rPr>
        <w:t xml:space="preserve">oxic </w:t>
      </w:r>
      <w:r>
        <w:rPr>
          <w:b/>
          <w:bCs/>
          <w:sz w:val="24"/>
          <w:szCs w:val="24"/>
        </w:rPr>
        <w:t>e</w:t>
      </w:r>
      <w:r w:rsidRPr="000C0E02">
        <w:rPr>
          <w:b/>
          <w:bCs/>
          <w:sz w:val="24"/>
          <w:szCs w:val="24"/>
        </w:rPr>
        <w:t xml:space="preserve">ffects of </w:t>
      </w:r>
      <w:r>
        <w:rPr>
          <w:b/>
          <w:bCs/>
          <w:sz w:val="24"/>
          <w:szCs w:val="24"/>
        </w:rPr>
        <w:t>s</w:t>
      </w:r>
      <w:r w:rsidRPr="000C0E02">
        <w:rPr>
          <w:b/>
          <w:bCs/>
          <w:sz w:val="24"/>
          <w:szCs w:val="24"/>
        </w:rPr>
        <w:t xml:space="preserve">ilver Oxide </w:t>
      </w:r>
      <w:r>
        <w:rPr>
          <w:b/>
          <w:bCs/>
          <w:sz w:val="24"/>
          <w:szCs w:val="24"/>
        </w:rPr>
        <w:t>n</w:t>
      </w:r>
      <w:r w:rsidRPr="000C0E02">
        <w:rPr>
          <w:b/>
          <w:bCs/>
          <w:sz w:val="24"/>
          <w:szCs w:val="24"/>
        </w:rPr>
        <w:t xml:space="preserve">anoparticles </w:t>
      </w:r>
      <w:r w:rsidRPr="00A7015F">
        <w:rPr>
          <w:b/>
          <w:bCs/>
          <w:sz w:val="24"/>
          <w:szCs w:val="24"/>
        </w:rPr>
        <w:t xml:space="preserve">(Ag2O NPs) </w:t>
      </w:r>
      <w:r w:rsidRPr="000C0E02">
        <w:rPr>
          <w:b/>
          <w:bCs/>
          <w:sz w:val="24"/>
          <w:szCs w:val="24"/>
        </w:rPr>
        <w:t xml:space="preserve">on the </w:t>
      </w:r>
      <w:r>
        <w:rPr>
          <w:b/>
          <w:bCs/>
          <w:sz w:val="24"/>
          <w:szCs w:val="24"/>
        </w:rPr>
        <w:t>b</w:t>
      </w:r>
      <w:r w:rsidRPr="000C0E02">
        <w:rPr>
          <w:b/>
          <w:bCs/>
          <w:sz w:val="24"/>
          <w:szCs w:val="24"/>
        </w:rPr>
        <w:t xml:space="preserve">iochemical Profile of </w:t>
      </w:r>
      <w:proofErr w:type="spellStart"/>
      <w:r w:rsidRPr="000C0E02">
        <w:rPr>
          <w:b/>
          <w:bCs/>
          <w:i/>
          <w:iCs/>
          <w:sz w:val="24"/>
          <w:szCs w:val="24"/>
        </w:rPr>
        <w:t>Lissachatina</w:t>
      </w:r>
      <w:proofErr w:type="spellEnd"/>
      <w:r w:rsidRPr="000C0E02">
        <w:rPr>
          <w:b/>
          <w:bCs/>
          <w:i/>
          <w:iCs/>
          <w:sz w:val="24"/>
          <w:szCs w:val="24"/>
        </w:rPr>
        <w:t xml:space="preserve"> fulica</w:t>
      </w:r>
      <w:r>
        <w:rPr>
          <w:b/>
          <w:bCs/>
          <w:i/>
          <w:iCs/>
          <w:sz w:val="24"/>
          <w:szCs w:val="24"/>
        </w:rPr>
        <w:t xml:space="preserve"> </w:t>
      </w:r>
      <w:r w:rsidRPr="00A7015F">
        <w:rPr>
          <w:b/>
          <w:bCs/>
          <w:sz w:val="24"/>
          <w:szCs w:val="24"/>
        </w:rPr>
        <w:t xml:space="preserve">(Mollusca: </w:t>
      </w:r>
      <w:proofErr w:type="spellStart"/>
      <w:r w:rsidRPr="00D02611">
        <w:rPr>
          <w:b/>
          <w:bCs/>
          <w:sz w:val="24"/>
          <w:szCs w:val="24"/>
        </w:rPr>
        <w:t>Achatinidae</w:t>
      </w:r>
      <w:proofErr w:type="spellEnd"/>
      <w:r w:rsidRPr="00A7015F">
        <w:rPr>
          <w:b/>
          <w:bCs/>
          <w:sz w:val="24"/>
          <w:szCs w:val="24"/>
        </w:rPr>
        <w:t>)</w:t>
      </w:r>
    </w:p>
    <w:p w14:paraId="409C3AB2" w14:textId="07E01EB3" w:rsidR="00C00626" w:rsidRDefault="00C00626" w:rsidP="00F142EC">
      <w:pPr>
        <w:ind w:left="90"/>
        <w:rPr>
          <w:sz w:val="24"/>
          <w:szCs w:val="24"/>
        </w:rPr>
      </w:pPr>
    </w:p>
    <w:p w14:paraId="3C067E90" w14:textId="77777777" w:rsidR="00FC671B" w:rsidRPr="00A7015F" w:rsidRDefault="00FC671B" w:rsidP="00F142EC">
      <w:pPr>
        <w:ind w:left="90"/>
        <w:rPr>
          <w:sz w:val="24"/>
          <w:szCs w:val="24"/>
        </w:rPr>
      </w:pPr>
    </w:p>
    <w:p w14:paraId="298070A7" w14:textId="51A445BA" w:rsidR="00AF01B8" w:rsidRPr="00EB7ACB" w:rsidRDefault="00AF01B8" w:rsidP="00F142EC">
      <w:pPr>
        <w:ind w:left="90"/>
        <w:rPr>
          <w:b/>
          <w:bCs/>
          <w:sz w:val="28"/>
          <w:szCs w:val="28"/>
        </w:rPr>
      </w:pPr>
      <w:r w:rsidRPr="00EB7ACB">
        <w:rPr>
          <w:b/>
          <w:bCs/>
          <w:sz w:val="28"/>
          <w:szCs w:val="28"/>
        </w:rPr>
        <w:t>Abstract-</w:t>
      </w:r>
    </w:p>
    <w:p w14:paraId="45CD3970" w14:textId="77777777" w:rsidR="00931490" w:rsidRPr="00931490" w:rsidRDefault="00931490" w:rsidP="00931490">
      <w:pPr>
        <w:ind w:left="90"/>
        <w:rPr>
          <w:sz w:val="24"/>
          <w:szCs w:val="24"/>
        </w:rPr>
      </w:pPr>
      <w:r w:rsidRPr="00931490">
        <w:rPr>
          <w:sz w:val="24"/>
          <w:szCs w:val="24"/>
        </w:rPr>
        <w:t>Nanotechnology offers a promising approach for pest management, and this study evaluated the effects of silver oxide nanoparticles (</w:t>
      </w:r>
      <w:proofErr w:type="spellStart"/>
      <w:r w:rsidRPr="00931490">
        <w:rPr>
          <w:sz w:val="24"/>
          <w:szCs w:val="24"/>
        </w:rPr>
        <w:t>Ag₂O</w:t>
      </w:r>
      <w:proofErr w:type="spellEnd"/>
      <w:r w:rsidRPr="00931490">
        <w:rPr>
          <w:sz w:val="24"/>
          <w:szCs w:val="24"/>
        </w:rPr>
        <w:t xml:space="preserve"> NPs) on the biochemical composition of the giant African snail </w:t>
      </w:r>
      <w:proofErr w:type="spellStart"/>
      <w:r w:rsidRPr="00931490">
        <w:rPr>
          <w:i/>
          <w:iCs/>
          <w:sz w:val="24"/>
          <w:szCs w:val="24"/>
        </w:rPr>
        <w:t>Lissachatina</w:t>
      </w:r>
      <w:proofErr w:type="spellEnd"/>
      <w:r w:rsidRPr="00931490">
        <w:rPr>
          <w:i/>
          <w:iCs/>
          <w:sz w:val="24"/>
          <w:szCs w:val="24"/>
        </w:rPr>
        <w:t xml:space="preserve"> fulica</w:t>
      </w:r>
      <w:r w:rsidRPr="00931490">
        <w:rPr>
          <w:sz w:val="24"/>
          <w:szCs w:val="24"/>
        </w:rPr>
        <w:t xml:space="preserve">. Snails were exposed to two concentrations (5 and 10 ppm) for 48 and 96 hours, and changes in protein, lipid, and carbohydrate levels were </w:t>
      </w:r>
      <w:proofErr w:type="spellStart"/>
      <w:r w:rsidRPr="00931490">
        <w:rPr>
          <w:sz w:val="24"/>
          <w:szCs w:val="24"/>
        </w:rPr>
        <w:t>analyzed</w:t>
      </w:r>
      <w:proofErr w:type="spellEnd"/>
      <w:r w:rsidRPr="00931490">
        <w:rPr>
          <w:sz w:val="24"/>
          <w:szCs w:val="24"/>
        </w:rPr>
        <w:t xml:space="preserve"> in the intestine and foot muscles.</w:t>
      </w:r>
    </w:p>
    <w:p w14:paraId="6D21520E" w14:textId="77777777" w:rsidR="00931490" w:rsidRPr="00931490" w:rsidRDefault="00931490" w:rsidP="00931490">
      <w:pPr>
        <w:ind w:left="90"/>
        <w:rPr>
          <w:sz w:val="24"/>
          <w:szCs w:val="24"/>
        </w:rPr>
      </w:pPr>
      <w:r w:rsidRPr="00931490">
        <w:rPr>
          <w:sz w:val="24"/>
          <w:szCs w:val="24"/>
        </w:rPr>
        <w:t xml:space="preserve">The results showed a significant, concentration- and time-dependent decline in all biochemical components in both tissues. At 10 ppm after 96 hours, protein, lipid, and carbohydrate contents were markedly reduced, with the intestine showing greater sensitivity than the foot muscle. These findings indicate that </w:t>
      </w:r>
      <w:proofErr w:type="spellStart"/>
      <w:r w:rsidRPr="00931490">
        <w:rPr>
          <w:sz w:val="24"/>
          <w:szCs w:val="24"/>
        </w:rPr>
        <w:t>Ag₂O</w:t>
      </w:r>
      <w:proofErr w:type="spellEnd"/>
      <w:r w:rsidRPr="00931490">
        <w:rPr>
          <w:sz w:val="24"/>
          <w:szCs w:val="24"/>
        </w:rPr>
        <w:t xml:space="preserve"> NPs induce metabolic stress, leading to depletion of energy reserves and disruption of biochemical balance, highlighting the potential physiological risks of prolonged nanoparticle exposure.</w:t>
      </w:r>
    </w:p>
    <w:p w14:paraId="3FB2FC09" w14:textId="4CB960F6" w:rsidR="00AF01B8" w:rsidRPr="00A7015F" w:rsidRDefault="00AF01B8" w:rsidP="00F142EC">
      <w:pPr>
        <w:ind w:left="90"/>
        <w:rPr>
          <w:sz w:val="24"/>
          <w:szCs w:val="24"/>
        </w:rPr>
      </w:pPr>
      <w:r w:rsidRPr="00EB7ACB">
        <w:rPr>
          <w:b/>
          <w:bCs/>
          <w:sz w:val="28"/>
          <w:szCs w:val="28"/>
        </w:rPr>
        <w:t xml:space="preserve">Keywords </w:t>
      </w:r>
      <w:r w:rsidRPr="00A7015F">
        <w:rPr>
          <w:sz w:val="24"/>
          <w:szCs w:val="24"/>
        </w:rPr>
        <w:t xml:space="preserve">– Silver oxide </w:t>
      </w:r>
      <w:r w:rsidR="005F2866" w:rsidRPr="00A7015F">
        <w:rPr>
          <w:sz w:val="24"/>
          <w:szCs w:val="24"/>
        </w:rPr>
        <w:t>nanoparticles</w:t>
      </w:r>
      <w:r w:rsidRPr="00A7015F">
        <w:rPr>
          <w:sz w:val="24"/>
          <w:szCs w:val="24"/>
        </w:rPr>
        <w:t xml:space="preserve"> (Ag2o NP), Biochemical analysis, </w:t>
      </w:r>
      <w:proofErr w:type="spellStart"/>
      <w:r w:rsidRPr="00A7015F">
        <w:rPr>
          <w:i/>
          <w:iCs/>
          <w:sz w:val="24"/>
          <w:szCs w:val="24"/>
        </w:rPr>
        <w:t>Lissachatina</w:t>
      </w:r>
      <w:proofErr w:type="spellEnd"/>
      <w:r w:rsidRPr="00A7015F">
        <w:rPr>
          <w:i/>
          <w:iCs/>
          <w:sz w:val="24"/>
          <w:szCs w:val="24"/>
        </w:rPr>
        <w:t xml:space="preserve"> fulica</w:t>
      </w:r>
      <w:r w:rsidRPr="00A7015F">
        <w:rPr>
          <w:sz w:val="24"/>
          <w:szCs w:val="24"/>
        </w:rPr>
        <w:t>, LD-</w:t>
      </w:r>
      <w:r w:rsidR="001F4DAB" w:rsidRPr="00A7015F">
        <w:rPr>
          <w:sz w:val="24"/>
          <w:szCs w:val="24"/>
        </w:rPr>
        <w:t>50, Toxicity</w:t>
      </w:r>
      <w:r w:rsidRPr="00A7015F">
        <w:rPr>
          <w:sz w:val="24"/>
          <w:szCs w:val="24"/>
        </w:rPr>
        <w:t>.</w:t>
      </w:r>
    </w:p>
    <w:p w14:paraId="3F18B6E0" w14:textId="495AEEAC" w:rsidR="00AF01B8" w:rsidRPr="00EB7ACB" w:rsidRDefault="00AF01B8" w:rsidP="00F142EC">
      <w:pPr>
        <w:ind w:left="90"/>
        <w:rPr>
          <w:sz w:val="28"/>
          <w:szCs w:val="28"/>
        </w:rPr>
      </w:pPr>
      <w:r w:rsidRPr="00EB7ACB">
        <w:rPr>
          <w:b/>
          <w:bCs/>
          <w:sz w:val="28"/>
          <w:szCs w:val="28"/>
        </w:rPr>
        <w:t xml:space="preserve">Graphical Abstract </w:t>
      </w:r>
      <w:r w:rsidRPr="00EB7ACB">
        <w:rPr>
          <w:sz w:val="28"/>
          <w:szCs w:val="28"/>
        </w:rPr>
        <w:t>–</w:t>
      </w:r>
    </w:p>
    <w:p w14:paraId="79B6B44C" w14:textId="3A93FF86" w:rsidR="00FB59AD" w:rsidRPr="00A7015F" w:rsidRDefault="00FB59AD" w:rsidP="00F142EC">
      <w:pPr>
        <w:ind w:left="90"/>
        <w:rPr>
          <w:sz w:val="24"/>
          <w:szCs w:val="24"/>
        </w:rPr>
      </w:pPr>
      <w:r w:rsidRPr="00A7015F">
        <w:rPr>
          <w:noProof/>
        </w:rPr>
        <w:lastRenderedPageBreak/>
        <w:drawing>
          <wp:inline distT="0" distB="0" distL="0" distR="0" wp14:anchorId="7B3B4787" wp14:editId="48B3C30B">
            <wp:extent cx="6318546" cy="5087155"/>
            <wp:effectExtent l="0" t="0" r="6350" b="0"/>
            <wp:docPr id="160814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4311" cy="5124001"/>
                    </a:xfrm>
                    <a:prstGeom prst="rect">
                      <a:avLst/>
                    </a:prstGeom>
                    <a:noFill/>
                    <a:ln>
                      <a:noFill/>
                    </a:ln>
                  </pic:spPr>
                </pic:pic>
              </a:graphicData>
            </a:graphic>
          </wp:inline>
        </w:drawing>
      </w:r>
    </w:p>
    <w:p w14:paraId="529BE8C6" w14:textId="0C553C0E" w:rsidR="00FB59AD" w:rsidRPr="00A7015F" w:rsidRDefault="00FB59AD" w:rsidP="00D02611">
      <w:pPr>
        <w:ind w:left="90"/>
        <w:jc w:val="center"/>
        <w:rPr>
          <w:sz w:val="24"/>
          <w:szCs w:val="24"/>
        </w:rPr>
      </w:pPr>
      <w:r w:rsidRPr="00A7015F">
        <w:rPr>
          <w:sz w:val="24"/>
          <w:szCs w:val="24"/>
        </w:rPr>
        <w:t>Graphical Abstract representation Overview of present work.</w:t>
      </w:r>
    </w:p>
    <w:p w14:paraId="63B50A02" w14:textId="77777777" w:rsidR="00B05F65" w:rsidRPr="00A7015F" w:rsidRDefault="00B05F65" w:rsidP="00D02611">
      <w:pPr>
        <w:ind w:left="0"/>
        <w:rPr>
          <w:b/>
          <w:bCs/>
          <w:sz w:val="24"/>
          <w:szCs w:val="24"/>
        </w:rPr>
      </w:pPr>
    </w:p>
    <w:p w14:paraId="2B7729F6" w14:textId="42263153" w:rsidR="00013D55" w:rsidRPr="00EB7ACB" w:rsidRDefault="00AF01B8" w:rsidP="00611528">
      <w:pPr>
        <w:pStyle w:val="ListParagraph"/>
        <w:numPr>
          <w:ilvl w:val="0"/>
          <w:numId w:val="9"/>
        </w:numPr>
        <w:rPr>
          <w:b/>
          <w:bCs/>
          <w:sz w:val="28"/>
          <w:szCs w:val="28"/>
        </w:rPr>
      </w:pPr>
      <w:r w:rsidRPr="00EB7ACB">
        <w:rPr>
          <w:b/>
          <w:bCs/>
          <w:sz w:val="28"/>
          <w:szCs w:val="28"/>
        </w:rPr>
        <w:t>Introduction-</w:t>
      </w:r>
    </w:p>
    <w:p w14:paraId="0919CE07" w14:textId="4A13F452" w:rsidR="00020BCA" w:rsidRPr="007E01B8" w:rsidRDefault="002469DC" w:rsidP="00083B13">
      <w:pPr>
        <w:ind w:left="90" w:firstLine="630"/>
        <w:rPr>
          <w:sz w:val="24"/>
          <w:szCs w:val="24"/>
        </w:rPr>
      </w:pPr>
      <w:r w:rsidRPr="007E01B8">
        <w:rPr>
          <w:sz w:val="24"/>
          <w:szCs w:val="24"/>
        </w:rPr>
        <w:t xml:space="preserve">The family </w:t>
      </w:r>
      <w:proofErr w:type="spellStart"/>
      <w:r w:rsidRPr="007E01B8">
        <w:rPr>
          <w:sz w:val="24"/>
          <w:szCs w:val="24"/>
        </w:rPr>
        <w:t>Achatinidae</w:t>
      </w:r>
      <w:proofErr w:type="spellEnd"/>
      <w:r w:rsidRPr="007E01B8">
        <w:rPr>
          <w:sz w:val="24"/>
          <w:szCs w:val="24"/>
        </w:rPr>
        <w:t xml:space="preserve">, which includes </w:t>
      </w:r>
      <w:proofErr w:type="spellStart"/>
      <w:r w:rsidRPr="00D02611">
        <w:rPr>
          <w:i/>
          <w:iCs/>
          <w:sz w:val="24"/>
          <w:szCs w:val="24"/>
        </w:rPr>
        <w:t>Lissachatina</w:t>
      </w:r>
      <w:proofErr w:type="spellEnd"/>
      <w:r w:rsidRPr="00D02611">
        <w:rPr>
          <w:i/>
          <w:iCs/>
          <w:sz w:val="24"/>
          <w:szCs w:val="24"/>
        </w:rPr>
        <w:t xml:space="preserve"> fulica,</w:t>
      </w:r>
      <w:r w:rsidRPr="007E01B8">
        <w:rPr>
          <w:sz w:val="24"/>
          <w:szCs w:val="24"/>
        </w:rPr>
        <w:t xml:space="preserve"> is represented by approximately 200 species distributed across 13 genera. Several of these species have become serious pests within their native African range, particularly where natural habitats have been altered for human settlement and agricultural activities. Furthermore, their pest status is exacerbated by increased mobility and dispersal associated with human-mediated environmental changes.</w:t>
      </w:r>
      <w:r w:rsidRPr="007E01B8">
        <w:rPr>
          <w:sz w:val="24"/>
          <w:szCs w:val="24"/>
        </w:rPr>
        <w:fldChar w:fldCharType="begin" w:fldLock="1"/>
      </w:r>
      <w:r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Pr="007E01B8">
        <w:rPr>
          <w:sz w:val="24"/>
          <w:szCs w:val="24"/>
        </w:rPr>
        <w:fldChar w:fldCharType="separate"/>
      </w:r>
      <w:r w:rsidRPr="007E01B8">
        <w:rPr>
          <w:noProof/>
          <w:sz w:val="24"/>
          <w:szCs w:val="24"/>
        </w:rPr>
        <w:t>(Raut &amp; Barker, 2002)</w:t>
      </w:r>
      <w:r w:rsidRPr="007E01B8">
        <w:rPr>
          <w:sz w:val="24"/>
          <w:szCs w:val="24"/>
        </w:rPr>
        <w:fldChar w:fldCharType="end"/>
      </w:r>
      <w:r w:rsidRPr="007E01B8">
        <w:t xml:space="preserve"> </w:t>
      </w:r>
      <w:r w:rsidRPr="007E01B8">
        <w:rPr>
          <w:sz w:val="24"/>
          <w:szCs w:val="24"/>
        </w:rPr>
        <w:t>The rapid advancement of nanomaterials across various scientific fields has created a growing need to understand their toxic effects on the development and physiology of non-target organisms, as well as their impact on the environment.</w:t>
      </w:r>
      <w:r w:rsidRPr="007E01B8">
        <w:rPr>
          <w:sz w:val="24"/>
          <w:szCs w:val="24"/>
        </w:rPr>
        <w:fldChar w:fldCharType="begin" w:fldLock="1"/>
      </w:r>
      <w:r w:rsidR="00507D32" w:rsidRPr="007E01B8">
        <w:rPr>
          <w:sz w:val="24"/>
          <w:szCs w:val="24"/>
        </w:rPr>
        <w:instrText>ADDIN CSL_CITATION {"citationItems":[{"id":"ITEM-1","itemData":{"abstract":"The rapid development of nanomaterials in various fields of science results in being in need of understanding their toxic effects on development and physiology of non-target organisms and environment. Increased production and widespread use of these nanomaterials led to their release into the environment; nevertheless, the knowledge of their behaviour in organisms is scarce. Due to their physical and chemical characteristics, nanoparticles could be more toxic for the organisms than ion forms. Besides, they may enhance the enzymatic antioxidant defence systems, DNA damage, membrane permeability, cell death and also lead to genotoxicity and neurotoxicity in the organisms. Nanoparticles are also growing application in the field of pest management of insects. Therefore, it is necessary to evaluate the adverse effects of nanoparticles on insect species. Hence, in this study, it is summarized the current knowledge about the toxic effects of nanoparticles against insects.","author":[{"dropping-particle":"","family":"Tunçsoy","given":"Benay Sezer","non-dropping-particle":"","parse-names":false,"suffix":""}],"container-title":"Artıbilim: Adana Bilim ve Teknoloji Üniversitesi Fen Bilimleri Dergisi,","id":"ITEM-1","issue":"2","issued":{"date-parts":[["2018"]]},"page":"49-61","title":"Toxicity of nanoparticles on insects: A Review","type":"article-journal","volume":"1"},"uris":["http://www.mendeley.com/documents/?uuid=2fda898e-b63e-415a-9365-21dfbd60da0f"]}],"mendeley":{"formattedCitation":"(Tunçsoy, 2018)","plainTextFormattedCitation":"(Tunçsoy, 2018)","previouslyFormattedCitation":"(Tunçsoy, 2018)"},"properties":{"noteIndex":0},"schema":"https://github.com/citation-style-language/schema/raw/master/csl-citation.json"}</w:instrText>
      </w:r>
      <w:r w:rsidRPr="007E01B8">
        <w:rPr>
          <w:sz w:val="24"/>
          <w:szCs w:val="24"/>
        </w:rPr>
        <w:fldChar w:fldCharType="separate"/>
      </w:r>
      <w:r w:rsidRPr="007E01B8">
        <w:rPr>
          <w:noProof/>
          <w:sz w:val="24"/>
          <w:szCs w:val="24"/>
        </w:rPr>
        <w:t>(Tunçsoy, 2018)</w:t>
      </w:r>
      <w:r w:rsidRPr="007E01B8">
        <w:rPr>
          <w:sz w:val="24"/>
          <w:szCs w:val="24"/>
        </w:rPr>
        <w:fldChar w:fldCharType="end"/>
      </w:r>
      <w:r w:rsidRPr="007E01B8">
        <w:rPr>
          <w:sz w:val="24"/>
          <w:szCs w:val="24"/>
        </w:rPr>
        <w:t xml:space="preserve">. </w:t>
      </w:r>
      <w:r w:rsidR="00507D32" w:rsidRPr="007E01B8">
        <w:rPr>
          <w:sz w:val="24"/>
          <w:szCs w:val="24"/>
        </w:rPr>
        <w:t xml:space="preserve">Green nanotechnology approaches have gained wide </w:t>
      </w:r>
      <w:r w:rsidR="00507D32" w:rsidRPr="007E01B8">
        <w:rPr>
          <w:sz w:val="24"/>
          <w:szCs w:val="24"/>
        </w:rPr>
        <w:lastRenderedPageBreak/>
        <w:t>acceptance as environmentally friendly and cost-effective strategies with diverse biomedical applications. Among nanomaterials, metal nanoparticles (NPs) typically range in size from 1 to 100 nm and are available in various shapes and forms. Owing to their nanoscale dimensions, NPs exhibit unique physical and chemical properties that confer remarkable versatility. Consequently, they serve as key components in catalysis, diagnostics, drug delivery systems, semiconductors, sensing technologies, and solid oxide fuel cells. Beyond these applications, metal nanoparticles are also extensively used as antimicrobial agents and have therefore attracted considerable recent attention.</w:t>
      </w:r>
      <w:r w:rsidR="00507D32" w:rsidRPr="007E01B8">
        <w:rPr>
          <w:sz w:val="24"/>
          <w:szCs w:val="24"/>
        </w:rPr>
        <w:fldChar w:fldCharType="begin" w:fldLock="1"/>
      </w:r>
      <w:r w:rsidR="00DB1507" w:rsidRPr="007E01B8">
        <w:rPr>
          <w:sz w:val="24"/>
          <w:szCs w:val="24"/>
        </w:rPr>
        <w:instrText>ADDIN CSL_CITATION {"citationItems":[{"id":"ITEM-1","itemData":{"DOI":"10.1016/j.ijantimicag.2016.11.011","ISSN":"18727913","PMID":"28089172","abstract":"Microbial infectious diseases are a global threat to human health. Excess and improper use of antibiotics has created antimicrobial-resistant microbes that can defy clinical treatment. The hunt for safe and alternate antimicrobial agents is on in order to overcome such resistant micro-organisms, and the birth of nanotechnology offers promise to combat infectious organisms. Over the past two decades, metal oxide nanoparticles (MeO-NPs) have become an attractive alternative source to combat microbes that are highly resistant to various classes of antibiotics. Their vast array of physicochemical properties enables MeO-NPs to act as antimicrobial agents through various mechanisms. Apart from exhibiting antimicrobial properties, MeO-NPs also serve as carriers of drugs, thus barely providing a chance for micro-organisms to develop resistance. These immense multiple properties exhibited by MeO-NPs will have an impact on the treatment of deadly infectious diseases. This review discusses the mechanisms of action of MeO-NPs against micro-organisms, safety concerns, challenges and future perspectives.","author":[{"dropping-particle":"","family":"Raghunath","given":"Azhwar","non-dropping-particle":"","parse-names":false,"suffix":""},{"dropping-particle":"","family":"Perumal","given":"Ekambaram","non-dropping-particle":"","parse-names":false,"suffix":""}],"container-title":"International Journal of Antimicrobial Agents","id":"ITEM-1","issue":"2","issued":{"date-parts":[["2017"]]},"page":"137-152","publisher":"Elsevier B.V.","title":"Metal oxide nanoparticles as antimicrobial agents: a promise for the future","type":"article-journal","volume":"49"},"uris":["http://www.mendeley.com/documents/?uuid=a2537c4e-ea73-42ea-88fc-1b78b34ec7a8"]}],"mendeley":{"formattedCitation":"(Raghunath &amp; Perumal, 2017)","plainTextFormattedCitation":"(Raghunath &amp; Perumal, 2017)","previouslyFormattedCitation":"(Raghunath &amp; Perumal, 2017)"},"properties":{"noteIndex":0},"schema":"https://github.com/citation-style-language/schema/raw/master/csl-citation.json"}</w:instrText>
      </w:r>
      <w:r w:rsidR="00507D32" w:rsidRPr="007E01B8">
        <w:rPr>
          <w:sz w:val="24"/>
          <w:szCs w:val="24"/>
        </w:rPr>
        <w:fldChar w:fldCharType="separate"/>
      </w:r>
      <w:r w:rsidR="00507D32" w:rsidRPr="007E01B8">
        <w:rPr>
          <w:noProof/>
          <w:sz w:val="24"/>
          <w:szCs w:val="24"/>
        </w:rPr>
        <w:t>(Raghunath &amp; Perumal, 2017)</w:t>
      </w:r>
      <w:r w:rsidR="00507D32" w:rsidRPr="007E01B8">
        <w:rPr>
          <w:sz w:val="24"/>
          <w:szCs w:val="24"/>
        </w:rPr>
        <w:fldChar w:fldCharType="end"/>
      </w:r>
      <w:r w:rsidR="00A17394" w:rsidRPr="007E01B8">
        <w:rPr>
          <w:sz w:val="24"/>
          <w:szCs w:val="24"/>
        </w:rPr>
        <w:t xml:space="preserve"> The synthesis of </w:t>
      </w:r>
      <w:proofErr w:type="spellStart"/>
      <w:r w:rsidR="00A17394" w:rsidRPr="007E01B8">
        <w:rPr>
          <w:sz w:val="24"/>
          <w:szCs w:val="24"/>
        </w:rPr>
        <w:t>Ag₂O</w:t>
      </w:r>
      <w:proofErr w:type="spellEnd"/>
      <w:r w:rsidR="00A17394" w:rsidRPr="007E01B8">
        <w:rPr>
          <w:sz w:val="24"/>
          <w:szCs w:val="24"/>
        </w:rPr>
        <w:t xml:space="preserve"> nanoparticles (</w:t>
      </w:r>
      <w:proofErr w:type="spellStart"/>
      <w:r w:rsidR="00A17394" w:rsidRPr="007E01B8">
        <w:rPr>
          <w:sz w:val="24"/>
          <w:szCs w:val="24"/>
        </w:rPr>
        <w:t>Ag₂O</w:t>
      </w:r>
      <w:proofErr w:type="spellEnd"/>
      <w:r w:rsidR="00A17394" w:rsidRPr="007E01B8">
        <w:rPr>
          <w:sz w:val="24"/>
          <w:szCs w:val="24"/>
        </w:rPr>
        <w:t xml:space="preserve"> NPs) is simple and cost-effective. The metal oxide nanoparticles were characterized using UV–visible spectroscopy, thermogravimetric analysis (TGA), Fourier transform infrared spectroscopy (FTIR), powder X-ray diffraction (XRD), X-ray photoelectron spectroscopy (XPS), and scanning electron microscopy (SEM) coupled with energy-dispersive X-ray analysis (EDX). Transmission electron microscopy (TEM), high-resolution TEM (HRTEM), and selected area electron diffraction (SAED) were employed to determine crystalline structure, morphology, particle size, oxidation state, and elemental composition. The </w:t>
      </w:r>
      <w:proofErr w:type="spellStart"/>
      <w:r w:rsidR="00A17394" w:rsidRPr="007E01B8">
        <w:rPr>
          <w:sz w:val="24"/>
          <w:szCs w:val="24"/>
        </w:rPr>
        <w:t>Ag₂O</w:t>
      </w:r>
      <w:proofErr w:type="spellEnd"/>
      <w:r w:rsidR="00A17394" w:rsidRPr="007E01B8">
        <w:rPr>
          <w:sz w:val="24"/>
          <w:szCs w:val="24"/>
        </w:rPr>
        <w:t xml:space="preserve"> nanoparticles exhibited a spherical morphology with particle sizes ranging from 1 to 100 nm. Furthermore, the nanoparticles demonstrated significant photocatalytic performance under visible light, along with enhanced antioxidant activity, confirming their functional efficiency. </w:t>
      </w:r>
      <w:r w:rsidR="00DB1507" w:rsidRPr="007E01B8">
        <w:rPr>
          <w:sz w:val="24"/>
          <w:szCs w:val="24"/>
        </w:rPr>
        <w:fldChar w:fldCharType="begin" w:fldLock="1"/>
      </w:r>
      <w:r w:rsidR="00DB1507"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(Raut &amp; Barker, 2002)</w:t>
      </w:r>
      <w:r w:rsidR="00DB1507" w:rsidRPr="007E01B8">
        <w:rPr>
          <w:sz w:val="24"/>
          <w:szCs w:val="24"/>
        </w:rPr>
        <w:fldChar w:fldCharType="end"/>
      </w:r>
      <w:r w:rsidR="00A17394" w:rsidRPr="007E01B8">
        <w:rPr>
          <w:sz w:val="24"/>
          <w:szCs w:val="24"/>
        </w:rPr>
        <w:t xml:space="preserve">(Masho, T. J &amp; Jida, S. M. 2025). </w:t>
      </w:r>
      <w:r w:rsidR="00BB2F0A" w:rsidRPr="007E01B8">
        <w:rPr>
          <w:sz w:val="24"/>
          <w:szCs w:val="24"/>
        </w:rPr>
        <w:t xml:space="preserve">A. fulica are more influenced by photoperiod than cholesterol metabolism. A negative relation is maintained between the triglycerides content in the haemolymph and the different </w:t>
      </w:r>
      <w:proofErr w:type="spellStart"/>
      <w:r w:rsidR="00BB2F0A" w:rsidRPr="007E01B8">
        <w:rPr>
          <w:sz w:val="24"/>
          <w:szCs w:val="24"/>
        </w:rPr>
        <w:t>photophases</w:t>
      </w:r>
      <w:proofErr w:type="spellEnd"/>
      <w:r w:rsidR="00BB2F0A" w:rsidRPr="007E01B8">
        <w:rPr>
          <w:sz w:val="24"/>
          <w:szCs w:val="24"/>
        </w:rPr>
        <w:t xml:space="preserve">, with lower mobilisation of triglycerides under shorter </w:t>
      </w:r>
      <w:proofErr w:type="spellStart"/>
      <w:r w:rsidR="00BB2F0A" w:rsidRPr="007E01B8">
        <w:rPr>
          <w:sz w:val="24"/>
          <w:szCs w:val="24"/>
        </w:rPr>
        <w:t>photophases</w:t>
      </w:r>
      <w:proofErr w:type="spellEnd"/>
      <w:r w:rsidR="00BB2F0A" w:rsidRPr="007E01B8">
        <w:rPr>
          <w:sz w:val="24"/>
          <w:szCs w:val="24"/>
        </w:rPr>
        <w:t>. (</w:t>
      </w:r>
      <w:proofErr w:type="spellStart"/>
      <w:r w:rsidR="00BB2F0A" w:rsidRPr="007E01B8">
        <w:rPr>
          <w:sz w:val="24"/>
          <w:szCs w:val="24"/>
        </w:rPr>
        <w:t>Ugbaja</w:t>
      </w:r>
      <w:proofErr w:type="spellEnd"/>
      <w:r w:rsidR="00BB2F0A" w:rsidRPr="007E01B8">
        <w:rPr>
          <w:sz w:val="24"/>
          <w:szCs w:val="24"/>
        </w:rPr>
        <w:t>, R. N. et.al 2020).</w:t>
      </w:r>
      <w:r w:rsidR="00763B97" w:rsidRPr="007E01B8">
        <w:t xml:space="preserve"> </w:t>
      </w:r>
      <w:r w:rsidR="00763B97" w:rsidRPr="007E01B8">
        <w:rPr>
          <w:sz w:val="24"/>
          <w:szCs w:val="24"/>
        </w:rPr>
        <w:t xml:space="preserve">Achatina fulica causes three major types of damage to tropical agriculture. First, it leads to substantial losses in agricultural productivity through direct herbivory on crop plants, and this damage may be further aggravated by the transmission of plant pathogens. Second, significant costs are incurred in terms of labour and materials required for effective management of the pest population. Third, the presence of A. fulica forces changes in agricultural practices, such as restricting cultivation to crop species that are resistant to the snail, thereby resulting in the loss of conventional crops and reduced overall production </w:t>
      </w:r>
      <w:r w:rsidR="00DB1507" w:rsidRPr="007E01B8">
        <w:rPr>
          <w:sz w:val="24"/>
          <w:szCs w:val="24"/>
        </w:rPr>
        <w:fldChar w:fldCharType="begin" w:fldLock="1"/>
      </w:r>
      <w:r w:rsidR="00DB1507"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(Raut &amp; Barker, 2002)</w:t>
      </w:r>
      <w:r w:rsidR="00DB1507" w:rsidRPr="007E01B8">
        <w:rPr>
          <w:sz w:val="24"/>
          <w:szCs w:val="24"/>
        </w:rPr>
        <w:fldChar w:fldCharType="end"/>
      </w:r>
      <w:r w:rsidR="00763B97" w:rsidRPr="007E01B8">
        <w:rPr>
          <w:sz w:val="24"/>
          <w:szCs w:val="24"/>
        </w:rPr>
        <w:t>. Unfortunately, the spread of this snail continues, with recent reports of severe infestations and damage in urban areas of Chandrapur district, Maharashtra (</w:t>
      </w:r>
      <w:proofErr w:type="spellStart"/>
      <w:r w:rsidR="00763B97" w:rsidRPr="007E01B8">
        <w:rPr>
          <w:sz w:val="24"/>
          <w:szCs w:val="24"/>
        </w:rPr>
        <w:t>Chatap</w:t>
      </w:r>
      <w:proofErr w:type="spellEnd"/>
      <w:r w:rsidR="00763B97" w:rsidRPr="007E01B8">
        <w:rPr>
          <w:sz w:val="24"/>
          <w:szCs w:val="24"/>
        </w:rPr>
        <w:t xml:space="preserve"> et al., 2020). Moreover, in several Asian, Pacific, and American communities, A. fulica acts as a vector for human parasites and pathogens, transmitting them through slime trails or via the consumption of raw or undercooked infected snails </w:t>
      </w:r>
      <w:r w:rsidR="00DB1507" w:rsidRPr="007E01B8">
        <w:rPr>
          <w:sz w:val="24"/>
          <w:szCs w:val="24"/>
        </w:rPr>
        <w:lastRenderedPageBreak/>
        <w:fldChar w:fldCharType="begin" w:fldLock="1"/>
      </w:r>
      <w:r w:rsidR="00DB1507" w:rsidRPr="007E01B8">
        <w:rPr>
          <w:sz w:val="24"/>
          <w:szCs w:val="24"/>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Sa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w:instrText>
      </w:r>
      <w:r w:rsidR="00DB1507" w:rsidRPr="007E01B8">
        <w:rPr>
          <w:sz w:val="24"/>
          <w:szCs w:val="24"/>
        </w:rPr>
        <w:instrText>.</w:instrText>
      </w:r>
      <w:r w:rsidR="00DB1507" w:rsidRPr="007E01B8">
        <w:rPr>
          <w:sz w:val="24"/>
          <w:szCs w:val="24"/>
          <w:rtl/>
        </w:rPr>
        <w:instrText>خیام</w:instrText>
      </w:r>
      <w:r w:rsidR="00DB1507" w:rsidRPr="007E01B8">
        <w:rPr>
          <w:sz w:val="24"/>
          <w:szCs w:val="24"/>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Do","given":"Younghae","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w:instrText>
      </w:r>
      <w:r w:rsidR="00DB1507" w:rsidRPr="007E01B8">
        <w:rPr>
          <w:rFonts w:eastAsia="MS Gothic"/>
          <w:sz w:val="24"/>
          <w:szCs w:val="24"/>
        </w:rPr>
        <w:instrText>豊田</w:instrText>
      </w:r>
      <w:r w:rsidR="00DB1507" w:rsidRPr="007E01B8">
        <w:rPr>
          <w:sz w:val="24"/>
          <w:szCs w:val="24"/>
        </w:rPr>
        <w:instrText>","given":"</w:instrText>
      </w:r>
      <w:r w:rsidR="00DB1507" w:rsidRPr="007E01B8">
        <w:rPr>
          <w:rFonts w:eastAsia="MS Gothic"/>
          <w:sz w:val="24"/>
          <w:szCs w:val="24"/>
        </w:rPr>
        <w:instrText>健太郎</w:instrText>
      </w:r>
      <w:r w:rsidR="00DB1507" w:rsidRPr="007E01B8">
        <w:rPr>
          <w:sz w:val="24"/>
          <w:szCs w:val="24"/>
        </w:rPr>
        <w:instrText>","non-dropping-particle":"","parse-names":false,"suffix":""},{"dropping-particle":"","family":"</w:instrText>
      </w:r>
      <w:r w:rsidR="00DB1507" w:rsidRPr="007E01B8">
        <w:rPr>
          <w:rFonts w:eastAsia="MS Gothic"/>
          <w:sz w:val="24"/>
          <w:szCs w:val="24"/>
        </w:rPr>
        <w:instrText>笹瀬</w:instrText>
      </w:r>
      <w:r w:rsidR="00DB1507" w:rsidRPr="007E01B8">
        <w:rPr>
          <w:sz w:val="24"/>
          <w:szCs w:val="24"/>
        </w:rPr>
        <w:instrText>","given":"</w:instrText>
      </w:r>
      <w:r w:rsidR="00DB1507" w:rsidRPr="007E01B8">
        <w:rPr>
          <w:rFonts w:eastAsia="MS Gothic"/>
          <w:sz w:val="24"/>
          <w:szCs w:val="24"/>
        </w:rPr>
        <w:instrText>巌</w:instrText>
      </w:r>
      <w:r w:rsidR="00DB1507" w:rsidRPr="007E01B8">
        <w:rPr>
          <w:sz w:val="24"/>
          <w:szCs w:val="24"/>
        </w:rPr>
        <w:instrText>","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sidR="00DB1507" w:rsidRPr="007E01B8">
        <w:rPr>
          <w:rFonts w:eastAsia="Malgun Gothic"/>
          <w:sz w:val="24"/>
          <w:szCs w:val="24"/>
        </w:rPr>
        <w:instrText>시동</w:instrText>
      </w:r>
      <w:r w:rsidR="00DB1507" w:rsidRPr="007E01B8">
        <w:rPr>
          <w:sz w:val="24"/>
          <w:szCs w:val="24"/>
        </w:rPr>
        <w:instrText>","given":"‘</w:instrText>
      </w:r>
      <w:r w:rsidR="00DB1507" w:rsidRPr="007E01B8">
        <w:rPr>
          <w:rFonts w:eastAsia="Malgun Gothic"/>
          <w:sz w:val="24"/>
          <w:szCs w:val="24"/>
        </w:rPr>
        <w:instrText>거대한</w:instrText>
      </w:r>
      <w:r w:rsidR="00DB1507" w:rsidRPr="007E01B8">
        <w:rPr>
          <w:sz w:val="24"/>
          <w:szCs w:val="24"/>
        </w:rPr>
        <w:instrText xml:space="preserve"> </w:instrText>
      </w:r>
      <w:r w:rsidR="00DB1507" w:rsidRPr="007E01B8">
        <w:rPr>
          <w:rFonts w:eastAsia="Malgun Gothic"/>
          <w:sz w:val="24"/>
          <w:szCs w:val="24"/>
        </w:rPr>
        <w:instrText>잠재력</w:instrText>
      </w:r>
      <w:r w:rsidR="00DB1507" w:rsidRPr="007E01B8">
        <w:rPr>
          <w:sz w:val="24"/>
          <w:szCs w:val="24"/>
        </w:rPr>
        <w:instrText xml:space="preserve">’ </w:instrText>
      </w:r>
      <w:r w:rsidR="00DB1507" w:rsidRPr="007E01B8">
        <w:rPr>
          <w:rFonts w:eastAsia="Malgun Gothic"/>
          <w:sz w:val="24"/>
          <w:szCs w:val="24"/>
        </w:rPr>
        <w:instrText>인도</w:instrText>
      </w:r>
      <w:r w:rsidR="00DB1507" w:rsidRPr="007E01B8">
        <w:rPr>
          <w:sz w:val="24"/>
          <w:szCs w:val="24"/>
        </w:rPr>
        <w:instrText>·</w:instrText>
      </w:r>
      <w:r w:rsidR="00DB1507" w:rsidRPr="007E01B8">
        <w:rPr>
          <w:rFonts w:eastAsia="Malgun Gothic"/>
          <w:sz w:val="24"/>
          <w:szCs w:val="24"/>
        </w:rPr>
        <w:instrText>아세안</w:instrText>
      </w:r>
      <w:r w:rsidR="00DB1507" w:rsidRPr="007E01B8">
        <w:rPr>
          <w:sz w:val="24"/>
          <w:szCs w:val="24"/>
        </w:rPr>
        <w:instrText xml:space="preserve"> </w:instrText>
      </w:r>
      <w:r w:rsidR="00DB1507" w:rsidRPr="007E01B8">
        <w:rPr>
          <w:rFonts w:eastAsia="Malgun Gothic"/>
          <w:sz w:val="24"/>
          <w:szCs w:val="24"/>
        </w:rPr>
        <w:instrText>본격</w:instrText>
      </w:r>
      <w:r w:rsidR="00DB1507" w:rsidRPr="007E01B8">
        <w:rPr>
          <w:sz w:val="24"/>
          <w:szCs w:val="24"/>
        </w:rPr>
        <w:instrText xml:space="preserve"> </w:instrText>
      </w:r>
      <w:r w:rsidR="00DB1507" w:rsidRPr="007E01B8">
        <w:rPr>
          <w:rFonts w:eastAsia="Malgun Gothic"/>
          <w:sz w:val="24"/>
          <w:szCs w:val="24"/>
        </w:rPr>
        <w:instrText>공략</w:instrText>
      </w:r>
      <w:r w:rsidR="00DB1507" w:rsidRPr="007E01B8">
        <w:rPr>
          <w:sz w:val="24"/>
          <w:szCs w:val="24"/>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ë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 xml:space="preserve">","non-dropping-particle":"","parse-names":false,"suffix":""},{"dropping-particle":"","family":"Burta","given":"Florina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E.","non-dropping-particle":"","parse-names":false,"suffix":""},{"dropping-particle":"","family":"Hoelz","given":"André","non-dropping-particle":"","parse-names":false,"suffix":""}],"container-title":"Proceedings of the National Academy of Sciences","id":"ITEM-1","issue":"1","issued":{"date-parts":[["2015"]]},"page":"1-15","title":"No </w:instrText>
      </w:r>
      <w:r w:rsidR="00DB1507" w:rsidRPr="007E01B8">
        <w:rPr>
          <w:rFonts w:eastAsia="MS Gothic"/>
          <w:sz w:val="24"/>
          <w:szCs w:val="24"/>
        </w:rPr>
        <w:instrText>主観的健康感を中心とした在宅高齢者における</w:instrText>
      </w:r>
      <w:r w:rsidR="00DB1507" w:rsidRPr="007E01B8">
        <w:rPr>
          <w:sz w:val="24"/>
          <w:szCs w:val="24"/>
        </w:rPr>
        <w:instrText xml:space="preserve"> </w:instrText>
      </w:r>
      <w:r w:rsidR="00DB1507" w:rsidRPr="007E01B8">
        <w:rPr>
          <w:rFonts w:eastAsia="MS Gothic"/>
          <w:sz w:val="24"/>
          <w:szCs w:val="24"/>
        </w:rPr>
        <w:instrText>健康関連指標に関する共分散構造分析</w:instrText>
      </w:r>
      <w:r w:rsidR="00DB1507" w:rsidRPr="007E01B8">
        <w:rPr>
          <w:sz w:val="24"/>
          <w:szCs w:val="24"/>
        </w:rPr>
        <w:instrText>Title","type":"article-journal","volume":"3"},"uris":["http://www.mendeley.com/documents/?uuid=ed411fd7-c0d4-439a-bc92-3afdba783303"]}],"mendeley":{"formattedCitation":"(SaThierbach et al., 2015)","plainTextFormattedCitation":"(SaThierbach et al., 2015)","previouslyFormattedCitation":"(SaThierbach et al., 2015)"},"properties":{"noteIndex":0},"schema":"https://github.com/citation-style-language/schema/raw/master/csl-citation.json"}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(SaThierbach et al., 2015)</w:t>
      </w:r>
      <w:r w:rsidR="00DB1507" w:rsidRPr="007E01B8">
        <w:rPr>
          <w:sz w:val="24"/>
          <w:szCs w:val="24"/>
        </w:rPr>
        <w:fldChar w:fldCharType="end"/>
      </w:r>
      <w:r w:rsidR="00DB1507" w:rsidRPr="007E01B8">
        <w:rPr>
          <w:sz w:val="24"/>
          <w:szCs w:val="24"/>
        </w:rPr>
        <w:t>.</w:t>
      </w:r>
      <w:r w:rsidR="00020BCA" w:rsidRPr="007E01B8">
        <w:rPr>
          <w:sz w:val="24"/>
          <w:szCs w:val="24"/>
        </w:rPr>
        <w:t>The growing application of nanotechnology in various industrial and medical fields has resulted in a steady increase in the release of metal and metal-oxide nanoparticles into natural environments. Silver-based nanomaterials, including silver oxide (</w:t>
      </w:r>
      <w:proofErr w:type="spellStart"/>
      <w:r w:rsidR="00020BCA" w:rsidRPr="007E01B8">
        <w:rPr>
          <w:sz w:val="24"/>
          <w:szCs w:val="24"/>
        </w:rPr>
        <w:t>Ag₂O</w:t>
      </w:r>
      <w:proofErr w:type="spellEnd"/>
      <w:r w:rsidR="00020BCA" w:rsidRPr="007E01B8">
        <w:rPr>
          <w:sz w:val="24"/>
          <w:szCs w:val="24"/>
        </w:rPr>
        <w:t>) nanoparticles, are extensively incorporated into healthcare products, textiles, cosmetics, and antimicrobial formulations because of their strong antimicrobial efficiency. Despite these advantages, their widespread use has raised significant environmental concerns, particularly regarding their toxic effects on non-target organisms. Invertebrates such as molluscs are especially vulnerable, as they play essential roles in nutrient cycling and ecosystem stability.</w:t>
      </w:r>
      <w:r w:rsidR="00515C95">
        <w:rPr>
          <w:sz w:val="24"/>
          <w:szCs w:val="24"/>
        </w:rPr>
        <w:t xml:space="preserve"> </w:t>
      </w:r>
      <w:r w:rsidR="00020BCA" w:rsidRPr="007E01B8">
        <w:rPr>
          <w:sz w:val="24"/>
          <w:szCs w:val="24"/>
        </w:rPr>
        <w:t xml:space="preserve">Snails are commonly employed as biological indicators of environmental pollution due to their limited mobility, strong ability to accumulate contaminants, and high sensitivity to chemical stressors. Numerous studies have shown that exposure to metal nanoparticles can trigger oxidative damage, disrupt metabolic pathways, and cause structural injury in both freshwater and terrestrial snails </w:t>
      </w:r>
      <w:r w:rsidR="00DB1507" w:rsidRPr="007E01B8">
        <w:rPr>
          <w:sz w:val="24"/>
          <w:szCs w:val="24"/>
        </w:rPr>
        <w:fldChar w:fldCharType="begin" w:fldLock="1"/>
      </w:r>
      <w:r w:rsidR="008C0279" w:rsidRPr="007E01B8">
        <w:rPr>
          <w:sz w:val="24"/>
          <w:szCs w:val="24"/>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Sa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w:instrText>
      </w:r>
      <w:r w:rsidR="008C0279" w:rsidRPr="007E01B8">
        <w:rPr>
          <w:sz w:val="24"/>
          <w:szCs w:val="24"/>
        </w:rPr>
        <w:instrText>.</w:instrText>
      </w:r>
      <w:r w:rsidR="008C0279" w:rsidRPr="007E01B8">
        <w:rPr>
          <w:sz w:val="24"/>
          <w:szCs w:val="24"/>
          <w:rtl/>
        </w:rPr>
        <w:instrText>خیام</w:instrText>
      </w:r>
      <w:r w:rsidR="008C0279" w:rsidRPr="007E01B8">
        <w:rPr>
          <w:sz w:val="24"/>
          <w:szCs w:val="24"/>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Do","given":"Younghae","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w:instrText>
      </w:r>
      <w:r w:rsidR="008C0279" w:rsidRPr="007E01B8">
        <w:rPr>
          <w:rFonts w:eastAsia="MS Gothic"/>
          <w:sz w:val="24"/>
          <w:szCs w:val="24"/>
        </w:rPr>
        <w:instrText>豊田</w:instrText>
      </w:r>
      <w:r w:rsidR="008C0279" w:rsidRPr="007E01B8">
        <w:rPr>
          <w:sz w:val="24"/>
          <w:szCs w:val="24"/>
        </w:rPr>
        <w:instrText>","given":"</w:instrText>
      </w:r>
      <w:r w:rsidR="008C0279" w:rsidRPr="007E01B8">
        <w:rPr>
          <w:rFonts w:eastAsia="MS Gothic"/>
          <w:sz w:val="24"/>
          <w:szCs w:val="24"/>
        </w:rPr>
        <w:instrText>健太郎</w:instrText>
      </w:r>
      <w:r w:rsidR="008C0279" w:rsidRPr="007E01B8">
        <w:rPr>
          <w:sz w:val="24"/>
          <w:szCs w:val="24"/>
        </w:rPr>
        <w:instrText>","non-dropping-particle":"","parse-names":false,"suffix":""},{"dropping-particle":"","family":"</w:instrText>
      </w:r>
      <w:r w:rsidR="008C0279" w:rsidRPr="007E01B8">
        <w:rPr>
          <w:rFonts w:eastAsia="MS Gothic"/>
          <w:sz w:val="24"/>
          <w:szCs w:val="24"/>
        </w:rPr>
        <w:instrText>笹瀬</w:instrText>
      </w:r>
      <w:r w:rsidR="008C0279" w:rsidRPr="007E01B8">
        <w:rPr>
          <w:sz w:val="24"/>
          <w:szCs w:val="24"/>
        </w:rPr>
        <w:instrText>","given":"</w:instrText>
      </w:r>
      <w:r w:rsidR="008C0279" w:rsidRPr="007E01B8">
        <w:rPr>
          <w:rFonts w:eastAsia="MS Gothic"/>
          <w:sz w:val="24"/>
          <w:szCs w:val="24"/>
        </w:rPr>
        <w:instrText>巌</w:instrText>
      </w:r>
      <w:r w:rsidR="008C0279" w:rsidRPr="007E01B8">
        <w:rPr>
          <w:sz w:val="24"/>
          <w:szCs w:val="24"/>
        </w:rPr>
        <w:instrText>","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sidR="008C0279" w:rsidRPr="007E01B8">
        <w:rPr>
          <w:rFonts w:eastAsia="Malgun Gothic"/>
          <w:sz w:val="24"/>
          <w:szCs w:val="24"/>
        </w:rPr>
        <w:instrText>시동</w:instrText>
      </w:r>
      <w:r w:rsidR="008C0279" w:rsidRPr="007E01B8">
        <w:rPr>
          <w:sz w:val="24"/>
          <w:szCs w:val="24"/>
        </w:rPr>
        <w:instrText>","given":"‘</w:instrText>
      </w:r>
      <w:r w:rsidR="008C0279" w:rsidRPr="007E01B8">
        <w:rPr>
          <w:rFonts w:eastAsia="Malgun Gothic"/>
          <w:sz w:val="24"/>
          <w:szCs w:val="24"/>
        </w:rPr>
        <w:instrText>거대한</w:instrText>
      </w:r>
      <w:r w:rsidR="008C0279" w:rsidRPr="007E01B8">
        <w:rPr>
          <w:sz w:val="24"/>
          <w:szCs w:val="24"/>
        </w:rPr>
        <w:instrText xml:space="preserve"> </w:instrText>
      </w:r>
      <w:r w:rsidR="008C0279" w:rsidRPr="007E01B8">
        <w:rPr>
          <w:rFonts w:eastAsia="Malgun Gothic"/>
          <w:sz w:val="24"/>
          <w:szCs w:val="24"/>
        </w:rPr>
        <w:instrText>잠재력</w:instrText>
      </w:r>
      <w:r w:rsidR="008C0279" w:rsidRPr="007E01B8">
        <w:rPr>
          <w:sz w:val="24"/>
          <w:szCs w:val="24"/>
        </w:rPr>
        <w:instrText xml:space="preserve">’ </w:instrText>
      </w:r>
      <w:r w:rsidR="008C0279" w:rsidRPr="007E01B8">
        <w:rPr>
          <w:rFonts w:eastAsia="Malgun Gothic"/>
          <w:sz w:val="24"/>
          <w:szCs w:val="24"/>
        </w:rPr>
        <w:instrText>인도</w:instrText>
      </w:r>
      <w:r w:rsidR="008C0279" w:rsidRPr="007E01B8">
        <w:rPr>
          <w:sz w:val="24"/>
          <w:szCs w:val="24"/>
        </w:rPr>
        <w:instrText>·</w:instrText>
      </w:r>
      <w:r w:rsidR="008C0279" w:rsidRPr="007E01B8">
        <w:rPr>
          <w:rFonts w:eastAsia="Malgun Gothic"/>
          <w:sz w:val="24"/>
          <w:szCs w:val="24"/>
        </w:rPr>
        <w:instrText>아세안</w:instrText>
      </w:r>
      <w:r w:rsidR="008C0279" w:rsidRPr="007E01B8">
        <w:rPr>
          <w:sz w:val="24"/>
          <w:szCs w:val="24"/>
        </w:rPr>
        <w:instrText xml:space="preserve"> </w:instrText>
      </w:r>
      <w:r w:rsidR="008C0279" w:rsidRPr="007E01B8">
        <w:rPr>
          <w:rFonts w:eastAsia="Malgun Gothic"/>
          <w:sz w:val="24"/>
          <w:szCs w:val="24"/>
        </w:rPr>
        <w:instrText>본격</w:instrText>
      </w:r>
      <w:r w:rsidR="008C0279" w:rsidRPr="007E01B8">
        <w:rPr>
          <w:sz w:val="24"/>
          <w:szCs w:val="24"/>
        </w:rPr>
        <w:instrText xml:space="preserve"> </w:instrText>
      </w:r>
      <w:r w:rsidR="008C0279" w:rsidRPr="007E01B8">
        <w:rPr>
          <w:rFonts w:eastAsia="Malgun Gothic"/>
          <w:sz w:val="24"/>
          <w:szCs w:val="24"/>
        </w:rPr>
        <w:instrText>공략</w:instrText>
      </w:r>
      <w:r w:rsidR="008C0279" w:rsidRPr="007E01B8">
        <w:rPr>
          <w:sz w:val="24"/>
          <w:szCs w:val="24"/>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ë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 xml:space="preserve">","non-dropping-particle":"","parse-names":false,"suffix":""},{"dropping-particle":"","family":"Burta","given":"Florina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E.","non-dropping-particle":"","parse-names":false,"suffix":""},{"dropping-particle":"","family":"Hoelz","given":"André","non-dropping-particle":"","parse-names":false,"suffix":""}],"container-title":"Proceedings of the National Academy of Sciences","id":"ITEM-1","issue":"1","issued":{"date-parts":[["2015"]]},"page":"1-15","title":"No </w:instrText>
      </w:r>
      <w:r w:rsidR="008C0279" w:rsidRPr="007E01B8">
        <w:rPr>
          <w:rFonts w:eastAsia="MS Gothic"/>
          <w:sz w:val="24"/>
          <w:szCs w:val="24"/>
        </w:rPr>
        <w:instrText>主観的健康感を中心とした在宅高齢者における</w:instrText>
      </w:r>
      <w:r w:rsidR="008C0279" w:rsidRPr="007E01B8">
        <w:rPr>
          <w:sz w:val="24"/>
          <w:szCs w:val="24"/>
        </w:rPr>
        <w:instrText xml:space="preserve"> </w:instrText>
      </w:r>
      <w:r w:rsidR="008C0279" w:rsidRPr="007E01B8">
        <w:rPr>
          <w:rFonts w:eastAsia="MS Gothic"/>
          <w:sz w:val="24"/>
          <w:szCs w:val="24"/>
        </w:rPr>
        <w:instrText>健康関連指標に関する共分散構造分析</w:instrText>
      </w:r>
      <w:r w:rsidR="008C0279" w:rsidRPr="007E01B8">
        <w:rPr>
          <w:sz w:val="24"/>
          <w:szCs w:val="24"/>
        </w:rPr>
        <w:instrText>Title","type":"article-journal","volume":"3"},"uris":["http://www.mendeley.com/documents/?uuid=aec742b7-20d4-4b3a-a2d9-f7e127f9a237"]}],"mendeley":{"formattedCitation":"(SaThierbach et al., 2015)","plainTextFormattedCitation":"(SaThierbach et al., 2015)","previouslyFormattedCitation":"(SaThierbach et al., 2015)"},"properties":{"noteIndex":0},"schema":"https://github.com/citation-style-language/schema/raw/master/csl-citation.json"}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(SaThierbach et al., 2015)</w:t>
      </w:r>
      <w:r w:rsidR="00DB1507" w:rsidRPr="007E01B8">
        <w:rPr>
          <w:sz w:val="24"/>
          <w:szCs w:val="24"/>
        </w:rPr>
        <w:fldChar w:fldCharType="end"/>
      </w:r>
      <w:r w:rsidR="00020BCA" w:rsidRPr="007E01B8">
        <w:rPr>
          <w:sz w:val="24"/>
          <w:szCs w:val="24"/>
        </w:rPr>
        <w:t xml:space="preserve">(Ali et al., 2012; Banaee et al., 2019). Among snail organs, the digestive gland serves as a major </w:t>
      </w:r>
      <w:r w:rsidR="00584A5F" w:rsidRPr="007E01B8">
        <w:rPr>
          <w:sz w:val="24"/>
          <w:szCs w:val="24"/>
        </w:rPr>
        <w:t>centre</w:t>
      </w:r>
      <w:r w:rsidR="00020BCA" w:rsidRPr="007E01B8">
        <w:rPr>
          <w:sz w:val="24"/>
          <w:szCs w:val="24"/>
        </w:rPr>
        <w:t xml:space="preserve"> for detoxification and storage of harmful substances, making it particularly prone to damage from nanoparticle accumulation and heavy-metal </w:t>
      </w:r>
      <w:proofErr w:type="spellStart"/>
      <w:r w:rsidR="00020BCA" w:rsidRPr="007E01B8">
        <w:rPr>
          <w:sz w:val="24"/>
          <w:szCs w:val="24"/>
        </w:rPr>
        <w:t>exposure.One</w:t>
      </w:r>
      <w:proofErr w:type="spellEnd"/>
      <w:r w:rsidR="00020BCA" w:rsidRPr="007E01B8">
        <w:rPr>
          <w:sz w:val="24"/>
          <w:szCs w:val="24"/>
        </w:rPr>
        <w:t xml:space="preserve"> of the major mechanisms underlying nanoparticle toxicity is the generation of reactive oxygen species (ROS), which can initiate lipid peroxidation, modify proteins, and interfere with carbohydrate metabolism. Experimental studies indicate that metal-based nanoparticles significantly influence biochemical components such as total proteins, lipids, glucose, and glycogen—parameters that reflect the physiological and metabolic condition of molluscs. Disruption of these constituents suggests altered energy utilization and heightened cellular stress, which may ultimately impair growth, reproductive performance, and survival.</w:t>
      </w:r>
    </w:p>
    <w:p w14:paraId="5C302325" w14:textId="628B1BCF" w:rsidR="00020BCA" w:rsidRPr="007E01B8" w:rsidRDefault="00020BCA" w:rsidP="00515C95">
      <w:pPr>
        <w:ind w:left="0" w:firstLine="720"/>
        <w:rPr>
          <w:sz w:val="24"/>
          <w:szCs w:val="24"/>
        </w:rPr>
      </w:pPr>
      <w:r w:rsidRPr="007E01B8">
        <w:rPr>
          <w:sz w:val="24"/>
          <w:szCs w:val="24"/>
        </w:rPr>
        <w:t xml:space="preserve">Investigations involving freshwater snails including </w:t>
      </w:r>
      <w:proofErr w:type="spellStart"/>
      <w:r w:rsidRPr="007E01B8">
        <w:rPr>
          <w:i/>
          <w:iCs/>
          <w:sz w:val="24"/>
          <w:szCs w:val="24"/>
        </w:rPr>
        <w:t>Lymnaea</w:t>
      </w:r>
      <w:proofErr w:type="spellEnd"/>
      <w:r w:rsidRPr="007E01B8">
        <w:rPr>
          <w:i/>
          <w:iCs/>
          <w:sz w:val="24"/>
          <w:szCs w:val="24"/>
        </w:rPr>
        <w:t xml:space="preserve"> </w:t>
      </w:r>
      <w:proofErr w:type="spellStart"/>
      <w:r w:rsidRPr="007E01B8">
        <w:rPr>
          <w:i/>
          <w:iCs/>
          <w:sz w:val="24"/>
          <w:szCs w:val="24"/>
        </w:rPr>
        <w:t>luteola</w:t>
      </w:r>
      <w:proofErr w:type="spellEnd"/>
      <w:r w:rsidRPr="007E01B8">
        <w:rPr>
          <w:sz w:val="24"/>
          <w:szCs w:val="24"/>
        </w:rPr>
        <w:t xml:space="preserve">, </w:t>
      </w:r>
      <w:proofErr w:type="spellStart"/>
      <w:r w:rsidRPr="007E01B8">
        <w:rPr>
          <w:i/>
          <w:iCs/>
          <w:sz w:val="24"/>
          <w:szCs w:val="24"/>
        </w:rPr>
        <w:t>Helisoma</w:t>
      </w:r>
      <w:proofErr w:type="spellEnd"/>
      <w:r w:rsidRPr="007E01B8">
        <w:rPr>
          <w:i/>
          <w:iCs/>
          <w:sz w:val="24"/>
          <w:szCs w:val="24"/>
        </w:rPr>
        <w:t xml:space="preserve"> </w:t>
      </w:r>
      <w:proofErr w:type="spellStart"/>
      <w:r w:rsidRPr="007E01B8">
        <w:rPr>
          <w:i/>
          <w:iCs/>
          <w:sz w:val="24"/>
          <w:szCs w:val="24"/>
        </w:rPr>
        <w:t>duryi</w:t>
      </w:r>
      <w:proofErr w:type="spellEnd"/>
      <w:r w:rsidRPr="007E01B8">
        <w:rPr>
          <w:sz w:val="24"/>
          <w:szCs w:val="24"/>
        </w:rPr>
        <w:t xml:space="preserve">, and </w:t>
      </w:r>
      <w:r w:rsidRPr="007E01B8">
        <w:rPr>
          <w:i/>
          <w:iCs/>
          <w:sz w:val="24"/>
          <w:szCs w:val="24"/>
        </w:rPr>
        <w:t xml:space="preserve">Galba </w:t>
      </w:r>
      <w:proofErr w:type="spellStart"/>
      <w:r w:rsidRPr="007E01B8">
        <w:rPr>
          <w:i/>
          <w:iCs/>
          <w:sz w:val="24"/>
          <w:szCs w:val="24"/>
        </w:rPr>
        <w:t>truncatula</w:t>
      </w:r>
      <w:proofErr w:type="spellEnd"/>
      <w:r w:rsidRPr="007E01B8">
        <w:rPr>
          <w:sz w:val="24"/>
          <w:szCs w:val="24"/>
        </w:rPr>
        <w:t xml:space="preserve"> have documented notable reductions in antioxidant enzymes such as superoxide dismutase, glutathione-S-transferase, and catalase, along with depletion of glycogen reserves and increased lipid peroxidation following exposure to metal oxides and pesticides These biochemical changes emphasize the usefulness of metabolic and enzymatic markers as sensitive tools for evaluating nanoparticle-induced stress in </w:t>
      </w:r>
      <w:proofErr w:type="spellStart"/>
      <w:r w:rsidRPr="007E01B8">
        <w:rPr>
          <w:sz w:val="24"/>
          <w:szCs w:val="24"/>
        </w:rPr>
        <w:t>gastropods.Although</w:t>
      </w:r>
      <w:proofErr w:type="spellEnd"/>
      <w:r w:rsidRPr="007E01B8">
        <w:rPr>
          <w:sz w:val="24"/>
          <w:szCs w:val="24"/>
        </w:rPr>
        <w:t xml:space="preserve"> extensive research has addressed the toxicological effects of zinc oxide and cadmium nanoparticles on snails, comparatively little attention has been given to the organ-specific biochemical consequences of silver oxide </w:t>
      </w:r>
      <w:proofErr w:type="spellStart"/>
      <w:r w:rsidRPr="007E01B8">
        <w:rPr>
          <w:sz w:val="24"/>
          <w:szCs w:val="24"/>
        </w:rPr>
        <w:t>Ag₂O</w:t>
      </w:r>
      <w:proofErr w:type="spellEnd"/>
      <w:r w:rsidR="00D02611">
        <w:rPr>
          <w:sz w:val="24"/>
          <w:szCs w:val="24"/>
        </w:rPr>
        <w:t xml:space="preserve"> NPs</w:t>
      </w:r>
      <w:r w:rsidRPr="007E01B8">
        <w:rPr>
          <w:sz w:val="24"/>
          <w:szCs w:val="24"/>
        </w:rPr>
        <w:t xml:space="preserve">. Gaining insight into how </w:t>
      </w:r>
      <w:proofErr w:type="spellStart"/>
      <w:r w:rsidRPr="007E01B8">
        <w:rPr>
          <w:sz w:val="24"/>
          <w:szCs w:val="24"/>
        </w:rPr>
        <w:t>Ag₂O</w:t>
      </w:r>
      <w:proofErr w:type="spellEnd"/>
      <w:r w:rsidR="00D02611">
        <w:rPr>
          <w:sz w:val="24"/>
          <w:szCs w:val="24"/>
        </w:rPr>
        <w:t xml:space="preserve"> NPs</w:t>
      </w:r>
      <w:r w:rsidRPr="007E01B8">
        <w:rPr>
          <w:sz w:val="24"/>
          <w:szCs w:val="24"/>
        </w:rPr>
        <w:t xml:space="preserve"> influences protein, lipid, glucose, and glycogen levels in tissues such as the digestive gland, </w:t>
      </w:r>
      <w:r w:rsidRPr="007E01B8">
        <w:rPr>
          <w:sz w:val="24"/>
          <w:szCs w:val="24"/>
        </w:rPr>
        <w:lastRenderedPageBreak/>
        <w:t xml:space="preserve">gonads, foot muscle, and </w:t>
      </w:r>
      <w:r w:rsidR="00D02611" w:rsidRPr="007E01B8">
        <w:rPr>
          <w:sz w:val="24"/>
          <w:szCs w:val="24"/>
        </w:rPr>
        <w:t>haemolymph</w:t>
      </w:r>
      <w:r w:rsidRPr="007E01B8">
        <w:rPr>
          <w:sz w:val="24"/>
          <w:szCs w:val="24"/>
        </w:rPr>
        <w:t xml:space="preserve"> is crucial for understanding its mechanism of toxicity and potential long-term ecological implications.</w:t>
      </w:r>
    </w:p>
    <w:p w14:paraId="0C8670B6" w14:textId="4C2A057A" w:rsidR="00020BCA" w:rsidRPr="007E01B8" w:rsidRDefault="00020BCA" w:rsidP="00515C95">
      <w:pPr>
        <w:ind w:left="90" w:firstLine="630"/>
        <w:rPr>
          <w:sz w:val="24"/>
          <w:szCs w:val="24"/>
        </w:rPr>
      </w:pPr>
      <w:r w:rsidRPr="007E01B8">
        <w:rPr>
          <w:sz w:val="24"/>
          <w:szCs w:val="24"/>
        </w:rPr>
        <w:t xml:space="preserve">In this context, the present study seeks to conduct a comparative biochemical evaluation of </w:t>
      </w:r>
      <w:proofErr w:type="spellStart"/>
      <w:r w:rsidRPr="007E01B8">
        <w:rPr>
          <w:sz w:val="24"/>
          <w:szCs w:val="24"/>
        </w:rPr>
        <w:t>Ag₂O</w:t>
      </w:r>
      <w:proofErr w:type="spellEnd"/>
      <w:r w:rsidRPr="007E01B8">
        <w:rPr>
          <w:sz w:val="24"/>
          <w:szCs w:val="24"/>
        </w:rPr>
        <w:t xml:space="preserve"> nanoparticle exposure across different snail organs, with special emphasis on key metabolic constituents. The findings are expected to enhance current knowledge on nanoparticle-induced metabolic disturbances in molluscs and reinforce the application of biochemical biomarkers in environmental risk assessment of emerging </w:t>
      </w:r>
      <w:r w:rsidR="00D02611" w:rsidRPr="007E01B8">
        <w:rPr>
          <w:sz w:val="24"/>
          <w:szCs w:val="24"/>
        </w:rPr>
        <w:t>nanomaterials. Based</w:t>
      </w:r>
      <w:r w:rsidRPr="007E01B8">
        <w:rPr>
          <w:sz w:val="24"/>
          <w:szCs w:val="24"/>
        </w:rPr>
        <w:t xml:space="preserve"> on the provided documents, the following introduction summarizes the critical data regarding the use of gastropods as bioindicators and the biochemical impacts of environmental stressors.</w:t>
      </w:r>
    </w:p>
    <w:p w14:paraId="39BB5C92" w14:textId="783CDB31" w:rsidR="005F464D" w:rsidRPr="00A7015F" w:rsidRDefault="00020BCA" w:rsidP="00515C95">
      <w:pPr>
        <w:ind w:left="90"/>
        <w:rPr>
          <w:sz w:val="24"/>
          <w:szCs w:val="24"/>
        </w:rPr>
      </w:pPr>
      <w:r w:rsidRPr="00A7015F">
        <w:rPr>
          <w:sz w:val="24"/>
          <w:szCs w:val="24"/>
        </w:rPr>
        <w:t xml:space="preserve">Gastropods, including freshwater species like </w:t>
      </w:r>
      <w:proofErr w:type="spellStart"/>
      <w:r w:rsidRPr="00A7015F">
        <w:rPr>
          <w:i/>
          <w:iCs/>
          <w:sz w:val="24"/>
          <w:szCs w:val="24"/>
        </w:rPr>
        <w:t>Biomphalaria</w:t>
      </w:r>
      <w:proofErr w:type="spellEnd"/>
      <w:r w:rsidRPr="00A7015F">
        <w:rPr>
          <w:i/>
          <w:iCs/>
          <w:sz w:val="24"/>
          <w:szCs w:val="24"/>
        </w:rPr>
        <w:t xml:space="preserve"> </w:t>
      </w:r>
      <w:proofErr w:type="spellStart"/>
      <w:r w:rsidRPr="00A7015F">
        <w:rPr>
          <w:i/>
          <w:iCs/>
          <w:sz w:val="24"/>
          <w:szCs w:val="24"/>
        </w:rPr>
        <w:t>alexandrina</w:t>
      </w:r>
      <w:proofErr w:type="spellEnd"/>
      <w:r w:rsidRPr="00A7015F">
        <w:rPr>
          <w:sz w:val="24"/>
          <w:szCs w:val="24"/>
        </w:rPr>
        <w:t xml:space="preserve"> and terrestrial species such as </w:t>
      </w:r>
      <w:r w:rsidRPr="00A7015F">
        <w:rPr>
          <w:i/>
          <w:iCs/>
          <w:sz w:val="24"/>
          <w:szCs w:val="24"/>
        </w:rPr>
        <w:t xml:space="preserve">Cornu </w:t>
      </w:r>
      <w:proofErr w:type="spellStart"/>
      <w:r w:rsidRPr="00A7015F">
        <w:rPr>
          <w:i/>
          <w:iCs/>
          <w:sz w:val="24"/>
          <w:szCs w:val="24"/>
        </w:rPr>
        <w:t>aspersum</w:t>
      </w:r>
      <w:proofErr w:type="spellEnd"/>
      <w:r w:rsidRPr="00A7015F">
        <w:rPr>
          <w:sz w:val="24"/>
          <w:szCs w:val="24"/>
        </w:rPr>
        <w:t xml:space="preserve"> and </w:t>
      </w:r>
      <w:r w:rsidRPr="00A7015F">
        <w:rPr>
          <w:i/>
          <w:iCs/>
          <w:sz w:val="24"/>
          <w:szCs w:val="24"/>
        </w:rPr>
        <w:t xml:space="preserve">Helix </w:t>
      </w:r>
      <w:proofErr w:type="spellStart"/>
      <w:r w:rsidRPr="00A7015F">
        <w:rPr>
          <w:i/>
          <w:iCs/>
          <w:sz w:val="24"/>
          <w:szCs w:val="24"/>
        </w:rPr>
        <w:t>aspersa</w:t>
      </w:r>
      <w:proofErr w:type="spellEnd"/>
      <w:r w:rsidRPr="00A7015F">
        <w:rPr>
          <w:sz w:val="24"/>
          <w:szCs w:val="24"/>
        </w:rPr>
        <w:t xml:space="preserve">, are increasingly recognized as sensitive biomarkers for monitoring environmental health (Fahmy et al., 2014; </w:t>
      </w:r>
      <w:proofErr w:type="spellStart"/>
      <w:r w:rsidRPr="00A7015F">
        <w:rPr>
          <w:sz w:val="24"/>
          <w:szCs w:val="24"/>
        </w:rPr>
        <w:t>Feidantsis</w:t>
      </w:r>
      <w:proofErr w:type="spellEnd"/>
      <w:r w:rsidRPr="00A7015F">
        <w:rPr>
          <w:sz w:val="24"/>
          <w:szCs w:val="24"/>
        </w:rPr>
        <w:t xml:space="preserve"> et al., 2020). Due to their direct interaction with soil and water, these organisms provide essential data on the ecotoxicological risks posed by emerging pollutants, such as nanoparticles and modern pesticides </w:t>
      </w:r>
      <w:r w:rsidR="008C0279" w:rsidRPr="00A7015F">
        <w:rPr>
          <w:sz w:val="24"/>
          <w:szCs w:val="24"/>
        </w:rPr>
        <w:fldChar w:fldCharType="begin" w:fldLock="1"/>
      </w:r>
      <w:r w:rsidR="008C0279" w:rsidRPr="00A7015F">
        <w:rPr>
          <w:sz w:val="24"/>
          <w:szCs w:val="24"/>
        </w:rPr>
        <w:instrText>ADDIN CSL_CITATION {"citationItems":[{"id":"ITEM-1","itemData":{"DOI":"10.1016/j.cbpc.2018.02.001","ISSN":"1532-0456","author":[{"dropping-particle":"","family":"Sidiropoulou","given":"Eirini","non-dropping-particle":"","parse-names":false,"suffix":""},{"dropping-particle":"","family":"Feidantsis","given":"Konstantinos","non-dropping-particle":"","parse-names":false,"suffix":""},{"dropping-particle":"","family":"Kalogiannis","given":"Stavros","non-dropping-particle":"","parse-names":false,"suffix":""},{"dropping-particle":"","family":"Gallios","given":"George P","non-dropping-particle":"","parse-names":false,"suffix":""},{"dropping-particle":"","family":"Kastrinaki","given":"Georgia","non-dropping-particle":"","parse-names":false,"suffix":""},{"dropping-particle":"","family":"Papaioannou","given":"Eleni","non-dropping-particle":"","parse-names":false,"suffix":""},{"dropping-particle":"","family":"Václavíková","given":"Miroslava","non-dropping-particle":"","parse-names":false,"suffix":""},{"dropping-particle":"","family":"Kaloyianni","given":"Martha","non-dropping-particle":"","parse-names":false,"suffix":""}],"container-title":"Comparative Biochemistry and Physiology, Part C","id":"ITEM-1","issue":"February","issued":{"date-parts":[["2018"]]},"page":"1-10","publisher":"Elsevier","title":"Comparative Biochemistry and Physiology , Part C Insights into the toxicity of iron oxides nanoparticles in land snails","type":"article-journal","volume":"206-207"},"uris":["http://www.mendeley.com/documents/?uuid=8d970aa3-ccf9-4032-bba6-0f5177ab838d"]}],"mendeley":{"formattedCitation":"(Sidiropoulou et al., 2018)","plainTextFormattedCitation":"(Sidiropoulou et al., 2018)","previouslyFormattedCitation":"(Sidiropoulou et al., 2018)"},"properties":{"noteIndex":0},"schema":"https://github.com/citation-style-language/schema/raw/master/csl-citation.json"}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(Sidiropoulou et al., 2018)</w:t>
      </w:r>
      <w:r w:rsidR="008C0279" w:rsidRPr="00A7015F">
        <w:rPr>
          <w:sz w:val="24"/>
          <w:szCs w:val="24"/>
        </w:rPr>
        <w:fldChar w:fldCharType="end"/>
      </w:r>
      <w:r w:rsidR="008C0279" w:rsidRPr="00A7015F">
        <w:rPr>
          <w:sz w:val="24"/>
          <w:szCs w:val="24"/>
        </w:rPr>
        <w:fldChar w:fldCharType="begin" w:fldLock="1"/>
      </w:r>
      <w:r w:rsidR="008C0279" w:rsidRPr="00A7015F">
        <w:rPr>
          <w:sz w:val="24"/>
          <w:szCs w:val="24"/>
        </w:rPr>
        <w:instrText>ADDIN CSL_CITATION {"citationItems":[{"id":"ITEM-1","itemData":{"DOI":"10.1016/j.ecoenv.2013.05.019","ISSN":"0147-6513","author":[{"dropping-particle":"","family":"Radwan","given":"M A","non-dropping-particle":"","parse-names":false,"suffix":""},{"dropping-particle":"","family":"Mohamed","given":"M S","non-dropping-particle":"","parse-names":false,"suffix":""}],"container-title":"Ecotoxicology and Environmental Safety","id":"ITEM-1","issued":{"date-parts":[["2013"]]},"page":"91-97","publisher":"Elsevier","title":"Ecotoxicology and Environmental Safety Imidacloprid induced alterations in enzyme activities and energy reserves of the land snail , Helix aspersa","type":"article-journal","volume":"95"},"uris":["http://www.mendeley.com/documents/?uuid=6d773a92-74c2-4cbf-be72-4038261cfe34"]}],"mendeley":{"formattedCitation":"(Radwan &amp; Mohamed, 2013)","plainTextFormattedCitation":"(Radwan &amp; Mohamed, 2013)","previouslyFormattedCitation":"(Radwan &amp; Mohamed, 2013)"},"properties":{"noteIndex":0},"schema":"https://github.com/citation-style-language/schema/raw/master/csl-citation.json"}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(Radwan &amp; Mohamed, 2013)</w:t>
      </w:r>
      <w:r w:rsidR="008C0279" w:rsidRPr="00A7015F">
        <w:rPr>
          <w:sz w:val="24"/>
          <w:szCs w:val="24"/>
        </w:rPr>
        <w:fldChar w:fldCharType="end"/>
      </w:r>
      <w:r w:rsidR="008C0279" w:rsidRPr="00A7015F">
        <w:rPr>
          <w:sz w:val="24"/>
          <w:szCs w:val="24"/>
        </w:rPr>
        <w:t>.</w:t>
      </w:r>
      <w:r w:rsidR="00515C95">
        <w:rPr>
          <w:sz w:val="24"/>
          <w:szCs w:val="24"/>
        </w:rPr>
        <w:t xml:space="preserve"> </w:t>
      </w:r>
      <w:r w:rsidRPr="00A7015F">
        <w:rPr>
          <w:sz w:val="24"/>
          <w:szCs w:val="24"/>
        </w:rPr>
        <w:t>One of the most significant threats to these ecosystems is the proliferation of manufactured nanoparticles (NPs). Research indicates that zinc oxide (</w:t>
      </w:r>
      <w:proofErr w:type="spellStart"/>
      <w:r w:rsidRPr="00A7015F">
        <w:rPr>
          <w:sz w:val="24"/>
          <w:szCs w:val="24"/>
        </w:rPr>
        <w:t>ZnO</w:t>
      </w:r>
      <w:proofErr w:type="spellEnd"/>
      <w:r w:rsidRPr="00A7015F">
        <w:rPr>
          <w:sz w:val="24"/>
          <w:szCs w:val="24"/>
        </w:rPr>
        <w:t>) and copper oxide (</w:t>
      </w:r>
      <w:proofErr w:type="spellStart"/>
      <w:r w:rsidRPr="00A7015F">
        <w:rPr>
          <w:sz w:val="24"/>
          <w:szCs w:val="24"/>
        </w:rPr>
        <w:t>CuO</w:t>
      </w:r>
      <w:proofErr w:type="spellEnd"/>
      <w:r w:rsidRPr="00A7015F">
        <w:rPr>
          <w:sz w:val="24"/>
          <w:szCs w:val="24"/>
        </w:rPr>
        <w:t xml:space="preserve">) nanoparticles induce severe oxidative stress in snails, characterized by the elevation of malondialdehyde and nitric oxide, alongside a depletion of antioxidant </w:t>
      </w:r>
      <w:proofErr w:type="spellStart"/>
      <w:r w:rsidRPr="00A7015F">
        <w:rPr>
          <w:sz w:val="24"/>
          <w:szCs w:val="24"/>
        </w:rPr>
        <w:t>defenses</w:t>
      </w:r>
      <w:proofErr w:type="spellEnd"/>
      <w:r w:rsidRPr="00A7015F">
        <w:rPr>
          <w:sz w:val="24"/>
          <w:szCs w:val="24"/>
        </w:rPr>
        <w:t xml:space="preserve"> like glutathione (GSH) and glutathione-S-transferase (GST) (Fahmy et al., 2014; </w:t>
      </w:r>
      <w:proofErr w:type="spellStart"/>
      <w:r w:rsidRPr="00A7015F">
        <w:rPr>
          <w:sz w:val="24"/>
          <w:szCs w:val="24"/>
        </w:rPr>
        <w:t>Feidantsis</w:t>
      </w:r>
      <w:proofErr w:type="spellEnd"/>
      <w:r w:rsidRPr="00A7015F">
        <w:rPr>
          <w:sz w:val="24"/>
          <w:szCs w:val="24"/>
        </w:rPr>
        <w:t xml:space="preserve"> et al., 2020). Specifically, </w:t>
      </w:r>
      <w:proofErr w:type="spellStart"/>
      <w:r w:rsidRPr="00A7015F">
        <w:rPr>
          <w:sz w:val="24"/>
          <w:szCs w:val="24"/>
        </w:rPr>
        <w:t>ZnO</w:t>
      </w:r>
      <w:proofErr w:type="spellEnd"/>
      <w:r w:rsidRPr="00A7015F">
        <w:rPr>
          <w:sz w:val="24"/>
          <w:szCs w:val="24"/>
        </w:rPr>
        <w:t xml:space="preserve"> NPs have been shown to possess potent </w:t>
      </w:r>
      <w:proofErr w:type="spellStart"/>
      <w:r w:rsidRPr="00A7015F">
        <w:rPr>
          <w:sz w:val="24"/>
          <w:szCs w:val="24"/>
        </w:rPr>
        <w:t>molluscicidal</w:t>
      </w:r>
      <w:proofErr w:type="spellEnd"/>
      <w:r w:rsidRPr="00A7015F">
        <w:rPr>
          <w:sz w:val="24"/>
          <w:szCs w:val="24"/>
        </w:rPr>
        <w:t xml:space="preserve"> activity, significantly altering protein and albumin levels in </w:t>
      </w:r>
      <w:r w:rsidRPr="00A7015F">
        <w:rPr>
          <w:i/>
          <w:iCs/>
          <w:sz w:val="24"/>
          <w:szCs w:val="24"/>
        </w:rPr>
        <w:t xml:space="preserve">B. </w:t>
      </w:r>
      <w:proofErr w:type="spellStart"/>
      <w:r w:rsidRPr="00A7015F">
        <w:rPr>
          <w:i/>
          <w:iCs/>
          <w:sz w:val="24"/>
          <w:szCs w:val="24"/>
        </w:rPr>
        <w:t>alexandrina</w:t>
      </w:r>
      <w:proofErr w:type="spellEnd"/>
      <w:r w:rsidRPr="00A7015F">
        <w:rPr>
          <w:sz w:val="24"/>
          <w:szCs w:val="24"/>
        </w:rPr>
        <w:t xml:space="preserve"> (Fahmy et al., 2014). Similarly, iron oxide nanoparticles (IONPs) trigger lysosomal membrane destabilization and protein carbonylation in </w:t>
      </w:r>
      <w:r w:rsidRPr="00A7015F">
        <w:rPr>
          <w:i/>
          <w:iCs/>
          <w:sz w:val="24"/>
          <w:szCs w:val="24"/>
        </w:rPr>
        <w:t xml:space="preserve">H. </w:t>
      </w:r>
      <w:proofErr w:type="spellStart"/>
      <w:r w:rsidRPr="00A7015F">
        <w:rPr>
          <w:i/>
          <w:iCs/>
          <w:sz w:val="24"/>
          <w:szCs w:val="24"/>
        </w:rPr>
        <w:t>aspersa</w:t>
      </w:r>
      <w:proofErr w:type="spellEnd"/>
      <w:r w:rsidRPr="00A7015F">
        <w:rPr>
          <w:sz w:val="24"/>
          <w:szCs w:val="24"/>
        </w:rPr>
        <w:t xml:space="preserve">, highlighting their potential for cellular damage </w:t>
      </w:r>
      <w:r w:rsidR="008C0279" w:rsidRPr="00A7015F">
        <w:rPr>
          <w:sz w:val="24"/>
          <w:szCs w:val="24"/>
        </w:rPr>
        <w:fldChar w:fldCharType="begin" w:fldLock="1"/>
      </w:r>
      <w:r w:rsidR="008C0279" w:rsidRPr="00A7015F">
        <w:rPr>
          <w:sz w:val="24"/>
          <w:szCs w:val="24"/>
        </w:rPr>
        <w:instrText>ADDIN CSL_CITATION {"citationItems":[{"id":"ITEM-1","itemData":{"DOI":"10.1016/j.cbpc.2018.02.001","ISSN":"1532-0456","author":[{"dropping-particle":"","family":"Sidiropoulou","given":"Eirini","non-dropping-particle":"","parse-names":false,"suffix":""},{"dropping-particle":"","family":"Feidantsis","given":"Konstantinos","non-dropping-particle":"","parse-names":false,"suffix":""},{"dropping-particle":"","family":"Kalogiannis","given":"Stavros","non-dropping-particle":"","parse-names":false,"suffix":""},{"dropping-particle":"","family":"Gallios","given":"George P","non-dropping-particle":"","parse-names":false,"suffix":""},{"dropping-particle":"","family":"Kastrinaki","given":"Georgia","non-dropping-particle":"","parse-names":false,"suffix":""},{"dropping-particle":"","family":"Papaioannou","given":"Eleni","non-dropping-particle":"","parse-names":false,"suffix":""},{"dropping-particle":"","family":"Václavíková","given":"Miroslava","non-dropping-particle":"","parse-names":false,"suffix":""},{"dropping-particle":"","family":"Kaloyianni","given":"Martha","non-dropping-particle":"","parse-names":false,"suffix":""}],"container-title":"Comparative Biochemistry and Physiology, Part C","id":"ITEM-1","issue":"February","issued":{"date-parts":[["2018"]]},"page":"1-10","publisher":"Elsevier","title":"Comparative Biochemistry and Physiology , Part C Insights into the toxicity of iron oxides nanoparticles in land snails","type":"article-journal","volume":"206-207"},"uris":["http://www.mendeley.com/documents/?uuid=8d970aa3-ccf9-4032-bba6-0f5177ab838d"]}],"mendeley":{"formattedCitation":"(Sidiropoulou et al., 2018)","plainTextFormattedCitation":"(Sidiropoulou et al., 2018)","previouslyFormattedCitation":"(Sidiropoulou et al., 2018)"},"properties":{"noteIndex":0},"schema":"https://github.com/citation-style-language/schema/raw/master/csl-citation.json"}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(Sidiropoulou et al., 2018)</w:t>
      </w:r>
      <w:r w:rsidR="008C0279" w:rsidRPr="00A7015F">
        <w:rPr>
          <w:sz w:val="24"/>
          <w:szCs w:val="24"/>
        </w:rPr>
        <w:fldChar w:fldCharType="end"/>
      </w:r>
      <w:r w:rsidR="00515C95">
        <w:rPr>
          <w:sz w:val="24"/>
          <w:szCs w:val="24"/>
        </w:rPr>
        <w:t xml:space="preserve"> </w:t>
      </w:r>
      <w:r w:rsidRPr="00A7015F">
        <w:rPr>
          <w:sz w:val="24"/>
          <w:szCs w:val="24"/>
        </w:rPr>
        <w:t>Beyond metallic pollutants, chemical insecticides and plant-based molluscicides also disrupt gastropod physiology. The neonicotinoid imidacloprid has been found to inhibit acetylcholinesterase (</w:t>
      </w:r>
      <w:proofErr w:type="spellStart"/>
      <w:r w:rsidRPr="00A7015F">
        <w:rPr>
          <w:sz w:val="24"/>
          <w:szCs w:val="24"/>
        </w:rPr>
        <w:t>AChE</w:t>
      </w:r>
      <w:proofErr w:type="spellEnd"/>
      <w:r w:rsidRPr="00A7015F">
        <w:rPr>
          <w:sz w:val="24"/>
          <w:szCs w:val="24"/>
        </w:rPr>
        <w:t xml:space="preserve">) activity and exhaust energy reserves, such as glycogen and lipids, in </w:t>
      </w:r>
      <w:r w:rsidRPr="00A7015F">
        <w:rPr>
          <w:i/>
          <w:iCs/>
          <w:sz w:val="24"/>
          <w:szCs w:val="24"/>
        </w:rPr>
        <w:t xml:space="preserve">H. </w:t>
      </w:r>
      <w:proofErr w:type="spellStart"/>
      <w:r w:rsidRPr="00A7015F">
        <w:rPr>
          <w:i/>
          <w:iCs/>
          <w:sz w:val="24"/>
          <w:szCs w:val="24"/>
        </w:rPr>
        <w:t>aspersa</w:t>
      </w:r>
      <w:proofErr w:type="spellEnd"/>
      <w:r w:rsidRPr="00A7015F">
        <w:rPr>
          <w:sz w:val="24"/>
          <w:szCs w:val="24"/>
        </w:rPr>
        <w:t xml:space="preserve"> (Radwan &amp; Mohamed, 2013). Furthermore, natural alternatives like </w:t>
      </w:r>
      <w:r w:rsidRPr="00A7015F">
        <w:rPr>
          <w:i/>
          <w:iCs/>
          <w:sz w:val="24"/>
          <w:szCs w:val="24"/>
        </w:rPr>
        <w:t>Datura stramonium</w:t>
      </w:r>
      <w:r w:rsidRPr="00A7015F">
        <w:rPr>
          <w:sz w:val="24"/>
          <w:szCs w:val="24"/>
        </w:rPr>
        <w:t xml:space="preserve"> and </w:t>
      </w:r>
      <w:r w:rsidRPr="00A7015F">
        <w:rPr>
          <w:i/>
          <w:iCs/>
          <w:sz w:val="24"/>
          <w:szCs w:val="24"/>
        </w:rPr>
        <w:t xml:space="preserve">Sesbania </w:t>
      </w:r>
      <w:proofErr w:type="spellStart"/>
      <w:r w:rsidRPr="00A7015F">
        <w:rPr>
          <w:i/>
          <w:iCs/>
          <w:sz w:val="24"/>
          <w:szCs w:val="24"/>
        </w:rPr>
        <w:t>sesban</w:t>
      </w:r>
      <w:proofErr w:type="spellEnd"/>
      <w:r w:rsidRPr="00A7015F">
        <w:rPr>
          <w:sz w:val="24"/>
          <w:szCs w:val="24"/>
        </w:rPr>
        <w:t xml:space="preserve"> suspensions significantly reduce the fecundity and reproduction rates of </w:t>
      </w:r>
      <w:r w:rsidRPr="00A7015F">
        <w:rPr>
          <w:i/>
          <w:iCs/>
          <w:sz w:val="24"/>
          <w:szCs w:val="24"/>
        </w:rPr>
        <w:t xml:space="preserve">B. </w:t>
      </w:r>
      <w:proofErr w:type="spellStart"/>
      <w:r w:rsidRPr="00A7015F">
        <w:rPr>
          <w:i/>
          <w:iCs/>
          <w:sz w:val="24"/>
          <w:szCs w:val="24"/>
        </w:rPr>
        <w:t>alexandrina</w:t>
      </w:r>
      <w:proofErr w:type="spellEnd"/>
      <w:r w:rsidRPr="00A7015F">
        <w:rPr>
          <w:sz w:val="24"/>
          <w:szCs w:val="24"/>
        </w:rPr>
        <w:t xml:space="preserve">, while also impacting the transmission of parasites like </w:t>
      </w:r>
      <w:r w:rsidRPr="00A7015F">
        <w:rPr>
          <w:i/>
          <w:iCs/>
          <w:sz w:val="24"/>
          <w:szCs w:val="24"/>
        </w:rPr>
        <w:t>Schistosoma mansoni</w:t>
      </w:r>
      <w:r w:rsidRPr="00A7015F">
        <w:rPr>
          <w:sz w:val="24"/>
          <w:szCs w:val="24"/>
        </w:rPr>
        <w:t xml:space="preserve"> </w:t>
      </w:r>
      <w:r w:rsidR="008C0279" w:rsidRPr="00A7015F">
        <w:rPr>
          <w:sz w:val="24"/>
          <w:szCs w:val="24"/>
        </w:rPr>
        <w:fldChar w:fldCharType="begin" w:fldLock="1"/>
      </w:r>
      <w:r w:rsidR="008C0279" w:rsidRPr="00A7015F">
        <w:rPr>
          <w:sz w:val="24"/>
          <w:szCs w:val="24"/>
        </w:rPr>
        <w:instrText>ADDIN CSL_CITATION {"citationItems":[{"id":"ITEM-1","itemData":{"author":[{"dropping-particle":"","family":"Refai M","given":"Hoda","non-dropping-particle":"","parse-names":false,"suffix":""},{"dropping-particle":"","family":"El- Safty M","given":"Sherif","non-dropping-particle":"","parse-names":false,"suffix":""},{"dropping-particle":"","family":"Abd El-Aziz","given":"Mohammed","non-dropping-particle":"","parse-names":false,"suffix":""},{"dropping-particle":"","family":"Ghuniem M","given":"Mahmoud","non-dropping-particle":"","parse-names":false,"suffix":""}],"id":"ITEM-1","issue":"May 2019","issued":{"date-parts":[["2020"]]},"page":"339-345","title":"Egyptian Journal of Plant Protection Research Institute Volume 3: No.(4), December, 2020","type":"article-journal","volume":"3"},"uris":["http://www.mendeley.com/documents/?uuid=0389d44d-a490-4b30-a5c3-501ba097e551"]}],"mendeley":{"formattedCitation":"(Refai M, El- Safty M, Abd El-Aziz, &amp; Ghuniem M, 2020)","plainTextFormattedCitation":"(Refai M, El- Safty M, Abd El-Aziz, &amp; Ghuniem M, 2020)","previouslyFormattedCitation":"(Refai M, El- Safty M, Abd El-Aziz, &amp; Ghuniem M, 2020)"},"properties":{"noteIndex":0},"schema":"https://github.com/citation-style-language/schema/raw/master/csl-citation.json"}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(Refai M, El- Safty M, Abd El-Aziz, &amp; Ghuniem M, 2020)</w:t>
      </w:r>
      <w:r w:rsidR="008C0279" w:rsidRPr="00A7015F">
        <w:rPr>
          <w:sz w:val="24"/>
          <w:szCs w:val="24"/>
        </w:rPr>
        <w:fldChar w:fldCharType="end"/>
      </w:r>
      <w:r w:rsidR="008C0279" w:rsidRPr="00A7015F">
        <w:rPr>
          <w:sz w:val="24"/>
          <w:szCs w:val="24"/>
        </w:rPr>
        <w:t>.</w:t>
      </w:r>
      <w:r w:rsidRPr="00A7015F">
        <w:rPr>
          <w:sz w:val="24"/>
          <w:szCs w:val="24"/>
        </w:rPr>
        <w:t xml:space="preserve">Finally, the biochemical profile of gastropods is heavily influenced by parasitic infections. For instance, </w:t>
      </w:r>
      <w:r w:rsidRPr="00A7015F">
        <w:rPr>
          <w:sz w:val="24"/>
          <w:szCs w:val="24"/>
        </w:rPr>
        <w:lastRenderedPageBreak/>
        <w:t xml:space="preserve">in </w:t>
      </w:r>
      <w:r w:rsidRPr="00A7015F">
        <w:rPr>
          <w:i/>
          <w:iCs/>
          <w:sz w:val="24"/>
          <w:szCs w:val="24"/>
        </w:rPr>
        <w:t>Achatina fulica</w:t>
      </w:r>
      <w:r w:rsidRPr="00A7015F">
        <w:rPr>
          <w:sz w:val="24"/>
          <w:szCs w:val="24"/>
        </w:rPr>
        <w:t xml:space="preserve">, a high parasitic load of </w:t>
      </w:r>
      <w:proofErr w:type="spellStart"/>
      <w:r w:rsidRPr="00A7015F">
        <w:rPr>
          <w:i/>
          <w:iCs/>
          <w:sz w:val="24"/>
          <w:szCs w:val="24"/>
        </w:rPr>
        <w:t>Angiostrongylus</w:t>
      </w:r>
      <w:proofErr w:type="spellEnd"/>
      <w:r w:rsidRPr="00A7015F">
        <w:rPr>
          <w:i/>
          <w:iCs/>
          <w:sz w:val="24"/>
          <w:szCs w:val="24"/>
        </w:rPr>
        <w:t xml:space="preserve"> </w:t>
      </w:r>
      <w:proofErr w:type="spellStart"/>
      <w:r w:rsidRPr="00A7015F">
        <w:rPr>
          <w:i/>
          <w:iCs/>
          <w:sz w:val="24"/>
          <w:szCs w:val="24"/>
        </w:rPr>
        <w:t>cantonensis</w:t>
      </w:r>
      <w:proofErr w:type="spellEnd"/>
      <w:r w:rsidRPr="00A7015F">
        <w:rPr>
          <w:sz w:val="24"/>
          <w:szCs w:val="24"/>
        </w:rPr>
        <w:t xml:space="preserve"> leads to a marked decrease in total protein concentration and an increase in nitrogenous waste products like urea and uric acid </w:t>
      </w:r>
      <w:r w:rsidR="008C0279" w:rsidRPr="00A7015F">
        <w:rPr>
          <w:sz w:val="24"/>
          <w:szCs w:val="24"/>
        </w:rPr>
        <w:fldChar w:fldCharType="begin" w:fldLock="1"/>
      </w:r>
      <w:r w:rsidR="000964B9" w:rsidRPr="00A7015F">
        <w:rPr>
          <w:sz w:val="24"/>
          <w:szCs w:val="24"/>
        </w:rPr>
        <w:instrText>ADDIN CSL_CITATION {"citationItems":[{"id":"ITEM-1","itemData":{"DOI":"10.1016/j.jip.2014.10.001","ISSN":"10960805","PMID":"25308279","abstract":"The effect of experimental infection by different parasitic loads of Angiostrongylus cantonensis (Nematode, Metastrongylidae) on the activities of the aminotransferases and concentration of total proteins, uric acid and urea in the hemolymph of Achatina fulica (Mollusca, Gastropoda) were investigated. There was a significant decrease in the concentration of total proteins in the exposed snails to 5000 or more larvae. This change was accompanied by an increase in the concentrations of urea and uric acid in the hemolymph, suggesting a higher rate of deamination of the amino acids. Besides this, variations in the activities of the aminotransferases were also observed, with the highest values recorded in the groups exposed to greater parasite load. These results suggest an increase in the use of total proteins, since there was increased formation of nitrogenous catabolites, in conformity with an increase in the aminotransferase activities. Infection was verified by the fact that L3 larvae recovered from the snails was proportion to the exposure dose of L1 larvae. Histopathological results also indicated presence of an inflammatory cell infiltrate, favoring an increase of both transaminases.","author":[{"dropping-particle":"","family":"Tunholi-Alves","given":"Vinícius Menezes","non-dropping-particle":"","parse-names":false,"suffix":""},{"dropping-particle":"","family":"Tunholi","given":"Victor Menezes","non-dropping-particle":"","parse-names":false,"suffix":""},{"dropping-particle":"","family":"Amaral","given":"Ludimila Santos","non-dropping-particle":"","parse-names":false,"suffix":""},{"dropping-particle":"","family":"Mota","given":"Esther Maria","non-dropping-particle":"","parse-names":false,"suffix":""},{"dropping-particle":"","family":"Júnior","given":"Arnaldo Maldonado","non-dropping-particle":"","parse-names":false,"suffix":""},{"dropping-particle":"","family":"Pinheiro","given":"Jairo","non-dropping-particle":"","parse-names":false,"suffix":""},{"dropping-particle":"","family":"Garcia","given":"Juberlan","non-dropping-particle":"","parse-names":false,"suffix":""}],"container-title":"Journal of Invertebrate Pathology","id":"ITEM-1","issue":"October 2014","issued":{"date-parts":[["2015"]]},"page":"1-5","title":"Biochemical profile of Achatina fulica (Mollusca: Gastropoda) after infection by different parasitic loads of Angiostrongylus cantonensis (Nematoda, Metastrongylidae)","type":"article-journal","volume":"124"},"uris":["http://www.mendeley.com/documents/?uuid=f3bd5fa1-15a0-4987-99a4-ef157c162976"]}],"mendeley":{"formattedCitation":"(Tunholi-Alves et al., 2015)","plainTextFormattedCitation":"(Tunholi-Alves et al., 2015)","previouslyFormattedCitation":"(Tunholi-Alves et al., 2015)"},"properties":{"noteIndex":0},"schema":"https://github.com/citation-style-language/schema/raw/master/csl-citation.json"}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(Tunholi-Alves et al., 2015)</w:t>
      </w:r>
      <w:r w:rsidR="008C0279" w:rsidRPr="00A7015F">
        <w:rPr>
          <w:sz w:val="24"/>
          <w:szCs w:val="24"/>
        </w:rPr>
        <w:fldChar w:fldCharType="end"/>
      </w:r>
      <w:r w:rsidRPr="00A7015F">
        <w:rPr>
          <w:sz w:val="24"/>
          <w:szCs w:val="24"/>
        </w:rPr>
        <w:t>. Together, these studies underscore the utility of gastropods in assessing the multi-faceted impacts of chemical, physical, and biological stressors on the environment.</w:t>
      </w:r>
    </w:p>
    <w:p w14:paraId="25AA3EA2" w14:textId="352A7AF2" w:rsidR="001F4DAB" w:rsidRPr="00EB7ACB" w:rsidRDefault="001F4DAB" w:rsidP="00611528">
      <w:pPr>
        <w:pStyle w:val="ListParagraph"/>
        <w:numPr>
          <w:ilvl w:val="0"/>
          <w:numId w:val="9"/>
        </w:numPr>
        <w:rPr>
          <w:b/>
          <w:bCs/>
          <w:sz w:val="28"/>
          <w:szCs w:val="28"/>
        </w:rPr>
      </w:pPr>
      <w:r w:rsidRPr="00EB7ACB">
        <w:rPr>
          <w:b/>
          <w:bCs/>
          <w:sz w:val="28"/>
          <w:szCs w:val="28"/>
        </w:rPr>
        <w:t>Materials and Methods:</w:t>
      </w:r>
    </w:p>
    <w:p w14:paraId="7A4CD80C" w14:textId="16E22316" w:rsidR="005F464D" w:rsidRPr="00A7015F" w:rsidRDefault="00611528" w:rsidP="00611528">
      <w:pPr>
        <w:rPr>
          <w:b/>
          <w:bCs/>
          <w:sz w:val="24"/>
          <w:szCs w:val="24"/>
        </w:rPr>
      </w:pPr>
      <w:r>
        <w:rPr>
          <w:b/>
          <w:bCs/>
          <w:sz w:val="24"/>
          <w:szCs w:val="24"/>
        </w:rPr>
        <w:t xml:space="preserve">2.1 </w:t>
      </w:r>
      <w:r w:rsidR="007F32E2" w:rsidRPr="00A7015F">
        <w:rPr>
          <w:b/>
          <w:bCs/>
          <w:sz w:val="24"/>
          <w:szCs w:val="24"/>
        </w:rPr>
        <w:t xml:space="preserve">Materials- </w:t>
      </w:r>
    </w:p>
    <w:p w14:paraId="2C09BEB7" w14:textId="388F867E" w:rsidR="007F32E2" w:rsidRPr="00A7015F" w:rsidRDefault="007F32E2" w:rsidP="00F142EC">
      <w:pPr>
        <w:ind w:left="90"/>
        <w:rPr>
          <w:sz w:val="24"/>
          <w:szCs w:val="24"/>
        </w:rPr>
      </w:pPr>
      <w:r w:rsidRPr="00A7015F">
        <w:rPr>
          <w:sz w:val="24"/>
          <w:szCs w:val="24"/>
        </w:rPr>
        <w:t>All chemicals and reagents used in this study were of analytical grade and used without further purification. Silver Oxide NPs (Ag2O, 99%)</w:t>
      </w:r>
      <w:r w:rsidR="005F464D" w:rsidRPr="00A7015F">
        <w:rPr>
          <w:sz w:val="24"/>
          <w:szCs w:val="24"/>
        </w:rPr>
        <w:t xml:space="preserve">, </w:t>
      </w:r>
      <w:r w:rsidR="00BE3AB3" w:rsidRPr="00A7015F">
        <w:rPr>
          <w:sz w:val="24"/>
          <w:szCs w:val="24"/>
        </w:rPr>
        <w:t>H2SO4</w:t>
      </w:r>
      <w:r w:rsidR="005F464D" w:rsidRPr="00A7015F">
        <w:rPr>
          <w:sz w:val="24"/>
          <w:szCs w:val="24"/>
        </w:rPr>
        <w:t xml:space="preserve">, </w:t>
      </w:r>
      <w:r w:rsidR="00BE3AB3" w:rsidRPr="00A7015F">
        <w:rPr>
          <w:sz w:val="24"/>
          <w:szCs w:val="24"/>
        </w:rPr>
        <w:t>K2SO4:CuSO4 (1:1 ratio) NH4OH (Ammonium hydroxide), NH3 (Ammonia gas) 30 ml of 4% boric acid solution, HCL solution, acetanilide or tryptophan</w:t>
      </w:r>
      <w:r w:rsidR="00170732" w:rsidRPr="00A7015F">
        <w:rPr>
          <w:sz w:val="24"/>
          <w:szCs w:val="24"/>
        </w:rPr>
        <w:t xml:space="preserve"> </w:t>
      </w:r>
      <w:proofErr w:type="spellStart"/>
      <w:r w:rsidR="00170732" w:rsidRPr="00A7015F">
        <w:rPr>
          <w:sz w:val="24"/>
          <w:szCs w:val="24"/>
        </w:rPr>
        <w:t>Anthrone</w:t>
      </w:r>
      <w:proofErr w:type="spellEnd"/>
      <w:r w:rsidR="00170732" w:rsidRPr="00A7015F">
        <w:rPr>
          <w:sz w:val="24"/>
          <w:szCs w:val="24"/>
        </w:rPr>
        <w:t xml:space="preserve"> </w:t>
      </w:r>
      <w:r w:rsidR="00EF6123" w:rsidRPr="00A7015F">
        <w:rPr>
          <w:sz w:val="24"/>
          <w:szCs w:val="24"/>
        </w:rPr>
        <w:t>reagent, was</w:t>
      </w:r>
      <w:r w:rsidRPr="00A7015F">
        <w:rPr>
          <w:sz w:val="24"/>
          <w:szCs w:val="24"/>
        </w:rPr>
        <w:t xml:space="preserve"> purchased from Sigma-Aldrich.</w:t>
      </w:r>
    </w:p>
    <w:p w14:paraId="1EAD9E9A" w14:textId="4E224B3A" w:rsidR="0001077B" w:rsidRPr="00EB7ACB" w:rsidRDefault="0001077B" w:rsidP="00611528">
      <w:pPr>
        <w:pStyle w:val="ListParagraph"/>
        <w:numPr>
          <w:ilvl w:val="1"/>
          <w:numId w:val="9"/>
        </w:numPr>
        <w:rPr>
          <w:b/>
          <w:bCs/>
          <w:sz w:val="28"/>
          <w:szCs w:val="28"/>
        </w:rPr>
      </w:pPr>
      <w:r w:rsidRPr="00EB7ACB">
        <w:rPr>
          <w:b/>
          <w:bCs/>
          <w:sz w:val="28"/>
          <w:szCs w:val="28"/>
        </w:rPr>
        <w:t>Experimental Procedure-</w:t>
      </w:r>
    </w:p>
    <w:p w14:paraId="665914D2" w14:textId="3CD3A456" w:rsidR="00962CB4" w:rsidRPr="00A7015F" w:rsidRDefault="00611528" w:rsidP="00F142EC">
      <w:pPr>
        <w:ind w:left="90"/>
        <w:rPr>
          <w:b/>
          <w:bCs/>
          <w:sz w:val="24"/>
          <w:szCs w:val="24"/>
        </w:rPr>
      </w:pPr>
      <w:r>
        <w:rPr>
          <w:b/>
          <w:bCs/>
          <w:sz w:val="24"/>
          <w:szCs w:val="24"/>
        </w:rPr>
        <w:t>2.2.1</w:t>
      </w:r>
      <w:r>
        <w:rPr>
          <w:b/>
          <w:bCs/>
          <w:sz w:val="24"/>
          <w:szCs w:val="24"/>
        </w:rPr>
        <w:tab/>
      </w:r>
      <w:r w:rsidR="00962CB4" w:rsidRPr="00A7015F">
        <w:rPr>
          <w:b/>
          <w:bCs/>
          <w:sz w:val="24"/>
          <w:szCs w:val="24"/>
        </w:rPr>
        <w:t>Collection and identification of snail</w:t>
      </w:r>
      <w:r w:rsidR="0001077B" w:rsidRPr="00A7015F">
        <w:rPr>
          <w:b/>
          <w:bCs/>
          <w:sz w:val="24"/>
          <w:szCs w:val="24"/>
        </w:rPr>
        <w:t xml:space="preserve"> </w:t>
      </w:r>
      <w:proofErr w:type="spellStart"/>
      <w:r w:rsidR="0001077B" w:rsidRPr="00A7015F">
        <w:rPr>
          <w:b/>
          <w:bCs/>
          <w:i/>
          <w:iCs/>
          <w:sz w:val="24"/>
          <w:szCs w:val="24"/>
        </w:rPr>
        <w:t>Lissachatina</w:t>
      </w:r>
      <w:proofErr w:type="spellEnd"/>
      <w:r w:rsidR="0001077B" w:rsidRPr="00A7015F">
        <w:rPr>
          <w:b/>
          <w:bCs/>
          <w:i/>
          <w:iCs/>
          <w:sz w:val="24"/>
          <w:szCs w:val="24"/>
        </w:rPr>
        <w:t xml:space="preserve"> fulica</w:t>
      </w:r>
      <w:r w:rsidR="0001077B" w:rsidRPr="00A7015F">
        <w:rPr>
          <w:b/>
          <w:bCs/>
          <w:sz w:val="24"/>
          <w:szCs w:val="24"/>
        </w:rPr>
        <w:t>-</w:t>
      </w:r>
    </w:p>
    <w:p w14:paraId="04DFB0A4" w14:textId="77777777" w:rsidR="008676A9" w:rsidRPr="00A7015F" w:rsidRDefault="008676A9" w:rsidP="00F142EC">
      <w:pPr>
        <w:numPr>
          <w:ilvl w:val="1"/>
          <w:numId w:val="3"/>
        </w:numPr>
        <w:ind w:left="90"/>
        <w:rPr>
          <w:b/>
          <w:bCs/>
          <w:sz w:val="24"/>
          <w:szCs w:val="24"/>
        </w:rPr>
      </w:pPr>
      <w:r w:rsidRPr="00A7015F">
        <w:rPr>
          <w:sz w:val="24"/>
          <w:szCs w:val="24"/>
        </w:rPr>
        <w:t xml:space="preserve">Adult specimens of </w:t>
      </w:r>
      <w:proofErr w:type="spellStart"/>
      <w:r w:rsidRPr="00A7015F">
        <w:rPr>
          <w:sz w:val="24"/>
          <w:szCs w:val="24"/>
        </w:rPr>
        <w:t>Lissachatina</w:t>
      </w:r>
      <w:proofErr w:type="spellEnd"/>
      <w:r w:rsidRPr="00A7015F">
        <w:rPr>
          <w:sz w:val="24"/>
          <w:szCs w:val="24"/>
        </w:rPr>
        <w:t xml:space="preserve"> fulica (giant African snail) were collected from a local garden in the early morning at approximately 7:00 a.m. to minimize stress and desiccation. The specimens were taxonomically identified and authenticated by the Zoological Survey of India (ZSI). Following identification, the snails were transferred into clean plastic containers with adequate aeration and acclimatized under laboratory conditions prior to conducting toxicity assays.</w:t>
      </w:r>
    </w:p>
    <w:p w14:paraId="540E4DCC" w14:textId="757BCF65" w:rsidR="0001077B" w:rsidRPr="00A7015F" w:rsidRDefault="00611528" w:rsidP="00F142EC">
      <w:pPr>
        <w:numPr>
          <w:ilvl w:val="1"/>
          <w:numId w:val="3"/>
        </w:numPr>
        <w:ind w:left="90"/>
        <w:rPr>
          <w:b/>
          <w:bCs/>
          <w:sz w:val="24"/>
          <w:szCs w:val="24"/>
        </w:rPr>
      </w:pPr>
      <w:r>
        <w:rPr>
          <w:b/>
          <w:bCs/>
          <w:sz w:val="24"/>
          <w:szCs w:val="24"/>
        </w:rPr>
        <w:t xml:space="preserve">2.2.2. </w:t>
      </w:r>
      <w:r w:rsidR="008676A9" w:rsidRPr="00A7015F">
        <w:rPr>
          <w:b/>
          <w:bCs/>
          <w:sz w:val="24"/>
          <w:szCs w:val="24"/>
        </w:rPr>
        <w:t>Maintenance</w:t>
      </w:r>
      <w:r w:rsidR="0001077B" w:rsidRPr="00A7015F">
        <w:rPr>
          <w:b/>
          <w:bCs/>
          <w:sz w:val="24"/>
          <w:szCs w:val="24"/>
        </w:rPr>
        <w:t xml:space="preserve"> of </w:t>
      </w:r>
      <w:proofErr w:type="spellStart"/>
      <w:r w:rsidR="0001077B" w:rsidRPr="00A7015F">
        <w:rPr>
          <w:b/>
          <w:bCs/>
          <w:i/>
          <w:iCs/>
          <w:sz w:val="24"/>
          <w:szCs w:val="24"/>
        </w:rPr>
        <w:t>Lissachatina</w:t>
      </w:r>
      <w:proofErr w:type="spellEnd"/>
      <w:r w:rsidR="0001077B" w:rsidRPr="00A7015F">
        <w:rPr>
          <w:b/>
          <w:bCs/>
          <w:i/>
          <w:iCs/>
          <w:sz w:val="24"/>
          <w:szCs w:val="24"/>
        </w:rPr>
        <w:t xml:space="preserve"> fulica</w:t>
      </w:r>
      <w:r w:rsidR="0001077B" w:rsidRPr="00A7015F">
        <w:rPr>
          <w:b/>
          <w:bCs/>
          <w:sz w:val="24"/>
          <w:szCs w:val="24"/>
        </w:rPr>
        <w:t xml:space="preserve"> at laboratory condition-</w:t>
      </w:r>
    </w:p>
    <w:p w14:paraId="24A9D58E" w14:textId="329688E3" w:rsidR="008676A9" w:rsidRPr="00A7015F" w:rsidRDefault="008676A9" w:rsidP="00F142EC">
      <w:pPr>
        <w:numPr>
          <w:ilvl w:val="1"/>
          <w:numId w:val="3"/>
        </w:numPr>
        <w:ind w:left="90"/>
        <w:rPr>
          <w:b/>
          <w:bCs/>
          <w:sz w:val="24"/>
          <w:szCs w:val="24"/>
        </w:rPr>
      </w:pPr>
      <w:proofErr w:type="spellStart"/>
      <w:r w:rsidRPr="00A7015F">
        <w:rPr>
          <w:i/>
          <w:iCs/>
          <w:sz w:val="24"/>
          <w:szCs w:val="24"/>
        </w:rPr>
        <w:t>Lissachatina</w:t>
      </w:r>
      <w:proofErr w:type="spellEnd"/>
      <w:r w:rsidRPr="00A7015F">
        <w:rPr>
          <w:i/>
          <w:iCs/>
          <w:sz w:val="24"/>
          <w:szCs w:val="24"/>
        </w:rPr>
        <w:t xml:space="preserve"> fulica</w:t>
      </w:r>
      <w:r w:rsidRPr="00A7015F">
        <w:rPr>
          <w:sz w:val="24"/>
          <w:szCs w:val="24"/>
        </w:rPr>
        <w:t xml:space="preserve"> specimens were maintained in clean plastic containers under laboratory conditions. The containers were provided with a moist soil substrate to simulate natural habitat conditions. The snails were fed fresh plant material daily, and the soil moisture was maintained by periodic sprinkling of distilled water. The containers were cleaned regularly to prevent microbial contamination.</w:t>
      </w:r>
    </w:p>
    <w:p w14:paraId="282DCC74" w14:textId="77777777" w:rsidR="000D0C04" w:rsidRPr="00A7015F" w:rsidRDefault="000D0C04" w:rsidP="00F142EC">
      <w:pPr>
        <w:pStyle w:val="Default"/>
        <w:numPr>
          <w:ilvl w:val="0"/>
          <w:numId w:val="3"/>
        </w:numPr>
        <w:spacing w:line="360" w:lineRule="auto"/>
        <w:ind w:left="90"/>
        <w:jc w:val="both"/>
      </w:pPr>
    </w:p>
    <w:p w14:paraId="000933F2" w14:textId="4CBE1748" w:rsidR="000D0C04" w:rsidRPr="00A7015F" w:rsidRDefault="00611528" w:rsidP="00F142EC">
      <w:pPr>
        <w:pStyle w:val="Default"/>
        <w:numPr>
          <w:ilvl w:val="4"/>
          <w:numId w:val="3"/>
        </w:numPr>
        <w:spacing w:line="360" w:lineRule="auto"/>
        <w:ind w:left="90"/>
        <w:jc w:val="both"/>
      </w:pPr>
      <w:r>
        <w:rPr>
          <w:b/>
          <w:bCs/>
        </w:rPr>
        <w:t xml:space="preserve">2.2.3. </w:t>
      </w:r>
      <w:r w:rsidR="0001077B" w:rsidRPr="00A7015F">
        <w:rPr>
          <w:b/>
          <w:bCs/>
        </w:rPr>
        <w:t>T</w:t>
      </w:r>
      <w:r w:rsidR="000D0C04" w:rsidRPr="00A7015F">
        <w:rPr>
          <w:b/>
          <w:bCs/>
        </w:rPr>
        <w:t>oxicity test silver oxide nanoparticles (Ag2O NPs)</w:t>
      </w:r>
      <w:r w:rsidR="000D0C04" w:rsidRPr="00A7015F">
        <w:rPr>
          <w:b/>
          <w:bCs/>
          <w:i/>
          <w:iCs/>
        </w:rPr>
        <w:t xml:space="preserve"> </w:t>
      </w:r>
      <w:r w:rsidR="0001077B" w:rsidRPr="00A7015F">
        <w:rPr>
          <w:b/>
          <w:bCs/>
          <w:i/>
          <w:iCs/>
        </w:rPr>
        <w:t xml:space="preserve">on </w:t>
      </w:r>
      <w:proofErr w:type="spellStart"/>
      <w:r w:rsidR="0001077B" w:rsidRPr="00A7015F">
        <w:rPr>
          <w:b/>
          <w:bCs/>
          <w:i/>
          <w:iCs/>
        </w:rPr>
        <w:t>Lissachatina</w:t>
      </w:r>
      <w:proofErr w:type="spellEnd"/>
      <w:r w:rsidR="0001077B" w:rsidRPr="00A7015F">
        <w:rPr>
          <w:b/>
          <w:bCs/>
          <w:i/>
          <w:iCs/>
        </w:rPr>
        <w:t xml:space="preserve"> fulica</w:t>
      </w:r>
      <w:r w:rsidR="00AC7CBE" w:rsidRPr="00A7015F">
        <w:rPr>
          <w:b/>
          <w:bCs/>
          <w:i/>
          <w:iCs/>
        </w:rPr>
        <w:t>-</w:t>
      </w:r>
    </w:p>
    <w:p w14:paraId="4FCC987B" w14:textId="045A2009" w:rsidR="0001077B" w:rsidRPr="00A7015F" w:rsidRDefault="006A0A3D" w:rsidP="00F142EC">
      <w:pPr>
        <w:tabs>
          <w:tab w:val="left" w:pos="0"/>
        </w:tabs>
        <w:ind w:left="90"/>
        <w:rPr>
          <w:sz w:val="24"/>
          <w:szCs w:val="24"/>
        </w:rPr>
      </w:pPr>
      <w:r w:rsidRPr="00A7015F">
        <w:rPr>
          <w:sz w:val="24"/>
          <w:szCs w:val="24"/>
        </w:rPr>
        <w:t>Toxicity assessment was conducted following the procedure described by Hussein et al. (1994). To determine the median lethal dose (LD₅₀) of silver oxide nanoparticles (</w:t>
      </w:r>
      <w:proofErr w:type="spellStart"/>
      <w:r w:rsidRPr="00A7015F">
        <w:rPr>
          <w:sz w:val="24"/>
          <w:szCs w:val="24"/>
        </w:rPr>
        <w:t>Ag₂O</w:t>
      </w:r>
      <w:proofErr w:type="spellEnd"/>
      <w:r w:rsidRPr="00A7015F">
        <w:rPr>
          <w:sz w:val="24"/>
          <w:szCs w:val="24"/>
        </w:rPr>
        <w:t xml:space="preserve"> NPs), </w:t>
      </w:r>
      <w:r w:rsidRPr="00A7015F">
        <w:rPr>
          <w:sz w:val="24"/>
          <w:szCs w:val="24"/>
        </w:rPr>
        <w:lastRenderedPageBreak/>
        <w:t xml:space="preserve">adult </w:t>
      </w:r>
      <w:r w:rsidRPr="00A7015F">
        <w:rPr>
          <w:i/>
          <w:iCs/>
          <w:sz w:val="24"/>
          <w:szCs w:val="24"/>
        </w:rPr>
        <w:t>Achatina fulica</w:t>
      </w:r>
      <w:r w:rsidRPr="00A7015F">
        <w:rPr>
          <w:sz w:val="24"/>
          <w:szCs w:val="24"/>
        </w:rPr>
        <w:t xml:space="preserve"> snails were randomly divided into five groups (n = 10 per group), consisting of one control group and </w:t>
      </w:r>
      <w:r w:rsidR="00FB443A" w:rsidRPr="00A7015F">
        <w:rPr>
          <w:sz w:val="24"/>
          <w:szCs w:val="24"/>
        </w:rPr>
        <w:t xml:space="preserve">two </w:t>
      </w:r>
      <w:r w:rsidRPr="00A7015F">
        <w:rPr>
          <w:sz w:val="24"/>
          <w:szCs w:val="24"/>
        </w:rPr>
        <w:t xml:space="preserve">treatment groups. The treatment groups were </w:t>
      </w:r>
      <w:r w:rsidR="00FB443A" w:rsidRPr="00A7015F">
        <w:rPr>
          <w:sz w:val="24"/>
          <w:szCs w:val="24"/>
        </w:rPr>
        <w:t>injected</w:t>
      </w:r>
      <w:r w:rsidRPr="00A7015F">
        <w:rPr>
          <w:sz w:val="24"/>
          <w:szCs w:val="24"/>
        </w:rPr>
        <w:t xml:space="preserve"> to </w:t>
      </w:r>
      <w:proofErr w:type="spellStart"/>
      <w:r w:rsidRPr="00A7015F">
        <w:rPr>
          <w:sz w:val="24"/>
          <w:szCs w:val="24"/>
        </w:rPr>
        <w:t>Ag₂O</w:t>
      </w:r>
      <w:proofErr w:type="spellEnd"/>
      <w:r w:rsidRPr="00A7015F">
        <w:rPr>
          <w:sz w:val="24"/>
          <w:szCs w:val="24"/>
        </w:rPr>
        <w:t xml:space="preserve"> NP</w:t>
      </w:r>
      <w:r w:rsidR="00AC7CBE" w:rsidRPr="00A7015F">
        <w:rPr>
          <w:sz w:val="24"/>
          <w:szCs w:val="24"/>
        </w:rPr>
        <w:t>s</w:t>
      </w:r>
      <w:r w:rsidRPr="00A7015F">
        <w:rPr>
          <w:sz w:val="24"/>
          <w:szCs w:val="24"/>
        </w:rPr>
        <w:t xml:space="preserve"> concentrations of 5 ppm, 10 ppm</w:t>
      </w:r>
      <w:r w:rsidR="00FB443A" w:rsidRPr="00A7015F">
        <w:rPr>
          <w:sz w:val="24"/>
          <w:szCs w:val="24"/>
        </w:rPr>
        <w:t xml:space="preserve"> </w:t>
      </w:r>
      <w:r w:rsidR="00AC7CBE" w:rsidRPr="00A7015F">
        <w:rPr>
          <w:sz w:val="24"/>
          <w:szCs w:val="24"/>
        </w:rPr>
        <w:t>receptively</w:t>
      </w:r>
      <w:r w:rsidRPr="00A7015F">
        <w:rPr>
          <w:sz w:val="24"/>
          <w:szCs w:val="24"/>
        </w:rPr>
        <w:t xml:space="preserve">. Mortality was recorded at </w:t>
      </w:r>
      <w:r w:rsidR="00FB443A" w:rsidRPr="00A7015F">
        <w:rPr>
          <w:sz w:val="24"/>
          <w:szCs w:val="24"/>
        </w:rPr>
        <w:t>48</w:t>
      </w:r>
      <w:r w:rsidRPr="00A7015F">
        <w:rPr>
          <w:sz w:val="24"/>
          <w:szCs w:val="24"/>
        </w:rPr>
        <w:t xml:space="preserve">-hour </w:t>
      </w:r>
      <w:r w:rsidR="00FB443A" w:rsidRPr="00A7015F">
        <w:rPr>
          <w:sz w:val="24"/>
          <w:szCs w:val="24"/>
        </w:rPr>
        <w:t>and</w:t>
      </w:r>
      <w:r w:rsidRPr="00A7015F">
        <w:rPr>
          <w:sz w:val="24"/>
          <w:szCs w:val="24"/>
        </w:rPr>
        <w:t xml:space="preserve"> 96 hours. A snail was considered dead if it failed to respond to gentle tactile stimulation with a fine stainless-steel needle, following WHO guidelines (1965).</w:t>
      </w:r>
      <w:r w:rsidR="00FB443A" w:rsidRPr="00A7015F">
        <w:rPr>
          <w:sz w:val="24"/>
          <w:szCs w:val="24"/>
        </w:rPr>
        <w:t xml:space="preserve"> </w:t>
      </w:r>
    </w:p>
    <w:p w14:paraId="07B0F345" w14:textId="0AFA4639" w:rsidR="0001077B" w:rsidRPr="00A7015F" w:rsidRDefault="00611528" w:rsidP="00F142EC">
      <w:pPr>
        <w:ind w:left="90"/>
        <w:rPr>
          <w:b/>
          <w:bCs/>
          <w:sz w:val="24"/>
          <w:szCs w:val="24"/>
        </w:rPr>
      </w:pPr>
      <w:r>
        <w:rPr>
          <w:b/>
          <w:bCs/>
          <w:sz w:val="24"/>
          <w:szCs w:val="24"/>
        </w:rPr>
        <w:t xml:space="preserve">2.2.4. </w:t>
      </w:r>
      <w:r w:rsidR="0001077B" w:rsidRPr="00A7015F">
        <w:rPr>
          <w:b/>
          <w:bCs/>
          <w:sz w:val="24"/>
          <w:szCs w:val="24"/>
        </w:rPr>
        <w:t>Tissue collection and tissue substrate preparation-</w:t>
      </w:r>
    </w:p>
    <w:p w14:paraId="48B0F89A" w14:textId="53E15CC6" w:rsidR="006A0A3D" w:rsidRPr="00A7015F" w:rsidRDefault="00FB443A" w:rsidP="00F142EC">
      <w:pPr>
        <w:ind w:left="90"/>
        <w:rPr>
          <w:color w:val="000000" w:themeColor="text1"/>
          <w:sz w:val="24"/>
          <w:szCs w:val="24"/>
        </w:rPr>
      </w:pPr>
      <w:r w:rsidRPr="00A7015F">
        <w:rPr>
          <w:sz w:val="24"/>
          <w:szCs w:val="24"/>
        </w:rPr>
        <w:t>The organisms were dissected, and the intestinal parts and foot tissue samples were carefully collected. All samples were transferred and preserved overnight at room temperature (27 °C). On the morning, the tissues were placed in an oven for dehydration at 85 °C. After complete drying, the materials were crushed into a fine powder and used for subsequent biochemical analyses.</w:t>
      </w:r>
    </w:p>
    <w:p w14:paraId="170BBBF0" w14:textId="25DC57E9" w:rsidR="002D7CAA" w:rsidRPr="00A7015F" w:rsidRDefault="00611528" w:rsidP="00F142EC">
      <w:pPr>
        <w:ind w:left="90"/>
        <w:rPr>
          <w:b/>
          <w:bCs/>
          <w:sz w:val="24"/>
          <w:szCs w:val="24"/>
        </w:rPr>
      </w:pPr>
      <w:r>
        <w:rPr>
          <w:b/>
          <w:bCs/>
          <w:sz w:val="24"/>
          <w:szCs w:val="24"/>
        </w:rPr>
        <w:t>2.2.</w:t>
      </w:r>
      <w:r w:rsidR="00D02611">
        <w:rPr>
          <w:b/>
          <w:bCs/>
          <w:sz w:val="24"/>
          <w:szCs w:val="24"/>
        </w:rPr>
        <w:t>5.</w:t>
      </w:r>
      <w:r w:rsidR="00D02611" w:rsidRPr="00A7015F">
        <w:rPr>
          <w:b/>
          <w:bCs/>
          <w:sz w:val="24"/>
          <w:szCs w:val="24"/>
        </w:rPr>
        <w:t xml:space="preserve"> Biochemical</w:t>
      </w:r>
      <w:r w:rsidR="00FB70D9" w:rsidRPr="00A7015F">
        <w:rPr>
          <w:b/>
          <w:bCs/>
          <w:sz w:val="24"/>
          <w:szCs w:val="24"/>
        </w:rPr>
        <w:t xml:space="preserve"> Analysis test methods-</w:t>
      </w:r>
    </w:p>
    <w:p w14:paraId="3835B6E3" w14:textId="0191DE25" w:rsidR="002D7CAA" w:rsidRPr="00A7015F" w:rsidRDefault="00611528" w:rsidP="00F142EC">
      <w:pPr>
        <w:ind w:left="90"/>
        <w:rPr>
          <w:b/>
          <w:bCs/>
          <w:sz w:val="24"/>
          <w:szCs w:val="24"/>
        </w:rPr>
      </w:pPr>
      <w:r>
        <w:rPr>
          <w:b/>
          <w:bCs/>
          <w:sz w:val="24"/>
          <w:szCs w:val="24"/>
        </w:rPr>
        <w:t xml:space="preserve">2.2.5.1. </w:t>
      </w:r>
      <w:r w:rsidR="002D7CAA" w:rsidRPr="00A7015F">
        <w:rPr>
          <w:b/>
          <w:bCs/>
          <w:sz w:val="24"/>
          <w:szCs w:val="24"/>
        </w:rPr>
        <w:t xml:space="preserve">Protein Test method- </w:t>
      </w:r>
    </w:p>
    <w:p w14:paraId="10C12737" w14:textId="77777777" w:rsidR="000C0E02" w:rsidRPr="000C0E02" w:rsidRDefault="000C0E02" w:rsidP="000C0E02">
      <w:pPr>
        <w:ind w:left="90"/>
        <w:rPr>
          <w:sz w:val="24"/>
          <w:szCs w:val="24"/>
        </w:rPr>
      </w:pPr>
      <w:r w:rsidRPr="000C0E02">
        <w:rPr>
          <w:sz w:val="24"/>
          <w:szCs w:val="24"/>
        </w:rPr>
        <w:t xml:space="preserve">The protein content of the samples was determined using the Kjeldahl method, which involves acid digestion, followed by neutralization, distillation, and titration. Approximately 2 g of each sample was placed in a digestion flask, to which 20 mL of concentrated sulfuric acid (H₂SO₄) and 2 g of a digestion mixture containing potassium </w:t>
      </w:r>
      <w:proofErr w:type="spellStart"/>
      <w:r w:rsidRPr="000C0E02">
        <w:rPr>
          <w:sz w:val="24"/>
          <w:szCs w:val="24"/>
        </w:rPr>
        <w:t>sulfate</w:t>
      </w:r>
      <w:proofErr w:type="spellEnd"/>
      <w:r w:rsidRPr="000C0E02">
        <w:rPr>
          <w:sz w:val="24"/>
          <w:szCs w:val="24"/>
        </w:rPr>
        <w:t xml:space="preserve"> and copper </w:t>
      </w:r>
      <w:proofErr w:type="spellStart"/>
      <w:r w:rsidRPr="000C0E02">
        <w:rPr>
          <w:sz w:val="24"/>
          <w:szCs w:val="24"/>
        </w:rPr>
        <w:t>sulfate</w:t>
      </w:r>
      <w:proofErr w:type="spellEnd"/>
      <w:r w:rsidRPr="000C0E02">
        <w:rPr>
          <w:sz w:val="24"/>
          <w:szCs w:val="24"/>
        </w:rPr>
        <w:t xml:space="preserve"> (K₂SO₄:</w:t>
      </w:r>
      <w:proofErr w:type="spellStart"/>
      <w:r w:rsidRPr="000C0E02">
        <w:rPr>
          <w:sz w:val="24"/>
          <w:szCs w:val="24"/>
        </w:rPr>
        <w:t>CuSO</w:t>
      </w:r>
      <w:proofErr w:type="spellEnd"/>
      <w:r w:rsidRPr="000C0E02">
        <w:rPr>
          <w:sz w:val="24"/>
          <w:szCs w:val="24"/>
        </w:rPr>
        <w:t>₄, 1:1) were added. The contents were mixed thoroughly and heated until complete digestion occurred, indicated by the formation of a clear green solution. The digestion process required approximately 3 hours.</w:t>
      </w:r>
    </w:p>
    <w:p w14:paraId="5D0A3628" w14:textId="77777777" w:rsidR="000C0E02" w:rsidRPr="000C0E02" w:rsidRDefault="000C0E02" w:rsidP="000C0E02">
      <w:pPr>
        <w:ind w:left="90"/>
        <w:rPr>
          <w:sz w:val="24"/>
          <w:szCs w:val="24"/>
        </w:rPr>
      </w:pPr>
      <w:r w:rsidRPr="000C0E02">
        <w:rPr>
          <w:sz w:val="24"/>
          <w:szCs w:val="24"/>
        </w:rPr>
        <w:t>After cooling, the digest was transferred to a 100 mL volumetric flask and the volume was made up to the mark with distilled water. From this solution, 10 mL was taken into the distillation unit, and 50 mL of 40% sodium hydroxide (NaOH) along with 50 mL of distilled water was added gradually. The mixture was then distilled for 45 minutes. The liberated ammonia (NH₃) was collected as ammonium hydroxide (NH₄OH) in a conical flask containing 30 mL of 4% boric acid solution with a drop of modified methyl red indicator. During distillation, the solution turned yellow due to the formation of NH₄OH.</w:t>
      </w:r>
    </w:p>
    <w:p w14:paraId="6BCC79D1" w14:textId="77777777" w:rsidR="000C0E02" w:rsidRPr="000C0E02" w:rsidRDefault="000C0E02" w:rsidP="000C0E02">
      <w:pPr>
        <w:ind w:left="90"/>
        <w:rPr>
          <w:sz w:val="24"/>
          <w:szCs w:val="24"/>
        </w:rPr>
      </w:pPr>
      <w:r w:rsidRPr="000C0E02">
        <w:rPr>
          <w:sz w:val="24"/>
          <w:szCs w:val="24"/>
        </w:rPr>
        <w:t xml:space="preserve">The distillate was subsequently titrated against standard 0.1 N hydrochloric acid (HCl) until a pink endpoint was observed. The initial and final burette readings were recorded to determine the volume of titrant used for the sample (Vₛ). A blank determination was carried out in parallel using acetanilide or tryptophan with the addition of 1 g of sucrose, and the </w:t>
      </w:r>
      <w:r w:rsidRPr="000C0E02">
        <w:rPr>
          <w:sz w:val="24"/>
          <w:szCs w:val="24"/>
        </w:rPr>
        <w:lastRenderedPageBreak/>
        <w:t>volume of titrant consumed was recorded as Vᵦ. The percentage of nitrogen in the samples was calculated using the standard Kjeldahl formula, and the crude protein content was estimated by multiplying the nitrogen percentage by the protein conversion factor (6.25).</w:t>
      </w:r>
    </w:p>
    <w:p w14:paraId="7FB5EDFD" w14:textId="013E9BEF" w:rsidR="002D7CAA" w:rsidRPr="00A7015F" w:rsidRDefault="002D7CAA" w:rsidP="00D02611">
      <w:pPr>
        <w:ind w:left="90"/>
        <w:jc w:val="center"/>
        <w:rPr>
          <w:sz w:val="24"/>
          <w:szCs w:val="24"/>
        </w:rPr>
      </w:pPr>
      <w:r w:rsidRPr="00A7015F">
        <w:rPr>
          <w:noProof/>
          <w:sz w:val="24"/>
          <w:szCs w:val="24"/>
        </w:rPr>
        <w:drawing>
          <wp:inline distT="0" distB="0" distL="0" distR="0" wp14:anchorId="4D02C1C3" wp14:editId="7DCE34B7">
            <wp:extent cx="3181081" cy="803503"/>
            <wp:effectExtent l="0" t="0" r="635" b="0"/>
            <wp:docPr id="1786911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1955" name="Picture 1786911955"/>
                    <pic:cNvPicPr/>
                  </pic:nvPicPr>
                  <pic:blipFill>
                    <a:blip r:embed="rId9">
                      <a:extLst>
                        <a:ext uri="{28A0092B-C50C-407E-A947-70E740481C1C}">
                          <a14:useLocalDpi xmlns:a14="http://schemas.microsoft.com/office/drawing/2010/main" val="0"/>
                        </a:ext>
                      </a:extLst>
                    </a:blip>
                    <a:stretch>
                      <a:fillRect/>
                    </a:stretch>
                  </pic:blipFill>
                  <pic:spPr>
                    <a:xfrm>
                      <a:off x="0" y="0"/>
                      <a:ext cx="3213023" cy="811571"/>
                    </a:xfrm>
                    <a:prstGeom prst="rect">
                      <a:avLst/>
                    </a:prstGeom>
                  </pic:spPr>
                </pic:pic>
              </a:graphicData>
            </a:graphic>
          </wp:inline>
        </w:drawing>
      </w:r>
    </w:p>
    <w:p w14:paraId="017806B7" w14:textId="59329441" w:rsidR="002D7CAA" w:rsidRPr="00A7015F" w:rsidRDefault="00D02611" w:rsidP="00F142EC">
      <w:pPr>
        <w:ind w:left="90"/>
        <w:rPr>
          <w:sz w:val="24"/>
          <w:szCs w:val="24"/>
        </w:rPr>
      </w:pPr>
      <w:r w:rsidRPr="00A7015F">
        <w:rPr>
          <w:sz w:val="24"/>
          <w:szCs w:val="24"/>
        </w:rPr>
        <w:t>Were</w:t>
      </w:r>
      <w:r w:rsidR="002D7CAA" w:rsidRPr="00A7015F">
        <w:rPr>
          <w:sz w:val="24"/>
          <w:szCs w:val="24"/>
        </w:rPr>
        <w:t xml:space="preserve">, </w:t>
      </w:r>
    </w:p>
    <w:p w14:paraId="74A63B12" w14:textId="77777777" w:rsidR="002D7CAA" w:rsidRPr="00A7015F" w:rsidRDefault="002D7CAA" w:rsidP="00F142EC">
      <w:pPr>
        <w:ind w:left="90"/>
        <w:rPr>
          <w:sz w:val="24"/>
          <w:szCs w:val="24"/>
        </w:rPr>
      </w:pPr>
      <w:r w:rsidRPr="00A7015F">
        <w:rPr>
          <w:sz w:val="24"/>
          <w:szCs w:val="24"/>
        </w:rPr>
        <w:t xml:space="preserve">Vs- Volume of titrant used for sample </w:t>
      </w:r>
    </w:p>
    <w:p w14:paraId="28352245" w14:textId="77777777" w:rsidR="002D7CAA" w:rsidRPr="00A7015F" w:rsidRDefault="002D7CAA" w:rsidP="00F142EC">
      <w:pPr>
        <w:ind w:left="90"/>
        <w:rPr>
          <w:sz w:val="24"/>
          <w:szCs w:val="24"/>
        </w:rPr>
      </w:pPr>
      <w:proofErr w:type="spellStart"/>
      <w:r w:rsidRPr="00A7015F">
        <w:rPr>
          <w:sz w:val="24"/>
          <w:szCs w:val="24"/>
        </w:rPr>
        <w:t>Vb</w:t>
      </w:r>
      <w:proofErr w:type="spellEnd"/>
      <w:r w:rsidRPr="00A7015F">
        <w:rPr>
          <w:sz w:val="24"/>
          <w:szCs w:val="24"/>
        </w:rPr>
        <w:t xml:space="preserve">- Volume of titrant used for blank </w:t>
      </w:r>
    </w:p>
    <w:p w14:paraId="19707255" w14:textId="77777777" w:rsidR="002D7CAA" w:rsidRPr="00A7015F" w:rsidRDefault="002D7CAA" w:rsidP="00F142EC">
      <w:pPr>
        <w:ind w:left="90"/>
        <w:rPr>
          <w:sz w:val="24"/>
          <w:szCs w:val="24"/>
        </w:rPr>
      </w:pPr>
      <w:r w:rsidRPr="00A7015F">
        <w:rPr>
          <w:sz w:val="24"/>
          <w:szCs w:val="24"/>
        </w:rPr>
        <w:t xml:space="preserve">F - Molar reaction factor of titrant (HCl-1 and H2SO4- 2) </w:t>
      </w:r>
    </w:p>
    <w:p w14:paraId="09DEE260" w14:textId="77777777" w:rsidR="002D7CAA" w:rsidRPr="00A7015F" w:rsidRDefault="002D7CAA" w:rsidP="00F142EC">
      <w:pPr>
        <w:ind w:left="90"/>
        <w:rPr>
          <w:sz w:val="24"/>
          <w:szCs w:val="24"/>
        </w:rPr>
      </w:pPr>
      <w:r w:rsidRPr="00A7015F">
        <w:rPr>
          <w:sz w:val="24"/>
          <w:szCs w:val="24"/>
        </w:rPr>
        <w:t xml:space="preserve">C- Concentration of titrant (mol/L) = 0.25mol/L </w:t>
      </w:r>
    </w:p>
    <w:p w14:paraId="469F38E4" w14:textId="77777777" w:rsidR="002D7CAA" w:rsidRPr="00A7015F" w:rsidRDefault="002D7CAA" w:rsidP="00F142EC">
      <w:pPr>
        <w:ind w:left="90"/>
        <w:rPr>
          <w:sz w:val="24"/>
          <w:szCs w:val="24"/>
        </w:rPr>
      </w:pPr>
      <w:r w:rsidRPr="00A7015F">
        <w:rPr>
          <w:sz w:val="24"/>
          <w:szCs w:val="24"/>
        </w:rPr>
        <w:t xml:space="preserve">M (N) - Molecular weight of Nitrogen = 14.007g/mol </w:t>
      </w:r>
    </w:p>
    <w:p w14:paraId="65566F9F" w14:textId="77777777" w:rsidR="002D7CAA" w:rsidRPr="00A7015F" w:rsidRDefault="002D7CAA" w:rsidP="00F142EC">
      <w:pPr>
        <w:ind w:left="90"/>
        <w:rPr>
          <w:sz w:val="24"/>
          <w:szCs w:val="24"/>
        </w:rPr>
      </w:pPr>
      <w:r w:rsidRPr="00A7015F">
        <w:rPr>
          <w:sz w:val="24"/>
          <w:szCs w:val="24"/>
        </w:rPr>
        <w:t xml:space="preserve">m - Sample weight </w:t>
      </w:r>
    </w:p>
    <w:p w14:paraId="40051D13" w14:textId="77777777" w:rsidR="002D7CAA" w:rsidRPr="00A7015F" w:rsidRDefault="002D7CAA" w:rsidP="00F142EC">
      <w:pPr>
        <w:ind w:left="90"/>
        <w:rPr>
          <w:sz w:val="24"/>
          <w:szCs w:val="24"/>
        </w:rPr>
      </w:pPr>
      <w:r w:rsidRPr="00A7015F">
        <w:rPr>
          <w:sz w:val="24"/>
          <w:szCs w:val="24"/>
        </w:rPr>
        <w:t xml:space="preserve">1000 - Conversion factor (ml into L) </w:t>
      </w:r>
    </w:p>
    <w:p w14:paraId="1F39347A" w14:textId="77777777" w:rsidR="002D7CAA" w:rsidRPr="00A7015F" w:rsidRDefault="002D7CAA" w:rsidP="00F142EC">
      <w:pPr>
        <w:ind w:left="90"/>
        <w:rPr>
          <w:sz w:val="24"/>
          <w:szCs w:val="24"/>
        </w:rPr>
      </w:pPr>
      <w:r w:rsidRPr="00A7015F">
        <w:rPr>
          <w:sz w:val="24"/>
          <w:szCs w:val="24"/>
        </w:rPr>
        <w:t xml:space="preserve">%N - % weight of N </w:t>
      </w:r>
    </w:p>
    <w:p w14:paraId="709EE63D" w14:textId="77777777" w:rsidR="002D7CAA" w:rsidRPr="00A7015F" w:rsidRDefault="002D7CAA" w:rsidP="00F142EC">
      <w:pPr>
        <w:ind w:left="90"/>
        <w:rPr>
          <w:sz w:val="24"/>
          <w:szCs w:val="24"/>
        </w:rPr>
      </w:pPr>
      <w:r w:rsidRPr="00A7015F">
        <w:rPr>
          <w:sz w:val="24"/>
          <w:szCs w:val="24"/>
        </w:rPr>
        <w:t xml:space="preserve">PF – Protein Factor </w:t>
      </w:r>
    </w:p>
    <w:p w14:paraId="1916090C" w14:textId="77777777" w:rsidR="002D7CAA" w:rsidRPr="00A7015F" w:rsidRDefault="002D7CAA" w:rsidP="00F142EC">
      <w:pPr>
        <w:ind w:left="90"/>
        <w:rPr>
          <w:sz w:val="24"/>
          <w:szCs w:val="24"/>
        </w:rPr>
      </w:pPr>
      <w:r w:rsidRPr="00A7015F">
        <w:rPr>
          <w:sz w:val="24"/>
          <w:szCs w:val="24"/>
        </w:rPr>
        <w:t>F2 – Dilution Factor</w:t>
      </w:r>
    </w:p>
    <w:p w14:paraId="1AF39BA9" w14:textId="3669EF81" w:rsidR="002D7CAA" w:rsidRPr="00A7015F" w:rsidRDefault="002D7CAA" w:rsidP="00F142EC">
      <w:pPr>
        <w:ind w:left="90"/>
        <w:rPr>
          <w:sz w:val="24"/>
          <w:szCs w:val="24"/>
        </w:rPr>
      </w:pPr>
      <w:r w:rsidRPr="00A7015F">
        <w:rPr>
          <w:sz w:val="24"/>
          <w:szCs w:val="24"/>
        </w:rPr>
        <w:t xml:space="preserve"> %</w:t>
      </w:r>
      <w:r w:rsidRPr="00A7015F">
        <w:rPr>
          <w:rFonts w:ascii="Cambria Math" w:hAnsi="Cambria Math" w:cs="Cambria Math"/>
          <w:sz w:val="24"/>
          <w:szCs w:val="24"/>
        </w:rPr>
        <w:t>𝑷</w:t>
      </w:r>
      <w:r w:rsidRPr="00A7015F">
        <w:rPr>
          <w:sz w:val="24"/>
          <w:szCs w:val="24"/>
        </w:rPr>
        <w:t>=%</w:t>
      </w:r>
      <w:r w:rsidRPr="00A7015F">
        <w:rPr>
          <w:rFonts w:ascii="Cambria Math" w:hAnsi="Cambria Math" w:cs="Cambria Math"/>
          <w:sz w:val="24"/>
          <w:szCs w:val="24"/>
        </w:rPr>
        <w:t>𝑵</w:t>
      </w:r>
      <w:r w:rsidRPr="00A7015F">
        <w:rPr>
          <w:sz w:val="24"/>
          <w:szCs w:val="24"/>
        </w:rPr>
        <w:t>×</w:t>
      </w:r>
      <w:r w:rsidRPr="00A7015F">
        <w:rPr>
          <w:rFonts w:ascii="Cambria Math" w:hAnsi="Cambria Math" w:cs="Cambria Math"/>
          <w:sz w:val="24"/>
          <w:szCs w:val="24"/>
        </w:rPr>
        <w:t>𝑷𝑭</w:t>
      </w:r>
      <w:r w:rsidRPr="00A7015F">
        <w:rPr>
          <w:sz w:val="24"/>
          <w:szCs w:val="24"/>
        </w:rPr>
        <w:t>×</w:t>
      </w:r>
      <w:r w:rsidRPr="00A7015F">
        <w:rPr>
          <w:rFonts w:ascii="Cambria Math" w:hAnsi="Cambria Math" w:cs="Cambria Math"/>
          <w:sz w:val="24"/>
          <w:szCs w:val="24"/>
        </w:rPr>
        <w:t>𝑭𝟐</w:t>
      </w:r>
      <w:r w:rsidRPr="00A7015F">
        <w:rPr>
          <w:sz w:val="24"/>
          <w:szCs w:val="24"/>
        </w:rPr>
        <w:t xml:space="preserve"> </w:t>
      </w:r>
    </w:p>
    <w:p w14:paraId="7A69D179" w14:textId="32ADE3F0" w:rsidR="002D7CAA" w:rsidRPr="00A7015F" w:rsidRDefault="00611528" w:rsidP="00F142EC">
      <w:pPr>
        <w:shd w:val="clear" w:color="auto" w:fill="FFFFFF"/>
        <w:ind w:left="90"/>
        <w:rPr>
          <w:b/>
          <w:bCs/>
          <w:sz w:val="24"/>
          <w:szCs w:val="24"/>
        </w:rPr>
      </w:pPr>
      <w:r>
        <w:rPr>
          <w:b/>
          <w:bCs/>
          <w:sz w:val="24"/>
          <w:szCs w:val="24"/>
        </w:rPr>
        <w:t xml:space="preserve">2.2.5.2. </w:t>
      </w:r>
      <w:r w:rsidR="002D7CAA" w:rsidRPr="00A7015F">
        <w:rPr>
          <w:b/>
          <w:bCs/>
          <w:sz w:val="24"/>
          <w:szCs w:val="24"/>
        </w:rPr>
        <w:t>Lipid Test Method-</w:t>
      </w:r>
    </w:p>
    <w:p w14:paraId="7A78B483" w14:textId="4D3B6C85" w:rsidR="000C0E02" w:rsidRPr="000C0E02" w:rsidRDefault="000C0E02" w:rsidP="000C0E02">
      <w:pPr>
        <w:shd w:val="clear" w:color="auto" w:fill="FFFFFF"/>
        <w:ind w:left="90"/>
        <w:rPr>
          <w:sz w:val="24"/>
          <w:szCs w:val="24"/>
        </w:rPr>
      </w:pPr>
      <w:r w:rsidRPr="000C0E02">
        <w:rPr>
          <w:sz w:val="24"/>
          <w:szCs w:val="24"/>
        </w:rPr>
        <w:t xml:space="preserve">Approximately 5 g of the sample was weighed and placed in a thimble. The initial weight (W₁) of the round-bottom flask, intended for collecting the extract, was recorded in advance. The thimble was then inserted into the extraction chamber of a Soxhlet apparatus. Hexane, with a boiling point of 69 °C, was used as the extraction solvent, and the process was carried out for 4 </w:t>
      </w:r>
      <w:proofErr w:type="spellStart"/>
      <w:r w:rsidRPr="000C0E02">
        <w:rPr>
          <w:sz w:val="24"/>
          <w:szCs w:val="24"/>
        </w:rPr>
        <w:t>hours.After</w:t>
      </w:r>
      <w:proofErr w:type="spellEnd"/>
      <w:r w:rsidRPr="000C0E02">
        <w:rPr>
          <w:sz w:val="24"/>
          <w:szCs w:val="24"/>
        </w:rPr>
        <w:t xml:space="preserve"> completion of the extraction, the solvent containing the extract was recovered in the round-bottom flask. The solvent was removed by evaporating it in a water bath maintained at 100 °C. The remaining extract was further dried in a hot-air oven at 100 </w:t>
      </w:r>
      <w:r w:rsidRPr="000C0E02">
        <w:rPr>
          <w:sz w:val="24"/>
          <w:szCs w:val="24"/>
        </w:rPr>
        <w:lastRenderedPageBreak/>
        <w:t>°C for 30 minutes, then cooled in a desiccator, and the final weight (W₂) of the dried extract was recorded.</w:t>
      </w:r>
    </w:p>
    <w:p w14:paraId="5F1CC82C" w14:textId="77777777" w:rsidR="000C0E02" w:rsidRDefault="002D7CAA" w:rsidP="000C0E02">
      <w:pPr>
        <w:shd w:val="clear" w:color="auto" w:fill="FFFFFF"/>
        <w:ind w:left="90"/>
        <w:rPr>
          <w:sz w:val="24"/>
          <w:szCs w:val="24"/>
        </w:rPr>
      </w:pPr>
      <w:r w:rsidRPr="00A7015F">
        <w:rPr>
          <w:sz w:val="24"/>
          <w:szCs w:val="24"/>
        </w:rPr>
        <w:t xml:space="preserve">The following formula was used to calculate the Lipid content %: </w:t>
      </w:r>
    </w:p>
    <w:p w14:paraId="2BC6E50A" w14:textId="65F3A8DF" w:rsidR="002D7CAA" w:rsidRPr="000C0E02" w:rsidRDefault="002D7CAA" w:rsidP="004B77AC">
      <w:pPr>
        <w:shd w:val="clear" w:color="auto" w:fill="FFFFFF"/>
        <w:ind w:left="90"/>
        <w:jc w:val="center"/>
        <w:rPr>
          <w:b/>
          <w:bCs/>
          <w:sz w:val="24"/>
          <w:szCs w:val="24"/>
        </w:rPr>
      </w:pPr>
      <w:r w:rsidRPr="000C0E02">
        <w:rPr>
          <w:b/>
          <w:bCs/>
          <w:sz w:val="24"/>
          <w:szCs w:val="24"/>
        </w:rPr>
        <w:t>Lipid content % = (W2-W1) ×100</w:t>
      </w:r>
    </w:p>
    <w:p w14:paraId="2158DA8C" w14:textId="19619F6C" w:rsidR="002D7CAA" w:rsidRPr="00A7015F" w:rsidRDefault="002D7CAA" w:rsidP="00F142EC">
      <w:pPr>
        <w:shd w:val="clear" w:color="auto" w:fill="FFFFFF"/>
        <w:ind w:left="90"/>
        <w:rPr>
          <w:sz w:val="24"/>
          <w:szCs w:val="24"/>
        </w:rPr>
      </w:pPr>
      <w:proofErr w:type="spellStart"/>
      <w:r w:rsidRPr="00A7015F">
        <w:rPr>
          <w:sz w:val="24"/>
          <w:szCs w:val="24"/>
        </w:rPr>
        <w:t>Ws</w:t>
      </w:r>
      <w:proofErr w:type="spellEnd"/>
      <w:r w:rsidRPr="00A7015F">
        <w:rPr>
          <w:sz w:val="24"/>
          <w:szCs w:val="24"/>
        </w:rPr>
        <w:t xml:space="preserve"> = </w:t>
      </w:r>
      <w:r w:rsidR="00D02611" w:rsidRPr="00A7015F">
        <w:rPr>
          <w:sz w:val="24"/>
          <w:szCs w:val="24"/>
        </w:rPr>
        <w:t>wt.</w:t>
      </w:r>
      <w:r w:rsidRPr="00A7015F">
        <w:rPr>
          <w:sz w:val="24"/>
          <w:szCs w:val="24"/>
        </w:rPr>
        <w:t xml:space="preserve"> of sample </w:t>
      </w:r>
    </w:p>
    <w:p w14:paraId="68C4E308" w14:textId="1FB6A4F9" w:rsidR="002D7CAA" w:rsidRPr="00A7015F" w:rsidRDefault="002D7CAA" w:rsidP="00F142EC">
      <w:pPr>
        <w:shd w:val="clear" w:color="auto" w:fill="FFFFFF"/>
        <w:ind w:left="90"/>
        <w:rPr>
          <w:sz w:val="24"/>
          <w:szCs w:val="24"/>
        </w:rPr>
      </w:pPr>
      <w:r w:rsidRPr="00A7015F">
        <w:rPr>
          <w:sz w:val="24"/>
          <w:szCs w:val="24"/>
        </w:rPr>
        <w:t xml:space="preserve">W1 = </w:t>
      </w:r>
      <w:r w:rsidR="00D02611" w:rsidRPr="00A7015F">
        <w:rPr>
          <w:sz w:val="24"/>
          <w:szCs w:val="24"/>
        </w:rPr>
        <w:t>wt.</w:t>
      </w:r>
      <w:r w:rsidRPr="00A7015F">
        <w:rPr>
          <w:sz w:val="24"/>
          <w:szCs w:val="24"/>
        </w:rPr>
        <w:t xml:space="preserve"> of flask </w:t>
      </w:r>
    </w:p>
    <w:p w14:paraId="59A7550E" w14:textId="2049B46B" w:rsidR="002D7CAA" w:rsidRDefault="002D7CAA" w:rsidP="00F142EC">
      <w:pPr>
        <w:shd w:val="clear" w:color="auto" w:fill="FFFFFF"/>
        <w:ind w:left="90"/>
        <w:rPr>
          <w:sz w:val="24"/>
          <w:szCs w:val="24"/>
        </w:rPr>
      </w:pPr>
      <w:r w:rsidRPr="00A7015F">
        <w:rPr>
          <w:sz w:val="24"/>
          <w:szCs w:val="24"/>
        </w:rPr>
        <w:t xml:space="preserve">W2 = </w:t>
      </w:r>
      <w:r w:rsidR="00D02611" w:rsidRPr="00A7015F">
        <w:rPr>
          <w:sz w:val="24"/>
          <w:szCs w:val="24"/>
        </w:rPr>
        <w:t>wt.</w:t>
      </w:r>
      <w:r w:rsidRPr="00A7015F">
        <w:rPr>
          <w:sz w:val="24"/>
          <w:szCs w:val="24"/>
        </w:rPr>
        <w:t xml:space="preserve"> of flask with fat </w:t>
      </w:r>
    </w:p>
    <w:p w14:paraId="5D758B00" w14:textId="2A04A7B0" w:rsidR="00AA2A37" w:rsidRPr="00AA2A37" w:rsidRDefault="00AA2A37" w:rsidP="00AA2A37">
      <w:pPr>
        <w:shd w:val="clear" w:color="auto" w:fill="FFFFFF"/>
        <w:ind w:left="90"/>
        <w:rPr>
          <w:b/>
          <w:bCs/>
          <w:sz w:val="24"/>
          <w:szCs w:val="24"/>
        </w:rPr>
      </w:pPr>
      <w:r>
        <w:rPr>
          <w:b/>
          <w:bCs/>
          <w:sz w:val="24"/>
          <w:szCs w:val="24"/>
        </w:rPr>
        <w:t>2.2.5.3. Carbohydrate</w:t>
      </w:r>
      <w:r w:rsidRPr="00A7015F">
        <w:rPr>
          <w:b/>
          <w:bCs/>
          <w:sz w:val="24"/>
          <w:szCs w:val="24"/>
        </w:rPr>
        <w:t xml:space="preserve"> Test Method-</w:t>
      </w:r>
    </w:p>
    <w:p w14:paraId="707A7195" w14:textId="77777777" w:rsidR="00AA2A37" w:rsidRPr="00AA2A37" w:rsidRDefault="00AA2A37" w:rsidP="00AA2A37">
      <w:pPr>
        <w:shd w:val="clear" w:color="auto" w:fill="FFFFFF"/>
        <w:ind w:left="90" w:firstLine="630"/>
        <w:rPr>
          <w:sz w:val="24"/>
          <w:szCs w:val="24"/>
        </w:rPr>
      </w:pPr>
      <w:r w:rsidRPr="00AA2A37">
        <w:rPr>
          <w:sz w:val="24"/>
          <w:szCs w:val="24"/>
        </w:rPr>
        <w:t xml:space="preserve">The total carbohydrate content in fish intestinal tissue was estimated using the </w:t>
      </w:r>
      <w:proofErr w:type="spellStart"/>
      <w:r w:rsidRPr="00AA2A37">
        <w:rPr>
          <w:sz w:val="24"/>
          <w:szCs w:val="24"/>
        </w:rPr>
        <w:t>Anthrone</w:t>
      </w:r>
      <w:proofErr w:type="spellEnd"/>
      <w:r w:rsidRPr="00AA2A37">
        <w:rPr>
          <w:sz w:val="24"/>
          <w:szCs w:val="24"/>
        </w:rPr>
        <w:t xml:space="preserve"> method. Initially, 200 mg of the sample was accurately weighed and homogenized in 80% ethanol. The homogenate was centrifuged at 3000 rpm for 10 minutes, and the supernatant was discarded. This ethanol washing step was repeated twice to ensure the effective removal of non-carbohydrate soluble components. The resulting pellet was then air-dried or gently dried over a water bath.</w:t>
      </w:r>
    </w:p>
    <w:p w14:paraId="2464612F" w14:textId="77777777" w:rsidR="00AA2A37" w:rsidRPr="00AA2A37" w:rsidRDefault="00AA2A37" w:rsidP="00AA2A37">
      <w:pPr>
        <w:shd w:val="clear" w:color="auto" w:fill="FFFFFF"/>
        <w:ind w:left="90"/>
        <w:rPr>
          <w:sz w:val="24"/>
          <w:szCs w:val="24"/>
        </w:rPr>
      </w:pPr>
      <w:r w:rsidRPr="00AA2A37">
        <w:rPr>
          <w:sz w:val="24"/>
          <w:szCs w:val="24"/>
        </w:rPr>
        <w:t>For carbohydrate extraction, 5 mL of distilled water was added to the dried pellet, and the mixture was heated in a boiling water bath for 30 minutes to solubilize the carbohydrates. After cooling, the extract was centrifuged, and the clear supernatant was collected for analysis.</w:t>
      </w:r>
    </w:p>
    <w:p w14:paraId="39F10BE3" w14:textId="77777777" w:rsidR="00AA2A37" w:rsidRPr="00AA2A37" w:rsidRDefault="00AA2A37" w:rsidP="00AA2A37">
      <w:pPr>
        <w:shd w:val="clear" w:color="auto" w:fill="FFFFFF"/>
        <w:ind w:left="90"/>
        <w:rPr>
          <w:sz w:val="24"/>
          <w:szCs w:val="24"/>
        </w:rPr>
      </w:pPr>
      <w:r w:rsidRPr="00AA2A37">
        <w:rPr>
          <w:sz w:val="24"/>
          <w:szCs w:val="24"/>
        </w:rPr>
        <w:t xml:space="preserve">For the </w:t>
      </w:r>
      <w:proofErr w:type="spellStart"/>
      <w:r w:rsidRPr="00AA2A37">
        <w:rPr>
          <w:sz w:val="24"/>
          <w:szCs w:val="24"/>
        </w:rPr>
        <w:t>Anthrone</w:t>
      </w:r>
      <w:proofErr w:type="spellEnd"/>
      <w:r w:rsidRPr="00AA2A37">
        <w:rPr>
          <w:sz w:val="24"/>
          <w:szCs w:val="24"/>
        </w:rPr>
        <w:t xml:space="preserve"> assay, a freshly prepared 0.2% </w:t>
      </w:r>
      <w:proofErr w:type="spellStart"/>
      <w:r w:rsidRPr="00AA2A37">
        <w:rPr>
          <w:sz w:val="24"/>
          <w:szCs w:val="24"/>
        </w:rPr>
        <w:t>Anthrone</w:t>
      </w:r>
      <w:proofErr w:type="spellEnd"/>
      <w:r w:rsidRPr="00AA2A37">
        <w:rPr>
          <w:sz w:val="24"/>
          <w:szCs w:val="24"/>
        </w:rPr>
        <w:t xml:space="preserve"> reagent in concentrated sulfuric acid was used and kept chilled. One </w:t>
      </w:r>
      <w:proofErr w:type="spellStart"/>
      <w:r w:rsidRPr="00AA2A37">
        <w:rPr>
          <w:sz w:val="24"/>
          <w:szCs w:val="24"/>
        </w:rPr>
        <w:t>milliliter</w:t>
      </w:r>
      <w:proofErr w:type="spellEnd"/>
      <w:r w:rsidRPr="00AA2A37">
        <w:rPr>
          <w:sz w:val="24"/>
          <w:szCs w:val="24"/>
        </w:rPr>
        <w:t xml:space="preserve"> of the aqueous extract was carefully mixed with 4 mL of the </w:t>
      </w:r>
      <w:proofErr w:type="spellStart"/>
      <w:r w:rsidRPr="00AA2A37">
        <w:rPr>
          <w:sz w:val="24"/>
          <w:szCs w:val="24"/>
        </w:rPr>
        <w:t>Anthrone</w:t>
      </w:r>
      <w:proofErr w:type="spellEnd"/>
      <w:r w:rsidRPr="00AA2A37">
        <w:rPr>
          <w:sz w:val="24"/>
          <w:szCs w:val="24"/>
        </w:rPr>
        <w:t xml:space="preserve"> reagent in a test tube. The reaction mixture was heated in a boiling water bath for 10 minutes, rapidly cooled in an ice bath, and the absorbance was measured at 620 nm using a spectrophotometer.</w:t>
      </w:r>
    </w:p>
    <w:p w14:paraId="6F61C5B3" w14:textId="77777777" w:rsidR="00AA2A37" w:rsidRPr="00AA2A37" w:rsidRDefault="00AA2A37" w:rsidP="00AA2A37">
      <w:pPr>
        <w:shd w:val="clear" w:color="auto" w:fill="FFFFFF"/>
        <w:ind w:left="90"/>
        <w:rPr>
          <w:sz w:val="24"/>
          <w:szCs w:val="24"/>
        </w:rPr>
      </w:pPr>
      <w:r w:rsidRPr="00AA2A37">
        <w:rPr>
          <w:sz w:val="24"/>
          <w:szCs w:val="24"/>
        </w:rPr>
        <w:t xml:space="preserve">A standard curve was prepared using known concentrations of glucose ranging from 6.25 to 100 </w:t>
      </w:r>
      <w:proofErr w:type="spellStart"/>
      <w:r w:rsidRPr="00AA2A37">
        <w:rPr>
          <w:sz w:val="24"/>
          <w:szCs w:val="24"/>
        </w:rPr>
        <w:t>μg</w:t>
      </w:r>
      <w:proofErr w:type="spellEnd"/>
      <w:r w:rsidRPr="00AA2A37">
        <w:rPr>
          <w:sz w:val="24"/>
          <w:szCs w:val="24"/>
        </w:rPr>
        <w:t>/</w:t>
      </w:r>
      <w:proofErr w:type="spellStart"/>
      <w:r w:rsidRPr="00AA2A37">
        <w:rPr>
          <w:sz w:val="24"/>
          <w:szCs w:val="24"/>
        </w:rPr>
        <w:t>mL.</w:t>
      </w:r>
      <w:proofErr w:type="spellEnd"/>
      <w:r w:rsidRPr="00AA2A37">
        <w:rPr>
          <w:sz w:val="24"/>
          <w:szCs w:val="24"/>
        </w:rPr>
        <w:t xml:space="preserve"> The carbohydrate content of the samples was determined by interpolating the absorbance values from the standard curve. Results were expressed as milligrams of carbohydrate per gram of tissue, following the methods described by Yemm and Willis (1954) and Sadasivam and Manickam (1992).</w:t>
      </w:r>
    </w:p>
    <w:p w14:paraId="020E8CDE" w14:textId="77777777" w:rsidR="002D7CAA" w:rsidRPr="00A7015F" w:rsidRDefault="002D7CAA" w:rsidP="00F142EC">
      <w:pPr>
        <w:shd w:val="clear" w:color="auto" w:fill="FFFFFF"/>
        <w:ind w:left="90"/>
        <w:rPr>
          <w:b/>
          <w:bCs/>
          <w:sz w:val="24"/>
          <w:szCs w:val="24"/>
        </w:rPr>
      </w:pPr>
    </w:p>
    <w:p w14:paraId="7A1166C6" w14:textId="4C744A46" w:rsidR="00082554" w:rsidRPr="00A7015F" w:rsidRDefault="00611528" w:rsidP="00F142EC">
      <w:pPr>
        <w:shd w:val="clear" w:color="auto" w:fill="FFFFFF"/>
        <w:ind w:left="90"/>
        <w:rPr>
          <w:rStyle w:val="fontstyle01"/>
          <w:rFonts w:ascii="Times New Roman" w:hAnsi="Times New Roman"/>
          <w:color w:val="000000" w:themeColor="text1"/>
        </w:rPr>
      </w:pPr>
      <w:r>
        <w:rPr>
          <w:b/>
          <w:bCs/>
          <w:sz w:val="24"/>
          <w:szCs w:val="24"/>
        </w:rPr>
        <w:lastRenderedPageBreak/>
        <w:t>2.2.5.</w:t>
      </w:r>
      <w:r w:rsidR="00AA2A37">
        <w:rPr>
          <w:b/>
          <w:bCs/>
          <w:sz w:val="24"/>
          <w:szCs w:val="24"/>
        </w:rPr>
        <w:t>4</w:t>
      </w:r>
      <w:r>
        <w:rPr>
          <w:b/>
          <w:bCs/>
          <w:sz w:val="24"/>
          <w:szCs w:val="24"/>
        </w:rPr>
        <w:t xml:space="preserve">. </w:t>
      </w:r>
      <w:r w:rsidR="004B24EA" w:rsidRPr="00A7015F">
        <w:rPr>
          <w:rStyle w:val="fontstyle01"/>
          <w:rFonts w:ascii="Times New Roman" w:hAnsi="Times New Roman"/>
          <w:b/>
          <w:bCs/>
          <w:color w:val="000000" w:themeColor="text1"/>
        </w:rPr>
        <w:t xml:space="preserve">Statistical analysis </w:t>
      </w:r>
      <w:r w:rsidR="000613F4" w:rsidRPr="00A7015F">
        <w:rPr>
          <w:rStyle w:val="fontstyle01"/>
          <w:rFonts w:ascii="Times New Roman" w:hAnsi="Times New Roman"/>
          <w:b/>
          <w:bCs/>
          <w:color w:val="000000" w:themeColor="text1"/>
        </w:rPr>
        <w:t>–</w:t>
      </w:r>
      <w:r w:rsidR="004B24EA" w:rsidRPr="00A7015F">
        <w:rPr>
          <w:rStyle w:val="fontstyle01"/>
          <w:rFonts w:ascii="Times New Roman" w:hAnsi="Times New Roman"/>
          <w:b/>
          <w:bCs/>
          <w:color w:val="000000" w:themeColor="text1"/>
        </w:rPr>
        <w:t xml:space="preserve"> </w:t>
      </w:r>
      <w:r w:rsidR="000613F4" w:rsidRPr="00A7015F">
        <w:rPr>
          <w:rStyle w:val="fontstyle01"/>
          <w:rFonts w:ascii="Times New Roman" w:hAnsi="Times New Roman"/>
          <w:color w:val="000000" w:themeColor="text1"/>
        </w:rPr>
        <w:t xml:space="preserve">Biochemical data were expressed as </w:t>
      </w:r>
      <w:r w:rsidR="005F464D" w:rsidRPr="00A7015F">
        <w:rPr>
          <w:rStyle w:val="fontstyle01"/>
          <w:rFonts w:ascii="Times New Roman" w:hAnsi="Times New Roman"/>
          <w:color w:val="000000" w:themeColor="text1"/>
        </w:rPr>
        <w:t>M</w:t>
      </w:r>
      <w:r w:rsidR="0014597C" w:rsidRPr="00A7015F">
        <w:rPr>
          <w:rStyle w:val="fontstyle01"/>
          <w:rFonts w:ascii="Times New Roman" w:hAnsi="Times New Roman"/>
          <w:color w:val="000000" w:themeColor="text1"/>
        </w:rPr>
        <w:t xml:space="preserve">ean </w:t>
      </w:r>
      <w:r w:rsidR="005F464D" w:rsidRPr="00A7015F">
        <w:rPr>
          <w:rStyle w:val="fontstyle01"/>
          <w:rFonts w:ascii="Times New Roman" w:hAnsi="Times New Roman"/>
          <w:color w:val="000000" w:themeColor="text1"/>
        </w:rPr>
        <w:t>±</w:t>
      </w:r>
      <w:r w:rsidR="00B05F65" w:rsidRPr="00A7015F">
        <w:rPr>
          <w:rStyle w:val="fontstyle01"/>
          <w:rFonts w:ascii="Times New Roman" w:hAnsi="Times New Roman"/>
          <w:color w:val="000000" w:themeColor="text1"/>
        </w:rPr>
        <w:t>SEM statistical</w:t>
      </w:r>
      <w:r w:rsidR="000613F4" w:rsidRPr="00A7015F">
        <w:rPr>
          <w:rStyle w:val="fontstyle01"/>
          <w:rFonts w:ascii="Times New Roman" w:hAnsi="Times New Roman"/>
          <w:color w:val="000000" w:themeColor="text1"/>
        </w:rPr>
        <w:t xml:space="preserve"> analysis was carried out by </w:t>
      </w:r>
      <w:r w:rsidR="00876394" w:rsidRPr="00A7015F">
        <w:rPr>
          <w:rStyle w:val="fontstyle01"/>
          <w:rFonts w:ascii="Times New Roman" w:hAnsi="Times New Roman"/>
          <w:color w:val="000000" w:themeColor="text1"/>
        </w:rPr>
        <w:t xml:space="preserve">Standard deviation calculator </w:t>
      </w:r>
      <w:r w:rsidR="0014597C" w:rsidRPr="00A7015F">
        <w:rPr>
          <w:rStyle w:val="fontstyle01"/>
          <w:rFonts w:ascii="Times New Roman" w:hAnsi="Times New Roman"/>
          <w:color w:val="000000" w:themeColor="text1"/>
        </w:rPr>
        <w:t>difference</w:t>
      </w:r>
      <w:r w:rsidR="000613F4" w:rsidRPr="00A7015F">
        <w:rPr>
          <w:rStyle w:val="fontstyle01"/>
          <w:rFonts w:ascii="Times New Roman" w:hAnsi="Times New Roman"/>
          <w:color w:val="000000" w:themeColor="text1"/>
        </w:rPr>
        <w:t xml:space="preserve"> between </w:t>
      </w:r>
      <w:r w:rsidR="0014597C" w:rsidRPr="00A7015F">
        <w:rPr>
          <w:rStyle w:val="fontstyle01"/>
          <w:rFonts w:ascii="Times New Roman" w:hAnsi="Times New Roman"/>
          <w:color w:val="000000" w:themeColor="text1"/>
        </w:rPr>
        <w:t>control and treated group.</w:t>
      </w:r>
    </w:p>
    <w:p w14:paraId="7D690BF5" w14:textId="77777777" w:rsidR="00702FE5" w:rsidRPr="00A7015F" w:rsidRDefault="00702FE5" w:rsidP="00F142EC">
      <w:pPr>
        <w:shd w:val="clear" w:color="auto" w:fill="FFFFFF"/>
        <w:ind w:left="90"/>
        <w:rPr>
          <w:rStyle w:val="fontstyle01"/>
          <w:rFonts w:ascii="Times New Roman" w:hAnsi="Times New Roman"/>
          <w:b/>
          <w:bCs/>
          <w:color w:val="000000" w:themeColor="text1"/>
        </w:rPr>
      </w:pPr>
    </w:p>
    <w:p w14:paraId="5616C34A"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6505C238"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6C8A4908"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0FB525D1" w14:textId="77777777" w:rsidR="00D02611" w:rsidRPr="00A7015F" w:rsidRDefault="00D02611" w:rsidP="00AA2A37">
      <w:pPr>
        <w:shd w:val="clear" w:color="auto" w:fill="FFFFFF"/>
        <w:ind w:left="0"/>
        <w:rPr>
          <w:rStyle w:val="fontstyle01"/>
          <w:rFonts w:ascii="Times New Roman" w:hAnsi="Times New Roman"/>
          <w:b/>
          <w:bCs/>
          <w:color w:val="000000" w:themeColor="text1"/>
        </w:rPr>
      </w:pPr>
    </w:p>
    <w:p w14:paraId="3881ABE3" w14:textId="1D1B2694" w:rsidR="000438B7" w:rsidRPr="00EB7ACB" w:rsidRDefault="00611528" w:rsidP="00611528">
      <w:pPr>
        <w:shd w:val="clear" w:color="auto" w:fill="FFFFFF"/>
        <w:ind w:left="0"/>
        <w:rPr>
          <w:rStyle w:val="fontstyle01"/>
          <w:rFonts w:ascii="Times New Roman" w:hAnsi="Times New Roman"/>
          <w:b/>
          <w:bCs/>
          <w:color w:val="000000" w:themeColor="text1"/>
          <w:sz w:val="28"/>
          <w:szCs w:val="28"/>
        </w:rPr>
      </w:pPr>
      <w:r w:rsidRPr="00EB7ACB">
        <w:rPr>
          <w:rStyle w:val="fontstyle01"/>
          <w:rFonts w:ascii="Times New Roman" w:hAnsi="Times New Roman"/>
          <w:b/>
          <w:bCs/>
          <w:color w:val="000000" w:themeColor="text1"/>
          <w:sz w:val="28"/>
          <w:szCs w:val="28"/>
        </w:rPr>
        <w:t xml:space="preserve">3. </w:t>
      </w:r>
      <w:r w:rsidR="000438B7" w:rsidRPr="00EB7ACB">
        <w:rPr>
          <w:rStyle w:val="fontstyle01"/>
          <w:rFonts w:ascii="Times New Roman" w:hAnsi="Times New Roman"/>
          <w:b/>
          <w:bCs/>
          <w:color w:val="000000" w:themeColor="text1"/>
          <w:sz w:val="28"/>
          <w:szCs w:val="28"/>
        </w:rPr>
        <w:t>Result and Discussion –</w:t>
      </w:r>
    </w:p>
    <w:p w14:paraId="30EBE99F" w14:textId="02E796A3" w:rsidR="00702FE5" w:rsidRPr="00A7015F" w:rsidRDefault="00702FE5" w:rsidP="00F142EC">
      <w:pPr>
        <w:ind w:left="90"/>
      </w:pPr>
      <w:r w:rsidRPr="00A7015F">
        <w:rPr>
          <w:b/>
          <w:bCs/>
        </w:rPr>
        <w:t xml:space="preserve">Table </w:t>
      </w:r>
      <w:r w:rsidR="00611528">
        <w:rPr>
          <w:b/>
          <w:bCs/>
        </w:rPr>
        <w:t>1</w:t>
      </w:r>
      <w:r w:rsidRPr="00A7015F">
        <w:rPr>
          <w:b/>
          <w:bCs/>
        </w:rPr>
        <w:t xml:space="preserve">: </w:t>
      </w:r>
      <w:r w:rsidRPr="00A7015F">
        <w:t>Comparative biochemical Analysis of Ag2O/</w:t>
      </w:r>
      <w:proofErr w:type="spellStart"/>
      <w:r w:rsidRPr="00A7015F">
        <w:rPr>
          <w:rFonts w:eastAsia="Times New Roman"/>
          <w:color w:val="000000" w:themeColor="text1"/>
          <w:kern w:val="0"/>
          <w:sz w:val="24"/>
          <w:szCs w:val="24"/>
          <w:lang w:eastAsia="en-IN" w:bidi="mr-IN"/>
          <w14:ligatures w14:val="none"/>
        </w:rPr>
        <w:t>AgNP</w:t>
      </w:r>
      <w:proofErr w:type="spellEnd"/>
      <w:r w:rsidRPr="00A7015F">
        <w:t xml:space="preserve"> on different </w:t>
      </w:r>
      <w:r w:rsidR="00D02611" w:rsidRPr="00A7015F">
        <w:t>snails’</w:t>
      </w:r>
      <w:r w:rsidR="00611528">
        <w:t xml:space="preserve"> organs</w:t>
      </w:r>
      <w:r w:rsidRPr="00A7015F">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29"/>
        <w:gridCol w:w="1743"/>
        <w:gridCol w:w="2712"/>
        <w:gridCol w:w="1962"/>
        <w:gridCol w:w="2129"/>
      </w:tblGrid>
      <w:tr w:rsidR="00702FE5" w:rsidRPr="00A7015F" w14:paraId="709E9742" w14:textId="77777777" w:rsidTr="00611528">
        <w:trPr>
          <w:trHeight w:val="1152"/>
          <w:jc w:val="center"/>
        </w:trPr>
        <w:tc>
          <w:tcPr>
            <w:tcW w:w="569" w:type="dxa"/>
            <w:vAlign w:val="center"/>
            <w:hideMark/>
          </w:tcPr>
          <w:p w14:paraId="656E578B"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Sr. No.</w:t>
            </w:r>
          </w:p>
        </w:tc>
        <w:tc>
          <w:tcPr>
            <w:tcW w:w="1495" w:type="dxa"/>
            <w:vAlign w:val="center"/>
            <w:hideMark/>
          </w:tcPr>
          <w:p w14:paraId="55216715"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Snail/Slug Scientific Name</w:t>
            </w:r>
          </w:p>
        </w:tc>
        <w:tc>
          <w:tcPr>
            <w:tcW w:w="1744" w:type="dxa"/>
            <w:vAlign w:val="center"/>
            <w:hideMark/>
          </w:tcPr>
          <w:p w14:paraId="7D7C6691"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Organ / Tissue</w:t>
            </w:r>
          </w:p>
        </w:tc>
        <w:tc>
          <w:tcPr>
            <w:tcW w:w="2757" w:type="dxa"/>
            <w:vAlign w:val="center"/>
            <w:hideMark/>
          </w:tcPr>
          <w:p w14:paraId="2877D5FE"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Biochemical Change (Protein, Lipid, Carb.)</w:t>
            </w:r>
          </w:p>
        </w:tc>
        <w:tc>
          <w:tcPr>
            <w:tcW w:w="1980" w:type="dxa"/>
            <w:vAlign w:val="center"/>
            <w:hideMark/>
          </w:tcPr>
          <w:p w14:paraId="18593AEE"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Effect</w:t>
            </w:r>
          </w:p>
        </w:tc>
        <w:tc>
          <w:tcPr>
            <w:tcW w:w="2160" w:type="dxa"/>
            <w:vAlign w:val="center"/>
          </w:tcPr>
          <w:p w14:paraId="32368524" w14:textId="642B7DC2"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Reference</w:t>
            </w:r>
          </w:p>
        </w:tc>
      </w:tr>
      <w:tr w:rsidR="00702FE5" w:rsidRPr="00A7015F" w14:paraId="5510766D" w14:textId="77777777" w:rsidTr="00F11732">
        <w:trPr>
          <w:trHeight w:val="1728"/>
          <w:jc w:val="center"/>
        </w:trPr>
        <w:tc>
          <w:tcPr>
            <w:tcW w:w="569" w:type="dxa"/>
            <w:vAlign w:val="center"/>
            <w:hideMark/>
          </w:tcPr>
          <w:p w14:paraId="0F1DAF5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1.</w:t>
            </w:r>
          </w:p>
        </w:tc>
        <w:tc>
          <w:tcPr>
            <w:tcW w:w="1495" w:type="dxa"/>
            <w:vAlign w:val="center"/>
            <w:hideMark/>
          </w:tcPr>
          <w:p w14:paraId="00DD94AD"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Lehmannia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nyctelia</w:t>
            </w:r>
            <w:proofErr w:type="spellEnd"/>
            <w:r w:rsidRPr="00A7015F">
              <w:rPr>
                <w:rFonts w:eastAsia="Times New Roman"/>
                <w:color w:val="000000"/>
                <w:kern w:val="0"/>
                <w:lang w:eastAsia="en-IN" w:bidi="mr-IN"/>
                <w14:ligatures w14:val="none"/>
              </w:rPr>
              <w:t xml:space="preserve"> (slug) </w:t>
            </w:r>
          </w:p>
        </w:tc>
        <w:tc>
          <w:tcPr>
            <w:tcW w:w="1744" w:type="dxa"/>
            <w:vAlign w:val="center"/>
            <w:hideMark/>
          </w:tcPr>
          <w:p w14:paraId="4F9D570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Digestive gland </w:t>
            </w:r>
          </w:p>
        </w:tc>
        <w:tc>
          <w:tcPr>
            <w:tcW w:w="2757" w:type="dxa"/>
            <w:vAlign w:val="center"/>
            <w:hideMark/>
          </w:tcPr>
          <w:p w14:paraId="6221CCB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exposed to </w:t>
            </w:r>
            <w:proofErr w:type="spellStart"/>
            <w:r w:rsidRPr="00A7015F">
              <w:rPr>
                <w:rFonts w:eastAsia="Times New Roman"/>
                <w:color w:val="000000"/>
                <w:kern w:val="0"/>
                <w:lang w:eastAsia="en-IN" w:bidi="mr-IN"/>
                <w14:ligatures w14:val="none"/>
              </w:rPr>
              <w:t>AgNPs</w:t>
            </w:r>
            <w:proofErr w:type="spellEnd"/>
            <w:r w:rsidRPr="00A7015F">
              <w:rPr>
                <w:rFonts w:eastAsia="Times New Roman"/>
                <w:color w:val="000000"/>
                <w:kern w:val="0"/>
                <w:lang w:eastAsia="en-IN" w:bidi="mr-IN"/>
                <w14:ligatures w14:val="none"/>
              </w:rPr>
              <w:t xml:space="preserve">/Ag2O </w:t>
            </w:r>
          </w:p>
          <w:p w14:paraId="45B76DDC"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Total protein, ↓ Total carbohydrate; ↑ Total lipid after exposure to Ag nanoparticles</w:t>
            </w:r>
          </w:p>
        </w:tc>
        <w:tc>
          <w:tcPr>
            <w:tcW w:w="1980" w:type="dxa"/>
            <w:vAlign w:val="center"/>
            <w:hideMark/>
          </w:tcPr>
          <w:p w14:paraId="28FE618C" w14:textId="77777777" w:rsidR="00702FE5" w:rsidRPr="00A7015F" w:rsidRDefault="00702FE5" w:rsidP="00F142EC">
            <w:pPr>
              <w:spacing w:after="0" w:line="240" w:lineRule="auto"/>
              <w:ind w:left="90"/>
              <w:rPr>
                <w:rFonts w:eastAsia="Times New Roman"/>
                <w:color w:val="0563C1"/>
                <w:kern w:val="0"/>
                <w:lang w:eastAsia="en-IN" w:bidi="mr-IN"/>
                <w14:ligatures w14:val="none"/>
              </w:rPr>
            </w:pPr>
            <w:r w:rsidRPr="00A7015F">
              <w:rPr>
                <w:rFonts w:eastAsia="Times New Roman"/>
                <w:color w:val="000000" w:themeColor="text1"/>
                <w:kern w:val="0"/>
                <w:lang w:eastAsia="en-IN" w:bidi="mr-IN"/>
                <w14:ligatures w14:val="none"/>
              </w:rPr>
              <w:t xml:space="preserve">↓TP &amp; TC, </w:t>
            </w:r>
            <w:r w:rsidRPr="00A7015F">
              <w:rPr>
                <w:rFonts w:eastAsia="Times New Roman"/>
                <w:color w:val="000000"/>
                <w:kern w:val="0"/>
                <w:lang w:eastAsia="en-IN" w:bidi="mr-IN"/>
                <w14:ligatures w14:val="none"/>
              </w:rPr>
              <w:t>↑</w:t>
            </w:r>
            <w:r w:rsidRPr="00A7015F">
              <w:rPr>
                <w:rFonts w:eastAsia="Times New Roman"/>
                <w:color w:val="000000" w:themeColor="text1"/>
                <w:kern w:val="0"/>
                <w:lang w:eastAsia="en-IN" w:bidi="mr-IN"/>
                <w14:ligatures w14:val="none"/>
              </w:rPr>
              <w:t xml:space="preserve"> TL in slug after Ag NP exposure </w:t>
            </w:r>
          </w:p>
        </w:tc>
        <w:tc>
          <w:tcPr>
            <w:tcW w:w="2160" w:type="dxa"/>
          </w:tcPr>
          <w:p w14:paraId="41F0FC6B"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Messaoudi, I., et.al. (2022).</w:t>
            </w:r>
          </w:p>
        </w:tc>
      </w:tr>
      <w:tr w:rsidR="00702FE5" w:rsidRPr="00A7015F" w14:paraId="774ED332" w14:textId="77777777" w:rsidTr="00F11732">
        <w:trPr>
          <w:trHeight w:val="1728"/>
          <w:jc w:val="center"/>
        </w:trPr>
        <w:tc>
          <w:tcPr>
            <w:tcW w:w="569" w:type="dxa"/>
            <w:vAlign w:val="center"/>
            <w:hideMark/>
          </w:tcPr>
          <w:p w14:paraId="739C207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2.</w:t>
            </w:r>
          </w:p>
        </w:tc>
        <w:tc>
          <w:tcPr>
            <w:tcW w:w="1495" w:type="dxa"/>
            <w:vAlign w:val="center"/>
            <w:hideMark/>
          </w:tcPr>
          <w:p w14:paraId="47967283"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Lehmannia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nyctelia</w:t>
            </w:r>
            <w:proofErr w:type="spellEnd"/>
          </w:p>
        </w:tc>
        <w:tc>
          <w:tcPr>
            <w:tcW w:w="1744" w:type="dxa"/>
            <w:vAlign w:val="center"/>
            <w:hideMark/>
          </w:tcPr>
          <w:p w14:paraId="71B3DA09"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Reproductive system</w:t>
            </w:r>
          </w:p>
        </w:tc>
        <w:tc>
          <w:tcPr>
            <w:tcW w:w="2757" w:type="dxa"/>
            <w:vAlign w:val="center"/>
            <w:hideMark/>
          </w:tcPr>
          <w:p w14:paraId="1BC0924B"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SOD (superoxide dismutase) and ↓ GST (glutathione-S-transferase; oxidative stress biomarkers)</w:t>
            </w:r>
          </w:p>
        </w:tc>
        <w:tc>
          <w:tcPr>
            <w:tcW w:w="1980" w:type="dxa"/>
            <w:vAlign w:val="center"/>
            <w:hideMark/>
          </w:tcPr>
          <w:p w14:paraId="45B90703"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Oxidative stress &amp; changed antioxidant enzyme </w:t>
            </w:r>
          </w:p>
        </w:tc>
        <w:tc>
          <w:tcPr>
            <w:tcW w:w="2160" w:type="dxa"/>
          </w:tcPr>
          <w:p w14:paraId="664EC7AB"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Messaoudi, I., et.al. (2022).</w:t>
            </w:r>
          </w:p>
        </w:tc>
      </w:tr>
      <w:tr w:rsidR="00702FE5" w:rsidRPr="00A7015F" w14:paraId="08D096FB" w14:textId="77777777" w:rsidTr="00F11732">
        <w:trPr>
          <w:trHeight w:val="1440"/>
          <w:jc w:val="center"/>
        </w:trPr>
        <w:tc>
          <w:tcPr>
            <w:tcW w:w="569" w:type="dxa"/>
            <w:vAlign w:val="center"/>
            <w:hideMark/>
          </w:tcPr>
          <w:p w14:paraId="26090A78"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3.</w:t>
            </w:r>
          </w:p>
        </w:tc>
        <w:tc>
          <w:tcPr>
            <w:tcW w:w="1495" w:type="dxa"/>
            <w:vAlign w:val="center"/>
            <w:hideMark/>
          </w:tcPr>
          <w:p w14:paraId="43E36740"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Biomphalaria</w:t>
            </w:r>
            <w:proofErr w:type="spellEnd"/>
            <w:r w:rsidRPr="00A7015F">
              <w:rPr>
                <w:rFonts w:eastAsia="Times New Roman"/>
                <w:i/>
                <w:iCs/>
                <w:color w:val="000000"/>
                <w:kern w:val="0"/>
                <w:lang w:eastAsia="en-IN" w:bidi="mr-IN"/>
                <w14:ligatures w14:val="none"/>
              </w:rPr>
              <w:t xml:space="preserve"> glabrata</w:t>
            </w:r>
            <w:r w:rsidRPr="00A7015F">
              <w:rPr>
                <w:rFonts w:eastAsia="Times New Roman"/>
                <w:color w:val="000000"/>
                <w:kern w:val="0"/>
                <w:lang w:eastAsia="en-IN" w:bidi="mr-IN"/>
                <w14:ligatures w14:val="none"/>
              </w:rPr>
              <w:t xml:space="preserve"> (freshwater snail)</w:t>
            </w:r>
          </w:p>
        </w:tc>
        <w:tc>
          <w:tcPr>
            <w:tcW w:w="1744" w:type="dxa"/>
            <w:vAlign w:val="center"/>
            <w:hideMark/>
          </w:tcPr>
          <w:p w14:paraId="05FCCAE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Hepatopancreas / gonad / digestive tract</w:t>
            </w:r>
          </w:p>
        </w:tc>
        <w:tc>
          <w:tcPr>
            <w:tcW w:w="2757" w:type="dxa"/>
            <w:vAlign w:val="center"/>
            <w:hideMark/>
          </w:tcPr>
          <w:p w14:paraId="4E01EDA4"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Silver accumulation varies by tissue; higher Ag in digestive gland and soft tissues vs foot</w:t>
            </w:r>
          </w:p>
        </w:tc>
        <w:tc>
          <w:tcPr>
            <w:tcW w:w="1980" w:type="dxa"/>
            <w:vAlign w:val="center"/>
            <w:hideMark/>
          </w:tcPr>
          <w:p w14:paraId="3B069CF9"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Silver accumulation &amp; tissue distribution patterns</w:t>
            </w:r>
          </w:p>
        </w:tc>
        <w:tc>
          <w:tcPr>
            <w:tcW w:w="2160" w:type="dxa"/>
          </w:tcPr>
          <w:p w14:paraId="07C0C19F"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Croteau, M.-</w:t>
            </w:r>
            <w:proofErr w:type="spellStart"/>
            <w:r w:rsidRPr="00A7015F">
              <w:t>N.,et.al</w:t>
            </w:r>
            <w:proofErr w:type="spellEnd"/>
            <w:r w:rsidRPr="00A7015F">
              <w:t>. (2011).</w:t>
            </w:r>
          </w:p>
        </w:tc>
      </w:tr>
      <w:tr w:rsidR="00702FE5" w:rsidRPr="00A7015F" w14:paraId="4FF2BDCD" w14:textId="77777777" w:rsidTr="00F11732">
        <w:trPr>
          <w:trHeight w:val="2016"/>
          <w:jc w:val="center"/>
        </w:trPr>
        <w:tc>
          <w:tcPr>
            <w:tcW w:w="569" w:type="dxa"/>
            <w:vAlign w:val="center"/>
            <w:hideMark/>
          </w:tcPr>
          <w:p w14:paraId="453CC0B9"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4.</w:t>
            </w:r>
          </w:p>
        </w:tc>
        <w:tc>
          <w:tcPr>
            <w:tcW w:w="1495" w:type="dxa"/>
            <w:vAlign w:val="center"/>
            <w:hideMark/>
          </w:tcPr>
          <w:p w14:paraId="46BA531F"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Physa</w:t>
            </w:r>
            <w:proofErr w:type="spellEnd"/>
            <w:r w:rsidRPr="00A7015F">
              <w:rPr>
                <w:rFonts w:eastAsia="Times New Roman"/>
                <w:i/>
                <w:iCs/>
                <w:color w:val="000000"/>
                <w:kern w:val="0"/>
                <w:lang w:eastAsia="en-IN" w:bidi="mr-IN"/>
                <w14:ligatures w14:val="none"/>
              </w:rPr>
              <w:t xml:space="preserve"> acuta</w:t>
            </w:r>
            <w:r w:rsidRPr="00A7015F">
              <w:rPr>
                <w:rFonts w:eastAsia="Times New Roman"/>
                <w:color w:val="000000"/>
                <w:kern w:val="0"/>
                <w:lang w:eastAsia="en-IN" w:bidi="mr-IN"/>
                <w14:ligatures w14:val="none"/>
              </w:rPr>
              <w:t xml:space="preserve"> (freshwater snail)</w:t>
            </w:r>
          </w:p>
        </w:tc>
        <w:tc>
          <w:tcPr>
            <w:tcW w:w="1744" w:type="dxa"/>
            <w:vAlign w:val="center"/>
            <w:hideMark/>
          </w:tcPr>
          <w:p w14:paraId="7513A4E6"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Digestive gland</w:t>
            </w:r>
          </w:p>
        </w:tc>
        <w:tc>
          <w:tcPr>
            <w:tcW w:w="2757" w:type="dxa"/>
            <w:vAlign w:val="center"/>
            <w:hideMark/>
          </w:tcPr>
          <w:p w14:paraId="0DAA0731"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Chronic Ag exposure affects vital rates and reproduction; no direct organ-level protein/lipid reported</w:t>
            </w:r>
          </w:p>
        </w:tc>
        <w:tc>
          <w:tcPr>
            <w:tcW w:w="1980" w:type="dxa"/>
            <w:vAlign w:val="center"/>
            <w:hideMark/>
          </w:tcPr>
          <w:p w14:paraId="4EE28B30"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General </w:t>
            </w:r>
            <w:proofErr w:type="spellStart"/>
            <w:r w:rsidRPr="00A7015F">
              <w:rPr>
                <w:rFonts w:eastAsia="Times New Roman"/>
                <w:color w:val="000000" w:themeColor="text1"/>
                <w:kern w:val="0"/>
                <w:lang w:eastAsia="en-IN" w:bidi="mr-IN"/>
                <w14:ligatures w14:val="none"/>
              </w:rPr>
              <w:t>AgNP</w:t>
            </w:r>
            <w:proofErr w:type="spellEnd"/>
            <w:r w:rsidRPr="00A7015F">
              <w:rPr>
                <w:rFonts w:eastAsia="Times New Roman"/>
                <w:color w:val="000000" w:themeColor="text1"/>
                <w:kern w:val="0"/>
                <w:lang w:eastAsia="en-IN" w:bidi="mr-IN"/>
                <w14:ligatures w14:val="none"/>
              </w:rPr>
              <w:t xml:space="preserve"> snail toxicity in </w:t>
            </w:r>
            <w:proofErr w:type="spellStart"/>
            <w:r w:rsidRPr="00A7015F">
              <w:rPr>
                <w:rFonts w:eastAsia="Times New Roman"/>
                <w:color w:val="000000" w:themeColor="text1"/>
                <w:kern w:val="0"/>
                <w:lang w:eastAsia="en-IN" w:bidi="mr-IN"/>
                <w14:ligatures w14:val="none"/>
              </w:rPr>
              <w:t>Physa</w:t>
            </w:r>
            <w:proofErr w:type="spellEnd"/>
            <w:r w:rsidRPr="00A7015F">
              <w:rPr>
                <w:rFonts w:eastAsia="Times New Roman"/>
                <w:color w:val="000000" w:themeColor="text1"/>
                <w:kern w:val="0"/>
                <w:lang w:eastAsia="en-IN" w:bidi="mr-IN"/>
                <w14:ligatures w14:val="none"/>
              </w:rPr>
              <w:t xml:space="preserve"> spp.</w:t>
            </w:r>
          </w:p>
        </w:tc>
        <w:tc>
          <w:tcPr>
            <w:tcW w:w="2160" w:type="dxa"/>
          </w:tcPr>
          <w:p w14:paraId="6402869A"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Bielmyer-</w:t>
            </w:r>
            <w:proofErr w:type="spellStart"/>
            <w:r w:rsidRPr="00A7015F">
              <w:t>Fraser,et.al</w:t>
            </w:r>
            <w:proofErr w:type="spellEnd"/>
            <w:r w:rsidRPr="00A7015F">
              <w:t>. (2014).</w:t>
            </w:r>
          </w:p>
        </w:tc>
      </w:tr>
      <w:tr w:rsidR="00702FE5" w:rsidRPr="00A7015F" w14:paraId="00D50722" w14:textId="77777777" w:rsidTr="00F11732">
        <w:trPr>
          <w:trHeight w:val="2016"/>
          <w:jc w:val="center"/>
        </w:trPr>
        <w:tc>
          <w:tcPr>
            <w:tcW w:w="569" w:type="dxa"/>
            <w:vAlign w:val="center"/>
            <w:hideMark/>
          </w:tcPr>
          <w:p w14:paraId="2E6844FB"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lastRenderedPageBreak/>
              <w:t>5.</w:t>
            </w:r>
          </w:p>
        </w:tc>
        <w:tc>
          <w:tcPr>
            <w:tcW w:w="1495" w:type="dxa"/>
            <w:vAlign w:val="center"/>
            <w:hideMark/>
          </w:tcPr>
          <w:p w14:paraId="712B0D0C"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Monacha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obstructa</w:t>
            </w:r>
            <w:proofErr w:type="spellEnd"/>
            <w:r w:rsidRPr="00A7015F">
              <w:rPr>
                <w:rFonts w:eastAsia="Times New Roman"/>
                <w:color w:val="000000"/>
                <w:kern w:val="0"/>
                <w:lang w:eastAsia="en-IN" w:bidi="mr-IN"/>
                <w14:ligatures w14:val="none"/>
              </w:rPr>
              <w:t xml:space="preserve"> (land snail)</w:t>
            </w:r>
          </w:p>
        </w:tc>
        <w:tc>
          <w:tcPr>
            <w:tcW w:w="1744" w:type="dxa"/>
            <w:vAlign w:val="center"/>
            <w:hideMark/>
          </w:tcPr>
          <w:p w14:paraId="1BA08A96"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Digestive gland </w:t>
            </w:r>
          </w:p>
        </w:tc>
        <w:tc>
          <w:tcPr>
            <w:tcW w:w="2757" w:type="dxa"/>
            <w:vAlign w:val="center"/>
            <w:hideMark/>
          </w:tcPr>
          <w:p w14:paraId="78F14E7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silver oxide nanoparticles, ↓ total protein and ↓ total lipid compared with control; altered AST, ALT, </w:t>
            </w:r>
            <w:proofErr w:type="spellStart"/>
            <w:r w:rsidRPr="00A7015F">
              <w:rPr>
                <w:rFonts w:eastAsia="Times New Roman"/>
                <w:color w:val="000000"/>
                <w:kern w:val="0"/>
                <w:lang w:eastAsia="en-IN" w:bidi="mr-IN"/>
                <w14:ligatures w14:val="none"/>
              </w:rPr>
              <w:t>AChE</w:t>
            </w:r>
            <w:proofErr w:type="spellEnd"/>
            <w:r w:rsidRPr="00A7015F">
              <w:rPr>
                <w:rFonts w:eastAsia="Times New Roman"/>
                <w:color w:val="000000"/>
                <w:kern w:val="0"/>
                <w:lang w:eastAsia="en-IN" w:bidi="mr-IN"/>
                <w14:ligatures w14:val="none"/>
              </w:rPr>
              <w:t xml:space="preserve"> enzymes</w:t>
            </w:r>
          </w:p>
        </w:tc>
        <w:tc>
          <w:tcPr>
            <w:tcW w:w="1980" w:type="dxa"/>
            <w:vAlign w:val="center"/>
            <w:hideMark/>
          </w:tcPr>
          <w:p w14:paraId="5C5C315A"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Effects of chitosan &amp; silver NP on snail </w:t>
            </w:r>
          </w:p>
        </w:tc>
        <w:tc>
          <w:tcPr>
            <w:tcW w:w="2160" w:type="dxa"/>
          </w:tcPr>
          <w:p w14:paraId="57DE28EE"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 xml:space="preserve">Abdel-Tawwab, </w:t>
            </w:r>
            <w:proofErr w:type="spellStart"/>
            <w:r w:rsidRPr="00A7015F">
              <w:t>M.,et.al</w:t>
            </w:r>
            <w:proofErr w:type="spellEnd"/>
            <w:r w:rsidRPr="00A7015F">
              <w:t>. (2022).</w:t>
            </w:r>
          </w:p>
        </w:tc>
      </w:tr>
    </w:tbl>
    <w:p w14:paraId="077F6092" w14:textId="77777777" w:rsidR="00702FE5" w:rsidRPr="00A7015F" w:rsidRDefault="00702FE5" w:rsidP="00F142EC">
      <w:pPr>
        <w:ind w:left="90"/>
      </w:pPr>
    </w:p>
    <w:p w14:paraId="1B0BC6D8" w14:textId="77777777" w:rsidR="000C4264" w:rsidRPr="00A7015F" w:rsidRDefault="000C4264" w:rsidP="00F142EC">
      <w:pPr>
        <w:ind w:left="90"/>
      </w:pPr>
    </w:p>
    <w:p w14:paraId="559C14E4" w14:textId="77777777" w:rsidR="000C4264" w:rsidRPr="00A7015F" w:rsidRDefault="000C4264" w:rsidP="00F142EC">
      <w:pPr>
        <w:pStyle w:val="ListParagraph"/>
        <w:ind w:left="90"/>
      </w:pPr>
    </w:p>
    <w:p w14:paraId="3B086537" w14:textId="77777777" w:rsidR="00611528" w:rsidRDefault="00611528" w:rsidP="00F142EC">
      <w:pPr>
        <w:pStyle w:val="ListParagraph"/>
        <w:ind w:left="90"/>
        <w:rPr>
          <w:b/>
          <w:bCs/>
        </w:rPr>
      </w:pPr>
    </w:p>
    <w:p w14:paraId="76DB9AD3" w14:textId="77777777" w:rsidR="00611528" w:rsidRDefault="00611528" w:rsidP="00F142EC">
      <w:pPr>
        <w:pStyle w:val="ListParagraph"/>
        <w:ind w:left="90"/>
        <w:rPr>
          <w:b/>
          <w:bCs/>
        </w:rPr>
      </w:pPr>
    </w:p>
    <w:p w14:paraId="729337B3" w14:textId="77777777" w:rsidR="00611528" w:rsidRDefault="00611528" w:rsidP="00F142EC">
      <w:pPr>
        <w:pStyle w:val="ListParagraph"/>
        <w:ind w:left="90"/>
        <w:rPr>
          <w:b/>
          <w:bCs/>
        </w:rPr>
      </w:pPr>
    </w:p>
    <w:p w14:paraId="701D25BD" w14:textId="098AA596" w:rsidR="00EF6123" w:rsidRPr="003D39AF" w:rsidRDefault="00702FE5" w:rsidP="00611528">
      <w:pPr>
        <w:pStyle w:val="ListParagraph"/>
        <w:ind w:left="90"/>
      </w:pPr>
      <w:r w:rsidRPr="00A7015F">
        <w:rPr>
          <w:b/>
          <w:bCs/>
        </w:rPr>
        <w:t>Table-</w:t>
      </w:r>
      <w:r w:rsidR="00611528">
        <w:rPr>
          <w:b/>
          <w:bCs/>
        </w:rPr>
        <w:t xml:space="preserve">2. </w:t>
      </w:r>
      <w:r w:rsidR="003D39AF" w:rsidRPr="003D39AF">
        <w:t xml:space="preserve">Effect of different concentration (PPM) and exposure duration (hours) of silver oxide nanoparticles Ag2O NPs on Proteins, lipid and carbohydrates level in the intestine and foot muscles of </w:t>
      </w:r>
      <w:proofErr w:type="spellStart"/>
      <w:r w:rsidR="003D39AF" w:rsidRPr="003D39AF">
        <w:rPr>
          <w:i/>
          <w:iCs/>
        </w:rPr>
        <w:t>Lissachatina</w:t>
      </w:r>
      <w:proofErr w:type="spellEnd"/>
      <w:r w:rsidR="003D39AF" w:rsidRPr="003D39AF">
        <w:rPr>
          <w:i/>
          <w:iCs/>
        </w:rPr>
        <w:t xml:space="preserve"> fulica</w:t>
      </w:r>
      <w:r w:rsidR="003D39AF" w:rsidRPr="003D39AF">
        <w:t xml:space="preserve"> (</w:t>
      </w:r>
      <w:proofErr w:type="spellStart"/>
      <w:r w:rsidR="003D39AF" w:rsidRPr="003D39AF">
        <w:rPr>
          <w:rFonts w:eastAsia="Times New Roman"/>
          <w:color w:val="000000"/>
          <w:kern w:val="0"/>
          <w:sz w:val="24"/>
          <w:szCs w:val="24"/>
          <w:lang w:eastAsia="en-IN" w:bidi="mr-IN"/>
          <w14:ligatures w14:val="none"/>
        </w:rPr>
        <w:t>Mean±SD</w:t>
      </w:r>
      <w:proofErr w:type="spellEnd"/>
      <w:r w:rsidR="003D39AF" w:rsidRPr="003D39AF">
        <w:rPr>
          <w:rFonts w:eastAsia="Times New Roman"/>
          <w:color w:val="000000"/>
          <w:kern w:val="0"/>
          <w:sz w:val="24"/>
          <w:szCs w:val="24"/>
          <w:lang w:eastAsia="en-IN" w:bidi="mr-IN"/>
          <w14:ligatures w14:val="none"/>
        </w:rPr>
        <w:t>)</w:t>
      </w:r>
      <w:r w:rsidR="003D39AF">
        <w:rPr>
          <w:rFonts w:eastAsia="Times New Roman"/>
          <w:color w:val="000000"/>
          <w:kern w:val="0"/>
          <w:sz w:val="24"/>
          <w:szCs w:val="24"/>
          <w:lang w:eastAsia="en-IN" w:bidi="mr-IN"/>
          <w14:ligatures w14:val="none"/>
        </w:rPr>
        <w:t>.</w:t>
      </w:r>
    </w:p>
    <w:tbl>
      <w:tblPr>
        <w:tblW w:w="1061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133"/>
        <w:gridCol w:w="1559"/>
        <w:gridCol w:w="1484"/>
        <w:gridCol w:w="1530"/>
        <w:gridCol w:w="1524"/>
        <w:gridCol w:w="1536"/>
      </w:tblGrid>
      <w:tr w:rsidR="008E0A84" w:rsidRPr="00A7015F" w14:paraId="12ACB40C" w14:textId="77777777" w:rsidTr="002C5D8E">
        <w:trPr>
          <w:trHeight w:val="182"/>
        </w:trPr>
        <w:tc>
          <w:tcPr>
            <w:tcW w:w="1853" w:type="dxa"/>
            <w:vMerge w:val="restart"/>
          </w:tcPr>
          <w:p w14:paraId="47BD794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2692" w:type="dxa"/>
            <w:gridSpan w:val="2"/>
            <w:noWrap/>
            <w:vAlign w:val="bottom"/>
          </w:tcPr>
          <w:p w14:paraId="4AE1DD13" w14:textId="77777777" w:rsidR="008E0A84" w:rsidRPr="00A7015F"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Concentration</w:t>
            </w:r>
          </w:p>
        </w:tc>
        <w:tc>
          <w:tcPr>
            <w:tcW w:w="3014" w:type="dxa"/>
            <w:gridSpan w:val="2"/>
            <w:noWrap/>
            <w:vAlign w:val="bottom"/>
          </w:tcPr>
          <w:p w14:paraId="55EB04A8" w14:textId="77777777" w:rsidR="008E0A84" w:rsidRPr="00A7015F"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5.00 PPM</w:t>
            </w:r>
          </w:p>
        </w:tc>
        <w:tc>
          <w:tcPr>
            <w:tcW w:w="3060" w:type="dxa"/>
            <w:gridSpan w:val="2"/>
            <w:noWrap/>
            <w:vAlign w:val="bottom"/>
          </w:tcPr>
          <w:p w14:paraId="341E8A4E" w14:textId="77777777" w:rsidR="008E0A84" w:rsidRPr="00A7015F"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10.00 PPM</w:t>
            </w:r>
          </w:p>
        </w:tc>
      </w:tr>
      <w:tr w:rsidR="008E0A84" w:rsidRPr="00A7015F" w14:paraId="2AA84580" w14:textId="77777777" w:rsidTr="002C5D8E">
        <w:trPr>
          <w:trHeight w:val="182"/>
        </w:trPr>
        <w:tc>
          <w:tcPr>
            <w:tcW w:w="1853" w:type="dxa"/>
            <w:vMerge/>
          </w:tcPr>
          <w:p w14:paraId="0683DE7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133" w:type="dxa"/>
            <w:noWrap/>
            <w:vAlign w:val="bottom"/>
            <w:hideMark/>
          </w:tcPr>
          <w:p w14:paraId="0BF963BB" w14:textId="77777777" w:rsidR="008E0A84" w:rsidRPr="00A7015F" w:rsidRDefault="008E0A84" w:rsidP="00F142EC">
            <w:pPr>
              <w:spacing w:after="0" w:line="240" w:lineRule="auto"/>
              <w:ind w:left="90"/>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Tissue</w:t>
            </w:r>
          </w:p>
        </w:tc>
        <w:tc>
          <w:tcPr>
            <w:tcW w:w="1559" w:type="dxa"/>
            <w:noWrap/>
            <w:vAlign w:val="bottom"/>
            <w:hideMark/>
          </w:tcPr>
          <w:p w14:paraId="16F5F72A" w14:textId="2B1D68E2" w:rsidR="008E0A84" w:rsidRDefault="003D39AF"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w:t>
            </w:r>
            <w:r w:rsidR="008E0A84" w:rsidRPr="00A7015F">
              <w:rPr>
                <w:rFonts w:eastAsia="Times New Roman"/>
                <w:b/>
                <w:bCs/>
                <w:color w:val="000000"/>
                <w:kern w:val="0"/>
                <w:sz w:val="24"/>
                <w:szCs w:val="24"/>
                <w:lang w:eastAsia="en-IN" w:bidi="mr-IN"/>
                <w14:ligatures w14:val="none"/>
              </w:rPr>
              <w:t>ontrol</w:t>
            </w:r>
          </w:p>
          <w:p w14:paraId="7973A5C4" w14:textId="2550A386" w:rsidR="003D39AF" w:rsidRPr="00A7015F" w:rsidRDefault="003D39AF" w:rsidP="001F0086">
            <w:pPr>
              <w:spacing w:after="0" w:line="240" w:lineRule="auto"/>
              <w:ind w:left="90"/>
              <w:jc w:val="center"/>
              <w:rPr>
                <w:rFonts w:eastAsia="Times New Roman"/>
                <w:b/>
                <w:bCs/>
                <w:color w:val="000000"/>
                <w:kern w:val="0"/>
                <w:sz w:val="24"/>
                <w:szCs w:val="24"/>
                <w:lang w:eastAsia="en-IN" w:bidi="mr-IN"/>
                <w14:ligatures w14:val="none"/>
              </w:rPr>
            </w:pPr>
            <w:r>
              <w:rPr>
                <w:rFonts w:eastAsia="Times New Roman"/>
                <w:b/>
                <w:bCs/>
                <w:color w:val="000000"/>
                <w:kern w:val="0"/>
                <w:sz w:val="24"/>
                <w:szCs w:val="24"/>
                <w:lang w:eastAsia="en-IN" w:bidi="mr-IN"/>
                <w14:ligatures w14:val="none"/>
              </w:rPr>
              <w:t>Mean</w:t>
            </w:r>
            <w:r w:rsidR="002C5D8E">
              <w:rPr>
                <w:rFonts w:eastAsia="Times New Roman"/>
                <w:b/>
                <w:bCs/>
                <w:color w:val="000000"/>
                <w:kern w:val="0"/>
                <w:sz w:val="24"/>
                <w:szCs w:val="24"/>
                <w:lang w:eastAsia="en-IN" w:bidi="mr-IN"/>
                <w14:ligatures w14:val="none"/>
              </w:rPr>
              <w:t xml:space="preserve"> </w:t>
            </w:r>
            <w:r>
              <w:rPr>
                <w:rFonts w:eastAsia="Times New Roman"/>
                <w:b/>
                <w:bCs/>
                <w:color w:val="000000"/>
                <w:kern w:val="0"/>
                <w:sz w:val="24"/>
                <w:szCs w:val="24"/>
                <w:lang w:eastAsia="en-IN" w:bidi="mr-IN"/>
                <w14:ligatures w14:val="none"/>
              </w:rPr>
              <w:t>±</w:t>
            </w:r>
            <w:r w:rsidR="002C5D8E">
              <w:rPr>
                <w:rFonts w:eastAsia="Times New Roman"/>
                <w:b/>
                <w:bCs/>
                <w:color w:val="000000"/>
                <w:kern w:val="0"/>
                <w:sz w:val="24"/>
                <w:szCs w:val="24"/>
                <w:lang w:eastAsia="en-IN" w:bidi="mr-IN"/>
                <w14:ligatures w14:val="none"/>
              </w:rPr>
              <w:t xml:space="preserve"> </w:t>
            </w:r>
            <w:r>
              <w:rPr>
                <w:rFonts w:eastAsia="Times New Roman"/>
                <w:b/>
                <w:bCs/>
                <w:color w:val="000000"/>
                <w:kern w:val="0"/>
                <w:sz w:val="24"/>
                <w:szCs w:val="24"/>
                <w:lang w:eastAsia="en-IN" w:bidi="mr-IN"/>
                <w14:ligatures w14:val="none"/>
              </w:rPr>
              <w:t>SD</w:t>
            </w:r>
          </w:p>
        </w:tc>
        <w:tc>
          <w:tcPr>
            <w:tcW w:w="1484" w:type="dxa"/>
            <w:noWrap/>
            <w:vAlign w:val="bottom"/>
            <w:hideMark/>
          </w:tcPr>
          <w:p w14:paraId="027FACE6" w14:textId="77777777" w:rsidR="008E0A84"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48hr.</w:t>
            </w:r>
          </w:p>
          <w:p w14:paraId="64AB502E" w14:textId="4466A9A1" w:rsidR="003D39AF" w:rsidRPr="00A7015F" w:rsidRDefault="002C5D8E" w:rsidP="001F0086">
            <w:pPr>
              <w:spacing w:after="0" w:line="240" w:lineRule="auto"/>
              <w:ind w:left="90"/>
              <w:jc w:val="center"/>
              <w:rPr>
                <w:rFonts w:eastAsia="Times New Roman"/>
                <w:b/>
                <w:bCs/>
                <w:color w:val="000000"/>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30" w:type="dxa"/>
            <w:noWrap/>
            <w:vAlign w:val="bottom"/>
            <w:hideMark/>
          </w:tcPr>
          <w:p w14:paraId="5EBBD54A" w14:textId="77777777" w:rsidR="008E0A84"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96hr.</w:t>
            </w:r>
          </w:p>
          <w:p w14:paraId="1B2FD7D8" w14:textId="2ECDF187"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24" w:type="dxa"/>
            <w:noWrap/>
            <w:vAlign w:val="bottom"/>
            <w:hideMark/>
          </w:tcPr>
          <w:p w14:paraId="26542F06" w14:textId="77777777" w:rsidR="008E0A84"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48hr.</w:t>
            </w:r>
          </w:p>
          <w:p w14:paraId="157838DC" w14:textId="753AF5C4"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36" w:type="dxa"/>
            <w:noWrap/>
            <w:vAlign w:val="bottom"/>
            <w:hideMark/>
          </w:tcPr>
          <w:p w14:paraId="62F749F9" w14:textId="77777777" w:rsidR="008E0A84"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96hr.</w:t>
            </w:r>
          </w:p>
          <w:p w14:paraId="402A1D06" w14:textId="2102A4BD"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r>
      <w:tr w:rsidR="008E0A84" w:rsidRPr="00A7015F" w14:paraId="72F6DB74" w14:textId="77777777" w:rsidTr="002C5D8E">
        <w:trPr>
          <w:trHeight w:val="198"/>
        </w:trPr>
        <w:tc>
          <w:tcPr>
            <w:tcW w:w="1853" w:type="dxa"/>
            <w:vMerge w:val="restart"/>
            <w:vAlign w:val="center"/>
          </w:tcPr>
          <w:p w14:paraId="1963FA7F" w14:textId="2B8DA3DE" w:rsidR="003D39A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Protein</w:t>
            </w:r>
          </w:p>
          <w:p w14:paraId="147EFC92" w14:textId="3CDD85D4"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w:t>
            </w:r>
          </w:p>
        </w:tc>
        <w:tc>
          <w:tcPr>
            <w:tcW w:w="1133" w:type="dxa"/>
            <w:noWrap/>
            <w:vAlign w:val="center"/>
            <w:hideMark/>
          </w:tcPr>
          <w:p w14:paraId="66AC21F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749ED72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25.72±3.27</w:t>
            </w:r>
          </w:p>
          <w:p w14:paraId="0CB16471"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0C66F20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20.68±2.80</w:t>
            </w:r>
          </w:p>
          <w:p w14:paraId="645FF27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(80.40)</w:t>
            </w:r>
          </w:p>
        </w:tc>
        <w:tc>
          <w:tcPr>
            <w:tcW w:w="1530" w:type="dxa"/>
            <w:vAlign w:val="center"/>
            <w:hideMark/>
          </w:tcPr>
          <w:p w14:paraId="4FE5F66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14.89±2.07</w:t>
            </w:r>
          </w:p>
          <w:p w14:paraId="442BB81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(57.89)</w:t>
            </w:r>
          </w:p>
        </w:tc>
        <w:tc>
          <w:tcPr>
            <w:tcW w:w="1524" w:type="dxa"/>
            <w:vAlign w:val="center"/>
            <w:hideMark/>
          </w:tcPr>
          <w:p w14:paraId="5C4169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10.72±1.50</w:t>
            </w:r>
          </w:p>
          <w:p w14:paraId="5483A59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(41.67)</w:t>
            </w:r>
          </w:p>
        </w:tc>
        <w:tc>
          <w:tcPr>
            <w:tcW w:w="1536" w:type="dxa"/>
            <w:vAlign w:val="center"/>
            <w:hideMark/>
          </w:tcPr>
          <w:p w14:paraId="5974C22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7.72±1.07</w:t>
            </w:r>
          </w:p>
          <w:p w14:paraId="6F49881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(28.26)</w:t>
            </w:r>
          </w:p>
        </w:tc>
      </w:tr>
      <w:tr w:rsidR="008E0A84" w:rsidRPr="00A7015F" w14:paraId="08F25B40" w14:textId="77777777" w:rsidTr="002C5D8E">
        <w:trPr>
          <w:trHeight w:val="198"/>
        </w:trPr>
        <w:tc>
          <w:tcPr>
            <w:tcW w:w="1853" w:type="dxa"/>
            <w:vMerge/>
            <w:vAlign w:val="center"/>
          </w:tcPr>
          <w:p w14:paraId="034DF026"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p>
        </w:tc>
        <w:tc>
          <w:tcPr>
            <w:tcW w:w="1133" w:type="dxa"/>
            <w:noWrap/>
            <w:vAlign w:val="center"/>
            <w:hideMark/>
          </w:tcPr>
          <w:p w14:paraId="600290C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5D79449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32.3±4.67</w:t>
            </w:r>
          </w:p>
          <w:p w14:paraId="10492FF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2C2122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31.14±4.87</w:t>
            </w:r>
          </w:p>
          <w:p w14:paraId="4A3EA8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(96.90)</w:t>
            </w:r>
          </w:p>
          <w:p w14:paraId="60DD888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530" w:type="dxa"/>
            <w:vAlign w:val="center"/>
            <w:hideMark/>
          </w:tcPr>
          <w:p w14:paraId="2DCB594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19.82±3.20</w:t>
            </w:r>
          </w:p>
          <w:p w14:paraId="6D2D593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(61.36)</w:t>
            </w:r>
          </w:p>
        </w:tc>
        <w:tc>
          <w:tcPr>
            <w:tcW w:w="1524" w:type="dxa"/>
            <w:vAlign w:val="center"/>
            <w:hideMark/>
          </w:tcPr>
          <w:p w14:paraId="7FC3FA4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13.55±2.39</w:t>
            </w:r>
          </w:p>
          <w:p w14:paraId="1C646BD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(41.95)</w:t>
            </w:r>
          </w:p>
        </w:tc>
        <w:tc>
          <w:tcPr>
            <w:tcW w:w="1536" w:type="dxa"/>
            <w:vAlign w:val="center"/>
            <w:hideMark/>
          </w:tcPr>
          <w:p w14:paraId="538A54C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8.76±2.01</w:t>
            </w:r>
          </w:p>
          <w:p w14:paraId="7CE2195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(27.12)</w:t>
            </w:r>
          </w:p>
        </w:tc>
      </w:tr>
      <w:tr w:rsidR="00F142EC" w:rsidRPr="00A7015F" w14:paraId="1707BAB7" w14:textId="77777777" w:rsidTr="002C5D8E">
        <w:trPr>
          <w:trHeight w:val="198"/>
        </w:trPr>
        <w:tc>
          <w:tcPr>
            <w:tcW w:w="1853" w:type="dxa"/>
            <w:vMerge w:val="restart"/>
            <w:vAlign w:val="center"/>
          </w:tcPr>
          <w:p w14:paraId="2BAA3C71" w14:textId="73D44B4B" w:rsidR="003D39A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Lipids</w:t>
            </w:r>
          </w:p>
          <w:p w14:paraId="54A34E7C" w14:textId="3905B980"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w:t>
            </w:r>
          </w:p>
        </w:tc>
        <w:tc>
          <w:tcPr>
            <w:tcW w:w="1133" w:type="dxa"/>
            <w:noWrap/>
            <w:vAlign w:val="center"/>
            <w:hideMark/>
          </w:tcPr>
          <w:p w14:paraId="1806D9A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59D8465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35.59±6.18</w:t>
            </w:r>
          </w:p>
          <w:p w14:paraId="590E4DD1"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14CC3434"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34.99±6.08</w:t>
            </w:r>
          </w:p>
          <w:p w14:paraId="78FB6A3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(98.32)</w:t>
            </w:r>
          </w:p>
        </w:tc>
        <w:tc>
          <w:tcPr>
            <w:tcW w:w="1530" w:type="dxa"/>
            <w:vAlign w:val="center"/>
            <w:hideMark/>
          </w:tcPr>
          <w:p w14:paraId="6027543D"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31.39±5.10</w:t>
            </w:r>
          </w:p>
          <w:p w14:paraId="5FD79D4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(88.19)</w:t>
            </w:r>
          </w:p>
        </w:tc>
        <w:tc>
          <w:tcPr>
            <w:tcW w:w="1524" w:type="dxa"/>
            <w:vAlign w:val="center"/>
            <w:hideMark/>
          </w:tcPr>
          <w:p w14:paraId="6DB95C9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25.8±3.25</w:t>
            </w:r>
          </w:p>
          <w:p w14:paraId="7B222F1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(72.49)</w:t>
            </w:r>
          </w:p>
        </w:tc>
        <w:tc>
          <w:tcPr>
            <w:tcW w:w="1536" w:type="dxa"/>
            <w:vAlign w:val="center"/>
            <w:hideMark/>
          </w:tcPr>
          <w:p w14:paraId="6974CF7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21.2±3.12</w:t>
            </w:r>
          </w:p>
          <w:p w14:paraId="41488AF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(59.56)</w:t>
            </w:r>
          </w:p>
        </w:tc>
      </w:tr>
      <w:tr w:rsidR="00F142EC" w:rsidRPr="00A7015F" w14:paraId="3AAFC715" w14:textId="77777777" w:rsidTr="002C5D8E">
        <w:trPr>
          <w:trHeight w:val="198"/>
        </w:trPr>
        <w:tc>
          <w:tcPr>
            <w:tcW w:w="1853" w:type="dxa"/>
            <w:vMerge/>
            <w:vAlign w:val="center"/>
          </w:tcPr>
          <w:p w14:paraId="1E92AC90"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p>
        </w:tc>
        <w:tc>
          <w:tcPr>
            <w:tcW w:w="1133" w:type="dxa"/>
            <w:noWrap/>
            <w:vAlign w:val="center"/>
            <w:hideMark/>
          </w:tcPr>
          <w:p w14:paraId="7BF2DEF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2F615F1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48.39±6.65</w:t>
            </w:r>
          </w:p>
          <w:p w14:paraId="458A8ED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F97780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42.77±5.55</w:t>
            </w:r>
          </w:p>
          <w:p w14:paraId="20E4397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(88.38)</w:t>
            </w:r>
          </w:p>
        </w:tc>
        <w:tc>
          <w:tcPr>
            <w:tcW w:w="1530" w:type="dxa"/>
            <w:vAlign w:val="center"/>
            <w:hideMark/>
          </w:tcPr>
          <w:p w14:paraId="6E7CBE5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42.16±5.62</w:t>
            </w:r>
          </w:p>
          <w:p w14:paraId="429E764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(87.12)</w:t>
            </w:r>
          </w:p>
        </w:tc>
        <w:tc>
          <w:tcPr>
            <w:tcW w:w="1524" w:type="dxa"/>
            <w:vAlign w:val="center"/>
            <w:hideMark/>
          </w:tcPr>
          <w:p w14:paraId="542C730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36.54±3.98</w:t>
            </w:r>
          </w:p>
          <w:p w14:paraId="4844FF2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(75.51)</w:t>
            </w:r>
          </w:p>
        </w:tc>
        <w:tc>
          <w:tcPr>
            <w:tcW w:w="1536" w:type="dxa"/>
            <w:vAlign w:val="center"/>
            <w:hideMark/>
          </w:tcPr>
          <w:p w14:paraId="19FE26F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30.91±3.42</w:t>
            </w:r>
          </w:p>
          <w:p w14:paraId="4629550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(63.87)</w:t>
            </w:r>
          </w:p>
        </w:tc>
      </w:tr>
      <w:tr w:rsidR="008E0A84" w:rsidRPr="00A7015F" w14:paraId="6BB7E724" w14:textId="77777777" w:rsidTr="002C5D8E">
        <w:trPr>
          <w:trHeight w:val="198"/>
        </w:trPr>
        <w:tc>
          <w:tcPr>
            <w:tcW w:w="1853" w:type="dxa"/>
            <w:vMerge w:val="restart"/>
            <w:vAlign w:val="center"/>
          </w:tcPr>
          <w:p w14:paraId="04754CCB"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Carbohydrates (%)</w:t>
            </w:r>
          </w:p>
        </w:tc>
        <w:tc>
          <w:tcPr>
            <w:tcW w:w="1133" w:type="dxa"/>
            <w:noWrap/>
            <w:vAlign w:val="center"/>
            <w:hideMark/>
          </w:tcPr>
          <w:p w14:paraId="230FCB4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2FF56FB4"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5.27±0.85</w:t>
            </w:r>
          </w:p>
          <w:p w14:paraId="75CB263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0D86771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5.07±0.36</w:t>
            </w:r>
          </w:p>
          <w:p w14:paraId="7A94205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(97.31)</w:t>
            </w:r>
          </w:p>
        </w:tc>
        <w:tc>
          <w:tcPr>
            <w:tcW w:w="1530" w:type="dxa"/>
            <w:vAlign w:val="center"/>
            <w:hideMark/>
          </w:tcPr>
          <w:p w14:paraId="1FA9D27F"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4.56±0.14</w:t>
            </w:r>
          </w:p>
          <w:p w14:paraId="50FD15C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(87.52)</w:t>
            </w:r>
          </w:p>
        </w:tc>
        <w:tc>
          <w:tcPr>
            <w:tcW w:w="1524" w:type="dxa"/>
            <w:vAlign w:val="center"/>
            <w:hideMark/>
          </w:tcPr>
          <w:p w14:paraId="183A0D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4.02±0.12</w:t>
            </w:r>
          </w:p>
          <w:p w14:paraId="062F368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(77.15)</w:t>
            </w:r>
          </w:p>
        </w:tc>
        <w:tc>
          <w:tcPr>
            <w:tcW w:w="1536" w:type="dxa"/>
            <w:vAlign w:val="center"/>
            <w:hideMark/>
          </w:tcPr>
          <w:p w14:paraId="5C4BAB7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3.16±0.06</w:t>
            </w:r>
          </w:p>
          <w:p w14:paraId="5DFDC69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(60.65)</w:t>
            </w:r>
          </w:p>
        </w:tc>
      </w:tr>
      <w:tr w:rsidR="008E0A84" w:rsidRPr="00A7015F" w14:paraId="63BBE108" w14:textId="77777777" w:rsidTr="002C5D8E">
        <w:trPr>
          <w:trHeight w:val="198"/>
        </w:trPr>
        <w:tc>
          <w:tcPr>
            <w:tcW w:w="1853" w:type="dxa"/>
            <w:vMerge/>
          </w:tcPr>
          <w:p w14:paraId="092B45F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133" w:type="dxa"/>
            <w:noWrap/>
            <w:vAlign w:val="center"/>
            <w:hideMark/>
          </w:tcPr>
          <w:p w14:paraId="5C26FDC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5EE1885D"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12±2.46</w:t>
            </w:r>
          </w:p>
          <w:p w14:paraId="0D393AE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79608C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11.8±1.65</w:t>
            </w:r>
          </w:p>
          <w:p w14:paraId="01DAEDF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(93.16)</w:t>
            </w:r>
          </w:p>
        </w:tc>
        <w:tc>
          <w:tcPr>
            <w:tcW w:w="1530" w:type="dxa"/>
            <w:vAlign w:val="center"/>
            <w:hideMark/>
          </w:tcPr>
          <w:p w14:paraId="46E70CD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10.6±0.75</w:t>
            </w:r>
          </w:p>
          <w:p w14:paraId="28E5841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(83.83)</w:t>
            </w:r>
          </w:p>
        </w:tc>
        <w:tc>
          <w:tcPr>
            <w:tcW w:w="1524" w:type="dxa"/>
            <w:vAlign w:val="center"/>
            <w:hideMark/>
          </w:tcPr>
          <w:p w14:paraId="0808E58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8.4±0.14</w:t>
            </w:r>
          </w:p>
          <w:p w14:paraId="585A6C5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(70.00)</w:t>
            </w:r>
          </w:p>
        </w:tc>
        <w:tc>
          <w:tcPr>
            <w:tcW w:w="1536" w:type="dxa"/>
            <w:vAlign w:val="center"/>
            <w:hideMark/>
          </w:tcPr>
          <w:p w14:paraId="1FFA5E6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6.2±0.10</w:t>
            </w:r>
          </w:p>
          <w:p w14:paraId="6305773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(51.66)</w:t>
            </w:r>
          </w:p>
        </w:tc>
      </w:tr>
    </w:tbl>
    <w:p w14:paraId="38054BF4" w14:textId="6C252D2F" w:rsidR="00702FE5" w:rsidRPr="00A7015F" w:rsidRDefault="00702FE5" w:rsidP="00F142EC">
      <w:pPr>
        <w:pStyle w:val="ListParagraph"/>
        <w:ind w:left="90"/>
      </w:pPr>
      <w:r w:rsidRPr="00A7015F">
        <w:t xml:space="preserve"> </w:t>
      </w:r>
    </w:p>
    <w:p w14:paraId="001849EA" w14:textId="458B4EA7" w:rsidR="00702FE5" w:rsidRPr="00A7015F" w:rsidRDefault="008E0A84" w:rsidP="00D02611">
      <w:pPr>
        <w:pStyle w:val="ListParagraph"/>
        <w:ind w:left="-630" w:hanging="90"/>
        <w:jc w:val="center"/>
        <w:rPr>
          <w:rStyle w:val="fontstyle01"/>
          <w:rFonts w:ascii="Times New Roman" w:hAnsi="Times New Roman"/>
          <w:color w:val="auto"/>
          <w:sz w:val="22"/>
          <w:szCs w:val="22"/>
        </w:rPr>
      </w:pPr>
      <w:r w:rsidRPr="00A7015F">
        <w:rPr>
          <w:noProof/>
        </w:rPr>
        <w:lastRenderedPageBreak/>
        <w:drawing>
          <wp:inline distT="0" distB="0" distL="0" distR="0" wp14:anchorId="043418B1" wp14:editId="78018EEB">
            <wp:extent cx="6486041" cy="2859405"/>
            <wp:effectExtent l="0" t="0" r="10160" b="17145"/>
            <wp:docPr id="431417073" name="Chart 1">
              <a:extLst xmlns:a="http://schemas.openxmlformats.org/drawingml/2006/main">
                <a:ext uri="{FF2B5EF4-FFF2-40B4-BE49-F238E27FC236}">
                  <a16:creationId xmlns:a16="http://schemas.microsoft.com/office/drawing/2014/main" id="{04899BEB-7A16-858E-7FDA-C9024F3B7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00E4E" w:rsidRPr="00A7015F">
        <w:rPr>
          <w:noProof/>
        </w:rPr>
        <mc:AlternateContent>
          <mc:Choice Requires="wps">
            <w:drawing>
              <wp:inline distT="0" distB="0" distL="0" distR="0" wp14:anchorId="703B7630" wp14:editId="7BE52B94">
                <wp:extent cx="304800" cy="304800"/>
                <wp:effectExtent l="0" t="0" r="0" b="0"/>
                <wp:docPr id="153689470"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FEB2D"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F6123" w:rsidRPr="00C66C45">
        <w:rPr>
          <w:rStyle w:val="fontstyle01"/>
          <w:rFonts w:ascii="Times New Roman" w:hAnsi="Times New Roman"/>
          <w:b/>
          <w:bCs/>
          <w:color w:val="auto"/>
          <w:sz w:val="22"/>
          <w:szCs w:val="22"/>
        </w:rPr>
        <w:t>Graph-</w:t>
      </w:r>
      <w:r w:rsidR="00FF5FE4">
        <w:rPr>
          <w:rStyle w:val="fontstyle01"/>
          <w:rFonts w:ascii="Times New Roman" w:hAnsi="Times New Roman"/>
          <w:b/>
          <w:bCs/>
          <w:color w:val="auto"/>
          <w:sz w:val="22"/>
          <w:szCs w:val="22"/>
        </w:rPr>
        <w:t>1</w:t>
      </w:r>
      <w:r w:rsidR="00EF6123" w:rsidRPr="00A7015F">
        <w:rPr>
          <w:rStyle w:val="fontstyle01"/>
          <w:rFonts w:ascii="Times New Roman" w:hAnsi="Times New Roman"/>
          <w:color w:val="auto"/>
          <w:sz w:val="22"/>
          <w:szCs w:val="22"/>
        </w:rPr>
        <w:t>-Represent the Proteins, Lipid and carbohydrate analysis values.</w:t>
      </w:r>
    </w:p>
    <w:p w14:paraId="351AEB73" w14:textId="100B9447" w:rsidR="000438B7" w:rsidRPr="00A7015F" w:rsidRDefault="000438B7" w:rsidP="00F142EC">
      <w:pPr>
        <w:shd w:val="clear" w:color="auto" w:fill="FFFFFF"/>
        <w:ind w:left="90"/>
        <w:rPr>
          <w:b/>
          <w:bCs/>
          <w:sz w:val="24"/>
          <w:szCs w:val="24"/>
        </w:rPr>
      </w:pPr>
    </w:p>
    <w:p w14:paraId="18FF6B17" w14:textId="7E20BC9E" w:rsidR="00AB599F" w:rsidRPr="00A7015F" w:rsidRDefault="000D0C04" w:rsidP="00F142EC">
      <w:pPr>
        <w:pStyle w:val="Default"/>
        <w:numPr>
          <w:ilvl w:val="0"/>
          <w:numId w:val="3"/>
        </w:numPr>
        <w:spacing w:line="360" w:lineRule="auto"/>
        <w:ind w:left="90"/>
        <w:jc w:val="both"/>
      </w:pPr>
      <w:r w:rsidRPr="00A7015F">
        <w:t xml:space="preserve"> </w:t>
      </w:r>
    </w:p>
    <w:p w14:paraId="612881F9" w14:textId="77777777" w:rsidR="00AB599F" w:rsidRDefault="00AB599F" w:rsidP="00F142EC">
      <w:pPr>
        <w:pStyle w:val="Default"/>
        <w:spacing w:line="360" w:lineRule="auto"/>
        <w:ind w:left="90"/>
        <w:jc w:val="both"/>
      </w:pPr>
    </w:p>
    <w:p w14:paraId="4F89FED3" w14:textId="77777777" w:rsidR="000922A5" w:rsidRDefault="000922A5" w:rsidP="00F142EC">
      <w:pPr>
        <w:pStyle w:val="Default"/>
        <w:spacing w:line="360" w:lineRule="auto"/>
        <w:ind w:left="90"/>
        <w:jc w:val="both"/>
      </w:pPr>
    </w:p>
    <w:p w14:paraId="6D821093" w14:textId="77777777" w:rsidR="000922A5" w:rsidRPr="00A7015F" w:rsidRDefault="000922A5" w:rsidP="00F142EC">
      <w:pPr>
        <w:pStyle w:val="Default"/>
        <w:spacing w:line="360" w:lineRule="auto"/>
        <w:ind w:left="90"/>
        <w:jc w:val="both"/>
      </w:pPr>
    </w:p>
    <w:p w14:paraId="4EA953C6" w14:textId="1C9E8C09"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 xml:space="preserve">The present study </w:t>
      </w:r>
      <w:r w:rsidR="00D02611" w:rsidRPr="00D02611">
        <w:rPr>
          <w:rFonts w:eastAsia="Times New Roman"/>
          <w:b/>
          <w:bCs/>
          <w:kern w:val="0"/>
          <w:sz w:val="24"/>
          <w:szCs w:val="24"/>
          <w:lang w:eastAsia="en-IN" w:bidi="mr-IN"/>
          <w14:ligatures w14:val="none"/>
        </w:rPr>
        <w:t>Table-</w:t>
      </w:r>
      <w:r w:rsidR="00C00626">
        <w:rPr>
          <w:rFonts w:eastAsia="Times New Roman"/>
          <w:b/>
          <w:bCs/>
          <w:kern w:val="0"/>
          <w:sz w:val="24"/>
          <w:szCs w:val="24"/>
          <w:lang w:eastAsia="en-IN" w:bidi="mr-IN"/>
          <w14:ligatures w14:val="none"/>
        </w:rPr>
        <w:t xml:space="preserve">2 </w:t>
      </w:r>
      <w:r w:rsidRPr="00A7015F">
        <w:rPr>
          <w:rFonts w:eastAsia="Times New Roman"/>
          <w:kern w:val="0"/>
          <w:sz w:val="24"/>
          <w:szCs w:val="24"/>
          <w:lang w:eastAsia="en-IN" w:bidi="mr-IN"/>
          <w14:ligatures w14:val="none"/>
        </w:rPr>
        <w:t>evaluated the effect of two concentrations (5.00 ppm and 10.00 ppm) over two exposure periods (48 h and 96 h) on the biochemical composition of foot muscles and intestine. A clear dose- and time-dependent decline was observed in all three biochemical parameters—protein, lipids, and carbohydrates—in both tissues when compared to the control.</w:t>
      </w:r>
    </w:p>
    <w:p w14:paraId="50FFA520" w14:textId="77777777" w:rsidR="003B1687" w:rsidRPr="00A7015F" w:rsidRDefault="003B1687" w:rsidP="00D02611">
      <w:pPr>
        <w:pStyle w:val="ListParagraph"/>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In the foot muscles, protein content decreased from 25.72% in control to 20.68% (80.40%) at 5 ppm–48 h and further to 14.89% (57.89%) at 5 ppm–96 h. At the higher concentration (10 ppm), the reduction was more pronounced, reaching 10.72% (41.67%) at 48 h and 7.72% (28.26%) at 96 h. A similar declining trend was noted in the intestine, where protein levels dropped from 32.3% in control to 8.76% (27.12%) at 10 ppm–96 h.</w:t>
      </w:r>
    </w:p>
    <w:p w14:paraId="7A6EA06D"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Lipid content also showed a significant reduction. In foot muscles, lipids decreased from 35.59% in control to 21.2% (59.56%) at 10 ppm–96 h, while in the intestine, lipid levels declined from 48.39% to 30.91% (63.87%) under the same conditions.</w:t>
      </w:r>
    </w:p>
    <w:p w14:paraId="010D73B5"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lastRenderedPageBreak/>
        <w:t>Carbohydrates exhibited the most consistent decline among all parameters. In foot muscles, carbohydrate content fell from 5.27% in control to 3.16% (60.65%) at 10 ppm–96 h, whereas in the intestine it decreased sharply from 12% to 6.2% (51.66%). These results clearly demonstrate that increasing concentration and longer exposure duration intensify biochemical depletion in both tissues.</w:t>
      </w:r>
    </w:p>
    <w:p w14:paraId="7C1C8ED6" w14:textId="7615DC0E" w:rsidR="003B1687" w:rsidRPr="00A7015F" w:rsidRDefault="003B1687" w:rsidP="000922A5">
      <w:pPr>
        <w:pStyle w:val="ListParagraph"/>
        <w:spacing w:after="0"/>
        <w:ind w:left="90"/>
        <w:rPr>
          <w:rFonts w:eastAsia="Times New Roman"/>
          <w:kern w:val="0"/>
          <w:sz w:val="24"/>
          <w:szCs w:val="24"/>
          <w:lang w:eastAsia="en-IN" w:bidi="mr-IN"/>
          <w14:ligatures w14:val="none"/>
        </w:rPr>
      </w:pPr>
    </w:p>
    <w:p w14:paraId="255D605C"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observed reduction in protein, lipid, and carbohydrate levels indicates that exposure to the tested substance exerts severe metabolic stress on the organism. Proteins are essential structural and functional molecules, and their depletion suggests enhanced proteolysis to meet increased energy demands under toxic stress. The sharp decline in protein content, especially in the intestine, implies damage to digestive and absorptive functions, which may impair nutrient assimilation and overall physiological balance.</w:t>
      </w:r>
    </w:p>
    <w:p w14:paraId="0A466418"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significant decrease in lipid content reflects the mobilization of stored fats to compensate for energy deficiency caused by stress. Lipids serve as major energy reserves, and their continuous depletion indicates a shift from normal metabolism to a stress-adaptation mode, where stored energy substrates are rapidly consumed. This effect was more severe at 10 ppm and 96 hours, highlighting a clear dose–time interaction.</w:t>
      </w:r>
    </w:p>
    <w:p w14:paraId="497AA8D0"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Carbohydrates, being the primary and immediate energy source, showed rapid depletion, particularly in the intestine. This suggests that glycogen reserves were extensively utilized to cope with stress conditions. The reduction in carbohydrate levels supports the idea that the organism experiences increased metabolic demand to detoxify and maintain homeostasis, leading to exhaustion of readily available energy sources.</w:t>
      </w:r>
    </w:p>
    <w:p w14:paraId="01AB00F8"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intestine showed comparatively greater biochemical reduction than foot muscles, indicating that it is more vulnerable to toxic exposure. Since the intestine plays a central role in digestion, absorption, and detoxification, it is often the first organ to exhibit metabolic disturbances under chemical stress. The consistent decline across all parameters confirms that prolonged exposure not only disrupts energy metabolism but may also impair tissue integrity and enzymatic activity.</w:t>
      </w:r>
    </w:p>
    <w:p w14:paraId="1850CF90"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Overall, the results strongly suggest that the tested concentrations induce oxidative stress, metabolic imbalance, and tissue-level toxicity, leading to progressive biochemical depletion.</w:t>
      </w:r>
    </w:p>
    <w:p w14:paraId="6F3773E5" w14:textId="3B9C4BD4" w:rsidR="003B1687" w:rsidRPr="00EB7ACB" w:rsidRDefault="003B1687" w:rsidP="00F142EC">
      <w:pPr>
        <w:pStyle w:val="ListParagraph"/>
        <w:numPr>
          <w:ilvl w:val="0"/>
          <w:numId w:val="3"/>
        </w:numPr>
        <w:spacing w:after="0"/>
        <w:ind w:left="90"/>
        <w:rPr>
          <w:rFonts w:eastAsia="Times New Roman"/>
          <w:kern w:val="0"/>
          <w:sz w:val="28"/>
          <w:szCs w:val="28"/>
          <w:lang w:eastAsia="en-IN" w:bidi="mr-IN"/>
          <w14:ligatures w14:val="none"/>
        </w:rPr>
      </w:pPr>
    </w:p>
    <w:p w14:paraId="3D660BF5" w14:textId="421390CE" w:rsidR="003B1687" w:rsidRPr="00EB7ACB" w:rsidRDefault="00D02611" w:rsidP="00F142EC">
      <w:pPr>
        <w:pStyle w:val="ListParagraph"/>
        <w:numPr>
          <w:ilvl w:val="0"/>
          <w:numId w:val="3"/>
        </w:numPr>
        <w:spacing w:before="100" w:beforeAutospacing="1" w:after="100" w:afterAutospacing="1"/>
        <w:ind w:left="90"/>
        <w:outlineLvl w:val="1"/>
        <w:rPr>
          <w:rFonts w:eastAsia="Times New Roman"/>
          <w:b/>
          <w:bCs/>
          <w:kern w:val="0"/>
          <w:sz w:val="28"/>
          <w:szCs w:val="28"/>
          <w:lang w:eastAsia="en-IN" w:bidi="mr-IN"/>
          <w14:ligatures w14:val="none"/>
        </w:rPr>
      </w:pPr>
      <w:r w:rsidRPr="00EB7ACB">
        <w:rPr>
          <w:rFonts w:eastAsia="Times New Roman"/>
          <w:b/>
          <w:bCs/>
          <w:kern w:val="0"/>
          <w:sz w:val="28"/>
          <w:szCs w:val="28"/>
          <w:lang w:eastAsia="en-IN" w:bidi="mr-IN"/>
          <w14:ligatures w14:val="none"/>
        </w:rPr>
        <w:t xml:space="preserve">6. </w:t>
      </w:r>
      <w:r w:rsidR="003B1687" w:rsidRPr="00EB7ACB">
        <w:rPr>
          <w:rFonts w:eastAsia="Times New Roman"/>
          <w:b/>
          <w:bCs/>
          <w:kern w:val="0"/>
          <w:sz w:val="28"/>
          <w:szCs w:val="28"/>
          <w:lang w:eastAsia="en-IN" w:bidi="mr-IN"/>
          <w14:ligatures w14:val="none"/>
        </w:rPr>
        <w:t>Conclusion</w:t>
      </w:r>
    </w:p>
    <w:p w14:paraId="0EE581E9"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lastRenderedPageBreak/>
        <w:t>The present investigation clearly demonstrates that exposure to increasing concentrations and longer durations results in a significant decline in protein, lipid, and carbohydrate contents in both foot muscles and intestine. The effects are concentration- and time-dependent, with the highest depletion recorded at 10 ppm after 96 hours.</w:t>
      </w:r>
    </w:p>
    <w:p w14:paraId="15B57B33"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marked reduction in proteins indicates enhanced tissue degradation and impaired physiological functions, while the depletion of lipids and carbohydrates reflects excessive utilization of energy reserves to cope with stress. Among the two tissues, the intestine appears to be more sensitive, showing greater biochemical alterations, suggesting its critical role in toxic response and metabolic regulation.</w:t>
      </w:r>
    </w:p>
    <w:p w14:paraId="6E4405CD"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In conclusion, the biochemical changes observed in this study confirm that the tested substance exerts pronounced toxic stress, leading to metabolic exhaustion and possible impairment of normal cellular functions. These findings highlight the potential ecological and physiological risks associated with prolonged exposure and emphasize the importance of regulating environmental concentrations to protect non-target organisms.</w:t>
      </w:r>
    </w:p>
    <w:p w14:paraId="2590C19F" w14:textId="6032235E" w:rsidR="00013D55" w:rsidRPr="00A7015F" w:rsidRDefault="00013D55" w:rsidP="00F142EC">
      <w:pPr>
        <w:pageBreakBefore/>
        <w:numPr>
          <w:ilvl w:val="1"/>
          <w:numId w:val="3"/>
        </w:numPr>
        <w:ind w:left="90"/>
        <w:rPr>
          <w:sz w:val="24"/>
          <w:szCs w:val="24"/>
        </w:rPr>
      </w:pPr>
      <w:r w:rsidRPr="00A7015F">
        <w:rPr>
          <w:b/>
          <w:bCs/>
          <w:sz w:val="24"/>
          <w:szCs w:val="24"/>
        </w:rPr>
        <w:lastRenderedPageBreak/>
        <w:tab/>
      </w:r>
      <w:r w:rsidRPr="00A7015F">
        <w:rPr>
          <w:b/>
          <w:bCs/>
          <w:sz w:val="24"/>
          <w:szCs w:val="24"/>
        </w:rPr>
        <w:tab/>
      </w:r>
      <w:r w:rsidRPr="00A7015F">
        <w:rPr>
          <w:b/>
          <w:bCs/>
          <w:sz w:val="24"/>
          <w:szCs w:val="24"/>
        </w:rPr>
        <w:tab/>
      </w:r>
      <w:r w:rsidRPr="00A7015F">
        <w:rPr>
          <w:sz w:val="24"/>
          <w:szCs w:val="24"/>
        </w:rPr>
        <w:t>.</w:t>
      </w:r>
    </w:p>
    <w:p w14:paraId="3D60C4C2" w14:textId="77777777" w:rsidR="00013D55" w:rsidRPr="00A7015F" w:rsidRDefault="00013D55" w:rsidP="00F142EC">
      <w:pPr>
        <w:pStyle w:val="Default"/>
        <w:spacing w:line="360" w:lineRule="auto"/>
        <w:ind w:left="90"/>
        <w:jc w:val="both"/>
        <w:rPr>
          <w:color w:val="auto"/>
        </w:rPr>
      </w:pPr>
      <w:r w:rsidRPr="00A7015F">
        <w:rPr>
          <w:b/>
          <w:bCs/>
          <w:color w:val="auto"/>
        </w:rPr>
        <w:t xml:space="preserve">Consent to Publish declaration: </w:t>
      </w:r>
      <w:r w:rsidRPr="00A7015F">
        <w:rPr>
          <w:color w:val="auto"/>
        </w:rPr>
        <w:t>not applicable.</w:t>
      </w:r>
    </w:p>
    <w:p w14:paraId="446911B4" w14:textId="77777777" w:rsidR="00013D55" w:rsidRPr="00A7015F" w:rsidRDefault="00013D55" w:rsidP="00F142EC">
      <w:pPr>
        <w:pStyle w:val="Default"/>
        <w:spacing w:line="360" w:lineRule="auto"/>
        <w:ind w:left="90"/>
        <w:jc w:val="both"/>
        <w:rPr>
          <w:color w:val="auto"/>
        </w:rPr>
      </w:pPr>
      <w:r w:rsidRPr="00A7015F">
        <w:rPr>
          <w:b/>
          <w:bCs/>
          <w:color w:val="auto"/>
        </w:rPr>
        <w:t xml:space="preserve">Consent to Participate declaration: </w:t>
      </w:r>
      <w:r w:rsidRPr="00A7015F">
        <w:rPr>
          <w:color w:val="auto"/>
        </w:rPr>
        <w:t>not applicable.</w:t>
      </w:r>
    </w:p>
    <w:p w14:paraId="7940D5DA" w14:textId="4758FEC3" w:rsidR="007F32E2" w:rsidRPr="00A7015F" w:rsidRDefault="007F32E2" w:rsidP="00F142EC">
      <w:pPr>
        <w:pStyle w:val="Default"/>
        <w:spacing w:line="360" w:lineRule="auto"/>
        <w:ind w:left="90"/>
        <w:jc w:val="both"/>
        <w:rPr>
          <w:color w:val="auto"/>
        </w:rPr>
      </w:pPr>
      <w:r w:rsidRPr="00A7015F">
        <w:rPr>
          <w:b/>
          <w:bCs/>
        </w:rPr>
        <w:t xml:space="preserve">Clinical trial number: </w:t>
      </w:r>
      <w:r w:rsidRPr="00A7015F">
        <w:t>not applicable</w:t>
      </w:r>
    </w:p>
    <w:p w14:paraId="0DD90E52" w14:textId="77777777" w:rsidR="00013D55" w:rsidRPr="00A7015F" w:rsidRDefault="00013D55" w:rsidP="00F142EC">
      <w:pPr>
        <w:pStyle w:val="Default"/>
        <w:spacing w:line="360" w:lineRule="auto"/>
        <w:ind w:left="90"/>
        <w:jc w:val="both"/>
        <w:rPr>
          <w:color w:val="auto"/>
        </w:rPr>
      </w:pPr>
      <w:r w:rsidRPr="00A7015F">
        <w:rPr>
          <w:b/>
          <w:bCs/>
          <w:color w:val="auto"/>
        </w:rPr>
        <w:t xml:space="preserve">Conflicts of Interest: </w:t>
      </w:r>
      <w:r w:rsidRPr="00A7015F">
        <w:rPr>
          <w:color w:val="auto"/>
        </w:rPr>
        <w:t>Authors declare no conflicts of interest.</w:t>
      </w:r>
    </w:p>
    <w:p w14:paraId="5B0710CA" w14:textId="77777777" w:rsidR="00013D55" w:rsidRPr="00A7015F" w:rsidRDefault="00013D55" w:rsidP="00F142EC">
      <w:pPr>
        <w:pStyle w:val="Default"/>
        <w:spacing w:line="360" w:lineRule="auto"/>
        <w:ind w:left="90"/>
        <w:jc w:val="both"/>
        <w:rPr>
          <w:color w:val="auto"/>
        </w:rPr>
      </w:pPr>
      <w:r w:rsidRPr="00A7015F">
        <w:rPr>
          <w:b/>
          <w:bCs/>
          <w:color w:val="auto"/>
        </w:rPr>
        <w:t xml:space="preserve">Ethics declaration: </w:t>
      </w:r>
      <w:r w:rsidRPr="00A7015F">
        <w:rPr>
          <w:color w:val="auto"/>
        </w:rPr>
        <w:t xml:space="preserve">not applicable. </w:t>
      </w:r>
    </w:p>
    <w:p w14:paraId="55C170CF" w14:textId="2937D618" w:rsidR="001F4DAB" w:rsidRDefault="00013D55" w:rsidP="00EB7ACB">
      <w:pPr>
        <w:pStyle w:val="Default"/>
        <w:spacing w:line="360" w:lineRule="auto"/>
        <w:ind w:left="90"/>
        <w:jc w:val="both"/>
        <w:rPr>
          <w:color w:val="auto"/>
        </w:rPr>
      </w:pPr>
      <w:r w:rsidRPr="00A7015F">
        <w:rPr>
          <w:b/>
          <w:bCs/>
          <w:color w:val="auto"/>
        </w:rPr>
        <w:t xml:space="preserve">Data availability: </w:t>
      </w:r>
      <w:r w:rsidRPr="00A7015F">
        <w:rPr>
          <w:color w:val="auto"/>
        </w:rPr>
        <w:t xml:space="preserve">Not applicable </w:t>
      </w:r>
    </w:p>
    <w:p w14:paraId="6FE52512" w14:textId="74B00488" w:rsidR="00A976A8" w:rsidRPr="00EB7ACB" w:rsidRDefault="00A976A8" w:rsidP="00A976A8">
      <w:pPr>
        <w:ind w:left="90"/>
        <w:rPr>
          <w:sz w:val="28"/>
          <w:szCs w:val="28"/>
        </w:rPr>
      </w:pPr>
      <w:r w:rsidRPr="00EB7ACB">
        <w:rPr>
          <w:b/>
          <w:bCs/>
          <w:sz w:val="28"/>
          <w:szCs w:val="28"/>
        </w:rPr>
        <w:t>Highlight</w:t>
      </w:r>
      <w:r w:rsidRPr="00EB7ACB">
        <w:rPr>
          <w:sz w:val="28"/>
          <w:szCs w:val="28"/>
        </w:rPr>
        <w:t>-</w:t>
      </w:r>
    </w:p>
    <w:p w14:paraId="44CC138F" w14:textId="77777777" w:rsidR="00A976A8" w:rsidRPr="00A7015F" w:rsidRDefault="00A976A8" w:rsidP="00A976A8">
      <w:pPr>
        <w:pStyle w:val="ListParagraph"/>
        <w:numPr>
          <w:ilvl w:val="0"/>
          <w:numId w:val="2"/>
        </w:numPr>
        <w:ind w:left="90" w:firstLine="0"/>
        <w:rPr>
          <w:sz w:val="24"/>
          <w:szCs w:val="24"/>
        </w:rPr>
      </w:pPr>
      <w:r w:rsidRPr="00A7015F">
        <w:rPr>
          <w:sz w:val="24"/>
          <w:szCs w:val="24"/>
        </w:rPr>
        <w:t xml:space="preserve">Recent studies have demonstrated that </w:t>
      </w:r>
      <w:proofErr w:type="spellStart"/>
      <w:r w:rsidRPr="00A7015F">
        <w:rPr>
          <w:sz w:val="24"/>
          <w:szCs w:val="24"/>
        </w:rPr>
        <w:t>Ag₂O</w:t>
      </w:r>
      <w:proofErr w:type="spellEnd"/>
      <w:r w:rsidRPr="00A7015F">
        <w:rPr>
          <w:sz w:val="24"/>
          <w:szCs w:val="24"/>
        </w:rPr>
        <w:t xml:space="preserve"> nanoparticles exhibit potent cytotoxic effects against snails</w:t>
      </w:r>
      <w:r w:rsidRPr="00C54E9A">
        <w:rPr>
          <w:i/>
          <w:iCs/>
          <w:sz w:val="24"/>
          <w:szCs w:val="24"/>
        </w:rPr>
        <w:t xml:space="preserve"> </w:t>
      </w:r>
      <w:proofErr w:type="spellStart"/>
      <w:r w:rsidRPr="00A7015F">
        <w:rPr>
          <w:i/>
          <w:iCs/>
          <w:sz w:val="24"/>
          <w:szCs w:val="24"/>
        </w:rPr>
        <w:t>Lissachatina</w:t>
      </w:r>
      <w:proofErr w:type="spellEnd"/>
      <w:r w:rsidRPr="00A7015F">
        <w:rPr>
          <w:i/>
          <w:iCs/>
          <w:sz w:val="24"/>
          <w:szCs w:val="24"/>
        </w:rPr>
        <w:t xml:space="preserve"> fulica</w:t>
      </w:r>
      <w:r w:rsidRPr="00A7015F">
        <w:rPr>
          <w:sz w:val="24"/>
          <w:szCs w:val="24"/>
        </w:rPr>
        <w:t>.</w:t>
      </w:r>
    </w:p>
    <w:p w14:paraId="64171DB4" w14:textId="77777777" w:rsidR="00A976A8" w:rsidRPr="00A7015F" w:rsidRDefault="00A976A8" w:rsidP="00A976A8">
      <w:pPr>
        <w:pStyle w:val="ListParagraph"/>
        <w:numPr>
          <w:ilvl w:val="0"/>
          <w:numId w:val="2"/>
        </w:numPr>
        <w:ind w:left="90" w:firstLine="0"/>
        <w:rPr>
          <w:sz w:val="24"/>
          <w:szCs w:val="24"/>
        </w:rPr>
      </w:pPr>
      <w:proofErr w:type="spellStart"/>
      <w:r w:rsidRPr="00A7015F">
        <w:rPr>
          <w:i/>
          <w:iCs/>
          <w:sz w:val="24"/>
          <w:szCs w:val="24"/>
        </w:rPr>
        <w:t>Lissachatina</w:t>
      </w:r>
      <w:proofErr w:type="spellEnd"/>
      <w:r w:rsidRPr="00A7015F">
        <w:rPr>
          <w:i/>
          <w:iCs/>
          <w:sz w:val="24"/>
          <w:szCs w:val="24"/>
        </w:rPr>
        <w:t xml:space="preserve"> fulica</w:t>
      </w:r>
      <w:r w:rsidRPr="00A7015F">
        <w:rPr>
          <w:sz w:val="24"/>
          <w:szCs w:val="24"/>
        </w:rPr>
        <w:t xml:space="preserve"> is a non-insect pest that economically affects the agricultural sector.</w:t>
      </w:r>
    </w:p>
    <w:p w14:paraId="65DB6A8A" w14:textId="77777777" w:rsidR="00A976A8" w:rsidRPr="00A7015F" w:rsidRDefault="00A976A8" w:rsidP="00A976A8">
      <w:pPr>
        <w:pStyle w:val="ListParagraph"/>
        <w:numPr>
          <w:ilvl w:val="0"/>
          <w:numId w:val="2"/>
        </w:numPr>
        <w:ind w:left="90" w:firstLine="0"/>
        <w:rPr>
          <w:sz w:val="24"/>
          <w:szCs w:val="24"/>
        </w:rPr>
      </w:pPr>
      <w:r w:rsidRPr="00A7015F">
        <w:rPr>
          <w:sz w:val="24"/>
          <w:szCs w:val="24"/>
        </w:rPr>
        <w:t>The present study investigates the toxicity of silver oxide Ag2O NPs on the Lipid</w:t>
      </w:r>
      <w:r>
        <w:rPr>
          <w:sz w:val="24"/>
          <w:szCs w:val="24"/>
        </w:rPr>
        <w:t>,</w:t>
      </w:r>
      <w:r w:rsidRPr="00A7015F">
        <w:rPr>
          <w:sz w:val="24"/>
          <w:szCs w:val="24"/>
        </w:rPr>
        <w:t xml:space="preserve"> proteins </w:t>
      </w:r>
      <w:r>
        <w:rPr>
          <w:sz w:val="24"/>
          <w:szCs w:val="24"/>
        </w:rPr>
        <w:t xml:space="preserve">and carbohydrates </w:t>
      </w:r>
      <w:r w:rsidRPr="00A7015F">
        <w:rPr>
          <w:sz w:val="24"/>
          <w:szCs w:val="24"/>
        </w:rPr>
        <w:t xml:space="preserve">of </w:t>
      </w:r>
      <w:proofErr w:type="spellStart"/>
      <w:r w:rsidRPr="00A7015F">
        <w:rPr>
          <w:i/>
          <w:iCs/>
          <w:sz w:val="24"/>
          <w:szCs w:val="24"/>
        </w:rPr>
        <w:t>Lissachatina</w:t>
      </w:r>
      <w:proofErr w:type="spellEnd"/>
      <w:r w:rsidRPr="00A7015F">
        <w:rPr>
          <w:i/>
          <w:iCs/>
          <w:sz w:val="24"/>
          <w:szCs w:val="24"/>
        </w:rPr>
        <w:t xml:space="preserve"> fulica</w:t>
      </w:r>
      <w:r w:rsidRPr="00A7015F">
        <w:rPr>
          <w:sz w:val="24"/>
          <w:szCs w:val="24"/>
        </w:rPr>
        <w:t>.</w:t>
      </w:r>
    </w:p>
    <w:p w14:paraId="2D931C68" w14:textId="7D18BB3F" w:rsidR="00A976A8" w:rsidRDefault="00A976A8" w:rsidP="00A976A8">
      <w:pPr>
        <w:pStyle w:val="ListParagraph"/>
        <w:numPr>
          <w:ilvl w:val="0"/>
          <w:numId w:val="2"/>
        </w:numPr>
        <w:ind w:left="90" w:firstLine="0"/>
        <w:rPr>
          <w:sz w:val="24"/>
          <w:szCs w:val="24"/>
        </w:rPr>
      </w:pPr>
      <w:r w:rsidRPr="00A7015F">
        <w:rPr>
          <w:sz w:val="24"/>
          <w:szCs w:val="24"/>
        </w:rPr>
        <w:t>The nanoparticles induced significant biochemical changes in Intestine and foot muscles.</w:t>
      </w:r>
    </w:p>
    <w:p w14:paraId="38D4560D" w14:textId="786364BF" w:rsidR="00532C6D" w:rsidRDefault="00532C6D" w:rsidP="00532C6D">
      <w:pPr>
        <w:rPr>
          <w:sz w:val="24"/>
          <w:szCs w:val="24"/>
        </w:rPr>
      </w:pPr>
    </w:p>
    <w:p w14:paraId="3FD1DACA" w14:textId="77777777" w:rsidR="00532C6D" w:rsidRPr="00532C6D" w:rsidRDefault="00532C6D" w:rsidP="00532C6D">
      <w:pPr>
        <w:spacing w:after="0" w:line="240" w:lineRule="auto"/>
        <w:ind w:left="0"/>
        <w:jc w:val="left"/>
        <w:rPr>
          <w:rFonts w:ascii="Arial" w:eastAsia="Calibri" w:hAnsi="Arial" w:cs="Arial"/>
          <w:highlight w:val="yellow"/>
          <w:lang w:val="en-US"/>
          <w14:ligatures w14:val="none"/>
        </w:rPr>
      </w:pPr>
      <w:bookmarkStart w:id="0" w:name="_Hlk198031404"/>
      <w:r w:rsidRPr="00532C6D">
        <w:rPr>
          <w:rFonts w:ascii="Arial" w:eastAsia="Calibri" w:hAnsi="Arial" w:cs="Arial"/>
          <w:highlight w:val="yellow"/>
          <w:lang w:val="en-US"/>
          <w14:ligatures w14:val="none"/>
        </w:rPr>
        <w:t>Disclaimer (Artificial intelligence)</w:t>
      </w:r>
    </w:p>
    <w:p w14:paraId="70C35EB5" w14:textId="77777777" w:rsidR="00532C6D" w:rsidRPr="00532C6D" w:rsidRDefault="00532C6D" w:rsidP="00532C6D">
      <w:pPr>
        <w:spacing w:after="0" w:line="240" w:lineRule="auto"/>
        <w:ind w:left="0"/>
        <w:jc w:val="left"/>
        <w:rPr>
          <w:rFonts w:ascii="Arial" w:eastAsia="Calibri" w:hAnsi="Arial" w:cs="Arial"/>
          <w:highlight w:val="yellow"/>
          <w:lang w:val="en-US"/>
          <w14:ligatures w14:val="none"/>
        </w:rPr>
      </w:pPr>
    </w:p>
    <w:p w14:paraId="1215321A" w14:textId="77777777" w:rsidR="00532C6D" w:rsidRPr="00532C6D" w:rsidRDefault="00532C6D" w:rsidP="00532C6D">
      <w:pPr>
        <w:spacing w:after="0" w:line="240" w:lineRule="auto"/>
        <w:ind w:left="0"/>
        <w:jc w:val="left"/>
        <w:rPr>
          <w:rFonts w:ascii="Arial" w:eastAsia="Calibri" w:hAnsi="Arial" w:cs="Arial"/>
          <w:highlight w:val="yellow"/>
          <w:lang w:val="en-US"/>
          <w14:ligatures w14:val="none"/>
        </w:rPr>
      </w:pPr>
      <w:r w:rsidRPr="00532C6D">
        <w:rPr>
          <w:rFonts w:ascii="Arial" w:eastAsia="Calibri" w:hAnsi="Arial" w:cs="Arial"/>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522FDC19" w14:textId="77777777" w:rsidR="00532C6D" w:rsidRPr="00532C6D" w:rsidRDefault="00532C6D" w:rsidP="00532C6D">
      <w:pPr>
        <w:spacing w:after="200" w:line="276" w:lineRule="auto"/>
        <w:ind w:left="0"/>
        <w:jc w:val="left"/>
        <w:rPr>
          <w:rFonts w:ascii="Calibri" w:eastAsia="Calibri" w:hAnsi="Calibri"/>
          <w:lang w:val="en-US"/>
          <w14:ligatures w14:val="none"/>
        </w:rPr>
      </w:pPr>
    </w:p>
    <w:p w14:paraId="181CFEE8" w14:textId="77777777" w:rsidR="00532C6D" w:rsidRPr="00532C6D" w:rsidRDefault="00532C6D" w:rsidP="00532C6D">
      <w:pPr>
        <w:rPr>
          <w:sz w:val="24"/>
          <w:szCs w:val="24"/>
        </w:rPr>
      </w:pPr>
    </w:p>
    <w:p w14:paraId="4D271889" w14:textId="77777777" w:rsidR="00A976A8" w:rsidRPr="00EB7ACB" w:rsidRDefault="00A976A8" w:rsidP="00EB7ACB">
      <w:pPr>
        <w:pStyle w:val="Default"/>
        <w:spacing w:line="360" w:lineRule="auto"/>
        <w:ind w:left="90"/>
        <w:jc w:val="both"/>
        <w:rPr>
          <w:color w:val="auto"/>
        </w:rPr>
      </w:pPr>
    </w:p>
    <w:p w14:paraId="0F86418C" w14:textId="5D7BDE09" w:rsidR="001F4DAB" w:rsidRPr="00EB7ACB" w:rsidRDefault="00D02611" w:rsidP="00F142EC">
      <w:pPr>
        <w:numPr>
          <w:ilvl w:val="0"/>
          <w:numId w:val="4"/>
        </w:numPr>
        <w:ind w:left="90"/>
        <w:rPr>
          <w:b/>
          <w:bCs/>
          <w:sz w:val="28"/>
          <w:szCs w:val="28"/>
        </w:rPr>
      </w:pPr>
      <w:r w:rsidRPr="00EB7ACB">
        <w:rPr>
          <w:b/>
          <w:bCs/>
          <w:sz w:val="28"/>
          <w:szCs w:val="28"/>
        </w:rPr>
        <w:t xml:space="preserve">7. </w:t>
      </w:r>
      <w:r w:rsidR="001F4DAB" w:rsidRPr="00EB7ACB">
        <w:rPr>
          <w:b/>
          <w:bCs/>
          <w:sz w:val="28"/>
          <w:szCs w:val="28"/>
        </w:rPr>
        <w:t>References:</w:t>
      </w:r>
    </w:p>
    <w:p w14:paraId="7AC9FF4A" w14:textId="2FCC6413" w:rsidR="00A17394" w:rsidRPr="00A7015F" w:rsidRDefault="00A17394" w:rsidP="00E44CC2">
      <w:pPr>
        <w:ind w:left="540" w:hanging="450"/>
        <w:rPr>
          <w:sz w:val="24"/>
          <w:szCs w:val="24"/>
        </w:rPr>
      </w:pPr>
      <w:r w:rsidRPr="00A7015F">
        <w:rPr>
          <w:sz w:val="24"/>
          <w:szCs w:val="24"/>
        </w:rPr>
        <w:t xml:space="preserve">Masho, T. J., Ayane, M. M., Endale, G. N., Adula, S. H., </w:t>
      </w:r>
      <w:proofErr w:type="spellStart"/>
      <w:r w:rsidRPr="00A7015F">
        <w:rPr>
          <w:sz w:val="24"/>
          <w:szCs w:val="24"/>
        </w:rPr>
        <w:t>Negasa</w:t>
      </w:r>
      <w:proofErr w:type="spellEnd"/>
      <w:r w:rsidRPr="00A7015F">
        <w:rPr>
          <w:sz w:val="24"/>
          <w:szCs w:val="24"/>
        </w:rPr>
        <w:t xml:space="preserve">, Y. D., </w:t>
      </w:r>
      <w:proofErr w:type="spellStart"/>
      <w:r w:rsidRPr="00A7015F">
        <w:rPr>
          <w:sz w:val="24"/>
          <w:szCs w:val="24"/>
        </w:rPr>
        <w:t>Likasa</w:t>
      </w:r>
      <w:proofErr w:type="spellEnd"/>
      <w:r w:rsidRPr="00A7015F">
        <w:rPr>
          <w:sz w:val="24"/>
          <w:szCs w:val="24"/>
        </w:rPr>
        <w:t xml:space="preserve">, B. W., ... &amp; </w:t>
      </w:r>
      <w:r w:rsidR="00A7015F" w:rsidRPr="00A7015F">
        <w:rPr>
          <w:sz w:val="24"/>
          <w:szCs w:val="24"/>
        </w:rPr>
        <w:t xml:space="preserve">    </w:t>
      </w:r>
      <w:r w:rsidRPr="00A7015F">
        <w:rPr>
          <w:sz w:val="24"/>
          <w:szCs w:val="24"/>
        </w:rPr>
        <w:t>Jida, S. M. (2025). Biosynthesis, characterization of Ag2O nanoparticles for enhancement of antioxidant and photo degradation activities. </w:t>
      </w:r>
      <w:r w:rsidRPr="00A7015F">
        <w:rPr>
          <w:i/>
          <w:iCs/>
          <w:sz w:val="24"/>
          <w:szCs w:val="24"/>
        </w:rPr>
        <w:t>Results in Chemistry</w:t>
      </w:r>
      <w:r w:rsidRPr="00A7015F">
        <w:rPr>
          <w:sz w:val="24"/>
          <w:szCs w:val="24"/>
        </w:rPr>
        <w:t>, </w:t>
      </w:r>
      <w:r w:rsidRPr="00A7015F">
        <w:rPr>
          <w:i/>
          <w:iCs/>
          <w:sz w:val="24"/>
          <w:szCs w:val="24"/>
        </w:rPr>
        <w:t>13</w:t>
      </w:r>
      <w:r w:rsidRPr="00A7015F">
        <w:rPr>
          <w:sz w:val="24"/>
          <w:szCs w:val="24"/>
        </w:rPr>
        <w:t>, 101919.</w:t>
      </w:r>
    </w:p>
    <w:p w14:paraId="37A2ACEE" w14:textId="5B40DC60" w:rsidR="00BB2F0A" w:rsidRPr="00A7015F" w:rsidRDefault="00BB2F0A" w:rsidP="009C373F">
      <w:pPr>
        <w:tabs>
          <w:tab w:val="left" w:pos="90"/>
        </w:tabs>
        <w:ind w:left="540" w:hanging="540"/>
        <w:rPr>
          <w:sz w:val="24"/>
          <w:szCs w:val="24"/>
        </w:rPr>
      </w:pPr>
      <w:proofErr w:type="spellStart"/>
      <w:r w:rsidRPr="00A7015F">
        <w:rPr>
          <w:sz w:val="24"/>
          <w:szCs w:val="24"/>
        </w:rPr>
        <w:t>Ugbaja</w:t>
      </w:r>
      <w:proofErr w:type="spellEnd"/>
      <w:r w:rsidRPr="00A7015F">
        <w:rPr>
          <w:sz w:val="24"/>
          <w:szCs w:val="24"/>
        </w:rPr>
        <w:t xml:space="preserve">, R. N., Enilolobo, M. A., James, A. S., </w:t>
      </w:r>
      <w:proofErr w:type="spellStart"/>
      <w:r w:rsidRPr="00A7015F">
        <w:rPr>
          <w:sz w:val="24"/>
          <w:szCs w:val="24"/>
        </w:rPr>
        <w:t>Akinhanmi</w:t>
      </w:r>
      <w:proofErr w:type="spellEnd"/>
      <w:r w:rsidRPr="00A7015F">
        <w:rPr>
          <w:sz w:val="24"/>
          <w:szCs w:val="24"/>
        </w:rPr>
        <w:t xml:space="preserve">, T. F., </w:t>
      </w:r>
      <w:proofErr w:type="spellStart"/>
      <w:r w:rsidRPr="00A7015F">
        <w:rPr>
          <w:sz w:val="24"/>
          <w:szCs w:val="24"/>
        </w:rPr>
        <w:t>Akamo</w:t>
      </w:r>
      <w:proofErr w:type="spellEnd"/>
      <w:r w:rsidRPr="00A7015F">
        <w:rPr>
          <w:sz w:val="24"/>
          <w:szCs w:val="24"/>
        </w:rPr>
        <w:t xml:space="preserve">, A. J., Babayemi, D. O., &amp; Ademuyiwa, O. (2020). Bioaccumulation of heavy metals, lipid profiles, and </w:t>
      </w:r>
      <w:r w:rsidRPr="00A7015F">
        <w:rPr>
          <w:sz w:val="24"/>
          <w:szCs w:val="24"/>
        </w:rPr>
        <w:lastRenderedPageBreak/>
        <w:t>antioxidant status of snails (Achatina achatina) around cement factory vicinities. </w:t>
      </w:r>
      <w:r w:rsidRPr="00A7015F">
        <w:rPr>
          <w:i/>
          <w:iCs/>
          <w:sz w:val="24"/>
          <w:szCs w:val="24"/>
        </w:rPr>
        <w:t>Toxicology and Industrial Health</w:t>
      </w:r>
      <w:r w:rsidRPr="00A7015F">
        <w:rPr>
          <w:sz w:val="24"/>
          <w:szCs w:val="24"/>
        </w:rPr>
        <w:t>, </w:t>
      </w:r>
      <w:r w:rsidRPr="00A7015F">
        <w:rPr>
          <w:i/>
          <w:iCs/>
          <w:sz w:val="24"/>
          <w:szCs w:val="24"/>
        </w:rPr>
        <w:t>36</w:t>
      </w:r>
      <w:r w:rsidRPr="00A7015F">
        <w:rPr>
          <w:sz w:val="24"/>
          <w:szCs w:val="24"/>
        </w:rPr>
        <w:t>(11), 863-875.</w:t>
      </w:r>
    </w:p>
    <w:p w14:paraId="13BBD4E8" w14:textId="77777777" w:rsidR="00020BCA" w:rsidRPr="00A7015F" w:rsidRDefault="00020BCA" w:rsidP="009C373F">
      <w:pPr>
        <w:pStyle w:val="NormalWeb"/>
        <w:ind w:left="540" w:hanging="540"/>
      </w:pPr>
      <w:r w:rsidRPr="00A7015F">
        <w:t xml:space="preserve">Fahmy, S. R., Abdel-Ghaffar, F., Bakry, F. A., &amp; Sayed, D. A. (2014). Ecotoxicological effect of sublethal exposure to zinc oxide nanoparticles on freshwater snail </w:t>
      </w:r>
      <w:proofErr w:type="spellStart"/>
      <w:r w:rsidRPr="00A7015F">
        <w:rPr>
          <w:i/>
          <w:iCs/>
        </w:rPr>
        <w:t>Biomphalaria</w:t>
      </w:r>
      <w:proofErr w:type="spellEnd"/>
      <w:r w:rsidRPr="00A7015F">
        <w:rPr>
          <w:i/>
          <w:iCs/>
        </w:rPr>
        <w:t xml:space="preserve"> </w:t>
      </w:r>
      <w:proofErr w:type="spellStart"/>
      <w:r w:rsidRPr="00A7015F">
        <w:rPr>
          <w:i/>
          <w:iCs/>
        </w:rPr>
        <w:t>alexandrina</w:t>
      </w:r>
      <w:proofErr w:type="spellEnd"/>
      <w:r w:rsidRPr="00A7015F">
        <w:t xml:space="preserve">. </w:t>
      </w:r>
      <w:r w:rsidRPr="00A7015F">
        <w:rPr>
          <w:i/>
          <w:iCs/>
        </w:rPr>
        <w:t>Archives of Environmental Contamination and Toxicology</w:t>
      </w:r>
      <w:r w:rsidRPr="00A7015F">
        <w:t xml:space="preserve">, </w:t>
      </w:r>
      <w:r w:rsidRPr="00A7015F">
        <w:rPr>
          <w:i/>
          <w:iCs/>
        </w:rPr>
        <w:t>67</w:t>
      </w:r>
      <w:r w:rsidRPr="00A7015F">
        <w:t xml:space="preserve">(1), 1–10. </w:t>
      </w:r>
      <w:hyperlink r:id="rId11" w:tgtFrame="_blank" w:history="1">
        <w:r w:rsidRPr="00A7015F">
          <w:rPr>
            <w:rStyle w:val="Hyperlink"/>
          </w:rPr>
          <w:t>https://doi.org/10.1007/s00244-014-0020-z</w:t>
        </w:r>
      </w:hyperlink>
    </w:p>
    <w:p w14:paraId="27E37B3C" w14:textId="77777777" w:rsidR="00020BCA" w:rsidRPr="00A7015F" w:rsidRDefault="00020BCA" w:rsidP="00102758">
      <w:pPr>
        <w:pStyle w:val="NormalWeb"/>
        <w:ind w:left="630" w:hanging="630"/>
      </w:pPr>
      <w:proofErr w:type="spellStart"/>
      <w:r w:rsidRPr="00A7015F">
        <w:t>Feidantsis</w:t>
      </w:r>
      <w:proofErr w:type="spellEnd"/>
      <w:r w:rsidRPr="00A7015F">
        <w:t>, K., Kalogiannis, S., Marinoni</w:t>
      </w:r>
      <w:r w:rsidRPr="00A7015F">
        <w:rPr>
          <w:rStyle w:val="citation-199"/>
        </w:rPr>
        <w:t xml:space="preserve">, A., </w:t>
      </w:r>
      <w:proofErr w:type="spellStart"/>
      <w:r w:rsidRPr="00A7015F">
        <w:rPr>
          <w:rStyle w:val="citation-199"/>
        </w:rPr>
        <w:t>Vasilogianni</w:t>
      </w:r>
      <w:proofErr w:type="spellEnd"/>
      <w:r w:rsidRPr="00A7015F">
        <w:rPr>
          <w:rStyle w:val="citation-199"/>
        </w:rPr>
        <w:t xml:space="preserve">, A. M., Gkanatsiou, C., </w:t>
      </w:r>
      <w:proofErr w:type="spellStart"/>
      <w:r w:rsidRPr="00A7015F">
        <w:rPr>
          <w:rStyle w:val="citation-199"/>
        </w:rPr>
        <w:t>Kastrinaki</w:t>
      </w:r>
      <w:proofErr w:type="spellEnd"/>
      <w:r w:rsidRPr="00A7015F">
        <w:rPr>
          <w:rStyle w:val="citation-199"/>
        </w:rPr>
        <w:t xml:space="preserve">, G., </w:t>
      </w:r>
      <w:proofErr w:type="spellStart"/>
      <w:r w:rsidRPr="00A7015F">
        <w:rPr>
          <w:rStyle w:val="citation-199"/>
        </w:rPr>
        <w:t>Dendrinou</w:t>
      </w:r>
      <w:proofErr w:type="spellEnd"/>
      <w:r w:rsidRPr="00A7015F">
        <w:rPr>
          <w:rStyle w:val="citation-199"/>
        </w:rPr>
        <w:t xml:space="preserve">-Samara, C., &amp; </w:t>
      </w:r>
      <w:proofErr w:type="spellStart"/>
      <w:r w:rsidRPr="00A7015F">
        <w:rPr>
          <w:rStyle w:val="citation-199"/>
        </w:rPr>
        <w:t>Kaloyianni</w:t>
      </w:r>
      <w:proofErr w:type="spellEnd"/>
      <w:r w:rsidRPr="00A7015F">
        <w:rPr>
          <w:rStyle w:val="citation-199"/>
        </w:rPr>
        <w:t xml:space="preserve">, M. (2020). Toxicity assessment and comparison of the land snail's </w:t>
      </w:r>
      <w:r w:rsidRPr="00A7015F">
        <w:rPr>
          <w:rStyle w:val="citation-199"/>
          <w:i/>
          <w:iCs/>
        </w:rPr>
        <w:t xml:space="preserve">Cornu </w:t>
      </w:r>
      <w:proofErr w:type="spellStart"/>
      <w:r w:rsidRPr="00A7015F">
        <w:rPr>
          <w:rStyle w:val="citation-199"/>
          <w:i/>
          <w:iCs/>
        </w:rPr>
        <w:t>aspersum</w:t>
      </w:r>
      <w:proofErr w:type="spellEnd"/>
      <w:r w:rsidRPr="00A7015F">
        <w:rPr>
          <w:rStyle w:val="citation-199"/>
        </w:rPr>
        <w:t xml:space="preserve"> responses against </w:t>
      </w:r>
      <w:proofErr w:type="spellStart"/>
      <w:r w:rsidRPr="00A7015F">
        <w:rPr>
          <w:rStyle w:val="citation-199"/>
        </w:rPr>
        <w:t>CuO</w:t>
      </w:r>
      <w:proofErr w:type="spellEnd"/>
      <w:r w:rsidRPr="00A7015F">
        <w:rPr>
          <w:rStyle w:val="citation-199"/>
        </w:rPr>
        <w:t xml:space="preserve"> nanoparticles and </w:t>
      </w:r>
      <w:proofErr w:type="spellStart"/>
      <w:r w:rsidRPr="00A7015F">
        <w:rPr>
          <w:rStyle w:val="citation-199"/>
        </w:rPr>
        <w:t>ZnO</w:t>
      </w:r>
      <w:proofErr w:type="spellEnd"/>
      <w:r w:rsidRPr="00A7015F">
        <w:rPr>
          <w:rStyle w:val="citation-199"/>
        </w:rPr>
        <w:t xml:space="preserve"> nanoparticles. </w:t>
      </w:r>
      <w:r w:rsidRPr="00A7015F">
        <w:rPr>
          <w:rStyle w:val="citation-199"/>
          <w:i/>
          <w:iCs/>
        </w:rPr>
        <w:t>Comparative B</w:t>
      </w:r>
      <w:r w:rsidRPr="00A7015F">
        <w:rPr>
          <w:i/>
          <w:iCs/>
        </w:rPr>
        <w:t>iochemistry and Physiology Part C: Toxicology &amp; Pharmacology</w:t>
      </w:r>
      <w:r w:rsidRPr="00A7015F">
        <w:t xml:space="preserve">, </w:t>
      </w:r>
      <w:r w:rsidRPr="00A7015F">
        <w:rPr>
          <w:i/>
          <w:iCs/>
        </w:rPr>
        <w:t>236</w:t>
      </w:r>
      <w:r w:rsidRPr="00A7015F">
        <w:t xml:space="preserve">, 108817. </w:t>
      </w:r>
      <w:hyperlink r:id="rId12" w:tgtFrame="_blank" w:history="1">
        <w:r w:rsidRPr="00A7015F">
          <w:rPr>
            <w:rStyle w:val="Hyperlink"/>
          </w:rPr>
          <w:t>https://doi.org/10.1016/j.cbpc.2020.108817</w:t>
        </w:r>
      </w:hyperlink>
    </w:p>
    <w:p w14:paraId="5CFB740D" w14:textId="77777777" w:rsidR="00020BCA" w:rsidRPr="00A7015F" w:rsidRDefault="00020BCA" w:rsidP="00102758">
      <w:pPr>
        <w:pStyle w:val="NormalWeb"/>
        <w:tabs>
          <w:tab w:val="left" w:pos="810"/>
        </w:tabs>
        <w:ind w:left="540" w:hanging="540"/>
      </w:pPr>
      <w:r w:rsidRPr="00A7015F">
        <w:t xml:space="preserve">Mahmoud, M. B., Ibrahim, W. L., Abou-El-Nour, B. M., El-Emam, M. A., &amp; Youssef, A. A. (2011). Biological and biochemical parameters of </w:t>
      </w:r>
      <w:proofErr w:type="spellStart"/>
      <w:r w:rsidRPr="00A7015F">
        <w:rPr>
          <w:i/>
          <w:iCs/>
        </w:rPr>
        <w:t>Biomphalaria</w:t>
      </w:r>
      <w:proofErr w:type="spellEnd"/>
      <w:r w:rsidRPr="00A7015F">
        <w:rPr>
          <w:i/>
          <w:iCs/>
        </w:rPr>
        <w:t xml:space="preserve"> </w:t>
      </w:r>
      <w:proofErr w:type="spellStart"/>
      <w:r w:rsidRPr="00A7015F">
        <w:rPr>
          <w:i/>
          <w:iCs/>
        </w:rPr>
        <w:t>alexandrina</w:t>
      </w:r>
      <w:proofErr w:type="spellEnd"/>
      <w:r w:rsidRPr="00A7015F">
        <w:t xml:space="preserve"> snails exposed to the plants </w:t>
      </w:r>
      <w:r w:rsidRPr="00A7015F">
        <w:rPr>
          <w:i/>
          <w:iCs/>
        </w:rPr>
        <w:t>Datura stramonium</w:t>
      </w:r>
      <w:r w:rsidRPr="00A7015F">
        <w:t xml:space="preserve"> and </w:t>
      </w:r>
      <w:r w:rsidRPr="00A7015F">
        <w:rPr>
          <w:i/>
          <w:iCs/>
        </w:rPr>
        <w:t xml:space="preserve">Sesbania </w:t>
      </w:r>
      <w:proofErr w:type="spellStart"/>
      <w:r w:rsidRPr="00A7015F">
        <w:rPr>
          <w:i/>
          <w:iCs/>
        </w:rPr>
        <w:t>sesban</w:t>
      </w:r>
      <w:proofErr w:type="spellEnd"/>
      <w:r w:rsidRPr="00A7015F">
        <w:t xml:space="preserve"> as water suspensions of their dry powder. </w:t>
      </w:r>
      <w:r w:rsidRPr="00A7015F">
        <w:rPr>
          <w:i/>
          <w:iCs/>
        </w:rPr>
        <w:t>Pesticide Biochemistry and Physiology</w:t>
      </w:r>
      <w:r w:rsidRPr="00A7015F">
        <w:t xml:space="preserve">, </w:t>
      </w:r>
      <w:r w:rsidRPr="00A7015F">
        <w:rPr>
          <w:i/>
          <w:iCs/>
        </w:rPr>
        <w:t>99</w:t>
      </w:r>
      <w:r w:rsidRPr="00A7015F">
        <w:t xml:space="preserve">(1), 96–104. </w:t>
      </w:r>
      <w:hyperlink r:id="rId13" w:tgtFrame="_blank" w:history="1">
        <w:r w:rsidRPr="00A7015F">
          <w:rPr>
            <w:rStyle w:val="Hyperlink"/>
          </w:rPr>
          <w:t>https://doi.org/10.1016/j.pestbp.2010.11.006</w:t>
        </w:r>
      </w:hyperlink>
    </w:p>
    <w:p w14:paraId="35A00CF6" w14:textId="77777777" w:rsidR="00020BCA" w:rsidRPr="00A7015F" w:rsidRDefault="00020BCA" w:rsidP="00A7015F">
      <w:pPr>
        <w:pStyle w:val="NormalWeb"/>
        <w:ind w:left="540" w:hanging="540"/>
      </w:pPr>
      <w:r w:rsidRPr="00A7015F">
        <w:t xml:space="preserve">Radwan, M. A., &amp; Mohamed, M. S. (2013). Imidacloprid induced alterations in enzyme activities and energy reserves of the land snail, </w:t>
      </w:r>
      <w:r w:rsidRPr="00A7015F">
        <w:rPr>
          <w:i/>
          <w:iCs/>
        </w:rPr>
        <w:t xml:space="preserve">Helix </w:t>
      </w:r>
      <w:proofErr w:type="spellStart"/>
      <w:r w:rsidRPr="00A7015F">
        <w:rPr>
          <w:i/>
          <w:iCs/>
        </w:rPr>
        <w:t>aspersa</w:t>
      </w:r>
      <w:proofErr w:type="spellEnd"/>
      <w:r w:rsidRPr="00A7015F">
        <w:t xml:space="preserve">. </w:t>
      </w:r>
      <w:r w:rsidRPr="00A7015F">
        <w:rPr>
          <w:i/>
          <w:iCs/>
        </w:rPr>
        <w:t>Ecotoxicology and Environmental Safety</w:t>
      </w:r>
      <w:r w:rsidRPr="00A7015F">
        <w:t xml:space="preserve">, </w:t>
      </w:r>
      <w:r w:rsidRPr="00A7015F">
        <w:rPr>
          <w:i/>
          <w:iCs/>
        </w:rPr>
        <w:t>95</w:t>
      </w:r>
      <w:r w:rsidRPr="00A7015F">
        <w:t xml:space="preserve">, 91–97. </w:t>
      </w:r>
      <w:hyperlink r:id="rId14" w:tgtFrame="_blank" w:history="1">
        <w:r w:rsidRPr="00A7015F">
          <w:rPr>
            <w:rStyle w:val="Hyperlink"/>
          </w:rPr>
          <w:t>https://doi.org/10.1016/j.ecoenv.2013.05.019</w:t>
        </w:r>
      </w:hyperlink>
    </w:p>
    <w:p w14:paraId="581E04F8" w14:textId="77777777" w:rsidR="00020BCA" w:rsidRPr="00A7015F" w:rsidRDefault="00020BCA" w:rsidP="00A7015F">
      <w:pPr>
        <w:pStyle w:val="NormalWeb"/>
        <w:ind w:left="540" w:hanging="540"/>
      </w:pPr>
      <w:r w:rsidRPr="00A7015F">
        <w:t xml:space="preserve">Sidiropoulou, E., </w:t>
      </w:r>
      <w:proofErr w:type="spellStart"/>
      <w:r w:rsidRPr="00A7015F">
        <w:t>Feidantsis</w:t>
      </w:r>
      <w:proofErr w:type="spellEnd"/>
      <w:r w:rsidRPr="00A7015F">
        <w:t xml:space="preserve">, K., Kalogiannis, S., </w:t>
      </w:r>
      <w:proofErr w:type="spellStart"/>
      <w:r w:rsidRPr="00A7015F">
        <w:t>Gallios</w:t>
      </w:r>
      <w:proofErr w:type="spellEnd"/>
      <w:r w:rsidRPr="00A7015F">
        <w:t xml:space="preserve">, G. P., </w:t>
      </w:r>
      <w:proofErr w:type="spellStart"/>
      <w:r w:rsidRPr="00A7015F">
        <w:t>Kastrinaki</w:t>
      </w:r>
      <w:proofErr w:type="spellEnd"/>
      <w:r w:rsidRPr="00A7015F">
        <w:t xml:space="preserve">, G., Papaioannou, E., Václavíková, M., &amp; </w:t>
      </w:r>
      <w:proofErr w:type="spellStart"/>
      <w:r w:rsidRPr="00A7015F">
        <w:t>Kaloyianni</w:t>
      </w:r>
      <w:proofErr w:type="spellEnd"/>
      <w:r w:rsidRPr="00A7015F">
        <w:t xml:space="preserve">, M. (2018). Insights into the toxicity of iron oxides nanoparticles in land snails. </w:t>
      </w:r>
      <w:r w:rsidRPr="00A7015F">
        <w:rPr>
          <w:i/>
          <w:iCs/>
        </w:rPr>
        <w:t>Comparative Biochemistry and Physiology Part C: Toxicology &amp; Pharmacology</w:t>
      </w:r>
      <w:r w:rsidRPr="00A7015F">
        <w:t xml:space="preserve">, </w:t>
      </w:r>
      <w:r w:rsidRPr="00A7015F">
        <w:rPr>
          <w:i/>
          <w:iCs/>
        </w:rPr>
        <w:t>206-207</w:t>
      </w:r>
      <w:r w:rsidRPr="00A7015F">
        <w:t xml:space="preserve">, 1–10. </w:t>
      </w:r>
      <w:hyperlink r:id="rId15" w:tgtFrame="_blank" w:history="1">
        <w:r w:rsidRPr="00A7015F">
          <w:rPr>
            <w:rStyle w:val="Hyperlink"/>
          </w:rPr>
          <w:t>https://doi.org/10.1016/j.cbpc.2018.02.001</w:t>
        </w:r>
      </w:hyperlink>
    </w:p>
    <w:p w14:paraId="12B18280" w14:textId="0502C038" w:rsidR="00020BCA" w:rsidRPr="00A7015F" w:rsidRDefault="00020BCA" w:rsidP="00A7015F">
      <w:pPr>
        <w:pStyle w:val="NormalWeb"/>
        <w:ind w:left="450" w:hanging="450"/>
      </w:pPr>
      <w:proofErr w:type="spellStart"/>
      <w:r w:rsidRPr="00A7015F">
        <w:t>Tunholi</w:t>
      </w:r>
      <w:proofErr w:type="spellEnd"/>
      <w:r w:rsidRPr="00A7015F">
        <w:t xml:space="preserve">-Alves, V. M., </w:t>
      </w:r>
      <w:proofErr w:type="spellStart"/>
      <w:r w:rsidRPr="00A7015F">
        <w:t>Tunholi</w:t>
      </w:r>
      <w:proofErr w:type="spellEnd"/>
      <w:r w:rsidRPr="00A7015F">
        <w:t xml:space="preserve">, V. M., Amaral, L. S., Mota, E. M., Maldonado Júnior, A., </w:t>
      </w:r>
      <w:r w:rsidR="00A7015F">
        <w:t xml:space="preserve">   </w:t>
      </w:r>
      <w:r w:rsidRPr="00A7015F">
        <w:t xml:space="preserve">Pinheiro, J., &amp; Garcia, J. (2015). Biochemical profile of </w:t>
      </w:r>
      <w:r w:rsidRPr="00A7015F">
        <w:rPr>
          <w:i/>
          <w:iCs/>
        </w:rPr>
        <w:t>Achatina fulica</w:t>
      </w:r>
      <w:r w:rsidRPr="00A7015F">
        <w:t xml:space="preserve"> (Mollusca: </w:t>
      </w:r>
      <w:proofErr w:type="spellStart"/>
      <w:r w:rsidRPr="00A7015F">
        <w:t>Gastropoda</w:t>
      </w:r>
      <w:proofErr w:type="spellEnd"/>
      <w:r w:rsidRPr="00A7015F">
        <w:t xml:space="preserve">) after infection by different parasitic loads of </w:t>
      </w:r>
      <w:proofErr w:type="spellStart"/>
      <w:r w:rsidRPr="00A7015F">
        <w:rPr>
          <w:i/>
          <w:iCs/>
        </w:rPr>
        <w:t>Angiostrongylus</w:t>
      </w:r>
      <w:proofErr w:type="spellEnd"/>
      <w:r w:rsidRPr="00A7015F">
        <w:rPr>
          <w:i/>
          <w:iCs/>
        </w:rPr>
        <w:t xml:space="preserve"> </w:t>
      </w:r>
      <w:proofErr w:type="spellStart"/>
      <w:r w:rsidRPr="00A7015F">
        <w:rPr>
          <w:i/>
          <w:iCs/>
        </w:rPr>
        <w:t>cantonensis</w:t>
      </w:r>
      <w:proofErr w:type="spellEnd"/>
      <w:r w:rsidRPr="00A7015F">
        <w:t xml:space="preserve"> (Nematoda, </w:t>
      </w:r>
      <w:proofErr w:type="spellStart"/>
      <w:r w:rsidRPr="00A7015F">
        <w:t>Metastrongylidae</w:t>
      </w:r>
      <w:proofErr w:type="spellEnd"/>
      <w:r w:rsidRPr="00A7015F">
        <w:t xml:space="preserve">). </w:t>
      </w:r>
      <w:r w:rsidRPr="00A7015F">
        <w:rPr>
          <w:i/>
          <w:iCs/>
        </w:rPr>
        <w:t>Journal of Invertebrate Pathology</w:t>
      </w:r>
      <w:r w:rsidRPr="00A7015F">
        <w:t xml:space="preserve">, </w:t>
      </w:r>
      <w:r w:rsidRPr="00A7015F">
        <w:rPr>
          <w:i/>
          <w:iCs/>
        </w:rPr>
        <w:t>124</w:t>
      </w:r>
      <w:r w:rsidRPr="00A7015F">
        <w:t xml:space="preserve">, 1–5. </w:t>
      </w:r>
      <w:hyperlink r:id="rId16" w:tgtFrame="_blank" w:history="1">
        <w:r w:rsidRPr="00A7015F">
          <w:rPr>
            <w:rStyle w:val="Hyperlink"/>
          </w:rPr>
          <w:t>https://doi.org/10.1016/j.jip.2014.10.002</w:t>
        </w:r>
      </w:hyperlink>
    </w:p>
    <w:p w14:paraId="3EBDBB62" w14:textId="3917C22E" w:rsidR="000964B9" w:rsidRPr="00A7015F" w:rsidRDefault="000964B9" w:rsidP="000964B9">
      <w:pPr>
        <w:widowControl w:val="0"/>
        <w:autoSpaceDE w:val="0"/>
        <w:autoSpaceDN w:val="0"/>
        <w:adjustRightInd w:val="0"/>
        <w:ind w:left="480" w:hanging="480"/>
        <w:rPr>
          <w:noProof/>
          <w:kern w:val="0"/>
          <w:sz w:val="24"/>
          <w:szCs w:val="24"/>
        </w:rPr>
      </w:pPr>
      <w:r w:rsidRPr="00A7015F">
        <w:fldChar w:fldCharType="begin" w:fldLock="1"/>
      </w:r>
      <w:r w:rsidRPr="00A7015F">
        <w:instrText xml:space="preserve">ADDIN Mendeley Bibliography CSL_BIBLIOGRAPHY </w:instrText>
      </w:r>
      <w:r w:rsidRPr="00A7015F">
        <w:fldChar w:fldCharType="separate"/>
      </w:r>
      <w:r w:rsidRPr="00A7015F">
        <w:rPr>
          <w:noProof/>
          <w:kern w:val="0"/>
          <w:sz w:val="24"/>
          <w:szCs w:val="24"/>
        </w:rPr>
        <w:t xml:space="preserve">Radwan, M. A., &amp; Mohamed, M. S. (2013). Ecotoxicology and Environmental Safety Imidacloprid induced alterations in enzyme activities and energy reserves of the land </w:t>
      </w:r>
      <w:r w:rsidRPr="00A7015F">
        <w:rPr>
          <w:noProof/>
          <w:kern w:val="0"/>
          <w:sz w:val="24"/>
          <w:szCs w:val="24"/>
        </w:rPr>
        <w:lastRenderedPageBreak/>
        <w:t xml:space="preserve">snail , Helix aspersa. </w:t>
      </w:r>
      <w:r w:rsidRPr="00A7015F">
        <w:rPr>
          <w:i/>
          <w:iCs/>
          <w:noProof/>
          <w:kern w:val="0"/>
          <w:sz w:val="24"/>
          <w:szCs w:val="24"/>
        </w:rPr>
        <w:t>Ecotoxicology and Environmental Safety</w:t>
      </w:r>
      <w:r w:rsidRPr="00A7015F">
        <w:rPr>
          <w:noProof/>
          <w:kern w:val="0"/>
          <w:sz w:val="24"/>
          <w:szCs w:val="24"/>
        </w:rPr>
        <w:t xml:space="preserve">, </w:t>
      </w:r>
      <w:r w:rsidRPr="00A7015F">
        <w:rPr>
          <w:i/>
          <w:iCs/>
          <w:noProof/>
          <w:kern w:val="0"/>
          <w:sz w:val="24"/>
          <w:szCs w:val="24"/>
        </w:rPr>
        <w:t>95</w:t>
      </w:r>
      <w:r w:rsidRPr="00A7015F">
        <w:rPr>
          <w:noProof/>
          <w:kern w:val="0"/>
          <w:sz w:val="24"/>
          <w:szCs w:val="24"/>
        </w:rPr>
        <w:t>, 91–97. https://doi.org/10.1016/j.ecoenv.2013.05.019</w:t>
      </w:r>
    </w:p>
    <w:p w14:paraId="0FCA61D1"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Raghunath, A., &amp; Perumal, E. (2017). Metal oxide nanoparticles as antimicrobial agents: a promise for the future. </w:t>
      </w:r>
      <w:r w:rsidRPr="00A7015F">
        <w:rPr>
          <w:i/>
          <w:iCs/>
          <w:noProof/>
          <w:kern w:val="0"/>
          <w:sz w:val="24"/>
          <w:szCs w:val="24"/>
        </w:rPr>
        <w:t>International Journal of Antimicrobial Agents</w:t>
      </w:r>
      <w:r w:rsidRPr="00A7015F">
        <w:rPr>
          <w:noProof/>
          <w:kern w:val="0"/>
          <w:sz w:val="24"/>
          <w:szCs w:val="24"/>
        </w:rPr>
        <w:t xml:space="preserve">, </w:t>
      </w:r>
      <w:r w:rsidRPr="00A7015F">
        <w:rPr>
          <w:i/>
          <w:iCs/>
          <w:noProof/>
          <w:kern w:val="0"/>
          <w:sz w:val="24"/>
          <w:szCs w:val="24"/>
        </w:rPr>
        <w:t>49</w:t>
      </w:r>
      <w:r w:rsidRPr="00A7015F">
        <w:rPr>
          <w:noProof/>
          <w:kern w:val="0"/>
          <w:sz w:val="24"/>
          <w:szCs w:val="24"/>
        </w:rPr>
        <w:t>(2), 137–152. https://doi.org/10.1016/j.ijantimicag.2016.11.011</w:t>
      </w:r>
    </w:p>
    <w:p w14:paraId="62173FC7"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Raut, S. K., &amp; Barker, G. M. (2002). </w:t>
      </w:r>
      <w:r w:rsidRPr="00A7015F">
        <w:rPr>
          <w:i/>
          <w:iCs/>
          <w:noProof/>
          <w:kern w:val="0"/>
          <w:sz w:val="24"/>
          <w:szCs w:val="24"/>
        </w:rPr>
        <w:t xml:space="preserve"> Achatina fulica Bowdich and other Achatinidae as pests in tropical agriculture. </w:t>
      </w:r>
      <w:r w:rsidRPr="00A7015F">
        <w:rPr>
          <w:noProof/>
          <w:kern w:val="0"/>
          <w:sz w:val="24"/>
          <w:szCs w:val="24"/>
        </w:rPr>
        <w:t xml:space="preserve">. </w:t>
      </w:r>
      <w:r w:rsidRPr="00A7015F">
        <w:rPr>
          <w:i/>
          <w:iCs/>
          <w:noProof/>
          <w:kern w:val="0"/>
          <w:sz w:val="24"/>
          <w:szCs w:val="24"/>
        </w:rPr>
        <w:t>Molluscs as crop pests</w:t>
      </w:r>
      <w:r w:rsidRPr="00A7015F">
        <w:rPr>
          <w:noProof/>
          <w:kern w:val="0"/>
          <w:sz w:val="24"/>
          <w:szCs w:val="24"/>
        </w:rPr>
        <w:t>. https://doi.org/10.1079/9780851993201.0055</w:t>
      </w:r>
    </w:p>
    <w:p w14:paraId="00564093" w14:textId="3ED1FEE8" w:rsidR="000964B9" w:rsidRDefault="000964B9" w:rsidP="00FD21B1">
      <w:pPr>
        <w:widowControl w:val="0"/>
        <w:autoSpaceDE w:val="0"/>
        <w:autoSpaceDN w:val="0"/>
        <w:adjustRightInd w:val="0"/>
        <w:ind w:left="480" w:hanging="480"/>
        <w:rPr>
          <w:noProof/>
          <w:kern w:val="0"/>
          <w:sz w:val="24"/>
          <w:szCs w:val="24"/>
        </w:rPr>
      </w:pPr>
      <w:r w:rsidRPr="00A7015F">
        <w:rPr>
          <w:noProof/>
          <w:kern w:val="0"/>
          <w:sz w:val="24"/>
          <w:szCs w:val="24"/>
        </w:rPr>
        <w:t xml:space="preserve">Refai M, H., El- Safty M, S., Abd El-Aziz, M., &amp; Ghuniem M, M. (2020). Egyptian Journal of Plant Protection Research Institute Volume 3: No.(4), December, 2020, </w:t>
      </w:r>
      <w:r w:rsidRPr="00A7015F">
        <w:rPr>
          <w:i/>
          <w:iCs/>
          <w:noProof/>
          <w:kern w:val="0"/>
          <w:sz w:val="24"/>
          <w:szCs w:val="24"/>
        </w:rPr>
        <w:t>3</w:t>
      </w:r>
      <w:r w:rsidRPr="00A7015F">
        <w:rPr>
          <w:noProof/>
          <w:kern w:val="0"/>
          <w:sz w:val="24"/>
          <w:szCs w:val="24"/>
        </w:rPr>
        <w:t>(May 2019), 339–345.</w:t>
      </w:r>
    </w:p>
    <w:p w14:paraId="63402FBF" w14:textId="77777777" w:rsidR="00A95B90" w:rsidRPr="00A7015F" w:rsidRDefault="00A95B90" w:rsidP="00FD21B1">
      <w:pPr>
        <w:widowControl w:val="0"/>
        <w:autoSpaceDE w:val="0"/>
        <w:autoSpaceDN w:val="0"/>
        <w:adjustRightInd w:val="0"/>
        <w:ind w:left="480" w:hanging="480"/>
        <w:rPr>
          <w:noProof/>
          <w:kern w:val="0"/>
          <w:sz w:val="24"/>
          <w:szCs w:val="24"/>
        </w:rPr>
      </w:pPr>
    </w:p>
    <w:p w14:paraId="6E8F84F4" w14:textId="77B529AC" w:rsidR="00A35A5F" w:rsidRPr="00A95B90" w:rsidRDefault="000964B9" w:rsidP="00A95B90">
      <w:pPr>
        <w:widowControl w:val="0"/>
        <w:autoSpaceDE w:val="0"/>
        <w:autoSpaceDN w:val="0"/>
        <w:adjustRightInd w:val="0"/>
        <w:ind w:left="360" w:hanging="570"/>
        <w:rPr>
          <w:noProof/>
          <w:kern w:val="0"/>
          <w:sz w:val="24"/>
          <w:szCs w:val="24"/>
        </w:rPr>
      </w:pPr>
      <w:r w:rsidRPr="00A7015F">
        <w:rPr>
          <w:noProof/>
          <w:kern w:val="0"/>
          <w:sz w:val="24"/>
          <w:szCs w:val="24"/>
        </w:rPr>
        <w:t xml:space="preserve">Sidiropoulou, E., Feidantsis, K., Kalogiannis, S., Gallios, G. P., Kastrinaki, G., Papaioannou, E., Kaloyianni, M. (2018). Comparative Biochemistry and Physiology , Part C Insights into the toxicity of iron oxides nanoparticles in land snails. </w:t>
      </w:r>
      <w:r w:rsidRPr="00A7015F">
        <w:rPr>
          <w:i/>
          <w:iCs/>
          <w:noProof/>
          <w:kern w:val="0"/>
          <w:sz w:val="24"/>
          <w:szCs w:val="24"/>
        </w:rPr>
        <w:t>Comparative Biochemistry and Physiology, Part C</w:t>
      </w:r>
      <w:r w:rsidRPr="00A7015F">
        <w:rPr>
          <w:noProof/>
          <w:kern w:val="0"/>
          <w:sz w:val="24"/>
          <w:szCs w:val="24"/>
        </w:rPr>
        <w:t xml:space="preserve">, </w:t>
      </w:r>
      <w:r w:rsidRPr="00A7015F">
        <w:rPr>
          <w:i/>
          <w:iCs/>
          <w:noProof/>
          <w:kern w:val="0"/>
          <w:sz w:val="24"/>
          <w:szCs w:val="24"/>
        </w:rPr>
        <w:t>206</w:t>
      </w:r>
      <w:r w:rsidRPr="00A7015F">
        <w:rPr>
          <w:noProof/>
          <w:kern w:val="0"/>
          <w:sz w:val="24"/>
          <w:szCs w:val="24"/>
        </w:rPr>
        <w:t>–</w:t>
      </w:r>
      <w:r w:rsidRPr="00A7015F">
        <w:rPr>
          <w:i/>
          <w:iCs/>
          <w:noProof/>
          <w:kern w:val="0"/>
          <w:sz w:val="24"/>
          <w:szCs w:val="24"/>
        </w:rPr>
        <w:t>207</w:t>
      </w:r>
      <w:r w:rsidRPr="00A7015F">
        <w:rPr>
          <w:noProof/>
          <w:kern w:val="0"/>
          <w:sz w:val="24"/>
          <w:szCs w:val="24"/>
        </w:rPr>
        <w:t>(February), 1–10. https://doi.org/10.1016/j.cbpc.2018.02.001</w:t>
      </w:r>
    </w:p>
    <w:p w14:paraId="12EC7257" w14:textId="77777777" w:rsidR="00A35A5F" w:rsidRDefault="00A35A5F" w:rsidP="00A95B90">
      <w:pPr>
        <w:ind w:left="360" w:hanging="540"/>
      </w:pPr>
      <w:r w:rsidRPr="00C849F1">
        <w:t xml:space="preserve">Messaoudi, I., Djekoun, M., Boukhari, R., &amp; Sifi, K. (2022). </w:t>
      </w:r>
      <w:r w:rsidRPr="00A35A5F">
        <w:rPr>
          <w:i/>
          <w:iCs/>
        </w:rPr>
        <w:t>Oxidative stress and antioxidant enzyme responses in the slug Lehmannia nyctelia following silver nanoparticle exposure</w:t>
      </w:r>
      <w:r w:rsidRPr="00C849F1">
        <w:t xml:space="preserve">. </w:t>
      </w:r>
      <w:r w:rsidRPr="00A35A5F">
        <w:rPr>
          <w:b/>
          <w:bCs/>
        </w:rPr>
        <w:t>Frontiers in Physiology, 13</w:t>
      </w:r>
      <w:r w:rsidRPr="00C849F1">
        <w:t xml:space="preserve">, 945776. </w:t>
      </w:r>
      <w:hyperlink r:id="rId17" w:tgtFrame="_new" w:history="1">
        <w:r w:rsidRPr="00C849F1">
          <w:rPr>
            <w:rStyle w:val="Hyperlink"/>
          </w:rPr>
          <w:t>https://doi.org/10.3389/fphys.2022.945776</w:t>
        </w:r>
      </w:hyperlink>
    </w:p>
    <w:p w14:paraId="13EB2416" w14:textId="77777777" w:rsidR="00A35A5F" w:rsidRDefault="00A35A5F" w:rsidP="00A35A5F">
      <w:pPr>
        <w:pStyle w:val="ListParagraph"/>
      </w:pPr>
    </w:p>
    <w:p w14:paraId="3ED42779" w14:textId="77777777" w:rsidR="00A35A5F" w:rsidRDefault="00A35A5F" w:rsidP="00A95B90">
      <w:pPr>
        <w:pStyle w:val="ListParagraph"/>
        <w:ind w:hanging="900"/>
      </w:pPr>
      <w:r w:rsidRPr="00C849F1">
        <w:t xml:space="preserve">Croteau, M.-N., Misra, S. K., Luoma, S. N., &amp; Valsami-Jones, E. (2011). </w:t>
      </w:r>
      <w:r w:rsidRPr="00C849F1">
        <w:rPr>
          <w:i/>
          <w:iCs/>
        </w:rPr>
        <w:t>Silver bioaccumulation dynamics in a freshwater invertebrate after aqueous and dietary exposures to nanosized and ionic Ag</w:t>
      </w:r>
      <w:r w:rsidRPr="00C849F1">
        <w:t xml:space="preserve">. </w:t>
      </w:r>
      <w:r w:rsidRPr="00C849F1">
        <w:rPr>
          <w:b/>
          <w:bCs/>
        </w:rPr>
        <w:t>Environmental Science &amp; Technology, 45</w:t>
      </w:r>
      <w:r w:rsidRPr="00C849F1">
        <w:t xml:space="preserve">(15), 6600–6607. </w:t>
      </w:r>
      <w:hyperlink r:id="rId18" w:history="1">
        <w:r w:rsidRPr="00C55E8D">
          <w:rPr>
            <w:rStyle w:val="Hyperlink"/>
          </w:rPr>
          <w:t>https://doi.org/10.1021/es200880c</w:t>
        </w:r>
      </w:hyperlink>
    </w:p>
    <w:p w14:paraId="6BFB31BC" w14:textId="77777777" w:rsidR="00A35A5F" w:rsidRDefault="00A35A5F" w:rsidP="00A35A5F">
      <w:pPr>
        <w:pStyle w:val="ListParagraph"/>
      </w:pPr>
    </w:p>
    <w:p w14:paraId="1EAFDEE7" w14:textId="77777777" w:rsidR="00A35A5F" w:rsidRDefault="00A35A5F" w:rsidP="00A95B90">
      <w:pPr>
        <w:pStyle w:val="ListParagraph"/>
        <w:ind w:hanging="810"/>
      </w:pPr>
      <w:r w:rsidRPr="00C849F1">
        <w:t xml:space="preserve">Bielmyer-Fraser, G. K., Jarvis, T. A., Lenihan, H. S., &amp; Miller, R. J. (2014). </w:t>
      </w:r>
      <w:r w:rsidRPr="00C849F1">
        <w:rPr>
          <w:i/>
          <w:iCs/>
        </w:rPr>
        <w:t>Effects of silver nanoparticles on the growth, reproduction, and survival of the freshwater snail Physa acuta</w:t>
      </w:r>
      <w:r w:rsidRPr="00C849F1">
        <w:t xml:space="preserve">. </w:t>
      </w:r>
      <w:r w:rsidRPr="00C849F1">
        <w:rPr>
          <w:b/>
          <w:bCs/>
        </w:rPr>
        <w:t>Environmental Toxicology and Chemistry, 33</w:t>
      </w:r>
      <w:r w:rsidRPr="00C849F1">
        <w:t xml:space="preserve">(1), 204–211. </w:t>
      </w:r>
      <w:hyperlink r:id="rId19" w:history="1">
        <w:r w:rsidRPr="00C55E8D">
          <w:rPr>
            <w:rStyle w:val="Hyperlink"/>
          </w:rPr>
          <w:t>https://doi.org/10.1002/etc.2422</w:t>
        </w:r>
      </w:hyperlink>
    </w:p>
    <w:p w14:paraId="5C070315" w14:textId="77777777" w:rsidR="00A35A5F" w:rsidRDefault="00A35A5F" w:rsidP="00A35A5F">
      <w:pPr>
        <w:pStyle w:val="ListParagraph"/>
      </w:pPr>
    </w:p>
    <w:p w14:paraId="4A5CC89B" w14:textId="7176A09D" w:rsidR="00A35A5F" w:rsidRPr="00A95B90" w:rsidRDefault="00A35A5F" w:rsidP="00A95B90">
      <w:pPr>
        <w:pStyle w:val="ListParagraph"/>
        <w:ind w:hanging="720"/>
      </w:pPr>
      <w:r w:rsidRPr="00C849F1">
        <w:lastRenderedPageBreak/>
        <w:t xml:space="preserve">Abdel-Tawwab, M., El-Sayed, G. O., &amp; Shady, S. H. (2022). </w:t>
      </w:r>
      <w:r w:rsidRPr="00C849F1">
        <w:rPr>
          <w:i/>
          <w:iCs/>
        </w:rPr>
        <w:t>Biochemical and enzymatic alterations in the land snail Monacha obstructa exposed to silver nanoparticles</w:t>
      </w:r>
      <w:r w:rsidRPr="00C849F1">
        <w:t xml:space="preserve">. </w:t>
      </w:r>
      <w:r w:rsidRPr="00C849F1">
        <w:rPr>
          <w:b/>
          <w:bCs/>
        </w:rPr>
        <w:t>Egyptian Journal of Aquatic Biology &amp; Fisheries, 26</w:t>
      </w:r>
      <w:r w:rsidRPr="00C849F1">
        <w:t>(3), 341–356.</w:t>
      </w:r>
    </w:p>
    <w:p w14:paraId="516B83E0"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Tunçsoy, B. S. (2018). Toxicity of nanoparticles on insects: A Review. </w:t>
      </w:r>
      <w:r w:rsidRPr="00A7015F">
        <w:rPr>
          <w:i/>
          <w:iCs/>
          <w:noProof/>
          <w:kern w:val="0"/>
          <w:sz w:val="24"/>
          <w:szCs w:val="24"/>
        </w:rPr>
        <w:t>Artıbilim: Adana Bilim ve Teknoloji Üniversitesi Fen Bilimleri Dergisi,</w:t>
      </w:r>
      <w:r w:rsidRPr="00A7015F">
        <w:rPr>
          <w:noProof/>
          <w:kern w:val="0"/>
          <w:sz w:val="24"/>
          <w:szCs w:val="24"/>
        </w:rPr>
        <w:t xml:space="preserve"> </w:t>
      </w:r>
      <w:r w:rsidRPr="00A7015F">
        <w:rPr>
          <w:i/>
          <w:iCs/>
          <w:noProof/>
          <w:kern w:val="0"/>
          <w:sz w:val="24"/>
          <w:szCs w:val="24"/>
        </w:rPr>
        <w:t>1</w:t>
      </w:r>
      <w:r w:rsidRPr="00A7015F">
        <w:rPr>
          <w:noProof/>
          <w:kern w:val="0"/>
          <w:sz w:val="24"/>
          <w:szCs w:val="24"/>
        </w:rPr>
        <w:t>(2), 49–61.</w:t>
      </w:r>
    </w:p>
    <w:p w14:paraId="24AEFB03" w14:textId="77777777" w:rsidR="000964B9" w:rsidRPr="00A7015F" w:rsidRDefault="000964B9" w:rsidP="000964B9">
      <w:pPr>
        <w:widowControl w:val="0"/>
        <w:autoSpaceDE w:val="0"/>
        <w:autoSpaceDN w:val="0"/>
        <w:adjustRightInd w:val="0"/>
        <w:ind w:left="480" w:hanging="480"/>
        <w:rPr>
          <w:noProof/>
          <w:sz w:val="24"/>
        </w:rPr>
      </w:pPr>
      <w:r w:rsidRPr="00A7015F">
        <w:rPr>
          <w:noProof/>
          <w:kern w:val="0"/>
          <w:sz w:val="24"/>
          <w:szCs w:val="24"/>
        </w:rPr>
        <w:t xml:space="preserve">Tunholi-Alves, V. M., Tunholi, V. M., Amaral, L. S., Mota, E. M., Júnior, A. M., Pinheiro, J., &amp; Garcia, J. (2015). Biochemical profile of Achatina fulica (Mollusca: Gastropoda) after infection by different parasitic loads of Angiostrongylus cantonensis (Nematoda, Metastrongylidae). </w:t>
      </w:r>
      <w:r w:rsidRPr="00A7015F">
        <w:rPr>
          <w:i/>
          <w:iCs/>
          <w:noProof/>
          <w:kern w:val="0"/>
          <w:sz w:val="24"/>
          <w:szCs w:val="24"/>
        </w:rPr>
        <w:t>Journal of Invertebrate Pathology</w:t>
      </w:r>
      <w:r w:rsidRPr="00A7015F">
        <w:rPr>
          <w:noProof/>
          <w:kern w:val="0"/>
          <w:sz w:val="24"/>
          <w:szCs w:val="24"/>
        </w:rPr>
        <w:t xml:space="preserve">, </w:t>
      </w:r>
      <w:r w:rsidRPr="00A7015F">
        <w:rPr>
          <w:i/>
          <w:iCs/>
          <w:noProof/>
          <w:kern w:val="0"/>
          <w:sz w:val="24"/>
          <w:szCs w:val="24"/>
        </w:rPr>
        <w:t>124</w:t>
      </w:r>
      <w:r w:rsidRPr="00A7015F">
        <w:rPr>
          <w:noProof/>
          <w:kern w:val="0"/>
          <w:sz w:val="24"/>
          <w:szCs w:val="24"/>
        </w:rPr>
        <w:t>(October 2014), 1–5. https://doi.org/10.1016/j.jip.2014.10.001</w:t>
      </w:r>
    </w:p>
    <w:p w14:paraId="58C6D65E" w14:textId="62742A29" w:rsidR="002D7CAA" w:rsidRDefault="000964B9" w:rsidP="00A7015F">
      <w:pPr>
        <w:pStyle w:val="NormalWeb"/>
        <w:ind w:left="540" w:hanging="630"/>
        <w:rPr>
          <w:color w:val="000000"/>
          <w:kern w:val="0"/>
          <w:sz w:val="23"/>
          <w:szCs w:val="23"/>
          <w:lang w:bidi="mr-IN"/>
        </w:rPr>
      </w:pPr>
      <w:r w:rsidRPr="00A7015F">
        <w:fldChar w:fldCharType="end"/>
      </w:r>
      <w:r w:rsidR="002D7CAA" w:rsidRPr="00A7015F">
        <w:rPr>
          <w:color w:val="000000"/>
          <w:kern w:val="0"/>
          <w:sz w:val="23"/>
          <w:szCs w:val="23"/>
          <w:lang w:bidi="mr-IN"/>
        </w:rPr>
        <w:t xml:space="preserve">Horwitz, William. Official methods of analysis of AOAC International. Volume I, </w:t>
      </w:r>
      <w:r w:rsidR="009C373F" w:rsidRPr="00A7015F">
        <w:rPr>
          <w:color w:val="000000"/>
          <w:kern w:val="0"/>
          <w:sz w:val="23"/>
          <w:szCs w:val="23"/>
          <w:lang w:bidi="mr-IN"/>
        </w:rPr>
        <w:t xml:space="preserve">agricultural </w:t>
      </w:r>
      <w:r w:rsidR="009C373F">
        <w:rPr>
          <w:color w:val="000000"/>
          <w:kern w:val="0"/>
          <w:sz w:val="23"/>
          <w:szCs w:val="23"/>
          <w:lang w:bidi="mr-IN"/>
        </w:rPr>
        <w:t>chemicals</w:t>
      </w:r>
      <w:r w:rsidR="002D7CAA" w:rsidRPr="00A7015F">
        <w:rPr>
          <w:color w:val="000000"/>
          <w:kern w:val="0"/>
          <w:sz w:val="23"/>
          <w:szCs w:val="23"/>
          <w:lang w:bidi="mr-IN"/>
        </w:rPr>
        <w:t>, contaminants, drugs/edited by William Horwitz. Gaithersburg (Maryland): AOAC International, 1997., 2010.</w:t>
      </w:r>
    </w:p>
    <w:p w14:paraId="3D9B7863" w14:textId="56C29594" w:rsidR="000922A5" w:rsidRDefault="000922A5" w:rsidP="00A7015F">
      <w:pPr>
        <w:pStyle w:val="NormalWeb"/>
        <w:ind w:left="540" w:hanging="630"/>
      </w:pPr>
      <w:r w:rsidRPr="000922A5">
        <w:t>Bligh, E. G., &amp; Dyer, W. J. (1959). A rapid method of total lipid extraction and purification. Canadian Journal of Biochemistry and Physiology, 37(8), 911–917.</w:t>
      </w:r>
    </w:p>
    <w:p w14:paraId="1EA0E8C0" w14:textId="77777777" w:rsidR="000922A5" w:rsidRPr="000922A5" w:rsidRDefault="000922A5" w:rsidP="000922A5">
      <w:pPr>
        <w:pStyle w:val="NormalWeb"/>
        <w:ind w:left="540" w:hanging="630"/>
      </w:pPr>
      <w:r w:rsidRPr="000922A5">
        <w:t xml:space="preserve">Yemm, E. W., &amp; Willis, A. J. (1954). The estimation of carbohydrates in plant extracts by </w:t>
      </w:r>
      <w:proofErr w:type="spellStart"/>
      <w:r w:rsidRPr="000922A5">
        <w:t>anthrone</w:t>
      </w:r>
      <w:proofErr w:type="spellEnd"/>
      <w:r w:rsidRPr="000922A5">
        <w:t xml:space="preserve">. </w:t>
      </w:r>
      <w:r w:rsidRPr="000922A5">
        <w:rPr>
          <w:i/>
          <w:iCs/>
        </w:rPr>
        <w:t>Biochemical Journal</w:t>
      </w:r>
      <w:r w:rsidRPr="000922A5">
        <w:t xml:space="preserve">, 57(3), 508–514. </w:t>
      </w:r>
    </w:p>
    <w:p w14:paraId="3937CC6A" w14:textId="1E0DDAC7" w:rsidR="000922A5" w:rsidRPr="00A7015F" w:rsidRDefault="000922A5" w:rsidP="000922A5">
      <w:pPr>
        <w:pStyle w:val="NormalWeb"/>
        <w:ind w:left="540" w:hanging="630"/>
      </w:pPr>
      <w:r w:rsidRPr="000922A5">
        <w:t xml:space="preserve">Sadasivam, S., &amp; Manickam, A. (1992). </w:t>
      </w:r>
      <w:r w:rsidRPr="000922A5">
        <w:rPr>
          <w:i/>
          <w:iCs/>
        </w:rPr>
        <w:t>Biochemical Methods for Agricultural Sciences</w:t>
      </w:r>
      <w:r w:rsidRPr="000922A5">
        <w:t>. Wiley Eastern Ltd.</w:t>
      </w:r>
    </w:p>
    <w:p w14:paraId="2E8D2B0F" w14:textId="77777777" w:rsidR="000964B9" w:rsidRPr="00A7015F" w:rsidRDefault="000964B9" w:rsidP="00F142EC">
      <w:pPr>
        <w:pStyle w:val="NormalWeb"/>
        <w:numPr>
          <w:ilvl w:val="0"/>
          <w:numId w:val="8"/>
        </w:numPr>
        <w:ind w:left="90"/>
        <w:rPr>
          <w:b/>
          <w:bCs/>
        </w:rPr>
      </w:pPr>
    </w:p>
    <w:p w14:paraId="6ADEBD78" w14:textId="77777777" w:rsidR="00020BCA" w:rsidRPr="00A7015F" w:rsidRDefault="00020BCA" w:rsidP="00F142EC">
      <w:pPr>
        <w:numPr>
          <w:ilvl w:val="0"/>
          <w:numId w:val="8"/>
        </w:numPr>
        <w:ind w:left="90"/>
        <w:rPr>
          <w:sz w:val="24"/>
          <w:szCs w:val="24"/>
        </w:rPr>
      </w:pPr>
    </w:p>
    <w:p w14:paraId="0288D31C" w14:textId="77777777" w:rsidR="001F4DAB" w:rsidRPr="00A7015F" w:rsidRDefault="001F4DAB" w:rsidP="00F142EC">
      <w:pPr>
        <w:numPr>
          <w:ilvl w:val="0"/>
          <w:numId w:val="8"/>
        </w:numPr>
        <w:ind w:left="90"/>
        <w:rPr>
          <w:sz w:val="24"/>
          <w:szCs w:val="24"/>
        </w:rPr>
      </w:pPr>
    </w:p>
    <w:p w14:paraId="4E9D2E7F" w14:textId="1A6D9ABC" w:rsidR="00AF01B8" w:rsidRPr="00A7015F" w:rsidRDefault="00AF01B8" w:rsidP="00F142EC">
      <w:pPr>
        <w:ind w:left="90"/>
        <w:rPr>
          <w:sz w:val="24"/>
          <w:szCs w:val="24"/>
        </w:rPr>
      </w:pPr>
      <w:r w:rsidRPr="00A7015F">
        <w:rPr>
          <w:sz w:val="24"/>
          <w:szCs w:val="24"/>
        </w:rPr>
        <w:t xml:space="preserve"> </w:t>
      </w:r>
    </w:p>
    <w:p w14:paraId="375F9AC8" w14:textId="77777777" w:rsidR="00B1510C" w:rsidRPr="00A7015F" w:rsidRDefault="00B1510C" w:rsidP="00F142EC">
      <w:pPr>
        <w:ind w:left="90"/>
        <w:rPr>
          <w:sz w:val="24"/>
          <w:szCs w:val="24"/>
        </w:rPr>
      </w:pPr>
    </w:p>
    <w:p w14:paraId="492912FB" w14:textId="77777777" w:rsidR="00B1510C" w:rsidRPr="00A7015F" w:rsidRDefault="00B1510C" w:rsidP="00F142EC">
      <w:pPr>
        <w:ind w:left="90"/>
        <w:rPr>
          <w:sz w:val="24"/>
          <w:szCs w:val="24"/>
        </w:rPr>
      </w:pPr>
    </w:p>
    <w:p w14:paraId="2D39C1F9" w14:textId="77777777" w:rsidR="00B1510C" w:rsidRPr="00A7015F" w:rsidRDefault="00B1510C" w:rsidP="00F142EC">
      <w:pPr>
        <w:ind w:left="90"/>
        <w:rPr>
          <w:sz w:val="24"/>
          <w:szCs w:val="24"/>
        </w:rPr>
      </w:pPr>
    </w:p>
    <w:p w14:paraId="0F63AE53" w14:textId="77777777" w:rsidR="00B1510C" w:rsidRPr="00A7015F" w:rsidRDefault="00B1510C" w:rsidP="00F142EC">
      <w:pPr>
        <w:ind w:left="90"/>
        <w:rPr>
          <w:sz w:val="24"/>
          <w:szCs w:val="24"/>
        </w:rPr>
      </w:pPr>
    </w:p>
    <w:p w14:paraId="2E8577E7" w14:textId="77777777" w:rsidR="00B1510C" w:rsidRPr="00A7015F" w:rsidRDefault="00B1510C" w:rsidP="00F142EC">
      <w:pPr>
        <w:ind w:left="90"/>
        <w:rPr>
          <w:sz w:val="24"/>
          <w:szCs w:val="24"/>
        </w:rPr>
      </w:pPr>
    </w:p>
    <w:p w14:paraId="5BC3BBAB" w14:textId="77777777" w:rsidR="00B1510C" w:rsidRPr="00A7015F" w:rsidRDefault="00B1510C" w:rsidP="00F142EC">
      <w:pPr>
        <w:ind w:left="90"/>
        <w:rPr>
          <w:sz w:val="24"/>
          <w:szCs w:val="24"/>
        </w:rPr>
      </w:pPr>
    </w:p>
    <w:p w14:paraId="3D424FCB" w14:textId="77777777" w:rsidR="00160CD4" w:rsidRPr="00A7015F" w:rsidRDefault="00160CD4" w:rsidP="00F142EC">
      <w:pPr>
        <w:ind w:left="90"/>
        <w:rPr>
          <w:sz w:val="24"/>
          <w:szCs w:val="24"/>
        </w:rPr>
      </w:pPr>
    </w:p>
    <w:sectPr w:rsidR="00160CD4" w:rsidRPr="00A7015F" w:rsidSect="000C426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3DE7" w14:textId="77777777" w:rsidR="005B48C0" w:rsidRDefault="005B48C0" w:rsidP="00FC671B">
      <w:pPr>
        <w:spacing w:after="0" w:line="240" w:lineRule="auto"/>
      </w:pPr>
      <w:r>
        <w:separator/>
      </w:r>
    </w:p>
  </w:endnote>
  <w:endnote w:type="continuationSeparator" w:id="0">
    <w:p w14:paraId="39ED0C8A" w14:textId="77777777" w:rsidR="005B48C0" w:rsidRDefault="005B48C0" w:rsidP="00FC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C92C" w14:textId="77777777" w:rsidR="00FC671B" w:rsidRDefault="00FC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A01E" w14:textId="77777777" w:rsidR="00FC671B" w:rsidRDefault="00FC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4B83" w14:textId="77777777" w:rsidR="00FC671B" w:rsidRDefault="00FC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B8FA" w14:textId="77777777" w:rsidR="005B48C0" w:rsidRDefault="005B48C0" w:rsidP="00FC671B">
      <w:pPr>
        <w:spacing w:after="0" w:line="240" w:lineRule="auto"/>
      </w:pPr>
      <w:r>
        <w:separator/>
      </w:r>
    </w:p>
  </w:footnote>
  <w:footnote w:type="continuationSeparator" w:id="0">
    <w:p w14:paraId="1F7B6380" w14:textId="77777777" w:rsidR="005B48C0" w:rsidRDefault="005B48C0" w:rsidP="00FC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6E73" w14:textId="7427FAD6" w:rsidR="00FC671B" w:rsidRDefault="00000000">
    <w:pPr>
      <w:pStyle w:val="Header"/>
    </w:pPr>
    <w:r>
      <w:rPr>
        <w:noProof/>
      </w:rPr>
      <w:pict w14:anchorId="7DEF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1" o:spid="_x0000_s1026" type="#_x0000_t136" style="position:absolute;left:0;text-align:left;margin-left:0;margin-top:0;width:566pt;height:6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77B1" w14:textId="7EA395CB" w:rsidR="00FC671B" w:rsidRDefault="00000000">
    <w:pPr>
      <w:pStyle w:val="Header"/>
    </w:pPr>
    <w:r>
      <w:rPr>
        <w:noProof/>
      </w:rPr>
      <w:pict w14:anchorId="1ACB2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2" o:spid="_x0000_s1027" type="#_x0000_t136" style="position:absolute;left:0;text-align:left;margin-left:0;margin-top:0;width:566pt;height:63.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C7A7" w14:textId="3174702F" w:rsidR="00FC671B" w:rsidRDefault="00000000">
    <w:pPr>
      <w:pStyle w:val="Header"/>
    </w:pPr>
    <w:r>
      <w:rPr>
        <w:noProof/>
      </w:rPr>
      <w:pict w14:anchorId="29E7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0" o:spid="_x0000_s1025" type="#_x0000_t136" style="position:absolute;left:0;text-align:left;margin-left:0;margin-top:0;width:566pt;height:63.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842FEB"/>
    <w:multiLevelType w:val="hybridMultilevel"/>
    <w:tmpl w:val="C7B05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C55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BD1A34"/>
    <w:multiLevelType w:val="multilevel"/>
    <w:tmpl w:val="F9A2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102C"/>
    <w:multiLevelType w:val="multilevel"/>
    <w:tmpl w:val="17D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D19D9"/>
    <w:multiLevelType w:val="hybridMultilevel"/>
    <w:tmpl w:val="825C898C"/>
    <w:lvl w:ilvl="0" w:tplc="FFFFFFFF">
      <w:numFmt w:val="decimal"/>
      <w:lvlText w:val=""/>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BB241A"/>
    <w:multiLevelType w:val="hybridMultilevel"/>
    <w:tmpl w:val="6C4C1596"/>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15:restartNumberingAfterBreak="0">
    <w:nsid w:val="43C53143"/>
    <w:multiLevelType w:val="hybridMultilevel"/>
    <w:tmpl w:val="40A2F3CA"/>
    <w:lvl w:ilvl="0" w:tplc="FFFFFFFF">
      <w:numFmt w:val="decimal"/>
      <w:lvlText w:val=""/>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FE05E0"/>
    <w:multiLevelType w:val="multilevel"/>
    <w:tmpl w:val="ACB40802"/>
    <w:lvl w:ilvl="0">
      <w:start w:val="1"/>
      <w:numFmt w:val="decimal"/>
      <w:lvlText w:val="%1."/>
      <w:lvlJc w:val="left"/>
      <w:pPr>
        <w:ind w:left="810" w:hanging="360"/>
      </w:p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57093314"/>
    <w:multiLevelType w:val="hybridMultilevel"/>
    <w:tmpl w:val="825C898C"/>
    <w:lvl w:ilvl="0" w:tplc="FFFFFFFF">
      <w:numFmt w:val="decimal"/>
      <w:lvlText w:val=""/>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F21442"/>
    <w:multiLevelType w:val="hybridMultilevel"/>
    <w:tmpl w:val="C10C9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CE5565"/>
    <w:multiLevelType w:val="hybridMultilevel"/>
    <w:tmpl w:val="B8529F1A"/>
    <w:lvl w:ilvl="0" w:tplc="40090011">
      <w:start w:val="1"/>
      <w:numFmt w:val="decimal"/>
      <w:lvlText w:val="%1)"/>
      <w:lvlJc w:val="left"/>
      <w:pPr>
        <w:ind w:left="1138" w:hanging="360"/>
      </w:pPr>
    </w:lvl>
    <w:lvl w:ilvl="1" w:tplc="40090019" w:tentative="1">
      <w:start w:val="1"/>
      <w:numFmt w:val="lowerLetter"/>
      <w:lvlText w:val="%2."/>
      <w:lvlJc w:val="left"/>
      <w:pPr>
        <w:ind w:left="1858" w:hanging="360"/>
      </w:pPr>
    </w:lvl>
    <w:lvl w:ilvl="2" w:tplc="4009001B" w:tentative="1">
      <w:start w:val="1"/>
      <w:numFmt w:val="lowerRoman"/>
      <w:lvlText w:val="%3."/>
      <w:lvlJc w:val="right"/>
      <w:pPr>
        <w:ind w:left="2578" w:hanging="180"/>
      </w:pPr>
    </w:lvl>
    <w:lvl w:ilvl="3" w:tplc="4009000F" w:tentative="1">
      <w:start w:val="1"/>
      <w:numFmt w:val="decimal"/>
      <w:lvlText w:val="%4."/>
      <w:lvlJc w:val="left"/>
      <w:pPr>
        <w:ind w:left="3298" w:hanging="360"/>
      </w:pPr>
    </w:lvl>
    <w:lvl w:ilvl="4" w:tplc="40090019" w:tentative="1">
      <w:start w:val="1"/>
      <w:numFmt w:val="lowerLetter"/>
      <w:lvlText w:val="%5."/>
      <w:lvlJc w:val="left"/>
      <w:pPr>
        <w:ind w:left="4018" w:hanging="360"/>
      </w:pPr>
    </w:lvl>
    <w:lvl w:ilvl="5" w:tplc="4009001B" w:tentative="1">
      <w:start w:val="1"/>
      <w:numFmt w:val="lowerRoman"/>
      <w:lvlText w:val="%6."/>
      <w:lvlJc w:val="right"/>
      <w:pPr>
        <w:ind w:left="4738" w:hanging="180"/>
      </w:pPr>
    </w:lvl>
    <w:lvl w:ilvl="6" w:tplc="4009000F" w:tentative="1">
      <w:start w:val="1"/>
      <w:numFmt w:val="decimal"/>
      <w:lvlText w:val="%7."/>
      <w:lvlJc w:val="left"/>
      <w:pPr>
        <w:ind w:left="5458" w:hanging="360"/>
      </w:pPr>
    </w:lvl>
    <w:lvl w:ilvl="7" w:tplc="40090019" w:tentative="1">
      <w:start w:val="1"/>
      <w:numFmt w:val="lowerLetter"/>
      <w:lvlText w:val="%8."/>
      <w:lvlJc w:val="left"/>
      <w:pPr>
        <w:ind w:left="6178" w:hanging="360"/>
      </w:pPr>
    </w:lvl>
    <w:lvl w:ilvl="8" w:tplc="4009001B" w:tentative="1">
      <w:start w:val="1"/>
      <w:numFmt w:val="lowerRoman"/>
      <w:lvlText w:val="%9."/>
      <w:lvlJc w:val="right"/>
      <w:pPr>
        <w:ind w:left="6898" w:hanging="180"/>
      </w:pPr>
    </w:lvl>
  </w:abstractNum>
  <w:num w:numId="1" w16cid:durableId="1785493055">
    <w:abstractNumId w:val="1"/>
  </w:num>
  <w:num w:numId="2" w16cid:durableId="298850419">
    <w:abstractNumId w:val="10"/>
  </w:num>
  <w:num w:numId="3" w16cid:durableId="247468740">
    <w:abstractNumId w:val="0"/>
  </w:num>
  <w:num w:numId="4" w16cid:durableId="76370651">
    <w:abstractNumId w:val="8"/>
  </w:num>
  <w:num w:numId="5" w16cid:durableId="595216363">
    <w:abstractNumId w:val="6"/>
  </w:num>
  <w:num w:numId="6" w16cid:durableId="1414207560">
    <w:abstractNumId w:val="2"/>
  </w:num>
  <w:num w:numId="7" w16cid:durableId="132869400">
    <w:abstractNumId w:val="3"/>
  </w:num>
  <w:num w:numId="8" w16cid:durableId="102313682">
    <w:abstractNumId w:val="4"/>
  </w:num>
  <w:num w:numId="9" w16cid:durableId="164592646">
    <w:abstractNumId w:val="7"/>
  </w:num>
  <w:num w:numId="10" w16cid:durableId="469514903">
    <w:abstractNumId w:val="5"/>
  </w:num>
  <w:num w:numId="11" w16cid:durableId="52606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DE"/>
    <w:rsid w:val="0001077B"/>
    <w:rsid w:val="00013D55"/>
    <w:rsid w:val="00020BCA"/>
    <w:rsid w:val="0004367B"/>
    <w:rsid w:val="000438B7"/>
    <w:rsid w:val="000613F4"/>
    <w:rsid w:val="00061627"/>
    <w:rsid w:val="00082554"/>
    <w:rsid w:val="00083B13"/>
    <w:rsid w:val="000922A5"/>
    <w:rsid w:val="000964B9"/>
    <w:rsid w:val="000A5227"/>
    <w:rsid w:val="000C0E02"/>
    <w:rsid w:val="000C4264"/>
    <w:rsid w:val="000D0C04"/>
    <w:rsid w:val="00100E4E"/>
    <w:rsid w:val="00102758"/>
    <w:rsid w:val="001312B6"/>
    <w:rsid w:val="0014597C"/>
    <w:rsid w:val="00160CD4"/>
    <w:rsid w:val="00170732"/>
    <w:rsid w:val="00185F40"/>
    <w:rsid w:val="001A2ADE"/>
    <w:rsid w:val="001A60D6"/>
    <w:rsid w:val="001B7129"/>
    <w:rsid w:val="001D0485"/>
    <w:rsid w:val="001D60DE"/>
    <w:rsid w:val="001F0086"/>
    <w:rsid w:val="001F4DAB"/>
    <w:rsid w:val="00211120"/>
    <w:rsid w:val="002469DC"/>
    <w:rsid w:val="00257EC3"/>
    <w:rsid w:val="002637E4"/>
    <w:rsid w:val="002A09FF"/>
    <w:rsid w:val="002C5D8E"/>
    <w:rsid w:val="002D7CAA"/>
    <w:rsid w:val="00371C45"/>
    <w:rsid w:val="003B0CAE"/>
    <w:rsid w:val="003B1687"/>
    <w:rsid w:val="003D39AF"/>
    <w:rsid w:val="00410D79"/>
    <w:rsid w:val="004110D4"/>
    <w:rsid w:val="00442200"/>
    <w:rsid w:val="00464B13"/>
    <w:rsid w:val="004802F6"/>
    <w:rsid w:val="004B24EA"/>
    <w:rsid w:val="004B77AC"/>
    <w:rsid w:val="004C0532"/>
    <w:rsid w:val="00507D32"/>
    <w:rsid w:val="00515C95"/>
    <w:rsid w:val="00532C6D"/>
    <w:rsid w:val="00574EE1"/>
    <w:rsid w:val="005760B4"/>
    <w:rsid w:val="00584A5F"/>
    <w:rsid w:val="005B48C0"/>
    <w:rsid w:val="005D6D5A"/>
    <w:rsid w:val="005E5888"/>
    <w:rsid w:val="005F2866"/>
    <w:rsid w:val="005F464D"/>
    <w:rsid w:val="00611528"/>
    <w:rsid w:val="0062626B"/>
    <w:rsid w:val="0063437C"/>
    <w:rsid w:val="0065182F"/>
    <w:rsid w:val="00684942"/>
    <w:rsid w:val="006A0A3D"/>
    <w:rsid w:val="006A1A43"/>
    <w:rsid w:val="006E3FFC"/>
    <w:rsid w:val="00702FE5"/>
    <w:rsid w:val="00763B97"/>
    <w:rsid w:val="007827D5"/>
    <w:rsid w:val="007B4F92"/>
    <w:rsid w:val="007E01B8"/>
    <w:rsid w:val="007F32E2"/>
    <w:rsid w:val="007F7B13"/>
    <w:rsid w:val="008676A9"/>
    <w:rsid w:val="00876394"/>
    <w:rsid w:val="008B389F"/>
    <w:rsid w:val="008C0279"/>
    <w:rsid w:val="008D12A2"/>
    <w:rsid w:val="008D38DC"/>
    <w:rsid w:val="008D429B"/>
    <w:rsid w:val="008E0A84"/>
    <w:rsid w:val="008F136D"/>
    <w:rsid w:val="00920301"/>
    <w:rsid w:val="00930883"/>
    <w:rsid w:val="00931490"/>
    <w:rsid w:val="00962CB4"/>
    <w:rsid w:val="009B291B"/>
    <w:rsid w:val="009C373F"/>
    <w:rsid w:val="009D7BB4"/>
    <w:rsid w:val="00A16F54"/>
    <w:rsid w:val="00A17394"/>
    <w:rsid w:val="00A35A5F"/>
    <w:rsid w:val="00A45101"/>
    <w:rsid w:val="00A7015F"/>
    <w:rsid w:val="00A916E5"/>
    <w:rsid w:val="00A95B90"/>
    <w:rsid w:val="00A976A8"/>
    <w:rsid w:val="00AA2A37"/>
    <w:rsid w:val="00AB599F"/>
    <w:rsid w:val="00AC7CBE"/>
    <w:rsid w:val="00AF01B8"/>
    <w:rsid w:val="00B05F65"/>
    <w:rsid w:val="00B1510C"/>
    <w:rsid w:val="00B34757"/>
    <w:rsid w:val="00BB2F0A"/>
    <w:rsid w:val="00BD575A"/>
    <w:rsid w:val="00BE3AB3"/>
    <w:rsid w:val="00BE5BCF"/>
    <w:rsid w:val="00C00626"/>
    <w:rsid w:val="00C40065"/>
    <w:rsid w:val="00C54E9A"/>
    <w:rsid w:val="00C66C45"/>
    <w:rsid w:val="00C96FCD"/>
    <w:rsid w:val="00D02611"/>
    <w:rsid w:val="00D246B8"/>
    <w:rsid w:val="00DA1851"/>
    <w:rsid w:val="00DB1507"/>
    <w:rsid w:val="00DE2D3C"/>
    <w:rsid w:val="00E14A06"/>
    <w:rsid w:val="00E41F5B"/>
    <w:rsid w:val="00E44CC2"/>
    <w:rsid w:val="00E57EC7"/>
    <w:rsid w:val="00EB7ACB"/>
    <w:rsid w:val="00EF6123"/>
    <w:rsid w:val="00F142EC"/>
    <w:rsid w:val="00F241AC"/>
    <w:rsid w:val="00F27373"/>
    <w:rsid w:val="00F65DA9"/>
    <w:rsid w:val="00F90114"/>
    <w:rsid w:val="00F974CF"/>
    <w:rsid w:val="00FB443A"/>
    <w:rsid w:val="00FB59AD"/>
    <w:rsid w:val="00FB70D9"/>
    <w:rsid w:val="00FC671B"/>
    <w:rsid w:val="00FD21B1"/>
    <w:rsid w:val="00FF5FE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47775"/>
  <w15:chartTrackingRefBased/>
  <w15:docId w15:val="{D043EEA8-D24C-4EFB-95B8-784338C4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IN" w:eastAsia="en-US" w:bidi="ar-SA"/>
        <w14:ligatures w14:val="standardContextual"/>
      </w:rPr>
    </w:rPrDefault>
    <w:pPrDefault>
      <w:pPr>
        <w:spacing w:after="160" w:line="360" w:lineRule="auto"/>
        <w:ind w:left="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2A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A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2A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2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A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A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A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2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2A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A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2A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2A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A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A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A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DE"/>
    <w:pPr>
      <w:numPr>
        <w:ilvl w:val="1"/>
      </w:numPr>
      <w:ind w:left="418"/>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ADE"/>
    <w:pPr>
      <w:spacing w:before="160"/>
      <w:jc w:val="center"/>
    </w:pPr>
    <w:rPr>
      <w:i/>
      <w:iCs/>
      <w:color w:val="404040" w:themeColor="text1" w:themeTint="BF"/>
    </w:rPr>
  </w:style>
  <w:style w:type="character" w:customStyle="1" w:styleId="QuoteChar">
    <w:name w:val="Quote Char"/>
    <w:basedOn w:val="DefaultParagraphFont"/>
    <w:link w:val="Quote"/>
    <w:uiPriority w:val="29"/>
    <w:rsid w:val="001A2ADE"/>
    <w:rPr>
      <w:i/>
      <w:iCs/>
      <w:color w:val="404040" w:themeColor="text1" w:themeTint="BF"/>
    </w:rPr>
  </w:style>
  <w:style w:type="paragraph" w:styleId="ListParagraph">
    <w:name w:val="List Paragraph"/>
    <w:basedOn w:val="Normal"/>
    <w:uiPriority w:val="34"/>
    <w:qFormat/>
    <w:rsid w:val="001A2ADE"/>
    <w:pPr>
      <w:ind w:left="720"/>
      <w:contextualSpacing/>
    </w:pPr>
  </w:style>
  <w:style w:type="character" w:styleId="IntenseEmphasis">
    <w:name w:val="Intense Emphasis"/>
    <w:basedOn w:val="DefaultParagraphFont"/>
    <w:uiPriority w:val="21"/>
    <w:qFormat/>
    <w:rsid w:val="001A2ADE"/>
    <w:rPr>
      <w:i/>
      <w:iCs/>
      <w:color w:val="2F5496" w:themeColor="accent1" w:themeShade="BF"/>
    </w:rPr>
  </w:style>
  <w:style w:type="paragraph" w:styleId="IntenseQuote">
    <w:name w:val="Intense Quote"/>
    <w:basedOn w:val="Normal"/>
    <w:next w:val="Normal"/>
    <w:link w:val="IntenseQuoteChar"/>
    <w:uiPriority w:val="30"/>
    <w:qFormat/>
    <w:rsid w:val="001A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ADE"/>
    <w:rPr>
      <w:i/>
      <w:iCs/>
      <w:color w:val="2F5496" w:themeColor="accent1" w:themeShade="BF"/>
    </w:rPr>
  </w:style>
  <w:style w:type="character" w:styleId="IntenseReference">
    <w:name w:val="Intense Reference"/>
    <w:basedOn w:val="DefaultParagraphFont"/>
    <w:uiPriority w:val="32"/>
    <w:qFormat/>
    <w:rsid w:val="001A2ADE"/>
    <w:rPr>
      <w:b/>
      <w:bCs/>
      <w:smallCaps/>
      <w:color w:val="2F5496" w:themeColor="accent1" w:themeShade="BF"/>
      <w:spacing w:val="5"/>
    </w:rPr>
  </w:style>
  <w:style w:type="character" w:styleId="Hyperlink">
    <w:name w:val="Hyperlink"/>
    <w:basedOn w:val="DefaultParagraphFont"/>
    <w:uiPriority w:val="99"/>
    <w:unhideWhenUsed/>
    <w:rsid w:val="00AF01B8"/>
    <w:rPr>
      <w:color w:val="0563C1" w:themeColor="hyperlink"/>
      <w:u w:val="single"/>
    </w:rPr>
  </w:style>
  <w:style w:type="character" w:styleId="UnresolvedMention">
    <w:name w:val="Unresolved Mention"/>
    <w:basedOn w:val="DefaultParagraphFont"/>
    <w:uiPriority w:val="99"/>
    <w:semiHidden/>
    <w:unhideWhenUsed/>
    <w:rsid w:val="00AF01B8"/>
    <w:rPr>
      <w:color w:val="605E5C"/>
      <w:shd w:val="clear" w:color="auto" w:fill="E1DFDD"/>
    </w:rPr>
  </w:style>
  <w:style w:type="paragraph" w:customStyle="1" w:styleId="Default">
    <w:name w:val="Default"/>
    <w:rsid w:val="001F4DAB"/>
    <w:pPr>
      <w:autoSpaceDE w:val="0"/>
      <w:autoSpaceDN w:val="0"/>
      <w:adjustRightInd w:val="0"/>
      <w:spacing w:after="0" w:line="240" w:lineRule="auto"/>
      <w:ind w:left="0"/>
      <w:jc w:val="left"/>
    </w:pPr>
    <w:rPr>
      <w:color w:val="000000"/>
      <w:kern w:val="0"/>
      <w:sz w:val="24"/>
      <w:szCs w:val="24"/>
      <w:lang w:bidi="mr-IN"/>
    </w:rPr>
  </w:style>
  <w:style w:type="character" w:customStyle="1" w:styleId="fontstyle01">
    <w:name w:val="fontstyle01"/>
    <w:basedOn w:val="DefaultParagraphFont"/>
    <w:rsid w:val="00082554"/>
    <w:rPr>
      <w:rFonts w:ascii="ArialMT" w:hAnsi="ArialMT" w:hint="default"/>
      <w:b w:val="0"/>
      <w:bCs w:val="0"/>
      <w:i w:val="0"/>
      <w:iCs w:val="0"/>
      <w:color w:val="000000"/>
      <w:sz w:val="24"/>
      <w:szCs w:val="24"/>
    </w:rPr>
  </w:style>
  <w:style w:type="paragraph" w:styleId="NormalWeb">
    <w:name w:val="Normal (Web)"/>
    <w:basedOn w:val="Normal"/>
    <w:uiPriority w:val="99"/>
    <w:unhideWhenUsed/>
    <w:rsid w:val="004B24EA"/>
    <w:rPr>
      <w:sz w:val="24"/>
      <w:szCs w:val="24"/>
    </w:rPr>
  </w:style>
  <w:style w:type="character" w:customStyle="1" w:styleId="citation-199">
    <w:name w:val="citation-199"/>
    <w:basedOn w:val="DefaultParagraphFont"/>
    <w:rsid w:val="00020BCA"/>
  </w:style>
  <w:style w:type="paragraph" w:customStyle="1" w:styleId="TableParagraph">
    <w:name w:val="Table Paragraph"/>
    <w:basedOn w:val="Normal"/>
    <w:uiPriority w:val="1"/>
    <w:qFormat/>
    <w:rsid w:val="00702FE5"/>
    <w:pPr>
      <w:widowControl w:val="0"/>
      <w:autoSpaceDE w:val="0"/>
      <w:autoSpaceDN w:val="0"/>
      <w:spacing w:after="0" w:line="240" w:lineRule="auto"/>
      <w:ind w:left="0"/>
      <w:jc w:val="center"/>
    </w:pPr>
    <w:rPr>
      <w:rFonts w:eastAsia="Times New Roman"/>
      <w:kern w:val="0"/>
      <w:lang w:val="en-US"/>
      <w14:ligatures w14:val="none"/>
    </w:rPr>
  </w:style>
  <w:style w:type="character" w:styleId="Strong">
    <w:name w:val="Strong"/>
    <w:basedOn w:val="DefaultParagraphFont"/>
    <w:uiPriority w:val="22"/>
    <w:qFormat/>
    <w:rsid w:val="0065182F"/>
    <w:rPr>
      <w:b/>
      <w:bCs/>
    </w:rPr>
  </w:style>
  <w:style w:type="table" w:styleId="TableGrid">
    <w:name w:val="Table Grid"/>
    <w:basedOn w:val="TableNormal"/>
    <w:uiPriority w:val="39"/>
    <w:rsid w:val="00C00626"/>
    <w:pPr>
      <w:spacing w:after="0" w:line="240" w:lineRule="auto"/>
      <w:ind w:left="0"/>
      <w:jc w:val="left"/>
    </w:pPr>
    <w:rPr>
      <w:rFonts w:asciiTheme="minorHAnsi" w:hAnsiTheme="minorHAnsi" w:cstheme="minorBid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1B"/>
  </w:style>
  <w:style w:type="paragraph" w:styleId="Footer">
    <w:name w:val="footer"/>
    <w:basedOn w:val="Normal"/>
    <w:link w:val="FooterChar"/>
    <w:uiPriority w:val="99"/>
    <w:unhideWhenUsed/>
    <w:rsid w:val="00FC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q=https://doi.org/10.1016/j.pestbp.2010.11.006" TargetMode="External"/><Relationship Id="rId18" Type="http://schemas.openxmlformats.org/officeDocument/2006/relationships/hyperlink" Target="https://doi.org/10.1021/es200880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cbpc.2020.108817" TargetMode="External"/><Relationship Id="rId17" Type="http://schemas.openxmlformats.org/officeDocument/2006/relationships/hyperlink" Target="https://doi.org/10.3389/fphys.2022.94577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ip.2014.10.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244-014-0020-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cbpc.2018.02.001"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1002/etc.24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coenv.2013.05.019"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easearch%20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Sheet9!$G$8:$I$8</c:f>
              <c:strCache>
                <c:ptCount val="3"/>
                <c:pt idx="0">
                  <c:v>Protein (%)</c:v>
                </c:pt>
                <c:pt idx="1">
                  <c:v>Foot muscles</c:v>
                </c:pt>
                <c:pt idx="2">
                  <c:v>25.72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Sheet9!$J$8:$M$8</c:f>
              <c:numCache>
                <c:formatCode>General</c:formatCode>
                <c:ptCount val="4"/>
                <c:pt idx="0">
                  <c:v>20.68</c:v>
                </c:pt>
                <c:pt idx="1">
                  <c:v>14.89</c:v>
                </c:pt>
                <c:pt idx="2">
                  <c:v>10.72</c:v>
                </c:pt>
                <c:pt idx="3">
                  <c:v>7.72</c:v>
                </c:pt>
              </c:numCache>
            </c:numRef>
          </c:val>
          <c:extLst>
            <c:ext xmlns:c16="http://schemas.microsoft.com/office/drawing/2014/chart" uri="{C3380CC4-5D6E-409C-BE32-E72D297353CC}">
              <c16:uniqueId val="{00000000-BEF3-4619-9F26-C82EB451E6B4}"/>
            </c:ext>
          </c:extLst>
        </c:ser>
        <c:ser>
          <c:idx val="2"/>
          <c:order val="2"/>
          <c:tx>
            <c:strRef>
              <c:f>Sheet9!$G$10:$I$10</c:f>
              <c:strCache>
                <c:ptCount val="3"/>
                <c:pt idx="0">
                  <c:v>Protein (%)</c:v>
                </c:pt>
                <c:pt idx="1">
                  <c:v>Intestine</c:v>
                </c:pt>
                <c:pt idx="2">
                  <c:v>32.3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Sheet9!$J$10:$M$10</c:f>
              <c:numCache>
                <c:formatCode>General</c:formatCode>
                <c:ptCount val="4"/>
                <c:pt idx="0">
                  <c:v>31.14</c:v>
                </c:pt>
                <c:pt idx="1">
                  <c:v>19.82</c:v>
                </c:pt>
                <c:pt idx="2">
                  <c:v>13.55</c:v>
                </c:pt>
                <c:pt idx="3">
                  <c:v>8.76</c:v>
                </c:pt>
              </c:numCache>
            </c:numRef>
          </c:val>
          <c:extLst>
            <c:ext xmlns:c16="http://schemas.microsoft.com/office/drawing/2014/chart" uri="{C3380CC4-5D6E-409C-BE32-E72D297353CC}">
              <c16:uniqueId val="{00000001-BEF3-4619-9F26-C82EB451E6B4}"/>
            </c:ext>
          </c:extLst>
        </c:ser>
        <c:ser>
          <c:idx val="4"/>
          <c:order val="4"/>
          <c:tx>
            <c:strRef>
              <c:f>Sheet9!$G$12:$I$12</c:f>
              <c:strCache>
                <c:ptCount val="3"/>
                <c:pt idx="0">
                  <c:v>Lipids (%)</c:v>
                </c:pt>
                <c:pt idx="1">
                  <c:v>Foot muscles</c:v>
                </c:pt>
                <c:pt idx="2">
                  <c:v>35.59</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Sheet9!$J$12:$M$12</c:f>
              <c:numCache>
                <c:formatCode>General</c:formatCode>
                <c:ptCount val="4"/>
                <c:pt idx="0">
                  <c:v>34.99</c:v>
                </c:pt>
                <c:pt idx="1">
                  <c:v>31.39</c:v>
                </c:pt>
                <c:pt idx="2">
                  <c:v>25.8</c:v>
                </c:pt>
                <c:pt idx="3">
                  <c:v>21.2</c:v>
                </c:pt>
              </c:numCache>
            </c:numRef>
          </c:val>
          <c:extLst>
            <c:ext xmlns:c16="http://schemas.microsoft.com/office/drawing/2014/chart" uri="{C3380CC4-5D6E-409C-BE32-E72D297353CC}">
              <c16:uniqueId val="{00000002-BEF3-4619-9F26-C82EB451E6B4}"/>
            </c:ext>
          </c:extLst>
        </c:ser>
        <c:ser>
          <c:idx val="6"/>
          <c:order val="6"/>
          <c:tx>
            <c:strRef>
              <c:f>Sheet9!$G$14:$I$14</c:f>
              <c:strCache>
                <c:ptCount val="3"/>
                <c:pt idx="0">
                  <c:v>Lipids (%)</c:v>
                </c:pt>
                <c:pt idx="1">
                  <c:v>Intestine</c:v>
                </c:pt>
                <c:pt idx="2">
                  <c:v>48.39</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Sheet9!$J$14:$M$14</c:f>
              <c:numCache>
                <c:formatCode>General</c:formatCode>
                <c:ptCount val="4"/>
                <c:pt idx="0">
                  <c:v>42.77</c:v>
                </c:pt>
                <c:pt idx="1">
                  <c:v>42.16</c:v>
                </c:pt>
                <c:pt idx="2">
                  <c:v>36.54</c:v>
                </c:pt>
                <c:pt idx="3">
                  <c:v>30.91</c:v>
                </c:pt>
              </c:numCache>
            </c:numRef>
          </c:val>
          <c:extLst>
            <c:ext xmlns:c16="http://schemas.microsoft.com/office/drawing/2014/chart" uri="{C3380CC4-5D6E-409C-BE32-E72D297353CC}">
              <c16:uniqueId val="{00000003-BEF3-4619-9F26-C82EB451E6B4}"/>
            </c:ext>
          </c:extLst>
        </c:ser>
        <c:ser>
          <c:idx val="8"/>
          <c:order val="8"/>
          <c:tx>
            <c:strRef>
              <c:f>Sheet9!$G$16:$I$16</c:f>
              <c:strCache>
                <c:ptCount val="3"/>
                <c:pt idx="0">
                  <c:v>Carbohydrates (%)</c:v>
                </c:pt>
                <c:pt idx="1">
                  <c:v>Foot muscles</c:v>
                </c:pt>
                <c:pt idx="2">
                  <c:v>5.27</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Sheet9!$J$16:$M$16</c:f>
              <c:numCache>
                <c:formatCode>General</c:formatCode>
                <c:ptCount val="4"/>
                <c:pt idx="0">
                  <c:v>5.07</c:v>
                </c:pt>
                <c:pt idx="1">
                  <c:v>4.5599999999999996</c:v>
                </c:pt>
                <c:pt idx="2">
                  <c:v>4.0199999999999996</c:v>
                </c:pt>
                <c:pt idx="3">
                  <c:v>3.16</c:v>
                </c:pt>
              </c:numCache>
            </c:numRef>
          </c:val>
          <c:extLst>
            <c:ext xmlns:c16="http://schemas.microsoft.com/office/drawing/2014/chart" uri="{C3380CC4-5D6E-409C-BE32-E72D297353CC}">
              <c16:uniqueId val="{00000004-BEF3-4619-9F26-C82EB451E6B4}"/>
            </c:ext>
          </c:extLst>
        </c:ser>
        <c:ser>
          <c:idx val="10"/>
          <c:order val="10"/>
          <c:tx>
            <c:strRef>
              <c:f>Sheet9!$G$18:$I$18</c:f>
              <c:strCache>
                <c:ptCount val="3"/>
                <c:pt idx="0">
                  <c:v>Carbohydrates (%)</c:v>
                </c:pt>
                <c:pt idx="1">
                  <c:v>Intestine</c:v>
                </c:pt>
                <c:pt idx="2">
                  <c:v>12</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Sheet9!$J$18:$M$18</c:f>
              <c:numCache>
                <c:formatCode>General</c:formatCode>
                <c:ptCount val="4"/>
                <c:pt idx="0">
                  <c:v>11.8</c:v>
                </c:pt>
                <c:pt idx="1">
                  <c:v>10.6</c:v>
                </c:pt>
                <c:pt idx="2">
                  <c:v>8.4</c:v>
                </c:pt>
                <c:pt idx="3">
                  <c:v>6.2</c:v>
                </c:pt>
              </c:numCache>
            </c:numRef>
          </c:val>
          <c:extLst>
            <c:ext xmlns:c16="http://schemas.microsoft.com/office/drawing/2014/chart" uri="{C3380CC4-5D6E-409C-BE32-E72D297353CC}">
              <c16:uniqueId val="{00000005-BEF3-4619-9F26-C82EB451E6B4}"/>
            </c:ext>
          </c:extLst>
        </c:ser>
        <c:dLbls>
          <c:showLegendKey val="0"/>
          <c:showVal val="0"/>
          <c:showCatName val="0"/>
          <c:showSerName val="0"/>
          <c:showPercent val="0"/>
          <c:showBubbleSize val="0"/>
        </c:dLbls>
        <c:gapWidth val="100"/>
        <c:overlap val="-24"/>
        <c:axId val="1551808160"/>
        <c:axId val="1551810080"/>
        <c:extLst>
          <c:ext xmlns:c15="http://schemas.microsoft.com/office/drawing/2012/chart" uri="{02D57815-91ED-43cb-92C2-25804820EDAC}">
            <c15:filteredBarSeries>
              <c15:ser>
                <c:idx val="1"/>
                <c:order val="1"/>
                <c:tx>
                  <c:strRef>
                    <c:extLst>
                      <c:ext uri="{02D57815-91ED-43cb-92C2-25804820EDAC}">
                        <c15:formulaRef>
                          <c15:sqref>Sheet9!$G$9:$I$9</c15:sqref>
                        </c15:formulaRef>
                      </c:ext>
                    </c:extLst>
                    <c:strCache>
                      <c:ptCount val="3"/>
                      <c:pt idx="0">
                        <c:v>Protein (%)</c:v>
                      </c:pt>
                      <c:pt idx="1">
                        <c:v>Foot muscles</c:v>
                      </c:pt>
                      <c:pt idx="2">
                        <c:v>25.72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extLst>
                      <c:ex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c:ext uri="{02D57815-91ED-43cb-92C2-25804820EDAC}">
                        <c15:formulaRef>
                          <c15:sqref>Sheet9!$J$9:$M$9</c15:sqref>
                        </c15:formulaRef>
                      </c:ext>
                    </c:extLst>
                    <c:numCache>
                      <c:formatCode>General</c:formatCode>
                      <c:ptCount val="4"/>
                    </c:numCache>
                  </c:numRef>
                </c:val>
                <c:extLst>
                  <c:ext xmlns:c16="http://schemas.microsoft.com/office/drawing/2014/chart" uri="{C3380CC4-5D6E-409C-BE32-E72D297353CC}">
                    <c16:uniqueId val="{00000006-BEF3-4619-9F26-C82EB451E6B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Sheet9!$G$11:$I$11</c15:sqref>
                        </c15:formulaRef>
                      </c:ext>
                    </c:extLst>
                    <c:strCache>
                      <c:ptCount val="3"/>
                      <c:pt idx="0">
                        <c:v>Protein (%)</c:v>
                      </c:pt>
                      <c:pt idx="1">
                        <c:v>Intestine</c:v>
                      </c:pt>
                      <c:pt idx="2">
                        <c:v>32.3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Sheet9!$J$11:$M$11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7-BEF3-4619-9F26-C82EB451E6B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Sheet9!$G$13:$I$13</c15:sqref>
                        </c15:formulaRef>
                      </c:ext>
                    </c:extLst>
                    <c:strCache>
                      <c:ptCount val="3"/>
                      <c:pt idx="0">
                        <c:v>Lipids (%)</c:v>
                      </c:pt>
                      <c:pt idx="1">
                        <c:v>Foot muscles</c:v>
                      </c:pt>
                      <c:pt idx="2">
                        <c:v>35.59</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Sheet9!$J$13:$M$13</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BEF3-4619-9F26-C82EB451E6B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Sheet9!$G$15:$I$15</c15:sqref>
                        </c15:formulaRef>
                      </c:ext>
                    </c:extLst>
                    <c:strCache>
                      <c:ptCount val="3"/>
                      <c:pt idx="0">
                        <c:v>Lipids (%)</c:v>
                      </c:pt>
                      <c:pt idx="1">
                        <c:v>Intestine</c:v>
                      </c:pt>
                      <c:pt idx="2">
                        <c:v>48.39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Sheet9!$J$15:$M$15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9-BEF3-4619-9F26-C82EB451E6B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Sheet9!$G$17:$I$17</c15:sqref>
                        </c15:formulaRef>
                      </c:ext>
                    </c:extLst>
                    <c:strCache>
                      <c:ptCount val="3"/>
                      <c:pt idx="0">
                        <c:v>Carbohydrates (%)</c:v>
                      </c:pt>
                      <c:pt idx="1">
                        <c:v>Foot muscles</c:v>
                      </c:pt>
                      <c:pt idx="2">
                        <c:v>5.27</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Sheet9!$J$17:$M$17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A-BEF3-4619-9F26-C82EB451E6B4}"/>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Sheet9!$G$19:$I$19</c15:sqref>
                        </c15:formulaRef>
                      </c:ext>
                    </c:extLst>
                    <c:strCache>
                      <c:ptCount val="3"/>
                      <c:pt idx="0">
                        <c:v>Carbohydrates (%)</c:v>
                      </c:pt>
                      <c:pt idx="1">
                        <c:v>Intestine</c:v>
                      </c:pt>
                      <c:pt idx="2">
                        <c:v>12</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Sheet9!$J$19:$M$19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B-BEF3-4619-9F26-C82EB451E6B4}"/>
                  </c:ext>
                </c:extLst>
              </c15:ser>
            </c15:filteredBarSeries>
          </c:ext>
        </c:extLst>
      </c:barChart>
      <c:catAx>
        <c:axId val="1551808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Concentration of Ag2O NPs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1810080"/>
        <c:crosses val="autoZero"/>
        <c:auto val="1"/>
        <c:lblAlgn val="ctr"/>
        <c:lblOffset val="100"/>
        <c:noMultiLvlLbl val="0"/>
      </c:catAx>
      <c:valAx>
        <c:axId val="15518100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Biomolecules</a:t>
                </a:r>
                <a:r>
                  <a:rPr lang="en-IN" baseline="0"/>
                  <a:t> Values</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18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7476-9DB5-4CEE-9A2E-0EB85F39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19</Pages>
  <Words>66774</Words>
  <Characters>380616</Characters>
  <Application>Microsoft Office Word</Application>
  <DocSecurity>0</DocSecurity>
  <Lines>3171</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130</cp:revision>
  <dcterms:created xsi:type="dcterms:W3CDTF">2026-01-05T11:57:00Z</dcterms:created>
  <dcterms:modified xsi:type="dcterms:W3CDTF">2026-01-14T13:39:00Z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d418c0bd-d98a-3a6f-861e-4073949ad2b0</vt:lpwstr>
  </property>
</Properties>
</file>