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D48B80" w14:textId="77777777" w:rsidR="000355AC" w:rsidRPr="005112B0" w:rsidRDefault="00F33914" w:rsidP="000355AC">
      <w:pPr>
        <w:pStyle w:val="Default"/>
        <w:spacing w:line="276" w:lineRule="auto"/>
        <w:jc w:val="center"/>
        <w:rPr>
          <w:rFonts w:ascii="Times New Roman" w:hAnsi="Times New Roman" w:cs="Times New Roman"/>
          <w:b/>
          <w:color w:val="auto"/>
          <w:sz w:val="28"/>
          <w:szCs w:val="28"/>
        </w:rPr>
      </w:pPr>
      <w:r w:rsidRPr="005112B0">
        <w:rPr>
          <w:rFonts w:ascii="Times New Roman" w:hAnsi="Times New Roman" w:cs="Times New Roman"/>
          <w:b/>
          <w:color w:val="auto"/>
          <w:sz w:val="28"/>
          <w:szCs w:val="28"/>
        </w:rPr>
        <w:t xml:space="preserve">NEUROPHYSIOLOGICAL AND IMMUNOLOGICAL EFFECTS </w:t>
      </w:r>
    </w:p>
    <w:p w14:paraId="7FB63909" w14:textId="3170EA2D" w:rsidR="00F33914" w:rsidRPr="005112B0" w:rsidRDefault="00F33914" w:rsidP="000355AC">
      <w:pPr>
        <w:pStyle w:val="Default"/>
        <w:spacing w:line="276" w:lineRule="auto"/>
        <w:jc w:val="center"/>
        <w:rPr>
          <w:rFonts w:ascii="Times New Roman" w:hAnsi="Times New Roman" w:cs="Times New Roman"/>
          <w:b/>
          <w:color w:val="auto"/>
          <w:sz w:val="28"/>
          <w:szCs w:val="28"/>
        </w:rPr>
      </w:pPr>
      <w:r w:rsidRPr="005112B0">
        <w:rPr>
          <w:rFonts w:ascii="Times New Roman" w:hAnsi="Times New Roman" w:cs="Times New Roman"/>
          <w:b/>
          <w:color w:val="auto"/>
          <w:sz w:val="28"/>
          <w:szCs w:val="28"/>
        </w:rPr>
        <w:t>OF MICROPLASTICS IN GREEN MUSSELS (</w:t>
      </w:r>
      <w:r w:rsidRPr="005112B0">
        <w:rPr>
          <w:rFonts w:ascii="Times New Roman" w:hAnsi="Times New Roman" w:cs="Times New Roman"/>
          <w:b/>
          <w:i/>
          <w:iCs/>
          <w:color w:val="auto"/>
          <w:sz w:val="28"/>
          <w:szCs w:val="28"/>
        </w:rPr>
        <w:t>Perna viridis</w:t>
      </w:r>
      <w:r w:rsidRPr="005112B0">
        <w:rPr>
          <w:rFonts w:ascii="Times New Roman" w:hAnsi="Times New Roman" w:cs="Times New Roman"/>
          <w:b/>
          <w:color w:val="auto"/>
          <w:sz w:val="28"/>
          <w:szCs w:val="28"/>
        </w:rPr>
        <w:t>) FROM N4 BEACH AND PULICAT LAKE, TAMIL NADU</w:t>
      </w:r>
    </w:p>
    <w:p w14:paraId="37E9F8A9" w14:textId="77777777" w:rsidR="000355AC" w:rsidRPr="005112B0" w:rsidRDefault="000355AC" w:rsidP="000355AC">
      <w:pPr>
        <w:pStyle w:val="Default"/>
        <w:spacing w:line="276" w:lineRule="auto"/>
        <w:jc w:val="center"/>
        <w:rPr>
          <w:rFonts w:ascii="Times New Roman" w:hAnsi="Times New Roman" w:cs="Times New Roman"/>
          <w:b/>
          <w:color w:val="auto"/>
          <w:sz w:val="28"/>
          <w:szCs w:val="28"/>
        </w:rPr>
      </w:pPr>
    </w:p>
    <w:p w14:paraId="28D13E8F" w14:textId="77777777" w:rsidR="0063600B" w:rsidRPr="00C914BE" w:rsidRDefault="0063600B" w:rsidP="00C914BE">
      <w:pPr>
        <w:pStyle w:val="Default"/>
        <w:jc w:val="center"/>
        <w:rPr>
          <w:rFonts w:ascii="Times New Roman" w:hAnsi="Times New Roman" w:cs="Times New Roman"/>
        </w:rPr>
      </w:pPr>
    </w:p>
    <w:p w14:paraId="0C9A1066" w14:textId="29D93C3A" w:rsidR="008B5B6E" w:rsidRDefault="008B5B6E" w:rsidP="008B5B6E">
      <w:pPr>
        <w:pStyle w:val="Default"/>
        <w:jc w:val="both"/>
        <w:rPr>
          <w:rFonts w:ascii="Times New Roman" w:hAnsi="Times New Roman" w:cs="Times New Roman"/>
        </w:rPr>
      </w:pPr>
    </w:p>
    <w:p w14:paraId="5397B8EF" w14:textId="77777777" w:rsidR="00645F36" w:rsidRDefault="00645F36" w:rsidP="00645F36">
      <w:pPr>
        <w:pStyle w:val="Default"/>
        <w:jc w:val="center"/>
        <w:rPr>
          <w:rFonts w:ascii="Times New Roman" w:hAnsi="Times New Roman" w:cs="Times New Roman"/>
          <w:b/>
          <w:bCs/>
        </w:rPr>
      </w:pPr>
    </w:p>
    <w:p w14:paraId="49F797FF" w14:textId="77777777" w:rsidR="00645F36" w:rsidRDefault="00645F36" w:rsidP="00645F36">
      <w:pPr>
        <w:pStyle w:val="Default"/>
        <w:jc w:val="center"/>
        <w:rPr>
          <w:rFonts w:ascii="Times New Roman" w:hAnsi="Times New Roman" w:cs="Times New Roman"/>
          <w:b/>
          <w:bCs/>
        </w:rPr>
      </w:pPr>
    </w:p>
    <w:p w14:paraId="46DD822A" w14:textId="77777777" w:rsidR="00645F36" w:rsidRDefault="00645F36" w:rsidP="005112B0">
      <w:pPr>
        <w:pStyle w:val="Default"/>
        <w:rPr>
          <w:rFonts w:ascii="Times New Roman" w:hAnsi="Times New Roman" w:cs="Times New Roman"/>
          <w:b/>
          <w:bCs/>
        </w:rPr>
      </w:pPr>
    </w:p>
    <w:p w14:paraId="4C684C3D" w14:textId="3AD75249" w:rsidR="000355AC" w:rsidRDefault="00FB0B5E" w:rsidP="00645F36">
      <w:pPr>
        <w:pStyle w:val="Default"/>
        <w:jc w:val="center"/>
        <w:rPr>
          <w:rFonts w:ascii="Times New Roman" w:hAnsi="Times New Roman" w:cs="Times New Roman"/>
          <w:b/>
          <w:bCs/>
        </w:rPr>
      </w:pPr>
      <w:r w:rsidRPr="00FB0B5E">
        <w:rPr>
          <w:rFonts w:ascii="Times New Roman" w:hAnsi="Times New Roman" w:cs="Times New Roman"/>
          <w:b/>
          <w:bCs/>
        </w:rPr>
        <w:t>ABSTRACT</w:t>
      </w:r>
    </w:p>
    <w:p w14:paraId="51C1F133" w14:textId="77777777" w:rsidR="00645F36" w:rsidRDefault="00645F36" w:rsidP="00645F36">
      <w:pPr>
        <w:pStyle w:val="Default"/>
        <w:jc w:val="center"/>
        <w:rPr>
          <w:rFonts w:ascii="Times New Roman" w:hAnsi="Times New Roman" w:cs="Times New Roman"/>
          <w:b/>
          <w:bCs/>
        </w:rPr>
      </w:pPr>
    </w:p>
    <w:p w14:paraId="2E7BBD8F" w14:textId="77777777" w:rsidR="00253070" w:rsidRPr="00253070" w:rsidRDefault="00253070" w:rsidP="00253070">
      <w:pPr>
        <w:pStyle w:val="Default"/>
        <w:jc w:val="both"/>
        <w:rPr>
          <w:rFonts w:ascii="Times New Roman" w:hAnsi="Times New Roman" w:cs="Times New Roman"/>
          <w:b/>
          <w:bCs/>
        </w:rPr>
      </w:pPr>
    </w:p>
    <w:p w14:paraId="0CB70CE7" w14:textId="355500E7" w:rsidR="00F33914" w:rsidRDefault="00A5082D" w:rsidP="00E31E05">
      <w:pPr>
        <w:pStyle w:val="Default"/>
        <w:spacing w:line="360" w:lineRule="auto"/>
        <w:jc w:val="both"/>
        <w:rPr>
          <w:rFonts w:ascii="Times New Roman" w:hAnsi="Times New Roman" w:cs="Times New Roman"/>
        </w:rPr>
      </w:pPr>
      <w:r w:rsidRPr="00A5082D">
        <w:rPr>
          <w:rFonts w:ascii="Times New Roman" w:hAnsi="Times New Roman" w:cs="Times New Roman"/>
        </w:rPr>
        <w:t xml:space="preserve">Microplastic pollution has emerged as a pervasive environmental threat, particularly in aquatic ecosystems where filter-feeding organisms are highly susceptible to contamination. The present study investigates the sub-lethal physiological effects of environmental microplastic exposure on the neurophysiological, immunological, and biochemical responses of the green mussel </w:t>
      </w:r>
      <w:r w:rsidRPr="00A5082D">
        <w:rPr>
          <w:rFonts w:ascii="Times New Roman" w:hAnsi="Times New Roman" w:cs="Times New Roman"/>
          <w:i/>
          <w:iCs/>
        </w:rPr>
        <w:t>Perna viridis</w:t>
      </w:r>
      <w:r w:rsidRPr="00A5082D">
        <w:rPr>
          <w:rFonts w:ascii="Times New Roman" w:hAnsi="Times New Roman" w:cs="Times New Roman"/>
        </w:rPr>
        <w:t>, a commercially important and widely consumed bivalve species. Mussels were collected from two coastal locations in Tamil Nadu, India</w:t>
      </w:r>
      <w:r w:rsidR="00E31E05">
        <w:rPr>
          <w:rFonts w:ascii="Times New Roman" w:hAnsi="Times New Roman" w:cs="Times New Roman"/>
        </w:rPr>
        <w:t xml:space="preserve"> - </w:t>
      </w:r>
      <w:r w:rsidRPr="00A5082D">
        <w:rPr>
          <w:rFonts w:ascii="Times New Roman" w:hAnsi="Times New Roman" w:cs="Times New Roman"/>
        </w:rPr>
        <w:t>N4 Beach, Chennai (Site-1), and Pulicat Lake, Thiruvallur (Site-2)</w:t>
      </w:r>
      <w:r w:rsidR="00E31E05">
        <w:rPr>
          <w:rFonts w:ascii="Times New Roman" w:hAnsi="Times New Roman" w:cs="Times New Roman"/>
        </w:rPr>
        <w:t xml:space="preserve"> </w:t>
      </w:r>
      <w:r w:rsidRPr="00A5082D">
        <w:rPr>
          <w:rFonts w:ascii="Times New Roman" w:hAnsi="Times New Roman" w:cs="Times New Roman"/>
        </w:rPr>
        <w:t xml:space="preserve">previously reported to differ significantly in microplastic abundance. Acetylcholinesterase (AChE) activity in gill tissues, haemolymph clotting time, total haemocyte count (THC), and total protein concentrations in gill and posterior adductor muscle were assessed using standard biochemical and immunological assays. Results revealed a significant inhibition of AChE activity, prolonged haemolymph clotting time, reduced THC, and markedly decreased protein concentrations in mussels from Site-1 compared to Site-2 (p &lt; 0.05), indicating neurotoxicity, immunosuppression, and metabolic stress associated with higher microplastic exposure. The observed physiological alterations suggest that microplastics, either directly or as vectors for associated contaminants, disrupt essential biological functions in </w:t>
      </w:r>
      <w:r w:rsidRPr="00A5082D">
        <w:rPr>
          <w:rFonts w:ascii="Times New Roman" w:hAnsi="Times New Roman" w:cs="Times New Roman"/>
          <w:i/>
          <w:iCs/>
        </w:rPr>
        <w:t>P. viridis</w:t>
      </w:r>
      <w:r w:rsidRPr="00A5082D">
        <w:rPr>
          <w:rFonts w:ascii="Times New Roman" w:hAnsi="Times New Roman" w:cs="Times New Roman"/>
        </w:rPr>
        <w:t>. These findings underscore the utility of green mussels as effective bioindicators of microplastic pollution and raise concerns regarding ecosystem health and potential human exposure through seafood consumption. The study contributes valuable insights into the sub-lethal impacts of microplastics on marine bivalves and highlights the need for continued monitoring and risk assessment of microplastic contamination in coastal environments.</w:t>
      </w:r>
    </w:p>
    <w:p w14:paraId="33F650D0" w14:textId="77777777" w:rsidR="000933C7" w:rsidRDefault="000933C7" w:rsidP="00E31E05">
      <w:pPr>
        <w:pStyle w:val="Default"/>
        <w:spacing w:line="360" w:lineRule="auto"/>
        <w:jc w:val="both"/>
        <w:rPr>
          <w:rFonts w:ascii="Times New Roman" w:hAnsi="Times New Roman" w:cs="Times New Roman"/>
        </w:rPr>
      </w:pPr>
    </w:p>
    <w:p w14:paraId="2698B696" w14:textId="77777777" w:rsidR="00645F36" w:rsidRPr="00B07389" w:rsidRDefault="00645F36" w:rsidP="00645F36">
      <w:pPr>
        <w:pStyle w:val="Default"/>
        <w:spacing w:line="360" w:lineRule="auto"/>
        <w:jc w:val="both"/>
        <w:rPr>
          <w:rFonts w:ascii="Times New Roman" w:hAnsi="Times New Roman" w:cs="Times New Roman"/>
          <w:b/>
          <w:bCs/>
        </w:rPr>
      </w:pPr>
      <w:r w:rsidRPr="00B07389">
        <w:rPr>
          <w:rFonts w:ascii="Times New Roman" w:hAnsi="Times New Roman" w:cs="Times New Roman"/>
          <w:b/>
          <w:bCs/>
        </w:rPr>
        <w:t>KEY WORDS</w:t>
      </w:r>
    </w:p>
    <w:p w14:paraId="4BA155EF" w14:textId="77777777" w:rsidR="00645F36" w:rsidRDefault="00645F36" w:rsidP="00645F36">
      <w:pPr>
        <w:spacing w:line="360" w:lineRule="auto"/>
        <w:jc w:val="both"/>
        <w:rPr>
          <w:rFonts w:ascii="Times New Roman" w:hAnsi="Times New Roman" w:cs="Times New Roman"/>
          <w:bCs/>
          <w:iCs/>
          <w:sz w:val="24"/>
          <w:szCs w:val="24"/>
        </w:rPr>
      </w:pPr>
      <w:r w:rsidRPr="00B07389">
        <w:rPr>
          <w:rFonts w:ascii="Times New Roman" w:hAnsi="Times New Roman" w:cs="Times New Roman"/>
          <w:bCs/>
          <w:iCs/>
          <w:sz w:val="24"/>
          <w:szCs w:val="24"/>
        </w:rPr>
        <w:t>Aquatic pollution, Bioindicator, Green mussel, Immunological parameters, Microplastics, Neurophysiological biomarker</w:t>
      </w:r>
    </w:p>
    <w:p w14:paraId="2ABD792F" w14:textId="77777777" w:rsidR="00645F36" w:rsidRDefault="00645F36" w:rsidP="00E31E05">
      <w:pPr>
        <w:pStyle w:val="Default"/>
        <w:spacing w:line="360" w:lineRule="auto"/>
        <w:jc w:val="both"/>
        <w:rPr>
          <w:rFonts w:ascii="Times New Roman" w:hAnsi="Times New Roman" w:cs="Times New Roman"/>
          <w:b/>
          <w:bCs/>
        </w:rPr>
      </w:pPr>
    </w:p>
    <w:p w14:paraId="568F5622" w14:textId="44D4974F" w:rsidR="000933C7" w:rsidRDefault="000933C7" w:rsidP="00E31E05">
      <w:pPr>
        <w:pStyle w:val="Default"/>
        <w:spacing w:line="360" w:lineRule="auto"/>
        <w:jc w:val="both"/>
        <w:rPr>
          <w:rFonts w:ascii="Times New Roman" w:hAnsi="Times New Roman" w:cs="Times New Roman"/>
          <w:b/>
          <w:bCs/>
        </w:rPr>
      </w:pPr>
      <w:r w:rsidRPr="000933C7">
        <w:rPr>
          <w:rFonts w:ascii="Times New Roman" w:hAnsi="Times New Roman" w:cs="Times New Roman"/>
          <w:b/>
          <w:bCs/>
        </w:rPr>
        <w:t>GRAPHICAL ABSTRACT</w:t>
      </w:r>
    </w:p>
    <w:p w14:paraId="193EA704" w14:textId="77777777" w:rsidR="00645F36" w:rsidRPr="000933C7" w:rsidRDefault="00645F36" w:rsidP="00E31E05">
      <w:pPr>
        <w:pStyle w:val="Default"/>
        <w:spacing w:line="360" w:lineRule="auto"/>
        <w:jc w:val="both"/>
        <w:rPr>
          <w:rFonts w:ascii="Times New Roman" w:hAnsi="Times New Roman" w:cs="Times New Roman"/>
          <w:b/>
          <w:bCs/>
        </w:rPr>
      </w:pPr>
    </w:p>
    <w:p w14:paraId="6E737CA2" w14:textId="5A24DAFF" w:rsidR="00DA3888" w:rsidRPr="00645F36" w:rsidRDefault="00DA3888" w:rsidP="00645F36">
      <w:pPr>
        <w:pStyle w:val="Default"/>
        <w:spacing w:line="360" w:lineRule="auto"/>
        <w:jc w:val="center"/>
        <w:rPr>
          <w:rFonts w:ascii="Times New Roman" w:hAnsi="Times New Roman" w:cs="Times New Roman"/>
        </w:rPr>
      </w:pPr>
      <w:commentRangeStart w:id="0"/>
      <w:r w:rsidRPr="004433B9">
        <w:rPr>
          <w:rFonts w:ascii="Times New Roman" w:hAnsi="Times New Roman" w:cs="Times New Roman"/>
          <w:b/>
          <w:bCs/>
          <w:iCs/>
          <w:noProof/>
          <w:lang w:val="en-US"/>
        </w:rPr>
        <w:drawing>
          <wp:inline distT="0" distB="0" distL="0" distR="0" wp14:anchorId="5E66E6F0" wp14:editId="0E5D68E9">
            <wp:extent cx="4884516" cy="2442258"/>
            <wp:effectExtent l="0" t="0" r="0" b="0"/>
            <wp:docPr id="74937198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88080" cy="2444040"/>
                    </a:xfrm>
                    <a:prstGeom prst="rect">
                      <a:avLst/>
                    </a:prstGeom>
                    <a:noFill/>
                    <a:ln>
                      <a:noFill/>
                    </a:ln>
                  </pic:spPr>
                </pic:pic>
              </a:graphicData>
            </a:graphic>
          </wp:inline>
        </w:drawing>
      </w:r>
      <w:commentRangeEnd w:id="0"/>
      <w:r w:rsidR="00F150FB">
        <w:rPr>
          <w:rStyle w:val="CommentReference"/>
          <w:rFonts w:asciiTheme="minorHAnsi" w:hAnsiTheme="minorHAnsi" w:cstheme="minorBidi"/>
          <w:color w:val="auto"/>
          <w:kern w:val="2"/>
          <w14:ligatures w14:val="standardContextual"/>
        </w:rPr>
        <w:commentReference w:id="0"/>
      </w:r>
    </w:p>
    <w:p w14:paraId="33ECE87C" w14:textId="77777777" w:rsidR="00645F36" w:rsidRDefault="00645F36" w:rsidP="0029098A">
      <w:pPr>
        <w:rPr>
          <w:rFonts w:ascii="Times New Roman" w:hAnsi="Times New Roman" w:cs="Times New Roman"/>
          <w:b/>
          <w:sz w:val="24"/>
          <w:szCs w:val="24"/>
        </w:rPr>
      </w:pPr>
    </w:p>
    <w:p w14:paraId="78AFADD3" w14:textId="52F24925" w:rsidR="0029098A" w:rsidRDefault="00253070" w:rsidP="0029098A">
      <w:pPr>
        <w:rPr>
          <w:rFonts w:ascii="Times New Roman" w:hAnsi="Times New Roman" w:cs="Times New Roman"/>
          <w:b/>
          <w:sz w:val="24"/>
          <w:szCs w:val="24"/>
        </w:rPr>
      </w:pPr>
      <w:r w:rsidRPr="00253070">
        <w:rPr>
          <w:rFonts w:ascii="Times New Roman" w:hAnsi="Times New Roman" w:cs="Times New Roman"/>
          <w:b/>
          <w:sz w:val="24"/>
          <w:szCs w:val="24"/>
        </w:rPr>
        <w:t>INTRODUCTION</w:t>
      </w:r>
    </w:p>
    <w:p w14:paraId="4AA28CDA" w14:textId="77777777" w:rsidR="00645F36" w:rsidRDefault="00645F36" w:rsidP="0029098A">
      <w:pPr>
        <w:rPr>
          <w:rFonts w:ascii="Times New Roman" w:hAnsi="Times New Roman" w:cs="Times New Roman"/>
          <w:b/>
          <w:sz w:val="24"/>
          <w:szCs w:val="24"/>
        </w:rPr>
      </w:pPr>
    </w:p>
    <w:p w14:paraId="1CC37D13" w14:textId="06AC62A7" w:rsidR="00EA3F30" w:rsidRPr="0029098A" w:rsidRDefault="00EA3F30" w:rsidP="0029098A">
      <w:pPr>
        <w:spacing w:line="360" w:lineRule="auto"/>
        <w:jc w:val="both"/>
        <w:rPr>
          <w:rFonts w:ascii="Times New Roman" w:hAnsi="Times New Roman" w:cs="Times New Roman"/>
          <w:b/>
          <w:sz w:val="24"/>
          <w:szCs w:val="24"/>
        </w:rPr>
      </w:pPr>
      <w:r w:rsidRPr="00EA3F30">
        <w:rPr>
          <w:rFonts w:ascii="Times New Roman" w:hAnsi="Times New Roman" w:cs="Times New Roman"/>
          <w:sz w:val="24"/>
          <w:szCs w:val="24"/>
          <w:lang w:val="en-US"/>
        </w:rPr>
        <w:t xml:space="preserve">Plastic pollution in the terrestrial and aquatic ecosystem is of serious concern which is increasing day by day globally. The earth’s surface is covered by 70% water and around 0.5% of plastic waste from 460 million metric tons of plastics generated every year end at the aquatic ecosystem </w:t>
      </w:r>
      <w:r w:rsidRPr="00EA3F30">
        <w:rPr>
          <w:rFonts w:ascii="Times New Roman" w:hAnsi="Times New Roman" w:cs="Times New Roman"/>
          <w:sz w:val="24"/>
          <w:szCs w:val="24"/>
        </w:rPr>
        <w:t>(Ritchie et al., 2023). Based on their size, plastic pollutants are divided into four categories: nanoplastics (less than 1 μm), microplastics (less than 5 mm), mesoplastics (5 mm to 2.5 cm), and macroplastics (more than 2.5 cm). Microplastics (MPs) in particular are getting more attention because of their widespread presence, high durability, small size, and effects on marine life</w:t>
      </w:r>
      <w:r w:rsidRPr="00EA3F30">
        <w:rPr>
          <w:rFonts w:ascii="Times New Roman" w:hAnsi="Times New Roman" w:cs="Times New Roman"/>
          <w:color w:val="222222"/>
          <w:sz w:val="24"/>
          <w:szCs w:val="24"/>
          <w:shd w:val="clear" w:color="auto" w:fill="FFFFFF"/>
        </w:rPr>
        <w:t xml:space="preserve"> (Jeyasanta et al., 2020, Ferreira et al., 2019, Yuan et al., 2022). </w:t>
      </w:r>
      <w:r w:rsidRPr="00EA3F30">
        <w:rPr>
          <w:rFonts w:ascii="Times New Roman" w:hAnsi="Times New Roman" w:cs="Times New Roman"/>
          <w:sz w:val="24"/>
          <w:szCs w:val="24"/>
        </w:rPr>
        <w:t>MPs are seen in packaging, footwear, washed off domestic waste items from ships, fishing equipments (</w:t>
      </w:r>
      <w:r w:rsidRPr="00EA3F30">
        <w:rPr>
          <w:rFonts w:ascii="Times New Roman" w:hAnsi="Times New Roman" w:cs="Times New Roman"/>
          <w:color w:val="222222"/>
          <w:sz w:val="24"/>
          <w:szCs w:val="24"/>
          <w:shd w:val="clear" w:color="auto" w:fill="FFFFFF"/>
        </w:rPr>
        <w:t>Obebe et al., 2020) and due to anthropogenic activities. There is a serious increase in environmental</w:t>
      </w:r>
      <w:r w:rsidRPr="00EA3F30">
        <w:rPr>
          <w:rFonts w:ascii="Times New Roman" w:hAnsi="Times New Roman" w:cs="Times New Roman"/>
          <w:color w:val="1F1F1F"/>
          <w:sz w:val="24"/>
          <w:szCs w:val="24"/>
        </w:rPr>
        <w:t xml:space="preserve"> microplastic concentrations exposure into the ecosystem leaving more chance for it to interact and cause hazardous effects across food webs (</w:t>
      </w:r>
      <w:r w:rsidRPr="00EA3F30">
        <w:rPr>
          <w:rFonts w:ascii="Times New Roman" w:hAnsi="Times New Roman" w:cs="Times New Roman"/>
          <w:color w:val="222222"/>
          <w:sz w:val="24"/>
          <w:szCs w:val="24"/>
          <w:shd w:val="clear" w:color="auto" w:fill="FFFFFF"/>
        </w:rPr>
        <w:t>Horton et al., 2020).</w:t>
      </w:r>
      <w:r w:rsidRPr="00EA3F30">
        <w:rPr>
          <w:rFonts w:ascii="Times New Roman" w:hAnsi="Times New Roman" w:cs="Times New Roman"/>
          <w:sz w:val="24"/>
          <w:szCs w:val="24"/>
          <w:lang w:val="en-US"/>
        </w:rPr>
        <w:t xml:space="preserve"> </w:t>
      </w:r>
    </w:p>
    <w:p w14:paraId="12A20F88" w14:textId="756E6DE4" w:rsidR="00EA3F30" w:rsidRPr="00EA3F30" w:rsidRDefault="00EA3F30" w:rsidP="00EA3F30">
      <w:pPr>
        <w:spacing w:line="360" w:lineRule="auto"/>
        <w:jc w:val="both"/>
        <w:rPr>
          <w:rFonts w:ascii="Times New Roman" w:hAnsi="Times New Roman" w:cs="Times New Roman"/>
          <w:i/>
          <w:color w:val="222222"/>
          <w:sz w:val="24"/>
          <w:szCs w:val="24"/>
          <w:shd w:val="clear" w:color="auto" w:fill="FFFFFF"/>
        </w:rPr>
      </w:pPr>
      <w:r w:rsidRPr="00EA3F30">
        <w:rPr>
          <w:rFonts w:ascii="Times New Roman" w:hAnsi="Times New Roman" w:cs="Times New Roman"/>
          <w:color w:val="1F1F1F"/>
          <w:sz w:val="24"/>
          <w:szCs w:val="24"/>
        </w:rPr>
        <w:t>Accumulation of microplastics in marine environment has negative impact starting from marine organisms to the whole ecology (Guzzetti et al., 2018), as they are found in the different zones of marine ecosystem either as afloat or in the marine sediment (</w:t>
      </w:r>
      <w:r w:rsidRPr="00EA3F30">
        <w:rPr>
          <w:rFonts w:ascii="Times New Roman" w:hAnsi="Times New Roman" w:cs="Times New Roman"/>
          <w:sz w:val="24"/>
          <w:szCs w:val="24"/>
        </w:rPr>
        <w:t xml:space="preserve">Mani et al., 2015). When they get deposited in the marine sediments they are ingested by the deposit and filter feeders. The potential of bivalves to accumulate pollutants like microplastics, heavy metals, and </w:t>
      </w:r>
      <w:r w:rsidRPr="00EA3F30">
        <w:rPr>
          <w:rFonts w:ascii="Times New Roman" w:hAnsi="Times New Roman" w:cs="Times New Roman"/>
          <w:sz w:val="24"/>
          <w:szCs w:val="24"/>
        </w:rPr>
        <w:lastRenderedPageBreak/>
        <w:t xml:space="preserve">persistent organic contaminants over a relatively long lifespan, as well as their extensive distribution, sedentary lifestyle, filter feeding mechanism, environmental roles, and commercial significance, have made them as appropriate bioindicators </w:t>
      </w:r>
      <w:r w:rsidRPr="00EA3F30">
        <w:rPr>
          <w:rFonts w:ascii="Times New Roman" w:hAnsi="Times New Roman" w:cs="Times New Roman"/>
          <w:color w:val="1F1F1F"/>
          <w:sz w:val="24"/>
          <w:szCs w:val="24"/>
        </w:rPr>
        <w:t xml:space="preserve">(Beyer et al., 2017; </w:t>
      </w:r>
      <w:r w:rsidRPr="00EA3F30">
        <w:rPr>
          <w:rFonts w:ascii="Times New Roman" w:hAnsi="Times New Roman" w:cs="Times New Roman"/>
          <w:sz w:val="24"/>
          <w:szCs w:val="24"/>
        </w:rPr>
        <w:t>Phaksopa et al., 2022)</w:t>
      </w:r>
      <w:r w:rsidRPr="00EA3F30">
        <w:rPr>
          <w:rFonts w:ascii="Times New Roman" w:hAnsi="Times New Roman" w:cs="Times New Roman"/>
          <w:color w:val="1F1F1F"/>
          <w:sz w:val="24"/>
          <w:szCs w:val="24"/>
        </w:rPr>
        <w:t>. Microplastics exposure can cause negative impact on the antioxidant enzymatic activity (</w:t>
      </w:r>
      <w:r w:rsidRPr="00EA3F30">
        <w:rPr>
          <w:rFonts w:ascii="Times New Roman" w:hAnsi="Times New Roman" w:cs="Times New Roman"/>
          <w:color w:val="333333"/>
          <w:sz w:val="24"/>
          <w:szCs w:val="24"/>
        </w:rPr>
        <w:t>superoxide dismutase, catalase, glutathione peroxidases, etc), altered haemolymph proteome, number of byssal thread, attachment strength as well as altered immune responses (</w:t>
      </w:r>
      <w:r w:rsidRPr="00EA3F30">
        <w:rPr>
          <w:rFonts w:ascii="Times New Roman" w:hAnsi="Times New Roman" w:cs="Times New Roman"/>
          <w:color w:val="222222"/>
          <w:sz w:val="24"/>
          <w:szCs w:val="24"/>
          <w:shd w:val="clear" w:color="auto" w:fill="FFFFFF"/>
        </w:rPr>
        <w:t xml:space="preserve">Magara et al., 2019; Green et al., 2019; Pavičić-Hamer et al., 2022). </w:t>
      </w:r>
      <w:r w:rsidRPr="00EA3F30">
        <w:rPr>
          <w:rFonts w:ascii="Times New Roman" w:hAnsi="Times New Roman" w:cs="Times New Roman"/>
          <w:sz w:val="24"/>
          <w:szCs w:val="24"/>
        </w:rPr>
        <w:t xml:space="preserve">Edible green mussels are a rich source of protein and are savored by humans in a healthy manner, thereby exposing them to the dangerous consequences of microplastics directly (Cherdsukjai et al., 2022). </w:t>
      </w:r>
      <w:r w:rsidRPr="00EA3F30">
        <w:rPr>
          <w:rFonts w:ascii="Times New Roman" w:hAnsi="Times New Roman" w:cs="Times New Roman"/>
          <w:color w:val="222222"/>
          <w:sz w:val="24"/>
          <w:szCs w:val="24"/>
          <w:shd w:val="clear" w:color="auto" w:fill="FFFFFF"/>
        </w:rPr>
        <w:t xml:space="preserve">Green mussel, </w:t>
      </w:r>
      <w:r w:rsidRPr="00EA3F30">
        <w:rPr>
          <w:rFonts w:ascii="Times New Roman" w:hAnsi="Times New Roman" w:cs="Times New Roman"/>
          <w:i/>
          <w:color w:val="222222"/>
          <w:sz w:val="24"/>
          <w:szCs w:val="24"/>
          <w:shd w:val="clear" w:color="auto" w:fill="FFFFFF"/>
        </w:rPr>
        <w:t xml:space="preserve">P. viridis </w:t>
      </w:r>
      <w:r w:rsidRPr="00EA3F30">
        <w:rPr>
          <w:rFonts w:ascii="Times New Roman" w:hAnsi="Times New Roman" w:cs="Times New Roman"/>
          <w:iCs/>
          <w:color w:val="222222"/>
          <w:sz w:val="24"/>
          <w:szCs w:val="24"/>
          <w:shd w:val="clear" w:color="auto" w:fill="FFFFFF"/>
        </w:rPr>
        <w:t>was selected as the experimental organism for the current study</w:t>
      </w:r>
      <w:r w:rsidRPr="00EA3F30">
        <w:rPr>
          <w:rFonts w:ascii="Times New Roman" w:hAnsi="Times New Roman" w:cs="Times New Roman"/>
          <w:i/>
          <w:color w:val="222222"/>
          <w:sz w:val="24"/>
          <w:szCs w:val="24"/>
          <w:shd w:val="clear" w:color="auto" w:fill="FFFFFF"/>
        </w:rPr>
        <w:t xml:space="preserve"> </w:t>
      </w:r>
      <w:r w:rsidRPr="00EA3F30">
        <w:rPr>
          <w:rFonts w:ascii="Times New Roman" w:hAnsi="Times New Roman" w:cs="Times New Roman"/>
          <w:color w:val="222222"/>
          <w:sz w:val="24"/>
          <w:szCs w:val="24"/>
          <w:shd w:val="clear" w:color="auto" w:fill="FFFFFF"/>
        </w:rPr>
        <w:t>due to their ecological significance in food web, commercial value at the fish market and widespread human consumption.</w:t>
      </w:r>
    </w:p>
    <w:p w14:paraId="4050C60E" w14:textId="1B83183C" w:rsidR="00091F12" w:rsidRDefault="00EA3F30" w:rsidP="00EA3F30">
      <w:pPr>
        <w:spacing w:line="360" w:lineRule="auto"/>
        <w:jc w:val="both"/>
        <w:rPr>
          <w:rFonts w:ascii="Times New Roman" w:hAnsi="Times New Roman" w:cs="Times New Roman"/>
          <w:sz w:val="24"/>
          <w:szCs w:val="24"/>
        </w:rPr>
      </w:pPr>
      <w:r w:rsidRPr="00EA3F30">
        <w:rPr>
          <w:rFonts w:ascii="Times New Roman" w:hAnsi="Times New Roman" w:cs="Times New Roman"/>
          <w:sz w:val="24"/>
          <w:szCs w:val="24"/>
        </w:rPr>
        <w:t xml:space="preserve">In the previous study, we detected and assessed microplastics both quantitatively and qualitatively in the soft tissues and shell of green mussel, </w:t>
      </w:r>
      <w:r w:rsidRPr="00EA3F30">
        <w:rPr>
          <w:rFonts w:ascii="Times New Roman" w:hAnsi="Times New Roman" w:cs="Times New Roman"/>
          <w:i/>
          <w:iCs/>
          <w:sz w:val="24"/>
          <w:szCs w:val="24"/>
        </w:rPr>
        <w:t>P. viridis</w:t>
      </w:r>
      <w:r w:rsidRPr="00EA3F30">
        <w:rPr>
          <w:rFonts w:ascii="Times New Roman" w:hAnsi="Times New Roman" w:cs="Times New Roman"/>
          <w:sz w:val="24"/>
          <w:szCs w:val="24"/>
        </w:rPr>
        <w:t xml:space="preserve">, from Site-1 N4 Beach, Chennai district, and Site-2 Pulicat Lake, Thiruvallur district, Tamil Nadu, India. From this, it was inferred that Site 1 exhibited a high amount of microplastics than Site 2 (Janani Kittan &amp; Asha P., 2025). These two areas are key fish markets for green mussel, </w:t>
      </w:r>
      <w:r w:rsidRPr="00EA3F30">
        <w:rPr>
          <w:rFonts w:ascii="Times New Roman" w:hAnsi="Times New Roman" w:cs="Times New Roman"/>
          <w:i/>
          <w:iCs/>
          <w:sz w:val="24"/>
          <w:szCs w:val="24"/>
        </w:rPr>
        <w:t>P. viridis</w:t>
      </w:r>
      <w:r w:rsidRPr="00EA3F30">
        <w:rPr>
          <w:rFonts w:ascii="Times New Roman" w:hAnsi="Times New Roman" w:cs="Times New Roman"/>
          <w:sz w:val="24"/>
          <w:szCs w:val="24"/>
        </w:rPr>
        <w:t>, a commercially consumed bivalve species. The present study seeks to explore the physiological effects of microplastic exposure on neurophysiological, immunological, and total protein concentrations in green mussels obtained from the aforementioned areas. This study expands our understanding of the sub-lethal effects of microplastics on mussel health and their potential ecological consequences.</w:t>
      </w:r>
    </w:p>
    <w:p w14:paraId="28C1E825" w14:textId="77777777" w:rsidR="00082664" w:rsidRDefault="00082664" w:rsidP="00675DEB">
      <w:pPr>
        <w:spacing w:line="240" w:lineRule="auto"/>
        <w:rPr>
          <w:rFonts w:ascii="Times New Roman" w:hAnsi="Times New Roman" w:cs="Times New Roman"/>
          <w:b/>
          <w:sz w:val="24"/>
          <w:szCs w:val="24"/>
          <w:lang w:val="en-US"/>
        </w:rPr>
      </w:pPr>
    </w:p>
    <w:p w14:paraId="2CC63403" w14:textId="71216238" w:rsidR="00675DEB" w:rsidRDefault="00091F12" w:rsidP="00675DEB">
      <w:pPr>
        <w:spacing w:line="240" w:lineRule="auto"/>
        <w:rPr>
          <w:rFonts w:ascii="Times New Roman" w:hAnsi="Times New Roman" w:cs="Times New Roman"/>
          <w:b/>
          <w:sz w:val="24"/>
          <w:szCs w:val="24"/>
          <w:lang w:val="en-US"/>
        </w:rPr>
      </w:pPr>
      <w:r w:rsidRPr="00091F12">
        <w:rPr>
          <w:rFonts w:ascii="Times New Roman" w:hAnsi="Times New Roman" w:cs="Times New Roman"/>
          <w:b/>
          <w:sz w:val="24"/>
          <w:szCs w:val="24"/>
          <w:lang w:val="en-US"/>
        </w:rPr>
        <w:t>MATERIALS AND METHODS</w:t>
      </w:r>
    </w:p>
    <w:p w14:paraId="5C6A2878" w14:textId="77777777" w:rsidR="00603E66" w:rsidRDefault="00603E66" w:rsidP="00675DEB">
      <w:pPr>
        <w:spacing w:line="240" w:lineRule="auto"/>
        <w:rPr>
          <w:rFonts w:ascii="Times New Roman" w:hAnsi="Times New Roman" w:cs="Times New Roman"/>
          <w:b/>
          <w:sz w:val="24"/>
          <w:szCs w:val="24"/>
          <w:lang w:val="en-US"/>
        </w:rPr>
      </w:pPr>
    </w:p>
    <w:p w14:paraId="0ECA61F1" w14:textId="77777777" w:rsidR="00211676" w:rsidRDefault="00211676" w:rsidP="003F750D">
      <w:pPr>
        <w:spacing w:line="36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Collection of Specimen:</w:t>
      </w:r>
    </w:p>
    <w:p w14:paraId="4D9BD2FF" w14:textId="5C7BA734" w:rsidR="00587EF5" w:rsidRPr="003F750D" w:rsidRDefault="00587EF5" w:rsidP="003F750D">
      <w:pPr>
        <w:spacing w:line="360" w:lineRule="auto"/>
        <w:jc w:val="both"/>
        <w:rPr>
          <w:rFonts w:ascii="Times New Roman" w:hAnsi="Times New Roman" w:cs="Times New Roman"/>
          <w:b/>
          <w:sz w:val="24"/>
          <w:szCs w:val="24"/>
          <w:lang w:val="en-US"/>
        </w:rPr>
      </w:pPr>
      <w:commentRangeStart w:id="1"/>
      <w:r w:rsidRPr="00587EF5">
        <w:rPr>
          <w:rFonts w:ascii="Times New Roman" w:hAnsi="Times New Roman" w:cs="Times New Roman"/>
          <w:sz w:val="24"/>
          <w:szCs w:val="24"/>
        </w:rPr>
        <w:t xml:space="preserve">Green mussels were collected from Site-1 N4 beach (13°08'02"N 80°17'56"E), Ennore, Chennai district, and Site-2 Pulicat lake (13°25'14"N 80°19'06"E), Thiruvallur district, Tamil Nadu, India (Fig. 1). During the month of September, before the onset of the Northeast monsoon, 20 samples of varied sizes were collected from each site and transferred to a container containing 2L of water collected from that site. The samples were selected at random and properly transported to the laboratory. </w:t>
      </w:r>
      <w:commentRangeEnd w:id="1"/>
      <w:r w:rsidR="00F150FB">
        <w:rPr>
          <w:rStyle w:val="CommentReference"/>
        </w:rPr>
        <w:commentReference w:id="1"/>
      </w:r>
      <w:r w:rsidRPr="00587EF5">
        <w:rPr>
          <w:rFonts w:ascii="Times New Roman" w:hAnsi="Times New Roman" w:cs="Times New Roman"/>
          <w:sz w:val="24"/>
          <w:szCs w:val="24"/>
        </w:rPr>
        <w:t xml:space="preserve">To reduce background contamination, glassware and </w:t>
      </w:r>
      <w:r w:rsidRPr="00587EF5">
        <w:rPr>
          <w:rFonts w:ascii="Times New Roman" w:hAnsi="Times New Roman" w:cs="Times New Roman"/>
          <w:sz w:val="24"/>
          <w:szCs w:val="24"/>
        </w:rPr>
        <w:lastRenderedPageBreak/>
        <w:t xml:space="preserve">laboratory equipment were sterilized with distilled water throughout the course of the experiment. </w:t>
      </w:r>
      <w:commentRangeStart w:id="2"/>
    </w:p>
    <w:p w14:paraId="06070F03" w14:textId="500518EF" w:rsidR="00843CBF" w:rsidRDefault="00E84D48" w:rsidP="008F573F">
      <w:pPr>
        <w:spacing w:line="360" w:lineRule="auto"/>
        <w:jc w:val="center"/>
        <w:rPr>
          <w:rFonts w:ascii="Times New Roman" w:hAnsi="Times New Roman" w:cs="Times New Roman"/>
          <w:sz w:val="24"/>
          <w:szCs w:val="24"/>
          <w:lang w:val="en-US"/>
        </w:rPr>
      </w:pPr>
      <w:r w:rsidRPr="008445F2">
        <w:rPr>
          <w:rFonts w:ascii="Arial Narrow" w:hAnsi="Arial Narrow" w:cs="Times New Roman"/>
          <w:noProof/>
          <w:sz w:val="18"/>
          <w:szCs w:val="18"/>
          <w:lang w:val="en-US"/>
        </w:rPr>
        <w:drawing>
          <wp:anchor distT="0" distB="0" distL="114300" distR="114300" simplePos="0" relativeHeight="251663360" behindDoc="1" locked="0" layoutInCell="1" allowOverlap="1" wp14:anchorId="6DB897FC" wp14:editId="37F6124F">
            <wp:simplePos x="0" y="0"/>
            <wp:positionH relativeFrom="margin">
              <wp:posOffset>2823845</wp:posOffset>
            </wp:positionH>
            <wp:positionV relativeFrom="paragraph">
              <wp:posOffset>0</wp:posOffset>
            </wp:positionV>
            <wp:extent cx="2786380" cy="2922270"/>
            <wp:effectExtent l="0" t="0" r="0" b="0"/>
            <wp:wrapTight wrapText="bothSides">
              <wp:wrapPolygon edited="0">
                <wp:start x="0" y="0"/>
                <wp:lineTo x="0" y="21403"/>
                <wp:lineTo x="21413" y="21403"/>
                <wp:lineTo x="21413" y="0"/>
                <wp:lineTo x="0" y="0"/>
              </wp:wrapPolygon>
            </wp:wrapTight>
            <wp:docPr id="18" name="Picture 18" descr="C:\Users\Acer\Pictures\Screenshots\Screenshot 2025-02-23 222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Screenshots\Screenshot 2025-02-23 222007.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86380" cy="292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45F2">
        <w:rPr>
          <w:rFonts w:ascii="Arial Narrow" w:eastAsia="Times New Roman" w:hAnsi="Arial Narrow" w:cs="Times New Roman"/>
          <w:b/>
          <w:noProof/>
          <w:sz w:val="18"/>
          <w:szCs w:val="18"/>
          <w:lang w:val="en-US"/>
        </w:rPr>
        <mc:AlternateContent>
          <mc:Choice Requires="wps">
            <w:drawing>
              <wp:anchor distT="0" distB="0" distL="114300" distR="114300" simplePos="0" relativeHeight="251665408" behindDoc="0" locked="0" layoutInCell="1" allowOverlap="1" wp14:anchorId="04C507BE" wp14:editId="11129DA3">
                <wp:simplePos x="0" y="0"/>
                <wp:positionH relativeFrom="column">
                  <wp:posOffset>5092571</wp:posOffset>
                </wp:positionH>
                <wp:positionV relativeFrom="paragraph">
                  <wp:posOffset>144684</wp:posOffset>
                </wp:positionV>
                <wp:extent cx="344311" cy="242425"/>
                <wp:effectExtent l="0" t="0" r="17780" b="24765"/>
                <wp:wrapNone/>
                <wp:docPr id="4" name="Rectangle 4"/>
                <wp:cNvGraphicFramePr/>
                <a:graphic xmlns:a="http://schemas.openxmlformats.org/drawingml/2006/main">
                  <a:graphicData uri="http://schemas.microsoft.com/office/word/2010/wordprocessingShape">
                    <wps:wsp>
                      <wps:cNvSpPr/>
                      <wps:spPr>
                        <a:xfrm>
                          <a:off x="0" y="0"/>
                          <a:ext cx="344311" cy="2424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E67E126" w14:textId="77777777" w:rsidR="00E84D48" w:rsidRPr="00742CF8" w:rsidRDefault="00E84D48" w:rsidP="00E84D48">
                            <w:pPr>
                              <w:jc w:val="center"/>
                              <w:rPr>
                                <w:color w:val="FFFF00"/>
                                <w:lang w:val="en-US"/>
                              </w:rPr>
                            </w:pPr>
                            <w:r w:rsidRPr="00742CF8">
                              <w:rPr>
                                <w:color w:val="FFFF00"/>
                                <w:lang w:val="en-US"/>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C507BE" id="Rectangle 4" o:spid="_x0000_s1026" style="position:absolute;left:0;text-align:left;margin-left:401pt;margin-top:11.4pt;width:27.1pt;height:19.1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" fillcolor="#4472c4 [3204]" strokecolor="#1f3763 [1604]" strokeweight="1pt">
                <v:textbox>
                  <w:txbxContent>
                    <w:p w14:paraId="7E67E126" w14:textId="77777777" w:rsidR="00E84D48" w:rsidRPr="00742CF8" w:rsidRDefault="00E84D48" w:rsidP="00E84D48">
                      <w:pPr>
                        <w:jc w:val="center"/>
                        <w:rPr>
                          <w:color w:val="FFFF00"/>
                          <w:lang w:val="en-US"/>
                        </w:rPr>
                      </w:pPr>
                      <w:r w:rsidRPr="00742CF8">
                        <w:rPr>
                          <w:color w:val="FFFF00"/>
                          <w:lang w:val="en-US"/>
                        </w:rPr>
                        <w:t>B</w:t>
                      </w:r>
                    </w:p>
                  </w:txbxContent>
                </v:textbox>
              </v:rect>
            </w:pict>
          </mc:Fallback>
        </mc:AlternateContent>
      </w:r>
      <w:r w:rsidR="004F78B9" w:rsidRPr="00944E1C">
        <w:rPr>
          <w:rFonts w:ascii="Arial Narrow" w:eastAsia="Times New Roman" w:hAnsi="Arial Narrow" w:cs="Times New Roman"/>
          <w:b/>
          <w:bCs/>
          <w:noProof/>
          <w:sz w:val="18"/>
          <w:szCs w:val="18"/>
          <w:lang w:val="en-US"/>
        </w:rPr>
        <mc:AlternateContent>
          <mc:Choice Requires="wps">
            <w:drawing>
              <wp:anchor distT="0" distB="0" distL="114300" distR="114300" simplePos="0" relativeHeight="251661312" behindDoc="0" locked="0" layoutInCell="1" allowOverlap="1" wp14:anchorId="6CA5212C" wp14:editId="10DEDEBA">
                <wp:simplePos x="0" y="0"/>
                <wp:positionH relativeFrom="margin">
                  <wp:posOffset>2152891</wp:posOffset>
                </wp:positionH>
                <wp:positionV relativeFrom="paragraph">
                  <wp:posOffset>109454</wp:posOffset>
                </wp:positionV>
                <wp:extent cx="338243" cy="243069"/>
                <wp:effectExtent l="0" t="0" r="24130" b="24130"/>
                <wp:wrapNone/>
                <wp:docPr id="3" name="Rectangle 3"/>
                <wp:cNvGraphicFramePr/>
                <a:graphic xmlns:a="http://schemas.openxmlformats.org/drawingml/2006/main">
                  <a:graphicData uri="http://schemas.microsoft.com/office/word/2010/wordprocessingShape">
                    <wps:wsp>
                      <wps:cNvSpPr/>
                      <wps:spPr>
                        <a:xfrm>
                          <a:off x="0" y="0"/>
                          <a:ext cx="338243" cy="24306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D758FA2" w14:textId="77777777" w:rsidR="004F78B9" w:rsidRPr="003D142F" w:rsidRDefault="004F78B9" w:rsidP="004F78B9">
                            <w:pPr>
                              <w:jc w:val="center"/>
                              <w:rPr>
                                <w:lang w:val="en-US"/>
                              </w:rPr>
                            </w:pPr>
                            <w:r>
                              <w:rPr>
                                <w:lang w:val="en-US"/>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A5212C" id="Rectangle 3" o:spid="_x0000_s1027" style="position:absolute;left:0;text-align:left;margin-left:169.5pt;margin-top:8.6pt;width:26.65pt;height:19.1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" fillcolor="#4472c4 [3204]" strokecolor="#1f3763 [1604]" strokeweight="1pt">
                <v:textbox>
                  <w:txbxContent>
                    <w:p w14:paraId="6D758FA2" w14:textId="77777777" w:rsidR="004F78B9" w:rsidRPr="003D142F" w:rsidRDefault="004F78B9" w:rsidP="004F78B9">
                      <w:pPr>
                        <w:jc w:val="center"/>
                        <w:rPr>
                          <w:lang w:val="en-US"/>
                        </w:rPr>
                      </w:pPr>
                      <w:r>
                        <w:rPr>
                          <w:lang w:val="en-US"/>
                        </w:rPr>
                        <w:t>A</w:t>
                      </w:r>
                    </w:p>
                  </w:txbxContent>
                </v:textbox>
                <w10:wrap anchorx="margin"/>
              </v:rect>
            </w:pict>
          </mc:Fallback>
        </mc:AlternateContent>
      </w:r>
      <w:r w:rsidR="004F78B9" w:rsidRPr="00944E1C">
        <w:rPr>
          <w:rFonts w:ascii="Arial Narrow" w:eastAsia="Times New Roman" w:hAnsi="Arial Narrow" w:cs="Times New Roman"/>
          <w:b/>
          <w:bCs/>
          <w:noProof/>
          <w:sz w:val="18"/>
          <w:szCs w:val="18"/>
          <w:lang w:val="en-US"/>
        </w:rPr>
        <w:drawing>
          <wp:anchor distT="0" distB="0" distL="114300" distR="114300" simplePos="0" relativeHeight="251659264" behindDoc="1" locked="0" layoutInCell="1" allowOverlap="1" wp14:anchorId="48AEA8F8" wp14:editId="132CBA63">
            <wp:simplePos x="0" y="0"/>
            <wp:positionH relativeFrom="margin">
              <wp:align>left</wp:align>
            </wp:positionH>
            <wp:positionV relativeFrom="paragraph">
              <wp:posOffset>0</wp:posOffset>
            </wp:positionV>
            <wp:extent cx="2628900" cy="2933700"/>
            <wp:effectExtent l="0" t="0" r="0" b="0"/>
            <wp:wrapTight wrapText="bothSides">
              <wp:wrapPolygon edited="0">
                <wp:start x="0" y="0"/>
                <wp:lineTo x="0" y="21460"/>
                <wp:lineTo x="21443" y="21460"/>
                <wp:lineTo x="21443" y="0"/>
                <wp:lineTo x="0" y="0"/>
              </wp:wrapPolygon>
            </wp:wrapTight>
            <wp:docPr id="17" name="Picture 17" descr="C:\Users\Acer\Pictures\Screenshots\Screenshot 2025-02-23 2219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Screenshots\Screenshot 2025-02-23 22193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28900"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3CBF" w:rsidRPr="00843CBF">
        <w:rPr>
          <w:rFonts w:ascii="Times New Roman" w:hAnsi="Times New Roman" w:cs="Times New Roman"/>
          <w:b/>
          <w:bCs/>
          <w:sz w:val="24"/>
          <w:szCs w:val="24"/>
          <w:lang w:val="en-US"/>
        </w:rPr>
        <w:t>Fig 1</w:t>
      </w:r>
      <w:r w:rsidR="00843CBF" w:rsidRPr="00843CBF">
        <w:rPr>
          <w:rFonts w:ascii="Times New Roman" w:hAnsi="Times New Roman" w:cs="Times New Roman"/>
          <w:sz w:val="24"/>
          <w:szCs w:val="24"/>
          <w:lang w:val="en-US"/>
        </w:rPr>
        <w:t xml:space="preserve"> - Sampling sites location A) Site-1 N4 beach B) Site-2 Pulicat lake</w:t>
      </w:r>
      <w:commentRangeEnd w:id="2"/>
      <w:r w:rsidR="00892D03">
        <w:rPr>
          <w:rStyle w:val="CommentReference"/>
        </w:rPr>
        <w:commentReference w:id="2"/>
      </w:r>
    </w:p>
    <w:p w14:paraId="6DC3E7AA" w14:textId="77777777" w:rsidR="00082664" w:rsidRDefault="00082664" w:rsidP="008F573F">
      <w:pPr>
        <w:spacing w:line="360" w:lineRule="auto"/>
        <w:jc w:val="center"/>
        <w:rPr>
          <w:rFonts w:ascii="Times New Roman" w:hAnsi="Times New Roman" w:cs="Times New Roman"/>
          <w:sz w:val="24"/>
          <w:szCs w:val="24"/>
          <w:lang w:val="en-US"/>
        </w:rPr>
      </w:pPr>
    </w:p>
    <w:p w14:paraId="64420F1E" w14:textId="6494EB7D" w:rsid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b/>
          <w:bCs/>
        </w:rPr>
        <w:t>Acetylcholinesterase activity (AChE)</w:t>
      </w:r>
      <w:r w:rsidR="00211676">
        <w:rPr>
          <w:rFonts w:ascii="Times New Roman" w:hAnsi="Times New Roman" w:cs="Times New Roman"/>
        </w:rPr>
        <w:t>:</w:t>
      </w:r>
    </w:p>
    <w:p w14:paraId="642C20E6" w14:textId="5DF287AC"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AChE activity was measured using acetylthiocholine iodide (ATCh) and 5,5'-dithiobis (2-nitrobenzoic acid) (DTNB) with slight modifications of established Ellman </w:t>
      </w:r>
      <w:r w:rsidRPr="003F750D">
        <w:rPr>
          <w:rFonts w:ascii="Times New Roman" w:hAnsi="Times New Roman" w:cs="Times New Roman"/>
          <w:i/>
          <w:iCs/>
        </w:rPr>
        <w:t xml:space="preserve">et al </w:t>
      </w:r>
      <w:r w:rsidRPr="003F750D">
        <w:rPr>
          <w:rFonts w:ascii="Times New Roman" w:hAnsi="Times New Roman" w:cs="Times New Roman"/>
        </w:rPr>
        <w:t xml:space="preserve">method (Ellman </w:t>
      </w:r>
      <w:r w:rsidRPr="003F750D">
        <w:rPr>
          <w:rFonts w:ascii="Times New Roman" w:hAnsi="Times New Roman" w:cs="Times New Roman"/>
          <w:i/>
          <w:iCs/>
        </w:rPr>
        <w:t>et al</w:t>
      </w:r>
      <w:r w:rsidRPr="003F750D">
        <w:rPr>
          <w:rFonts w:ascii="Times New Roman" w:hAnsi="Times New Roman" w:cs="Times New Roman"/>
        </w:rPr>
        <w:t xml:space="preserve">.,1961). The reaction mixture was formed by adding 0.3ml of DTNB solution (0.01M) into a 3ml cuvette, followed by 0.1ml of substrate (Acetylthiocholine iodide, 0.075M) and 0.1ml of gill tissue extract (enzyme source) of the green mussels. The final volume was made up to 3ml with phosphate buffer (0.1M, pH 7.4) and incubated at 37˚C for 5-10 minutes. The total AChE enzymatic activity was then evaluated using ATCh against a blank (without adding the enzyme (gill extract) for 5 minutes at an absorbance of 412nm in a spectrophotometer to track the reaction kinetics. The enzymatic activity in the gill extract was adjusted to total protein, and AChE activity was determined using Ellman's method and reported as U/ml [enzyme activity per total reaction volume]. </w:t>
      </w:r>
    </w:p>
    <w:p w14:paraId="0BF6F84A" w14:textId="77777777" w:rsidR="005D25A4" w:rsidRPr="003F750D" w:rsidRDefault="005D25A4" w:rsidP="003F750D">
      <w:pPr>
        <w:pStyle w:val="Default"/>
        <w:spacing w:line="360" w:lineRule="auto"/>
        <w:jc w:val="both"/>
        <w:rPr>
          <w:rFonts w:ascii="Times New Roman" w:hAnsi="Times New Roman" w:cs="Times New Roman"/>
        </w:rPr>
      </w:pPr>
    </w:p>
    <w:p w14:paraId="66411F99" w14:textId="77777777" w:rsidR="00211676" w:rsidRDefault="005D25A4" w:rsidP="003F750D">
      <w:pPr>
        <w:pStyle w:val="Default"/>
        <w:spacing w:line="360" w:lineRule="auto"/>
        <w:jc w:val="both"/>
        <w:rPr>
          <w:rFonts w:ascii="Times New Roman" w:hAnsi="Times New Roman" w:cs="Times New Roman"/>
          <w:b/>
          <w:bCs/>
          <w:i/>
        </w:rPr>
      </w:pPr>
      <w:r w:rsidRPr="003F750D">
        <w:rPr>
          <w:rFonts w:ascii="Times New Roman" w:hAnsi="Times New Roman" w:cs="Times New Roman"/>
          <w:b/>
          <w:bCs/>
        </w:rPr>
        <w:t>Haemolymph clotting time:</w:t>
      </w:r>
      <w:r w:rsidRPr="003F750D">
        <w:rPr>
          <w:rFonts w:ascii="Times New Roman" w:hAnsi="Times New Roman" w:cs="Times New Roman"/>
          <w:b/>
          <w:bCs/>
          <w:i/>
        </w:rPr>
        <w:t xml:space="preserve"> </w:t>
      </w:r>
    </w:p>
    <w:p w14:paraId="1C9FF578" w14:textId="401AFBF8"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The haemolymph was obtained from the posterior adductor muscle of the green mussel using a 1ml syringe without anti-coagulant, where 0.2ml of haemolymph from each animal were transferred to ice-cold vials. From this 25μl of haemolymph was made to pass through the </w:t>
      </w:r>
      <w:r w:rsidRPr="003F750D">
        <w:rPr>
          <w:rFonts w:ascii="Times New Roman" w:hAnsi="Times New Roman" w:cs="Times New Roman"/>
        </w:rPr>
        <w:lastRenderedPageBreak/>
        <w:t xml:space="preserve">microcapillary tube. The capillary tube was turned vertical at the top end, and time was recorded. The vertical position was maintained till the haemolymph touches the bottom end of the tube. The tube was again inverted until the haemolymph clotted, and the time was noted. </w:t>
      </w:r>
    </w:p>
    <w:p w14:paraId="3F98B41E" w14:textId="77777777" w:rsidR="005D25A4" w:rsidRPr="003F750D" w:rsidRDefault="005D25A4" w:rsidP="003F750D">
      <w:pPr>
        <w:pStyle w:val="Default"/>
        <w:spacing w:line="360" w:lineRule="auto"/>
        <w:jc w:val="both"/>
        <w:rPr>
          <w:rFonts w:ascii="Times New Roman" w:hAnsi="Times New Roman" w:cs="Times New Roman"/>
          <w:b/>
          <w:bCs/>
        </w:rPr>
      </w:pPr>
    </w:p>
    <w:p w14:paraId="1FE5B922"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Total haemocyte count [THC]: </w:t>
      </w:r>
    </w:p>
    <w:p w14:paraId="6042AD3A" w14:textId="051C0B2F"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 xml:space="preserve">To measure total haemocyte count, 200μl of haemolymph from each animal was collected and fixed with 4% formaldehyde at a 1:1 ratio. Cells were counted in triplicate samples in the Neubauer chamber of the haemocytometer at 40X magnification using a binocular microscope. </w:t>
      </w:r>
    </w:p>
    <w:p w14:paraId="78FC6B19" w14:textId="77777777" w:rsidR="005D25A4" w:rsidRPr="003F750D" w:rsidRDefault="005D25A4" w:rsidP="003F750D">
      <w:pPr>
        <w:pStyle w:val="Default"/>
        <w:spacing w:line="360" w:lineRule="auto"/>
        <w:jc w:val="both"/>
        <w:rPr>
          <w:rFonts w:ascii="Times New Roman" w:hAnsi="Times New Roman" w:cs="Times New Roman"/>
        </w:rPr>
      </w:pPr>
    </w:p>
    <w:p w14:paraId="41201208"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Estimation of protein: </w:t>
      </w:r>
    </w:p>
    <w:p w14:paraId="06A5A6E8" w14:textId="4AFC0386" w:rsidR="005D25A4" w:rsidRPr="003F750D"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Protein estimation was performed using the Lowry et al. method (Lowry et al., 1951) in the gills and posterior adductor muscle of green mussels collected from both sites. An alkaline copper reagent was prepared by adding 2% sodium carbonate (50 ml) in 0.1N sodium hydroxide with 1ml each of 0.5% copper sulphate solution and 1% sodium potassium tartrate. Before use, the Folin-Ciocalteu reagent was diluted with distilled water in 1:1. 100mg of sample was then homogenized with 10ml of 1N sodium hydroxide.  It was centrifuged at 3000rpm for 10 minutes, from which 1ml of the supernatant was mixed with 5ml of alkaline copper reagent followed by incubation at 25</w:t>
      </w:r>
      <w:r w:rsidRPr="003F750D">
        <w:rPr>
          <w:rFonts w:ascii="Times New Roman" w:hAnsi="Times New Roman" w:cs="Times New Roman"/>
          <w:vertAlign w:val="superscript"/>
        </w:rPr>
        <w:t>0</w:t>
      </w:r>
      <w:r w:rsidRPr="003F750D">
        <w:rPr>
          <w:rFonts w:ascii="Times New Roman" w:hAnsi="Times New Roman" w:cs="Times New Roman"/>
        </w:rPr>
        <w:t xml:space="preserve"> C for 10 minutes. Subsequently, 0.5ml of the diluted Folin-Ciocalteu reagent was added, and the mixture was incubated in the dark for 30 minutes. Absorbance was measured at 550nm with a UV-Visible spectrophotometer. Protein concentration wasquantified using Bovine Serum Albumin as standard (10-100μg/mL). </w:t>
      </w:r>
    </w:p>
    <w:p w14:paraId="1C00B979" w14:textId="77777777" w:rsidR="005D25A4" w:rsidRPr="003F750D" w:rsidRDefault="005D25A4" w:rsidP="003F750D">
      <w:pPr>
        <w:pStyle w:val="Default"/>
        <w:spacing w:line="360" w:lineRule="auto"/>
        <w:jc w:val="both"/>
        <w:rPr>
          <w:rFonts w:ascii="Times New Roman" w:hAnsi="Times New Roman" w:cs="Times New Roman"/>
        </w:rPr>
      </w:pPr>
    </w:p>
    <w:p w14:paraId="4336270A" w14:textId="77777777" w:rsidR="00211676" w:rsidRDefault="005D25A4" w:rsidP="003F750D">
      <w:pPr>
        <w:pStyle w:val="Default"/>
        <w:spacing w:line="360" w:lineRule="auto"/>
        <w:jc w:val="both"/>
        <w:rPr>
          <w:rFonts w:ascii="Times New Roman" w:hAnsi="Times New Roman" w:cs="Times New Roman"/>
          <w:b/>
          <w:bCs/>
        </w:rPr>
      </w:pPr>
      <w:r w:rsidRPr="003F750D">
        <w:rPr>
          <w:rFonts w:ascii="Times New Roman" w:hAnsi="Times New Roman" w:cs="Times New Roman"/>
          <w:b/>
          <w:bCs/>
        </w:rPr>
        <w:t xml:space="preserve">Statistical analysis: </w:t>
      </w:r>
    </w:p>
    <w:p w14:paraId="67E1A5EA" w14:textId="38C8E4B5" w:rsidR="00603E66" w:rsidRDefault="005D25A4" w:rsidP="003F750D">
      <w:pPr>
        <w:pStyle w:val="Default"/>
        <w:spacing w:line="360" w:lineRule="auto"/>
        <w:jc w:val="both"/>
        <w:rPr>
          <w:rFonts w:ascii="Times New Roman" w:hAnsi="Times New Roman" w:cs="Times New Roman"/>
        </w:rPr>
      </w:pPr>
      <w:r w:rsidRPr="003F750D">
        <w:rPr>
          <w:rFonts w:ascii="Times New Roman" w:hAnsi="Times New Roman" w:cs="Times New Roman"/>
        </w:rPr>
        <w:t>The differences in microplastics quantification and their impacts on neurophysiological biomarker, immunological parameters, and protein estimation between mussels from Sites 1 and 2 were analysed using IBM SPSS Statistical Version 30.0 (172) (IBM Corporation, 1989, 2024). One-tail t-test was used to examine the statistical difference in average microplastic accumulation in green mussels between the two sites.</w:t>
      </w:r>
    </w:p>
    <w:p w14:paraId="5BEAE9E2" w14:textId="77777777" w:rsidR="00603E66" w:rsidRDefault="00603E66" w:rsidP="003F750D">
      <w:pPr>
        <w:pStyle w:val="Default"/>
        <w:spacing w:line="360" w:lineRule="auto"/>
        <w:jc w:val="both"/>
        <w:rPr>
          <w:rFonts w:ascii="Times New Roman" w:hAnsi="Times New Roman" w:cs="Times New Roman"/>
        </w:rPr>
      </w:pPr>
    </w:p>
    <w:p w14:paraId="49F478F2" w14:textId="56853108" w:rsidR="00B76BA7" w:rsidRDefault="00DF6E70"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RESULTS</w:t>
      </w:r>
    </w:p>
    <w:p w14:paraId="6949177C" w14:textId="77777777" w:rsidR="00082664" w:rsidRDefault="00082664" w:rsidP="00DF6E70">
      <w:pPr>
        <w:pStyle w:val="Default"/>
        <w:spacing w:line="360" w:lineRule="auto"/>
        <w:jc w:val="both"/>
        <w:rPr>
          <w:rFonts w:ascii="Times New Roman" w:hAnsi="Times New Roman" w:cs="Times New Roman"/>
          <w:b/>
          <w:bCs/>
        </w:rPr>
      </w:pPr>
    </w:p>
    <w:p w14:paraId="722641F2" w14:textId="5F8454F5" w:rsidR="00DF6E70" w:rsidRPr="00DF6E70" w:rsidRDefault="00603E66" w:rsidP="00DF6E70">
      <w:pPr>
        <w:pStyle w:val="Default"/>
        <w:spacing w:line="360" w:lineRule="auto"/>
        <w:jc w:val="both"/>
        <w:rPr>
          <w:rFonts w:ascii="Times New Roman" w:hAnsi="Times New Roman" w:cs="Times New Roman"/>
          <w:b/>
          <w:bCs/>
        </w:rPr>
      </w:pPr>
      <w:r w:rsidRPr="00DF6E70">
        <w:rPr>
          <w:rFonts w:ascii="Times New Roman" w:hAnsi="Times New Roman" w:cs="Times New Roman"/>
          <w:b/>
          <w:bCs/>
        </w:rPr>
        <w:t>Acetylcholinesterase (</w:t>
      </w:r>
      <w:r w:rsidR="00A24E1A">
        <w:rPr>
          <w:rFonts w:ascii="Times New Roman" w:hAnsi="Times New Roman" w:cs="Times New Roman"/>
          <w:b/>
          <w:bCs/>
        </w:rPr>
        <w:t>AC</w:t>
      </w:r>
      <w:r w:rsidRPr="00DF6E70">
        <w:rPr>
          <w:rFonts w:ascii="Times New Roman" w:hAnsi="Times New Roman" w:cs="Times New Roman"/>
          <w:b/>
          <w:bCs/>
        </w:rPr>
        <w:t>h</w:t>
      </w:r>
      <w:r w:rsidR="00A24E1A">
        <w:rPr>
          <w:rFonts w:ascii="Times New Roman" w:hAnsi="Times New Roman" w:cs="Times New Roman"/>
          <w:b/>
          <w:bCs/>
        </w:rPr>
        <w:t>E</w:t>
      </w:r>
      <w:r w:rsidRPr="00DF6E70">
        <w:rPr>
          <w:rFonts w:ascii="Times New Roman" w:hAnsi="Times New Roman" w:cs="Times New Roman"/>
          <w:b/>
          <w:bCs/>
        </w:rPr>
        <w:t>) activity</w:t>
      </w:r>
      <w:r>
        <w:rPr>
          <w:rFonts w:ascii="Times New Roman" w:hAnsi="Times New Roman" w:cs="Times New Roman"/>
          <w:b/>
          <w:bCs/>
        </w:rPr>
        <w:t xml:space="preserve"> </w:t>
      </w:r>
      <w:r w:rsidR="00A24E1A">
        <w:rPr>
          <w:rFonts w:ascii="Times New Roman" w:hAnsi="Times New Roman" w:cs="Times New Roman"/>
          <w:b/>
          <w:bCs/>
        </w:rPr>
        <w:t>– Neurophysiological biomarker</w:t>
      </w:r>
    </w:p>
    <w:p w14:paraId="40BCC7B7" w14:textId="77777777" w:rsidR="00DF6E70" w:rsidRDefault="00DF6E70" w:rsidP="00DF6E70">
      <w:pPr>
        <w:pStyle w:val="Default"/>
        <w:spacing w:line="360" w:lineRule="auto"/>
        <w:jc w:val="both"/>
        <w:rPr>
          <w:rFonts w:ascii="Times New Roman" w:hAnsi="Times New Roman" w:cs="Times New Roman"/>
        </w:rPr>
      </w:pPr>
      <w:r w:rsidRPr="00DF6E70">
        <w:rPr>
          <w:rFonts w:ascii="Times New Roman" w:hAnsi="Times New Roman" w:cs="Times New Roman"/>
        </w:rPr>
        <w:t xml:space="preserve">Acetylcholinesterase (AChE) activity was assessed in the gill tissues of green mussels from both sites using the Ellman et al. method. A significant difference (p &lt; 0.05) was observed </w:t>
      </w:r>
      <w:r w:rsidRPr="00DF6E70">
        <w:rPr>
          <w:rFonts w:ascii="Times New Roman" w:hAnsi="Times New Roman" w:cs="Times New Roman"/>
        </w:rPr>
        <w:lastRenderedPageBreak/>
        <w:t>between Site-1 and Site-2 mussels (Fig. 2). The AChE activity in Site-1 mussels was recorded as 1.9575 ± 0.122 U/ml, whereas Site-2 mussels exhibited a higher activity of 2.285 ± 0.40 U/ml (Table 1).</w:t>
      </w:r>
    </w:p>
    <w:p w14:paraId="5008FAD5" w14:textId="3E5D485E" w:rsidR="009E0E52" w:rsidRPr="00680256" w:rsidRDefault="009E0E52" w:rsidP="00680256">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val="en-US"/>
        </w:rPr>
        <w:drawing>
          <wp:anchor distT="0" distB="0" distL="114300" distR="114300" simplePos="0" relativeHeight="251667456" behindDoc="1" locked="0" layoutInCell="1" allowOverlap="1" wp14:anchorId="08EE7459" wp14:editId="43EC1DE6">
            <wp:simplePos x="0" y="0"/>
            <wp:positionH relativeFrom="margin">
              <wp:posOffset>0</wp:posOffset>
            </wp:positionH>
            <wp:positionV relativeFrom="paragraph">
              <wp:posOffset>259715</wp:posOffset>
            </wp:positionV>
            <wp:extent cx="5669280" cy="1965960"/>
            <wp:effectExtent l="0" t="0" r="7620" b="15240"/>
            <wp:wrapSquare wrapText="bothSides"/>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2B79AB6E" w14:textId="77777777" w:rsidR="00154852" w:rsidRDefault="00154852" w:rsidP="00680256">
      <w:pPr>
        <w:spacing w:line="240" w:lineRule="auto"/>
        <w:jc w:val="center"/>
        <w:rPr>
          <w:rFonts w:ascii="Times New Roman" w:hAnsi="Times New Roman" w:cs="Times New Roman"/>
          <w:iCs/>
          <w:sz w:val="24"/>
          <w:szCs w:val="24"/>
        </w:rPr>
      </w:pPr>
    </w:p>
    <w:p w14:paraId="0D24057D" w14:textId="6703E071" w:rsidR="00680256" w:rsidRPr="00680256" w:rsidRDefault="00680256" w:rsidP="00680256">
      <w:pPr>
        <w:spacing w:line="240" w:lineRule="auto"/>
        <w:jc w:val="center"/>
        <w:rPr>
          <w:rFonts w:ascii="Times New Roman" w:hAnsi="Times New Roman" w:cs="Times New Roman"/>
          <w:b/>
          <w:i/>
          <w:sz w:val="24"/>
          <w:szCs w:val="24"/>
          <w:lang w:val="en-US"/>
        </w:rPr>
      </w:pPr>
      <w:r w:rsidRPr="00680256">
        <w:rPr>
          <w:rFonts w:ascii="Times New Roman" w:hAnsi="Times New Roman" w:cs="Times New Roman"/>
          <w:bCs/>
          <w:sz w:val="24"/>
          <w:szCs w:val="24"/>
        </w:rPr>
        <w:t>Site-1 represent N4 Beach and Site-2 Pulicat Lake</w:t>
      </w:r>
    </w:p>
    <w:p w14:paraId="52AE56D3" w14:textId="77777777" w:rsidR="00F97A0E" w:rsidRPr="00F97A0E" w:rsidRDefault="00F97A0E" w:rsidP="00F97A0E">
      <w:pPr>
        <w:spacing w:line="240" w:lineRule="auto"/>
        <w:jc w:val="center"/>
        <w:rPr>
          <w:rFonts w:ascii="Times New Roman" w:hAnsi="Times New Roman" w:cs="Times New Roman"/>
          <w:iCs/>
          <w:sz w:val="24"/>
          <w:szCs w:val="24"/>
        </w:rPr>
      </w:pPr>
      <w:r w:rsidRPr="00F97A0E">
        <w:rPr>
          <w:rFonts w:ascii="Times New Roman" w:eastAsia="Times New Roman" w:hAnsi="Times New Roman" w:cs="Times New Roman"/>
          <w:b/>
          <w:sz w:val="24"/>
          <w:szCs w:val="24"/>
          <w:lang w:eastAsia="en-IN"/>
        </w:rPr>
        <w:t xml:space="preserve">Fig. 2: </w:t>
      </w:r>
      <w:r w:rsidRPr="00F97A0E">
        <w:rPr>
          <w:rFonts w:ascii="Times New Roman" w:hAnsi="Times New Roman" w:cs="Times New Roman"/>
          <w:sz w:val="24"/>
          <w:szCs w:val="24"/>
          <w:lang w:val="en-US"/>
        </w:rPr>
        <w:t>Acetylcholinesterase activity (AChE) in gills of</w:t>
      </w:r>
      <w:r w:rsidRPr="00F97A0E">
        <w:rPr>
          <w:rFonts w:ascii="Times New Roman" w:eastAsia="Times New Roman" w:hAnsi="Times New Roman" w:cs="Times New Roman"/>
          <w:sz w:val="24"/>
          <w:szCs w:val="24"/>
          <w:lang w:eastAsia="en-IN"/>
        </w:rPr>
        <w:t xml:space="preserve"> green mussels</w:t>
      </w:r>
      <w:r w:rsidRPr="00F97A0E">
        <w:rPr>
          <w:rFonts w:ascii="Times New Roman" w:hAnsi="Times New Roman" w:cs="Times New Roman"/>
          <w:sz w:val="24"/>
          <w:szCs w:val="24"/>
          <w:lang w:val="en-US"/>
        </w:rPr>
        <w:t xml:space="preserve"> </w:t>
      </w:r>
    </w:p>
    <w:p w14:paraId="2003B0B0" w14:textId="77777777" w:rsidR="009E0E52" w:rsidRDefault="009E0E52" w:rsidP="00BB7262">
      <w:pPr>
        <w:spacing w:line="240" w:lineRule="auto"/>
        <w:rPr>
          <w:rFonts w:ascii="Times New Roman" w:hAnsi="Times New Roman" w:cs="Times New Roman"/>
          <w:b/>
          <w:sz w:val="24"/>
          <w:szCs w:val="24"/>
          <w:lang w:val="en-US"/>
        </w:rPr>
      </w:pPr>
    </w:p>
    <w:p w14:paraId="34438A18" w14:textId="77777777" w:rsidR="00507C02" w:rsidRPr="00507C02" w:rsidRDefault="00507C02" w:rsidP="00507C02">
      <w:pPr>
        <w:spacing w:line="240" w:lineRule="auto"/>
        <w:rPr>
          <w:rFonts w:ascii="Times New Roman" w:hAnsi="Times New Roman" w:cs="Times New Roman"/>
          <w:b/>
          <w:bCs/>
          <w:sz w:val="24"/>
          <w:szCs w:val="24"/>
        </w:rPr>
      </w:pPr>
      <w:r w:rsidRPr="00507C02">
        <w:rPr>
          <w:rFonts w:ascii="Times New Roman" w:hAnsi="Times New Roman" w:cs="Times New Roman"/>
          <w:b/>
          <w:bCs/>
          <w:sz w:val="24"/>
          <w:szCs w:val="24"/>
        </w:rPr>
        <w:t>Haemolymph Clotting Time</w:t>
      </w:r>
    </w:p>
    <w:p w14:paraId="023F868D" w14:textId="20C56AC1" w:rsidR="00680256" w:rsidRDefault="00507C02" w:rsidP="00507C02">
      <w:pPr>
        <w:spacing w:line="360" w:lineRule="auto"/>
        <w:jc w:val="both"/>
        <w:rPr>
          <w:rFonts w:ascii="Times New Roman" w:hAnsi="Times New Roman" w:cs="Times New Roman"/>
          <w:bCs/>
          <w:sz w:val="24"/>
          <w:szCs w:val="24"/>
        </w:rPr>
      </w:pPr>
      <w:r w:rsidRPr="00507C02">
        <w:rPr>
          <w:rFonts w:ascii="Times New Roman" w:hAnsi="Times New Roman" w:cs="Times New Roman"/>
          <w:bCs/>
          <w:sz w:val="24"/>
          <w:szCs w:val="24"/>
        </w:rPr>
        <w:t>The clotting time of haemolymph collected from the posterior adductor muscle of green mussels showed a significant difference (p &lt; 0.05) between the two sites (Fig. 3). Mussels from Site-1 exhibited a clotting time of 14.98 ± 1.38 minutes, while those from Site-2 showed a shorter clotting time of 11.14 ± 0.65 minutes (Table 1).</w:t>
      </w:r>
    </w:p>
    <w:p w14:paraId="5554B144" w14:textId="78BB7663" w:rsidR="00F97A0E" w:rsidRDefault="001D69D5" w:rsidP="00507C02">
      <w:pPr>
        <w:spacing w:line="360" w:lineRule="auto"/>
        <w:jc w:val="both"/>
        <w:rPr>
          <w:rFonts w:ascii="Times New Roman" w:hAnsi="Times New Roman" w:cs="Times New Roman"/>
          <w:bCs/>
          <w:sz w:val="24"/>
          <w:szCs w:val="24"/>
        </w:rPr>
      </w:pPr>
      <w:r w:rsidRPr="008445F2">
        <w:rPr>
          <w:rFonts w:ascii="Arial Narrow" w:eastAsia="Times New Roman" w:hAnsi="Arial Narrow" w:cs="Times New Roman"/>
          <w:noProof/>
          <w:sz w:val="18"/>
          <w:szCs w:val="18"/>
          <w:lang w:val="en-US"/>
        </w:rPr>
        <w:drawing>
          <wp:anchor distT="0" distB="0" distL="114300" distR="114300" simplePos="0" relativeHeight="251669504" behindDoc="1" locked="0" layoutInCell="1" allowOverlap="1" wp14:anchorId="4AB9B118" wp14:editId="50CBCCBF">
            <wp:simplePos x="0" y="0"/>
            <wp:positionH relativeFrom="margin">
              <wp:posOffset>0</wp:posOffset>
            </wp:positionH>
            <wp:positionV relativeFrom="paragraph">
              <wp:posOffset>363855</wp:posOffset>
            </wp:positionV>
            <wp:extent cx="5716905" cy="1775460"/>
            <wp:effectExtent l="0" t="0" r="17145" b="15240"/>
            <wp:wrapTight wrapText="bothSides">
              <wp:wrapPolygon edited="0">
                <wp:start x="0" y="0"/>
                <wp:lineTo x="0" y="21554"/>
                <wp:lineTo x="21593" y="21554"/>
                <wp:lineTo x="21593" y="0"/>
                <wp:lineTo x="0" y="0"/>
              </wp:wrapPolygon>
            </wp:wrapTight>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p>
    <w:p w14:paraId="009226CB" w14:textId="5AE72B56" w:rsidR="00154852" w:rsidRPr="00154852" w:rsidRDefault="00154852" w:rsidP="00154852">
      <w:pPr>
        <w:spacing w:line="240" w:lineRule="auto"/>
        <w:jc w:val="center"/>
        <w:rPr>
          <w:rFonts w:ascii="Times New Roman" w:hAnsi="Times New Roman" w:cs="Times New Roman"/>
          <w:sz w:val="24"/>
          <w:szCs w:val="24"/>
          <w:lang w:val="en-US"/>
        </w:rPr>
      </w:pPr>
      <w:r w:rsidRPr="00154852">
        <w:rPr>
          <w:rFonts w:ascii="Times New Roman" w:hAnsi="Times New Roman" w:cs="Times New Roman"/>
          <w:bCs/>
          <w:sz w:val="24"/>
          <w:szCs w:val="24"/>
        </w:rPr>
        <w:t xml:space="preserve">Site-1 </w:t>
      </w:r>
      <w:r w:rsidRPr="00154852">
        <w:rPr>
          <w:rFonts w:ascii="Times New Roman" w:eastAsia="Times New Roman" w:hAnsi="Times New Roman" w:cs="Times New Roman"/>
          <w:noProof/>
          <w:sz w:val="24"/>
          <w:szCs w:val="24"/>
          <w:lang w:eastAsia="en-IN"/>
        </w:rPr>
        <w:t xml:space="preserve">represent </w:t>
      </w:r>
      <w:r w:rsidRPr="00154852">
        <w:rPr>
          <w:rFonts w:ascii="Times New Roman" w:hAnsi="Times New Roman" w:cs="Times New Roman"/>
          <w:bCs/>
          <w:sz w:val="24"/>
          <w:szCs w:val="24"/>
        </w:rPr>
        <w:t>N4 Beach and Site-2 Pulicat Lake</w:t>
      </w:r>
    </w:p>
    <w:p w14:paraId="01E6EC7A" w14:textId="2F6FF79B" w:rsidR="00154852" w:rsidRPr="00154852" w:rsidRDefault="00154852" w:rsidP="00154852">
      <w:pPr>
        <w:spacing w:line="240" w:lineRule="auto"/>
        <w:jc w:val="center"/>
        <w:rPr>
          <w:rFonts w:ascii="Times New Roman" w:hAnsi="Times New Roman" w:cs="Times New Roman"/>
          <w:sz w:val="24"/>
          <w:szCs w:val="24"/>
        </w:rPr>
      </w:pPr>
      <w:r w:rsidRPr="00154852">
        <w:rPr>
          <w:rFonts w:ascii="Times New Roman" w:hAnsi="Times New Roman" w:cs="Times New Roman"/>
          <w:b/>
          <w:sz w:val="24"/>
          <w:szCs w:val="24"/>
        </w:rPr>
        <w:t xml:space="preserve">Fig. 3: </w:t>
      </w:r>
      <w:r w:rsidRPr="00154852">
        <w:rPr>
          <w:rFonts w:ascii="Times New Roman" w:eastAsia="Times New Roman" w:hAnsi="Times New Roman" w:cs="Times New Roman"/>
          <w:sz w:val="24"/>
          <w:szCs w:val="24"/>
          <w:lang w:eastAsia="en-IN"/>
        </w:rPr>
        <w:t>Clotting time</w:t>
      </w:r>
      <w:r w:rsidRPr="00154852">
        <w:rPr>
          <w:rFonts w:ascii="Times New Roman" w:hAnsi="Times New Roman" w:cs="Times New Roman"/>
          <w:sz w:val="24"/>
          <w:szCs w:val="24"/>
          <w:lang w:val="en-US"/>
        </w:rPr>
        <w:t xml:space="preserve"> </w:t>
      </w:r>
      <w:r w:rsidRPr="00154852">
        <w:rPr>
          <w:rFonts w:ascii="Times New Roman" w:hAnsi="Times New Roman" w:cs="Times New Roman"/>
          <w:sz w:val="24"/>
          <w:szCs w:val="24"/>
        </w:rPr>
        <w:t>in green mussels</w:t>
      </w:r>
    </w:p>
    <w:p w14:paraId="32717E25" w14:textId="77777777" w:rsidR="00F57575" w:rsidRDefault="00F57575" w:rsidP="00F57575">
      <w:pPr>
        <w:spacing w:line="360" w:lineRule="auto"/>
        <w:jc w:val="both"/>
        <w:rPr>
          <w:rFonts w:ascii="Times New Roman" w:hAnsi="Times New Roman" w:cs="Times New Roman"/>
          <w:b/>
          <w:bCs/>
          <w:sz w:val="24"/>
          <w:szCs w:val="24"/>
        </w:rPr>
      </w:pPr>
    </w:p>
    <w:p w14:paraId="39D69505" w14:textId="7261F143" w:rsidR="00F57575" w:rsidRPr="00F57575" w:rsidRDefault="00F57575" w:rsidP="00F57575">
      <w:pPr>
        <w:spacing w:line="360" w:lineRule="auto"/>
        <w:jc w:val="both"/>
        <w:rPr>
          <w:rFonts w:ascii="Times New Roman" w:hAnsi="Times New Roman" w:cs="Times New Roman"/>
          <w:b/>
          <w:bCs/>
          <w:sz w:val="24"/>
          <w:szCs w:val="24"/>
        </w:rPr>
      </w:pPr>
      <w:r w:rsidRPr="00F57575">
        <w:rPr>
          <w:rFonts w:ascii="Times New Roman" w:hAnsi="Times New Roman" w:cs="Times New Roman"/>
          <w:b/>
          <w:bCs/>
          <w:sz w:val="24"/>
          <w:szCs w:val="24"/>
        </w:rPr>
        <w:lastRenderedPageBreak/>
        <w:t>Total Haemocyte Count (THC)</w:t>
      </w:r>
    </w:p>
    <w:p w14:paraId="781FAAD8" w14:textId="77777777" w:rsidR="00F57575" w:rsidRPr="00F57575" w:rsidRDefault="00F57575" w:rsidP="00F57575">
      <w:pPr>
        <w:spacing w:line="360" w:lineRule="auto"/>
        <w:jc w:val="both"/>
        <w:rPr>
          <w:rFonts w:ascii="Times New Roman" w:hAnsi="Times New Roman" w:cs="Times New Roman"/>
          <w:bCs/>
          <w:sz w:val="24"/>
          <w:szCs w:val="24"/>
        </w:rPr>
      </w:pPr>
      <w:r w:rsidRPr="00F57575">
        <w:rPr>
          <w:rFonts w:ascii="Times New Roman" w:hAnsi="Times New Roman" w:cs="Times New Roman"/>
          <w:bCs/>
          <w:sz w:val="24"/>
          <w:szCs w:val="24"/>
        </w:rPr>
        <w:t>Total haemocyte count (THC) was determined using the Neubauer chamber. Site-1 mussels showed an average THC of 1.17 × 10⁵ ± 0.087 haemocytes, whereas Site-2 mussels exhibited a higher count of 1.515 × 10⁵ ± 0.15 haemocytes. The difference between the two sites was statistically significant (p &lt; 0.05) (Fig. 4).</w:t>
      </w:r>
    </w:p>
    <w:p w14:paraId="3A828879" w14:textId="3A9D8BAC" w:rsidR="00507C02" w:rsidRDefault="00D04BC7" w:rsidP="00507C02">
      <w:pPr>
        <w:spacing w:line="360" w:lineRule="auto"/>
        <w:jc w:val="both"/>
        <w:rPr>
          <w:rFonts w:ascii="Times New Roman" w:hAnsi="Times New Roman" w:cs="Times New Roman"/>
          <w:bCs/>
          <w:sz w:val="24"/>
          <w:szCs w:val="24"/>
        </w:rPr>
      </w:pPr>
      <w:r w:rsidRPr="008445F2">
        <w:rPr>
          <w:rFonts w:ascii="Arial Narrow" w:hAnsi="Arial Narrow" w:cs="Times New Roman"/>
          <w:noProof/>
          <w:sz w:val="18"/>
          <w:szCs w:val="18"/>
          <w:lang w:val="en-US"/>
        </w:rPr>
        <w:drawing>
          <wp:anchor distT="0" distB="0" distL="114300" distR="114300" simplePos="0" relativeHeight="251671552" behindDoc="0" locked="0" layoutInCell="1" allowOverlap="1" wp14:anchorId="49041249" wp14:editId="53073D30">
            <wp:simplePos x="0" y="0"/>
            <wp:positionH relativeFrom="margin">
              <wp:posOffset>0</wp:posOffset>
            </wp:positionH>
            <wp:positionV relativeFrom="paragraph">
              <wp:posOffset>-635</wp:posOffset>
            </wp:positionV>
            <wp:extent cx="5686425" cy="2113110"/>
            <wp:effectExtent l="0" t="0" r="9525" b="1905"/>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p>
    <w:p w14:paraId="52F878C9" w14:textId="77777777" w:rsidR="00507C02" w:rsidRDefault="00507C02" w:rsidP="00507C02">
      <w:pPr>
        <w:spacing w:line="360" w:lineRule="auto"/>
        <w:jc w:val="both"/>
        <w:rPr>
          <w:rFonts w:ascii="Times New Roman" w:hAnsi="Times New Roman" w:cs="Times New Roman"/>
          <w:bCs/>
          <w:sz w:val="24"/>
          <w:szCs w:val="24"/>
        </w:rPr>
      </w:pPr>
    </w:p>
    <w:p w14:paraId="77C3DF8A" w14:textId="77777777" w:rsidR="00507C02" w:rsidRPr="00507C02" w:rsidRDefault="00507C02" w:rsidP="00507C02">
      <w:pPr>
        <w:spacing w:line="360" w:lineRule="auto"/>
        <w:jc w:val="both"/>
        <w:rPr>
          <w:rFonts w:ascii="Times New Roman" w:hAnsi="Times New Roman" w:cs="Times New Roman"/>
          <w:bCs/>
          <w:sz w:val="24"/>
          <w:szCs w:val="24"/>
        </w:rPr>
      </w:pPr>
    </w:p>
    <w:p w14:paraId="71B94262" w14:textId="77777777" w:rsidR="009E0E52" w:rsidRDefault="009E0E52" w:rsidP="00BB7262">
      <w:pPr>
        <w:spacing w:line="240" w:lineRule="auto"/>
        <w:rPr>
          <w:rFonts w:ascii="Times New Roman" w:hAnsi="Times New Roman" w:cs="Times New Roman"/>
          <w:b/>
          <w:sz w:val="24"/>
          <w:szCs w:val="24"/>
          <w:lang w:val="en-US"/>
        </w:rPr>
      </w:pPr>
    </w:p>
    <w:p w14:paraId="76EDCA5D" w14:textId="77777777" w:rsidR="00ED6704" w:rsidRDefault="00ED6704" w:rsidP="00BB7262">
      <w:pPr>
        <w:spacing w:line="240" w:lineRule="auto"/>
        <w:rPr>
          <w:rFonts w:ascii="Times New Roman" w:hAnsi="Times New Roman" w:cs="Times New Roman"/>
          <w:b/>
          <w:sz w:val="24"/>
          <w:szCs w:val="24"/>
          <w:lang w:val="en-US"/>
        </w:rPr>
      </w:pPr>
    </w:p>
    <w:p w14:paraId="199B7974" w14:textId="77777777" w:rsidR="00ED6704" w:rsidRDefault="00ED6704" w:rsidP="00BB7262">
      <w:pPr>
        <w:spacing w:line="240" w:lineRule="auto"/>
        <w:rPr>
          <w:rFonts w:ascii="Times New Roman" w:hAnsi="Times New Roman" w:cs="Times New Roman"/>
          <w:b/>
          <w:sz w:val="24"/>
          <w:szCs w:val="24"/>
          <w:lang w:val="en-US"/>
        </w:rPr>
      </w:pPr>
    </w:p>
    <w:p w14:paraId="19012545" w14:textId="77777777" w:rsidR="00ED6704" w:rsidRDefault="00ED6704" w:rsidP="00BB7262">
      <w:pPr>
        <w:spacing w:line="240" w:lineRule="auto"/>
        <w:rPr>
          <w:rFonts w:ascii="Times New Roman" w:hAnsi="Times New Roman" w:cs="Times New Roman"/>
          <w:b/>
          <w:sz w:val="24"/>
          <w:szCs w:val="24"/>
          <w:lang w:val="en-US"/>
        </w:rPr>
      </w:pPr>
    </w:p>
    <w:p w14:paraId="4C8D0F50" w14:textId="1AC64C2F" w:rsidR="009331E4" w:rsidRPr="009331E4" w:rsidRDefault="009331E4" w:rsidP="009331E4">
      <w:pPr>
        <w:spacing w:line="240" w:lineRule="auto"/>
        <w:jc w:val="center"/>
        <w:rPr>
          <w:rFonts w:ascii="Times New Roman" w:hAnsi="Times New Roman" w:cs="Times New Roman"/>
          <w:sz w:val="24"/>
          <w:szCs w:val="24"/>
          <w:lang w:val="en-US"/>
        </w:rPr>
      </w:pPr>
      <w:r w:rsidRPr="009331E4">
        <w:rPr>
          <w:rFonts w:ascii="Times New Roman" w:hAnsi="Times New Roman" w:cs="Times New Roman"/>
          <w:bCs/>
          <w:sz w:val="24"/>
          <w:szCs w:val="24"/>
        </w:rPr>
        <w:t xml:space="preserve">Site-1 </w:t>
      </w:r>
      <w:r w:rsidRPr="009331E4">
        <w:rPr>
          <w:rFonts w:ascii="Times New Roman" w:eastAsia="Times New Roman" w:hAnsi="Times New Roman" w:cs="Times New Roman"/>
          <w:noProof/>
          <w:sz w:val="24"/>
          <w:szCs w:val="24"/>
          <w:lang w:eastAsia="en-IN"/>
        </w:rPr>
        <w:t xml:space="preserve">represent </w:t>
      </w:r>
      <w:r w:rsidRPr="009331E4">
        <w:rPr>
          <w:rFonts w:ascii="Times New Roman" w:hAnsi="Times New Roman" w:cs="Times New Roman"/>
          <w:bCs/>
          <w:sz w:val="24"/>
          <w:szCs w:val="24"/>
        </w:rPr>
        <w:t>N4 Beach and Site-2 Pulicat Lake</w:t>
      </w:r>
    </w:p>
    <w:p w14:paraId="5A91457B" w14:textId="77777777" w:rsidR="009331E4" w:rsidRPr="009331E4" w:rsidRDefault="009331E4" w:rsidP="009331E4">
      <w:pPr>
        <w:spacing w:line="240" w:lineRule="auto"/>
        <w:jc w:val="center"/>
        <w:rPr>
          <w:rFonts w:ascii="Times New Roman" w:eastAsia="Times New Roman" w:hAnsi="Times New Roman" w:cs="Times New Roman"/>
          <w:sz w:val="24"/>
          <w:szCs w:val="24"/>
          <w:lang w:eastAsia="en-IN"/>
        </w:rPr>
      </w:pPr>
      <w:r w:rsidRPr="009331E4">
        <w:rPr>
          <w:rFonts w:ascii="Times New Roman" w:eastAsia="Times New Roman" w:hAnsi="Times New Roman" w:cs="Times New Roman"/>
          <w:b/>
          <w:sz w:val="24"/>
          <w:szCs w:val="24"/>
          <w:lang w:eastAsia="en-IN"/>
        </w:rPr>
        <w:t xml:space="preserve">Fig. 4: </w:t>
      </w:r>
      <w:r w:rsidRPr="009331E4">
        <w:rPr>
          <w:rFonts w:ascii="Times New Roman" w:hAnsi="Times New Roman" w:cs="Times New Roman"/>
          <w:sz w:val="24"/>
          <w:szCs w:val="24"/>
        </w:rPr>
        <w:t>Total haemocytes count</w:t>
      </w:r>
      <w:r w:rsidRPr="009331E4">
        <w:rPr>
          <w:rFonts w:ascii="Times New Roman" w:eastAsia="Times New Roman" w:hAnsi="Times New Roman" w:cs="Times New Roman"/>
          <w:sz w:val="24"/>
          <w:szCs w:val="24"/>
          <w:lang w:eastAsia="en-IN"/>
        </w:rPr>
        <w:t xml:space="preserve"> </w:t>
      </w:r>
      <w:r w:rsidRPr="009331E4">
        <w:rPr>
          <w:rFonts w:ascii="Times New Roman" w:hAnsi="Times New Roman" w:cs="Times New Roman"/>
          <w:sz w:val="24"/>
          <w:szCs w:val="24"/>
          <w:lang w:val="en-US"/>
        </w:rPr>
        <w:t xml:space="preserve">in </w:t>
      </w:r>
      <w:r w:rsidRPr="009331E4">
        <w:rPr>
          <w:rFonts w:ascii="Times New Roman" w:eastAsia="Times New Roman" w:hAnsi="Times New Roman" w:cs="Times New Roman"/>
          <w:sz w:val="24"/>
          <w:szCs w:val="24"/>
          <w:lang w:eastAsia="en-IN"/>
        </w:rPr>
        <w:t>green mussels</w:t>
      </w:r>
    </w:p>
    <w:p w14:paraId="13C9B5A2" w14:textId="77777777" w:rsidR="00ED6704" w:rsidRDefault="00ED6704" w:rsidP="00BB7262">
      <w:pPr>
        <w:spacing w:line="240" w:lineRule="auto"/>
        <w:rPr>
          <w:rFonts w:ascii="Times New Roman" w:hAnsi="Times New Roman" w:cs="Times New Roman"/>
          <w:b/>
          <w:sz w:val="24"/>
          <w:szCs w:val="24"/>
          <w:lang w:val="en-US"/>
        </w:rPr>
      </w:pPr>
    </w:p>
    <w:p w14:paraId="2DC9BD26" w14:textId="06D0D07F" w:rsidR="00BB7262" w:rsidRPr="00BB7262" w:rsidRDefault="00BB7262" w:rsidP="00800AE4">
      <w:pPr>
        <w:spacing w:line="240" w:lineRule="auto"/>
        <w:jc w:val="center"/>
        <w:rPr>
          <w:rFonts w:ascii="Times New Roman" w:hAnsi="Times New Roman" w:cs="Times New Roman"/>
          <w:b/>
          <w:sz w:val="24"/>
          <w:szCs w:val="24"/>
          <w:lang w:val="en-US"/>
        </w:rPr>
      </w:pPr>
      <w:r w:rsidRPr="00BB7262">
        <w:rPr>
          <w:rFonts w:ascii="Times New Roman" w:hAnsi="Times New Roman" w:cs="Times New Roman"/>
          <w:b/>
          <w:sz w:val="24"/>
          <w:szCs w:val="24"/>
          <w:lang w:val="en-US"/>
        </w:rPr>
        <w:t xml:space="preserve">Table 1. Neurophysiological biomarker and Immunological parameters analysis in </w:t>
      </w:r>
      <w:r w:rsidRPr="00BB7262">
        <w:rPr>
          <w:rFonts w:ascii="Times New Roman" w:eastAsia="Times New Roman" w:hAnsi="Times New Roman" w:cs="Times New Roman"/>
          <w:b/>
          <w:sz w:val="24"/>
          <w:szCs w:val="24"/>
          <w:lang w:eastAsia="en-IN"/>
        </w:rPr>
        <w:t>green mussels</w:t>
      </w:r>
    </w:p>
    <w:tbl>
      <w:tblPr>
        <w:tblStyle w:val="TableGrid"/>
        <w:tblW w:w="9209" w:type="dxa"/>
        <w:tblLook w:val="04A0" w:firstRow="1" w:lastRow="0" w:firstColumn="1" w:lastColumn="0" w:noHBand="0" w:noVBand="1"/>
      </w:tblPr>
      <w:tblGrid>
        <w:gridCol w:w="603"/>
        <w:gridCol w:w="2955"/>
        <w:gridCol w:w="2527"/>
        <w:gridCol w:w="3124"/>
      </w:tblGrid>
      <w:tr w:rsidR="00BB7262" w:rsidRPr="00BB7262" w14:paraId="64B34C65" w14:textId="77777777" w:rsidTr="00BB387F">
        <w:trPr>
          <w:trHeight w:val="227"/>
        </w:trPr>
        <w:tc>
          <w:tcPr>
            <w:tcW w:w="571" w:type="dxa"/>
          </w:tcPr>
          <w:p w14:paraId="2F6A22AA"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Site</w:t>
            </w:r>
          </w:p>
        </w:tc>
        <w:tc>
          <w:tcPr>
            <w:tcW w:w="2968" w:type="dxa"/>
          </w:tcPr>
          <w:p w14:paraId="15C08EA8"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AChE activity in gill (U/mL)</w:t>
            </w:r>
          </w:p>
          <w:p w14:paraId="172D6DAB"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2535" w:type="dxa"/>
          </w:tcPr>
          <w:p w14:paraId="44D4FA29"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Clotting time (minutes)</w:t>
            </w:r>
          </w:p>
          <w:p w14:paraId="398DC3D9"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c>
          <w:tcPr>
            <w:tcW w:w="3135" w:type="dxa"/>
          </w:tcPr>
          <w:p w14:paraId="0E9F2437"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Total haemocyte count (THC)</w:t>
            </w:r>
          </w:p>
          <w:p w14:paraId="0A3D174B" w14:textId="77777777" w:rsidR="00BB7262" w:rsidRPr="00BB7262" w:rsidRDefault="00BB7262" w:rsidP="005364B4">
            <w:pPr>
              <w:jc w:val="center"/>
              <w:rPr>
                <w:rFonts w:ascii="Times New Roman" w:eastAsia="Times New Roman" w:hAnsi="Times New Roman" w:cs="Times New Roman"/>
                <w:b/>
                <w:bCs/>
                <w:sz w:val="24"/>
                <w:szCs w:val="24"/>
                <w:lang w:eastAsia="en-IN"/>
              </w:rPr>
            </w:pPr>
            <w:r w:rsidRPr="00BB7262">
              <w:rPr>
                <w:rFonts w:ascii="Times New Roman" w:eastAsia="Times New Roman" w:hAnsi="Times New Roman" w:cs="Times New Roman"/>
                <w:b/>
                <w:bCs/>
                <w:sz w:val="24"/>
                <w:szCs w:val="24"/>
                <w:lang w:eastAsia="en-IN"/>
              </w:rPr>
              <w:t>(Mean ± SD)</w:t>
            </w:r>
          </w:p>
        </w:tc>
      </w:tr>
      <w:tr w:rsidR="00BB7262" w:rsidRPr="00BB7262" w14:paraId="4E0D5649" w14:textId="77777777" w:rsidTr="00BB387F">
        <w:trPr>
          <w:trHeight w:val="327"/>
        </w:trPr>
        <w:tc>
          <w:tcPr>
            <w:tcW w:w="571" w:type="dxa"/>
          </w:tcPr>
          <w:p w14:paraId="4D86A8B7" w14:textId="77777777" w:rsidR="00BB7262" w:rsidRPr="00BB7262" w:rsidRDefault="00BB7262" w:rsidP="005364B4">
            <w:pPr>
              <w:jc w:val="center"/>
              <w:rPr>
                <w:rFonts w:ascii="Times New Roman" w:eastAsia="Times New Roman" w:hAnsi="Times New Roman" w:cs="Times New Roman"/>
                <w:sz w:val="24"/>
                <w:szCs w:val="24"/>
                <w:lang w:eastAsia="en-IN"/>
              </w:rPr>
            </w:pPr>
          </w:p>
          <w:p w14:paraId="42034F25"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w:t>
            </w:r>
          </w:p>
        </w:tc>
        <w:tc>
          <w:tcPr>
            <w:tcW w:w="2968" w:type="dxa"/>
          </w:tcPr>
          <w:p w14:paraId="1400100B" w14:textId="77777777" w:rsidR="00BB7262" w:rsidRPr="00BB7262" w:rsidRDefault="00BB7262" w:rsidP="005364B4">
            <w:pPr>
              <w:jc w:val="center"/>
              <w:rPr>
                <w:rFonts w:ascii="Times New Roman" w:hAnsi="Times New Roman" w:cs="Times New Roman"/>
                <w:sz w:val="24"/>
                <w:szCs w:val="24"/>
                <w:lang w:val="en-US"/>
              </w:rPr>
            </w:pPr>
          </w:p>
          <w:p w14:paraId="6174220D" w14:textId="77777777" w:rsidR="00BB7262" w:rsidRPr="00BB7262" w:rsidRDefault="00BB7262" w:rsidP="005364B4">
            <w:pPr>
              <w:jc w:val="center"/>
              <w:rPr>
                <w:rFonts w:ascii="Times New Roman" w:hAnsi="Times New Roman" w:cs="Times New Roman"/>
                <w:sz w:val="24"/>
                <w:szCs w:val="24"/>
                <w:lang w:val="en-US"/>
              </w:rPr>
            </w:pPr>
            <w:r w:rsidRPr="00BB7262">
              <w:rPr>
                <w:rFonts w:ascii="Times New Roman" w:hAnsi="Times New Roman" w:cs="Times New Roman"/>
                <w:sz w:val="24"/>
                <w:szCs w:val="24"/>
                <w:lang w:val="en-US"/>
              </w:rPr>
              <w:t>1.9575± 0.122*</w:t>
            </w:r>
          </w:p>
        </w:tc>
        <w:tc>
          <w:tcPr>
            <w:tcW w:w="2535" w:type="dxa"/>
          </w:tcPr>
          <w:p w14:paraId="3F4B456F" w14:textId="77777777" w:rsidR="00BB7262" w:rsidRPr="00BB7262" w:rsidRDefault="00BB7262" w:rsidP="005364B4">
            <w:pPr>
              <w:jc w:val="center"/>
              <w:rPr>
                <w:rFonts w:ascii="Times New Roman" w:eastAsia="Times New Roman" w:hAnsi="Times New Roman" w:cs="Times New Roman"/>
                <w:sz w:val="24"/>
                <w:szCs w:val="24"/>
                <w:lang w:eastAsia="en-IN"/>
              </w:rPr>
            </w:pPr>
          </w:p>
          <w:p w14:paraId="45B37EB4"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14.98 ± 1.38*</w:t>
            </w:r>
          </w:p>
        </w:tc>
        <w:tc>
          <w:tcPr>
            <w:tcW w:w="3135" w:type="dxa"/>
          </w:tcPr>
          <w:p w14:paraId="12108EE5" w14:textId="77777777" w:rsidR="00BB7262" w:rsidRPr="00BB7262" w:rsidRDefault="00BB7262" w:rsidP="005364B4">
            <w:pPr>
              <w:jc w:val="center"/>
              <w:rPr>
                <w:rFonts w:ascii="Times New Roman" w:eastAsia="Times New Roman" w:hAnsi="Times New Roman" w:cs="Times New Roman"/>
                <w:sz w:val="24"/>
                <w:szCs w:val="24"/>
                <w:lang w:eastAsia="en-IN"/>
              </w:rPr>
            </w:pPr>
          </w:p>
          <w:p w14:paraId="20468FF4"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1.17 x 10^5 ± 0.087*</w:t>
            </w:r>
          </w:p>
        </w:tc>
      </w:tr>
      <w:tr w:rsidR="00BB7262" w:rsidRPr="00BB7262" w14:paraId="22E3E808" w14:textId="77777777" w:rsidTr="00BB387F">
        <w:trPr>
          <w:trHeight w:val="319"/>
        </w:trPr>
        <w:tc>
          <w:tcPr>
            <w:tcW w:w="571" w:type="dxa"/>
          </w:tcPr>
          <w:p w14:paraId="70B415C5" w14:textId="77777777" w:rsidR="00BB7262" w:rsidRPr="00BB7262" w:rsidRDefault="00BB7262" w:rsidP="005364B4">
            <w:pPr>
              <w:jc w:val="center"/>
              <w:rPr>
                <w:rFonts w:ascii="Times New Roman" w:eastAsia="Times New Roman" w:hAnsi="Times New Roman" w:cs="Times New Roman"/>
                <w:sz w:val="24"/>
                <w:szCs w:val="24"/>
                <w:lang w:eastAsia="en-IN"/>
              </w:rPr>
            </w:pPr>
          </w:p>
          <w:p w14:paraId="47B40BF2"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w:t>
            </w:r>
          </w:p>
        </w:tc>
        <w:tc>
          <w:tcPr>
            <w:tcW w:w="2968" w:type="dxa"/>
          </w:tcPr>
          <w:p w14:paraId="613B139C" w14:textId="77777777" w:rsidR="00BB7262" w:rsidRPr="00BB7262" w:rsidRDefault="00BB7262" w:rsidP="005364B4">
            <w:pPr>
              <w:jc w:val="center"/>
              <w:rPr>
                <w:rFonts w:ascii="Times New Roman" w:eastAsia="Times New Roman" w:hAnsi="Times New Roman" w:cs="Times New Roman"/>
                <w:sz w:val="24"/>
                <w:szCs w:val="24"/>
                <w:lang w:eastAsia="en-IN"/>
              </w:rPr>
            </w:pPr>
          </w:p>
          <w:p w14:paraId="326C3990"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2.285 ± 0.40*</w:t>
            </w:r>
          </w:p>
        </w:tc>
        <w:tc>
          <w:tcPr>
            <w:tcW w:w="2535" w:type="dxa"/>
          </w:tcPr>
          <w:p w14:paraId="7CE926BF" w14:textId="77777777" w:rsidR="00BB7262" w:rsidRPr="00BB7262" w:rsidRDefault="00BB7262" w:rsidP="005364B4">
            <w:pPr>
              <w:jc w:val="center"/>
              <w:rPr>
                <w:rFonts w:ascii="Times New Roman" w:eastAsia="Times New Roman" w:hAnsi="Times New Roman" w:cs="Times New Roman"/>
                <w:sz w:val="24"/>
                <w:szCs w:val="24"/>
                <w:lang w:eastAsia="en-IN"/>
              </w:rPr>
            </w:pPr>
          </w:p>
          <w:p w14:paraId="17805AA3"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11.14 ± 0.65*</w:t>
            </w:r>
          </w:p>
        </w:tc>
        <w:tc>
          <w:tcPr>
            <w:tcW w:w="3135" w:type="dxa"/>
          </w:tcPr>
          <w:p w14:paraId="3221CC66" w14:textId="77777777" w:rsidR="00BB7262" w:rsidRPr="00BB7262" w:rsidRDefault="00BB7262" w:rsidP="005364B4">
            <w:pPr>
              <w:jc w:val="center"/>
              <w:rPr>
                <w:rFonts w:ascii="Times New Roman" w:eastAsia="Times New Roman" w:hAnsi="Times New Roman" w:cs="Times New Roman"/>
                <w:sz w:val="24"/>
                <w:szCs w:val="24"/>
                <w:lang w:eastAsia="en-IN"/>
              </w:rPr>
            </w:pPr>
          </w:p>
          <w:p w14:paraId="55AB2CD6" w14:textId="77777777" w:rsidR="00BB7262" w:rsidRPr="00BB7262" w:rsidRDefault="00BB7262" w:rsidP="005364B4">
            <w:pPr>
              <w:jc w:val="center"/>
              <w:rPr>
                <w:rFonts w:ascii="Times New Roman" w:eastAsia="Times New Roman" w:hAnsi="Times New Roman" w:cs="Times New Roman"/>
                <w:sz w:val="24"/>
                <w:szCs w:val="24"/>
                <w:lang w:eastAsia="en-IN"/>
              </w:rPr>
            </w:pPr>
            <w:r w:rsidRPr="00BB7262">
              <w:rPr>
                <w:rFonts w:ascii="Times New Roman" w:eastAsia="Times New Roman" w:hAnsi="Times New Roman" w:cs="Times New Roman"/>
                <w:sz w:val="24"/>
                <w:szCs w:val="24"/>
                <w:lang w:eastAsia="en-IN"/>
              </w:rPr>
              <w:t>1.515 x 10^5 ± 0.15*</w:t>
            </w:r>
          </w:p>
        </w:tc>
      </w:tr>
    </w:tbl>
    <w:p w14:paraId="01543FAF" w14:textId="77777777" w:rsidR="00765D30" w:rsidRDefault="00765D30" w:rsidP="00765D30">
      <w:pPr>
        <w:spacing w:line="240" w:lineRule="auto"/>
        <w:jc w:val="center"/>
        <w:rPr>
          <w:rFonts w:ascii="Times New Roman" w:hAnsi="Times New Roman" w:cs="Times New Roman"/>
          <w:sz w:val="24"/>
          <w:szCs w:val="24"/>
        </w:rPr>
      </w:pPr>
    </w:p>
    <w:p w14:paraId="1C495007" w14:textId="44580F6A" w:rsidR="00BB7262" w:rsidRPr="00BB7262" w:rsidRDefault="00BB7262" w:rsidP="00765D30">
      <w:pPr>
        <w:spacing w:line="240" w:lineRule="auto"/>
        <w:jc w:val="center"/>
        <w:rPr>
          <w:rFonts w:ascii="Times New Roman" w:hAnsi="Times New Roman" w:cs="Times New Roman"/>
          <w:sz w:val="24"/>
          <w:szCs w:val="24"/>
        </w:rPr>
      </w:pPr>
      <w:r w:rsidRPr="00BB7262">
        <w:rPr>
          <w:rFonts w:ascii="Times New Roman" w:hAnsi="Times New Roman" w:cs="Times New Roman"/>
          <w:sz w:val="24"/>
          <w:szCs w:val="24"/>
        </w:rPr>
        <w:t xml:space="preserve">* Denotes significance, </w:t>
      </w:r>
      <w:r w:rsidRPr="00BB7262">
        <w:rPr>
          <w:rFonts w:ascii="Times New Roman" w:hAnsi="Times New Roman" w:cs="Times New Roman"/>
          <w:bCs/>
          <w:sz w:val="24"/>
          <w:szCs w:val="24"/>
        </w:rPr>
        <w:t>Site-1 N4 Beach and Site-2 Pulicat Lake</w:t>
      </w:r>
    </w:p>
    <w:p w14:paraId="65F97350" w14:textId="77777777" w:rsidR="00BB7262" w:rsidRPr="00DF6E70" w:rsidRDefault="00BB7262" w:rsidP="00DF6E70">
      <w:pPr>
        <w:pStyle w:val="Default"/>
        <w:spacing w:line="360" w:lineRule="auto"/>
        <w:jc w:val="both"/>
        <w:rPr>
          <w:rFonts w:ascii="Times New Roman" w:hAnsi="Times New Roman" w:cs="Times New Roman"/>
        </w:rPr>
      </w:pPr>
    </w:p>
    <w:p w14:paraId="31746DEC" w14:textId="77777777" w:rsidR="00F75883" w:rsidRPr="00F75883" w:rsidRDefault="00F75883" w:rsidP="00F75883">
      <w:pPr>
        <w:pStyle w:val="Default"/>
        <w:spacing w:line="360" w:lineRule="auto"/>
        <w:jc w:val="both"/>
        <w:rPr>
          <w:rFonts w:ascii="Times New Roman" w:hAnsi="Times New Roman" w:cs="Times New Roman"/>
          <w:b/>
          <w:bCs/>
        </w:rPr>
      </w:pPr>
      <w:r w:rsidRPr="00F75883">
        <w:rPr>
          <w:rFonts w:ascii="Times New Roman" w:hAnsi="Times New Roman" w:cs="Times New Roman"/>
          <w:b/>
          <w:bCs/>
        </w:rPr>
        <w:t>Protein Concentration</w:t>
      </w:r>
    </w:p>
    <w:p w14:paraId="5AA9D0B9" w14:textId="77777777" w:rsidR="00F75883" w:rsidRPr="00F75883" w:rsidRDefault="00F75883" w:rsidP="00F75883">
      <w:pPr>
        <w:pStyle w:val="Default"/>
        <w:spacing w:line="360" w:lineRule="auto"/>
        <w:jc w:val="both"/>
        <w:rPr>
          <w:rFonts w:ascii="Times New Roman" w:hAnsi="Times New Roman" w:cs="Times New Roman"/>
        </w:rPr>
      </w:pPr>
      <w:r w:rsidRPr="00F75883">
        <w:rPr>
          <w:rFonts w:ascii="Times New Roman" w:hAnsi="Times New Roman" w:cs="Times New Roman"/>
        </w:rPr>
        <w:t>Protein concentration in the gill and posterior adductor muscle (PAM) was estimated using the Lowry et al. method. In gill tissues, Site-1 mussels showed a protein concentration of 19.79 ± 0.17 mg/100 mg, while Site-2 mussels showed 25.9 ± 0.58 mg/100 mg. In PAM tissues, protein concentration was 22.08 ± 0.91 mg/100 mg in Site-1 mussels and 43.95 ± 0.35 mg/100 mg in Site-2 mussels. The differences between sites were statistically significant (p &lt; 0.05) (Fig. 5; Table 2).</w:t>
      </w:r>
    </w:p>
    <w:p w14:paraId="7FFE641E" w14:textId="16ABCDAE" w:rsidR="00DF6E70" w:rsidRDefault="00B008BB" w:rsidP="003F750D">
      <w:pPr>
        <w:pStyle w:val="Default"/>
        <w:spacing w:line="360" w:lineRule="auto"/>
        <w:jc w:val="both"/>
        <w:rPr>
          <w:rFonts w:ascii="Times New Roman" w:hAnsi="Times New Roman" w:cs="Times New Roman"/>
        </w:rPr>
      </w:pPr>
      <w:r w:rsidRPr="008445F2">
        <w:rPr>
          <w:rFonts w:ascii="Arial Narrow" w:eastAsia="Times New Roman" w:hAnsi="Arial Narrow" w:cs="Times New Roman"/>
          <w:noProof/>
          <w:sz w:val="18"/>
          <w:szCs w:val="18"/>
          <w:lang w:val="en-US"/>
        </w:rPr>
        <w:lastRenderedPageBreak/>
        <w:drawing>
          <wp:anchor distT="0" distB="0" distL="114300" distR="114300" simplePos="0" relativeHeight="251673600" behindDoc="1" locked="0" layoutInCell="1" allowOverlap="1" wp14:anchorId="57FE515E" wp14:editId="48DCE668">
            <wp:simplePos x="0" y="0"/>
            <wp:positionH relativeFrom="margin">
              <wp:posOffset>0</wp:posOffset>
            </wp:positionH>
            <wp:positionV relativeFrom="paragraph">
              <wp:posOffset>265430</wp:posOffset>
            </wp:positionV>
            <wp:extent cx="5710555" cy="2260600"/>
            <wp:effectExtent l="0" t="0" r="4445" b="6350"/>
            <wp:wrapTight wrapText="bothSides">
              <wp:wrapPolygon edited="0">
                <wp:start x="0" y="0"/>
                <wp:lineTo x="0" y="21479"/>
                <wp:lineTo x="21545" y="21479"/>
                <wp:lineTo x="21545" y="0"/>
                <wp:lineTo x="0" y="0"/>
              </wp:wrapPolygon>
            </wp:wrapTight>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4F765415" w14:textId="1279F59C" w:rsidR="00552A0A" w:rsidRPr="008445F2" w:rsidRDefault="00552A0A" w:rsidP="00552A0A">
      <w:pPr>
        <w:pStyle w:val="Default"/>
        <w:rPr>
          <w:rFonts w:ascii="Arial Narrow" w:eastAsia="Times New Roman" w:hAnsi="Arial Narrow" w:cs="Times New Roman"/>
          <w:sz w:val="18"/>
          <w:szCs w:val="18"/>
          <w:lang w:eastAsia="en-IN"/>
        </w:rPr>
      </w:pPr>
    </w:p>
    <w:p w14:paraId="7EA45EB4" w14:textId="7490ED53" w:rsidR="00C95015" w:rsidRPr="00C95015" w:rsidRDefault="00C95015" w:rsidP="00C95015">
      <w:pPr>
        <w:pStyle w:val="Default"/>
        <w:jc w:val="center"/>
        <w:rPr>
          <w:rFonts w:ascii="Times New Roman" w:eastAsia="Times New Roman" w:hAnsi="Times New Roman" w:cs="Times New Roman"/>
          <w:noProof/>
          <w:lang w:eastAsia="en-IN"/>
        </w:rPr>
      </w:pPr>
      <w:r w:rsidRPr="00C95015">
        <w:rPr>
          <w:rFonts w:ascii="Times New Roman" w:hAnsi="Times New Roman" w:cs="Times New Roman"/>
          <w:bCs/>
        </w:rPr>
        <w:t>Site-1 represent N4 Beach and Site-2 Pulicat Lake</w:t>
      </w:r>
    </w:p>
    <w:p w14:paraId="02D21E19" w14:textId="78C7083A" w:rsidR="00C95015" w:rsidRPr="00C95015" w:rsidRDefault="00C95015" w:rsidP="00C95015">
      <w:pPr>
        <w:pStyle w:val="Default"/>
        <w:jc w:val="center"/>
        <w:rPr>
          <w:rFonts w:ascii="Times New Roman" w:eastAsia="Times New Roman" w:hAnsi="Times New Roman" w:cs="Times New Roman"/>
          <w:b/>
          <w:lang w:eastAsia="en-IN"/>
        </w:rPr>
      </w:pPr>
    </w:p>
    <w:p w14:paraId="51D95E8D" w14:textId="0693A018" w:rsidR="00C95015" w:rsidRDefault="00C95015" w:rsidP="00C95015">
      <w:pPr>
        <w:pStyle w:val="Default"/>
        <w:jc w:val="center"/>
        <w:rPr>
          <w:rFonts w:ascii="Times New Roman" w:eastAsia="Times New Roman" w:hAnsi="Times New Roman" w:cs="Times New Roman"/>
          <w:lang w:eastAsia="en-IN"/>
        </w:rPr>
      </w:pPr>
      <w:r w:rsidRPr="00C95015">
        <w:rPr>
          <w:rFonts w:ascii="Times New Roman" w:eastAsia="Times New Roman" w:hAnsi="Times New Roman" w:cs="Times New Roman"/>
          <w:b/>
          <w:lang w:eastAsia="en-IN"/>
        </w:rPr>
        <w:t xml:space="preserve">Fig. 5: </w:t>
      </w:r>
      <w:r w:rsidRPr="00C95015">
        <w:rPr>
          <w:rFonts w:ascii="Times New Roman" w:eastAsia="Times New Roman" w:hAnsi="Times New Roman" w:cs="Times New Roman"/>
          <w:lang w:eastAsia="en-IN"/>
        </w:rPr>
        <w:t>Protein concentration in gills and PAM of green mussels</w:t>
      </w:r>
    </w:p>
    <w:p w14:paraId="2E33F376" w14:textId="77777777" w:rsidR="00AC1791" w:rsidRDefault="00AC1791" w:rsidP="00C95015">
      <w:pPr>
        <w:pStyle w:val="Default"/>
        <w:jc w:val="center"/>
        <w:rPr>
          <w:rFonts w:ascii="Times New Roman" w:eastAsia="Times New Roman" w:hAnsi="Times New Roman" w:cs="Times New Roman"/>
          <w:lang w:eastAsia="en-IN"/>
        </w:rPr>
      </w:pPr>
    </w:p>
    <w:p w14:paraId="680B2DAE" w14:textId="77777777" w:rsidR="00AC1791" w:rsidRPr="00C95015" w:rsidRDefault="00AC1791" w:rsidP="00AC1791">
      <w:pPr>
        <w:pStyle w:val="Default"/>
        <w:rPr>
          <w:rFonts w:ascii="Times New Roman" w:eastAsia="Times New Roman" w:hAnsi="Times New Roman" w:cs="Times New Roman"/>
          <w:lang w:eastAsia="en-IN"/>
        </w:rPr>
      </w:pPr>
    </w:p>
    <w:p w14:paraId="747D6100" w14:textId="61789AB6" w:rsidR="00BB387F" w:rsidRPr="00BB387F" w:rsidRDefault="00BB387F" w:rsidP="00BB387F">
      <w:pPr>
        <w:spacing w:line="240" w:lineRule="auto"/>
        <w:jc w:val="center"/>
        <w:rPr>
          <w:rFonts w:ascii="Times New Roman" w:hAnsi="Times New Roman" w:cs="Times New Roman"/>
          <w:b/>
          <w:sz w:val="24"/>
          <w:szCs w:val="24"/>
          <w:lang w:val="en-US"/>
        </w:rPr>
      </w:pPr>
      <w:r w:rsidRPr="00BB387F">
        <w:rPr>
          <w:rFonts w:ascii="Times New Roman" w:hAnsi="Times New Roman" w:cs="Times New Roman"/>
          <w:b/>
          <w:sz w:val="24"/>
          <w:szCs w:val="24"/>
          <w:lang w:val="en-US"/>
        </w:rPr>
        <w:t xml:space="preserve">Table 2. Protein concentration in gill and PAM of </w:t>
      </w:r>
      <w:r w:rsidRPr="00BB387F">
        <w:rPr>
          <w:rFonts w:ascii="Times New Roman" w:eastAsia="Times New Roman" w:hAnsi="Times New Roman" w:cs="Times New Roman"/>
          <w:b/>
          <w:sz w:val="24"/>
          <w:szCs w:val="24"/>
          <w:lang w:eastAsia="en-IN"/>
        </w:rPr>
        <w:t>green mussels</w:t>
      </w:r>
    </w:p>
    <w:tbl>
      <w:tblPr>
        <w:tblStyle w:val="TableGrid"/>
        <w:tblW w:w="8500" w:type="dxa"/>
        <w:tblLook w:val="04A0" w:firstRow="1" w:lastRow="0" w:firstColumn="1" w:lastColumn="0" w:noHBand="0" w:noVBand="1"/>
      </w:tblPr>
      <w:tblGrid>
        <w:gridCol w:w="813"/>
        <w:gridCol w:w="4226"/>
        <w:gridCol w:w="3461"/>
      </w:tblGrid>
      <w:tr w:rsidR="00BB387F" w:rsidRPr="00BB387F" w14:paraId="08EAEA92" w14:textId="77777777" w:rsidTr="00C13042">
        <w:trPr>
          <w:trHeight w:val="233"/>
        </w:trPr>
        <w:tc>
          <w:tcPr>
            <w:tcW w:w="813" w:type="dxa"/>
          </w:tcPr>
          <w:p w14:paraId="08FF3A95"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Site</w:t>
            </w:r>
          </w:p>
        </w:tc>
        <w:tc>
          <w:tcPr>
            <w:tcW w:w="4226" w:type="dxa"/>
          </w:tcPr>
          <w:p w14:paraId="42772A17"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Protein levels in gill (mg/100 mg)</w:t>
            </w:r>
          </w:p>
          <w:p w14:paraId="70968487" w14:textId="77777777" w:rsidR="00BB387F" w:rsidRPr="00BB387F" w:rsidRDefault="00BB387F" w:rsidP="005364B4">
            <w:pPr>
              <w:jc w:val="center"/>
              <w:rPr>
                <w:rFonts w:ascii="Times New Roman" w:eastAsia="Times New Roman" w:hAnsi="Times New Roman" w:cs="Times New Roman"/>
                <w:b/>
                <w:bCs/>
                <w:sz w:val="24"/>
                <w:szCs w:val="24"/>
                <w:lang w:eastAsia="en-IN"/>
              </w:rPr>
            </w:pPr>
          </w:p>
          <w:p w14:paraId="59671685"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c>
          <w:tcPr>
            <w:tcW w:w="3461" w:type="dxa"/>
          </w:tcPr>
          <w:p w14:paraId="62D7C04F"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Protein levels in PAM (mg/100 mg)</w:t>
            </w:r>
          </w:p>
          <w:p w14:paraId="09F9884B" w14:textId="77777777" w:rsidR="00BB387F" w:rsidRPr="00BB387F" w:rsidRDefault="00BB387F" w:rsidP="005364B4">
            <w:pPr>
              <w:jc w:val="center"/>
              <w:rPr>
                <w:rFonts w:ascii="Times New Roman" w:eastAsia="Times New Roman" w:hAnsi="Times New Roman" w:cs="Times New Roman"/>
                <w:b/>
                <w:bCs/>
                <w:sz w:val="24"/>
                <w:szCs w:val="24"/>
                <w:lang w:eastAsia="en-IN"/>
              </w:rPr>
            </w:pPr>
          </w:p>
          <w:p w14:paraId="44EE66CF" w14:textId="77777777" w:rsidR="00BB387F" w:rsidRPr="00BB387F" w:rsidRDefault="00BB387F" w:rsidP="005364B4">
            <w:pPr>
              <w:jc w:val="center"/>
              <w:rPr>
                <w:rFonts w:ascii="Times New Roman" w:eastAsia="Times New Roman" w:hAnsi="Times New Roman" w:cs="Times New Roman"/>
                <w:b/>
                <w:bCs/>
                <w:sz w:val="24"/>
                <w:szCs w:val="24"/>
                <w:lang w:eastAsia="en-IN"/>
              </w:rPr>
            </w:pPr>
            <w:r w:rsidRPr="00BB387F">
              <w:rPr>
                <w:rFonts w:ascii="Times New Roman" w:eastAsia="Times New Roman" w:hAnsi="Times New Roman" w:cs="Times New Roman"/>
                <w:b/>
                <w:bCs/>
                <w:sz w:val="24"/>
                <w:szCs w:val="24"/>
                <w:lang w:eastAsia="en-IN"/>
              </w:rPr>
              <w:t>(Mean ± SD)</w:t>
            </w:r>
          </w:p>
        </w:tc>
      </w:tr>
      <w:tr w:rsidR="00BB387F" w:rsidRPr="00BB387F" w14:paraId="62E33EB1" w14:textId="77777777" w:rsidTr="00C13042">
        <w:trPr>
          <w:trHeight w:val="335"/>
        </w:trPr>
        <w:tc>
          <w:tcPr>
            <w:tcW w:w="813" w:type="dxa"/>
          </w:tcPr>
          <w:p w14:paraId="37358E93" w14:textId="77777777" w:rsidR="00BB387F" w:rsidRPr="00BB387F" w:rsidRDefault="00BB387F" w:rsidP="005364B4">
            <w:pPr>
              <w:jc w:val="center"/>
              <w:rPr>
                <w:rFonts w:ascii="Times New Roman" w:eastAsia="Times New Roman" w:hAnsi="Times New Roman" w:cs="Times New Roman"/>
                <w:sz w:val="24"/>
                <w:szCs w:val="24"/>
                <w:lang w:eastAsia="en-IN"/>
              </w:rPr>
            </w:pPr>
          </w:p>
          <w:p w14:paraId="1CAB6556"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1</w:t>
            </w:r>
          </w:p>
        </w:tc>
        <w:tc>
          <w:tcPr>
            <w:tcW w:w="4226" w:type="dxa"/>
          </w:tcPr>
          <w:p w14:paraId="765B561A" w14:textId="77777777" w:rsidR="00BB387F" w:rsidRPr="00BB387F" w:rsidRDefault="00BB387F" w:rsidP="005364B4">
            <w:pPr>
              <w:jc w:val="center"/>
              <w:rPr>
                <w:rFonts w:ascii="Times New Roman" w:hAnsi="Times New Roman" w:cs="Times New Roman"/>
                <w:sz w:val="24"/>
                <w:szCs w:val="24"/>
                <w:lang w:val="en-US"/>
              </w:rPr>
            </w:pPr>
          </w:p>
          <w:p w14:paraId="290316B0" w14:textId="77777777" w:rsidR="00BB387F" w:rsidRPr="00BB387F" w:rsidRDefault="00BB387F" w:rsidP="005364B4">
            <w:pPr>
              <w:jc w:val="center"/>
              <w:rPr>
                <w:rFonts w:ascii="Times New Roman" w:hAnsi="Times New Roman" w:cs="Times New Roman"/>
                <w:sz w:val="24"/>
                <w:szCs w:val="24"/>
                <w:lang w:val="en-US"/>
              </w:rPr>
            </w:pPr>
            <w:r w:rsidRPr="00BB387F">
              <w:rPr>
                <w:rFonts w:ascii="Times New Roman" w:hAnsi="Times New Roman" w:cs="Times New Roman"/>
                <w:sz w:val="24"/>
                <w:szCs w:val="24"/>
              </w:rPr>
              <w:t xml:space="preserve">19.79 </w:t>
            </w:r>
            <w:r w:rsidRPr="00BB387F">
              <w:rPr>
                <w:rFonts w:ascii="Times New Roman" w:eastAsia="Times New Roman" w:hAnsi="Times New Roman" w:cs="Times New Roman"/>
                <w:sz w:val="24"/>
                <w:szCs w:val="24"/>
                <w:lang w:eastAsia="en-IN"/>
              </w:rPr>
              <w:t>± 0.17</w:t>
            </w:r>
            <w:r w:rsidRPr="00BB387F">
              <w:rPr>
                <w:rFonts w:ascii="Times New Roman" w:hAnsi="Times New Roman" w:cs="Times New Roman"/>
                <w:sz w:val="24"/>
                <w:szCs w:val="24"/>
                <w:lang w:val="en-US"/>
              </w:rPr>
              <w:t>*</w:t>
            </w:r>
          </w:p>
        </w:tc>
        <w:tc>
          <w:tcPr>
            <w:tcW w:w="3461" w:type="dxa"/>
          </w:tcPr>
          <w:p w14:paraId="768A1F7F" w14:textId="77777777" w:rsidR="00BB387F" w:rsidRPr="00BB387F" w:rsidRDefault="00BB387F" w:rsidP="005364B4">
            <w:pPr>
              <w:jc w:val="center"/>
              <w:rPr>
                <w:rFonts w:ascii="Times New Roman" w:eastAsia="Times New Roman" w:hAnsi="Times New Roman" w:cs="Times New Roman"/>
                <w:sz w:val="24"/>
                <w:szCs w:val="24"/>
                <w:lang w:eastAsia="en-IN"/>
              </w:rPr>
            </w:pPr>
          </w:p>
          <w:p w14:paraId="2BE748DE"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22.08 </w:t>
            </w:r>
            <w:r w:rsidRPr="00BB387F">
              <w:rPr>
                <w:rFonts w:ascii="Times New Roman" w:eastAsia="Times New Roman" w:hAnsi="Times New Roman" w:cs="Times New Roman"/>
                <w:sz w:val="24"/>
                <w:szCs w:val="24"/>
                <w:lang w:eastAsia="en-IN"/>
              </w:rPr>
              <w:t>± 0.91*</w:t>
            </w:r>
          </w:p>
        </w:tc>
      </w:tr>
      <w:tr w:rsidR="00BB387F" w:rsidRPr="00BB387F" w14:paraId="231965B6" w14:textId="77777777" w:rsidTr="00C13042">
        <w:trPr>
          <w:trHeight w:val="327"/>
        </w:trPr>
        <w:tc>
          <w:tcPr>
            <w:tcW w:w="813" w:type="dxa"/>
          </w:tcPr>
          <w:p w14:paraId="42E90888" w14:textId="77777777" w:rsidR="00BB387F" w:rsidRPr="00BB387F" w:rsidRDefault="00BB387F" w:rsidP="005364B4">
            <w:pPr>
              <w:jc w:val="center"/>
              <w:rPr>
                <w:rFonts w:ascii="Times New Roman" w:eastAsia="Times New Roman" w:hAnsi="Times New Roman" w:cs="Times New Roman"/>
                <w:sz w:val="24"/>
                <w:szCs w:val="24"/>
                <w:lang w:eastAsia="en-IN"/>
              </w:rPr>
            </w:pPr>
          </w:p>
          <w:p w14:paraId="00F92965"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eastAsia="Times New Roman" w:hAnsi="Times New Roman" w:cs="Times New Roman"/>
                <w:sz w:val="24"/>
                <w:szCs w:val="24"/>
                <w:lang w:eastAsia="en-IN"/>
              </w:rPr>
              <w:t>2</w:t>
            </w:r>
          </w:p>
        </w:tc>
        <w:tc>
          <w:tcPr>
            <w:tcW w:w="4226" w:type="dxa"/>
          </w:tcPr>
          <w:p w14:paraId="71B5AEF3" w14:textId="77777777" w:rsidR="00BB387F" w:rsidRPr="00BB387F" w:rsidRDefault="00BB387F" w:rsidP="005364B4">
            <w:pPr>
              <w:jc w:val="center"/>
              <w:rPr>
                <w:rFonts w:ascii="Times New Roman" w:eastAsia="Times New Roman" w:hAnsi="Times New Roman" w:cs="Times New Roman"/>
                <w:sz w:val="24"/>
                <w:szCs w:val="24"/>
                <w:lang w:eastAsia="en-IN"/>
              </w:rPr>
            </w:pPr>
          </w:p>
          <w:p w14:paraId="6205A75F"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25.9 </w:t>
            </w:r>
            <w:r w:rsidRPr="00BB387F">
              <w:rPr>
                <w:rFonts w:ascii="Times New Roman" w:eastAsia="Times New Roman" w:hAnsi="Times New Roman" w:cs="Times New Roman"/>
                <w:sz w:val="24"/>
                <w:szCs w:val="24"/>
                <w:lang w:eastAsia="en-IN"/>
              </w:rPr>
              <w:t>± 0.58*</w:t>
            </w:r>
          </w:p>
        </w:tc>
        <w:tc>
          <w:tcPr>
            <w:tcW w:w="3461" w:type="dxa"/>
          </w:tcPr>
          <w:p w14:paraId="0DF2E013" w14:textId="77777777" w:rsidR="00BB387F" w:rsidRPr="00BB387F" w:rsidRDefault="00BB387F" w:rsidP="005364B4">
            <w:pPr>
              <w:jc w:val="center"/>
              <w:rPr>
                <w:rFonts w:ascii="Times New Roman" w:eastAsia="Times New Roman" w:hAnsi="Times New Roman" w:cs="Times New Roman"/>
                <w:sz w:val="24"/>
                <w:szCs w:val="24"/>
                <w:lang w:eastAsia="en-IN"/>
              </w:rPr>
            </w:pPr>
          </w:p>
          <w:p w14:paraId="398AF658" w14:textId="77777777" w:rsidR="00BB387F" w:rsidRPr="00BB387F" w:rsidRDefault="00BB387F" w:rsidP="005364B4">
            <w:pPr>
              <w:jc w:val="center"/>
              <w:rPr>
                <w:rFonts w:ascii="Times New Roman" w:eastAsia="Times New Roman" w:hAnsi="Times New Roman" w:cs="Times New Roman"/>
                <w:sz w:val="24"/>
                <w:szCs w:val="24"/>
                <w:lang w:eastAsia="en-IN"/>
              </w:rPr>
            </w:pPr>
            <w:r w:rsidRPr="00BB387F">
              <w:rPr>
                <w:rFonts w:ascii="Times New Roman" w:hAnsi="Times New Roman" w:cs="Times New Roman"/>
                <w:sz w:val="24"/>
                <w:szCs w:val="24"/>
              </w:rPr>
              <w:t xml:space="preserve">43.95 </w:t>
            </w:r>
            <w:r w:rsidRPr="00BB387F">
              <w:rPr>
                <w:rFonts w:ascii="Times New Roman" w:eastAsia="Times New Roman" w:hAnsi="Times New Roman" w:cs="Times New Roman"/>
                <w:sz w:val="24"/>
                <w:szCs w:val="24"/>
                <w:lang w:eastAsia="en-IN"/>
              </w:rPr>
              <w:t>± 0.35*</w:t>
            </w:r>
          </w:p>
        </w:tc>
      </w:tr>
    </w:tbl>
    <w:p w14:paraId="7237CB21" w14:textId="77777777" w:rsidR="00BB387F" w:rsidRDefault="00BB387F" w:rsidP="00BB387F">
      <w:pPr>
        <w:spacing w:line="240" w:lineRule="auto"/>
        <w:jc w:val="center"/>
        <w:rPr>
          <w:rFonts w:ascii="Times New Roman" w:hAnsi="Times New Roman" w:cs="Times New Roman"/>
          <w:sz w:val="24"/>
          <w:szCs w:val="24"/>
        </w:rPr>
      </w:pPr>
    </w:p>
    <w:p w14:paraId="205FC57F" w14:textId="2606E97B" w:rsidR="00BB387F" w:rsidRDefault="00BB387F" w:rsidP="00BB387F">
      <w:pPr>
        <w:spacing w:line="240" w:lineRule="auto"/>
        <w:jc w:val="center"/>
        <w:rPr>
          <w:rFonts w:ascii="Times New Roman" w:hAnsi="Times New Roman" w:cs="Times New Roman"/>
          <w:bCs/>
          <w:sz w:val="24"/>
          <w:szCs w:val="24"/>
        </w:rPr>
      </w:pPr>
      <w:r w:rsidRPr="00BB387F">
        <w:rPr>
          <w:rFonts w:ascii="Times New Roman" w:hAnsi="Times New Roman" w:cs="Times New Roman"/>
          <w:sz w:val="24"/>
          <w:szCs w:val="24"/>
        </w:rPr>
        <w:t xml:space="preserve">* Denotes significance, </w:t>
      </w:r>
      <w:r w:rsidRPr="00BB387F">
        <w:rPr>
          <w:rFonts w:ascii="Times New Roman" w:hAnsi="Times New Roman" w:cs="Times New Roman"/>
          <w:bCs/>
          <w:sz w:val="24"/>
          <w:szCs w:val="24"/>
        </w:rPr>
        <w:t>Site-1 N4 Beach and Site-2 Pulicat Lake</w:t>
      </w:r>
    </w:p>
    <w:p w14:paraId="54207169" w14:textId="77777777" w:rsidR="00BB387F" w:rsidRDefault="00BB387F" w:rsidP="00BB387F">
      <w:pPr>
        <w:spacing w:line="240" w:lineRule="auto"/>
        <w:jc w:val="center"/>
        <w:rPr>
          <w:rFonts w:ascii="Times New Roman" w:hAnsi="Times New Roman" w:cs="Times New Roman"/>
          <w:bCs/>
          <w:sz w:val="24"/>
          <w:szCs w:val="24"/>
        </w:rPr>
      </w:pPr>
    </w:p>
    <w:p w14:paraId="4A8ABBD8" w14:textId="5E00B70D" w:rsidR="00662DD8" w:rsidRDefault="0064213A" w:rsidP="00662DD8">
      <w:pPr>
        <w:spacing w:line="240" w:lineRule="auto"/>
        <w:rPr>
          <w:rFonts w:ascii="Times New Roman" w:hAnsi="Times New Roman" w:cs="Times New Roman"/>
          <w:b/>
          <w:bCs/>
          <w:sz w:val="24"/>
          <w:szCs w:val="24"/>
        </w:rPr>
      </w:pPr>
      <w:r w:rsidRPr="00662DD8">
        <w:rPr>
          <w:rFonts w:ascii="Times New Roman" w:hAnsi="Times New Roman" w:cs="Times New Roman"/>
          <w:b/>
          <w:bCs/>
          <w:sz w:val="24"/>
          <w:szCs w:val="24"/>
        </w:rPr>
        <w:t>DISCUSSION</w:t>
      </w:r>
    </w:p>
    <w:p w14:paraId="47552356" w14:textId="4A293C31" w:rsidR="00662DD8" w:rsidRPr="00662DD8" w:rsidRDefault="00860945" w:rsidP="00DF5D68">
      <w:pPr>
        <w:pStyle w:val="Default"/>
        <w:spacing w:after="240" w:line="360" w:lineRule="auto"/>
        <w:jc w:val="both"/>
        <w:rPr>
          <w:rFonts w:ascii="Times New Roman" w:hAnsi="Times New Roman" w:cs="Times New Roman"/>
        </w:rPr>
      </w:pPr>
      <w:r w:rsidRPr="00DF6E70">
        <w:rPr>
          <w:rFonts w:ascii="Times New Roman" w:hAnsi="Times New Roman" w:cs="Times New Roman"/>
        </w:rPr>
        <w:t xml:space="preserve">The potential impact of microplastics on the neurophysiology, immune parameters, and protein concentration of </w:t>
      </w:r>
      <w:r w:rsidRPr="00DF6E70">
        <w:rPr>
          <w:rFonts w:ascii="Times New Roman" w:hAnsi="Times New Roman" w:cs="Times New Roman"/>
          <w:i/>
          <w:iCs/>
        </w:rPr>
        <w:t>P</w:t>
      </w:r>
      <w:r>
        <w:rPr>
          <w:rFonts w:ascii="Times New Roman" w:hAnsi="Times New Roman" w:cs="Times New Roman"/>
          <w:i/>
          <w:iCs/>
        </w:rPr>
        <w:t>.</w:t>
      </w:r>
      <w:r w:rsidRPr="00DF6E70">
        <w:rPr>
          <w:rFonts w:ascii="Times New Roman" w:hAnsi="Times New Roman" w:cs="Times New Roman"/>
          <w:i/>
          <w:iCs/>
        </w:rPr>
        <w:t xml:space="preserve"> viridis</w:t>
      </w:r>
      <w:r w:rsidRPr="00DF6E70">
        <w:rPr>
          <w:rFonts w:ascii="Times New Roman" w:hAnsi="Times New Roman" w:cs="Times New Roman"/>
        </w:rPr>
        <w:t xml:space="preserve"> from Site-1 and Site-2 was reflected through notable variations observed between the two sampling locations. </w:t>
      </w:r>
      <w:r w:rsidR="00662DD8" w:rsidRPr="00662DD8">
        <w:rPr>
          <w:rFonts w:ascii="Times New Roman" w:hAnsi="Times New Roman" w:cs="Times New Roman"/>
        </w:rPr>
        <w:t xml:space="preserve">Acetylcholinesterase (AChE) is a key enzyme involved in the breakdown of the neurotransmitter acetylcholine and is widely recognized as an important neurophysiological biomarker. The reduced AChE activity observed in </w:t>
      </w:r>
      <w:r w:rsidR="00662DD8" w:rsidRPr="00662DD8">
        <w:rPr>
          <w:rFonts w:ascii="Times New Roman" w:hAnsi="Times New Roman" w:cs="Times New Roman"/>
          <w:i/>
          <w:iCs/>
        </w:rPr>
        <w:t>P. viridis</w:t>
      </w:r>
      <w:r w:rsidR="00662DD8" w:rsidRPr="00662DD8">
        <w:rPr>
          <w:rFonts w:ascii="Times New Roman" w:hAnsi="Times New Roman" w:cs="Times New Roman"/>
        </w:rPr>
        <w:t xml:space="preserve"> from Site-1 suggests increased exposure to neurotoxic contaminants such as heavy metals, carbamates, organophosphates, and microplastics (Deidda et al., 2021). Recent studies indicate that microplastics can act as vectors for harmful substances, including pesticides and heavy metals, thereby impairing neuromuscular function and inhibiting AChE activity (Rafa et al., </w:t>
      </w:r>
      <w:r w:rsidR="00662DD8" w:rsidRPr="00662DD8">
        <w:rPr>
          <w:rFonts w:ascii="Times New Roman" w:hAnsi="Times New Roman" w:cs="Times New Roman"/>
        </w:rPr>
        <w:lastRenderedPageBreak/>
        <w:t xml:space="preserve">2024). Similar reductions in AChE activity have been reported in other bivalves exposed to microplastics (Capolupo et al., 2021; Ribeiro et al., 2017). As a filter-feeding organism, </w:t>
      </w:r>
      <w:r w:rsidR="00662DD8" w:rsidRPr="00662DD8">
        <w:rPr>
          <w:rFonts w:ascii="Times New Roman" w:hAnsi="Times New Roman" w:cs="Times New Roman"/>
          <w:i/>
          <w:iCs/>
        </w:rPr>
        <w:t>P. viridis</w:t>
      </w:r>
      <w:r w:rsidR="00662DD8" w:rsidRPr="00662DD8">
        <w:rPr>
          <w:rFonts w:ascii="Times New Roman" w:hAnsi="Times New Roman" w:cs="Times New Roman"/>
        </w:rPr>
        <w:t xml:space="preserve"> is particularly vulnerable to the bioaccumulation of microplastics and associated pollutants, which likely explains the observed enzyme inhibition.</w:t>
      </w:r>
    </w:p>
    <w:p w14:paraId="01877283" w14:textId="0C0F3700" w:rsidR="00BB387F"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Alterations in immunological parameters further indicate physiological stress in mussels exposed to microplastics. The prolonged haemolymph clotting time observed in mussels from Site-1 suggests an impaired immune response. This delay in clot formation may be associated with higher microplastic occurrence at Site-1, as previously reported</w:t>
      </w:r>
      <w:r w:rsidR="001102E3">
        <w:rPr>
          <w:rFonts w:ascii="Times New Roman" w:hAnsi="Times New Roman" w:cs="Times New Roman"/>
          <w:sz w:val="24"/>
          <w:szCs w:val="24"/>
        </w:rPr>
        <w:t xml:space="preserve"> </w:t>
      </w:r>
      <w:r w:rsidR="001102E3" w:rsidRPr="00EA3F30">
        <w:rPr>
          <w:rFonts w:ascii="Times New Roman" w:hAnsi="Times New Roman" w:cs="Times New Roman"/>
          <w:sz w:val="24"/>
          <w:szCs w:val="24"/>
        </w:rPr>
        <w:t>(Janani Kittan &amp; Asha P., 2025)</w:t>
      </w:r>
      <w:r w:rsidRPr="002B370C">
        <w:rPr>
          <w:rFonts w:ascii="Times New Roman" w:hAnsi="Times New Roman" w:cs="Times New Roman"/>
          <w:sz w:val="24"/>
          <w:szCs w:val="24"/>
        </w:rPr>
        <w:t>. Pollutants such as persistent organic pollutants, heavy metals, and microplastics have been shown to interfere with hemocyte aggregation and clotting mechanisms (Okoye et al., 2022). Extended exposure can lead to a reduction in viable haemocyte numbers, thereby diminishing clotting efficiency (Canesi et al., 2015). Additionally, oxidative damage may impair clotting protein synthesis, contributing to prolonged clotting time (Paul-Pont et al., 2016).</w:t>
      </w:r>
    </w:p>
    <w:p w14:paraId="67069BF4" w14:textId="3B01A4DB" w:rsidR="002B370C" w:rsidRDefault="002B370C" w:rsidP="0064213A">
      <w:pPr>
        <w:spacing w:line="360" w:lineRule="auto"/>
        <w:jc w:val="both"/>
        <w:rPr>
          <w:rFonts w:ascii="Times New Roman" w:hAnsi="Times New Roman" w:cs="Times New Roman"/>
          <w:sz w:val="24"/>
          <w:szCs w:val="24"/>
        </w:rPr>
      </w:pPr>
      <w:r w:rsidRPr="002B370C">
        <w:rPr>
          <w:rFonts w:ascii="Times New Roman" w:hAnsi="Times New Roman" w:cs="Times New Roman"/>
          <w:sz w:val="24"/>
          <w:szCs w:val="24"/>
        </w:rPr>
        <w:t xml:space="preserve">The reduced total haemocyte count (THC) observed in Site-1 mussels further supports the possibility of immunosuppression. THC is a sensitive indicator of immune competence in bivalves and can be influenced by environmental stressors, including pollutants. Lower THC levels may reflect haemocyte apoptosis, reduced proliferation, or impaired immune function induced by microplastic exposure (Sun et al., 2020). Similar immune suppression has been documented in bivalves such as </w:t>
      </w:r>
      <w:r w:rsidRPr="002B370C">
        <w:rPr>
          <w:rFonts w:ascii="Times New Roman" w:hAnsi="Times New Roman" w:cs="Times New Roman"/>
          <w:i/>
          <w:iCs/>
          <w:sz w:val="24"/>
          <w:szCs w:val="24"/>
        </w:rPr>
        <w:t>Mytilus</w:t>
      </w:r>
      <w:r w:rsidRPr="002B370C">
        <w:rPr>
          <w:rFonts w:ascii="Times New Roman" w:hAnsi="Times New Roman" w:cs="Times New Roman"/>
          <w:sz w:val="24"/>
          <w:szCs w:val="24"/>
        </w:rPr>
        <w:t xml:space="preserve"> species exposed to phthalates and polystyrene microplastics (Gao et al., 2025). The observed reduction in THC may therefore represent an early biomarker of sublethal environmental stress.</w:t>
      </w:r>
      <w:r w:rsidR="00BF1960">
        <w:rPr>
          <w:rFonts w:ascii="Times New Roman" w:hAnsi="Times New Roman" w:cs="Times New Roman"/>
          <w:sz w:val="24"/>
          <w:szCs w:val="24"/>
        </w:rPr>
        <w:t xml:space="preserve"> </w:t>
      </w:r>
    </w:p>
    <w:p w14:paraId="2542A275" w14:textId="51A316BF" w:rsidR="00BF1960" w:rsidRDefault="00BF1960" w:rsidP="0064213A">
      <w:pPr>
        <w:spacing w:line="360" w:lineRule="auto"/>
        <w:jc w:val="both"/>
        <w:rPr>
          <w:rFonts w:ascii="Times New Roman" w:hAnsi="Times New Roman" w:cs="Times New Roman"/>
          <w:sz w:val="24"/>
          <w:szCs w:val="24"/>
        </w:rPr>
      </w:pPr>
      <w:r w:rsidRPr="00BF1960">
        <w:rPr>
          <w:rFonts w:ascii="Times New Roman" w:hAnsi="Times New Roman" w:cs="Times New Roman"/>
          <w:sz w:val="24"/>
          <w:szCs w:val="24"/>
        </w:rPr>
        <w:t>Protein concentration plays a fundamental role in maintaining physiological, metabolic, and immune functions in bivalves. The significantly lower protein levels observed in both gill and posterior adductor muscle tissues of Site-1 mussels suggest metabolic disruption and cellular stress associated with higher microplastic exposure. Reduced protein content may result from impaired digestive efficiency and nutrient assimilation caused by microplastic ingestion (Trestrail et al., 2021). At the molecular level, exposure to polystyrene microplastics has been shown to downregulate genes involved in ribosomal function and metabolism, thereby limiting protein synthesis (Jaouani et al., 2023).</w:t>
      </w:r>
    </w:p>
    <w:p w14:paraId="42316155" w14:textId="5EAAF8DF" w:rsidR="00412766" w:rsidRDefault="00BF1960" w:rsidP="00DF5D68">
      <w:pPr>
        <w:pStyle w:val="Default"/>
        <w:spacing w:after="240" w:line="360" w:lineRule="auto"/>
        <w:jc w:val="both"/>
        <w:rPr>
          <w:rFonts w:ascii="Times New Roman" w:hAnsi="Times New Roman" w:cs="Times New Roman"/>
        </w:rPr>
      </w:pPr>
      <w:r w:rsidRPr="00BF1960">
        <w:rPr>
          <w:rFonts w:ascii="Times New Roman" w:hAnsi="Times New Roman" w:cs="Times New Roman"/>
        </w:rPr>
        <w:t xml:space="preserve">Furthermore, protein depletion may indicate increased energy expenditure to counteract stress conditions. Elevated antioxidant enzyme activity accompanied by reduced protein levels has </w:t>
      </w:r>
      <w:r w:rsidRPr="00BF1960">
        <w:rPr>
          <w:rFonts w:ascii="Times New Roman" w:hAnsi="Times New Roman" w:cs="Times New Roman"/>
        </w:rPr>
        <w:lastRenderedPageBreak/>
        <w:t xml:space="preserve">been reported in </w:t>
      </w:r>
      <w:r w:rsidRPr="00BF1960">
        <w:rPr>
          <w:rFonts w:ascii="Times New Roman" w:hAnsi="Times New Roman" w:cs="Times New Roman"/>
          <w:i/>
          <w:iCs/>
        </w:rPr>
        <w:t>P. viridis</w:t>
      </w:r>
      <w:r w:rsidRPr="00BF1960">
        <w:rPr>
          <w:rFonts w:ascii="Times New Roman" w:hAnsi="Times New Roman" w:cs="Times New Roman"/>
        </w:rPr>
        <w:t xml:space="preserve"> exposed to microplastics, suggesting protein diversion or degradation in response to oxidative stress (Li et al., 2022). Energy depletion resulting from stress responses and impaired energy allocation may also contribute to reduced protein reserves (Shang et al., 2021). Additionally, gut blockages, reduced food intake, and disrupted energy metabolism caused by microplastics have been shown to lower protein levels in bivalves (Sussarellu et al., 2016).</w:t>
      </w:r>
      <w:r w:rsidR="00DF5D68">
        <w:rPr>
          <w:rFonts w:ascii="Times New Roman" w:hAnsi="Times New Roman" w:cs="Times New Roman"/>
        </w:rPr>
        <w:t xml:space="preserve"> </w:t>
      </w:r>
      <w:r w:rsidR="00DF5D68" w:rsidRPr="00DF6E70">
        <w:rPr>
          <w:rFonts w:ascii="Times New Roman" w:hAnsi="Times New Roman" w:cs="Times New Roman"/>
        </w:rPr>
        <w:t>The findings indicate that microplastics not only accumulate in mussel tissues and shells but are also associated with alterations in biological functioning.</w:t>
      </w:r>
    </w:p>
    <w:p w14:paraId="6DD08FB8" w14:textId="77777777" w:rsidR="00DF5D68" w:rsidRPr="00E11E87" w:rsidRDefault="00DF5D68" w:rsidP="00DF5D68">
      <w:pPr>
        <w:pStyle w:val="Default"/>
        <w:spacing w:after="240" w:line="360" w:lineRule="auto"/>
        <w:jc w:val="both"/>
        <w:rPr>
          <w:rFonts w:ascii="Times New Roman" w:hAnsi="Times New Roman" w:cs="Times New Roman"/>
        </w:rPr>
      </w:pPr>
    </w:p>
    <w:p w14:paraId="11D89965" w14:textId="74A3FB25" w:rsidR="00BD31B6" w:rsidRPr="00BD31B6" w:rsidRDefault="00BD31B6" w:rsidP="00BD31B6">
      <w:pPr>
        <w:spacing w:line="360" w:lineRule="auto"/>
        <w:jc w:val="both"/>
        <w:rPr>
          <w:rFonts w:ascii="Times New Roman" w:hAnsi="Times New Roman" w:cs="Times New Roman"/>
          <w:b/>
          <w:bCs/>
          <w:sz w:val="24"/>
          <w:szCs w:val="24"/>
        </w:rPr>
      </w:pPr>
      <w:r w:rsidRPr="00BD31B6">
        <w:rPr>
          <w:rFonts w:ascii="Times New Roman" w:hAnsi="Times New Roman" w:cs="Times New Roman"/>
          <w:b/>
          <w:bCs/>
          <w:sz w:val="24"/>
          <w:szCs w:val="24"/>
        </w:rPr>
        <w:t>CONCLUSION</w:t>
      </w:r>
    </w:p>
    <w:p w14:paraId="3D816F83" w14:textId="77777777"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The present study provides important insights into the sub-lethal physiological consequences of environmental microplastic exposure in the green mussel </w:t>
      </w:r>
      <w:r w:rsidRPr="00BD31B6">
        <w:rPr>
          <w:rFonts w:ascii="Times New Roman" w:hAnsi="Times New Roman" w:cs="Times New Roman"/>
          <w:i/>
          <w:iCs/>
          <w:sz w:val="24"/>
          <w:szCs w:val="24"/>
        </w:rPr>
        <w:t>Perna viridis</w:t>
      </w:r>
      <w:r w:rsidRPr="00BD31B6">
        <w:rPr>
          <w:rFonts w:ascii="Times New Roman" w:hAnsi="Times New Roman" w:cs="Times New Roman"/>
          <w:sz w:val="24"/>
          <w:szCs w:val="24"/>
        </w:rPr>
        <w:t xml:space="preserve">, a key ecological and commercially valuable bivalve species. By integrating neurophysiological, immunological, and biochemical biomarkers, this work highlights the sensitivity of </w:t>
      </w:r>
      <w:r w:rsidRPr="00BD31B6">
        <w:rPr>
          <w:rFonts w:ascii="Times New Roman" w:hAnsi="Times New Roman" w:cs="Times New Roman"/>
          <w:i/>
          <w:iCs/>
          <w:sz w:val="24"/>
          <w:szCs w:val="24"/>
        </w:rPr>
        <w:t>P. viridis</w:t>
      </w:r>
      <w:r w:rsidRPr="00BD31B6">
        <w:rPr>
          <w:rFonts w:ascii="Times New Roman" w:hAnsi="Times New Roman" w:cs="Times New Roman"/>
          <w:sz w:val="24"/>
          <w:szCs w:val="24"/>
        </w:rPr>
        <w:t xml:space="preserve"> to microplastic-associated stress under natural environmental conditions. The findings collectively demonstrate that microplastic contamination poses a multifaceted threat to mussel health, affecting essential biological processes that are critical for survival, immune competence, and metabolic stability.</w:t>
      </w:r>
    </w:p>
    <w:p w14:paraId="299FDACB" w14:textId="77777777"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The observed physiological alterations emphasize the role of microplastics not only as physical stressors but also as vectors for co-contaminants capable of exacerbating toxicological impacts. The study reinforces the suitability of green mussels as effective bioindicators for monitoring microplastic pollution in coastal ecosystems, particularly in regions subjected to intense anthropogenic pressure. Given the widespread consumption of </w:t>
      </w:r>
      <w:r w:rsidRPr="00BD31B6">
        <w:rPr>
          <w:rFonts w:ascii="Times New Roman" w:hAnsi="Times New Roman" w:cs="Times New Roman"/>
          <w:i/>
          <w:iCs/>
          <w:sz w:val="24"/>
          <w:szCs w:val="24"/>
        </w:rPr>
        <w:t>P. viridis</w:t>
      </w:r>
      <w:r w:rsidRPr="00BD31B6">
        <w:rPr>
          <w:rFonts w:ascii="Times New Roman" w:hAnsi="Times New Roman" w:cs="Times New Roman"/>
          <w:sz w:val="24"/>
          <w:szCs w:val="24"/>
        </w:rPr>
        <w:t>, the bioaccumulation of microplastics in this species also raises concerns regarding potential human exposure through seafood intake.</w:t>
      </w:r>
    </w:p>
    <w:p w14:paraId="74996E4B" w14:textId="10C55EBA" w:rsidR="00BD31B6" w:rsidRPr="00BD31B6" w:rsidRDefault="00BD31B6" w:rsidP="00BD31B6">
      <w:pPr>
        <w:spacing w:line="360" w:lineRule="auto"/>
        <w:jc w:val="both"/>
        <w:rPr>
          <w:rFonts w:ascii="Times New Roman" w:hAnsi="Times New Roman" w:cs="Times New Roman"/>
          <w:sz w:val="24"/>
          <w:szCs w:val="24"/>
        </w:rPr>
      </w:pPr>
      <w:r w:rsidRPr="00BD31B6">
        <w:rPr>
          <w:rFonts w:ascii="Times New Roman" w:hAnsi="Times New Roman" w:cs="Times New Roman"/>
          <w:sz w:val="24"/>
          <w:szCs w:val="24"/>
        </w:rPr>
        <w:t xml:space="preserve">Overall, this research contributes to a growing body of evidence underscoring the ecological risks associated with microplastic pollution and the need for comprehensive monitoring strategies. Future investigations should focus on long-term exposure effects, molecular and transgenerational impacts, and trophic transfer of microplastics </w:t>
      </w:r>
      <w:r w:rsidR="00C3612B">
        <w:rPr>
          <w:rFonts w:ascii="Times New Roman" w:hAnsi="Times New Roman" w:cs="Times New Roman"/>
          <w:sz w:val="24"/>
          <w:szCs w:val="24"/>
        </w:rPr>
        <w:t xml:space="preserve">(biomagnification) </w:t>
      </w:r>
      <w:r w:rsidRPr="00BD31B6">
        <w:rPr>
          <w:rFonts w:ascii="Times New Roman" w:hAnsi="Times New Roman" w:cs="Times New Roman"/>
          <w:sz w:val="24"/>
          <w:szCs w:val="24"/>
        </w:rPr>
        <w:t>to better assess ecosystem</w:t>
      </w:r>
      <w:r w:rsidR="00C3612B">
        <w:rPr>
          <w:rFonts w:ascii="Times New Roman" w:hAnsi="Times New Roman" w:cs="Times New Roman"/>
          <w:sz w:val="24"/>
          <w:szCs w:val="24"/>
        </w:rPr>
        <w:t xml:space="preserve"> </w:t>
      </w:r>
      <w:r w:rsidRPr="00BD31B6">
        <w:rPr>
          <w:rFonts w:ascii="Times New Roman" w:hAnsi="Times New Roman" w:cs="Times New Roman"/>
          <w:sz w:val="24"/>
          <w:szCs w:val="24"/>
        </w:rPr>
        <w:t>level consequences and potential implications for food safety and human health.</w:t>
      </w:r>
    </w:p>
    <w:p w14:paraId="1EFE4872" w14:textId="77777777" w:rsidR="00125A30" w:rsidRDefault="00125A30" w:rsidP="0064213A">
      <w:pPr>
        <w:spacing w:line="360" w:lineRule="auto"/>
        <w:jc w:val="both"/>
        <w:rPr>
          <w:rFonts w:ascii="Times New Roman" w:hAnsi="Times New Roman" w:cs="Times New Roman"/>
          <w:sz w:val="24"/>
          <w:szCs w:val="24"/>
        </w:rPr>
      </w:pPr>
    </w:p>
    <w:p w14:paraId="6149F37E" w14:textId="77777777" w:rsidR="00820E29" w:rsidRPr="00820E29"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lastRenderedPageBreak/>
        <w:t>The manuscript contains original data that hasn't been published anywhere else.</w:t>
      </w:r>
    </w:p>
    <w:p w14:paraId="6D0F1498" w14:textId="3F5336F8" w:rsidR="00820E29" w:rsidRPr="00820E29" w:rsidRDefault="00820E29" w:rsidP="00820E29">
      <w:pPr>
        <w:spacing w:line="240" w:lineRule="auto"/>
        <w:jc w:val="both"/>
        <w:rPr>
          <w:rFonts w:ascii="Times New Roman" w:hAnsi="Times New Roman" w:cs="Times New Roman"/>
          <w:b/>
          <w:sz w:val="24"/>
          <w:szCs w:val="24"/>
          <w:lang w:val="en-US"/>
        </w:rPr>
      </w:pPr>
      <w:r w:rsidRPr="00820E29">
        <w:rPr>
          <w:rFonts w:ascii="Times New Roman" w:hAnsi="Times New Roman" w:cs="Times New Roman"/>
          <w:b/>
          <w:sz w:val="24"/>
          <w:szCs w:val="24"/>
          <w:lang w:val="en-US"/>
        </w:rPr>
        <w:t>Ethical approval, Conflict of interest is not applicable.</w:t>
      </w:r>
    </w:p>
    <w:p w14:paraId="7695F3AA" w14:textId="1C288E11" w:rsidR="00820E29" w:rsidRPr="00820E29" w:rsidRDefault="00820E29" w:rsidP="00820E29">
      <w:pPr>
        <w:spacing w:line="240" w:lineRule="auto"/>
        <w:jc w:val="both"/>
        <w:rPr>
          <w:rFonts w:ascii="Times New Roman" w:hAnsi="Times New Roman" w:cs="Times New Roman"/>
          <w:b/>
          <w:sz w:val="24"/>
          <w:szCs w:val="24"/>
        </w:rPr>
      </w:pPr>
      <w:r w:rsidRPr="00820E29">
        <w:rPr>
          <w:rFonts w:ascii="Times New Roman" w:hAnsi="Times New Roman" w:cs="Times New Roman"/>
          <w:b/>
          <w:sz w:val="24"/>
          <w:szCs w:val="24"/>
        </w:rPr>
        <w:t xml:space="preserve">All authors have given their consent for the manuscript to be published in the </w:t>
      </w:r>
      <w:r>
        <w:rPr>
          <w:rFonts w:ascii="Times New Roman" w:hAnsi="Times New Roman" w:cs="Times New Roman"/>
          <w:b/>
          <w:sz w:val="24"/>
          <w:szCs w:val="24"/>
        </w:rPr>
        <w:t xml:space="preserve">Uttar </w:t>
      </w:r>
      <w:r w:rsidR="00943A3D">
        <w:rPr>
          <w:rFonts w:ascii="Times New Roman" w:hAnsi="Times New Roman" w:cs="Times New Roman"/>
          <w:b/>
          <w:sz w:val="24"/>
          <w:szCs w:val="24"/>
        </w:rPr>
        <w:t>Pradesh Journal of Zoology.</w:t>
      </w:r>
    </w:p>
    <w:p w14:paraId="18A1E112" w14:textId="77777777" w:rsidR="00820E29" w:rsidRDefault="00820E29" w:rsidP="0064213A">
      <w:pPr>
        <w:spacing w:line="360" w:lineRule="auto"/>
        <w:jc w:val="both"/>
        <w:rPr>
          <w:rFonts w:ascii="Times New Roman" w:hAnsi="Times New Roman" w:cs="Times New Roman"/>
          <w:b/>
          <w:bCs/>
          <w:sz w:val="24"/>
          <w:szCs w:val="24"/>
        </w:rPr>
      </w:pPr>
    </w:p>
    <w:p w14:paraId="7AD228B0" w14:textId="4D643714" w:rsidR="00D824BC" w:rsidRDefault="00555D6B" w:rsidP="0064213A">
      <w:pPr>
        <w:spacing w:line="360" w:lineRule="auto"/>
        <w:jc w:val="both"/>
        <w:rPr>
          <w:rFonts w:ascii="Times New Roman" w:hAnsi="Times New Roman" w:cs="Times New Roman"/>
          <w:b/>
          <w:bCs/>
          <w:sz w:val="24"/>
          <w:szCs w:val="24"/>
        </w:rPr>
      </w:pPr>
      <w:commentRangeStart w:id="3"/>
      <w:r w:rsidRPr="00555D6B">
        <w:rPr>
          <w:rFonts w:ascii="Times New Roman" w:hAnsi="Times New Roman" w:cs="Times New Roman"/>
          <w:b/>
          <w:bCs/>
          <w:sz w:val="24"/>
          <w:szCs w:val="24"/>
        </w:rPr>
        <w:t xml:space="preserve">REFERENCES </w:t>
      </w:r>
      <w:commentRangeEnd w:id="3"/>
      <w:r w:rsidR="00892D03">
        <w:rPr>
          <w:rStyle w:val="CommentReference"/>
        </w:rPr>
        <w:commentReference w:id="3"/>
      </w:r>
    </w:p>
    <w:p w14:paraId="5142A573" w14:textId="4471D6B4" w:rsidR="009D0049" w:rsidRPr="003F691A" w:rsidRDefault="009D0049" w:rsidP="009D0049">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Beyer, J., Green, N. W., Brooks, S., Allan, I. J., Ruus, A., Gomes, T., &amp; Schøyen, M</w:t>
      </w:r>
      <w:r w:rsidR="0038255D">
        <w:rPr>
          <w:rFonts w:ascii="Times New Roman" w:hAnsi="Times New Roman" w:cs="Times New Roman"/>
          <w:color w:val="222222"/>
          <w:sz w:val="24"/>
          <w:szCs w:val="24"/>
          <w:shd w:val="clear" w:color="auto" w:fill="FFFFFF"/>
        </w:rPr>
        <w:t xml:space="preserve">. </w:t>
      </w:r>
      <w:r w:rsidR="0038255D" w:rsidRPr="003F691A">
        <w:rPr>
          <w:rFonts w:ascii="Times New Roman" w:hAnsi="Times New Roman" w:cs="Times New Roman"/>
          <w:color w:val="222222"/>
          <w:sz w:val="24"/>
          <w:szCs w:val="24"/>
          <w:shd w:val="clear" w:color="auto" w:fill="FFFFFF"/>
        </w:rPr>
        <w:t>(2017).</w:t>
      </w:r>
      <w:r w:rsidR="0038255D">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color w:val="222222"/>
          <w:sz w:val="24"/>
          <w:szCs w:val="24"/>
          <w:shd w:val="clear" w:color="auto" w:fill="FFFFFF"/>
        </w:rPr>
        <w:t>Blue mussels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xml:space="preserve"> spp.) as sentinel organisms in coastal pollution monitoring: a review. </w:t>
      </w:r>
      <w:r w:rsidRPr="003F691A">
        <w:rPr>
          <w:rFonts w:ascii="Times New Roman" w:hAnsi="Times New Roman" w:cs="Times New Roman"/>
          <w:i/>
          <w:iCs/>
          <w:color w:val="222222"/>
          <w:sz w:val="24"/>
          <w:szCs w:val="24"/>
          <w:shd w:val="clear" w:color="auto" w:fill="FFFFFF"/>
        </w:rPr>
        <w:t>Marine Environmental Research</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130</w:t>
      </w:r>
      <w:r w:rsidRPr="003F691A">
        <w:rPr>
          <w:rFonts w:ascii="Times New Roman" w:hAnsi="Times New Roman" w:cs="Times New Roman"/>
          <w:color w:val="222222"/>
          <w:sz w:val="24"/>
          <w:szCs w:val="24"/>
          <w:shd w:val="clear" w:color="auto" w:fill="FFFFFF"/>
        </w:rPr>
        <w:t>, 338-365</w:t>
      </w:r>
      <w:r w:rsidR="0038255D">
        <w:rPr>
          <w:rFonts w:ascii="Times New Roman" w:hAnsi="Times New Roman" w:cs="Times New Roman"/>
          <w:color w:val="222222"/>
          <w:sz w:val="24"/>
          <w:szCs w:val="24"/>
          <w:shd w:val="clear" w:color="auto" w:fill="FFFFFF"/>
        </w:rPr>
        <w:t>.</w:t>
      </w:r>
    </w:p>
    <w:p w14:paraId="04D206D8" w14:textId="54ABFF12" w:rsidR="009D0049" w:rsidRPr="003F691A" w:rsidRDefault="009D0049" w:rsidP="009D0049">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Canesi, L., Ciacci, C., Bergami, E., Monopoli, M. P., Dawson, K. A., Papa, S., ... &amp; Corsi, I</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(2015).</w:t>
      </w:r>
      <w:r w:rsidR="00A0308A">
        <w:rPr>
          <w:rFonts w:ascii="Times New Roman" w:hAnsi="Times New Roman" w:cs="Times New Roman"/>
          <w:sz w:val="24"/>
          <w:szCs w:val="24"/>
          <w:shd w:val="clear" w:color="auto" w:fill="FFFFFF"/>
        </w:rPr>
        <w:t xml:space="preserve"> </w:t>
      </w:r>
      <w:r w:rsidRPr="003F691A">
        <w:rPr>
          <w:rFonts w:ascii="Times New Roman" w:hAnsi="Times New Roman" w:cs="Times New Roman"/>
          <w:sz w:val="24"/>
          <w:szCs w:val="24"/>
          <w:shd w:val="clear" w:color="auto" w:fill="FFFFFF"/>
        </w:rPr>
        <w:t>Evidence for immunomodulation and apoptotic processes induced by cationic polystyrene nanoparticles in the hemocytes of the marine bivalve Mytilus. </w:t>
      </w:r>
      <w:r w:rsidRPr="003F691A">
        <w:rPr>
          <w:rFonts w:ascii="Times New Roman" w:hAnsi="Times New Roman" w:cs="Times New Roman"/>
          <w:i/>
          <w:iCs/>
          <w:sz w:val="24"/>
          <w:szCs w:val="24"/>
          <w:shd w:val="clear" w:color="auto" w:fill="FFFFFF"/>
        </w:rPr>
        <w:t>Marine Environmental Research</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111</w:t>
      </w:r>
      <w:r w:rsidRPr="003F691A">
        <w:rPr>
          <w:rFonts w:ascii="Times New Roman" w:hAnsi="Times New Roman" w:cs="Times New Roman"/>
          <w:sz w:val="24"/>
          <w:szCs w:val="24"/>
          <w:shd w:val="clear" w:color="auto" w:fill="FFFFFF"/>
        </w:rPr>
        <w:t>, 34-40</w:t>
      </w:r>
      <w:r w:rsidR="0038255D">
        <w:rPr>
          <w:rFonts w:ascii="Times New Roman" w:hAnsi="Times New Roman" w:cs="Times New Roman"/>
          <w:sz w:val="24"/>
          <w:szCs w:val="24"/>
          <w:shd w:val="clear" w:color="auto" w:fill="FFFFFF"/>
        </w:rPr>
        <w:t>.</w:t>
      </w:r>
    </w:p>
    <w:p w14:paraId="085D4CB0" w14:textId="7AA8A615" w:rsidR="009D0049" w:rsidRPr="003F691A" w:rsidRDefault="009D0049" w:rsidP="009D0049">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Capolupo, M., Valbonesi, P., &amp; Fabbri, E</w:t>
      </w:r>
      <w:r w:rsidR="00A0308A">
        <w:rPr>
          <w:rFonts w:ascii="Times New Roman" w:hAnsi="Times New Roman" w:cs="Times New Roman"/>
          <w:color w:val="222222"/>
          <w:sz w:val="24"/>
          <w:szCs w:val="24"/>
          <w:shd w:val="clear" w:color="auto" w:fill="FFFFFF"/>
        </w:rPr>
        <w:t xml:space="preserve">. </w:t>
      </w:r>
      <w:r w:rsidR="00A0308A"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A comparative assessment of the chronic effects of micro-and nano-plastics on the physiology of the Mediterranean mussel </w:t>
      </w:r>
      <w:r w:rsidRPr="003F691A">
        <w:rPr>
          <w:rFonts w:ascii="Times New Roman" w:hAnsi="Times New Roman" w:cs="Times New Roman"/>
          <w:i/>
          <w:iCs/>
          <w:color w:val="222222"/>
          <w:sz w:val="24"/>
          <w:szCs w:val="24"/>
          <w:shd w:val="clear" w:color="auto" w:fill="FFFFFF"/>
        </w:rPr>
        <w:t>Mytilus galloprovincialis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Nanomaterials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11</w:t>
      </w:r>
      <w:r w:rsidRPr="003F691A">
        <w:rPr>
          <w:rFonts w:ascii="Times New Roman" w:hAnsi="Times New Roman" w:cs="Times New Roman"/>
          <w:color w:val="222222"/>
          <w:sz w:val="24"/>
          <w:szCs w:val="24"/>
          <w:shd w:val="clear" w:color="auto" w:fill="FFFFFF"/>
        </w:rPr>
        <w:t>(3), 649</w:t>
      </w:r>
      <w:r w:rsidR="00A0308A">
        <w:rPr>
          <w:rFonts w:ascii="Times New Roman" w:hAnsi="Times New Roman" w:cs="Times New Roman"/>
          <w:color w:val="222222"/>
          <w:sz w:val="24"/>
          <w:szCs w:val="24"/>
          <w:shd w:val="clear" w:color="auto" w:fill="FFFFFF"/>
        </w:rPr>
        <w:t>.</w:t>
      </w:r>
    </w:p>
    <w:p w14:paraId="26A3B41D" w14:textId="3DEA1D7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commentRangeStart w:id="4"/>
      <w:r w:rsidRPr="003F691A">
        <w:rPr>
          <w:rFonts w:ascii="Times New Roman" w:hAnsi="Times New Roman" w:cs="Times New Roman"/>
          <w:color w:val="222222"/>
          <w:sz w:val="24"/>
          <w:szCs w:val="24"/>
          <w:shd w:val="clear" w:color="auto" w:fill="FFFFFF"/>
        </w:rPr>
        <w:t>Cherdsukjai, P., Vongpanich, V., &amp; Akkajit, P</w:t>
      </w:r>
      <w:r w:rsidR="00A0308A">
        <w:rPr>
          <w:rFonts w:ascii="Times New Roman" w:hAnsi="Times New Roman" w:cs="Times New Roman"/>
          <w:color w:val="222222"/>
          <w:sz w:val="24"/>
          <w:szCs w:val="24"/>
          <w:shd w:val="clear" w:color="auto" w:fill="FFFFFF"/>
        </w:rPr>
        <w:t xml:space="preserve">. </w:t>
      </w:r>
      <w:r w:rsidR="00A0308A"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Preliminary study and first evidence of presence of microplastics in green mussel, </w:t>
      </w:r>
      <w:r w:rsidRPr="003F691A">
        <w:rPr>
          <w:rFonts w:ascii="Times New Roman" w:hAnsi="Times New Roman" w:cs="Times New Roman"/>
          <w:i/>
          <w:iCs/>
          <w:color w:val="222222"/>
          <w:sz w:val="24"/>
          <w:szCs w:val="24"/>
          <w:shd w:val="clear" w:color="auto" w:fill="FFFFFF"/>
        </w:rPr>
        <w:t>P. viridis</w:t>
      </w:r>
      <w:r w:rsidRPr="003F691A">
        <w:rPr>
          <w:rFonts w:ascii="Times New Roman" w:hAnsi="Times New Roman" w:cs="Times New Roman"/>
          <w:color w:val="222222"/>
          <w:sz w:val="24"/>
          <w:szCs w:val="24"/>
          <w:shd w:val="clear" w:color="auto" w:fill="FFFFFF"/>
        </w:rPr>
        <w:t xml:space="preserve"> from Phuket. </w:t>
      </w:r>
      <w:r w:rsidRPr="003F691A">
        <w:rPr>
          <w:rFonts w:ascii="Times New Roman" w:hAnsi="Times New Roman" w:cs="Times New Roman"/>
          <w:i/>
          <w:iCs/>
          <w:color w:val="222222"/>
          <w:sz w:val="24"/>
          <w:szCs w:val="24"/>
          <w:shd w:val="clear" w:color="auto" w:fill="FFFFFF"/>
        </w:rPr>
        <w:t>Applied Environmental Research</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44</w:t>
      </w:r>
      <w:r w:rsidRPr="003F691A">
        <w:rPr>
          <w:rFonts w:ascii="Times New Roman" w:hAnsi="Times New Roman" w:cs="Times New Roman"/>
          <w:color w:val="222222"/>
          <w:sz w:val="24"/>
          <w:szCs w:val="24"/>
          <w:shd w:val="clear" w:color="auto" w:fill="FFFFFF"/>
        </w:rPr>
        <w:t>(1)</w:t>
      </w:r>
      <w:r w:rsidR="00A0308A">
        <w:rPr>
          <w:rFonts w:ascii="Times New Roman" w:hAnsi="Times New Roman" w:cs="Times New Roman"/>
          <w:color w:val="222222"/>
          <w:sz w:val="24"/>
          <w:szCs w:val="24"/>
          <w:shd w:val="clear" w:color="auto" w:fill="FFFFFF"/>
        </w:rPr>
        <w:t>.</w:t>
      </w:r>
      <w:commentRangeEnd w:id="4"/>
      <w:r w:rsidR="00892D03">
        <w:rPr>
          <w:rStyle w:val="CommentReference"/>
        </w:rPr>
        <w:commentReference w:id="4"/>
      </w:r>
    </w:p>
    <w:p w14:paraId="714175A1" w14:textId="153CAC4A"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Deidda, I., Russo, R., Bonaventura, R., Costa, C., Zito, F., &amp; Lampiasi, N</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(2021).</w:t>
      </w:r>
      <w:r w:rsidRPr="003F691A">
        <w:rPr>
          <w:rFonts w:ascii="Times New Roman" w:hAnsi="Times New Roman" w:cs="Times New Roman"/>
          <w:sz w:val="24"/>
          <w:szCs w:val="24"/>
          <w:shd w:val="clear" w:color="auto" w:fill="FFFFFF"/>
        </w:rPr>
        <w:t xml:space="preserve"> Neurotoxicity in marine invertebrates: An update. </w:t>
      </w:r>
      <w:r w:rsidRPr="003F691A">
        <w:rPr>
          <w:rFonts w:ascii="Times New Roman" w:hAnsi="Times New Roman" w:cs="Times New Roman"/>
          <w:i/>
          <w:iCs/>
          <w:sz w:val="24"/>
          <w:szCs w:val="24"/>
          <w:shd w:val="clear" w:color="auto" w:fill="FFFFFF"/>
        </w:rPr>
        <w:t>Biology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10</w:t>
      </w:r>
      <w:r w:rsidRPr="003F691A">
        <w:rPr>
          <w:rFonts w:ascii="Times New Roman" w:hAnsi="Times New Roman" w:cs="Times New Roman"/>
          <w:sz w:val="24"/>
          <w:szCs w:val="24"/>
          <w:shd w:val="clear" w:color="auto" w:fill="FFFFFF"/>
        </w:rPr>
        <w:t>(2), 161</w:t>
      </w:r>
      <w:r w:rsidR="00A0308A">
        <w:rPr>
          <w:rFonts w:ascii="Times New Roman" w:hAnsi="Times New Roman" w:cs="Times New Roman"/>
          <w:sz w:val="24"/>
          <w:szCs w:val="24"/>
          <w:shd w:val="clear" w:color="auto" w:fill="FFFFFF"/>
        </w:rPr>
        <w:t>.</w:t>
      </w:r>
    </w:p>
    <w:p w14:paraId="774A8B0F" w14:textId="3EA81417"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Ellman, G. L., Courtney, K. D., Andres Jr, V., &amp; Featherstone, R. M</w:t>
      </w:r>
      <w:r w:rsidR="00A0308A">
        <w:rPr>
          <w:rFonts w:ascii="Times New Roman" w:hAnsi="Times New Roman" w:cs="Times New Roman"/>
          <w:sz w:val="24"/>
          <w:szCs w:val="24"/>
          <w:shd w:val="clear" w:color="auto" w:fill="FFFFFF"/>
        </w:rPr>
        <w:t xml:space="preserve">. </w:t>
      </w:r>
      <w:r w:rsidR="00A0308A" w:rsidRPr="003F691A">
        <w:rPr>
          <w:rFonts w:ascii="Times New Roman" w:hAnsi="Times New Roman" w:cs="Times New Roman"/>
          <w:sz w:val="24"/>
          <w:szCs w:val="24"/>
          <w:shd w:val="clear" w:color="auto" w:fill="FFFFFF"/>
        </w:rPr>
        <w:t>(1961).</w:t>
      </w:r>
      <w:r w:rsidRPr="003F691A">
        <w:rPr>
          <w:rFonts w:ascii="Times New Roman" w:hAnsi="Times New Roman" w:cs="Times New Roman"/>
          <w:sz w:val="24"/>
          <w:szCs w:val="24"/>
          <w:shd w:val="clear" w:color="auto" w:fill="FFFFFF"/>
        </w:rPr>
        <w:t xml:space="preserve"> A new and rapid colorimetric determination of acetylcholinesterase activity. </w:t>
      </w:r>
      <w:r w:rsidRPr="003F691A">
        <w:rPr>
          <w:rFonts w:ascii="Times New Roman" w:hAnsi="Times New Roman" w:cs="Times New Roman"/>
          <w:i/>
          <w:iCs/>
          <w:sz w:val="24"/>
          <w:szCs w:val="24"/>
          <w:shd w:val="clear" w:color="auto" w:fill="FFFFFF"/>
        </w:rPr>
        <w:t>Biochemical Pharmacology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7</w:t>
      </w:r>
      <w:r w:rsidRPr="003F691A">
        <w:rPr>
          <w:rFonts w:ascii="Times New Roman" w:hAnsi="Times New Roman" w:cs="Times New Roman"/>
          <w:sz w:val="24"/>
          <w:szCs w:val="24"/>
          <w:shd w:val="clear" w:color="auto" w:fill="FFFFFF"/>
        </w:rPr>
        <w:t>(2), 88-95</w:t>
      </w:r>
      <w:r w:rsidR="00A0308A">
        <w:rPr>
          <w:rFonts w:ascii="Times New Roman" w:hAnsi="Times New Roman" w:cs="Times New Roman"/>
          <w:sz w:val="24"/>
          <w:szCs w:val="24"/>
          <w:shd w:val="clear" w:color="auto" w:fill="FFFFFF"/>
        </w:rPr>
        <w:t>.</w:t>
      </w:r>
    </w:p>
    <w:p w14:paraId="01C5BC1C" w14:textId="53703C23"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Ferreira, I., Venâncio, C., Lopes, I., &amp; Oliveira, M</w:t>
      </w:r>
      <w:r w:rsidR="006B11FE">
        <w:rPr>
          <w:rFonts w:ascii="Times New Roman" w:hAnsi="Times New Roman" w:cs="Times New Roman"/>
          <w:color w:val="222222"/>
          <w:sz w:val="24"/>
          <w:szCs w:val="24"/>
          <w:shd w:val="clear" w:color="auto" w:fill="FFFFFF"/>
        </w:rPr>
        <w:t xml:space="preserve">. </w:t>
      </w:r>
      <w:r w:rsidR="006B11FE"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Nanoplastics and marine organisms: what has been studied? </w:t>
      </w:r>
      <w:r w:rsidRPr="003F691A">
        <w:rPr>
          <w:rFonts w:ascii="Times New Roman" w:hAnsi="Times New Roman" w:cs="Times New Roman"/>
          <w:i/>
          <w:iCs/>
          <w:color w:val="222222"/>
          <w:sz w:val="24"/>
          <w:szCs w:val="24"/>
          <w:shd w:val="clear" w:color="auto" w:fill="FFFFFF"/>
        </w:rPr>
        <w:t>Environmental Toxicology and Pharmacology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67</w:t>
      </w:r>
      <w:r w:rsidRPr="003F691A">
        <w:rPr>
          <w:rFonts w:ascii="Times New Roman" w:hAnsi="Times New Roman" w:cs="Times New Roman"/>
          <w:color w:val="222222"/>
          <w:sz w:val="24"/>
          <w:szCs w:val="24"/>
          <w:shd w:val="clear" w:color="auto" w:fill="FFFFFF"/>
        </w:rPr>
        <w:t>, 1-7</w:t>
      </w:r>
      <w:r w:rsidR="006B11FE">
        <w:rPr>
          <w:rFonts w:ascii="Times New Roman" w:hAnsi="Times New Roman" w:cs="Times New Roman"/>
          <w:color w:val="222222"/>
          <w:sz w:val="24"/>
          <w:szCs w:val="24"/>
          <w:shd w:val="clear" w:color="auto" w:fill="FFFFFF"/>
        </w:rPr>
        <w:t>.</w:t>
      </w:r>
    </w:p>
    <w:p w14:paraId="19CE22D1" w14:textId="205998C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commentRangeStart w:id="5"/>
      <w:r w:rsidRPr="003F691A">
        <w:rPr>
          <w:rFonts w:ascii="Times New Roman" w:hAnsi="Times New Roman" w:cs="Times New Roman"/>
          <w:color w:val="222222"/>
          <w:sz w:val="24"/>
          <w:szCs w:val="24"/>
          <w:shd w:val="clear" w:color="auto" w:fill="FFFFFF"/>
        </w:rPr>
        <w:t>Gao, Y., Pang, X., Fang, J. K. H., Zhong, Z., Hu, M., &amp; Wang, Y</w:t>
      </w:r>
      <w:r w:rsid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(2025).</w:t>
      </w:r>
      <w:r w:rsidRPr="003F691A">
        <w:rPr>
          <w:rFonts w:ascii="Times New Roman" w:hAnsi="Times New Roman" w:cs="Times New Roman"/>
          <w:color w:val="222222"/>
          <w:sz w:val="24"/>
          <w:szCs w:val="24"/>
          <w:shd w:val="clear" w:color="auto" w:fill="FFFFFF"/>
        </w:rPr>
        <w:t xml:space="preserve"> Revealing the effects of polystyrene microplastics and di (2-ethylhexyl) phthalate on mussels: An evidence chain of gill-intestine-hemolymph. </w:t>
      </w:r>
      <w:r w:rsidRPr="003F691A">
        <w:rPr>
          <w:rFonts w:ascii="Times New Roman" w:hAnsi="Times New Roman" w:cs="Times New Roman"/>
          <w:i/>
          <w:iCs/>
          <w:color w:val="222222"/>
          <w:sz w:val="24"/>
          <w:szCs w:val="24"/>
          <w:shd w:val="clear" w:color="auto" w:fill="FFFFFF"/>
        </w:rPr>
        <w:t>Environmental Research</w:t>
      </w:r>
      <w:r w:rsidRPr="003F691A">
        <w:rPr>
          <w:rFonts w:ascii="Times New Roman" w:hAnsi="Times New Roman" w:cs="Times New Roman"/>
          <w:color w:val="222222"/>
          <w:sz w:val="24"/>
          <w:szCs w:val="24"/>
          <w:shd w:val="clear" w:color="auto" w:fill="FFFFFF"/>
        </w:rPr>
        <w:t>, 121732</w:t>
      </w:r>
      <w:r w:rsidR="00840837">
        <w:rPr>
          <w:rFonts w:ascii="Times New Roman" w:hAnsi="Times New Roman" w:cs="Times New Roman"/>
          <w:color w:val="222222"/>
          <w:sz w:val="24"/>
          <w:szCs w:val="24"/>
          <w:shd w:val="clear" w:color="auto" w:fill="FFFFFF"/>
        </w:rPr>
        <w:t>.</w:t>
      </w:r>
      <w:commentRangeEnd w:id="5"/>
      <w:r w:rsidR="00892D03">
        <w:rPr>
          <w:rStyle w:val="CommentReference"/>
        </w:rPr>
        <w:commentReference w:id="5"/>
      </w:r>
    </w:p>
    <w:p w14:paraId="141A5897" w14:textId="4281F85E"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Green, D. S., Colgan, T. J., Thompson, R. C., &amp; Carolan, J. C</w:t>
      </w:r>
      <w:r w:rsid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Exposure to microplastics reduces attachment strength and alters the haemolymph proteome of blue mussels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Environmental Pollution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246</w:t>
      </w:r>
      <w:r w:rsidRPr="003F691A">
        <w:rPr>
          <w:rFonts w:ascii="Times New Roman" w:hAnsi="Times New Roman" w:cs="Times New Roman"/>
          <w:color w:val="222222"/>
          <w:sz w:val="24"/>
          <w:szCs w:val="24"/>
          <w:shd w:val="clear" w:color="auto" w:fill="FFFFFF"/>
        </w:rPr>
        <w:t>, 423-434</w:t>
      </w:r>
      <w:r w:rsidR="00840837">
        <w:rPr>
          <w:rFonts w:ascii="Times New Roman" w:hAnsi="Times New Roman" w:cs="Times New Roman"/>
          <w:color w:val="222222"/>
          <w:sz w:val="24"/>
          <w:szCs w:val="24"/>
          <w:shd w:val="clear" w:color="auto" w:fill="FFFFFF"/>
        </w:rPr>
        <w:t>.</w:t>
      </w:r>
    </w:p>
    <w:p w14:paraId="51C546DC" w14:textId="5EEC0BF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Guzzetti, E., Sureda, A., Tejada, S., &amp; Faggio, C</w:t>
      </w:r>
      <w:r w:rsidR="00840837">
        <w:rPr>
          <w:rFonts w:ascii="Times New Roman" w:hAnsi="Times New Roman" w:cs="Times New Roman"/>
          <w:color w:val="222222"/>
          <w:sz w:val="24"/>
          <w:szCs w:val="24"/>
          <w:shd w:val="clear" w:color="auto" w:fill="FFFFFF"/>
        </w:rPr>
        <w:t>.</w:t>
      </w:r>
      <w:r w:rsidR="00840837" w:rsidRPr="00840837">
        <w:rPr>
          <w:rFonts w:ascii="Times New Roman" w:hAnsi="Times New Roman" w:cs="Times New Roman"/>
          <w:color w:val="222222"/>
          <w:sz w:val="24"/>
          <w:szCs w:val="24"/>
          <w:shd w:val="clear" w:color="auto" w:fill="FFFFFF"/>
        </w:rPr>
        <w:t xml:space="preserve"> </w:t>
      </w:r>
      <w:r w:rsidR="00840837" w:rsidRPr="003F691A">
        <w:rPr>
          <w:rFonts w:ascii="Times New Roman" w:hAnsi="Times New Roman" w:cs="Times New Roman"/>
          <w:color w:val="222222"/>
          <w:sz w:val="24"/>
          <w:szCs w:val="24"/>
          <w:shd w:val="clear" w:color="auto" w:fill="FFFFFF"/>
        </w:rPr>
        <w:t>(2018).</w:t>
      </w:r>
      <w:r w:rsidRPr="003F691A">
        <w:rPr>
          <w:rFonts w:ascii="Times New Roman" w:hAnsi="Times New Roman" w:cs="Times New Roman"/>
          <w:color w:val="222222"/>
          <w:sz w:val="24"/>
          <w:szCs w:val="24"/>
          <w:shd w:val="clear" w:color="auto" w:fill="FFFFFF"/>
        </w:rPr>
        <w:t xml:space="preserve"> Microplastic in marine organism: Environmental and toxicological effects. </w:t>
      </w:r>
      <w:r w:rsidRPr="003F691A">
        <w:rPr>
          <w:rFonts w:ascii="Times New Roman" w:hAnsi="Times New Roman" w:cs="Times New Roman"/>
          <w:i/>
          <w:iCs/>
          <w:color w:val="222222"/>
          <w:sz w:val="24"/>
          <w:szCs w:val="24"/>
          <w:shd w:val="clear" w:color="auto" w:fill="FFFFFF"/>
        </w:rPr>
        <w:t>Environmental Toxicology and Pharmacology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64</w:t>
      </w:r>
      <w:r w:rsidRPr="003F691A">
        <w:rPr>
          <w:rFonts w:ascii="Times New Roman" w:hAnsi="Times New Roman" w:cs="Times New Roman"/>
          <w:color w:val="222222"/>
          <w:sz w:val="24"/>
          <w:szCs w:val="24"/>
          <w:shd w:val="clear" w:color="auto" w:fill="FFFFFF"/>
        </w:rPr>
        <w:t>, 164-171</w:t>
      </w:r>
      <w:r w:rsidR="00840837">
        <w:rPr>
          <w:rFonts w:ascii="Times New Roman" w:hAnsi="Times New Roman" w:cs="Times New Roman"/>
          <w:color w:val="222222"/>
          <w:sz w:val="24"/>
          <w:szCs w:val="24"/>
          <w:shd w:val="clear" w:color="auto" w:fill="FFFFFF"/>
        </w:rPr>
        <w:t>.</w:t>
      </w:r>
    </w:p>
    <w:p w14:paraId="183C53FF" w14:textId="219AA80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lastRenderedPageBreak/>
        <w:t>Horton, A. A., &amp; Barnes, D. K</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Microplastic pollution in a rapidly changing world: Implications for remote and vulnerable marine ecosystems.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738</w:t>
      </w:r>
      <w:r w:rsidRPr="003F691A">
        <w:rPr>
          <w:rFonts w:ascii="Times New Roman" w:hAnsi="Times New Roman" w:cs="Times New Roman"/>
          <w:color w:val="222222"/>
          <w:sz w:val="24"/>
          <w:szCs w:val="24"/>
          <w:shd w:val="clear" w:color="auto" w:fill="FFFFFF"/>
        </w:rPr>
        <w:t>, 140349</w:t>
      </w:r>
      <w:r w:rsidR="00840837">
        <w:rPr>
          <w:rFonts w:ascii="Times New Roman" w:hAnsi="Times New Roman" w:cs="Times New Roman"/>
          <w:color w:val="222222"/>
          <w:sz w:val="24"/>
          <w:szCs w:val="24"/>
          <w:shd w:val="clear" w:color="auto" w:fill="FFFFFF"/>
        </w:rPr>
        <w:t>.</w:t>
      </w:r>
    </w:p>
    <w:p w14:paraId="5D6F0A98" w14:textId="53525D2C"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Jaouani, R., El Khatib, M., Louhichi, R., Mzoughi, N., &amp; Ben Salem, N</w:t>
      </w:r>
      <w:r w:rsidR="000C7BC2">
        <w:rPr>
          <w:rFonts w:ascii="Times New Roman" w:hAnsi="Times New Roman" w:cs="Times New Roman"/>
          <w:color w:val="222222"/>
          <w:sz w:val="24"/>
          <w:szCs w:val="24"/>
          <w:shd w:val="clear" w:color="auto" w:fill="FFFFFF"/>
        </w:rPr>
        <w:t>.</w:t>
      </w:r>
      <w:r w:rsidR="000C7BC2" w:rsidRP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(2023).</w:t>
      </w:r>
      <w:r w:rsidRPr="003F691A">
        <w:rPr>
          <w:rFonts w:ascii="Times New Roman" w:hAnsi="Times New Roman" w:cs="Times New Roman"/>
          <w:color w:val="222222"/>
          <w:sz w:val="24"/>
          <w:szCs w:val="24"/>
          <w:shd w:val="clear" w:color="auto" w:fill="FFFFFF"/>
        </w:rPr>
        <w:t xml:space="preserve"> Effect of aging of microplastics on gene expression levels of the marine mussel</w:t>
      </w:r>
      <w:r w:rsidRPr="003F691A">
        <w:rPr>
          <w:rFonts w:ascii="Times New Roman" w:hAnsi="Times New Roman" w:cs="Times New Roman"/>
          <w:i/>
          <w:iCs/>
          <w:color w:val="222222"/>
          <w:sz w:val="24"/>
          <w:szCs w:val="24"/>
          <w:shd w:val="clear" w:color="auto" w:fill="FFFFFF"/>
        </w:rPr>
        <w:t xml:space="preserve"> Mytilus edulis: </w:t>
      </w:r>
      <w:r w:rsidRPr="003F691A">
        <w:rPr>
          <w:rFonts w:ascii="Times New Roman" w:hAnsi="Times New Roman" w:cs="Times New Roman"/>
          <w:color w:val="222222"/>
          <w:sz w:val="24"/>
          <w:szCs w:val="24"/>
          <w:shd w:val="clear" w:color="auto" w:fill="FFFFFF"/>
        </w:rPr>
        <w:t>Comparison in vitro/in vivo exposures</w:t>
      </w:r>
      <w:r w:rsidRPr="003F691A">
        <w:rPr>
          <w:rFonts w:ascii="Times New Roman" w:hAnsi="Times New Roman" w:cs="Times New Roman"/>
          <w:i/>
          <w:iCs/>
          <w:color w:val="222222"/>
          <w:sz w:val="24"/>
          <w:szCs w:val="24"/>
          <w:shd w:val="clear" w:color="auto" w:fill="FFFFFF"/>
        </w:rPr>
        <w:t>.</w:t>
      </w:r>
      <w:r w:rsidRPr="003F691A">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w:t>
      </w:r>
      <w:r w:rsidRPr="003F691A">
        <w:rPr>
          <w:rFonts w:ascii="Times New Roman" w:hAnsi="Times New Roman" w:cs="Times New Roman"/>
          <w:b/>
          <w:bCs/>
          <w:color w:val="222222"/>
          <w:sz w:val="24"/>
          <w:szCs w:val="24"/>
          <w:shd w:val="clear" w:color="auto" w:fill="FFFFFF"/>
        </w:rPr>
        <w:t xml:space="preserve"> 190</w:t>
      </w:r>
      <w:r w:rsidRPr="003F691A">
        <w:rPr>
          <w:rFonts w:ascii="Times New Roman" w:hAnsi="Times New Roman" w:cs="Times New Roman"/>
          <w:color w:val="222222"/>
          <w:sz w:val="24"/>
          <w:szCs w:val="24"/>
          <w:shd w:val="clear" w:color="auto" w:fill="FFFFFF"/>
        </w:rPr>
        <w:t>, 114731</w:t>
      </w:r>
      <w:r w:rsidR="000C7BC2">
        <w:rPr>
          <w:rFonts w:ascii="Times New Roman" w:hAnsi="Times New Roman" w:cs="Times New Roman"/>
          <w:color w:val="222222"/>
          <w:sz w:val="24"/>
          <w:szCs w:val="24"/>
          <w:shd w:val="clear" w:color="auto" w:fill="FFFFFF"/>
        </w:rPr>
        <w:t>.</w:t>
      </w:r>
    </w:p>
    <w:p w14:paraId="07F64276" w14:textId="1FD3EF0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Jeyasanta, K. I., Sathish, N., Patterson, J., &amp; Edward, J. P</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Macro-, meso-and microplastic debris in the beaches of Tuticorin district, Southeast coast of India.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154</w:t>
      </w:r>
      <w:r w:rsidRPr="003F691A">
        <w:rPr>
          <w:rFonts w:ascii="Times New Roman" w:hAnsi="Times New Roman" w:cs="Times New Roman"/>
          <w:color w:val="222222"/>
          <w:sz w:val="24"/>
          <w:szCs w:val="24"/>
          <w:shd w:val="clear" w:color="auto" w:fill="FFFFFF"/>
        </w:rPr>
        <w:t>, 111055</w:t>
      </w:r>
      <w:r w:rsidR="000C7BC2">
        <w:rPr>
          <w:rFonts w:ascii="Times New Roman" w:hAnsi="Times New Roman" w:cs="Times New Roman"/>
          <w:color w:val="222222"/>
          <w:sz w:val="24"/>
          <w:szCs w:val="24"/>
          <w:shd w:val="clear" w:color="auto" w:fill="FFFFFF"/>
        </w:rPr>
        <w:t>.</w:t>
      </w:r>
    </w:p>
    <w:p w14:paraId="0D606929" w14:textId="6914B07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Kittan, Janani, &amp; Asha, P</w:t>
      </w:r>
      <w:r w:rsidR="000C7BC2">
        <w:rPr>
          <w:rFonts w:ascii="Times New Roman" w:hAnsi="Times New Roman" w:cs="Times New Roman"/>
          <w:color w:val="222222"/>
          <w:sz w:val="24"/>
          <w:szCs w:val="24"/>
          <w:shd w:val="clear" w:color="auto" w:fill="FFFFFF"/>
        </w:rPr>
        <w:t xml:space="preserve">. </w:t>
      </w:r>
      <w:r w:rsidR="000C7BC2" w:rsidRPr="003F691A">
        <w:rPr>
          <w:rFonts w:ascii="Times New Roman" w:hAnsi="Times New Roman" w:cs="Times New Roman"/>
          <w:color w:val="222222"/>
          <w:sz w:val="24"/>
          <w:szCs w:val="24"/>
          <w:shd w:val="clear" w:color="auto" w:fill="FFFFFF"/>
        </w:rPr>
        <w:t>(2025).</w:t>
      </w:r>
      <w:r w:rsidRPr="003F691A">
        <w:rPr>
          <w:rFonts w:ascii="Times New Roman" w:hAnsi="Times New Roman" w:cs="Times New Roman"/>
          <w:color w:val="222222"/>
          <w:sz w:val="24"/>
          <w:szCs w:val="24"/>
          <w:shd w:val="clear" w:color="auto" w:fill="FFFFFF"/>
        </w:rPr>
        <w:t xml:space="preserve"> Evaluation of microplastics in the shell and soft tissues of Green Mussel, </w:t>
      </w:r>
      <w:r w:rsidRPr="003F691A">
        <w:rPr>
          <w:rFonts w:ascii="Times New Roman" w:hAnsi="Times New Roman" w:cs="Times New Roman"/>
          <w:i/>
          <w:iCs/>
          <w:color w:val="222222"/>
          <w:sz w:val="24"/>
          <w:szCs w:val="24"/>
          <w:shd w:val="clear" w:color="auto" w:fill="FFFFFF"/>
        </w:rPr>
        <w:t>Perna viridis</w:t>
      </w:r>
      <w:r w:rsidRPr="003F691A">
        <w:rPr>
          <w:rFonts w:ascii="Times New Roman" w:hAnsi="Times New Roman" w:cs="Times New Roman"/>
          <w:color w:val="222222"/>
          <w:sz w:val="24"/>
          <w:szCs w:val="24"/>
          <w:shd w:val="clear" w:color="auto" w:fill="FFFFFF"/>
        </w:rPr>
        <w:t xml:space="preserve"> from N4 Beach and Pulicat Lake, Tamil Nadu, India. </w:t>
      </w:r>
      <w:r w:rsidRPr="003F691A">
        <w:rPr>
          <w:rFonts w:ascii="Times New Roman" w:hAnsi="Times New Roman" w:cs="Times New Roman"/>
          <w:i/>
          <w:iCs/>
          <w:color w:val="222222"/>
          <w:sz w:val="24"/>
          <w:szCs w:val="24"/>
          <w:shd w:val="clear" w:color="auto" w:fill="FFFFFF"/>
        </w:rPr>
        <w:t>Uttar Pradesh Journal of Zoology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46</w:t>
      </w:r>
      <w:r w:rsidRPr="003F691A">
        <w:rPr>
          <w:rFonts w:ascii="Times New Roman" w:hAnsi="Times New Roman" w:cs="Times New Roman"/>
          <w:color w:val="222222"/>
          <w:sz w:val="24"/>
          <w:szCs w:val="24"/>
          <w:shd w:val="clear" w:color="auto" w:fill="FFFFFF"/>
        </w:rPr>
        <w:t>(8), 174-185</w:t>
      </w:r>
      <w:r w:rsidR="000C7BC2">
        <w:rPr>
          <w:rFonts w:ascii="Times New Roman" w:hAnsi="Times New Roman" w:cs="Times New Roman"/>
          <w:color w:val="222222"/>
          <w:sz w:val="24"/>
          <w:szCs w:val="24"/>
          <w:shd w:val="clear" w:color="auto" w:fill="FFFFFF"/>
        </w:rPr>
        <w:t>.</w:t>
      </w:r>
    </w:p>
    <w:p w14:paraId="46AEF787" w14:textId="27E82C16" w:rsidR="003F691A" w:rsidRPr="003F691A" w:rsidRDefault="003F691A" w:rsidP="003F691A">
      <w:pPr>
        <w:spacing w:line="276" w:lineRule="auto"/>
        <w:jc w:val="both"/>
        <w:rPr>
          <w:rFonts w:ascii="Times New Roman" w:hAnsi="Times New Roman" w:cs="Times New Roman"/>
          <w:sz w:val="24"/>
          <w:szCs w:val="24"/>
        </w:rPr>
      </w:pPr>
      <w:r w:rsidRPr="003F691A">
        <w:rPr>
          <w:rFonts w:ascii="Times New Roman" w:hAnsi="Times New Roman" w:cs="Times New Roman"/>
          <w:sz w:val="24"/>
          <w:szCs w:val="24"/>
        </w:rPr>
        <w:t>Li, Z., Chang, X., Hu, M., Fang, J. K.-H., Sokolova, I. M., Huang, W., Xu, E. G., &amp; Wang, Y</w:t>
      </w:r>
      <w:r w:rsidR="000C7BC2">
        <w:rPr>
          <w:rFonts w:ascii="Times New Roman" w:hAnsi="Times New Roman" w:cs="Times New Roman"/>
          <w:sz w:val="24"/>
          <w:szCs w:val="24"/>
        </w:rPr>
        <w:t xml:space="preserve"> </w:t>
      </w:r>
      <w:r w:rsidR="000C7BC2" w:rsidRPr="003F691A">
        <w:rPr>
          <w:rFonts w:ascii="Times New Roman" w:hAnsi="Times New Roman" w:cs="Times New Roman"/>
          <w:sz w:val="24"/>
          <w:szCs w:val="24"/>
        </w:rPr>
        <w:t>(2022).</w:t>
      </w:r>
      <w:r w:rsidRPr="003F691A">
        <w:rPr>
          <w:rFonts w:ascii="Times New Roman" w:hAnsi="Times New Roman" w:cs="Times New Roman"/>
          <w:sz w:val="24"/>
          <w:szCs w:val="24"/>
        </w:rPr>
        <w:t xml:space="preserve"> Is microplastic an oxidative stressor? Evidence from a meta-analysis on bivalves. </w:t>
      </w:r>
      <w:r w:rsidRPr="003F691A">
        <w:rPr>
          <w:rFonts w:ascii="Times New Roman" w:hAnsi="Times New Roman" w:cs="Times New Roman"/>
          <w:i/>
          <w:iCs/>
          <w:sz w:val="24"/>
          <w:szCs w:val="24"/>
        </w:rPr>
        <w:t>Journal of Hazardous Materials</w:t>
      </w:r>
      <w:r w:rsidRPr="003F691A">
        <w:rPr>
          <w:rFonts w:ascii="Times New Roman" w:hAnsi="Times New Roman" w:cs="Times New Roman"/>
          <w:b/>
          <w:bCs/>
          <w:sz w:val="24"/>
          <w:szCs w:val="24"/>
        </w:rPr>
        <w:t>, 423</w:t>
      </w:r>
      <w:r w:rsidRPr="003F691A">
        <w:rPr>
          <w:rFonts w:ascii="Times New Roman" w:hAnsi="Times New Roman" w:cs="Times New Roman"/>
          <w:sz w:val="24"/>
          <w:szCs w:val="24"/>
        </w:rPr>
        <w:t>(B), 127211</w:t>
      </w:r>
      <w:r w:rsidR="000C7BC2">
        <w:rPr>
          <w:rFonts w:ascii="Times New Roman" w:hAnsi="Times New Roman" w:cs="Times New Roman"/>
          <w:sz w:val="24"/>
          <w:szCs w:val="24"/>
        </w:rPr>
        <w:t>.</w:t>
      </w:r>
    </w:p>
    <w:p w14:paraId="415AC145" w14:textId="534BE56E"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Lowry, O. H., Rosebrough, N. J., Farr, A. L., &amp; Randall, R. J</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(1951).</w:t>
      </w:r>
      <w:r w:rsidRPr="003F691A">
        <w:rPr>
          <w:rFonts w:ascii="Times New Roman" w:hAnsi="Times New Roman" w:cs="Times New Roman"/>
          <w:sz w:val="24"/>
          <w:szCs w:val="24"/>
          <w:shd w:val="clear" w:color="auto" w:fill="FFFFFF"/>
        </w:rPr>
        <w:t xml:space="preserve"> Protein measurement with the Folin phenol reagent. </w:t>
      </w:r>
      <w:r w:rsidRPr="003F691A">
        <w:rPr>
          <w:rFonts w:ascii="Times New Roman" w:hAnsi="Times New Roman" w:cs="Times New Roman"/>
          <w:i/>
          <w:iCs/>
          <w:sz w:val="24"/>
          <w:szCs w:val="24"/>
          <w:shd w:val="clear" w:color="auto" w:fill="FFFFFF"/>
        </w:rPr>
        <w:t>The Journal of biological chemistry</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193</w:t>
      </w:r>
      <w:r w:rsidRPr="003F691A">
        <w:rPr>
          <w:rFonts w:ascii="Times New Roman" w:hAnsi="Times New Roman" w:cs="Times New Roman"/>
          <w:sz w:val="24"/>
          <w:szCs w:val="24"/>
          <w:shd w:val="clear" w:color="auto" w:fill="FFFFFF"/>
        </w:rPr>
        <w:t>(1), 265–275</w:t>
      </w:r>
      <w:r w:rsidR="007514C6">
        <w:rPr>
          <w:rFonts w:ascii="Times New Roman" w:hAnsi="Times New Roman" w:cs="Times New Roman"/>
          <w:sz w:val="24"/>
          <w:szCs w:val="24"/>
          <w:shd w:val="clear" w:color="auto" w:fill="FFFFFF"/>
        </w:rPr>
        <w:t>.</w:t>
      </w:r>
    </w:p>
    <w:p w14:paraId="51B55BFE" w14:textId="2840FE9E"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Magara, G., Khan, F. R., Pinti, M., Syberg, K., Inzirillo, A., &amp; Elia, A. C</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(2019).</w:t>
      </w:r>
      <w:r w:rsidRPr="003F691A">
        <w:rPr>
          <w:rFonts w:ascii="Times New Roman" w:hAnsi="Times New Roman" w:cs="Times New Roman"/>
          <w:color w:val="222222"/>
          <w:sz w:val="24"/>
          <w:szCs w:val="24"/>
          <w:shd w:val="clear" w:color="auto" w:fill="FFFFFF"/>
        </w:rPr>
        <w:t xml:space="preserve"> Effects of combined exposures of fluoranthene and polyethylene or polyhydroxybutyrate microplastics on oxidative stress biomarkers in the blue mussel (</w:t>
      </w:r>
      <w:r w:rsidRPr="003F691A">
        <w:rPr>
          <w:rFonts w:ascii="Times New Roman" w:hAnsi="Times New Roman" w:cs="Times New Roman"/>
          <w:i/>
          <w:iCs/>
          <w:color w:val="222222"/>
          <w:sz w:val="24"/>
          <w:szCs w:val="24"/>
          <w:shd w:val="clear" w:color="auto" w:fill="FFFFFF"/>
        </w:rPr>
        <w:t>Mytilus edulis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Journal of Toxicology and Environmental Health, Part A</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82</w:t>
      </w:r>
      <w:r w:rsidRPr="003F691A">
        <w:rPr>
          <w:rFonts w:ascii="Times New Roman" w:hAnsi="Times New Roman" w:cs="Times New Roman"/>
          <w:color w:val="222222"/>
          <w:sz w:val="24"/>
          <w:szCs w:val="24"/>
          <w:shd w:val="clear" w:color="auto" w:fill="FFFFFF"/>
        </w:rPr>
        <w:t>(10), 616-625</w:t>
      </w:r>
      <w:r w:rsidR="007514C6">
        <w:rPr>
          <w:rFonts w:ascii="Times New Roman" w:hAnsi="Times New Roman" w:cs="Times New Roman"/>
          <w:color w:val="222222"/>
          <w:sz w:val="24"/>
          <w:szCs w:val="24"/>
          <w:shd w:val="clear" w:color="auto" w:fill="FFFFFF"/>
        </w:rPr>
        <w:t>.</w:t>
      </w:r>
    </w:p>
    <w:p w14:paraId="3596F6A4" w14:textId="6FE8733A"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Mani, T., Hauk, A., Walter, U., &amp; Burkhardt-Holm, P</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(2015).</w:t>
      </w:r>
      <w:r w:rsidRPr="003F691A">
        <w:rPr>
          <w:rFonts w:ascii="Times New Roman" w:hAnsi="Times New Roman" w:cs="Times New Roman"/>
          <w:color w:val="222222"/>
          <w:sz w:val="24"/>
          <w:szCs w:val="24"/>
          <w:shd w:val="clear" w:color="auto" w:fill="FFFFFF"/>
        </w:rPr>
        <w:t xml:space="preserve"> Microplastics profile along the Rhine River. </w:t>
      </w:r>
      <w:r w:rsidRPr="003F691A">
        <w:rPr>
          <w:rFonts w:ascii="Times New Roman" w:hAnsi="Times New Roman" w:cs="Times New Roman"/>
          <w:i/>
          <w:iCs/>
          <w:color w:val="222222"/>
          <w:sz w:val="24"/>
          <w:szCs w:val="24"/>
          <w:shd w:val="clear" w:color="auto" w:fill="FFFFFF"/>
        </w:rPr>
        <w:t>Scientific Reports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5</w:t>
      </w:r>
      <w:r w:rsidRPr="003F691A">
        <w:rPr>
          <w:rFonts w:ascii="Times New Roman" w:hAnsi="Times New Roman" w:cs="Times New Roman"/>
          <w:color w:val="222222"/>
          <w:sz w:val="24"/>
          <w:szCs w:val="24"/>
          <w:shd w:val="clear" w:color="auto" w:fill="FFFFFF"/>
        </w:rPr>
        <w:t>(1), 17988</w:t>
      </w:r>
      <w:r w:rsidR="007514C6">
        <w:rPr>
          <w:rFonts w:ascii="Times New Roman" w:hAnsi="Times New Roman" w:cs="Times New Roman"/>
          <w:color w:val="222222"/>
          <w:sz w:val="24"/>
          <w:szCs w:val="24"/>
          <w:shd w:val="clear" w:color="auto" w:fill="FFFFFF"/>
        </w:rPr>
        <w:t>.</w:t>
      </w:r>
    </w:p>
    <w:p w14:paraId="7B80C379" w14:textId="25B5199B"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Obebe, S. B., &amp; Adamu, A. A</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(2020).</w:t>
      </w:r>
      <w:r w:rsidRPr="003F691A">
        <w:rPr>
          <w:rFonts w:ascii="Times New Roman" w:hAnsi="Times New Roman" w:cs="Times New Roman"/>
          <w:color w:val="222222"/>
          <w:sz w:val="24"/>
          <w:szCs w:val="24"/>
          <w:shd w:val="clear" w:color="auto" w:fill="FFFFFF"/>
        </w:rPr>
        <w:t xml:space="preserve"> Plastic pollution: Causes, effects and preventions. </w:t>
      </w:r>
      <w:r w:rsidRPr="003F691A">
        <w:rPr>
          <w:rFonts w:ascii="Times New Roman" w:hAnsi="Times New Roman" w:cs="Times New Roman"/>
          <w:i/>
          <w:iCs/>
          <w:color w:val="222222"/>
          <w:sz w:val="24"/>
          <w:szCs w:val="24"/>
          <w:shd w:val="clear" w:color="auto" w:fill="FFFFFF"/>
        </w:rPr>
        <w:t>International Journal of Engineering Applied Sciences and Technology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4</w:t>
      </w:r>
      <w:r w:rsidRPr="003F691A">
        <w:rPr>
          <w:rFonts w:ascii="Times New Roman" w:hAnsi="Times New Roman" w:cs="Times New Roman"/>
          <w:color w:val="222222"/>
          <w:sz w:val="24"/>
          <w:szCs w:val="24"/>
          <w:shd w:val="clear" w:color="auto" w:fill="FFFFFF"/>
        </w:rPr>
        <w:t>(12), 85-95</w:t>
      </w:r>
      <w:r w:rsidR="007514C6">
        <w:rPr>
          <w:rFonts w:ascii="Times New Roman" w:hAnsi="Times New Roman" w:cs="Times New Roman"/>
          <w:color w:val="222222"/>
          <w:sz w:val="24"/>
          <w:szCs w:val="24"/>
          <w:shd w:val="clear" w:color="auto" w:fill="FFFFFF"/>
        </w:rPr>
        <w:t>.</w:t>
      </w:r>
    </w:p>
    <w:p w14:paraId="15D7E741" w14:textId="2DCB3F4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Okoye, C. O., Addey, C. I., Oderinde, O., Okoro, J. O., Uwamungu, J. Y., Ikechukwu, C. K., &amp; Odii, E. C</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(2022).</w:t>
      </w:r>
      <w:r w:rsidRPr="003F691A">
        <w:rPr>
          <w:rFonts w:ascii="Times New Roman" w:hAnsi="Times New Roman" w:cs="Times New Roman"/>
          <w:sz w:val="24"/>
          <w:szCs w:val="24"/>
          <w:shd w:val="clear" w:color="auto" w:fill="FFFFFF"/>
        </w:rPr>
        <w:t xml:space="preserve"> Toxic chemicals and persistent organic pollutants associated with micro-and nanoplastics pollution. </w:t>
      </w:r>
      <w:r w:rsidRPr="003F691A">
        <w:rPr>
          <w:rFonts w:ascii="Times New Roman" w:hAnsi="Times New Roman" w:cs="Times New Roman"/>
          <w:i/>
          <w:iCs/>
          <w:sz w:val="24"/>
          <w:szCs w:val="24"/>
          <w:shd w:val="clear" w:color="auto" w:fill="FFFFFF"/>
        </w:rPr>
        <w:t>Chemical Engineering Journal Advances</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11</w:t>
      </w:r>
      <w:r w:rsidRPr="003F691A">
        <w:rPr>
          <w:rFonts w:ascii="Times New Roman" w:hAnsi="Times New Roman" w:cs="Times New Roman"/>
          <w:sz w:val="24"/>
          <w:szCs w:val="24"/>
          <w:shd w:val="clear" w:color="auto" w:fill="FFFFFF"/>
        </w:rPr>
        <w:t>, 100310</w:t>
      </w:r>
      <w:r w:rsidR="007514C6">
        <w:rPr>
          <w:rFonts w:ascii="Times New Roman" w:hAnsi="Times New Roman" w:cs="Times New Roman"/>
          <w:sz w:val="24"/>
          <w:szCs w:val="24"/>
          <w:shd w:val="clear" w:color="auto" w:fill="FFFFFF"/>
        </w:rPr>
        <w:t>.</w:t>
      </w:r>
    </w:p>
    <w:p w14:paraId="16CF6A7A" w14:textId="211CDBB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Paul-Pont, I., Lacroix, C., Fernández, C. G., Hégaret, H., Lambert, C., Le Goïc, N., &amp; Soudant, P</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(2016).</w:t>
      </w:r>
      <w:r w:rsidRPr="003F691A">
        <w:rPr>
          <w:rFonts w:ascii="Times New Roman" w:hAnsi="Times New Roman" w:cs="Times New Roman"/>
          <w:sz w:val="24"/>
          <w:szCs w:val="24"/>
          <w:shd w:val="clear" w:color="auto" w:fill="FFFFFF"/>
        </w:rPr>
        <w:t xml:space="preserve"> Exposure of marine mussels </w:t>
      </w:r>
      <w:r w:rsidRPr="003F691A">
        <w:rPr>
          <w:rFonts w:ascii="Times New Roman" w:hAnsi="Times New Roman" w:cs="Times New Roman"/>
          <w:i/>
          <w:iCs/>
          <w:sz w:val="24"/>
          <w:szCs w:val="24"/>
          <w:shd w:val="clear" w:color="auto" w:fill="FFFFFF"/>
        </w:rPr>
        <w:t>Mytilus</w:t>
      </w:r>
      <w:r w:rsidRPr="003F691A">
        <w:rPr>
          <w:rFonts w:ascii="Times New Roman" w:hAnsi="Times New Roman" w:cs="Times New Roman"/>
          <w:sz w:val="24"/>
          <w:szCs w:val="24"/>
          <w:shd w:val="clear" w:color="auto" w:fill="FFFFFF"/>
        </w:rPr>
        <w:t xml:space="preserve"> spp. to polystyrene microplastics: toxicity and influence on fluoranthene bioaccumulation. </w:t>
      </w:r>
      <w:r w:rsidRPr="003F691A">
        <w:rPr>
          <w:rFonts w:ascii="Times New Roman" w:hAnsi="Times New Roman" w:cs="Times New Roman"/>
          <w:i/>
          <w:iCs/>
          <w:sz w:val="24"/>
          <w:szCs w:val="24"/>
          <w:shd w:val="clear" w:color="auto" w:fill="FFFFFF"/>
        </w:rPr>
        <w:t>Environmental Pollution</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216</w:t>
      </w:r>
      <w:r w:rsidRPr="003F691A">
        <w:rPr>
          <w:rFonts w:ascii="Times New Roman" w:hAnsi="Times New Roman" w:cs="Times New Roman"/>
          <w:sz w:val="24"/>
          <w:szCs w:val="24"/>
          <w:shd w:val="clear" w:color="auto" w:fill="FFFFFF"/>
        </w:rPr>
        <w:t>, 724-737</w:t>
      </w:r>
      <w:r w:rsidR="007514C6">
        <w:rPr>
          <w:rFonts w:ascii="Times New Roman" w:hAnsi="Times New Roman" w:cs="Times New Roman"/>
          <w:sz w:val="24"/>
          <w:szCs w:val="24"/>
          <w:shd w:val="clear" w:color="auto" w:fill="FFFFFF"/>
        </w:rPr>
        <w:t>.</w:t>
      </w:r>
    </w:p>
    <w:p w14:paraId="2E349733" w14:textId="745C55C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Pavičić-Hamer, D., Kovačić, I., Sović, T., Marelja, M., &amp; Lyons, D. M</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Exposure to polymethylmethacrylate microplastics induces a particle size-dependent immune response in Mediterranean mussel </w:t>
      </w:r>
      <w:r w:rsidRPr="003F691A">
        <w:rPr>
          <w:rFonts w:ascii="Times New Roman" w:hAnsi="Times New Roman" w:cs="Times New Roman"/>
          <w:i/>
          <w:iCs/>
          <w:color w:val="222222"/>
          <w:sz w:val="24"/>
          <w:szCs w:val="24"/>
          <w:shd w:val="clear" w:color="auto" w:fill="FFFFFF"/>
        </w:rPr>
        <w:t>Mytilus galloprovincialis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Fishes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7</w:t>
      </w:r>
      <w:r w:rsidRPr="003F691A">
        <w:rPr>
          <w:rFonts w:ascii="Times New Roman" w:hAnsi="Times New Roman" w:cs="Times New Roman"/>
          <w:color w:val="222222"/>
          <w:sz w:val="24"/>
          <w:szCs w:val="24"/>
          <w:shd w:val="clear" w:color="auto" w:fill="FFFFFF"/>
        </w:rPr>
        <w:t>(6), 307</w:t>
      </w:r>
      <w:r w:rsidR="007514C6">
        <w:rPr>
          <w:rFonts w:ascii="Times New Roman" w:hAnsi="Times New Roman" w:cs="Times New Roman"/>
          <w:color w:val="222222"/>
          <w:sz w:val="24"/>
          <w:szCs w:val="24"/>
          <w:shd w:val="clear" w:color="auto" w:fill="FFFFFF"/>
        </w:rPr>
        <w:t>.</w:t>
      </w:r>
    </w:p>
    <w:p w14:paraId="329940F1" w14:textId="61A20FE8"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Phaksopa, J., Sukhsangchan, R., Keawsang, R., Tanapivattanakul, K., Asvakittimakul, B., Thamrongnawasawat, T., &amp; Worachananant, S</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Assessment of microplastics in green </w:t>
      </w:r>
      <w:r w:rsidRPr="003F691A">
        <w:rPr>
          <w:rFonts w:ascii="Times New Roman" w:hAnsi="Times New Roman" w:cs="Times New Roman"/>
          <w:color w:val="222222"/>
          <w:sz w:val="24"/>
          <w:szCs w:val="24"/>
          <w:shd w:val="clear" w:color="auto" w:fill="FFFFFF"/>
        </w:rPr>
        <w:lastRenderedPageBreak/>
        <w:t>mussel (</w:t>
      </w:r>
      <w:r w:rsidRPr="003F691A">
        <w:rPr>
          <w:rFonts w:ascii="Times New Roman" w:hAnsi="Times New Roman" w:cs="Times New Roman"/>
          <w:i/>
          <w:iCs/>
          <w:color w:val="222222"/>
          <w:sz w:val="24"/>
          <w:szCs w:val="24"/>
          <w:shd w:val="clear" w:color="auto" w:fill="FFFFFF"/>
        </w:rPr>
        <w:t>Perna viridis</w:t>
      </w:r>
      <w:r w:rsidRPr="003F691A">
        <w:rPr>
          <w:rFonts w:ascii="Times New Roman" w:hAnsi="Times New Roman" w:cs="Times New Roman"/>
          <w:color w:val="222222"/>
          <w:sz w:val="24"/>
          <w:szCs w:val="24"/>
          <w:shd w:val="clear" w:color="auto" w:fill="FFFFFF"/>
        </w:rPr>
        <w:t>) and surrounding environments around Sri Racha Bay, Thailand. </w:t>
      </w:r>
      <w:r w:rsidRPr="003F691A">
        <w:rPr>
          <w:rFonts w:ascii="Times New Roman" w:hAnsi="Times New Roman" w:cs="Times New Roman"/>
          <w:i/>
          <w:iCs/>
          <w:color w:val="222222"/>
          <w:sz w:val="24"/>
          <w:szCs w:val="24"/>
          <w:shd w:val="clear" w:color="auto" w:fill="FFFFFF"/>
        </w:rPr>
        <w:t>Sustainability</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15</w:t>
      </w:r>
      <w:r w:rsidRPr="003F691A">
        <w:rPr>
          <w:rFonts w:ascii="Times New Roman" w:hAnsi="Times New Roman" w:cs="Times New Roman"/>
          <w:color w:val="222222"/>
          <w:sz w:val="24"/>
          <w:szCs w:val="24"/>
          <w:shd w:val="clear" w:color="auto" w:fill="FFFFFF"/>
        </w:rPr>
        <w:t>(1), 9</w:t>
      </w:r>
      <w:r w:rsidR="007514C6">
        <w:rPr>
          <w:rFonts w:ascii="Times New Roman" w:hAnsi="Times New Roman" w:cs="Times New Roman"/>
          <w:color w:val="222222"/>
          <w:sz w:val="24"/>
          <w:szCs w:val="24"/>
          <w:shd w:val="clear" w:color="auto" w:fill="FFFFFF"/>
        </w:rPr>
        <w:t>.</w:t>
      </w:r>
    </w:p>
    <w:p w14:paraId="3C5D26FB" w14:textId="73BC9100"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Rafa, N., Ahmed, B., Zohora, F., Bakya, J., Ahmed, S., Ahmed, S. F., &amp; Almomani, F</w:t>
      </w:r>
      <w:r w:rsidR="007514C6">
        <w:rPr>
          <w:rFonts w:ascii="Times New Roman" w:hAnsi="Times New Roman" w:cs="Times New Roman"/>
          <w:sz w:val="24"/>
          <w:szCs w:val="24"/>
          <w:shd w:val="clear" w:color="auto" w:fill="FFFFFF"/>
        </w:rPr>
        <w:t xml:space="preserve">. </w:t>
      </w:r>
      <w:r w:rsidR="007514C6" w:rsidRPr="003F691A">
        <w:rPr>
          <w:rFonts w:ascii="Times New Roman" w:hAnsi="Times New Roman" w:cs="Times New Roman"/>
          <w:sz w:val="24"/>
          <w:szCs w:val="24"/>
          <w:shd w:val="clear" w:color="auto" w:fill="FFFFFF"/>
        </w:rPr>
        <w:t>(2024).</w:t>
      </w:r>
      <w:r w:rsidR="007514C6">
        <w:rPr>
          <w:rFonts w:ascii="Times New Roman" w:hAnsi="Times New Roman" w:cs="Times New Roman"/>
          <w:sz w:val="24"/>
          <w:szCs w:val="24"/>
          <w:shd w:val="clear" w:color="auto" w:fill="FFFFFF"/>
        </w:rPr>
        <w:t xml:space="preserve"> </w:t>
      </w:r>
      <w:r w:rsidRPr="003F691A">
        <w:rPr>
          <w:rFonts w:ascii="Times New Roman" w:hAnsi="Times New Roman" w:cs="Times New Roman"/>
          <w:sz w:val="24"/>
          <w:szCs w:val="24"/>
          <w:shd w:val="clear" w:color="auto" w:fill="FFFFFF"/>
        </w:rPr>
        <w:t>Microplastics as carriers of toxic pollutants: Source, transport, and toxicological effects. </w:t>
      </w:r>
      <w:r w:rsidRPr="003F691A">
        <w:rPr>
          <w:rFonts w:ascii="Times New Roman" w:hAnsi="Times New Roman" w:cs="Times New Roman"/>
          <w:i/>
          <w:iCs/>
          <w:sz w:val="24"/>
          <w:szCs w:val="24"/>
          <w:shd w:val="clear" w:color="auto" w:fill="FFFFFF"/>
        </w:rPr>
        <w:t>Environmental Pollution</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343</w:t>
      </w:r>
      <w:r w:rsidRPr="003F691A">
        <w:rPr>
          <w:rFonts w:ascii="Times New Roman" w:hAnsi="Times New Roman" w:cs="Times New Roman"/>
          <w:sz w:val="24"/>
          <w:szCs w:val="24"/>
          <w:shd w:val="clear" w:color="auto" w:fill="FFFFFF"/>
        </w:rPr>
        <w:t>, 123190</w:t>
      </w:r>
      <w:r w:rsidR="007514C6">
        <w:rPr>
          <w:rFonts w:ascii="Times New Roman" w:hAnsi="Times New Roman" w:cs="Times New Roman"/>
          <w:sz w:val="24"/>
          <w:szCs w:val="24"/>
          <w:shd w:val="clear" w:color="auto" w:fill="FFFFFF"/>
        </w:rPr>
        <w:t>.</w:t>
      </w:r>
    </w:p>
    <w:p w14:paraId="5CAD4552" w14:textId="1656BC77"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color w:val="222222"/>
          <w:sz w:val="24"/>
          <w:szCs w:val="24"/>
          <w:shd w:val="clear" w:color="auto" w:fill="FFFFFF"/>
        </w:rPr>
        <w:t>Ribeiro, F., Garcia, A. R., Pereira, B. P., Fonseca, M., Mestre, N. C., Fonseca, T. G., &amp; Bebianno, M. J</w:t>
      </w:r>
      <w:r w:rsidR="007514C6">
        <w:rPr>
          <w:rFonts w:ascii="Times New Roman" w:hAnsi="Times New Roman" w:cs="Times New Roman"/>
          <w:color w:val="222222"/>
          <w:sz w:val="24"/>
          <w:szCs w:val="24"/>
          <w:shd w:val="clear" w:color="auto" w:fill="FFFFFF"/>
        </w:rPr>
        <w:t xml:space="preserve">. </w:t>
      </w:r>
      <w:r w:rsidR="007514C6" w:rsidRPr="003F691A">
        <w:rPr>
          <w:rFonts w:ascii="Times New Roman" w:hAnsi="Times New Roman" w:cs="Times New Roman"/>
          <w:color w:val="222222"/>
          <w:sz w:val="24"/>
          <w:szCs w:val="24"/>
          <w:shd w:val="clear" w:color="auto" w:fill="FFFFFF"/>
        </w:rPr>
        <w:t>(2017).</w:t>
      </w:r>
      <w:r w:rsidR="007514C6">
        <w:rPr>
          <w:rFonts w:ascii="Times New Roman" w:hAnsi="Times New Roman" w:cs="Times New Roman"/>
          <w:color w:val="222222"/>
          <w:sz w:val="24"/>
          <w:szCs w:val="24"/>
          <w:shd w:val="clear" w:color="auto" w:fill="FFFFFF"/>
        </w:rPr>
        <w:t xml:space="preserve"> </w:t>
      </w:r>
      <w:r w:rsidRPr="003F691A">
        <w:rPr>
          <w:rFonts w:ascii="Times New Roman" w:hAnsi="Times New Roman" w:cs="Times New Roman"/>
          <w:color w:val="222222"/>
          <w:sz w:val="24"/>
          <w:szCs w:val="24"/>
          <w:shd w:val="clear" w:color="auto" w:fill="FFFFFF"/>
        </w:rPr>
        <w:t>Microplastics effects in Scrobicularia plana. </w:t>
      </w:r>
      <w:r w:rsidRPr="003F691A">
        <w:rPr>
          <w:rFonts w:ascii="Times New Roman" w:hAnsi="Times New Roman" w:cs="Times New Roman"/>
          <w:i/>
          <w:iCs/>
          <w:color w:val="222222"/>
          <w:sz w:val="24"/>
          <w:szCs w:val="24"/>
          <w:shd w:val="clear" w:color="auto" w:fill="FFFFFF"/>
        </w:rPr>
        <w:t>Marine Pollution Bulletin</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122</w:t>
      </w:r>
      <w:r w:rsidRPr="003F691A">
        <w:rPr>
          <w:rFonts w:ascii="Times New Roman" w:hAnsi="Times New Roman" w:cs="Times New Roman"/>
          <w:color w:val="222222"/>
          <w:sz w:val="24"/>
          <w:szCs w:val="24"/>
          <w:shd w:val="clear" w:color="auto" w:fill="FFFFFF"/>
        </w:rPr>
        <w:t>(1-2), 379-391</w:t>
      </w:r>
      <w:r w:rsidR="007514C6">
        <w:rPr>
          <w:rFonts w:ascii="Times New Roman" w:hAnsi="Times New Roman" w:cs="Times New Roman"/>
          <w:color w:val="222222"/>
          <w:sz w:val="24"/>
          <w:szCs w:val="24"/>
          <w:shd w:val="clear" w:color="auto" w:fill="FFFFFF"/>
        </w:rPr>
        <w:t>.</w:t>
      </w:r>
    </w:p>
    <w:p w14:paraId="7E494855" w14:textId="52107389"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Ritchie, H., Samborska, V., &amp; Roser, M</w:t>
      </w:r>
      <w:r w:rsidR="00374AC2">
        <w:rPr>
          <w:rFonts w:ascii="Times New Roman" w:hAnsi="Times New Roman" w:cs="Times New Roman"/>
          <w:sz w:val="24"/>
          <w:szCs w:val="24"/>
          <w:shd w:val="clear" w:color="auto" w:fill="FFFFFF"/>
        </w:rPr>
        <w:t xml:space="preserve">. </w:t>
      </w:r>
      <w:r w:rsidR="00374AC2" w:rsidRPr="003F691A">
        <w:rPr>
          <w:rFonts w:ascii="Times New Roman" w:hAnsi="Times New Roman" w:cs="Times New Roman"/>
          <w:sz w:val="24"/>
          <w:szCs w:val="24"/>
          <w:shd w:val="clear" w:color="auto" w:fill="FFFFFF"/>
        </w:rPr>
        <w:t>(2023). </w:t>
      </w:r>
      <w:r w:rsidRPr="00C745CB">
        <w:rPr>
          <w:rFonts w:ascii="Times New Roman" w:hAnsi="Times New Roman" w:cs="Times New Roman"/>
          <w:sz w:val="24"/>
          <w:szCs w:val="24"/>
          <w:shd w:val="clear" w:color="auto" w:fill="FFFFFF"/>
        </w:rPr>
        <w:t>Plastic Pollution.</w:t>
      </w:r>
      <w:r w:rsidRPr="003F691A">
        <w:rPr>
          <w:rFonts w:ascii="Times New Roman" w:hAnsi="Times New Roman" w:cs="Times New Roman"/>
          <w:sz w:val="24"/>
          <w:szCs w:val="24"/>
          <w:shd w:val="clear" w:color="auto" w:fill="FFFFFF"/>
        </w:rPr>
        <w:t xml:space="preserve"> </w:t>
      </w:r>
      <w:r w:rsidRPr="00C745CB">
        <w:rPr>
          <w:rFonts w:ascii="Times New Roman" w:hAnsi="Times New Roman" w:cs="Times New Roman"/>
          <w:i/>
          <w:iCs/>
          <w:sz w:val="24"/>
          <w:szCs w:val="24"/>
          <w:shd w:val="clear" w:color="auto" w:fill="FFFFFF"/>
        </w:rPr>
        <w:t>Our World in Data</w:t>
      </w:r>
      <w:r w:rsidRPr="003F691A">
        <w:rPr>
          <w:rFonts w:ascii="Times New Roman" w:hAnsi="Times New Roman" w:cs="Times New Roman"/>
          <w:sz w:val="24"/>
          <w:szCs w:val="24"/>
          <w:shd w:val="clear" w:color="auto" w:fill="FFFFFF"/>
        </w:rPr>
        <w:t xml:space="preserve">. </w:t>
      </w:r>
    </w:p>
    <w:p w14:paraId="5C68D425" w14:textId="51D3B0D0"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Shang, Y., Wang, X., Chang, X., Sokolova, I. M., Wei, S., Liu, W., &amp; Wang, Y</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The effect of microplastics on the bioenergetics of the mussel Mytilus coruscus assessed by cellular energy allocation approach. </w:t>
      </w:r>
      <w:r w:rsidRPr="003F691A">
        <w:rPr>
          <w:rFonts w:ascii="Times New Roman" w:hAnsi="Times New Roman" w:cs="Times New Roman"/>
          <w:i/>
          <w:iCs/>
          <w:color w:val="222222"/>
          <w:sz w:val="24"/>
          <w:szCs w:val="24"/>
          <w:shd w:val="clear" w:color="auto" w:fill="FFFFFF"/>
        </w:rPr>
        <w:t>Frontiers in Marine Science</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w:t>
      </w:r>
      <w:r w:rsidRPr="003F691A">
        <w:rPr>
          <w:rFonts w:ascii="Times New Roman" w:hAnsi="Times New Roman" w:cs="Times New Roman"/>
          <w:color w:val="222222"/>
          <w:sz w:val="24"/>
          <w:szCs w:val="24"/>
          <w:shd w:val="clear" w:color="auto" w:fill="FFFFFF"/>
        </w:rPr>
        <w:t>, 754789</w:t>
      </w:r>
      <w:r w:rsidR="00C745CB">
        <w:rPr>
          <w:rFonts w:ascii="Times New Roman" w:hAnsi="Times New Roman" w:cs="Times New Roman"/>
          <w:color w:val="222222"/>
          <w:sz w:val="24"/>
          <w:szCs w:val="24"/>
          <w:shd w:val="clear" w:color="auto" w:fill="FFFFFF"/>
        </w:rPr>
        <w:t>.</w:t>
      </w:r>
    </w:p>
    <w:p w14:paraId="3C9F859B" w14:textId="20CE3593"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Sun, S., Shi, W., Tang, Y., Han, Y., Du, X., Zhou, W., ... &amp; Liu, G</w:t>
      </w:r>
      <w:r w:rsidR="00C745CB">
        <w:rPr>
          <w:rFonts w:ascii="Times New Roman" w:hAnsi="Times New Roman" w:cs="Times New Roman"/>
          <w:sz w:val="24"/>
          <w:szCs w:val="24"/>
          <w:shd w:val="clear" w:color="auto" w:fill="FFFFFF"/>
        </w:rPr>
        <w:t xml:space="preserve">. </w:t>
      </w:r>
      <w:r w:rsidR="00C745CB" w:rsidRPr="003F691A">
        <w:rPr>
          <w:rFonts w:ascii="Times New Roman" w:hAnsi="Times New Roman" w:cs="Times New Roman"/>
          <w:sz w:val="24"/>
          <w:szCs w:val="24"/>
          <w:shd w:val="clear" w:color="auto" w:fill="FFFFFF"/>
        </w:rPr>
        <w:t>(2020).</w:t>
      </w:r>
      <w:r w:rsidRPr="003F691A">
        <w:rPr>
          <w:rFonts w:ascii="Times New Roman" w:hAnsi="Times New Roman" w:cs="Times New Roman"/>
          <w:sz w:val="24"/>
          <w:szCs w:val="24"/>
          <w:shd w:val="clear" w:color="auto" w:fill="FFFFFF"/>
        </w:rPr>
        <w:t xml:space="preserve">  Immunotoxicity of petroleum hydrocarbons and microplastics alone or in combination to a bivalve species: synergic impacts and potential toxication mechanisms. </w:t>
      </w:r>
      <w:r w:rsidRPr="003F691A">
        <w:rPr>
          <w:rFonts w:ascii="Times New Roman" w:hAnsi="Times New Roman" w:cs="Times New Roman"/>
          <w:i/>
          <w:iCs/>
          <w:sz w:val="24"/>
          <w:szCs w:val="24"/>
          <w:shd w:val="clear" w:color="auto" w:fill="FFFFFF"/>
        </w:rPr>
        <w:t>Science of the Total Environment</w:t>
      </w:r>
      <w:r w:rsidRPr="003F691A">
        <w:rPr>
          <w:rFonts w:ascii="Times New Roman" w:hAnsi="Times New Roman" w:cs="Times New Roman"/>
          <w:sz w:val="24"/>
          <w:szCs w:val="24"/>
          <w:shd w:val="clear" w:color="auto" w:fill="FFFFFF"/>
        </w:rPr>
        <w:t>, </w:t>
      </w:r>
      <w:r w:rsidRPr="003F691A">
        <w:rPr>
          <w:rFonts w:ascii="Times New Roman" w:hAnsi="Times New Roman" w:cs="Times New Roman"/>
          <w:b/>
          <w:bCs/>
          <w:i/>
          <w:iCs/>
          <w:sz w:val="24"/>
          <w:szCs w:val="24"/>
          <w:shd w:val="clear" w:color="auto" w:fill="FFFFFF"/>
        </w:rPr>
        <w:t>728</w:t>
      </w:r>
      <w:r w:rsidRPr="003F691A">
        <w:rPr>
          <w:rFonts w:ascii="Times New Roman" w:hAnsi="Times New Roman" w:cs="Times New Roman"/>
          <w:sz w:val="24"/>
          <w:szCs w:val="24"/>
          <w:shd w:val="clear" w:color="auto" w:fill="FFFFFF"/>
        </w:rPr>
        <w:t>, 138852</w:t>
      </w:r>
      <w:r w:rsidR="00C745CB">
        <w:rPr>
          <w:rFonts w:ascii="Times New Roman" w:hAnsi="Times New Roman" w:cs="Times New Roman"/>
          <w:sz w:val="24"/>
          <w:szCs w:val="24"/>
          <w:shd w:val="clear" w:color="auto" w:fill="FFFFFF"/>
        </w:rPr>
        <w:t>.</w:t>
      </w:r>
    </w:p>
    <w:p w14:paraId="4ED54FF1" w14:textId="1856EFE0" w:rsidR="003F691A" w:rsidRPr="003F691A" w:rsidRDefault="003F691A" w:rsidP="003F691A">
      <w:pPr>
        <w:spacing w:line="276" w:lineRule="auto"/>
        <w:jc w:val="both"/>
        <w:rPr>
          <w:rFonts w:ascii="Times New Roman" w:hAnsi="Times New Roman" w:cs="Times New Roman"/>
          <w:sz w:val="24"/>
          <w:szCs w:val="24"/>
          <w:shd w:val="clear" w:color="auto" w:fill="FFFFFF"/>
        </w:rPr>
      </w:pPr>
      <w:r w:rsidRPr="003F691A">
        <w:rPr>
          <w:rFonts w:ascii="Times New Roman" w:hAnsi="Times New Roman" w:cs="Times New Roman"/>
          <w:sz w:val="24"/>
          <w:szCs w:val="24"/>
          <w:shd w:val="clear" w:color="auto" w:fill="FFFFFF"/>
        </w:rPr>
        <w:t>Sussarellu, R., Suquet, M., Thomas, Y., Lambert, C., Fabioux, C., Pernet, M. E. J., &amp; Huvet, A</w:t>
      </w:r>
      <w:r w:rsidR="00C745CB">
        <w:rPr>
          <w:rFonts w:ascii="Times New Roman" w:hAnsi="Times New Roman" w:cs="Times New Roman"/>
          <w:sz w:val="24"/>
          <w:szCs w:val="24"/>
          <w:shd w:val="clear" w:color="auto" w:fill="FFFFFF"/>
        </w:rPr>
        <w:t xml:space="preserve">. </w:t>
      </w:r>
      <w:r w:rsidR="00C745CB" w:rsidRPr="003F691A">
        <w:rPr>
          <w:rFonts w:ascii="Times New Roman" w:hAnsi="Times New Roman" w:cs="Times New Roman"/>
          <w:sz w:val="24"/>
          <w:szCs w:val="24"/>
          <w:shd w:val="clear" w:color="auto" w:fill="FFFFFF"/>
        </w:rPr>
        <w:t>(2016).</w:t>
      </w:r>
      <w:r w:rsidRPr="003F691A">
        <w:rPr>
          <w:rFonts w:ascii="Times New Roman" w:hAnsi="Times New Roman" w:cs="Times New Roman"/>
          <w:sz w:val="24"/>
          <w:szCs w:val="24"/>
          <w:shd w:val="clear" w:color="auto" w:fill="FFFFFF"/>
        </w:rPr>
        <w:t xml:space="preserve"> Oyster reproduction is affected by exposure to polystyrene microplastics. Proceedings of the national academy of sciences, </w:t>
      </w:r>
      <w:r w:rsidRPr="003F691A">
        <w:rPr>
          <w:rFonts w:ascii="Times New Roman" w:hAnsi="Times New Roman" w:cs="Times New Roman"/>
          <w:b/>
          <w:bCs/>
          <w:sz w:val="24"/>
          <w:szCs w:val="24"/>
          <w:shd w:val="clear" w:color="auto" w:fill="FFFFFF"/>
        </w:rPr>
        <w:t>113</w:t>
      </w:r>
      <w:r w:rsidRPr="003F691A">
        <w:rPr>
          <w:rFonts w:ascii="Times New Roman" w:hAnsi="Times New Roman" w:cs="Times New Roman"/>
          <w:sz w:val="24"/>
          <w:szCs w:val="24"/>
          <w:shd w:val="clear" w:color="auto" w:fill="FFFFFF"/>
        </w:rPr>
        <w:t>(9), 2430-2435</w:t>
      </w:r>
      <w:r w:rsidR="00C745CB">
        <w:rPr>
          <w:rFonts w:ascii="Times New Roman" w:hAnsi="Times New Roman" w:cs="Times New Roman"/>
          <w:sz w:val="24"/>
          <w:szCs w:val="24"/>
          <w:shd w:val="clear" w:color="auto" w:fill="FFFFFF"/>
        </w:rPr>
        <w:t>.</w:t>
      </w:r>
    </w:p>
    <w:p w14:paraId="6868B913" w14:textId="6B8FB19C" w:rsidR="003F691A" w:rsidRPr="003F691A" w:rsidRDefault="003F691A" w:rsidP="003F691A">
      <w:pPr>
        <w:spacing w:line="276" w:lineRule="auto"/>
        <w:jc w:val="both"/>
        <w:rPr>
          <w:rFonts w:ascii="Times New Roman" w:hAnsi="Times New Roman" w:cs="Times New Roman"/>
          <w:sz w:val="24"/>
          <w:szCs w:val="24"/>
        </w:rPr>
      </w:pPr>
      <w:r w:rsidRPr="003F691A">
        <w:rPr>
          <w:rFonts w:ascii="Times New Roman" w:hAnsi="Times New Roman" w:cs="Times New Roman"/>
          <w:color w:val="222222"/>
          <w:sz w:val="24"/>
          <w:szCs w:val="24"/>
          <w:shd w:val="clear" w:color="auto" w:fill="FFFFFF"/>
        </w:rPr>
        <w:t>Trestrail, C., Walpitagama, M., Miranda, A., Nugegoda, D., &amp; Shimeta, J</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(2021).</w:t>
      </w:r>
      <w:r w:rsidRPr="003F691A">
        <w:rPr>
          <w:rFonts w:ascii="Times New Roman" w:hAnsi="Times New Roman" w:cs="Times New Roman"/>
          <w:color w:val="222222"/>
          <w:sz w:val="24"/>
          <w:szCs w:val="24"/>
          <w:shd w:val="clear" w:color="auto" w:fill="FFFFFF"/>
        </w:rPr>
        <w:t xml:space="preserve"> Microplastics alter digestive enzyme activities in the marine bivalve, </w:t>
      </w:r>
      <w:r w:rsidRPr="003F691A">
        <w:rPr>
          <w:rFonts w:ascii="Times New Roman" w:hAnsi="Times New Roman" w:cs="Times New Roman"/>
          <w:i/>
          <w:iCs/>
          <w:color w:val="222222"/>
          <w:sz w:val="24"/>
          <w:szCs w:val="24"/>
          <w:shd w:val="clear" w:color="auto" w:fill="FFFFFF"/>
        </w:rPr>
        <w:t>Mytilus galloprovincialis</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779</w:t>
      </w:r>
      <w:r w:rsidRPr="003F691A">
        <w:rPr>
          <w:rFonts w:ascii="Times New Roman" w:hAnsi="Times New Roman" w:cs="Times New Roman"/>
          <w:color w:val="222222"/>
          <w:sz w:val="24"/>
          <w:szCs w:val="24"/>
          <w:shd w:val="clear" w:color="auto" w:fill="FFFFFF"/>
        </w:rPr>
        <w:t>, 146418</w:t>
      </w:r>
      <w:r w:rsidR="00C745CB">
        <w:rPr>
          <w:rFonts w:ascii="Times New Roman" w:hAnsi="Times New Roman" w:cs="Times New Roman"/>
          <w:color w:val="222222"/>
          <w:sz w:val="24"/>
          <w:szCs w:val="24"/>
          <w:shd w:val="clear" w:color="auto" w:fill="FFFFFF"/>
        </w:rPr>
        <w:t>.</w:t>
      </w:r>
    </w:p>
    <w:p w14:paraId="1490F6A8" w14:textId="5D5282B4" w:rsidR="003F691A" w:rsidRPr="003F691A" w:rsidRDefault="003F691A" w:rsidP="003F691A">
      <w:pPr>
        <w:spacing w:line="276" w:lineRule="auto"/>
        <w:jc w:val="both"/>
        <w:rPr>
          <w:rFonts w:ascii="Times New Roman" w:hAnsi="Times New Roman" w:cs="Times New Roman"/>
          <w:color w:val="222222"/>
          <w:sz w:val="24"/>
          <w:szCs w:val="24"/>
          <w:shd w:val="clear" w:color="auto" w:fill="FFFFFF"/>
        </w:rPr>
      </w:pPr>
      <w:r w:rsidRPr="003F691A">
        <w:rPr>
          <w:rFonts w:ascii="Times New Roman" w:hAnsi="Times New Roman" w:cs="Times New Roman"/>
          <w:color w:val="222222"/>
          <w:sz w:val="24"/>
          <w:szCs w:val="24"/>
          <w:shd w:val="clear" w:color="auto" w:fill="FFFFFF"/>
        </w:rPr>
        <w:t>Yuan, Z., Nag, R., &amp; Cummins, E</w:t>
      </w:r>
      <w:r w:rsidR="00C745CB">
        <w:rPr>
          <w:rFonts w:ascii="Times New Roman" w:hAnsi="Times New Roman" w:cs="Times New Roman"/>
          <w:color w:val="222222"/>
          <w:sz w:val="24"/>
          <w:szCs w:val="24"/>
          <w:shd w:val="clear" w:color="auto" w:fill="FFFFFF"/>
        </w:rPr>
        <w:t xml:space="preserve">. </w:t>
      </w:r>
      <w:r w:rsidR="00C745CB" w:rsidRPr="003F691A">
        <w:rPr>
          <w:rFonts w:ascii="Times New Roman" w:hAnsi="Times New Roman" w:cs="Times New Roman"/>
          <w:color w:val="222222"/>
          <w:sz w:val="24"/>
          <w:szCs w:val="24"/>
          <w:shd w:val="clear" w:color="auto" w:fill="FFFFFF"/>
        </w:rPr>
        <w:t>(2022).</w:t>
      </w:r>
      <w:r w:rsidRPr="003F691A">
        <w:rPr>
          <w:rFonts w:ascii="Times New Roman" w:hAnsi="Times New Roman" w:cs="Times New Roman"/>
          <w:color w:val="222222"/>
          <w:sz w:val="24"/>
          <w:szCs w:val="24"/>
          <w:shd w:val="clear" w:color="auto" w:fill="FFFFFF"/>
        </w:rPr>
        <w:t xml:space="preserve"> Human health concerns regarding microplastics in the aquatic environment-From marine to food systems. </w:t>
      </w:r>
      <w:r w:rsidRPr="003F691A">
        <w:rPr>
          <w:rFonts w:ascii="Times New Roman" w:hAnsi="Times New Roman" w:cs="Times New Roman"/>
          <w:i/>
          <w:iCs/>
          <w:color w:val="222222"/>
          <w:sz w:val="24"/>
          <w:szCs w:val="24"/>
          <w:shd w:val="clear" w:color="auto" w:fill="FFFFFF"/>
        </w:rPr>
        <w:t>Science of the Total Environment</w:t>
      </w:r>
      <w:r w:rsidRPr="003F691A">
        <w:rPr>
          <w:rFonts w:ascii="Times New Roman" w:hAnsi="Times New Roman" w:cs="Times New Roman"/>
          <w:color w:val="222222"/>
          <w:sz w:val="24"/>
          <w:szCs w:val="24"/>
          <w:shd w:val="clear" w:color="auto" w:fill="FFFFFF"/>
        </w:rPr>
        <w:t>, </w:t>
      </w:r>
      <w:r w:rsidRPr="003F691A">
        <w:rPr>
          <w:rFonts w:ascii="Times New Roman" w:hAnsi="Times New Roman" w:cs="Times New Roman"/>
          <w:b/>
          <w:bCs/>
          <w:i/>
          <w:iCs/>
          <w:color w:val="222222"/>
          <w:sz w:val="24"/>
          <w:szCs w:val="24"/>
          <w:shd w:val="clear" w:color="auto" w:fill="FFFFFF"/>
        </w:rPr>
        <w:t>823</w:t>
      </w:r>
      <w:r w:rsidRPr="003F691A">
        <w:rPr>
          <w:rFonts w:ascii="Times New Roman" w:hAnsi="Times New Roman" w:cs="Times New Roman"/>
          <w:color w:val="222222"/>
          <w:sz w:val="24"/>
          <w:szCs w:val="24"/>
          <w:shd w:val="clear" w:color="auto" w:fill="FFFFFF"/>
        </w:rPr>
        <w:t>, 153730</w:t>
      </w:r>
      <w:r w:rsidR="00C745CB">
        <w:rPr>
          <w:rFonts w:ascii="Times New Roman" w:hAnsi="Times New Roman" w:cs="Times New Roman"/>
          <w:color w:val="222222"/>
          <w:sz w:val="24"/>
          <w:szCs w:val="24"/>
          <w:shd w:val="clear" w:color="auto" w:fill="FFFFFF"/>
        </w:rPr>
        <w:t>.</w:t>
      </w:r>
    </w:p>
    <w:p w14:paraId="18533BF6" w14:textId="77777777" w:rsidR="003F691A" w:rsidRPr="003F691A" w:rsidRDefault="003F691A" w:rsidP="003F691A">
      <w:pPr>
        <w:spacing w:line="276" w:lineRule="auto"/>
        <w:jc w:val="both"/>
        <w:rPr>
          <w:rFonts w:ascii="Times New Roman" w:hAnsi="Times New Roman" w:cs="Times New Roman"/>
          <w:sz w:val="24"/>
          <w:szCs w:val="24"/>
          <w:lang w:val="en-US"/>
        </w:rPr>
      </w:pPr>
    </w:p>
    <w:p w14:paraId="4C30174C" w14:textId="77777777" w:rsidR="003F691A" w:rsidRPr="003F691A" w:rsidRDefault="003F691A" w:rsidP="003F691A">
      <w:pPr>
        <w:spacing w:line="276" w:lineRule="auto"/>
        <w:jc w:val="both"/>
        <w:rPr>
          <w:rFonts w:ascii="Times New Roman" w:eastAsia="Times New Roman" w:hAnsi="Times New Roman" w:cs="Times New Roman"/>
          <w:sz w:val="24"/>
          <w:szCs w:val="24"/>
          <w:lang w:eastAsia="en-IN"/>
        </w:rPr>
      </w:pPr>
    </w:p>
    <w:p w14:paraId="6BFA8AA9" w14:textId="77777777" w:rsidR="003F691A" w:rsidRPr="008445F2" w:rsidRDefault="003F691A" w:rsidP="003F691A">
      <w:pPr>
        <w:spacing w:line="276" w:lineRule="auto"/>
        <w:rPr>
          <w:rFonts w:ascii="Arial Narrow" w:hAnsi="Arial Narrow" w:cs="Times New Roman"/>
          <w:b/>
          <w:sz w:val="18"/>
          <w:szCs w:val="18"/>
        </w:rPr>
      </w:pPr>
    </w:p>
    <w:p w14:paraId="05A65D40" w14:textId="77777777" w:rsidR="003F691A" w:rsidRPr="008445F2" w:rsidRDefault="003F691A" w:rsidP="003F691A">
      <w:pPr>
        <w:spacing w:line="276" w:lineRule="auto"/>
        <w:jc w:val="center"/>
        <w:rPr>
          <w:rFonts w:ascii="Arial Narrow" w:hAnsi="Arial Narrow" w:cs="Times New Roman"/>
          <w:b/>
          <w:sz w:val="18"/>
          <w:szCs w:val="18"/>
          <w:lang w:val="en-US"/>
        </w:rPr>
      </w:pPr>
    </w:p>
    <w:p w14:paraId="5A540A6F" w14:textId="77777777" w:rsidR="003F691A" w:rsidRPr="008445F2" w:rsidRDefault="003F691A" w:rsidP="003F691A">
      <w:pPr>
        <w:spacing w:line="276" w:lineRule="auto"/>
        <w:jc w:val="both"/>
        <w:rPr>
          <w:rFonts w:ascii="Arial Narrow" w:hAnsi="Arial Narrow" w:cs="Times New Roman"/>
          <w:sz w:val="18"/>
          <w:szCs w:val="18"/>
        </w:rPr>
      </w:pPr>
      <w:bookmarkStart w:id="6" w:name="_GoBack"/>
      <w:bookmarkEnd w:id="6"/>
    </w:p>
    <w:p w14:paraId="538474AF" w14:textId="512630A0" w:rsidR="003D6994" w:rsidRPr="00B07389" w:rsidRDefault="003D6994" w:rsidP="00B07389">
      <w:pPr>
        <w:spacing w:line="360" w:lineRule="auto"/>
        <w:jc w:val="both"/>
        <w:rPr>
          <w:rFonts w:ascii="Times New Roman" w:hAnsi="Times New Roman" w:cs="Times New Roman"/>
          <w:sz w:val="32"/>
          <w:szCs w:val="32"/>
        </w:rPr>
      </w:pPr>
    </w:p>
    <w:sectPr w:rsidR="003D6994" w:rsidRPr="00B07389">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Windows User" w:date="2026-01-18T21:42:00Z" w:initials="WU">
    <w:p w14:paraId="74F25085" w14:textId="1CB47C71" w:rsidR="00F150FB" w:rsidRDefault="00F150FB">
      <w:pPr>
        <w:pStyle w:val="CommentText"/>
      </w:pPr>
      <w:r>
        <w:rPr>
          <w:rStyle w:val="CommentReference"/>
        </w:rPr>
        <w:annotationRef/>
      </w:r>
      <w:r>
        <w:t>AQ2</w:t>
      </w:r>
      <w:r>
        <w:t xml:space="preserve">: </w:t>
      </w:r>
      <w:r>
        <w:t xml:space="preserve">Write the figure name and </w:t>
      </w:r>
      <w:r>
        <w:t>Cite this figure into the text.</w:t>
      </w:r>
    </w:p>
  </w:comment>
  <w:comment w:id="1" w:author="Windows User" w:date="2026-01-18T21:39:00Z" w:initials="WU">
    <w:p w14:paraId="2CFEADD2" w14:textId="5EADA16E" w:rsidR="00F150FB" w:rsidRDefault="00F150FB">
      <w:pPr>
        <w:pStyle w:val="CommentText"/>
      </w:pPr>
      <w:r>
        <w:rPr>
          <w:rStyle w:val="CommentReference"/>
        </w:rPr>
        <w:annotationRef/>
      </w:r>
      <w:r>
        <w:rPr>
          <w:rStyle w:val="CommentReference"/>
        </w:rPr>
        <w:annotationRef/>
      </w:r>
      <w:r>
        <w:t xml:space="preserve">AQ1: </w:t>
      </w:r>
      <w:r>
        <w:t>Provide the related reference and citation of these lines.</w:t>
      </w:r>
    </w:p>
  </w:comment>
  <w:comment w:id="2" w:author="Windows User" w:date="2026-01-18T21:53:00Z" w:initials="WU">
    <w:p w14:paraId="1214580B" w14:textId="7B2304EB" w:rsidR="00892D03" w:rsidRDefault="00892D03">
      <w:pPr>
        <w:pStyle w:val="CommentText"/>
      </w:pPr>
      <w:r>
        <w:rPr>
          <w:rStyle w:val="CommentReference"/>
        </w:rPr>
        <w:annotationRef/>
      </w:r>
      <w:r>
        <w:t xml:space="preserve">AQ3: </w:t>
      </w:r>
      <w:r>
        <w:t>AQ: If any of the images in this paper do not belong to the paper author(s), please provide a source and confirm you have permission from the copyright holders to use these images.</w:t>
      </w:r>
    </w:p>
  </w:comment>
  <w:comment w:id="3" w:author="Windows User" w:date="2026-01-18T21:55:00Z" w:initials="WU">
    <w:p w14:paraId="53D7D5B3" w14:textId="6C2FC2BF" w:rsidR="00892D03" w:rsidRDefault="00892D03">
      <w:pPr>
        <w:pStyle w:val="CommentText"/>
      </w:pPr>
      <w:r>
        <w:rPr>
          <w:rStyle w:val="CommentReference"/>
        </w:rPr>
        <w:annotationRef/>
      </w:r>
      <w:r>
        <w:t>AQ4:</w:t>
      </w:r>
      <w:r w:rsidRPr="00892D03">
        <w:t xml:space="preserve"> </w:t>
      </w:r>
      <w:r>
        <w:t xml:space="preserve">Provide the DOI number of all </w:t>
      </w:r>
      <w:r>
        <w:t>references.</w:t>
      </w:r>
    </w:p>
  </w:comment>
  <w:comment w:id="4" w:author="Windows User" w:date="2026-01-18T21:56:00Z" w:initials="WU">
    <w:p w14:paraId="7F4F0222" w14:textId="45E53646" w:rsidR="00892D03" w:rsidRDefault="00892D03">
      <w:pPr>
        <w:pStyle w:val="CommentText"/>
      </w:pPr>
      <w:r>
        <w:rPr>
          <w:rStyle w:val="CommentReference"/>
        </w:rPr>
        <w:annotationRef/>
      </w:r>
      <w:r>
        <w:t>AQ5: Provide the page number of the reference</w:t>
      </w:r>
      <w:r>
        <w:t>.</w:t>
      </w:r>
      <w:r>
        <w:t xml:space="preserve"> </w:t>
      </w:r>
    </w:p>
  </w:comment>
  <w:comment w:id="5" w:author="Windows User" w:date="2026-01-18T21:57:00Z" w:initials="WU">
    <w:p w14:paraId="4F558A0D" w14:textId="19442DCC" w:rsidR="00892D03" w:rsidRDefault="00892D03">
      <w:pPr>
        <w:pStyle w:val="CommentText"/>
      </w:pPr>
      <w:r>
        <w:rPr>
          <w:rStyle w:val="CommentReference"/>
        </w:rPr>
        <w:annotationRef/>
      </w:r>
      <w:r>
        <w:t xml:space="preserve">AQ 6: </w:t>
      </w:r>
      <w:r>
        <w:t>Provide the Vol., Issue, page number, and DOI of this reference.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F25085" w15:done="0"/>
  <w15:commentEx w15:paraId="2CFEADD2" w15:done="0"/>
  <w15:commentEx w15:paraId="1214580B" w15:done="0"/>
  <w15:commentEx w15:paraId="53D7D5B3" w15:done="0"/>
  <w15:commentEx w15:paraId="7F4F0222" w15:done="0"/>
  <w15:commentEx w15:paraId="4F558A0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DF4B2" w14:textId="77777777" w:rsidR="00F25F5E" w:rsidRDefault="00F25F5E" w:rsidP="00C34CA0">
      <w:pPr>
        <w:spacing w:after="0" w:line="240" w:lineRule="auto"/>
      </w:pPr>
      <w:r>
        <w:separator/>
      </w:r>
    </w:p>
  </w:endnote>
  <w:endnote w:type="continuationSeparator" w:id="0">
    <w:p w14:paraId="30EB230C" w14:textId="77777777" w:rsidR="00F25F5E" w:rsidRDefault="00F25F5E" w:rsidP="00C34C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208D4" w14:textId="77777777" w:rsidR="00C34CA0" w:rsidRDefault="00C34C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F6C45F" w14:textId="77777777" w:rsidR="00C34CA0" w:rsidRDefault="00C34C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39BC3" w14:textId="77777777" w:rsidR="00C34CA0" w:rsidRDefault="00C34C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C153A2" w14:textId="77777777" w:rsidR="00F25F5E" w:rsidRDefault="00F25F5E" w:rsidP="00C34CA0">
      <w:pPr>
        <w:spacing w:after="0" w:line="240" w:lineRule="auto"/>
      </w:pPr>
      <w:r>
        <w:separator/>
      </w:r>
    </w:p>
  </w:footnote>
  <w:footnote w:type="continuationSeparator" w:id="0">
    <w:p w14:paraId="437A092A" w14:textId="77777777" w:rsidR="00F25F5E" w:rsidRDefault="00F25F5E" w:rsidP="00C34CA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B4DC8C" w14:textId="3AA2237C" w:rsidR="00C34CA0" w:rsidRDefault="00F25F5E">
    <w:pPr>
      <w:pStyle w:val="Header"/>
    </w:pPr>
    <w:r>
      <w:rPr>
        <w:noProof/>
      </w:rPr>
      <w:pict w14:anchorId="145FCF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6F1B" w14:textId="674530FF" w:rsidR="00C34CA0" w:rsidRDefault="00F25F5E">
    <w:pPr>
      <w:pStyle w:val="Header"/>
    </w:pPr>
    <w:r>
      <w:rPr>
        <w:noProof/>
      </w:rPr>
      <w:pict w14:anchorId="37C3A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1EB40B" w14:textId="0EE57127" w:rsidR="00C34CA0" w:rsidRDefault="00F25F5E">
    <w:pPr>
      <w:pStyle w:val="Header"/>
    </w:pPr>
    <w:r>
      <w:rPr>
        <w:noProof/>
      </w:rPr>
      <w:pict w14:anchorId="3E16E1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94709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Windows User">
    <w15:presenceInfo w15:providerId="None" w15:userId="Windows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3BAE"/>
    <w:rsid w:val="00003016"/>
    <w:rsid w:val="000355AC"/>
    <w:rsid w:val="00082664"/>
    <w:rsid w:val="00091F12"/>
    <w:rsid w:val="000933C7"/>
    <w:rsid w:val="000C7BC2"/>
    <w:rsid w:val="001102E3"/>
    <w:rsid w:val="00125A30"/>
    <w:rsid w:val="00154852"/>
    <w:rsid w:val="001D49EB"/>
    <w:rsid w:val="001D69D5"/>
    <w:rsid w:val="00211676"/>
    <w:rsid w:val="00253070"/>
    <w:rsid w:val="0029098A"/>
    <w:rsid w:val="002A1C4E"/>
    <w:rsid w:val="002B370C"/>
    <w:rsid w:val="002D226A"/>
    <w:rsid w:val="003325D5"/>
    <w:rsid w:val="00366347"/>
    <w:rsid w:val="00374AC2"/>
    <w:rsid w:val="0038255D"/>
    <w:rsid w:val="00382620"/>
    <w:rsid w:val="003D6994"/>
    <w:rsid w:val="003F691A"/>
    <w:rsid w:val="003F750D"/>
    <w:rsid w:val="00412766"/>
    <w:rsid w:val="00461B03"/>
    <w:rsid w:val="004656EB"/>
    <w:rsid w:val="00466DAA"/>
    <w:rsid w:val="004F78B9"/>
    <w:rsid w:val="00507C02"/>
    <w:rsid w:val="005112B0"/>
    <w:rsid w:val="00513BAE"/>
    <w:rsid w:val="00552A0A"/>
    <w:rsid w:val="00555D6B"/>
    <w:rsid w:val="00565284"/>
    <w:rsid w:val="00572E5D"/>
    <w:rsid w:val="00587EF5"/>
    <w:rsid w:val="005D25A4"/>
    <w:rsid w:val="00603E66"/>
    <w:rsid w:val="00605DEC"/>
    <w:rsid w:val="006233F2"/>
    <w:rsid w:val="0063600B"/>
    <w:rsid w:val="0064213A"/>
    <w:rsid w:val="00645F36"/>
    <w:rsid w:val="00660137"/>
    <w:rsid w:val="00662DD8"/>
    <w:rsid w:val="00675DEB"/>
    <w:rsid w:val="00680256"/>
    <w:rsid w:val="006B11FE"/>
    <w:rsid w:val="007514C6"/>
    <w:rsid w:val="00765D30"/>
    <w:rsid w:val="007860BD"/>
    <w:rsid w:val="007915CA"/>
    <w:rsid w:val="007A140D"/>
    <w:rsid w:val="007D2DCF"/>
    <w:rsid w:val="00800AE4"/>
    <w:rsid w:val="00820E29"/>
    <w:rsid w:val="0084014B"/>
    <w:rsid w:val="00840837"/>
    <w:rsid w:val="00843CBF"/>
    <w:rsid w:val="00860945"/>
    <w:rsid w:val="00892D03"/>
    <w:rsid w:val="008B5B6E"/>
    <w:rsid w:val="008E284D"/>
    <w:rsid w:val="008F573F"/>
    <w:rsid w:val="009331E4"/>
    <w:rsid w:val="00943A3D"/>
    <w:rsid w:val="009D0049"/>
    <w:rsid w:val="009E0E52"/>
    <w:rsid w:val="009F29F7"/>
    <w:rsid w:val="00A0308A"/>
    <w:rsid w:val="00A24E1A"/>
    <w:rsid w:val="00A5082D"/>
    <w:rsid w:val="00AC1791"/>
    <w:rsid w:val="00B008BB"/>
    <w:rsid w:val="00B07389"/>
    <w:rsid w:val="00B12F73"/>
    <w:rsid w:val="00B76BA7"/>
    <w:rsid w:val="00BB387F"/>
    <w:rsid w:val="00BB7262"/>
    <w:rsid w:val="00BD31B6"/>
    <w:rsid w:val="00BF1960"/>
    <w:rsid w:val="00C13042"/>
    <w:rsid w:val="00C34CA0"/>
    <w:rsid w:val="00C3612B"/>
    <w:rsid w:val="00C64724"/>
    <w:rsid w:val="00C745CB"/>
    <w:rsid w:val="00C914BE"/>
    <w:rsid w:val="00C95015"/>
    <w:rsid w:val="00CD6CC3"/>
    <w:rsid w:val="00D04BC7"/>
    <w:rsid w:val="00D824BC"/>
    <w:rsid w:val="00DA3888"/>
    <w:rsid w:val="00DF5D68"/>
    <w:rsid w:val="00DF6E70"/>
    <w:rsid w:val="00E03DA5"/>
    <w:rsid w:val="00E11E87"/>
    <w:rsid w:val="00E31E05"/>
    <w:rsid w:val="00E70F5C"/>
    <w:rsid w:val="00E84D48"/>
    <w:rsid w:val="00EA3F30"/>
    <w:rsid w:val="00EB3C4A"/>
    <w:rsid w:val="00ED5623"/>
    <w:rsid w:val="00ED6704"/>
    <w:rsid w:val="00F150FB"/>
    <w:rsid w:val="00F1555A"/>
    <w:rsid w:val="00F25F5E"/>
    <w:rsid w:val="00F33914"/>
    <w:rsid w:val="00F57575"/>
    <w:rsid w:val="00F75883"/>
    <w:rsid w:val="00F97A0E"/>
    <w:rsid w:val="00FB0B5E"/>
    <w:rsid w:val="00FC662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9673020"/>
  <w15:chartTrackingRefBased/>
  <w15:docId w15:val="{684E9C22-C9B1-4292-A796-6C0ECBBCE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13BA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13BA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13BA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13BA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13BA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13BA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3B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3B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3B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3BA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13BA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13BA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13BA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13BA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13B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3B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3B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3BAE"/>
    <w:rPr>
      <w:rFonts w:eastAsiaTheme="majorEastAsia" w:cstheme="majorBidi"/>
      <w:color w:val="272727" w:themeColor="text1" w:themeTint="D8"/>
    </w:rPr>
  </w:style>
  <w:style w:type="paragraph" w:styleId="Title">
    <w:name w:val="Title"/>
    <w:basedOn w:val="Normal"/>
    <w:next w:val="Normal"/>
    <w:link w:val="TitleChar"/>
    <w:uiPriority w:val="10"/>
    <w:qFormat/>
    <w:rsid w:val="00513BA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3BA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3BA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3B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3BAE"/>
    <w:pPr>
      <w:spacing w:before="160"/>
      <w:jc w:val="center"/>
    </w:pPr>
    <w:rPr>
      <w:i/>
      <w:iCs/>
      <w:color w:val="404040" w:themeColor="text1" w:themeTint="BF"/>
    </w:rPr>
  </w:style>
  <w:style w:type="character" w:customStyle="1" w:styleId="QuoteChar">
    <w:name w:val="Quote Char"/>
    <w:basedOn w:val="DefaultParagraphFont"/>
    <w:link w:val="Quote"/>
    <w:uiPriority w:val="29"/>
    <w:rsid w:val="00513BAE"/>
    <w:rPr>
      <w:i/>
      <w:iCs/>
      <w:color w:val="404040" w:themeColor="text1" w:themeTint="BF"/>
    </w:rPr>
  </w:style>
  <w:style w:type="paragraph" w:styleId="ListParagraph">
    <w:name w:val="List Paragraph"/>
    <w:basedOn w:val="Normal"/>
    <w:uiPriority w:val="34"/>
    <w:qFormat/>
    <w:rsid w:val="00513BAE"/>
    <w:pPr>
      <w:ind w:left="720"/>
      <w:contextualSpacing/>
    </w:pPr>
  </w:style>
  <w:style w:type="character" w:styleId="IntenseEmphasis">
    <w:name w:val="Intense Emphasis"/>
    <w:basedOn w:val="DefaultParagraphFont"/>
    <w:uiPriority w:val="21"/>
    <w:qFormat/>
    <w:rsid w:val="00513BAE"/>
    <w:rPr>
      <w:i/>
      <w:iCs/>
      <w:color w:val="2F5496" w:themeColor="accent1" w:themeShade="BF"/>
    </w:rPr>
  </w:style>
  <w:style w:type="paragraph" w:styleId="IntenseQuote">
    <w:name w:val="Intense Quote"/>
    <w:basedOn w:val="Normal"/>
    <w:next w:val="Normal"/>
    <w:link w:val="IntenseQuoteChar"/>
    <w:uiPriority w:val="30"/>
    <w:qFormat/>
    <w:rsid w:val="00513BA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13BAE"/>
    <w:rPr>
      <w:i/>
      <w:iCs/>
      <w:color w:val="2F5496" w:themeColor="accent1" w:themeShade="BF"/>
    </w:rPr>
  </w:style>
  <w:style w:type="character" w:styleId="IntenseReference">
    <w:name w:val="Intense Reference"/>
    <w:basedOn w:val="DefaultParagraphFont"/>
    <w:uiPriority w:val="32"/>
    <w:qFormat/>
    <w:rsid w:val="00513BAE"/>
    <w:rPr>
      <w:b/>
      <w:bCs/>
      <w:smallCaps/>
      <w:color w:val="2F5496" w:themeColor="accent1" w:themeShade="BF"/>
      <w:spacing w:val="5"/>
    </w:rPr>
  </w:style>
  <w:style w:type="paragraph" w:customStyle="1" w:styleId="Default">
    <w:name w:val="Default"/>
    <w:rsid w:val="00F33914"/>
    <w:pPr>
      <w:autoSpaceDE w:val="0"/>
      <w:autoSpaceDN w:val="0"/>
      <w:adjustRightInd w:val="0"/>
      <w:spacing w:after="0" w:line="240" w:lineRule="auto"/>
    </w:pPr>
    <w:rPr>
      <w:rFonts w:ascii="Arial" w:hAnsi="Arial" w:cs="Arial"/>
      <w:color w:val="000000"/>
      <w:kern w:val="0"/>
      <w:sz w:val="24"/>
      <w:szCs w:val="24"/>
      <w14:ligatures w14:val="none"/>
    </w:rPr>
  </w:style>
  <w:style w:type="table" w:styleId="TableGrid">
    <w:name w:val="Table Grid"/>
    <w:basedOn w:val="TableNormal"/>
    <w:uiPriority w:val="59"/>
    <w:rsid w:val="00BB7262"/>
    <w:pPr>
      <w:spacing w:after="0" w:line="240" w:lineRule="auto"/>
    </w:pPr>
    <w:rPr>
      <w:kern w:val="0"/>
      <w14:ligatures w14:val="none"/>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3F691A"/>
    <w:rPr>
      <w:color w:val="0000FF"/>
      <w:u w:val="single"/>
    </w:rPr>
  </w:style>
  <w:style w:type="paragraph" w:styleId="Header">
    <w:name w:val="header"/>
    <w:basedOn w:val="Normal"/>
    <w:link w:val="HeaderChar"/>
    <w:uiPriority w:val="99"/>
    <w:unhideWhenUsed/>
    <w:rsid w:val="00C34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4CA0"/>
  </w:style>
  <w:style w:type="paragraph" w:styleId="Footer">
    <w:name w:val="footer"/>
    <w:basedOn w:val="Normal"/>
    <w:link w:val="FooterChar"/>
    <w:uiPriority w:val="99"/>
    <w:unhideWhenUsed/>
    <w:rsid w:val="00C34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4CA0"/>
  </w:style>
  <w:style w:type="character" w:styleId="CommentReference">
    <w:name w:val="annotation reference"/>
    <w:basedOn w:val="DefaultParagraphFont"/>
    <w:uiPriority w:val="99"/>
    <w:semiHidden/>
    <w:unhideWhenUsed/>
    <w:rsid w:val="00F150FB"/>
    <w:rPr>
      <w:sz w:val="16"/>
      <w:szCs w:val="16"/>
    </w:rPr>
  </w:style>
  <w:style w:type="paragraph" w:styleId="CommentText">
    <w:name w:val="annotation text"/>
    <w:basedOn w:val="Normal"/>
    <w:link w:val="CommentTextChar"/>
    <w:uiPriority w:val="99"/>
    <w:unhideWhenUsed/>
    <w:rsid w:val="00F150FB"/>
    <w:pPr>
      <w:spacing w:line="240" w:lineRule="auto"/>
    </w:pPr>
    <w:rPr>
      <w:sz w:val="20"/>
      <w:szCs w:val="20"/>
    </w:rPr>
  </w:style>
  <w:style w:type="character" w:customStyle="1" w:styleId="CommentTextChar">
    <w:name w:val="Comment Text Char"/>
    <w:basedOn w:val="DefaultParagraphFont"/>
    <w:link w:val="CommentText"/>
    <w:uiPriority w:val="99"/>
    <w:rsid w:val="00F150FB"/>
    <w:rPr>
      <w:sz w:val="20"/>
      <w:szCs w:val="20"/>
    </w:rPr>
  </w:style>
  <w:style w:type="paragraph" w:styleId="CommentSubject">
    <w:name w:val="annotation subject"/>
    <w:basedOn w:val="CommentText"/>
    <w:next w:val="CommentText"/>
    <w:link w:val="CommentSubjectChar"/>
    <w:uiPriority w:val="99"/>
    <w:semiHidden/>
    <w:unhideWhenUsed/>
    <w:rsid w:val="00F150FB"/>
    <w:rPr>
      <w:b/>
      <w:bCs/>
    </w:rPr>
  </w:style>
  <w:style w:type="character" w:customStyle="1" w:styleId="CommentSubjectChar">
    <w:name w:val="Comment Subject Char"/>
    <w:basedOn w:val="CommentTextChar"/>
    <w:link w:val="CommentSubject"/>
    <w:uiPriority w:val="99"/>
    <w:semiHidden/>
    <w:rsid w:val="00F150FB"/>
    <w:rPr>
      <w:b/>
      <w:bCs/>
      <w:sz w:val="20"/>
      <w:szCs w:val="20"/>
    </w:rPr>
  </w:style>
  <w:style w:type="paragraph" w:styleId="BalloonText">
    <w:name w:val="Balloon Text"/>
    <w:basedOn w:val="Normal"/>
    <w:link w:val="BalloonTextChar"/>
    <w:uiPriority w:val="99"/>
    <w:semiHidden/>
    <w:unhideWhenUsed/>
    <w:rsid w:val="00F150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50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chart" Target="charts/chart3.xml"/><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comments" Target="comments.xml"/><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chart" Target="charts/chart1.xml"/><Relationship Id="rId5"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chart" Target="charts/chart4.xml"/><Relationship Id="rId22"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20780769339316"/>
          <c:y val="0.23232415715477425"/>
          <c:w val="0.70349133005080955"/>
          <c:h val="0.6369799519740883"/>
        </c:manualLayout>
      </c:layout>
      <c:barChart>
        <c:barDir val="col"/>
        <c:grouping val="clustered"/>
        <c:varyColors val="0"/>
        <c:ser>
          <c:idx val="0"/>
          <c:order val="0"/>
          <c:tx>
            <c:strRef>
              <c:f>Sheet1!$B$1</c:f>
              <c:strCache>
                <c:ptCount val="1"/>
                <c:pt idx="0">
                  <c:v>Column1</c:v>
                </c:pt>
              </c:strCache>
            </c:strRef>
          </c:tx>
          <c:spPr>
            <a:solidFill>
              <a:srgbClr val="00B050"/>
            </a:solidFill>
            <a:ln>
              <a:noFill/>
            </a:ln>
            <a:effectLst/>
          </c:spPr>
          <c:invertIfNegative val="0"/>
          <c:dPt>
            <c:idx val="1"/>
            <c:invertIfNegative val="0"/>
            <c:bubble3D val="0"/>
            <c:spPr>
              <a:solidFill>
                <a:srgbClr val="00B0F0"/>
              </a:solidFill>
              <a:ln>
                <a:noFill/>
              </a:ln>
              <a:effectLst/>
            </c:spPr>
            <c:extLst xmlns:c16r2="http://schemas.microsoft.com/office/drawing/2015/06/chart">
              <c:ext xmlns:c16="http://schemas.microsoft.com/office/drawing/2014/chart" uri="{C3380CC4-5D6E-409C-BE32-E72D297353CC}">
                <c16:uniqueId val="{00000001-DA06-4B21-934B-82CFD65939CB}"/>
              </c:ext>
            </c:extLst>
          </c:dPt>
          <c:dLbls>
            <c:dLbl>
              <c:idx val="1"/>
              <c:layout>
                <c:manualLayout>
                  <c:x val="0"/>
                  <c:y val="1.843317972350230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A06-4B21-934B-82CFD65939C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1.9575</c:v>
                </c:pt>
                <c:pt idx="1">
                  <c:v>2.2850000000000001</c:v>
                </c:pt>
              </c:numCache>
            </c:numRef>
          </c:val>
          <c:extLst xmlns:c16r2="http://schemas.microsoft.com/office/drawing/2015/06/chart">
            <c:ext xmlns:c16="http://schemas.microsoft.com/office/drawing/2014/chart" uri="{C3380CC4-5D6E-409C-BE32-E72D297353CC}">
              <c16:uniqueId val="{00000002-DA06-4B21-934B-82CFD65939CB}"/>
            </c:ext>
          </c:extLst>
        </c:ser>
        <c:dLbls>
          <c:showLegendKey val="0"/>
          <c:showVal val="0"/>
          <c:showCatName val="0"/>
          <c:showSerName val="0"/>
          <c:showPercent val="0"/>
          <c:showBubbleSize val="0"/>
        </c:dLbls>
        <c:gapWidth val="219"/>
        <c:overlap val="-27"/>
        <c:axId val="764668816"/>
        <c:axId val="764670448"/>
      </c:barChart>
      <c:catAx>
        <c:axId val="764668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70448"/>
        <c:crosses val="autoZero"/>
        <c:auto val="1"/>
        <c:lblAlgn val="ctr"/>
        <c:lblOffset val="100"/>
        <c:noMultiLvlLbl val="0"/>
      </c:catAx>
      <c:valAx>
        <c:axId val="764670448"/>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AChE </a:t>
                </a:r>
                <a:r>
                  <a:rPr lang="en-IN" sz="1100" b="1" baseline="0">
                    <a:solidFill>
                      <a:sysClr val="windowText" lastClr="000000"/>
                    </a:solidFill>
                    <a:effectLst/>
                    <a:latin typeface="Times New Roman" panose="02020603050405020304" pitchFamily="18" charset="0"/>
                    <a:cs typeface="Times New Roman" panose="02020603050405020304" pitchFamily="18" charset="0"/>
                  </a:rPr>
                  <a:t>activity</a:t>
                </a:r>
                <a:r>
                  <a:rPr lang="en-IN" sz="1200" b="1">
                    <a:solidFill>
                      <a:sysClr val="windowText" lastClr="000000"/>
                    </a:solidFill>
                    <a:effectLst/>
                    <a:latin typeface="Times New Roman" panose="02020603050405020304" pitchFamily="18" charset="0"/>
                    <a:cs typeface="Times New Roman" panose="02020603050405020304" pitchFamily="18" charset="0"/>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IN" sz="1200" b="1">
                    <a:solidFill>
                      <a:sysClr val="windowText" lastClr="000000"/>
                    </a:solidFill>
                    <a:effectLst/>
                    <a:latin typeface="Times New Roman" panose="02020603050405020304" pitchFamily="18" charset="0"/>
                    <a:cs typeface="Times New Roman" panose="02020603050405020304" pitchFamily="18" charset="0"/>
                  </a:rPr>
                  <a:t>(</a:t>
                </a:r>
                <a:r>
                  <a:rPr lang="en-IN" sz="1200" b="1" i="0" u="none" strike="noStrike" baseline="0">
                    <a:solidFill>
                      <a:sysClr val="windowText" lastClr="000000"/>
                    </a:solidFill>
                    <a:effectLst/>
                    <a:latin typeface="Times New Roman" panose="02020603050405020304" pitchFamily="18" charset="0"/>
                    <a:cs typeface="Times New Roman" panose="02020603050405020304" pitchFamily="18" charset="0"/>
                  </a:rPr>
                  <a:t>U/ mL</a:t>
                </a:r>
                <a:r>
                  <a:rPr lang="en-IN" sz="1200" b="1" i="0" u="none" strike="noStrike" baseline="0">
                    <a:effectLst/>
                  </a:rPr>
                  <a:t>)</a:t>
                </a:r>
                <a:r>
                  <a:rPr lang="en-IN" sz="1200" b="1">
                    <a:effectLst/>
                  </a:rPr>
                  <a:t>  </a:t>
                </a:r>
              </a:p>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IN"/>
              </a:p>
            </c:rich>
          </c:tx>
          <c:layout>
            <c:manualLayout>
              <c:xMode val="edge"/>
              <c:yMode val="edge"/>
              <c:x val="2.5021166709000085E-2"/>
              <c:y val="0.3339983308538045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68816"/>
        <c:crosses val="autoZero"/>
        <c:crossBetween val="between"/>
      </c:valAx>
      <c:spPr>
        <a:noFill/>
        <a:ln>
          <a:noFill/>
        </a:ln>
        <a:effectLst/>
      </c:spPr>
    </c:plotArea>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922502095920145"/>
          <c:y val="0.26401109305224624"/>
          <c:w val="0.7085604756733459"/>
          <c:h val="0.59337454436431913"/>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Pt>
            <c:idx val="0"/>
            <c:invertIfNegative val="0"/>
            <c:bubble3D val="0"/>
            <c:extLst xmlns:c16r2="http://schemas.microsoft.com/office/drawing/2015/06/chart">
              <c:ext xmlns:c16="http://schemas.microsoft.com/office/drawing/2014/chart" uri="{C3380CC4-5D6E-409C-BE32-E72D297353CC}">
                <c16:uniqueId val="{00000000-7A88-4E17-8B0C-EFEC71DA8AE2}"/>
              </c:ext>
            </c:extLst>
          </c:dPt>
          <c:dPt>
            <c:idx val="1"/>
            <c:invertIfNegative val="0"/>
            <c:bubble3D val="0"/>
            <c:spPr>
              <a:solidFill>
                <a:srgbClr val="0070C0"/>
              </a:solidFill>
              <a:ln>
                <a:noFill/>
              </a:ln>
              <a:effectLst/>
            </c:spPr>
            <c:extLst xmlns:c16r2="http://schemas.microsoft.com/office/drawing/2015/06/chart">
              <c:ext xmlns:c16="http://schemas.microsoft.com/office/drawing/2014/chart" uri="{C3380CC4-5D6E-409C-BE32-E72D297353CC}">
                <c16:uniqueId val="{00000002-7A88-4E17-8B0C-EFEC71DA8A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14.98</c:v>
                </c:pt>
                <c:pt idx="1">
                  <c:v>11.14</c:v>
                </c:pt>
              </c:numCache>
            </c:numRef>
          </c:val>
          <c:extLst xmlns:c16r2="http://schemas.microsoft.com/office/drawing/2015/06/chart">
            <c:ext xmlns:c16="http://schemas.microsoft.com/office/drawing/2014/chart" uri="{C3380CC4-5D6E-409C-BE32-E72D297353CC}">
              <c16:uniqueId val="{00000003-7A88-4E17-8B0C-EFEC71DA8AE2}"/>
            </c:ext>
          </c:extLst>
        </c:ser>
        <c:ser>
          <c:idx val="1"/>
          <c:order val="1"/>
          <c:tx>
            <c:strRef>
              <c:f>Sheet1!$C$1</c:f>
              <c:strCache>
                <c:ptCount val="1"/>
                <c:pt idx="0">
                  <c:v>site 2</c:v>
                </c:pt>
              </c:strCache>
            </c:strRef>
          </c:tx>
          <c:spPr>
            <a:solidFill>
              <a:srgbClr val="0070C0"/>
            </a:solidFill>
            <a:ln>
              <a:noFill/>
            </a:ln>
            <a:effectLst/>
          </c:spPr>
          <c:invertIfNegative val="0"/>
          <c:cat>
            <c:strRef>
              <c:f>Sheet1!$A$2:$A$3</c:f>
              <c:strCache>
                <c:ptCount val="2"/>
                <c:pt idx="0">
                  <c:v>site 1</c:v>
                </c:pt>
                <c:pt idx="1">
                  <c:v>site 2</c:v>
                </c:pt>
              </c:strCache>
            </c:strRef>
          </c:cat>
          <c:val>
            <c:numRef>
              <c:f>Sheet1!$C$2:$C$3</c:f>
              <c:numCache>
                <c:formatCode>General</c:formatCode>
                <c:ptCount val="2"/>
              </c:numCache>
            </c:numRef>
          </c:val>
          <c:extLst xmlns:c16r2="http://schemas.microsoft.com/office/drawing/2015/06/chart">
            <c:ext xmlns:c16="http://schemas.microsoft.com/office/drawing/2014/chart" uri="{C3380CC4-5D6E-409C-BE32-E72D297353CC}">
              <c16:uniqueId val="{00000004-7A88-4E17-8B0C-EFEC71DA8AE2}"/>
            </c:ext>
          </c:extLst>
        </c:ser>
        <c:dLbls>
          <c:showLegendKey val="0"/>
          <c:showVal val="0"/>
          <c:showCatName val="0"/>
          <c:showSerName val="0"/>
          <c:showPercent val="0"/>
          <c:showBubbleSize val="0"/>
        </c:dLbls>
        <c:gapWidth val="219"/>
        <c:overlap val="-27"/>
        <c:axId val="764674256"/>
        <c:axId val="764685136"/>
      </c:barChart>
      <c:catAx>
        <c:axId val="764674256"/>
        <c:scaling>
          <c:orientation val="minMax"/>
        </c:scaling>
        <c:delete val="1"/>
        <c:axPos val="b"/>
        <c:numFmt formatCode="General" sourceLinked="1"/>
        <c:majorTickMark val="none"/>
        <c:minorTickMark val="none"/>
        <c:tickLblPos val="nextTo"/>
        <c:crossAx val="764685136"/>
        <c:crosses val="autoZero"/>
        <c:auto val="1"/>
        <c:lblAlgn val="ctr"/>
        <c:lblOffset val="100"/>
        <c:noMultiLvlLbl val="0"/>
      </c:catAx>
      <c:valAx>
        <c:axId val="764685136"/>
        <c:scaling>
          <c:orientation val="minMax"/>
        </c:scaling>
        <c:delete val="0"/>
        <c:axPos val="l"/>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US" sz="1100" b="1" i="0" baseline="0">
                    <a:solidFill>
                      <a:sysClr val="windowText" lastClr="000000"/>
                    </a:solidFill>
                    <a:effectLst/>
                    <a:latin typeface="Times New Roman" panose="02020603050405020304" pitchFamily="18" charset="0"/>
                    <a:cs typeface="Times New Roman" panose="02020603050405020304" pitchFamily="18" charset="0"/>
                  </a:rPr>
                  <a:t>Clotting time</a:t>
                </a:r>
                <a:endParaRPr lang="en-IN" sz="1100" b="1" i="0" baseline="0">
                  <a:solidFill>
                    <a:sysClr val="windowText" lastClr="000000"/>
                  </a:solidFill>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0" i="0" u="none" strike="noStrike" kern="1200" baseline="0">
                    <a:solidFill>
                      <a:sysClr val="windowText" lastClr="000000"/>
                    </a:solidFill>
                    <a:latin typeface="+mn-lt"/>
                    <a:ea typeface="+mn-ea"/>
                    <a:cs typeface="+mn-cs"/>
                  </a:defRPr>
                </a:pPr>
                <a:r>
                  <a:rPr lang="en-IN" sz="1100" b="1" i="0" baseline="0">
                    <a:solidFill>
                      <a:sysClr val="windowText" lastClr="000000"/>
                    </a:solidFill>
                    <a:effectLst/>
                    <a:latin typeface="Times New Roman" panose="02020603050405020304" pitchFamily="18" charset="0"/>
                    <a:cs typeface="Times New Roman" panose="02020603050405020304" pitchFamily="18" charset="0"/>
                  </a:rPr>
                  <a:t>(</a:t>
                </a:r>
                <a:r>
                  <a:rPr lang="en-IN" sz="1100" b="1" baseline="0">
                    <a:solidFill>
                      <a:sysClr val="windowText" lastClr="000000"/>
                    </a:solidFill>
                    <a:latin typeface="Times New Roman" panose="02020603050405020304" pitchFamily="18" charset="0"/>
                    <a:cs typeface="Times New Roman" panose="02020603050405020304" pitchFamily="18" charset="0"/>
                  </a:rPr>
                  <a:t>Minutes)</a:t>
                </a:r>
              </a:p>
            </c:rich>
          </c:tx>
          <c:layout>
            <c:manualLayout>
              <c:xMode val="edge"/>
              <c:yMode val="edge"/>
              <c:x val="7.6459691456076589E-2"/>
              <c:y val="0.2649336982343399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74256"/>
        <c:crosses val="autoZero"/>
        <c:crossBetween val="between"/>
      </c:valAx>
      <c:spPr>
        <a:noFill/>
        <a:ln>
          <a:noFill/>
        </a:ln>
        <a:effectLst/>
      </c:spPr>
    </c:plotArea>
    <c:legend>
      <c:legendPos val="b"/>
      <c:layout>
        <c:manualLayout>
          <c:xMode val="edge"/>
          <c:yMode val="edge"/>
          <c:x val="1.7234364523131179E-2"/>
          <c:y val="0.85945192071300391"/>
          <c:w val="0.96331060094117527"/>
          <c:h val="0.10553203026452741"/>
        </c:manualLayout>
      </c:layout>
      <c:overlay val="0"/>
    </c:legend>
    <c:plotVisOnly val="1"/>
    <c:dispBlanksAs val="gap"/>
    <c:showDLblsOverMax val="0"/>
  </c:chart>
  <c:spPr>
    <a:solidFill>
      <a:schemeClr val="bg1"/>
    </a:solidFill>
    <a:effectLst/>
  </c:spPr>
  <c:txPr>
    <a:bodyPr/>
    <a:lstStyle/>
    <a:p>
      <a:pPr>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80847368953254"/>
          <c:y val="0.29272546973107172"/>
          <c:w val="0.61624048724979286"/>
          <c:h val="0.56165801637284063"/>
        </c:manualLayout>
      </c:layout>
      <c:barChart>
        <c:barDir val="col"/>
        <c:grouping val="clustered"/>
        <c:varyColors val="0"/>
        <c:ser>
          <c:idx val="0"/>
          <c:order val="0"/>
          <c:tx>
            <c:strRef>
              <c:f>Sheet1!$B$1</c:f>
              <c:strCache>
                <c:ptCount val="1"/>
                <c:pt idx="0">
                  <c:v>site 1</c:v>
                </c:pt>
              </c:strCache>
            </c:strRef>
          </c:tx>
          <c:spPr>
            <a:solidFill>
              <a:schemeClr val="accent1"/>
            </a:solidFill>
            <a:ln>
              <a:noFill/>
            </a:ln>
            <a:effectLst/>
          </c:spPr>
          <c:invertIfNegative val="0"/>
          <c:dPt>
            <c:idx val="0"/>
            <c:invertIfNegative val="0"/>
            <c:bubble3D val="0"/>
            <c:spPr>
              <a:solidFill>
                <a:srgbClr val="00B050"/>
              </a:solidFill>
              <a:ln>
                <a:noFill/>
              </a:ln>
              <a:effectLst/>
            </c:spPr>
            <c:extLst xmlns:c16r2="http://schemas.microsoft.com/office/drawing/2015/06/chart">
              <c:ext xmlns:c16="http://schemas.microsoft.com/office/drawing/2014/chart" uri="{C3380CC4-5D6E-409C-BE32-E72D297353CC}">
                <c16:uniqueId val="{00000001-2D42-4829-A0EB-1DF943029AB8}"/>
              </c:ext>
            </c:extLst>
          </c:dPt>
          <c:dPt>
            <c:idx val="1"/>
            <c:invertIfNegative val="0"/>
            <c:bubble3D val="0"/>
            <c:spPr>
              <a:solidFill>
                <a:schemeClr val="accent1"/>
              </a:solidFill>
              <a:ln>
                <a:solidFill>
                  <a:srgbClr val="0070C0"/>
                </a:solidFill>
              </a:ln>
              <a:effectLst/>
            </c:spPr>
            <c:extLst xmlns:c16r2="http://schemas.microsoft.com/office/drawing/2015/06/chart">
              <c:ext xmlns:c16="http://schemas.microsoft.com/office/drawing/2014/chart" uri="{C3380CC4-5D6E-409C-BE32-E72D297353CC}">
                <c16:uniqueId val="{00000003-2D42-4829-A0EB-1DF943029AB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site 1</c:v>
                </c:pt>
                <c:pt idx="1">
                  <c:v>site 2</c:v>
                </c:pt>
              </c:strCache>
            </c:strRef>
          </c:cat>
          <c:val>
            <c:numRef>
              <c:f>Sheet1!$B$2:$B$3</c:f>
              <c:numCache>
                <c:formatCode>General</c:formatCode>
                <c:ptCount val="2"/>
                <c:pt idx="0">
                  <c:v>117000</c:v>
                </c:pt>
                <c:pt idx="1">
                  <c:v>151500</c:v>
                </c:pt>
              </c:numCache>
            </c:numRef>
          </c:val>
          <c:extLst xmlns:c16r2="http://schemas.microsoft.com/office/drawing/2015/06/chart">
            <c:ext xmlns:c16="http://schemas.microsoft.com/office/drawing/2014/chart" uri="{C3380CC4-5D6E-409C-BE32-E72D297353CC}">
              <c16:uniqueId val="{00000004-2D42-4829-A0EB-1DF943029AB8}"/>
            </c:ext>
          </c:extLst>
        </c:ser>
        <c:dLbls>
          <c:dLblPos val="outEnd"/>
          <c:showLegendKey val="0"/>
          <c:showVal val="1"/>
          <c:showCatName val="0"/>
          <c:showSerName val="0"/>
          <c:showPercent val="0"/>
          <c:showBubbleSize val="0"/>
        </c:dLbls>
        <c:gapWidth val="219"/>
        <c:overlap val="-27"/>
        <c:axId val="764692208"/>
        <c:axId val="301848800"/>
      </c:barChart>
      <c:catAx>
        <c:axId val="764692208"/>
        <c:scaling>
          <c:orientation val="minMax"/>
        </c:scaling>
        <c:delete val="1"/>
        <c:axPos val="b"/>
        <c:numFmt formatCode="General" sourceLinked="1"/>
        <c:majorTickMark val="none"/>
        <c:minorTickMark val="none"/>
        <c:tickLblPos val="nextTo"/>
        <c:crossAx val="301848800"/>
        <c:crosses val="autoZero"/>
        <c:auto val="1"/>
        <c:lblAlgn val="ctr"/>
        <c:lblOffset val="100"/>
        <c:noMultiLvlLbl val="0"/>
      </c:catAx>
      <c:valAx>
        <c:axId val="301848800"/>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Total haemocyte count </a:t>
                </a:r>
              </a:p>
              <a:p>
                <a:pPr>
                  <a:defRPr sz="1100" b="0" i="0" u="none" strike="noStrike" kern="1200" baseline="0">
                    <a:solidFill>
                      <a:sysClr val="windowText" lastClr="000000"/>
                    </a:solidFill>
                    <a:latin typeface="+mn-lt"/>
                    <a:ea typeface="+mn-ea"/>
                    <a:cs typeface="+mn-cs"/>
                  </a:defRPr>
                </a:pPr>
                <a:r>
                  <a:rPr lang="en-IN" sz="1100" b="1" baseline="0">
                    <a:solidFill>
                      <a:sysClr val="windowText" lastClr="000000"/>
                    </a:solidFill>
                    <a:latin typeface="Times New Roman" panose="02020603050405020304" pitchFamily="18" charset="0"/>
                    <a:cs typeface="Times New Roman" panose="02020603050405020304" pitchFamily="18" charset="0"/>
                  </a:rPr>
                  <a:t>(in 1ml)</a:t>
                </a:r>
              </a:p>
            </c:rich>
          </c:tx>
          <c:layout>
            <c:manualLayout>
              <c:xMode val="edge"/>
              <c:yMode val="edge"/>
              <c:x val="2.3148232924372826E-2"/>
              <c:y val="0.1390413508748516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4692208"/>
        <c:crosses val="autoZero"/>
        <c:crossBetween val="between"/>
      </c:valAx>
      <c:spPr>
        <a:noFill/>
        <a:ln>
          <a:noFill/>
        </a:ln>
        <a:effectLst/>
      </c:spPr>
    </c:plotArea>
    <c:legend>
      <c:legendPos val="b"/>
      <c:layout>
        <c:manualLayout>
          <c:xMode val="edge"/>
          <c:yMode val="edge"/>
          <c:x val="8.7831634111062748E-2"/>
          <c:y val="0.86868464833021353"/>
          <c:w val="0.81010695083708684"/>
          <c:h val="9.687209018505293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a:solidFill>
        <a:schemeClr val="accent1"/>
      </a:solidFill>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0549622584845"/>
          <c:y val="0.17900911262496683"/>
          <c:w val="0.82007858476972051"/>
          <c:h val="0.69762444595087869"/>
        </c:manualLayout>
      </c:layout>
      <c:barChart>
        <c:barDir val="col"/>
        <c:grouping val="clustered"/>
        <c:varyColors val="0"/>
        <c:ser>
          <c:idx val="0"/>
          <c:order val="0"/>
          <c:tx>
            <c:strRef>
              <c:f>Sheet1!$B$1</c:f>
              <c:strCache>
                <c:ptCount val="1"/>
                <c:pt idx="0">
                  <c:v>site 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Sheet1!$B$2:$B$3</c:f>
              <c:numCache>
                <c:formatCode>General</c:formatCode>
                <c:ptCount val="2"/>
                <c:pt idx="0">
                  <c:v>19.79</c:v>
                </c:pt>
                <c:pt idx="1">
                  <c:v>22.08</c:v>
                </c:pt>
              </c:numCache>
            </c:numRef>
          </c:val>
          <c:extLst xmlns:c16r2="http://schemas.microsoft.com/office/drawing/2015/06/chart">
            <c:ext xmlns:c16="http://schemas.microsoft.com/office/drawing/2014/chart" uri="{C3380CC4-5D6E-409C-BE32-E72D297353CC}">
              <c16:uniqueId val="{00000000-EAFB-4EF9-BA95-ACB3A2302412}"/>
            </c:ext>
          </c:extLst>
        </c:ser>
        <c:ser>
          <c:idx val="1"/>
          <c:order val="1"/>
          <c:tx>
            <c:strRef>
              <c:f>Sheet1!$C$1</c:f>
              <c:strCache>
                <c:ptCount val="1"/>
                <c:pt idx="0">
                  <c:v>site 2</c:v>
                </c:pt>
              </c:strCache>
            </c:strRef>
          </c:tx>
          <c:spPr>
            <a:solidFill>
              <a:srgbClr val="00B0F0"/>
            </a:solidFill>
            <a:ln>
              <a:noFill/>
            </a:ln>
            <a:effectLst/>
          </c:spPr>
          <c:invertIfNegative val="0"/>
          <c:dLbls>
            <c:dLbl>
              <c:idx val="1"/>
              <c:layout>
                <c:manualLayout>
                  <c:x val="2.2239519626374438E-3"/>
                  <c:y val="1.773442695632895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AFB-4EF9-BA95-ACB3A23024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Gills</c:v>
                </c:pt>
                <c:pt idx="1">
                  <c:v>PAM</c:v>
                </c:pt>
              </c:strCache>
            </c:strRef>
          </c:cat>
          <c:val>
            <c:numRef>
              <c:f>Sheet1!$C$2:$C$3</c:f>
              <c:numCache>
                <c:formatCode>General</c:formatCode>
                <c:ptCount val="2"/>
                <c:pt idx="0">
                  <c:v>25.9</c:v>
                </c:pt>
                <c:pt idx="1">
                  <c:v>43.95</c:v>
                </c:pt>
              </c:numCache>
            </c:numRef>
          </c:val>
          <c:extLst xmlns:c16r2="http://schemas.microsoft.com/office/drawing/2015/06/chart">
            <c:ext xmlns:c16="http://schemas.microsoft.com/office/drawing/2014/chart" uri="{C3380CC4-5D6E-409C-BE32-E72D297353CC}">
              <c16:uniqueId val="{00000002-EAFB-4EF9-BA95-ACB3A2302412}"/>
            </c:ext>
          </c:extLst>
        </c:ser>
        <c:dLbls>
          <c:showLegendKey val="0"/>
          <c:showVal val="0"/>
          <c:showCatName val="0"/>
          <c:showSerName val="0"/>
          <c:showPercent val="0"/>
          <c:showBubbleSize val="0"/>
        </c:dLbls>
        <c:gapWidth val="219"/>
        <c:overlap val="-27"/>
        <c:axId val="301844992"/>
        <c:axId val="301841728"/>
      </c:barChart>
      <c:catAx>
        <c:axId val="301844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1728"/>
        <c:crosses val="autoZero"/>
        <c:auto val="1"/>
        <c:lblAlgn val="ctr"/>
        <c:lblOffset val="100"/>
        <c:noMultiLvlLbl val="0"/>
      </c:catAx>
      <c:valAx>
        <c:axId val="301841728"/>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Protein  concentration </a:t>
                </a:r>
              </a:p>
              <a:p>
                <a:pPr>
                  <a:defRPr sz="1100" b="0" i="0" u="none" strike="noStrike" kern="1200" baseline="0">
                    <a:solidFill>
                      <a:sysClr val="windowText" lastClr="000000"/>
                    </a:solidFill>
                    <a:latin typeface="Times New Roman" panose="02020603050405020304" pitchFamily="18" charset="0"/>
                    <a:ea typeface="+mn-ea"/>
                    <a:cs typeface="+mn-cs"/>
                  </a:defRPr>
                </a:pPr>
                <a:r>
                  <a:rPr lang="en-US" sz="1100" b="1" i="0" u="none" strike="noStrike" baseline="0">
                    <a:solidFill>
                      <a:sysClr val="windowText" lastClr="000000"/>
                    </a:solidFill>
                    <a:effectLst/>
                    <a:latin typeface="Times New Roman" panose="02020603050405020304" pitchFamily="18" charset="0"/>
                    <a:cs typeface="Times New Roman" panose="02020603050405020304" pitchFamily="18" charset="0"/>
                  </a:rPr>
                  <a:t>(mg/</a:t>
                </a:r>
                <a:r>
                  <a:rPr lang="en-US" sz="1100" b="1" i="0" u="none" strike="noStrike" baseline="0">
                    <a:solidFill>
                      <a:sysClr val="windowText" lastClr="000000"/>
                    </a:solidFill>
                    <a:effectLst/>
                    <a:latin typeface="Times New Roman" panose="02020603050405020304" pitchFamily="18" charset="0"/>
                  </a:rPr>
                  <a:t>100mg)</a:t>
                </a:r>
                <a:endParaRPr lang="en-IN" sz="1100" baseline="0">
                  <a:solidFill>
                    <a:sysClr val="windowText" lastClr="000000"/>
                  </a:solidFill>
                  <a:latin typeface="Times New Roman" panose="02020603050405020304" pitchFamily="18" charset="0"/>
                </a:endParaRPr>
              </a:p>
            </c:rich>
          </c:tx>
          <c:layout>
            <c:manualLayout>
              <c:xMode val="edge"/>
              <c:yMode val="edge"/>
              <c:x val="2.7629538635036349E-2"/>
              <c:y val="0.1801311579568404"/>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01844992"/>
        <c:crosses val="autoZero"/>
        <c:crossBetween val="between"/>
      </c:valAx>
      <c:spPr>
        <a:noFill/>
        <a:ln>
          <a:noFill/>
        </a:ln>
        <a:effectLst/>
      </c:spPr>
    </c:plotArea>
    <c:legend>
      <c:legendPos val="b"/>
      <c:layout>
        <c:manualLayout>
          <c:xMode val="edge"/>
          <c:yMode val="edge"/>
          <c:x val="0.48337823556554488"/>
          <c:y val="0.88940334776033769"/>
          <c:w val="0.15778483877661628"/>
          <c:h val="8.940459925952964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0.37575</cdr:x>
      <cdr:y>0.04618</cdr:y>
    </cdr:from>
    <cdr:to>
      <cdr:x>0.61918</cdr:x>
      <cdr:y>0.08755</cdr:y>
    </cdr:to>
    <cdr:sp macro="" textlink="">
      <cdr:nvSpPr>
        <cdr:cNvPr id="2" name="Text Box 1"/>
        <cdr:cNvSpPr txBox="1"/>
      </cdr:nvSpPr>
      <cdr:spPr>
        <a:xfrm xmlns:a="http://schemas.openxmlformats.org/drawingml/2006/main">
          <a:off x="2149098" y="123986"/>
          <a:ext cx="1392265" cy="1110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dr:relSizeAnchor xmlns:cdr="http://schemas.openxmlformats.org/drawingml/2006/chartDrawing">
    <cdr:from>
      <cdr:x>0.21131</cdr:x>
      <cdr:y>0.85251</cdr:y>
    </cdr:from>
    <cdr:to>
      <cdr:x>0.80543</cdr:x>
      <cdr:y>0.8568</cdr:y>
    </cdr:to>
    <cdr:cxnSp macro="">
      <cdr:nvCxnSpPr>
        <cdr:cNvPr id="4" name="Straight Connector 3"/>
        <cdr:cNvCxnSpPr/>
      </cdr:nvCxnSpPr>
      <cdr:spPr>
        <a:xfrm xmlns:a="http://schemas.openxmlformats.org/drawingml/2006/main">
          <a:off x="1208576" y="2060900"/>
          <a:ext cx="3398060" cy="10355"/>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3814</Words>
  <Characters>21743</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priya040721@gmail.com</dc:creator>
  <cp:keywords/>
  <dc:description/>
  <cp:lastModifiedBy>Windows User</cp:lastModifiedBy>
  <cp:revision>2</cp:revision>
  <dcterms:created xsi:type="dcterms:W3CDTF">2026-01-18T16:28:00Z</dcterms:created>
  <dcterms:modified xsi:type="dcterms:W3CDTF">2026-01-18T16:28:00Z</dcterms:modified>
</cp:coreProperties>
</file>