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C8A" w:rsidRPr="004058DB" w:rsidRDefault="00FD7C8A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0626"/>
      </w:tblGrid>
      <w:tr w:rsidR="00FD7C8A" w:rsidRPr="004058DB">
        <w:trPr>
          <w:trHeight w:val="290"/>
        </w:trPr>
        <w:tc>
          <w:tcPr>
            <w:tcW w:w="2160" w:type="dxa"/>
          </w:tcPr>
          <w:p w:rsidR="00FD7C8A" w:rsidRPr="004058DB" w:rsidRDefault="0091730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626" w:type="dxa"/>
          </w:tcPr>
          <w:p w:rsidR="00FD7C8A" w:rsidRPr="004058DB" w:rsidRDefault="004058DB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hyperlink r:id="rId5">
              <w:r w:rsidR="00917305" w:rsidRPr="004058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UTTAR</w:t>
              </w:r>
              <w:r w:rsidR="00917305" w:rsidRPr="004058D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17305" w:rsidRPr="004058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PRADESH</w:t>
              </w:r>
              <w:r w:rsidR="00917305" w:rsidRPr="004058D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917305" w:rsidRPr="004058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917305" w:rsidRPr="004058D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917305" w:rsidRPr="004058D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917305" w:rsidRPr="004058DB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="00917305" w:rsidRPr="004058D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ZOOLOGY</w:t>
              </w:r>
            </w:hyperlink>
          </w:p>
        </w:tc>
      </w:tr>
      <w:tr w:rsidR="00FD7C8A" w:rsidRPr="004058DB">
        <w:trPr>
          <w:trHeight w:val="290"/>
        </w:trPr>
        <w:tc>
          <w:tcPr>
            <w:tcW w:w="2160" w:type="dxa"/>
          </w:tcPr>
          <w:p w:rsidR="00FD7C8A" w:rsidRPr="004058DB" w:rsidRDefault="0091730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4058DB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626" w:type="dxa"/>
          </w:tcPr>
          <w:p w:rsidR="00FD7C8A" w:rsidRPr="004058DB" w:rsidRDefault="00917305">
            <w:pPr>
              <w:pStyle w:val="TableParagraph"/>
              <w:spacing w:before="28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Ms_UPJOZ_5703</w:t>
            </w:r>
          </w:p>
        </w:tc>
      </w:tr>
      <w:tr w:rsidR="00FD7C8A" w:rsidRPr="004058DB">
        <w:trPr>
          <w:trHeight w:val="650"/>
        </w:trPr>
        <w:tc>
          <w:tcPr>
            <w:tcW w:w="2160" w:type="dxa"/>
          </w:tcPr>
          <w:p w:rsidR="00FD7C8A" w:rsidRPr="004058DB" w:rsidRDefault="0091730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Title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626" w:type="dxa"/>
          </w:tcPr>
          <w:p w:rsidR="00FD7C8A" w:rsidRPr="004058DB" w:rsidRDefault="00917305">
            <w:pPr>
              <w:pStyle w:val="TableParagraph"/>
              <w:spacing w:before="90"/>
              <w:ind w:left="108" w:right="68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Occurrence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b/>
                <w:sz w:val="20"/>
                <w:szCs w:val="20"/>
              </w:rPr>
              <w:t>Ditremaster</w:t>
            </w:r>
            <w:proofErr w:type="spellEnd"/>
            <w:r w:rsidRPr="004058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(Irregular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Echinoid)</w:t>
            </w:r>
            <w:r w:rsidRPr="004058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Eocene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b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Formation,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b/>
                <w:sz w:val="20"/>
                <w:szCs w:val="20"/>
              </w:rPr>
              <w:t>Barmer</w:t>
            </w:r>
            <w:proofErr w:type="spellEnd"/>
            <w:r w:rsidRPr="004058D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Basin, Western Rajasthan, India</w:t>
            </w:r>
          </w:p>
        </w:tc>
      </w:tr>
      <w:tr w:rsidR="00FD7C8A" w:rsidRPr="004058DB">
        <w:trPr>
          <w:trHeight w:val="333"/>
        </w:trPr>
        <w:tc>
          <w:tcPr>
            <w:tcW w:w="2160" w:type="dxa"/>
          </w:tcPr>
          <w:p w:rsidR="00FD7C8A" w:rsidRPr="004058DB" w:rsidRDefault="00917305">
            <w:pPr>
              <w:pStyle w:val="TableParagraph"/>
              <w:spacing w:line="234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Type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626" w:type="dxa"/>
          </w:tcPr>
          <w:p w:rsidR="00FD7C8A" w:rsidRPr="004058DB" w:rsidRDefault="00917305">
            <w:pPr>
              <w:pStyle w:val="TableParagraph"/>
              <w:spacing w:before="49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D7C8A" w:rsidRPr="004058DB" w:rsidRDefault="00FD7C8A">
      <w:pPr>
        <w:rPr>
          <w:rFonts w:ascii="Arial" w:hAnsi="Arial" w:cs="Arial"/>
          <w:sz w:val="20"/>
          <w:szCs w:val="20"/>
        </w:rPr>
        <w:sectPr w:rsidR="00FD7C8A" w:rsidRPr="004058DB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FD7C8A" w:rsidRPr="004058DB" w:rsidRDefault="00FD7C8A">
      <w:pPr>
        <w:rPr>
          <w:rFonts w:ascii="Arial" w:hAnsi="Arial" w:cs="Arial"/>
          <w:sz w:val="20"/>
          <w:szCs w:val="20"/>
        </w:rPr>
      </w:pPr>
    </w:p>
    <w:p w:rsidR="00FD7C8A" w:rsidRPr="004058DB" w:rsidRDefault="00FD7C8A">
      <w:pPr>
        <w:spacing w:before="224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FD7C8A" w:rsidRPr="004058DB">
        <w:trPr>
          <w:trHeight w:val="453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FD7C8A" w:rsidRPr="004058DB" w:rsidRDefault="0091730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4058DB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4058D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FD7C8A" w:rsidRPr="004058DB">
        <w:trPr>
          <w:trHeight w:val="688"/>
        </w:trPr>
        <w:tc>
          <w:tcPr>
            <w:tcW w:w="3335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FD7C8A" w:rsidRPr="004058DB" w:rsidRDefault="00917305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4058DB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4058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4058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4058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4058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4058DB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4058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FD7C8A" w:rsidRPr="004058DB" w:rsidRDefault="00917305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058DB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should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write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his/her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feedback</w:t>
            </w:r>
            <w:r w:rsidRPr="004058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FD7C8A" w:rsidRPr="004058DB">
        <w:trPr>
          <w:trHeight w:val="2990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4058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4058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This manuscript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important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because it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reports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 first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occurrence of the echinoid genus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Ditremaster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from the Early Eocene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Formation in the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Barmer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Basin, extending the known geographic and stratigraphic range of this taxon in India. It provides new fossil evidence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from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Fuller’s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Earth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horizon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that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was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previously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not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known to yield echinoids, thereby improving understanding of the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palaeobiodiversity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of western India during the Eocene. The detailed description of morphology, stratigraphic position, and associated fauna helps in reconstructing the depositional environment as a low- energy, shallow marine setting with soft substrate. These data are useful for future regional and global comparisons of</w:t>
            </w:r>
            <w:r w:rsidRPr="004058D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Eocene echinoid assemblages and for refining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palaeobiogeographic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models of the</w:t>
            </w:r>
          </w:p>
          <w:p w:rsidR="00FD7C8A" w:rsidRPr="004058DB" w:rsidRDefault="00917305">
            <w:pPr>
              <w:pStyle w:val="TableParagraph"/>
              <w:spacing w:line="215" w:lineRule="exact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Indian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margin.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8A" w:rsidRPr="004058DB">
        <w:trPr>
          <w:trHeight w:val="1262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4058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Yes, the current title is clear and largely suitable, as it correctly states the main taxon (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Ditremaster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>), age (Eocene), formation (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>),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region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Barmer</w:t>
            </w:r>
            <w:proofErr w:type="spellEnd"/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Basin,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western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Rajasthan,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India).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C8A" w:rsidRPr="004058DB" w:rsidRDefault="00FD7C8A">
      <w:pPr>
        <w:pStyle w:val="TableParagraph"/>
        <w:rPr>
          <w:rFonts w:ascii="Arial" w:hAnsi="Arial" w:cs="Arial"/>
          <w:sz w:val="20"/>
          <w:szCs w:val="20"/>
        </w:rPr>
        <w:sectPr w:rsidR="00FD7C8A" w:rsidRPr="004058DB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FD7C8A" w:rsidRPr="004058DB" w:rsidRDefault="00FD7C8A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FD7C8A" w:rsidRPr="004058DB">
        <w:trPr>
          <w:trHeight w:val="3221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spacing w:line="223" w:lineRule="exact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  <w:p w:rsidR="00FD7C8A" w:rsidRPr="004058DB" w:rsidRDefault="00917305">
            <w:pPr>
              <w:pStyle w:val="TableParagraph"/>
              <w:ind w:left="46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abstract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clear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focused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on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main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finding,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but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it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not fully comprehensive as a stand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>alone summary of the paper.</w:t>
            </w:r>
          </w:p>
          <w:p w:rsidR="00FD7C8A" w:rsidRPr="004058DB" w:rsidRDefault="00917305">
            <w:pPr>
              <w:pStyle w:val="TableParagraph"/>
              <w:spacing w:before="1"/>
              <w:ind w:left="467" w:right="101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Add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some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short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sentence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like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these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for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better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understanding: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1. Thirty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eight specimens from the Fuller’s Earth horizons at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Bhadka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were measured and described in detail.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</w:tabs>
              <w:ind w:right="407" w:firstLine="0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These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fossils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indicate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low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>energy,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shallow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>marine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setting with soft clayey substrate in the Early Eocene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Formation.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3"/>
              </w:numPr>
              <w:tabs>
                <w:tab w:val="left" w:pos="665"/>
              </w:tabs>
              <w:spacing w:before="1"/>
              <w:ind w:right="284" w:firstLine="0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new</w:t>
            </w:r>
            <w:r w:rsidRPr="004058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record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helps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to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refine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Eocene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echinoid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diversity of western India and improves understanding of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spatangoid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dispersal along the Indian margin.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3"/>
              </w:numPr>
              <w:tabs>
                <w:tab w:val="left" w:pos="668"/>
              </w:tabs>
              <w:spacing w:line="230" w:lineRule="exact"/>
              <w:ind w:right="139" w:firstLine="0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Author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may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slightly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shorten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first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long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sentence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by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splitting it into two for better readability.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8A" w:rsidRPr="004058DB">
        <w:trPr>
          <w:trHeight w:val="3451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 manuscript appears broadly scientifically correct in its main claims,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taxonomy,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palaeoenvironmental</w:t>
            </w:r>
            <w:proofErr w:type="spellEnd"/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interpretation,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it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 well grounded in the existing Indian echinoid literature.</w:t>
            </w:r>
          </w:p>
          <w:p w:rsidR="00FD7C8A" w:rsidRPr="004058DB" w:rsidRDefault="0091730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However,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for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stronger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scientific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robustness,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authors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could: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565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Provide a brief differential diagnosis comparing their material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more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explicitly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with</w:t>
            </w:r>
            <w:r w:rsidRPr="004058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similar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spatangoid</w:t>
            </w:r>
            <w:proofErr w:type="spellEnd"/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genera recorded from India to rule out potential confusion.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261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Clarify the exact number of well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>preserved versus fragmentary</w:t>
            </w:r>
            <w:r w:rsidRPr="004058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specimens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used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for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systematic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description, and specify whether all are confidently assigned to </w:t>
            </w:r>
            <w:proofErr w:type="spellStart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Ditremaster</w:t>
            </w:r>
            <w:proofErr w:type="spellEnd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ind w:right="159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 xml:space="preserve">Expand the discussion on possible alternative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palaeoenvironmental</w:t>
            </w:r>
            <w:proofErr w:type="spellEnd"/>
            <w:r w:rsidRPr="004058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interpretations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any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uncertainties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 xml:space="preserve">in the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age model, even if they ultimately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favour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 xml:space="preserve"> the</w:t>
            </w:r>
          </w:p>
          <w:p w:rsidR="00FD7C8A" w:rsidRPr="004058DB" w:rsidRDefault="00917305">
            <w:pPr>
              <w:pStyle w:val="TableParagraph"/>
              <w:spacing w:line="217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Early</w:t>
            </w:r>
            <w:r w:rsidRPr="004058DB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Eocene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shallow</w:t>
            </w:r>
            <w:r w:rsidRPr="004058DB">
              <w:rPr>
                <w:rFonts w:ascii="Cambria Math" w:hAnsi="Cambria Math" w:cs="Cambria Math"/>
                <w:sz w:val="20"/>
                <w:szCs w:val="20"/>
              </w:rPr>
              <w:t>‑</w:t>
            </w:r>
            <w:r w:rsidRPr="004058DB">
              <w:rPr>
                <w:rFonts w:ascii="Arial" w:hAnsi="Arial" w:cs="Arial"/>
                <w:sz w:val="20"/>
                <w:szCs w:val="20"/>
              </w:rPr>
              <w:t>marine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setting.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8A" w:rsidRPr="004058DB">
        <w:trPr>
          <w:trHeight w:val="1149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</w:t>
            </w:r>
          </w:p>
          <w:p w:rsidR="00FD7C8A" w:rsidRPr="004058DB" w:rsidRDefault="00917305">
            <w:pPr>
              <w:pStyle w:val="TableParagraph"/>
              <w:spacing w:line="230" w:lineRule="exact"/>
              <w:ind w:left="468" w:right="99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C8A" w:rsidRPr="004058DB" w:rsidRDefault="00FD7C8A">
      <w:pPr>
        <w:pStyle w:val="TableParagraph"/>
        <w:rPr>
          <w:rFonts w:ascii="Arial" w:hAnsi="Arial" w:cs="Arial"/>
          <w:sz w:val="20"/>
          <w:szCs w:val="20"/>
        </w:rPr>
        <w:sectPr w:rsidR="00FD7C8A" w:rsidRPr="004058DB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FD7C8A" w:rsidRPr="004058DB" w:rsidRDefault="00FD7C8A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5830"/>
        <w:gridCol w:w="4014"/>
      </w:tblGrid>
      <w:tr w:rsidR="00FD7C8A" w:rsidRPr="004058DB">
        <w:trPr>
          <w:trHeight w:val="3451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ind w:left="468" w:right="186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4058DB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overall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English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understandable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scientific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message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 clear, but the language is not yet fully suitable.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54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There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are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several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minor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issues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with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grammar,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word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choice, punctuation, and repetition.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236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Duplicated phrases like “solely marine invertebrate organisms,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primarily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bottom</w:t>
            </w:r>
            <w:r w:rsidRPr="004058D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dwellers”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inconsistent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use of tenses and hyphenation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03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Some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sentences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are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overly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long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could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be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split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for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clarity, and a few technical terms or locality names show inconsistent spelling (e.g., “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Kapuradi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>”,</w:t>
            </w:r>
          </w:p>
          <w:p w:rsidR="00FD7C8A" w:rsidRPr="004058DB" w:rsidRDefault="00917305">
            <w:pPr>
              <w:pStyle w:val="TableParagraph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“</w:t>
            </w:r>
            <w:proofErr w:type="spellStart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Bhadka</w:t>
            </w:r>
            <w:proofErr w:type="spellEnd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/</w:t>
            </w:r>
            <w:proofErr w:type="spellStart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Bhadhka</w:t>
            </w:r>
            <w:proofErr w:type="spellEnd"/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”).</w:t>
            </w:r>
          </w:p>
          <w:p w:rsidR="00FD7C8A" w:rsidRPr="004058DB" w:rsidRDefault="0091730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199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A light professional language edit focusing on sentence structure,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consistency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of</w:t>
            </w:r>
            <w:r w:rsidRPr="004058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terms,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punctuation,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removal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of redundancies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would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bring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manuscript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up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to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standard</w:t>
            </w:r>
            <w:r w:rsidRPr="004058D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for</w:t>
            </w:r>
          </w:p>
          <w:p w:rsidR="00FD7C8A" w:rsidRPr="004058DB" w:rsidRDefault="00917305">
            <w:pPr>
              <w:pStyle w:val="TableParagraph"/>
              <w:spacing w:line="216" w:lineRule="exact"/>
              <w:ind w:left="827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international</w:t>
            </w:r>
            <w:r w:rsidRPr="004058DB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journals.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7C8A" w:rsidRPr="004058DB">
        <w:trPr>
          <w:trHeight w:val="1380"/>
        </w:trPr>
        <w:tc>
          <w:tcPr>
            <w:tcW w:w="3335" w:type="dxa"/>
          </w:tcPr>
          <w:p w:rsidR="00FD7C8A" w:rsidRPr="004058DB" w:rsidRDefault="00917305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4058DB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0" w:type="dxa"/>
          </w:tcPr>
          <w:p w:rsidR="00FD7C8A" w:rsidRPr="004058DB" w:rsidRDefault="00917305">
            <w:pPr>
              <w:pStyle w:val="TableParagraph"/>
              <w:ind w:right="101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To further improve the paper, the authors could (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4058DB">
              <w:rPr>
                <w:rFonts w:ascii="Arial" w:hAnsi="Arial" w:cs="Arial"/>
                <w:sz w:val="20"/>
                <w:szCs w:val="20"/>
              </w:rPr>
              <w:t>) tighten the introduction by reducing general biogeographic background and focusing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more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on</w:t>
            </w:r>
            <w:r w:rsidRPr="004058D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4058DB">
              <w:rPr>
                <w:rFonts w:ascii="Arial" w:hAnsi="Arial" w:cs="Arial"/>
                <w:sz w:val="20"/>
                <w:szCs w:val="20"/>
              </w:rPr>
              <w:t>Barmer</w:t>
            </w:r>
            <w:proofErr w:type="spellEnd"/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Basin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and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echinoid</w:t>
            </w:r>
            <w:r w:rsidRPr="004058D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record,</w:t>
            </w: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(ii)</w:t>
            </w:r>
            <w:r w:rsidRPr="004058D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expand the comparative taxonomy and differential diagnosis, and (iii) standardize terminology, locality names, and stratigraphic wording</w:t>
            </w:r>
          </w:p>
          <w:p w:rsidR="00FD7C8A" w:rsidRPr="004058DB" w:rsidRDefault="00917305">
            <w:pPr>
              <w:pStyle w:val="TableParagraph"/>
              <w:spacing w:line="217" w:lineRule="exact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z w:val="20"/>
                <w:szCs w:val="20"/>
              </w:rPr>
              <w:t>throughout</w:t>
            </w:r>
            <w:r w:rsidRPr="004058DB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the</w:t>
            </w:r>
            <w:r w:rsidRPr="004058DB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pacing w:val="-2"/>
                <w:sz w:val="20"/>
                <w:szCs w:val="20"/>
              </w:rPr>
              <w:t>text.</w:t>
            </w:r>
          </w:p>
        </w:tc>
        <w:tc>
          <w:tcPr>
            <w:tcW w:w="4014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7C8A" w:rsidRPr="004058DB" w:rsidRDefault="00FD7C8A">
      <w:pPr>
        <w:pStyle w:val="TableParagraph"/>
        <w:rPr>
          <w:rFonts w:ascii="Arial" w:hAnsi="Arial" w:cs="Arial"/>
          <w:sz w:val="20"/>
          <w:szCs w:val="20"/>
        </w:rPr>
        <w:sectPr w:rsidR="00FD7C8A" w:rsidRPr="004058DB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FD7C8A" w:rsidRPr="004058DB" w:rsidRDefault="00FD7C8A">
      <w:pPr>
        <w:spacing w:before="224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95"/>
        <w:gridCol w:w="4468"/>
        <w:gridCol w:w="2617"/>
      </w:tblGrid>
      <w:tr w:rsidR="00FD7C8A" w:rsidRPr="004058DB">
        <w:trPr>
          <w:trHeight w:val="453"/>
        </w:trPr>
        <w:tc>
          <w:tcPr>
            <w:tcW w:w="13180" w:type="dxa"/>
            <w:gridSpan w:val="3"/>
            <w:tcBorders>
              <w:top w:val="nil"/>
              <w:left w:val="nil"/>
              <w:right w:val="nil"/>
            </w:tcBorders>
          </w:tcPr>
          <w:p w:rsidR="00FD7C8A" w:rsidRPr="004058DB" w:rsidRDefault="00917305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  <w:u w:val="single"/>
              </w:rPr>
              <w:t>PART</w:t>
            </w:r>
            <w:r w:rsidRPr="004058DB">
              <w:rPr>
                <w:rFonts w:ascii="Arial" w:hAnsi="Arial" w:cs="Arial"/>
                <w:b/>
                <w:color w:val="000000"/>
                <w:spacing w:val="44"/>
                <w:sz w:val="20"/>
                <w:szCs w:val="20"/>
                <w:highlight w:val="yellow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  <w:u w:val="single"/>
              </w:rPr>
              <w:t>2:</w:t>
            </w:r>
          </w:p>
        </w:tc>
      </w:tr>
      <w:tr w:rsidR="00FD7C8A" w:rsidRPr="004058DB">
        <w:trPr>
          <w:trHeight w:val="935"/>
        </w:trPr>
        <w:tc>
          <w:tcPr>
            <w:tcW w:w="6095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68" w:type="dxa"/>
          </w:tcPr>
          <w:p w:rsidR="00FD7C8A" w:rsidRPr="004058DB" w:rsidRDefault="00917305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4058DB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2617" w:type="dxa"/>
          </w:tcPr>
          <w:p w:rsidR="00FD7C8A" w:rsidRPr="004058DB" w:rsidRDefault="00917305">
            <w:pPr>
              <w:pStyle w:val="TableParagraph"/>
              <w:ind w:left="3" w:right="178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4058DB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4058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that</w:t>
            </w:r>
            <w:r w:rsidRPr="004058DB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authors</w:t>
            </w:r>
            <w:r w:rsidRPr="004058DB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FD7C8A" w:rsidRPr="004058DB">
        <w:trPr>
          <w:trHeight w:val="919"/>
        </w:trPr>
        <w:tc>
          <w:tcPr>
            <w:tcW w:w="6095" w:type="dxa"/>
          </w:tcPr>
          <w:p w:rsidR="00FD7C8A" w:rsidRPr="004058DB" w:rsidRDefault="00917305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4058D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4058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4058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4058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4058D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4058D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4058D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4468" w:type="dxa"/>
          </w:tcPr>
          <w:p w:rsidR="00FD7C8A" w:rsidRPr="004058DB" w:rsidRDefault="00917305">
            <w:pPr>
              <w:pStyle w:val="TableParagraph"/>
              <w:ind w:right="13"/>
              <w:rPr>
                <w:rFonts w:ascii="Arial" w:hAnsi="Arial" w:cs="Arial"/>
                <w:i/>
                <w:sz w:val="20"/>
                <w:szCs w:val="20"/>
              </w:rPr>
            </w:pP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4058DB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4058DB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4058D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4058DB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:rsidR="00FD7C8A" w:rsidRPr="004058DB" w:rsidRDefault="00917305">
            <w:pPr>
              <w:pStyle w:val="TableParagraph"/>
              <w:spacing w:before="222" w:line="217" w:lineRule="exact"/>
              <w:rPr>
                <w:rFonts w:ascii="Arial" w:hAnsi="Arial" w:cs="Arial"/>
                <w:sz w:val="20"/>
                <w:szCs w:val="20"/>
              </w:rPr>
            </w:pPr>
            <w:r w:rsidRPr="004058DB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2617" w:type="dxa"/>
          </w:tcPr>
          <w:p w:rsidR="00FD7C8A" w:rsidRPr="004058DB" w:rsidRDefault="00FD7C8A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58DB" w:rsidRPr="004058DB" w:rsidRDefault="004058DB" w:rsidP="004058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:rsidR="004058DB" w:rsidRPr="004058DB" w:rsidRDefault="004058DB" w:rsidP="004058D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58DB">
        <w:rPr>
          <w:rFonts w:ascii="Arial" w:hAnsi="Arial" w:cs="Arial"/>
          <w:b/>
          <w:u w:val="single"/>
        </w:rPr>
        <w:t>Reviewer details:</w:t>
      </w:r>
    </w:p>
    <w:p w:rsidR="004058DB" w:rsidRPr="004058DB" w:rsidRDefault="004058DB" w:rsidP="004058D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058DB" w:rsidRPr="004058DB" w:rsidRDefault="004058DB" w:rsidP="004058DB">
      <w:pPr>
        <w:rPr>
          <w:rFonts w:ascii="Arial" w:hAnsi="Arial" w:cs="Arial"/>
          <w:sz w:val="20"/>
          <w:szCs w:val="20"/>
        </w:rPr>
      </w:pPr>
      <w:r w:rsidRPr="004058DB">
        <w:rPr>
          <w:rFonts w:ascii="Arial" w:hAnsi="Arial" w:cs="Arial"/>
          <w:color w:val="000000"/>
          <w:sz w:val="20"/>
          <w:szCs w:val="20"/>
        </w:rPr>
        <w:t>Rahul Kumar Singh</w:t>
      </w:r>
      <w:r w:rsidRPr="004058DB">
        <w:rPr>
          <w:rFonts w:ascii="Arial" w:hAnsi="Arial" w:cs="Arial"/>
          <w:sz w:val="20"/>
          <w:szCs w:val="20"/>
        </w:rPr>
        <w:t xml:space="preserve">, </w:t>
      </w:r>
      <w:r w:rsidRPr="004058DB">
        <w:rPr>
          <w:rFonts w:ascii="Arial" w:hAnsi="Arial" w:cs="Arial"/>
          <w:color w:val="000000"/>
          <w:sz w:val="20"/>
          <w:szCs w:val="20"/>
        </w:rPr>
        <w:t>Banaras Hindu University, India</w:t>
      </w:r>
      <w:r w:rsidRPr="004058DB">
        <w:rPr>
          <w:rFonts w:ascii="Arial" w:hAnsi="Arial" w:cs="Arial"/>
          <w:color w:val="000000"/>
          <w:sz w:val="20"/>
          <w:szCs w:val="20"/>
        </w:rPr>
        <w:br/>
      </w:r>
    </w:p>
    <w:p w:rsidR="004058DB" w:rsidRPr="004058DB" w:rsidRDefault="004058DB" w:rsidP="004058D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4058DB" w:rsidRPr="004058DB" w:rsidRDefault="004058DB" w:rsidP="004058D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917305" w:rsidRPr="004058DB" w:rsidRDefault="00917305" w:rsidP="004058DB">
      <w:pPr>
        <w:rPr>
          <w:rFonts w:ascii="Arial" w:hAnsi="Arial" w:cs="Arial"/>
          <w:sz w:val="20"/>
          <w:szCs w:val="20"/>
        </w:rPr>
      </w:pPr>
    </w:p>
    <w:sectPr w:rsidR="00917305" w:rsidRPr="004058DB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36283"/>
    <w:multiLevelType w:val="hybridMultilevel"/>
    <w:tmpl w:val="F89E5F88"/>
    <w:lvl w:ilvl="0" w:tplc="3E28142C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F6467A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5EB23AA8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A8C62CC6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2D3A8F0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890E4F2C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D048FED8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5DCCD04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AF04BF6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AD154A9"/>
    <w:multiLevelType w:val="hybridMultilevel"/>
    <w:tmpl w:val="46DE20E8"/>
    <w:lvl w:ilvl="0" w:tplc="AEE2B93A">
      <w:start w:val="2"/>
      <w:numFmt w:val="decimal"/>
      <w:lvlText w:val="%1."/>
      <w:lvlJc w:val="left"/>
      <w:pPr>
        <w:ind w:left="467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D98A4EE">
      <w:numFmt w:val="bullet"/>
      <w:lvlText w:val="•"/>
      <w:lvlJc w:val="left"/>
      <w:pPr>
        <w:ind w:left="996" w:hanging="200"/>
      </w:pPr>
      <w:rPr>
        <w:rFonts w:hint="default"/>
        <w:lang w:val="en-US" w:eastAsia="en-US" w:bidi="ar-SA"/>
      </w:rPr>
    </w:lvl>
    <w:lvl w:ilvl="2" w:tplc="D46CBB02">
      <w:numFmt w:val="bullet"/>
      <w:lvlText w:val="•"/>
      <w:lvlJc w:val="left"/>
      <w:pPr>
        <w:ind w:left="1532" w:hanging="200"/>
      </w:pPr>
      <w:rPr>
        <w:rFonts w:hint="default"/>
        <w:lang w:val="en-US" w:eastAsia="en-US" w:bidi="ar-SA"/>
      </w:rPr>
    </w:lvl>
    <w:lvl w:ilvl="3" w:tplc="F3521EB6">
      <w:numFmt w:val="bullet"/>
      <w:lvlText w:val="•"/>
      <w:lvlJc w:val="left"/>
      <w:pPr>
        <w:ind w:left="2068" w:hanging="200"/>
      </w:pPr>
      <w:rPr>
        <w:rFonts w:hint="default"/>
        <w:lang w:val="en-US" w:eastAsia="en-US" w:bidi="ar-SA"/>
      </w:rPr>
    </w:lvl>
    <w:lvl w:ilvl="4" w:tplc="A67C5F46">
      <w:numFmt w:val="bullet"/>
      <w:lvlText w:val="•"/>
      <w:lvlJc w:val="left"/>
      <w:pPr>
        <w:ind w:left="2604" w:hanging="200"/>
      </w:pPr>
      <w:rPr>
        <w:rFonts w:hint="default"/>
        <w:lang w:val="en-US" w:eastAsia="en-US" w:bidi="ar-SA"/>
      </w:rPr>
    </w:lvl>
    <w:lvl w:ilvl="5" w:tplc="5FD28006">
      <w:numFmt w:val="bullet"/>
      <w:lvlText w:val="•"/>
      <w:lvlJc w:val="left"/>
      <w:pPr>
        <w:ind w:left="3140" w:hanging="200"/>
      </w:pPr>
      <w:rPr>
        <w:rFonts w:hint="default"/>
        <w:lang w:val="en-US" w:eastAsia="en-US" w:bidi="ar-SA"/>
      </w:rPr>
    </w:lvl>
    <w:lvl w:ilvl="6" w:tplc="E5D24DE8">
      <w:numFmt w:val="bullet"/>
      <w:lvlText w:val="•"/>
      <w:lvlJc w:val="left"/>
      <w:pPr>
        <w:ind w:left="3676" w:hanging="200"/>
      </w:pPr>
      <w:rPr>
        <w:rFonts w:hint="default"/>
        <w:lang w:val="en-US" w:eastAsia="en-US" w:bidi="ar-SA"/>
      </w:rPr>
    </w:lvl>
    <w:lvl w:ilvl="7" w:tplc="467214C6">
      <w:numFmt w:val="bullet"/>
      <w:lvlText w:val="•"/>
      <w:lvlJc w:val="left"/>
      <w:pPr>
        <w:ind w:left="4212" w:hanging="200"/>
      </w:pPr>
      <w:rPr>
        <w:rFonts w:hint="default"/>
        <w:lang w:val="en-US" w:eastAsia="en-US" w:bidi="ar-SA"/>
      </w:rPr>
    </w:lvl>
    <w:lvl w:ilvl="8" w:tplc="3B56CDF0">
      <w:numFmt w:val="bullet"/>
      <w:lvlText w:val="•"/>
      <w:lvlJc w:val="left"/>
      <w:pPr>
        <w:ind w:left="4748" w:hanging="200"/>
      </w:pPr>
      <w:rPr>
        <w:rFonts w:hint="default"/>
        <w:lang w:val="en-US" w:eastAsia="en-US" w:bidi="ar-SA"/>
      </w:rPr>
    </w:lvl>
  </w:abstractNum>
  <w:abstractNum w:abstractNumId="2" w15:restartNumberingAfterBreak="0">
    <w:nsid w:val="36D54A4D"/>
    <w:multiLevelType w:val="hybridMultilevel"/>
    <w:tmpl w:val="5C605788"/>
    <w:lvl w:ilvl="0" w:tplc="965CDF42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74A6DF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06240AD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400C88DE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44A4A48A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D4A66B9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C8363A8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7206F326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9CCCD5B6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C8A"/>
    <w:rsid w:val="002B7485"/>
    <w:rsid w:val="004058DB"/>
    <w:rsid w:val="00827A41"/>
    <w:rsid w:val="00917305"/>
    <w:rsid w:val="009D2D02"/>
    <w:rsid w:val="00FD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E75A12-D372-447B-A885-75726D2F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2B7485"/>
    <w:rPr>
      <w:color w:val="0000FF"/>
      <w:u w:val="single"/>
    </w:rPr>
  </w:style>
  <w:style w:type="paragraph" w:customStyle="1" w:styleId="Affiliation">
    <w:name w:val="Affiliation"/>
    <w:basedOn w:val="Normal"/>
    <w:rsid w:val="004058DB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5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bimph.com/journal/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770</Words>
  <Characters>4394</Characters>
  <Application>Microsoft Office Word</Application>
  <DocSecurity>0</DocSecurity>
  <Lines>36</Lines>
  <Paragraphs>10</Paragraphs>
  <ScaleCrop>false</ScaleCrop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1022</cp:lastModifiedBy>
  <cp:revision>5</cp:revision>
  <dcterms:created xsi:type="dcterms:W3CDTF">2026-01-06T06:31:00Z</dcterms:created>
  <dcterms:modified xsi:type="dcterms:W3CDTF">2026-01-07T12:40:00Z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2026-01-06T00:00:00Z</vt:filetime>
  </property>
  <property fmtid="{D5CDD505-2E9C-101B-9397-08002B2CF9AE}" pid="5" name="Producer">
    <vt:lpwstr>Microsoft® Word 2016</vt:lpwstr>
  </property>
</Properties>
</file>