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D66A" w14:textId="77777777" w:rsidR="00FC294D" w:rsidRPr="00FC294D" w:rsidRDefault="00FC294D" w:rsidP="00FC294D">
      <w:pPr>
        <w:spacing w:line="360" w:lineRule="auto"/>
        <w:jc w:val="right"/>
        <w:rPr>
          <w:rFonts w:ascii="Arial Black" w:hAnsi="Arial Black" w:cs="Times New Roman"/>
          <w:b/>
          <w:bCs/>
          <w:i/>
          <w:iCs/>
          <w:sz w:val="24"/>
          <w:szCs w:val="24"/>
          <w:u w:val="single"/>
        </w:rPr>
      </w:pPr>
      <w:r w:rsidRPr="00FC294D">
        <w:rPr>
          <w:rFonts w:ascii="Arial Black" w:hAnsi="Arial Black" w:cs="Times New Roman"/>
          <w:b/>
          <w:bCs/>
          <w:i/>
          <w:iCs/>
          <w:sz w:val="24"/>
          <w:szCs w:val="24"/>
          <w:u w:val="single"/>
        </w:rPr>
        <w:t>Review Article</w:t>
      </w:r>
    </w:p>
    <w:p w14:paraId="2C0AA75C" w14:textId="77777777" w:rsidR="00F44945" w:rsidRPr="00904AEA" w:rsidRDefault="00F44945" w:rsidP="00904AEA">
      <w:pPr>
        <w:spacing w:line="360" w:lineRule="auto"/>
        <w:jc w:val="right"/>
        <w:rPr>
          <w:rFonts w:ascii="Arial Black" w:hAnsi="Arial Black" w:cs="Times New Roman"/>
          <w:b/>
          <w:bCs/>
          <w:sz w:val="24"/>
          <w:szCs w:val="24"/>
        </w:rPr>
      </w:pPr>
      <w:r w:rsidRPr="00904AEA">
        <w:rPr>
          <w:rFonts w:ascii="Arial Black" w:hAnsi="Arial Black" w:cs="Times New Roman"/>
          <w:b/>
          <w:bCs/>
          <w:sz w:val="24"/>
          <w:szCs w:val="24"/>
        </w:rPr>
        <w:t xml:space="preserve">Antimicrobial Resistance mechanisms of drug-resistant bacterial pathogens </w:t>
      </w:r>
    </w:p>
    <w:p w14:paraId="381A4843" w14:textId="77777777" w:rsidR="00505A8B" w:rsidRPr="00904AEA" w:rsidRDefault="00505A8B" w:rsidP="00733DC0">
      <w:pPr>
        <w:spacing w:line="360" w:lineRule="auto"/>
        <w:jc w:val="both"/>
        <w:rPr>
          <w:rFonts w:ascii="Times New Roman" w:hAnsi="Times New Roman" w:cs="Times New Roman"/>
          <w:b/>
          <w:sz w:val="24"/>
          <w:szCs w:val="24"/>
        </w:rPr>
      </w:pPr>
    </w:p>
    <w:p w14:paraId="61F2A282" w14:textId="13ED47B7" w:rsidR="00A107F1" w:rsidRDefault="00A107F1" w:rsidP="00505A8B">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Abstract : </w:t>
      </w:r>
    </w:p>
    <w:p w14:paraId="6353092E" w14:textId="589B8964" w:rsidR="00733DC0" w:rsidRPr="00904AEA" w:rsidRDefault="00733DC0" w:rsidP="00505A8B">
      <w:pPr>
        <w:spacing w:line="360" w:lineRule="auto"/>
        <w:ind w:firstLine="720"/>
        <w:jc w:val="both"/>
        <w:rPr>
          <w:rFonts w:ascii="Times New Roman" w:hAnsi="Times New Roman" w:cs="Times New Roman"/>
          <w:b/>
          <w:sz w:val="24"/>
          <w:szCs w:val="24"/>
        </w:rPr>
      </w:pPr>
      <w:r w:rsidRPr="00904AEA">
        <w:rPr>
          <w:rFonts w:ascii="Times New Roman" w:hAnsi="Times New Roman" w:cs="Times New Roman"/>
          <w:b/>
          <w:sz w:val="24"/>
          <w:szCs w:val="24"/>
        </w:rPr>
        <w:t>Many antibiotics and other antimicrobial medicines become ineffective due to antimicrobial resistance, which is a serious danger to global health.  Numerous bacteria survival tactics, such as the enzymatic breakdown of antibiotics, target site changes, efflux pumps, decreased membrane permeability, and biofilm development, are responsible for this phenomenon.  The spread of resistance is accelerated by genetic elements that facilitate horizontal gene transfer, such as integrins, transposons, and plasmids. The overuse and abuse of antibiotics in agricultural and human health, inadequate infection control procedures, environmental contamination, and international travel are major causes of antimicrobial resistance.  AMR has serious repercussions, including longer illness duration, higher mortality, and a large financial strain on healthcare systems. To combat this crisis, a multifaceted approach is necessary, incorporating novel antimicrobial development, antibiotic stewardship programs, infection prevention strategies, global surveillance, and regulatory interventions. Alternative therapies such as phage therapy, antimicrobial peptides, and microbiome-based treatments offer promising solutions. Additionally, public awareness campaigns and responsible antibiotic use are critical for slowing resistance progression. Governments, medical professionals, researchers, and the general public must work together to combat AMR globally.  Designing successful ways to lessen the effects of AMR requires an understanding of its molecular mechanics and causes.  AMR poses an existential threat to contemporary medicine since it may usher in a post-antibiotic age in which common infections are incurable without immediate intervention.</w:t>
      </w:r>
    </w:p>
    <w:p w14:paraId="0394178F" w14:textId="4AFBBFCF" w:rsidR="00337D01" w:rsidRDefault="00733DC0" w:rsidP="0009649A">
      <w:pPr>
        <w:spacing w:line="360" w:lineRule="auto"/>
        <w:jc w:val="center"/>
        <w:rPr>
          <w:rFonts w:ascii="Times New Roman" w:hAnsi="Times New Roman" w:cs="Times New Roman"/>
          <w:sz w:val="24"/>
          <w:szCs w:val="24"/>
        </w:rPr>
      </w:pPr>
      <w:r w:rsidRPr="00904AEA">
        <w:rPr>
          <w:rFonts w:ascii="Times New Roman" w:hAnsi="Times New Roman" w:cs="Times New Roman"/>
          <w:b/>
          <w:bCs/>
          <w:sz w:val="24"/>
          <w:szCs w:val="24"/>
        </w:rPr>
        <w:t>Keywords</w:t>
      </w:r>
      <w:r w:rsidR="009B7728" w:rsidRPr="00904AEA">
        <w:rPr>
          <w:rFonts w:ascii="Times New Roman" w:hAnsi="Times New Roman" w:cs="Times New Roman"/>
          <w:b/>
          <w:bCs/>
          <w:sz w:val="24"/>
          <w:szCs w:val="24"/>
        </w:rPr>
        <w:t xml:space="preserve">: </w:t>
      </w:r>
      <w:r w:rsidRPr="00904AEA">
        <w:rPr>
          <w:rFonts w:ascii="Times New Roman" w:hAnsi="Times New Roman" w:cs="Times New Roman"/>
          <w:sz w:val="24"/>
          <w:szCs w:val="24"/>
        </w:rPr>
        <w:t xml:space="preserve">Antimicrobial resistance, </w:t>
      </w:r>
      <w:r w:rsidR="00223A4D" w:rsidRPr="00904AEA">
        <w:rPr>
          <w:rFonts w:ascii="Times New Roman" w:hAnsi="Times New Roman" w:cs="Times New Roman"/>
          <w:sz w:val="24"/>
          <w:szCs w:val="24"/>
        </w:rPr>
        <w:t>B</w:t>
      </w:r>
      <w:r w:rsidR="00337D01" w:rsidRPr="00904AEA">
        <w:rPr>
          <w:rFonts w:ascii="Times New Roman" w:hAnsi="Times New Roman" w:cs="Times New Roman"/>
          <w:sz w:val="24"/>
          <w:szCs w:val="24"/>
        </w:rPr>
        <w:t xml:space="preserve">iofilm formation, </w:t>
      </w:r>
      <w:r w:rsidR="00223A4D" w:rsidRPr="00904AEA">
        <w:rPr>
          <w:rFonts w:ascii="Times New Roman" w:hAnsi="Times New Roman" w:cs="Times New Roman"/>
          <w:sz w:val="24"/>
          <w:szCs w:val="24"/>
        </w:rPr>
        <w:t>E</w:t>
      </w:r>
      <w:r w:rsidR="00337D01" w:rsidRPr="00904AEA">
        <w:rPr>
          <w:rFonts w:ascii="Times New Roman" w:hAnsi="Times New Roman" w:cs="Times New Roman"/>
          <w:sz w:val="24"/>
          <w:szCs w:val="24"/>
        </w:rPr>
        <w:t xml:space="preserve">fflux pumps, </w:t>
      </w:r>
      <w:r w:rsidR="00223A4D" w:rsidRPr="00904AEA">
        <w:rPr>
          <w:rFonts w:ascii="Times New Roman" w:hAnsi="Times New Roman" w:cs="Times New Roman"/>
          <w:sz w:val="24"/>
          <w:szCs w:val="24"/>
        </w:rPr>
        <w:t>H</w:t>
      </w:r>
      <w:r w:rsidR="00337D01" w:rsidRPr="00904AEA">
        <w:rPr>
          <w:rFonts w:ascii="Times New Roman" w:hAnsi="Times New Roman" w:cs="Times New Roman"/>
          <w:sz w:val="24"/>
          <w:szCs w:val="24"/>
        </w:rPr>
        <w:t xml:space="preserve">orizontal gene transfer, </w:t>
      </w:r>
      <w:r w:rsidR="00223A4D" w:rsidRPr="00904AEA">
        <w:rPr>
          <w:rFonts w:ascii="Times New Roman" w:hAnsi="Times New Roman" w:cs="Times New Roman"/>
          <w:sz w:val="24"/>
          <w:szCs w:val="24"/>
        </w:rPr>
        <w:t>I</w:t>
      </w:r>
      <w:r w:rsidR="00337D01" w:rsidRPr="00904AEA">
        <w:rPr>
          <w:rFonts w:ascii="Times New Roman" w:hAnsi="Times New Roman" w:cs="Times New Roman"/>
          <w:sz w:val="24"/>
          <w:szCs w:val="24"/>
        </w:rPr>
        <w:t xml:space="preserve">nfection control, </w:t>
      </w:r>
      <w:r w:rsidR="00223A4D" w:rsidRPr="00904AEA">
        <w:rPr>
          <w:rFonts w:ascii="Times New Roman" w:hAnsi="Times New Roman" w:cs="Times New Roman"/>
          <w:sz w:val="24"/>
          <w:szCs w:val="24"/>
        </w:rPr>
        <w:t>M</w:t>
      </w:r>
      <w:r w:rsidR="00337D01" w:rsidRPr="00904AEA">
        <w:rPr>
          <w:rFonts w:ascii="Times New Roman" w:hAnsi="Times New Roman" w:cs="Times New Roman"/>
          <w:sz w:val="24"/>
          <w:szCs w:val="24"/>
        </w:rPr>
        <w:t>ultidrug resistance</w:t>
      </w:r>
      <w:r w:rsidR="009B7728" w:rsidRPr="00904AEA">
        <w:rPr>
          <w:rFonts w:ascii="Times New Roman" w:hAnsi="Times New Roman" w:cs="Times New Roman"/>
          <w:sz w:val="24"/>
          <w:szCs w:val="24"/>
        </w:rPr>
        <w:t>.</w:t>
      </w:r>
    </w:p>
    <w:p w14:paraId="36FA415D" w14:textId="39AA6C78" w:rsidR="00BF2C83" w:rsidRDefault="00BF2C83" w:rsidP="0009649A">
      <w:pPr>
        <w:spacing w:line="360" w:lineRule="auto"/>
        <w:jc w:val="center"/>
        <w:rPr>
          <w:rFonts w:ascii="Times New Roman" w:hAnsi="Times New Roman" w:cs="Times New Roman"/>
          <w:sz w:val="24"/>
          <w:szCs w:val="24"/>
        </w:rPr>
      </w:pPr>
    </w:p>
    <w:p w14:paraId="5A100FB5" w14:textId="77777777" w:rsidR="00BF2C83" w:rsidRDefault="00BF2C83" w:rsidP="0009649A">
      <w:pPr>
        <w:spacing w:line="360" w:lineRule="auto"/>
        <w:jc w:val="center"/>
        <w:rPr>
          <w:rFonts w:ascii="Times New Roman" w:hAnsi="Times New Roman" w:cs="Times New Roman"/>
          <w:sz w:val="24"/>
          <w:szCs w:val="24"/>
        </w:rPr>
      </w:pPr>
    </w:p>
    <w:p w14:paraId="6447A9DD" w14:textId="6B5F9CA8" w:rsidR="00E95971" w:rsidRPr="00904AEA" w:rsidRDefault="00E95971" w:rsidP="0009649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Introduction </w:t>
      </w:r>
    </w:p>
    <w:p w14:paraId="6358875D" w14:textId="77777777" w:rsidR="00733DC0" w:rsidRPr="00904AEA" w:rsidRDefault="00733DC0" w:rsidP="00D12002">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Antimicrobial resistance is a serious hazard to global public health and threatens the effectiveness of contemporary medicine. Morbidity, mortality, and healthcare expenses have gone up as a result of the growth in infections that are extensively and multidrug resistant. According to recent estimates, bacterial AMR directly caused 1.27 million of the 4.95 million fatalities</w:t>
      </w:r>
      <w:r w:rsidR="00914A00" w:rsidRPr="00904AEA">
        <w:rPr>
          <w:rFonts w:ascii="Times New Roman" w:hAnsi="Times New Roman" w:cs="Times New Roman"/>
          <w:sz w:val="24"/>
          <w:szCs w:val="24"/>
        </w:rPr>
        <w:t xml:space="preserve"> that occurred globally in 2019</w:t>
      </w:r>
      <w:r w:rsidR="006F6351" w:rsidRPr="00904AEA">
        <w:rPr>
          <w:rFonts w:ascii="Times New Roman" w:hAnsi="Times New Roman" w:cs="Times New Roman"/>
          <w:sz w:val="24"/>
          <w:szCs w:val="24"/>
        </w:rPr>
        <w:t xml:space="preserve"> (Gashaw et al., 2025)</w:t>
      </w:r>
      <w:r w:rsidRPr="00904AEA">
        <w:rPr>
          <w:rFonts w:ascii="Times New Roman" w:hAnsi="Times New Roman" w:cs="Times New Roman"/>
          <w:sz w:val="24"/>
          <w:szCs w:val="24"/>
        </w:rPr>
        <w:t>. If effective interventions are not enacted, AMR is projected to lead to as many as 10 million deaths annually by the year 2050.</w:t>
      </w:r>
      <w:r w:rsidR="00D12002" w:rsidRPr="00904AEA">
        <w:rPr>
          <w:rFonts w:ascii="Times New Roman" w:hAnsi="Times New Roman" w:cs="Times New Roman"/>
          <w:sz w:val="24"/>
          <w:szCs w:val="24"/>
        </w:rPr>
        <w:t xml:space="preserve"> </w:t>
      </w:r>
      <w:r w:rsidRPr="00904AEA">
        <w:rPr>
          <w:rFonts w:ascii="Times New Roman" w:hAnsi="Times New Roman" w:cs="Times New Roman"/>
          <w:sz w:val="24"/>
          <w:szCs w:val="24"/>
        </w:rPr>
        <w:t>Microorganisms exhibit a variety of complex mechanisms to develop resistance. Major strategies involve the enzymatic breakdown or alteration of antibiotics, changes to target sites, activation of efflux pumps, decreased membrane permeability, and the formation of biofilms. β-lactamases, for example, are produced by bacteria and hydrolyze β-lactam antibiotics, making them useless.  Biofilms, which are protective microbial communities, further enhance resistance by providing a physical barrier against antimicrobials and facilitating genetic exchange among bacteria</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Wu et al., 2020)</w:t>
      </w:r>
      <w:r w:rsidRPr="00904AEA">
        <w:rPr>
          <w:rFonts w:ascii="Times New Roman" w:hAnsi="Times New Roman" w:cs="Times New Roman"/>
          <w:sz w:val="24"/>
          <w:szCs w:val="24"/>
        </w:rPr>
        <w:t>.</w:t>
      </w:r>
    </w:p>
    <w:p w14:paraId="564DE063" w14:textId="77777777" w:rsidR="00733DC0" w:rsidRPr="00904AEA" w:rsidRDefault="00733DC0" w:rsidP="00D12002">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AMR develops and spreads due to a number of causes.  The main causes include overuse and abuse of antimicrobials in plants, animals, and people.</w:t>
      </w:r>
      <w:r w:rsidR="0009649A" w:rsidRPr="00904AEA">
        <w:rPr>
          <w:rFonts w:ascii="Times New Roman" w:hAnsi="Times New Roman" w:cs="Times New Roman"/>
          <w:sz w:val="24"/>
          <w:szCs w:val="24"/>
        </w:rPr>
        <w:t xml:space="preserve"> </w:t>
      </w:r>
      <w:r w:rsidRPr="00904AEA">
        <w:rPr>
          <w:rFonts w:ascii="Times New Roman" w:hAnsi="Times New Roman" w:cs="Times New Roman"/>
          <w:sz w:val="24"/>
          <w:szCs w:val="24"/>
        </w:rPr>
        <w:t>The selection of resistant strains is encouraged in healthcare settings by improper prescribing practices and patient noncompliance with treatment plans.  Antibiotics are used in agriculture to promote cattle growth and prevent sickness, which leads to the development of resistance that can be passed on to people through the food chain.  Environmental factors are also important, including the discharge of resistant bacteria and antibiotic residues into water systems from pharmaceutical manufacture and insufficient wastewater treatment.</w:t>
      </w:r>
      <w:r w:rsidR="00D12002" w:rsidRPr="00904AEA">
        <w:rPr>
          <w:rFonts w:ascii="Times New Roman" w:hAnsi="Times New Roman" w:cs="Times New Roman"/>
          <w:sz w:val="24"/>
          <w:szCs w:val="24"/>
        </w:rPr>
        <w:t xml:space="preserve"> </w:t>
      </w:r>
      <w:r w:rsidRPr="00904AEA">
        <w:rPr>
          <w:rFonts w:ascii="Times New Roman" w:hAnsi="Times New Roman" w:cs="Times New Roman"/>
          <w:sz w:val="24"/>
          <w:szCs w:val="24"/>
        </w:rPr>
        <w:t>Addressing the AMR conundrum requires a multifaceted approach</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Laxminarayan et al., 2013)</w:t>
      </w:r>
      <w:r w:rsidRPr="00904AEA">
        <w:rPr>
          <w:rFonts w:ascii="Times New Roman" w:hAnsi="Times New Roman" w:cs="Times New Roman"/>
          <w:sz w:val="24"/>
          <w:szCs w:val="24"/>
        </w:rPr>
        <w:t xml:space="preserve">. The </w:t>
      </w:r>
      <w:r w:rsidR="0009649A" w:rsidRPr="00904AEA">
        <w:rPr>
          <w:rFonts w:ascii="Times New Roman" w:hAnsi="Times New Roman" w:cs="Times New Roman"/>
          <w:sz w:val="24"/>
          <w:szCs w:val="24"/>
        </w:rPr>
        <w:t>development</w:t>
      </w:r>
      <w:r w:rsidRPr="00904AEA">
        <w:rPr>
          <w:rFonts w:ascii="Times New Roman" w:hAnsi="Times New Roman" w:cs="Times New Roman"/>
          <w:sz w:val="24"/>
          <w:szCs w:val="24"/>
        </w:rPr>
        <w:t xml:space="preserve"> of new antibiotics and alternative treatments, the establishment of strong antimicrobial stewardship initiatives to guarantee the prudent use of currently marketed medications, and the bolstering of infection prevention and control protocols in public areas and hospitals are some of the tactics. Global monitoring systems are required to monitor resistance patterns and inform policy decisions. In order to implement laws governing the use of antibiotics in agriculture and to further the research and development of novel antimicrobial agents, international cooperation is required. Campaigns to raise public </w:t>
      </w:r>
      <w:r w:rsidRPr="00904AEA">
        <w:rPr>
          <w:rFonts w:ascii="Times New Roman" w:hAnsi="Times New Roman" w:cs="Times New Roman"/>
          <w:sz w:val="24"/>
          <w:szCs w:val="24"/>
        </w:rPr>
        <w:lastRenderedPageBreak/>
        <w:t>awareness are also essential for teaching communities about the correct use of antibiotics and the need of good hygiene in preventing infections.</w:t>
      </w:r>
    </w:p>
    <w:p w14:paraId="04A61B7F"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Mechanisms of Antimicrobial Resistance</w:t>
      </w:r>
    </w:p>
    <w:p w14:paraId="73798F55" w14:textId="77777777" w:rsidR="00733DC0" w:rsidRPr="00904AEA" w:rsidRDefault="00733DC0" w:rsidP="00D12002">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AMR develops through various molecular pathways that enable bacteria to evade the action of antimicrobial agents.</w:t>
      </w:r>
    </w:p>
    <w:p w14:paraId="197C9290" w14:textId="77777777" w:rsidR="00733DC0" w:rsidRPr="00904AEA" w:rsidRDefault="00733DC0" w:rsidP="00733DC0">
      <w:pPr>
        <w:spacing w:line="360" w:lineRule="auto"/>
        <w:jc w:val="both"/>
        <w:rPr>
          <w:rFonts w:ascii="Times New Roman" w:hAnsi="Times New Roman" w:cs="Times New Roman"/>
          <w:sz w:val="24"/>
          <w:szCs w:val="24"/>
        </w:rPr>
      </w:pPr>
    </w:p>
    <w:p w14:paraId="5B0F5A54" w14:textId="77777777" w:rsidR="00733DC0" w:rsidRPr="00904AEA" w:rsidRDefault="00733DC0" w:rsidP="00733DC0">
      <w:pPr>
        <w:spacing w:line="360" w:lineRule="auto"/>
        <w:jc w:val="both"/>
        <w:rPr>
          <w:rFonts w:ascii="Times New Roman" w:hAnsi="Times New Roman" w:cs="Times New Roman"/>
          <w:b/>
          <w:bCs/>
          <w:sz w:val="24"/>
          <w:szCs w:val="24"/>
        </w:rPr>
      </w:pPr>
    </w:p>
    <w:p w14:paraId="7709354F" w14:textId="77777777" w:rsidR="00733DC0" w:rsidRPr="00904AEA" w:rsidRDefault="00733DC0" w:rsidP="00733DC0">
      <w:pPr>
        <w:spacing w:line="360" w:lineRule="auto"/>
        <w:jc w:val="both"/>
        <w:rPr>
          <w:rFonts w:ascii="Times New Roman" w:hAnsi="Times New Roman" w:cs="Times New Roman"/>
          <w:b/>
          <w:bCs/>
          <w:sz w:val="24"/>
          <w:szCs w:val="24"/>
        </w:rPr>
      </w:pPr>
    </w:p>
    <w:p w14:paraId="374F0E03" w14:textId="77777777" w:rsidR="00733DC0" w:rsidRPr="00904AEA" w:rsidRDefault="00733DC0" w:rsidP="00733DC0">
      <w:pPr>
        <w:spacing w:line="360" w:lineRule="auto"/>
        <w:jc w:val="both"/>
        <w:rPr>
          <w:rFonts w:ascii="Times New Roman" w:hAnsi="Times New Roman" w:cs="Times New Roman"/>
          <w:b/>
          <w:bCs/>
          <w:sz w:val="24"/>
          <w:szCs w:val="24"/>
        </w:rPr>
      </w:pPr>
    </w:p>
    <w:p w14:paraId="6ED95BBC" w14:textId="77777777" w:rsidR="00733DC0" w:rsidRPr="00904AEA" w:rsidRDefault="00733DC0" w:rsidP="00733DC0">
      <w:pPr>
        <w:spacing w:line="360" w:lineRule="auto"/>
        <w:jc w:val="both"/>
        <w:rPr>
          <w:rFonts w:ascii="Times New Roman" w:hAnsi="Times New Roman" w:cs="Times New Roman"/>
          <w:b/>
          <w:bCs/>
          <w:sz w:val="24"/>
          <w:szCs w:val="24"/>
        </w:rPr>
      </w:pPr>
    </w:p>
    <w:p w14:paraId="23A1228D" w14:textId="77777777" w:rsidR="00733DC0" w:rsidRPr="00904AEA" w:rsidRDefault="00733DC0" w:rsidP="00733DC0">
      <w:pPr>
        <w:spacing w:line="360" w:lineRule="auto"/>
        <w:jc w:val="both"/>
        <w:rPr>
          <w:rFonts w:ascii="Times New Roman" w:hAnsi="Times New Roman" w:cs="Times New Roman"/>
          <w:b/>
          <w:bCs/>
          <w:sz w:val="24"/>
          <w:szCs w:val="24"/>
        </w:rPr>
      </w:pPr>
    </w:p>
    <w:p w14:paraId="77B73A62" w14:textId="77777777" w:rsidR="00733DC0" w:rsidRPr="00904AEA" w:rsidRDefault="00733DC0" w:rsidP="00733DC0">
      <w:pPr>
        <w:spacing w:line="360" w:lineRule="auto"/>
        <w:jc w:val="both"/>
        <w:rPr>
          <w:rFonts w:ascii="Times New Roman" w:hAnsi="Times New Roman" w:cs="Times New Roman"/>
          <w:b/>
          <w:bCs/>
          <w:sz w:val="24"/>
          <w:szCs w:val="24"/>
        </w:rPr>
      </w:pPr>
    </w:p>
    <w:p w14:paraId="4B47C686" w14:textId="77777777" w:rsidR="00733DC0" w:rsidRPr="00904AEA" w:rsidRDefault="00A815A4" w:rsidP="00A815A4">
      <w:pPr>
        <w:spacing w:line="360" w:lineRule="auto"/>
        <w:jc w:val="center"/>
        <w:rPr>
          <w:rFonts w:ascii="Times New Roman" w:hAnsi="Times New Roman" w:cs="Times New Roman"/>
          <w:b/>
          <w:bCs/>
          <w:sz w:val="24"/>
          <w:szCs w:val="24"/>
        </w:rPr>
      </w:pPr>
      <w:r w:rsidRPr="00904AEA">
        <w:rPr>
          <w:rFonts w:ascii="Times New Roman" w:hAnsi="Times New Roman" w:cs="Times New Roman"/>
          <w:b/>
          <w:bCs/>
          <w:noProof/>
          <w:sz w:val="24"/>
          <w:szCs w:val="24"/>
          <w:lang w:val="en-IN" w:eastAsia="en-IN"/>
        </w:rPr>
        <w:drawing>
          <wp:inline distT="0" distB="0" distL="0" distR="0" wp14:anchorId="57F344F9" wp14:editId="2AA9EC76">
            <wp:extent cx="3990975" cy="2409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990975" cy="2409825"/>
                    </a:xfrm>
                    <a:prstGeom prst="rect">
                      <a:avLst/>
                    </a:prstGeom>
                    <a:noFill/>
                    <a:ln w="9525">
                      <a:noFill/>
                      <a:miter lim="800000"/>
                      <a:headEnd/>
                      <a:tailEnd/>
                    </a:ln>
                  </pic:spPr>
                </pic:pic>
              </a:graphicData>
            </a:graphic>
          </wp:inline>
        </w:drawing>
      </w:r>
    </w:p>
    <w:p w14:paraId="1B97E583" w14:textId="77777777" w:rsidR="00733DC0" w:rsidRPr="00904AEA" w:rsidRDefault="00733DC0" w:rsidP="00733DC0">
      <w:pPr>
        <w:spacing w:line="360" w:lineRule="auto"/>
        <w:jc w:val="center"/>
        <w:rPr>
          <w:rFonts w:ascii="Times New Roman" w:hAnsi="Times New Roman" w:cs="Times New Roman"/>
          <w:b/>
          <w:bCs/>
          <w:sz w:val="24"/>
          <w:szCs w:val="24"/>
        </w:rPr>
      </w:pPr>
      <w:r w:rsidRPr="00904AEA">
        <w:rPr>
          <w:rFonts w:ascii="Times New Roman" w:hAnsi="Times New Roman" w:cs="Times New Roman"/>
          <w:b/>
          <w:bCs/>
          <w:sz w:val="24"/>
          <w:szCs w:val="24"/>
        </w:rPr>
        <w:t xml:space="preserve">Fig-1: </w:t>
      </w:r>
      <w:r w:rsidRPr="00904AEA">
        <w:rPr>
          <w:rFonts w:ascii="Times New Roman" w:hAnsi="Times New Roman" w:cs="Times New Roman"/>
          <w:bCs/>
          <w:sz w:val="24"/>
          <w:szCs w:val="24"/>
        </w:rPr>
        <w:t>Mechanisms of Antimicrobial Resistance</w:t>
      </w:r>
      <w:r w:rsidR="00D12002" w:rsidRPr="00904AEA">
        <w:rPr>
          <w:rFonts w:ascii="Times New Roman" w:hAnsi="Times New Roman" w:cs="Times New Roman"/>
          <w:bCs/>
          <w:sz w:val="24"/>
          <w:szCs w:val="24"/>
        </w:rPr>
        <w:t xml:space="preserve"> (Source</w:t>
      </w:r>
      <w:r w:rsidR="006448E7" w:rsidRPr="00904AEA">
        <w:rPr>
          <w:rFonts w:ascii="Times New Roman" w:hAnsi="Times New Roman" w:cs="Times New Roman"/>
          <w:bCs/>
          <w:sz w:val="24"/>
          <w:szCs w:val="24"/>
        </w:rPr>
        <w:t>:</w:t>
      </w:r>
      <w:r w:rsidR="00D12002" w:rsidRPr="00904AEA">
        <w:rPr>
          <w:rFonts w:ascii="Times New Roman" w:hAnsi="Times New Roman" w:cs="Times New Roman"/>
          <w:bCs/>
          <w:sz w:val="24"/>
          <w:szCs w:val="24"/>
        </w:rPr>
        <w:t xml:space="preserve"> Belay et al</w:t>
      </w:r>
      <w:r w:rsidR="006F6351" w:rsidRPr="00904AEA">
        <w:rPr>
          <w:rFonts w:ascii="Times New Roman" w:hAnsi="Times New Roman" w:cs="Times New Roman"/>
          <w:bCs/>
          <w:sz w:val="24"/>
          <w:szCs w:val="24"/>
        </w:rPr>
        <w:t>., 2024</w:t>
      </w:r>
      <w:r w:rsidR="006448E7" w:rsidRPr="00904AEA">
        <w:rPr>
          <w:rFonts w:ascii="Times New Roman" w:hAnsi="Times New Roman" w:cs="Times New Roman"/>
          <w:bCs/>
          <w:sz w:val="24"/>
          <w:szCs w:val="24"/>
        </w:rPr>
        <w:t>)</w:t>
      </w:r>
      <w:r w:rsidR="00D12002" w:rsidRPr="00904AEA">
        <w:rPr>
          <w:rFonts w:ascii="Times New Roman" w:hAnsi="Times New Roman" w:cs="Times New Roman"/>
          <w:bCs/>
          <w:sz w:val="24"/>
          <w:szCs w:val="24"/>
        </w:rPr>
        <w:t xml:space="preserve">. </w:t>
      </w:r>
    </w:p>
    <w:p w14:paraId="2D4C9C78"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Enzymatic Degradation</w:t>
      </w:r>
    </w:p>
    <w:p w14:paraId="6F1B852D" w14:textId="77777777" w:rsidR="00733DC0" w:rsidRPr="00904AEA" w:rsidRDefault="00733DC0" w:rsidP="00D12002">
      <w:pPr>
        <w:spacing w:line="360" w:lineRule="auto"/>
        <w:ind w:firstLine="720"/>
        <w:jc w:val="both"/>
        <w:rPr>
          <w:rFonts w:ascii="Times New Roman" w:hAnsi="Times New Roman" w:cs="Times New Roman"/>
          <w:sz w:val="24"/>
          <w:szCs w:val="24"/>
          <w:vertAlign w:val="superscript"/>
        </w:rPr>
      </w:pPr>
      <w:r w:rsidRPr="00904AEA">
        <w:rPr>
          <w:rFonts w:ascii="Times New Roman" w:hAnsi="Times New Roman" w:cs="Times New Roman"/>
          <w:sz w:val="24"/>
          <w:szCs w:val="24"/>
        </w:rPr>
        <w:lastRenderedPageBreak/>
        <w:t>Bacteria can render antibiotics ineffective by enzymatically degrading them, mainly through the production of β-lactamases that hydrolyze the β-lactam ring. Recent studies have explored innovative approaches to counteract this resistance mechanism.</w:t>
      </w:r>
      <w:r w:rsidR="000F40DB" w:rsidRPr="00904AEA">
        <w:rPr>
          <w:rFonts w:ascii="Times New Roman" w:hAnsi="Times New Roman" w:cs="Times New Roman"/>
          <w:sz w:val="24"/>
          <w:szCs w:val="24"/>
        </w:rPr>
        <w:t xml:space="preserve"> The </w:t>
      </w:r>
      <w:r w:rsidRPr="00904AEA">
        <w:rPr>
          <w:rFonts w:ascii="Times New Roman" w:hAnsi="Times New Roman" w:cs="Times New Roman"/>
          <w:sz w:val="24"/>
          <w:szCs w:val="24"/>
        </w:rPr>
        <w:t>zinc-based metal–organic framework (MOF) that mimics β-lactamase activity</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Raju et al., 2024)</w:t>
      </w:r>
      <w:r w:rsidRPr="00904AEA">
        <w:rPr>
          <w:rFonts w:ascii="Times New Roman" w:hAnsi="Times New Roman" w:cs="Times New Roman"/>
          <w:sz w:val="24"/>
          <w:szCs w:val="24"/>
        </w:rPr>
        <w:t>. This MOF effectively hydrolyzed β-lactam antibiotics such as amoxicillin and ceftriaxone, offering insights into potential biomimetic catalysts for antibiotic degradation.</w:t>
      </w:r>
      <w:r w:rsidR="000F40DB" w:rsidRPr="00904AEA">
        <w:rPr>
          <w:rFonts w:ascii="Times New Roman" w:hAnsi="Times New Roman" w:cs="Times New Roman"/>
          <w:sz w:val="24"/>
          <w:szCs w:val="24"/>
        </w:rPr>
        <w:t xml:space="preserve"> An </w:t>
      </w:r>
      <w:r w:rsidRPr="00904AEA">
        <w:rPr>
          <w:rFonts w:ascii="Times New Roman" w:hAnsi="Times New Roman" w:cs="Times New Roman"/>
          <w:sz w:val="24"/>
          <w:szCs w:val="24"/>
        </w:rPr>
        <w:t>extensive review of β-lactamase enzymes and their inhibitors discussing the structural elements, mutations, and kinetics that contribute to the enzymes' ability to hydrolyze β-lactam antibiotics. This thorough examination contributes to our comprehension of the progression of β-lactamase-mediated resistance and guides the creation of potent inhibitors. Such research deepens our insight into the mechanisms of enzymatic degradation and shapes approaches to address antibiotic resistance</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Balasubramanian et al., 2021)</w:t>
      </w:r>
      <w:r w:rsidRPr="00904AEA">
        <w:rPr>
          <w:rFonts w:ascii="Times New Roman" w:hAnsi="Times New Roman" w:cs="Times New Roman"/>
          <w:sz w:val="24"/>
          <w:szCs w:val="24"/>
        </w:rPr>
        <w:t>.</w:t>
      </w:r>
    </w:p>
    <w:p w14:paraId="0DD10A88"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Target Modification</w:t>
      </w:r>
    </w:p>
    <w:p w14:paraId="278DCE90" w14:textId="77777777" w:rsidR="00733DC0" w:rsidRPr="00904AEA" w:rsidRDefault="00733DC0" w:rsidP="00D12002">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Mutations that change penicillin-binding proteins are frequently the cause of bacterial resistance to β-lactam antibiotics, such methicillin, which decreases the effectiveness of the medications.  while Staphylococcus aureus acquires the mecA gene, it produces PBP2a, a PBP variation that has a low affinity for β-lactam antibiotics. This allows the bacteria to continue synthesising cell walls even while these antibiotics are present.</w:t>
      </w:r>
    </w:p>
    <w:p w14:paraId="063A24E9"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Recent studies have further elucidated the mechanisms behind this resistance:</w:t>
      </w:r>
    </w:p>
    <w:p w14:paraId="7FA6B3C4" w14:textId="77777777" w:rsidR="00733DC0" w:rsidRPr="00904AEA" w:rsidRDefault="00733DC0" w:rsidP="00733DC0">
      <w:pPr>
        <w:numPr>
          <w:ilvl w:val="0"/>
          <w:numId w:val="1"/>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Molecular Determinants of β-Lactam Resistance in MRSA</w:t>
      </w:r>
      <w:r w:rsidRPr="00904AEA">
        <w:rPr>
          <w:rFonts w:ascii="Times New Roman" w:hAnsi="Times New Roman" w:cs="Times New Roman"/>
          <w:sz w:val="24"/>
          <w:szCs w:val="24"/>
        </w:rPr>
        <w:t>:  This study emphasizes that high-level β-lactam resistance in MRSA depends on a number of genetic variables, including PBP2a, that control cell wall formation, cell signaling pathways, and metabolism.  Comprehending these factors is crucial for creating innovative appr</w:t>
      </w:r>
      <w:r w:rsidR="000D3FEF" w:rsidRPr="00904AEA">
        <w:rPr>
          <w:rFonts w:ascii="Times New Roman" w:hAnsi="Times New Roman" w:cs="Times New Roman"/>
          <w:sz w:val="24"/>
          <w:szCs w:val="24"/>
        </w:rPr>
        <w:t>oaches to fight MRSA infections</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Malar et al., 2020)</w:t>
      </w:r>
      <w:r w:rsidRPr="00904AEA">
        <w:rPr>
          <w:rFonts w:ascii="Times New Roman" w:hAnsi="Times New Roman" w:cs="Times New Roman"/>
          <w:sz w:val="24"/>
          <w:szCs w:val="24"/>
        </w:rPr>
        <w:t xml:space="preserve">. </w:t>
      </w:r>
    </w:p>
    <w:p w14:paraId="394B5E17" w14:textId="77777777" w:rsidR="00733DC0" w:rsidRPr="00904AEA" w:rsidRDefault="00733DC0" w:rsidP="00733DC0">
      <w:pPr>
        <w:numPr>
          <w:ilvl w:val="0"/>
          <w:numId w:val="1"/>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Proteomic Changes in MRSA Under Methicillin Stress</w:t>
      </w:r>
      <w:r w:rsidRPr="00904AEA">
        <w:rPr>
          <w:rFonts w:ascii="Times New Roman" w:hAnsi="Times New Roman" w:cs="Times New Roman"/>
          <w:sz w:val="24"/>
          <w:szCs w:val="24"/>
        </w:rPr>
        <w:t xml:space="preserve">: Research indicates that exposure to methicillin leads to increased production of PBP2, suggesting that MRSA can upregulate certain PBPs in response to antibiotic pressure, thereby enhancing its resistance capabilities. These revelations highlight the intricacy of bacterial antibiotic </w:t>
      </w:r>
      <w:r w:rsidRPr="00904AEA">
        <w:rPr>
          <w:rFonts w:ascii="Times New Roman" w:hAnsi="Times New Roman" w:cs="Times New Roman"/>
          <w:sz w:val="24"/>
          <w:szCs w:val="24"/>
        </w:rPr>
        <w:lastRenderedPageBreak/>
        <w:t>resistance processes and the necessity of all-encompassing strategies to tac</w:t>
      </w:r>
      <w:r w:rsidR="000D3FEF" w:rsidRPr="00904AEA">
        <w:rPr>
          <w:rFonts w:ascii="Times New Roman" w:hAnsi="Times New Roman" w:cs="Times New Roman"/>
          <w:sz w:val="24"/>
          <w:szCs w:val="24"/>
        </w:rPr>
        <w:t>kle this worldwide health issue</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Ribeiro et al., 2021)</w:t>
      </w:r>
      <w:r w:rsidRPr="00904AEA">
        <w:rPr>
          <w:rFonts w:ascii="Times New Roman" w:hAnsi="Times New Roman" w:cs="Times New Roman"/>
          <w:sz w:val="24"/>
          <w:szCs w:val="24"/>
        </w:rPr>
        <w:t>.</w:t>
      </w:r>
    </w:p>
    <w:p w14:paraId="1B6563D0"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Efflux Pumps</w:t>
      </w:r>
    </w:p>
    <w:p w14:paraId="1BB2D2AB" w14:textId="77777777" w:rsidR="00733DC0" w:rsidRPr="00904AEA" w:rsidRDefault="00733DC0" w:rsidP="002F1E8D">
      <w:pPr>
        <w:spacing w:line="360" w:lineRule="auto"/>
        <w:ind w:firstLine="360"/>
        <w:jc w:val="both"/>
        <w:rPr>
          <w:rFonts w:ascii="Times New Roman" w:hAnsi="Times New Roman" w:cs="Times New Roman"/>
          <w:sz w:val="24"/>
          <w:szCs w:val="24"/>
        </w:rPr>
      </w:pPr>
      <w:r w:rsidRPr="00904AEA">
        <w:rPr>
          <w:rFonts w:ascii="Times New Roman" w:hAnsi="Times New Roman" w:cs="Times New Roman"/>
          <w:sz w:val="24"/>
          <w:szCs w:val="24"/>
        </w:rPr>
        <w:t>Efflux pumps contribute to bacterial pathogenicity, biofilm formation, and stress-induced survival in addition to providing antibiotic resistance. Techniques to stop these pumps are being researched to improve the efficacy of already available antibiotics.</w:t>
      </w:r>
    </w:p>
    <w:p w14:paraId="3648B520" w14:textId="77777777" w:rsidR="00733DC0" w:rsidRPr="00904AEA" w:rsidRDefault="00733DC0" w:rsidP="00733DC0">
      <w:pPr>
        <w:numPr>
          <w:ilvl w:val="0"/>
          <w:numId w:val="2"/>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ATP-Binding Cassette Superfamily</w:t>
      </w:r>
      <w:r w:rsidRPr="00904AEA">
        <w:rPr>
          <w:rFonts w:ascii="Times New Roman" w:hAnsi="Times New Roman" w:cs="Times New Roman"/>
          <w:sz w:val="24"/>
          <w:szCs w:val="24"/>
        </w:rPr>
        <w:t>: Utilizes ATP hydrolysis to transport substrates across membranes.</w:t>
      </w:r>
    </w:p>
    <w:p w14:paraId="1E595FA6" w14:textId="77777777" w:rsidR="00733DC0" w:rsidRPr="00904AEA" w:rsidRDefault="00733DC0" w:rsidP="00733DC0">
      <w:pPr>
        <w:numPr>
          <w:ilvl w:val="0"/>
          <w:numId w:val="2"/>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Major Facilitator Superfamily</w:t>
      </w:r>
      <w:r w:rsidRPr="00904AEA">
        <w:rPr>
          <w:rFonts w:ascii="Times New Roman" w:hAnsi="Times New Roman" w:cs="Times New Roman"/>
          <w:sz w:val="24"/>
          <w:szCs w:val="24"/>
        </w:rPr>
        <w:t>: Transports substrates in response to chemiosmotic ion gradients.</w:t>
      </w:r>
    </w:p>
    <w:p w14:paraId="65B720AB" w14:textId="77777777" w:rsidR="00733DC0" w:rsidRPr="00904AEA" w:rsidRDefault="00733DC0" w:rsidP="00733DC0">
      <w:pPr>
        <w:pStyle w:val="ListParagraph"/>
        <w:numPr>
          <w:ilvl w:val="0"/>
          <w:numId w:val="2"/>
        </w:numPr>
        <w:spacing w:after="0" w:line="360" w:lineRule="auto"/>
        <w:jc w:val="both"/>
        <w:rPr>
          <w:rFonts w:ascii="Times New Roman" w:eastAsia="Times New Roman" w:hAnsi="Times New Roman" w:cs="Times New Roman"/>
          <w:kern w:val="0"/>
          <w:lang w:eastAsia="en-IN"/>
        </w:rPr>
      </w:pPr>
      <w:r w:rsidRPr="00904AEA">
        <w:rPr>
          <w:rFonts w:ascii="Times New Roman" w:eastAsia="Times New Roman" w:hAnsi="Times New Roman" w:cs="Times New Roman"/>
          <w:b/>
          <w:bCs/>
          <w:kern w:val="0"/>
          <w:lang w:eastAsia="en-IN"/>
        </w:rPr>
        <w:t>Extrusion Family of Multidrug and Toxic Compounds:</w:t>
      </w:r>
      <w:r w:rsidRPr="00904AEA">
        <w:rPr>
          <w:rFonts w:ascii="Times New Roman" w:hAnsi="Times New Roman" w:cs="Times New Roman"/>
        </w:rPr>
        <w:t xml:space="preserve"> Exports drugs using proton or sodium gradients.</w:t>
      </w:r>
    </w:p>
    <w:p w14:paraId="3D6D3742" w14:textId="77777777" w:rsidR="00733DC0" w:rsidRPr="00904AEA" w:rsidRDefault="00733DC0" w:rsidP="00733DC0">
      <w:pPr>
        <w:pStyle w:val="ListParagraph"/>
        <w:numPr>
          <w:ilvl w:val="0"/>
          <w:numId w:val="2"/>
        </w:numPr>
        <w:spacing w:after="0" w:line="360" w:lineRule="auto"/>
        <w:jc w:val="both"/>
        <w:rPr>
          <w:rFonts w:ascii="Times New Roman" w:eastAsia="Times New Roman" w:hAnsi="Times New Roman" w:cs="Times New Roman"/>
          <w:kern w:val="0"/>
          <w:lang w:eastAsia="en-IN"/>
        </w:rPr>
      </w:pPr>
      <w:r w:rsidRPr="00904AEA">
        <w:rPr>
          <w:rFonts w:ascii="Times New Roman" w:eastAsia="Times New Roman" w:hAnsi="Times New Roman" w:cs="Times New Roman"/>
          <w:b/>
          <w:bCs/>
          <w:kern w:val="0"/>
          <w:lang w:eastAsia="en-IN"/>
        </w:rPr>
        <w:t>Cell Division, Nodulation, and Resistance Superfamily:</w:t>
      </w:r>
      <w:r w:rsidRPr="00904AEA">
        <w:rPr>
          <w:rFonts w:ascii="Times New Roman" w:eastAsia="Times New Roman" w:hAnsi="Times New Roman" w:cs="Times New Roman"/>
          <w:kern w:val="0"/>
          <w:lang w:eastAsia="en-IN"/>
        </w:rPr>
        <w:t xml:space="preserve"> These pumps, which are mostly present in Gram-negative bacteria, release a variety of antibiotics.</w:t>
      </w:r>
    </w:p>
    <w:p w14:paraId="21EDB17A" w14:textId="77777777" w:rsidR="00733DC0" w:rsidRPr="00904AEA" w:rsidRDefault="00733DC0" w:rsidP="00733DC0">
      <w:pPr>
        <w:numPr>
          <w:ilvl w:val="0"/>
          <w:numId w:val="2"/>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Small Multidrug Resistance Family</w:t>
      </w:r>
      <w:r w:rsidRPr="00904AEA">
        <w:rPr>
          <w:rFonts w:ascii="Times New Roman" w:hAnsi="Times New Roman" w:cs="Times New Roman"/>
          <w:sz w:val="24"/>
          <w:szCs w:val="24"/>
        </w:rPr>
        <w:t>: Transports lipophilic drugs and quaternary ammonium compounds.</w:t>
      </w:r>
    </w:p>
    <w:p w14:paraId="36BE4846" w14:textId="77777777" w:rsidR="00733DC0" w:rsidRPr="00904AEA" w:rsidRDefault="00733DC0" w:rsidP="00733DC0">
      <w:pPr>
        <w:numPr>
          <w:ilvl w:val="0"/>
          <w:numId w:val="2"/>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Proteobacterial Antimicrobial Compound Efflux Family</w:t>
      </w:r>
      <w:r w:rsidRPr="00904AEA">
        <w:rPr>
          <w:rFonts w:ascii="Times New Roman" w:hAnsi="Times New Roman" w:cs="Times New Roman"/>
          <w:sz w:val="24"/>
          <w:szCs w:val="24"/>
        </w:rPr>
        <w:t>: Recently identified, involved in exporting antimicrobial compounds.</w:t>
      </w:r>
    </w:p>
    <w:p w14:paraId="3CE76CB0"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In addition to conferring antibiotic resistance, efflux pumps are involved in bacterial pathogenicity, biofilm formation, and stress-induced survival. To increase the effectiveness of already available antibiotics, methods to block these pumps are being investigated</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Gaurav et al., 2023)</w:t>
      </w:r>
      <w:r w:rsidRPr="00904AEA">
        <w:rPr>
          <w:rFonts w:ascii="Times New Roman" w:hAnsi="Times New Roman" w:cs="Times New Roman"/>
          <w:sz w:val="24"/>
          <w:szCs w:val="24"/>
        </w:rPr>
        <w:t>.</w:t>
      </w:r>
    </w:p>
    <w:p w14:paraId="15416BD0"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Altered Permeability</w:t>
      </w:r>
    </w:p>
    <w:p w14:paraId="09D1D62B" w14:textId="77777777" w:rsidR="00733DC0" w:rsidRPr="00904AEA" w:rsidRDefault="00733DC0" w:rsidP="002F1E8D">
      <w:pPr>
        <w:spacing w:line="360" w:lineRule="auto"/>
        <w:ind w:firstLine="720"/>
        <w:jc w:val="both"/>
        <w:rPr>
          <w:rFonts w:ascii="Times New Roman" w:hAnsi="Times New Roman" w:cs="Times New Roman"/>
          <w:sz w:val="24"/>
          <w:szCs w:val="24"/>
          <w:vertAlign w:val="superscript"/>
        </w:rPr>
      </w:pPr>
      <w:r w:rsidRPr="00904AEA">
        <w:rPr>
          <w:rFonts w:ascii="Times New Roman" w:hAnsi="Times New Roman" w:cs="Times New Roman"/>
          <w:sz w:val="24"/>
          <w:szCs w:val="24"/>
        </w:rPr>
        <w:t xml:space="preserve">Bacteria can decrease antibiotic uptake by modifying the expression or function of porin channels in their outer membranes, leading to reduced permeability. For instance, in </w:t>
      </w:r>
      <w:r w:rsidRPr="00904AEA">
        <w:rPr>
          <w:rFonts w:ascii="Times New Roman" w:hAnsi="Times New Roman" w:cs="Times New Roman"/>
          <w:i/>
          <w:iCs/>
          <w:sz w:val="24"/>
          <w:szCs w:val="24"/>
        </w:rPr>
        <w:t>Pseudomonas aeruginosa</w:t>
      </w:r>
      <w:r w:rsidRPr="00904AEA">
        <w:rPr>
          <w:rFonts w:ascii="Times New Roman" w:hAnsi="Times New Roman" w:cs="Times New Roman"/>
          <w:sz w:val="24"/>
          <w:szCs w:val="24"/>
        </w:rPr>
        <w:t xml:space="preserve">, downregulation of OprDporin is associated with cardbapenem </w:t>
      </w:r>
      <w:r w:rsidRPr="00904AEA">
        <w:rPr>
          <w:rFonts w:ascii="Times New Roman" w:hAnsi="Times New Roman" w:cs="Times New Roman"/>
          <w:sz w:val="24"/>
          <w:szCs w:val="24"/>
        </w:rPr>
        <w:lastRenderedPageBreak/>
        <w:t>resistance. Understanding the regulatory networks controlling porin expression is crucial for developing therapeutic strategies against multidrug-resistant strains</w:t>
      </w:r>
      <w:r w:rsidR="00B7634F" w:rsidRPr="00904AEA">
        <w:rPr>
          <w:rFonts w:ascii="Times New Roman" w:hAnsi="Times New Roman" w:cs="Times New Roman"/>
          <w:sz w:val="24"/>
          <w:szCs w:val="24"/>
        </w:rPr>
        <w:t xml:space="preserve"> (</w:t>
      </w:r>
      <w:r w:rsidR="00B7634F" w:rsidRPr="00904AEA">
        <w:rPr>
          <w:rFonts w:ascii="Times New Roman" w:eastAsia="Times New Roman" w:hAnsi="Times New Roman" w:cs="Times New Roman"/>
          <w:sz w:val="24"/>
          <w:szCs w:val="24"/>
        </w:rPr>
        <w:t>Wu et al., 2024)</w:t>
      </w:r>
      <w:r w:rsidRPr="00904AEA">
        <w:rPr>
          <w:rFonts w:ascii="Times New Roman" w:hAnsi="Times New Roman" w:cs="Times New Roman"/>
          <w:sz w:val="24"/>
          <w:szCs w:val="24"/>
        </w:rPr>
        <w:t>.</w:t>
      </w:r>
    </w:p>
    <w:p w14:paraId="5211EDA9"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 xml:space="preserve">Horizontal Gene Transfer </w:t>
      </w:r>
    </w:p>
    <w:p w14:paraId="14D75586" w14:textId="77777777" w:rsidR="00733DC0" w:rsidRPr="00904AEA" w:rsidRDefault="00733DC0" w:rsidP="002F1E8D">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By means of transformation, transduction, and conjugation, HGT allows bacteria to obtain resistance genes from other bacteria.  Resistance characteristics can spread quickly among many species and settings thanks to this approach. Mobile genetic elements like integrons, transposons, and plasmids facilitate gene transfer, contributing to the spread of drug-resistant diseases</w:t>
      </w:r>
      <w:r w:rsidR="00B7634F" w:rsidRPr="00904AEA">
        <w:rPr>
          <w:rFonts w:ascii="Times New Roman" w:hAnsi="Times New Roman" w:cs="Times New Roman"/>
          <w:sz w:val="24"/>
          <w:szCs w:val="24"/>
        </w:rPr>
        <w:t xml:space="preserve"> (</w:t>
      </w:r>
      <w:r w:rsidR="00B7634F" w:rsidRPr="00904AEA">
        <w:rPr>
          <w:rFonts w:ascii="Times New Roman" w:eastAsia="Times New Roman" w:hAnsi="Times New Roman" w:cs="Times New Roman"/>
          <w:sz w:val="24"/>
          <w:szCs w:val="24"/>
        </w:rPr>
        <w:t>Seukep et al., 2022)</w:t>
      </w:r>
      <w:r w:rsidRPr="00904AEA">
        <w:rPr>
          <w:rFonts w:ascii="Times New Roman" w:hAnsi="Times New Roman" w:cs="Times New Roman"/>
          <w:sz w:val="24"/>
          <w:szCs w:val="24"/>
        </w:rPr>
        <w:t>.</w:t>
      </w:r>
    </w:p>
    <w:p w14:paraId="23F8A317" w14:textId="77777777" w:rsidR="00733DC0" w:rsidRPr="00904AEA" w:rsidRDefault="00733DC0" w:rsidP="00733DC0">
      <w:pPr>
        <w:spacing w:line="360" w:lineRule="auto"/>
        <w:jc w:val="both"/>
        <w:rPr>
          <w:rFonts w:ascii="Times New Roman" w:hAnsi="Times New Roman" w:cs="Times New Roman"/>
          <w:b/>
          <w:bCs/>
          <w:sz w:val="24"/>
          <w:szCs w:val="24"/>
        </w:rPr>
      </w:pPr>
      <w:commentRangeStart w:id="0"/>
      <w:r w:rsidRPr="00904AEA">
        <w:rPr>
          <w:rFonts w:ascii="Times New Roman" w:hAnsi="Times New Roman" w:cs="Times New Roman"/>
          <w:b/>
          <w:bCs/>
          <w:sz w:val="24"/>
          <w:szCs w:val="24"/>
        </w:rPr>
        <w:t>Drivers of Antimicrobial Resistance</w:t>
      </w:r>
    </w:p>
    <w:p w14:paraId="14955FAE"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Overuse and Misuse of Antibiotics</w:t>
      </w:r>
    </w:p>
    <w:p w14:paraId="41846423"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Clinical Misuse</w:t>
      </w:r>
      <w:commentRangeEnd w:id="0"/>
      <w:r w:rsidR="006B4BC1">
        <w:rPr>
          <w:rStyle w:val="CommentReference"/>
        </w:rPr>
        <w:commentReference w:id="0"/>
      </w:r>
    </w:p>
    <w:p w14:paraId="0F0268F6" w14:textId="77777777" w:rsidR="00733DC0" w:rsidRPr="00904AEA" w:rsidRDefault="00733DC0" w:rsidP="00FF71ED">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Antibiotic resistance in clinical settings is mostly caused by self-medication, improper prescribing practices, and noncompliance with prescribed antibiotic courses.  When antibiotics don't work for viral diseases like the common cold, doctors will sometimes prescribe them.  In addition to not helping the patient, this overuse encourages the growth of bacterial strains that are resistant. Additionally, patients who do not adhere to the prescribed antibiotic regimen may inadvertently encourage the survival of partially resistant bacteria, f</w:t>
      </w:r>
      <w:r w:rsidR="0046301F" w:rsidRPr="00904AEA">
        <w:rPr>
          <w:rFonts w:ascii="Times New Roman" w:hAnsi="Times New Roman" w:cs="Times New Roman"/>
          <w:sz w:val="24"/>
          <w:szCs w:val="24"/>
        </w:rPr>
        <w:t>urther exacerbating the problem</w:t>
      </w:r>
      <w:r w:rsidRPr="00904AEA">
        <w:rPr>
          <w:rFonts w:ascii="Times New Roman" w:hAnsi="Times New Roman" w:cs="Times New Roman"/>
          <w:sz w:val="24"/>
          <w:szCs w:val="24"/>
        </w:rPr>
        <w:t>.</w:t>
      </w:r>
    </w:p>
    <w:p w14:paraId="6A815B77"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Agricultural Use</w:t>
      </w:r>
    </w:p>
    <w:p w14:paraId="7F9EC39C" w14:textId="77777777" w:rsidR="001F5CDC" w:rsidRPr="00904AEA" w:rsidRDefault="00733DC0" w:rsidP="001F5CDC">
      <w:pPr>
        <w:spacing w:line="360" w:lineRule="auto"/>
        <w:ind w:firstLine="360"/>
        <w:jc w:val="both"/>
        <w:rPr>
          <w:rFonts w:ascii="Times New Roman" w:hAnsi="Times New Roman" w:cs="Times New Roman"/>
          <w:sz w:val="24"/>
          <w:szCs w:val="24"/>
        </w:rPr>
      </w:pPr>
      <w:r w:rsidRPr="00904AEA">
        <w:rPr>
          <w:rFonts w:ascii="Times New Roman" w:hAnsi="Times New Roman" w:cs="Times New Roman"/>
          <w:sz w:val="24"/>
          <w:szCs w:val="24"/>
        </w:rPr>
        <w:t>The use of antibiotics in cattle to encourage growth and prevent disease is primarily responsible for the emergence of antibiotic-resistant bacteria. In some countries, antibiotics are administered to animals in sub-therapeutic concentrations without a diagnosis of disease, aiming to stimulate growth. This practice can eliminate susceptible bacteria, leaving behind those that are naturally resistant. These resistant bacteria can then spread to humans through various pathways, including environmental exposure and the consumption of animal products, thereby diminishing the effectiveness of antibiotics in human medicine</w:t>
      </w:r>
      <w:r w:rsidR="00B7634F" w:rsidRPr="00904AEA">
        <w:rPr>
          <w:rFonts w:ascii="Times New Roman" w:hAnsi="Times New Roman" w:cs="Times New Roman"/>
          <w:sz w:val="24"/>
          <w:szCs w:val="24"/>
        </w:rPr>
        <w:t xml:space="preserve"> (Wang et al., 2024)</w:t>
      </w:r>
      <w:r w:rsidRPr="00904AEA">
        <w:rPr>
          <w:rFonts w:ascii="Times New Roman" w:hAnsi="Times New Roman" w:cs="Times New Roman"/>
          <w:sz w:val="24"/>
          <w:szCs w:val="24"/>
        </w:rPr>
        <w:t xml:space="preserve">. </w:t>
      </w:r>
    </w:p>
    <w:p w14:paraId="08C340A5" w14:textId="77777777" w:rsidR="00733DC0" w:rsidRPr="00904AEA" w:rsidRDefault="00733DC0" w:rsidP="001F5CDC">
      <w:pPr>
        <w:spacing w:line="360" w:lineRule="auto"/>
        <w:jc w:val="both"/>
        <w:rPr>
          <w:rFonts w:ascii="Times New Roman" w:hAnsi="Times New Roman" w:cs="Times New Roman"/>
          <w:sz w:val="24"/>
          <w:szCs w:val="24"/>
        </w:rPr>
      </w:pPr>
      <w:r w:rsidRPr="00904AEA">
        <w:rPr>
          <w:rFonts w:ascii="Times New Roman" w:hAnsi="Times New Roman" w:cs="Times New Roman"/>
          <w:b/>
          <w:bCs/>
        </w:rPr>
        <w:t xml:space="preserve">Horizontal Gene Transfer </w:t>
      </w:r>
    </w:p>
    <w:p w14:paraId="4593AEEA" w14:textId="77777777" w:rsidR="00733DC0" w:rsidRPr="00904AEA" w:rsidRDefault="00733DC0" w:rsidP="001F5CDC">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lastRenderedPageBreak/>
        <w:t>A crucial process by which bacteria obtain genetic material from other organisms without going via the conventional parent-to-offspring inheritance chain is called horizontal gene transfer.  Both the quick spread of antibiotic resistance genes and bacterial adaptability are greatly aided by this process.  HGT is facilitated by three main mobile genetic elements: integrons, transposons, and plasmids.</w:t>
      </w:r>
    </w:p>
    <w:p w14:paraId="4DAA30F5" w14:textId="77777777" w:rsidR="00733DC0" w:rsidRPr="00904AEA" w:rsidRDefault="00DE7C34" w:rsidP="00DE7C34">
      <w:pPr>
        <w:spacing w:line="360" w:lineRule="auto"/>
        <w:jc w:val="center"/>
        <w:rPr>
          <w:rFonts w:ascii="Times New Roman" w:hAnsi="Times New Roman" w:cs="Times New Roman"/>
          <w:sz w:val="24"/>
          <w:szCs w:val="24"/>
        </w:rPr>
      </w:pPr>
      <w:r w:rsidRPr="00904AEA">
        <w:rPr>
          <w:rFonts w:ascii="Times New Roman" w:hAnsi="Times New Roman" w:cs="Times New Roman"/>
          <w:noProof/>
          <w:sz w:val="24"/>
          <w:szCs w:val="24"/>
          <w:lang w:val="en-IN" w:eastAsia="en-IN"/>
        </w:rPr>
        <w:drawing>
          <wp:inline distT="0" distB="0" distL="0" distR="0" wp14:anchorId="53E122D6" wp14:editId="7F025FE1">
            <wp:extent cx="4650740" cy="31064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4650740" cy="3106420"/>
                    </a:xfrm>
                    <a:prstGeom prst="rect">
                      <a:avLst/>
                    </a:prstGeom>
                    <a:noFill/>
                    <a:ln w="9525">
                      <a:noFill/>
                      <a:miter lim="800000"/>
                      <a:headEnd/>
                      <a:tailEnd/>
                    </a:ln>
                  </pic:spPr>
                </pic:pic>
              </a:graphicData>
            </a:graphic>
          </wp:inline>
        </w:drawing>
      </w:r>
    </w:p>
    <w:p w14:paraId="1524FAB4" w14:textId="77777777" w:rsidR="00733DC0" w:rsidRPr="00904AEA" w:rsidRDefault="00733DC0" w:rsidP="00733DC0">
      <w:pPr>
        <w:spacing w:line="360" w:lineRule="auto"/>
        <w:jc w:val="center"/>
        <w:rPr>
          <w:rFonts w:ascii="Times New Roman" w:hAnsi="Times New Roman" w:cs="Times New Roman"/>
          <w:b/>
          <w:bCs/>
          <w:sz w:val="24"/>
          <w:szCs w:val="24"/>
        </w:rPr>
      </w:pPr>
      <w:r w:rsidRPr="00904AEA">
        <w:rPr>
          <w:rFonts w:ascii="Times New Roman" w:hAnsi="Times New Roman" w:cs="Times New Roman"/>
          <w:b/>
          <w:bCs/>
          <w:sz w:val="24"/>
          <w:szCs w:val="24"/>
        </w:rPr>
        <w:t>Fig-2: Horizontal Gene Transfer</w:t>
      </w:r>
      <w:r w:rsidR="00B04AC4" w:rsidRPr="00904AEA">
        <w:rPr>
          <w:rFonts w:ascii="Times New Roman" w:hAnsi="Times New Roman" w:cs="Times New Roman"/>
          <w:b/>
          <w:bCs/>
          <w:sz w:val="24"/>
          <w:szCs w:val="24"/>
        </w:rPr>
        <w:t xml:space="preserve"> (Source: Wang et al.</w:t>
      </w:r>
      <w:r w:rsidR="00B7634F" w:rsidRPr="00904AEA">
        <w:rPr>
          <w:rFonts w:ascii="Times New Roman" w:hAnsi="Times New Roman" w:cs="Times New Roman"/>
          <w:b/>
          <w:bCs/>
          <w:sz w:val="24"/>
          <w:szCs w:val="24"/>
        </w:rPr>
        <w:t>, 2024</w:t>
      </w:r>
      <w:r w:rsidR="006448E7" w:rsidRPr="00904AEA">
        <w:rPr>
          <w:rFonts w:ascii="Times New Roman" w:hAnsi="Times New Roman" w:cs="Times New Roman"/>
          <w:b/>
          <w:bCs/>
          <w:sz w:val="24"/>
          <w:szCs w:val="24"/>
        </w:rPr>
        <w:t>)</w:t>
      </w:r>
      <w:r w:rsidR="00B04AC4" w:rsidRPr="00904AEA">
        <w:rPr>
          <w:rFonts w:ascii="Times New Roman" w:hAnsi="Times New Roman" w:cs="Times New Roman"/>
          <w:b/>
          <w:bCs/>
          <w:sz w:val="24"/>
          <w:szCs w:val="24"/>
        </w:rPr>
        <w:t xml:space="preserve"> </w:t>
      </w:r>
    </w:p>
    <w:p w14:paraId="46B27ABF" w14:textId="77777777" w:rsidR="00733DC0" w:rsidRPr="00904AEA" w:rsidRDefault="00733DC0" w:rsidP="00733DC0">
      <w:pPr>
        <w:pStyle w:val="ListParagraph"/>
        <w:spacing w:line="360" w:lineRule="auto"/>
        <w:ind w:left="360"/>
        <w:jc w:val="both"/>
        <w:rPr>
          <w:rFonts w:ascii="Times New Roman" w:hAnsi="Times New Roman" w:cs="Times New Roman"/>
          <w:b/>
          <w:bCs/>
        </w:rPr>
      </w:pPr>
      <w:r w:rsidRPr="00904AEA">
        <w:rPr>
          <w:rFonts w:ascii="Times New Roman" w:hAnsi="Times New Roman" w:cs="Times New Roman"/>
          <w:b/>
          <w:bCs/>
        </w:rPr>
        <w:t>Plasmids</w:t>
      </w:r>
    </w:p>
    <w:p w14:paraId="481BC36F" w14:textId="77777777" w:rsidR="00733DC0" w:rsidRPr="00904AEA" w:rsidRDefault="00733DC0" w:rsidP="00A05596">
      <w:pPr>
        <w:pStyle w:val="ListParagraph"/>
        <w:spacing w:line="360" w:lineRule="auto"/>
        <w:ind w:left="360" w:firstLine="360"/>
        <w:jc w:val="both"/>
        <w:rPr>
          <w:rFonts w:ascii="Times New Roman" w:hAnsi="Times New Roman" w:cs="Times New Roman"/>
        </w:rPr>
      </w:pPr>
      <w:r w:rsidRPr="00904AEA">
        <w:rPr>
          <w:rFonts w:ascii="Times New Roman" w:hAnsi="Times New Roman" w:cs="Times New Roman"/>
        </w:rPr>
        <w:t>Plasmids are autonomous, circular DNA molecules distinct from the bacterial chromosome. They often carry genes beneficial for bacterial survival under selective pressures, such as antibiotic resistance genes. Through conjugation—a process where two bacteria form a direct connection—plasmids can transfer between cells, spreading resistance traits across diverse bacterial populations. This mechanism has been implicated in the emergence of multidrug-resistant strains, particularly within the Enterobacteriaceae family. The global dissemination of multidrug-resistant plasmids is exacerbated by the selective pressure exerted by widespread antibiotic use in both clinical and agricultural settings</w:t>
      </w:r>
      <w:r w:rsidR="00B7634F" w:rsidRPr="00904AEA">
        <w:rPr>
          <w:rFonts w:ascii="Times New Roman" w:hAnsi="Times New Roman" w:cs="Times New Roman"/>
        </w:rPr>
        <w:t xml:space="preserve"> (</w:t>
      </w:r>
      <w:r w:rsidR="006B15C1" w:rsidRPr="00904AEA">
        <w:rPr>
          <w:rFonts w:ascii="Times New Roman" w:eastAsia="Times New Roman" w:hAnsi="Times New Roman" w:cs="Times New Roman"/>
        </w:rPr>
        <w:t>Zhou et al., 2024)</w:t>
      </w:r>
      <w:r w:rsidRPr="00904AEA">
        <w:rPr>
          <w:rFonts w:ascii="Times New Roman" w:hAnsi="Times New Roman" w:cs="Times New Roman"/>
        </w:rPr>
        <w:t>.</w:t>
      </w:r>
    </w:p>
    <w:p w14:paraId="6C254F31" w14:textId="77777777" w:rsidR="00733DC0" w:rsidRPr="00904AEA" w:rsidRDefault="00733DC0" w:rsidP="00733DC0">
      <w:pPr>
        <w:pStyle w:val="ListParagraph"/>
        <w:spacing w:line="360" w:lineRule="auto"/>
        <w:ind w:left="360"/>
        <w:jc w:val="both"/>
        <w:rPr>
          <w:rFonts w:ascii="Times New Roman" w:hAnsi="Times New Roman" w:cs="Times New Roman"/>
          <w:b/>
          <w:bCs/>
        </w:rPr>
      </w:pPr>
      <w:r w:rsidRPr="00904AEA">
        <w:rPr>
          <w:rFonts w:ascii="Times New Roman" w:hAnsi="Times New Roman" w:cs="Times New Roman"/>
          <w:b/>
          <w:bCs/>
        </w:rPr>
        <w:t>Transposons</w:t>
      </w:r>
    </w:p>
    <w:p w14:paraId="6E5BEAC8" w14:textId="77777777" w:rsidR="00733DC0" w:rsidRPr="00904AEA" w:rsidRDefault="00733DC0" w:rsidP="00A05596">
      <w:pPr>
        <w:pStyle w:val="ListParagraph"/>
        <w:spacing w:line="360" w:lineRule="auto"/>
        <w:ind w:left="360" w:firstLine="360"/>
        <w:jc w:val="both"/>
        <w:rPr>
          <w:rFonts w:ascii="Times New Roman" w:hAnsi="Times New Roman" w:cs="Times New Roman"/>
        </w:rPr>
      </w:pPr>
      <w:r w:rsidRPr="00904AEA">
        <w:rPr>
          <w:rFonts w:ascii="Times New Roman" w:hAnsi="Times New Roman" w:cs="Times New Roman"/>
        </w:rPr>
        <w:lastRenderedPageBreak/>
        <w:t>Transposons, or "jumping genes," are DNA sequences capable of moving from one genomic location to another, either within the same organism or between different organisms. They can carry antibiotic resistance genes and integrate into plasmids or chromosomal DNA, facilitating their spread. A notable example is the Tn7 transposon, which has evolved to utilize minimal CRISPR systems for RNA-guided transposition. These CRISPR-associated transposons (CASTs) lack traditional interference mechanisms but possess specialized machinery that complexes with CRISPR RNA and associated Cas proteins to mediate transposition. CASTs have been identified across various bacterial species and are implicated in the horizontal transfer of antibiotic resistance genes, thereby enhancing bacterial adaptability</w:t>
      </w:r>
      <w:r w:rsidR="006B15C1" w:rsidRPr="00904AEA">
        <w:rPr>
          <w:rFonts w:ascii="Times New Roman" w:hAnsi="Times New Roman" w:cs="Times New Roman"/>
        </w:rPr>
        <w:t xml:space="preserve"> (</w:t>
      </w:r>
      <w:r w:rsidR="006B15C1" w:rsidRPr="00904AEA">
        <w:rPr>
          <w:rFonts w:ascii="Times New Roman" w:eastAsia="Times New Roman" w:hAnsi="Times New Roman" w:cs="Times New Roman"/>
        </w:rPr>
        <w:t>Rybarski et al., 2021)</w:t>
      </w:r>
      <w:r w:rsidRPr="00904AEA">
        <w:rPr>
          <w:rFonts w:ascii="Times New Roman" w:hAnsi="Times New Roman" w:cs="Times New Roman"/>
        </w:rPr>
        <w:t xml:space="preserve">. </w:t>
      </w:r>
    </w:p>
    <w:p w14:paraId="574AEEB8" w14:textId="77777777" w:rsidR="00733DC0" w:rsidRPr="00904AEA" w:rsidRDefault="00733DC0" w:rsidP="00733DC0">
      <w:pPr>
        <w:pStyle w:val="ListParagraph"/>
        <w:spacing w:line="360" w:lineRule="auto"/>
        <w:ind w:left="360"/>
        <w:jc w:val="both"/>
        <w:rPr>
          <w:rFonts w:ascii="Times New Roman" w:hAnsi="Times New Roman" w:cs="Times New Roman"/>
          <w:b/>
          <w:bCs/>
        </w:rPr>
      </w:pPr>
      <w:r w:rsidRPr="00904AEA">
        <w:rPr>
          <w:rFonts w:ascii="Times New Roman" w:hAnsi="Times New Roman" w:cs="Times New Roman"/>
          <w:b/>
          <w:bCs/>
        </w:rPr>
        <w:t>Integrons</w:t>
      </w:r>
    </w:p>
    <w:p w14:paraId="70B4F09E" w14:textId="77777777" w:rsidR="00733DC0" w:rsidRPr="00904AEA" w:rsidRDefault="00733DC0" w:rsidP="00A05596">
      <w:pPr>
        <w:pStyle w:val="ListParagraph"/>
        <w:spacing w:line="360" w:lineRule="auto"/>
        <w:ind w:left="360" w:firstLine="360"/>
        <w:jc w:val="both"/>
        <w:rPr>
          <w:rFonts w:ascii="Times New Roman" w:hAnsi="Times New Roman" w:cs="Times New Roman"/>
        </w:rPr>
      </w:pPr>
      <w:r w:rsidRPr="00904AEA">
        <w:rPr>
          <w:rFonts w:ascii="Times New Roman" w:hAnsi="Times New Roman" w:cs="Times New Roman"/>
        </w:rPr>
        <w:t>Integrons are genetic platforms that capture and express gene cassettes, which are mobile genetic elements containing genes, often for antibiotic resistance. An integron comprises an integrase gene (intI), a recombination site (attI), and a promoter (Pc) that drives the expression of integrated gene cassettes. Through site-specific recombination, integrons incorporate gene cassettes, enabling bacteria to rapidly adapt to environmental challenges, including antibiotic exposure. Integrons are commonly associated with plasmids and transposons, facilitating the horizontal transfer of resistance genes among bacterial populations. Their ability to capture and express diverse gene cassettes underscores their role in the rapid evolution of antibiotic resistance</w:t>
      </w:r>
      <w:r w:rsidR="006B15C1" w:rsidRPr="00904AEA">
        <w:rPr>
          <w:rFonts w:ascii="Times New Roman" w:hAnsi="Times New Roman" w:cs="Times New Roman"/>
        </w:rPr>
        <w:t xml:space="preserve"> (</w:t>
      </w:r>
      <w:r w:rsidR="006B15C1" w:rsidRPr="00904AEA">
        <w:rPr>
          <w:rFonts w:ascii="Times New Roman" w:eastAsia="Times New Roman" w:hAnsi="Times New Roman" w:cs="Times New Roman"/>
        </w:rPr>
        <w:t>Mazel 2006)</w:t>
      </w:r>
      <w:r w:rsidRPr="00904AEA">
        <w:rPr>
          <w:rFonts w:ascii="Times New Roman" w:hAnsi="Times New Roman" w:cs="Times New Roman"/>
        </w:rPr>
        <w:t>.</w:t>
      </w:r>
    </w:p>
    <w:p w14:paraId="687FCD30" w14:textId="77777777" w:rsidR="00733DC0" w:rsidRPr="00904AEA" w:rsidRDefault="00733DC0" w:rsidP="00733DC0">
      <w:pPr>
        <w:pStyle w:val="ListParagraph"/>
        <w:spacing w:line="360" w:lineRule="auto"/>
        <w:ind w:left="360"/>
        <w:jc w:val="both"/>
        <w:rPr>
          <w:rFonts w:ascii="Times New Roman" w:hAnsi="Times New Roman" w:cs="Times New Roman"/>
          <w:b/>
          <w:bCs/>
        </w:rPr>
      </w:pPr>
      <w:r w:rsidRPr="00904AEA">
        <w:rPr>
          <w:rFonts w:ascii="Times New Roman" w:hAnsi="Times New Roman" w:cs="Times New Roman"/>
          <w:b/>
          <w:bCs/>
        </w:rPr>
        <w:t>Implications for Antibiotic Resistance</w:t>
      </w:r>
    </w:p>
    <w:p w14:paraId="09EFAAF1" w14:textId="77777777" w:rsidR="00733DC0" w:rsidRPr="00904AEA" w:rsidRDefault="00733DC0" w:rsidP="00A05596">
      <w:pPr>
        <w:pStyle w:val="ListParagraph"/>
        <w:spacing w:line="360" w:lineRule="auto"/>
        <w:ind w:left="360" w:firstLine="360"/>
        <w:jc w:val="both"/>
        <w:rPr>
          <w:rFonts w:ascii="Times New Roman" w:hAnsi="Times New Roman" w:cs="Times New Roman"/>
        </w:rPr>
      </w:pPr>
      <w:r w:rsidRPr="00904AEA">
        <w:rPr>
          <w:rFonts w:ascii="Times New Roman" w:hAnsi="Times New Roman" w:cs="Times New Roman"/>
        </w:rPr>
        <w:t>The interplay between plasmids, transposons, and integrons accelerates the spread of antibiotic resistance among bacterial communities. For instance, integrons can capture resistance genes and, when located on plasmids or transposons, can disseminate these genes across different bacterial species through HGT. This genetic exchange leads to the emergence of multidrug-resistant pathogens, complicating treatment strategies and posing significant public health challenges. Understanding the mechanisms underlying HGT and the roles of these mobile genetic elements is crucial for developing interventions to curb the spread of antibiotic resistance</w:t>
      </w:r>
      <w:r w:rsidR="006B15C1" w:rsidRPr="00904AEA">
        <w:rPr>
          <w:rFonts w:ascii="Times New Roman" w:hAnsi="Times New Roman" w:cs="Times New Roman"/>
        </w:rPr>
        <w:t xml:space="preserve"> (</w:t>
      </w:r>
      <w:r w:rsidR="006B15C1" w:rsidRPr="00904AEA">
        <w:rPr>
          <w:rFonts w:ascii="Times New Roman" w:eastAsia="Times New Roman" w:hAnsi="Times New Roman" w:cs="Times New Roman"/>
        </w:rPr>
        <w:t>Partridge et al., 2018)</w:t>
      </w:r>
      <w:r w:rsidRPr="00904AEA">
        <w:rPr>
          <w:rFonts w:ascii="Times New Roman" w:hAnsi="Times New Roman" w:cs="Times New Roman"/>
        </w:rPr>
        <w:t>.</w:t>
      </w:r>
      <w:r w:rsidR="00C03FA6" w:rsidRPr="00904AEA">
        <w:rPr>
          <w:rFonts w:ascii="Times New Roman" w:hAnsi="Times New Roman" w:cs="Times New Roman"/>
          <w:vertAlign w:val="superscript"/>
        </w:rPr>
        <w:t xml:space="preserve"> </w:t>
      </w:r>
    </w:p>
    <w:p w14:paraId="4A7DA6BB" w14:textId="77777777" w:rsidR="00733DC0" w:rsidRPr="00904AEA" w:rsidRDefault="00733DC0" w:rsidP="00733DC0">
      <w:pPr>
        <w:pStyle w:val="ListParagraph"/>
        <w:spacing w:line="360" w:lineRule="auto"/>
        <w:ind w:left="360"/>
        <w:jc w:val="both"/>
        <w:rPr>
          <w:rFonts w:ascii="Times New Roman" w:hAnsi="Times New Roman" w:cs="Times New Roman"/>
          <w:b/>
          <w:bCs/>
        </w:rPr>
      </w:pPr>
      <w:r w:rsidRPr="00904AEA">
        <w:rPr>
          <w:rFonts w:ascii="Times New Roman" w:hAnsi="Times New Roman" w:cs="Times New Roman"/>
          <w:b/>
          <w:bCs/>
        </w:rPr>
        <w:t>Recent Advances and Future Directions</w:t>
      </w:r>
    </w:p>
    <w:p w14:paraId="51724334" w14:textId="77777777" w:rsidR="00733DC0" w:rsidRPr="00904AEA" w:rsidRDefault="00733DC0" w:rsidP="00A05596">
      <w:pPr>
        <w:pStyle w:val="ListParagraph"/>
        <w:spacing w:line="360" w:lineRule="auto"/>
        <w:ind w:left="360" w:firstLine="360"/>
        <w:jc w:val="both"/>
        <w:rPr>
          <w:rFonts w:ascii="Times New Roman" w:hAnsi="Times New Roman" w:cs="Times New Roman"/>
        </w:rPr>
      </w:pPr>
      <w:r w:rsidRPr="00904AEA">
        <w:rPr>
          <w:rFonts w:ascii="Times New Roman" w:hAnsi="Times New Roman" w:cs="Times New Roman"/>
        </w:rPr>
        <w:lastRenderedPageBreak/>
        <w:t>Recent studies have shed light on the structural and functional dynamics of these mobile genetic elements. For example, the discovery of CRISPR-associated transposons has opened new avenues for understanding bacterial genome evolution and developing novel genetic engineering tools. Ongoing research aims to elucidate the regulatory mechanisms governing integron activity and the environmental factors influencing HGT. Such insights are essential for devising strategies to mitigate the dissemination of antibiotic resistance genes and combat the global threat of antibiotic-resistant infections</w:t>
      </w:r>
      <w:r w:rsidR="006B15C1" w:rsidRPr="00904AEA">
        <w:rPr>
          <w:rFonts w:ascii="Times New Roman" w:hAnsi="Times New Roman" w:cs="Times New Roman"/>
        </w:rPr>
        <w:t xml:space="preserve"> (</w:t>
      </w:r>
      <w:r w:rsidR="006B15C1" w:rsidRPr="00904AEA">
        <w:rPr>
          <w:rFonts w:ascii="Times New Roman" w:eastAsia="Times New Roman" w:hAnsi="Times New Roman" w:cs="Times New Roman"/>
        </w:rPr>
        <w:t>Faure et al., 2019)</w:t>
      </w:r>
      <w:r w:rsidRPr="00904AEA">
        <w:rPr>
          <w:rFonts w:ascii="Times New Roman" w:hAnsi="Times New Roman" w:cs="Times New Roman"/>
        </w:rPr>
        <w:t>.</w:t>
      </w:r>
    </w:p>
    <w:p w14:paraId="2788F19E"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Environmental and Socioeconomic Factors</w:t>
      </w:r>
    </w:p>
    <w:p w14:paraId="4BA9F810" w14:textId="77777777" w:rsidR="00733DC0" w:rsidRPr="00904AEA" w:rsidRDefault="00733DC0" w:rsidP="00A05596">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Environmental and socioeconomic factors play pivotal roles in the proliferation of antibiotic-resistant bacteria. Two significant contributors are:</w:t>
      </w:r>
    </w:p>
    <w:p w14:paraId="529E6A75"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Wastewater and Pharmaceutical Pollution</w:t>
      </w:r>
    </w:p>
    <w:p w14:paraId="2266F2E2" w14:textId="77777777" w:rsidR="00D6389C" w:rsidRPr="00904AEA" w:rsidRDefault="00733DC0" w:rsidP="00D6389C">
      <w:pPr>
        <w:spacing w:line="360" w:lineRule="auto"/>
        <w:ind w:firstLine="720"/>
        <w:jc w:val="both"/>
        <w:rPr>
          <w:rFonts w:ascii="Times New Roman" w:hAnsi="Times New Roman" w:cs="Times New Roman"/>
          <w:sz w:val="24"/>
          <w:szCs w:val="24"/>
          <w:vertAlign w:val="superscript"/>
        </w:rPr>
      </w:pPr>
      <w:r w:rsidRPr="00904AEA">
        <w:rPr>
          <w:rFonts w:ascii="Times New Roman" w:hAnsi="Times New Roman" w:cs="Times New Roman"/>
          <w:sz w:val="24"/>
          <w:szCs w:val="24"/>
        </w:rPr>
        <w:t>Effluents from healthcare facilities and pharmaceutical industries often contain antibiotics and other pharmaceutical compounds that are not entirely removed by conventional wastewater treatment processes.Recent studies have highlighted the presence of various pharmaceuticals, including antibiotics, in rivers within national parks, indicating that even seemingly pristine environments are affected by such pollution. This contamination poses risks to aquatic ecosystems and human health, particularly by fostering antimicrobial resistance (AMR)</w:t>
      </w:r>
      <w:r w:rsidR="006B15C1" w:rsidRPr="00904AEA">
        <w:rPr>
          <w:rFonts w:ascii="Times New Roman" w:hAnsi="Times New Roman" w:cs="Times New Roman"/>
          <w:sz w:val="24"/>
          <w:szCs w:val="24"/>
        </w:rPr>
        <w:t xml:space="preserve"> (European Union</w:t>
      </w:r>
      <w:r w:rsidR="003A0039" w:rsidRPr="00904AEA">
        <w:rPr>
          <w:rFonts w:ascii="Times New Roman" w:hAnsi="Times New Roman" w:cs="Times New Roman"/>
          <w:sz w:val="24"/>
          <w:szCs w:val="24"/>
        </w:rPr>
        <w:t>,</w:t>
      </w:r>
      <w:r w:rsidR="006B15C1" w:rsidRPr="00904AEA">
        <w:rPr>
          <w:rFonts w:ascii="Times New Roman" w:hAnsi="Times New Roman" w:cs="Times New Roman"/>
          <w:sz w:val="24"/>
          <w:szCs w:val="24"/>
        </w:rPr>
        <w:t xml:space="preserve"> 2024)</w:t>
      </w:r>
      <w:r w:rsidRPr="00904AEA">
        <w:rPr>
          <w:rFonts w:ascii="Times New Roman" w:hAnsi="Times New Roman" w:cs="Times New Roman"/>
          <w:sz w:val="24"/>
          <w:szCs w:val="24"/>
        </w:rPr>
        <w:t>.</w:t>
      </w:r>
      <w:r w:rsidR="00D6389C" w:rsidRPr="00904AEA">
        <w:rPr>
          <w:rFonts w:ascii="Times New Roman" w:hAnsi="Times New Roman" w:cs="Times New Roman"/>
          <w:sz w:val="24"/>
          <w:szCs w:val="24"/>
          <w:vertAlign w:val="superscript"/>
        </w:rPr>
        <w:t xml:space="preserve"> </w:t>
      </w:r>
    </w:p>
    <w:p w14:paraId="62807C8D" w14:textId="77777777" w:rsidR="00D6389C" w:rsidRPr="00904AEA" w:rsidRDefault="00733DC0" w:rsidP="00D6389C">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In response to this issue, regulatory measures have been implemented to mitigate pharmaceutical pollution. This "quaternary treatment" process aims to eliminate micropollutants, including pharmaceutical residues, from wastewater before it is discharged into the environment. However, this directive has faced opposition from the affected industries, leading to potential legal challenges</w:t>
      </w:r>
      <w:r w:rsidR="006B15C1" w:rsidRPr="00904AEA">
        <w:rPr>
          <w:rFonts w:ascii="Times New Roman" w:hAnsi="Times New Roman" w:cs="Times New Roman"/>
          <w:sz w:val="24"/>
          <w:szCs w:val="24"/>
        </w:rPr>
        <w:t xml:space="preserve"> </w:t>
      </w:r>
      <w:r w:rsidR="00D6389C" w:rsidRPr="00904AEA">
        <w:rPr>
          <w:rFonts w:ascii="Times New Roman" w:hAnsi="Times New Roman" w:cs="Times New Roman"/>
          <w:sz w:val="24"/>
          <w:szCs w:val="24"/>
        </w:rPr>
        <w:t>(</w:t>
      </w:r>
      <w:r w:rsidR="00D6389C" w:rsidRPr="00904AEA">
        <w:rPr>
          <w:rFonts w:ascii="Times New Roman" w:eastAsia="Times New Roman" w:hAnsi="Times New Roman" w:cs="Times New Roman"/>
          <w:sz w:val="24"/>
          <w:szCs w:val="24"/>
          <w:lang w:val="en-IN" w:eastAsia="en-IN"/>
        </w:rPr>
        <w:t xml:space="preserve">Vijayaraghavan et al., 2021; Biji et al., 2016; Wu et al., 2020; </w:t>
      </w:r>
      <w:r w:rsidR="006B15C1" w:rsidRPr="00904AEA">
        <w:rPr>
          <w:rFonts w:ascii="Times New Roman" w:hAnsi="Times New Roman" w:cs="Times New Roman"/>
          <w:sz w:val="24"/>
          <w:szCs w:val="24"/>
        </w:rPr>
        <w:t>Farraj et al., 2</w:t>
      </w:r>
      <w:r w:rsidR="00D6389C" w:rsidRPr="00904AEA">
        <w:rPr>
          <w:rFonts w:ascii="Times New Roman" w:hAnsi="Times New Roman" w:cs="Times New Roman"/>
          <w:sz w:val="24"/>
          <w:szCs w:val="24"/>
        </w:rPr>
        <w:t xml:space="preserve">024; Rajaselvam et al., 2024). </w:t>
      </w:r>
    </w:p>
    <w:p w14:paraId="76370CC1"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Global Travel and Trade</w:t>
      </w:r>
    </w:p>
    <w:p w14:paraId="38F138A8" w14:textId="77777777" w:rsidR="00733DC0" w:rsidRPr="00904AEA" w:rsidRDefault="00733DC0" w:rsidP="008667D0">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 xml:space="preserve">The rapid movement of people and goods across the globe facilitates the spread of antibiotic-resistant pathogens. Recent research has revealed that pathogenic microbes, including those resistant to antibiotics, can travel vast distances through atmospheric pathways. For </w:t>
      </w:r>
      <w:r w:rsidRPr="00904AEA">
        <w:rPr>
          <w:rFonts w:ascii="Times New Roman" w:hAnsi="Times New Roman" w:cs="Times New Roman"/>
          <w:sz w:val="24"/>
          <w:szCs w:val="24"/>
        </w:rPr>
        <w:lastRenderedPageBreak/>
        <w:t xml:space="preserve">example, studies have shown that dust storms can carry viable bacteria and fungi over thousands of miles, potentially introducing resistant strains into new environments. This airborne transmission underscores the complexity of controlling the spread of antimicrobial resistance </w:t>
      </w:r>
      <w:r w:rsidR="00C10011" w:rsidRPr="00904AEA">
        <w:rPr>
          <w:rFonts w:ascii="Times New Roman" w:hAnsi="Times New Roman" w:cs="Times New Roman"/>
          <w:sz w:val="24"/>
          <w:szCs w:val="24"/>
        </w:rPr>
        <w:t>in the context of globalization</w:t>
      </w:r>
      <w:r w:rsidR="006B15C1" w:rsidRPr="00904AEA">
        <w:rPr>
          <w:rFonts w:ascii="Times New Roman" w:hAnsi="Times New Roman" w:cs="Times New Roman"/>
          <w:sz w:val="24"/>
          <w:szCs w:val="24"/>
        </w:rPr>
        <w:t xml:space="preserve"> (</w:t>
      </w:r>
      <w:r w:rsidR="006B15C1" w:rsidRPr="00904AEA">
        <w:rPr>
          <w:rFonts w:ascii="Times New Roman" w:eastAsia="Times New Roman" w:hAnsi="Times New Roman" w:cs="Times New Roman"/>
          <w:sz w:val="24"/>
          <w:szCs w:val="24"/>
        </w:rPr>
        <w:t>Wilcox et al., 2024)</w:t>
      </w:r>
      <w:r w:rsidRPr="00904AEA">
        <w:rPr>
          <w:rFonts w:ascii="Times New Roman" w:hAnsi="Times New Roman" w:cs="Times New Roman"/>
          <w:sz w:val="24"/>
          <w:szCs w:val="24"/>
        </w:rPr>
        <w:t>. A study highlighted that extensive antibiotic use in animal laboratories, often without proper oversight, likely contributes to human drug resistance. This finding emphasizes the need for stringent antibiotic regulation and responsible use across all sectors to combat the global threat of antimicrobial resistance</w:t>
      </w:r>
      <w:r w:rsidR="003A0039" w:rsidRPr="00904AEA">
        <w:rPr>
          <w:rFonts w:ascii="Times New Roman" w:hAnsi="Times New Roman" w:cs="Times New Roman"/>
          <w:sz w:val="24"/>
          <w:szCs w:val="24"/>
        </w:rPr>
        <w:t xml:space="preserve"> (McGrath, 2024)</w:t>
      </w:r>
      <w:r w:rsidRPr="00904AEA">
        <w:rPr>
          <w:rFonts w:ascii="Times New Roman" w:hAnsi="Times New Roman" w:cs="Times New Roman"/>
          <w:sz w:val="24"/>
          <w:szCs w:val="24"/>
        </w:rPr>
        <w:t xml:space="preserve">. </w:t>
      </w:r>
    </w:p>
    <w:p w14:paraId="19175847" w14:textId="77777777" w:rsidR="00733DC0" w:rsidRPr="00904AEA" w:rsidRDefault="00733DC0" w:rsidP="00733DC0">
      <w:pPr>
        <w:spacing w:line="360" w:lineRule="auto"/>
        <w:jc w:val="both"/>
        <w:rPr>
          <w:rFonts w:ascii="Times New Roman" w:hAnsi="Times New Roman" w:cs="Times New Roman"/>
          <w:b/>
          <w:bCs/>
          <w:sz w:val="24"/>
          <w:szCs w:val="24"/>
        </w:rPr>
      </w:pPr>
      <w:commentRangeStart w:id="1"/>
      <w:r w:rsidRPr="00904AEA">
        <w:rPr>
          <w:rFonts w:ascii="Times New Roman" w:hAnsi="Times New Roman" w:cs="Times New Roman"/>
          <w:b/>
          <w:bCs/>
          <w:sz w:val="24"/>
          <w:szCs w:val="24"/>
        </w:rPr>
        <w:t>Strategies to Combat Antimicrobial Resistance</w:t>
      </w:r>
    </w:p>
    <w:p w14:paraId="2FA26E11"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Addressing AMR requires a multifaceted approach:</w:t>
      </w:r>
    </w:p>
    <w:p w14:paraId="05654697"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Development of Novel Antibiotics and Alternatives</w:t>
      </w:r>
    </w:p>
    <w:p w14:paraId="1951BC1D"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Below is an overview of recent advancements in two key areas, accompanied by references formatted in APA style:</w:t>
      </w:r>
    </w:p>
    <w:p w14:paraId="6FAA7348"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New Drug Classes: Innovative Antimicrobial Agents Targeting Novel Bacterial Pathways</w:t>
      </w:r>
      <w:commentRangeEnd w:id="1"/>
      <w:r w:rsidR="006B4BC1">
        <w:rPr>
          <w:rStyle w:val="CommentReference"/>
        </w:rPr>
        <w:commentReference w:id="1"/>
      </w:r>
    </w:p>
    <w:p w14:paraId="79158DAF" w14:textId="77777777" w:rsidR="00733DC0" w:rsidRPr="00904AEA" w:rsidRDefault="00733DC0" w:rsidP="00733DC0">
      <w:pPr>
        <w:numPr>
          <w:ilvl w:val="0"/>
          <w:numId w:val="3"/>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Teixobactin</w:t>
      </w:r>
      <w:r w:rsidRPr="00904AEA">
        <w:rPr>
          <w:rFonts w:ascii="Times New Roman" w:hAnsi="Times New Roman" w:cs="Times New Roman"/>
          <w:sz w:val="24"/>
          <w:szCs w:val="24"/>
        </w:rPr>
        <w:t>: Teixobactin, identified through advanced soil culturing methods, is a novel class of antibiotics that specifically targets lipid precursors crucial for the synthesis of bacterial cell walls. Its unique mechanism offers</w:t>
      </w:r>
      <w:r w:rsidR="00EE1553" w:rsidRPr="00904AEA">
        <w:rPr>
          <w:rFonts w:ascii="Times New Roman" w:hAnsi="Times New Roman" w:cs="Times New Roman"/>
          <w:sz w:val="24"/>
          <w:szCs w:val="24"/>
        </w:rPr>
        <w:t xml:space="preserve"> hope against resistant strains</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Ling et al., 2015)</w:t>
      </w:r>
      <w:r w:rsidRPr="00904AEA">
        <w:rPr>
          <w:rFonts w:ascii="Times New Roman" w:hAnsi="Times New Roman" w:cs="Times New Roman"/>
          <w:sz w:val="24"/>
          <w:szCs w:val="24"/>
        </w:rPr>
        <w:t>.</w:t>
      </w:r>
    </w:p>
    <w:p w14:paraId="4AE96E95" w14:textId="77777777" w:rsidR="00733DC0" w:rsidRPr="00904AEA" w:rsidRDefault="00733DC0" w:rsidP="00733DC0">
      <w:pPr>
        <w:numPr>
          <w:ilvl w:val="0"/>
          <w:numId w:val="3"/>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Nacubactam</w:t>
      </w:r>
      <w:r w:rsidRPr="00904AEA">
        <w:rPr>
          <w:rFonts w:ascii="Times New Roman" w:hAnsi="Times New Roman" w:cs="Times New Roman"/>
          <w:sz w:val="24"/>
          <w:szCs w:val="24"/>
        </w:rPr>
        <w:t>: This investigational β-lactamase inhibitor exhibits a dual mechanism by inhibiting both β-lactamases and penicillin-binding proteins, enhancing its efficacy against carbapen</w:t>
      </w:r>
      <w:r w:rsidR="00EE1553" w:rsidRPr="00904AEA">
        <w:rPr>
          <w:rFonts w:ascii="Times New Roman" w:hAnsi="Times New Roman" w:cs="Times New Roman"/>
          <w:sz w:val="24"/>
          <w:szCs w:val="24"/>
        </w:rPr>
        <w:t>em-resistant Enterobacteriaceae</w:t>
      </w:r>
      <w:r w:rsidR="003A0039" w:rsidRPr="00904AEA">
        <w:rPr>
          <w:rFonts w:ascii="Times New Roman" w:hAnsi="Times New Roman" w:cs="Times New Roman"/>
          <w:sz w:val="24"/>
          <w:szCs w:val="24"/>
        </w:rPr>
        <w:t xml:space="preserve"> (Widodo et al., 2023)</w:t>
      </w:r>
      <w:r w:rsidRPr="00904AEA">
        <w:rPr>
          <w:rFonts w:ascii="Times New Roman" w:hAnsi="Times New Roman" w:cs="Times New Roman"/>
          <w:sz w:val="24"/>
          <w:szCs w:val="24"/>
        </w:rPr>
        <w:t>.</w:t>
      </w:r>
    </w:p>
    <w:p w14:paraId="78441547" w14:textId="77777777" w:rsidR="00733DC0" w:rsidRPr="00904AEA" w:rsidRDefault="00733DC0" w:rsidP="00733DC0">
      <w:pPr>
        <w:numPr>
          <w:ilvl w:val="0"/>
          <w:numId w:val="3"/>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Zosurabalpin (RG6006)</w:t>
      </w:r>
      <w:r w:rsidRPr="00904AEA">
        <w:rPr>
          <w:rFonts w:ascii="Times New Roman" w:hAnsi="Times New Roman" w:cs="Times New Roman"/>
          <w:sz w:val="24"/>
          <w:szCs w:val="24"/>
        </w:rPr>
        <w:t xml:space="preserve">: Developed through a collaboration between Roche and Harvard University, zosurabalpin targets the lipopolysaccharide transporter in </w:t>
      </w:r>
      <w:r w:rsidRPr="00904AEA">
        <w:rPr>
          <w:rFonts w:ascii="Times New Roman" w:hAnsi="Times New Roman" w:cs="Times New Roman"/>
          <w:i/>
          <w:iCs/>
          <w:sz w:val="24"/>
          <w:szCs w:val="24"/>
        </w:rPr>
        <w:t>Acinetobacter</w:t>
      </w:r>
      <w:r w:rsidR="00137242" w:rsidRPr="00904AEA">
        <w:rPr>
          <w:rFonts w:ascii="Times New Roman" w:hAnsi="Times New Roman" w:cs="Times New Roman"/>
          <w:i/>
          <w:iCs/>
          <w:sz w:val="24"/>
          <w:szCs w:val="24"/>
        </w:rPr>
        <w:t xml:space="preserve"> </w:t>
      </w:r>
      <w:r w:rsidRPr="00904AEA">
        <w:rPr>
          <w:rFonts w:ascii="Times New Roman" w:hAnsi="Times New Roman" w:cs="Times New Roman"/>
          <w:i/>
          <w:iCs/>
          <w:sz w:val="24"/>
          <w:szCs w:val="24"/>
        </w:rPr>
        <w:t>baumannii</w:t>
      </w:r>
      <w:r w:rsidRPr="00904AEA">
        <w:rPr>
          <w:rFonts w:ascii="Times New Roman" w:hAnsi="Times New Roman" w:cs="Times New Roman"/>
          <w:sz w:val="24"/>
          <w:szCs w:val="24"/>
        </w:rPr>
        <w:t>, offering a novel approach to treating infections caus</w:t>
      </w:r>
      <w:r w:rsidR="00EE1553" w:rsidRPr="00904AEA">
        <w:rPr>
          <w:rFonts w:ascii="Times New Roman" w:hAnsi="Times New Roman" w:cs="Times New Roman"/>
          <w:sz w:val="24"/>
          <w:szCs w:val="24"/>
        </w:rPr>
        <w:t>ed by this challenging pathogen</w:t>
      </w:r>
      <w:r w:rsidR="003A0039" w:rsidRPr="00904AEA">
        <w:rPr>
          <w:rFonts w:ascii="Times New Roman" w:hAnsi="Times New Roman" w:cs="Times New Roman"/>
          <w:sz w:val="24"/>
          <w:szCs w:val="24"/>
        </w:rPr>
        <w:t xml:space="preserve"> (Yao et al., 2021)</w:t>
      </w:r>
      <w:r w:rsidRPr="00904AEA">
        <w:rPr>
          <w:rFonts w:ascii="Times New Roman" w:hAnsi="Times New Roman" w:cs="Times New Roman"/>
          <w:sz w:val="24"/>
          <w:szCs w:val="24"/>
        </w:rPr>
        <w:t>.</w:t>
      </w:r>
    </w:p>
    <w:p w14:paraId="66F14C1D" w14:textId="77777777" w:rsidR="00733DC0" w:rsidRPr="00904AEA" w:rsidRDefault="00733DC0" w:rsidP="00733DC0">
      <w:pPr>
        <w:numPr>
          <w:ilvl w:val="0"/>
          <w:numId w:val="3"/>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Brilacidin</w:t>
      </w:r>
      <w:r w:rsidRPr="00904AEA">
        <w:rPr>
          <w:rFonts w:ascii="Times New Roman" w:hAnsi="Times New Roman" w:cs="Times New Roman"/>
          <w:sz w:val="24"/>
          <w:szCs w:val="24"/>
        </w:rPr>
        <w:t>: Brilacidin, a synthetic analog of host defense peptides, shows promise in combating methicillin-resistant Staphylococcus aureus (MRSA) and various other bacteria by co</w:t>
      </w:r>
      <w:r w:rsidR="00EA0319" w:rsidRPr="00904AEA">
        <w:rPr>
          <w:rFonts w:ascii="Times New Roman" w:hAnsi="Times New Roman" w:cs="Times New Roman"/>
          <w:sz w:val="24"/>
          <w:szCs w:val="24"/>
        </w:rPr>
        <w:t>mpromising their cell membranes</w:t>
      </w:r>
      <w:r w:rsidR="003A0039" w:rsidRPr="00904AEA">
        <w:rPr>
          <w:rFonts w:ascii="Times New Roman" w:hAnsi="Times New Roman" w:cs="Times New Roman"/>
          <w:sz w:val="24"/>
          <w:szCs w:val="24"/>
        </w:rPr>
        <w:t>(Mone et al., 2023)</w:t>
      </w:r>
      <w:r w:rsidRPr="00904AEA">
        <w:rPr>
          <w:rFonts w:ascii="Times New Roman" w:hAnsi="Times New Roman" w:cs="Times New Roman"/>
          <w:sz w:val="24"/>
          <w:szCs w:val="24"/>
        </w:rPr>
        <w:t>.</w:t>
      </w:r>
    </w:p>
    <w:p w14:paraId="5201D02C" w14:textId="77777777" w:rsidR="00733DC0" w:rsidRPr="00904AEA" w:rsidRDefault="00733DC0" w:rsidP="00733DC0">
      <w:pPr>
        <w:numPr>
          <w:ilvl w:val="0"/>
          <w:numId w:val="3"/>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lastRenderedPageBreak/>
        <w:t>CRISPR-Enhanced Phages</w:t>
      </w:r>
      <w:r w:rsidRPr="00904AEA">
        <w:rPr>
          <w:rFonts w:ascii="Times New Roman" w:hAnsi="Times New Roman" w:cs="Times New Roman"/>
          <w:sz w:val="24"/>
          <w:szCs w:val="24"/>
        </w:rPr>
        <w:t xml:space="preserve">: Locus Biosciences is pioneering therapies using bacteriophages enhanced with CRISPR technology to target antibiotic-resistant bacterial infections, such as </w:t>
      </w:r>
      <w:r w:rsidRPr="00904AEA">
        <w:rPr>
          <w:rFonts w:ascii="Times New Roman" w:hAnsi="Times New Roman" w:cs="Times New Roman"/>
          <w:i/>
          <w:iCs/>
          <w:sz w:val="24"/>
          <w:szCs w:val="24"/>
        </w:rPr>
        <w:t>Escherichia coli</w:t>
      </w:r>
      <w:r w:rsidR="00EA0319" w:rsidRPr="00904AEA">
        <w:rPr>
          <w:rFonts w:ascii="Times New Roman" w:hAnsi="Times New Roman" w:cs="Times New Roman"/>
          <w:sz w:val="24"/>
          <w:szCs w:val="24"/>
        </w:rPr>
        <w:t xml:space="preserve"> in urinary tract infections</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Citorik et al., 2014)</w:t>
      </w:r>
      <w:r w:rsidRPr="00904AEA">
        <w:rPr>
          <w:rFonts w:ascii="Times New Roman" w:hAnsi="Times New Roman" w:cs="Times New Roman"/>
          <w:sz w:val="24"/>
          <w:szCs w:val="24"/>
        </w:rPr>
        <w:t>.</w:t>
      </w:r>
    </w:p>
    <w:p w14:paraId="2A9C0772"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Phage Therapy and Antimicrobial Peptides: Alternative Strategies to Combat Resistant Infections</w:t>
      </w:r>
    </w:p>
    <w:p w14:paraId="3ED663A0" w14:textId="77777777" w:rsidR="00733DC0" w:rsidRPr="00904AEA" w:rsidRDefault="00733DC0" w:rsidP="00733DC0">
      <w:pPr>
        <w:numPr>
          <w:ilvl w:val="0"/>
          <w:numId w:val="4"/>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Phage Therapy</w:t>
      </w:r>
      <w:r w:rsidRPr="00904AEA">
        <w:rPr>
          <w:rFonts w:ascii="Times New Roman" w:hAnsi="Times New Roman" w:cs="Times New Roman"/>
          <w:sz w:val="24"/>
          <w:szCs w:val="24"/>
        </w:rPr>
        <w:t>: Clinical trials and compassionate use cases have demonstrated phage therapy's potential in treating</w:t>
      </w:r>
      <w:r w:rsidR="00EA0319" w:rsidRPr="00904AEA">
        <w:rPr>
          <w:rFonts w:ascii="Times New Roman" w:hAnsi="Times New Roman" w:cs="Times New Roman"/>
          <w:sz w:val="24"/>
          <w:szCs w:val="24"/>
        </w:rPr>
        <w:t xml:space="preserve"> multidrug-resistant infections</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Lin et al., 2017)</w:t>
      </w:r>
      <w:r w:rsidRPr="00904AEA">
        <w:rPr>
          <w:rFonts w:ascii="Times New Roman" w:hAnsi="Times New Roman" w:cs="Times New Roman"/>
          <w:sz w:val="24"/>
          <w:szCs w:val="24"/>
        </w:rPr>
        <w:t>.</w:t>
      </w:r>
    </w:p>
    <w:p w14:paraId="41B8C857" w14:textId="77777777" w:rsidR="00733DC0" w:rsidRPr="00904AEA" w:rsidRDefault="00733DC0" w:rsidP="00733DC0">
      <w:pPr>
        <w:numPr>
          <w:ilvl w:val="0"/>
          <w:numId w:val="4"/>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Antimicrobial Peptides (AMPs)</w:t>
      </w:r>
      <w:r w:rsidRPr="00904AEA">
        <w:rPr>
          <w:rFonts w:ascii="Times New Roman" w:hAnsi="Times New Roman" w:cs="Times New Roman"/>
          <w:sz w:val="24"/>
          <w:szCs w:val="24"/>
        </w:rPr>
        <w:t>: The innate immune response includes antimicrobial peptides (AMPs), which have broad-sp</w:t>
      </w:r>
      <w:r w:rsidR="007151BD" w:rsidRPr="00904AEA">
        <w:rPr>
          <w:rFonts w:ascii="Times New Roman" w:hAnsi="Times New Roman" w:cs="Times New Roman"/>
          <w:sz w:val="24"/>
          <w:szCs w:val="24"/>
        </w:rPr>
        <w:t>ectrum antibacterial properties</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Mookherjee et al., 2020)</w:t>
      </w:r>
      <w:r w:rsidRPr="00904AEA">
        <w:rPr>
          <w:rFonts w:ascii="Times New Roman" w:hAnsi="Times New Roman" w:cs="Times New Roman"/>
          <w:sz w:val="24"/>
          <w:szCs w:val="24"/>
        </w:rPr>
        <w:t>.</w:t>
      </w:r>
    </w:p>
    <w:p w14:paraId="68EA9BED" w14:textId="77777777" w:rsidR="00733DC0" w:rsidRPr="00904AEA" w:rsidRDefault="00733DC0" w:rsidP="00733DC0">
      <w:pPr>
        <w:numPr>
          <w:ilvl w:val="0"/>
          <w:numId w:val="4"/>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Cathelicidin Antimicrobial Peptide</w:t>
      </w:r>
      <w:r w:rsidRPr="00904AEA">
        <w:rPr>
          <w:rFonts w:ascii="Times New Roman" w:hAnsi="Times New Roman" w:cs="Times New Roman"/>
          <w:sz w:val="24"/>
          <w:szCs w:val="24"/>
        </w:rPr>
        <w:t xml:space="preserve">: LL-37 is a human antimicrobial peptide with broad-spectrum activity. Studies have shown its potential in combating infections </w:t>
      </w:r>
      <w:r w:rsidR="007151BD" w:rsidRPr="00904AEA">
        <w:rPr>
          <w:rFonts w:ascii="Times New Roman" w:hAnsi="Times New Roman" w:cs="Times New Roman"/>
          <w:sz w:val="24"/>
          <w:szCs w:val="24"/>
        </w:rPr>
        <w:t>and modulating immune responses</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Dürr et al., 2006)</w:t>
      </w:r>
      <w:r w:rsidRPr="00904AEA">
        <w:rPr>
          <w:rFonts w:ascii="Times New Roman" w:hAnsi="Times New Roman" w:cs="Times New Roman"/>
          <w:sz w:val="24"/>
          <w:szCs w:val="24"/>
        </w:rPr>
        <w:t>.</w:t>
      </w:r>
    </w:p>
    <w:p w14:paraId="0B6CC9A3" w14:textId="77777777" w:rsidR="00733DC0" w:rsidRPr="00904AEA" w:rsidRDefault="00733DC0" w:rsidP="00733DC0">
      <w:pPr>
        <w:numPr>
          <w:ilvl w:val="0"/>
          <w:numId w:val="4"/>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Enzybiotics</w:t>
      </w:r>
      <w:r w:rsidRPr="00904AEA">
        <w:rPr>
          <w:rFonts w:ascii="Times New Roman" w:hAnsi="Times New Roman" w:cs="Times New Roman"/>
          <w:sz w:val="24"/>
          <w:szCs w:val="24"/>
        </w:rPr>
        <w:t>: These are enzyme-based antibacterials derived from bacteriophages, offering a targeted app</w:t>
      </w:r>
      <w:r w:rsidR="007151BD" w:rsidRPr="00904AEA">
        <w:rPr>
          <w:rFonts w:ascii="Times New Roman" w:hAnsi="Times New Roman" w:cs="Times New Roman"/>
          <w:sz w:val="24"/>
          <w:szCs w:val="24"/>
        </w:rPr>
        <w:t>roach to lysing bacterial cells</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Fischetti, 2018)</w:t>
      </w:r>
      <w:r w:rsidRPr="00904AEA">
        <w:rPr>
          <w:rFonts w:ascii="Times New Roman" w:hAnsi="Times New Roman" w:cs="Times New Roman"/>
          <w:sz w:val="24"/>
          <w:szCs w:val="24"/>
        </w:rPr>
        <w:t>.</w:t>
      </w:r>
    </w:p>
    <w:p w14:paraId="67803353" w14:textId="77777777" w:rsidR="00733DC0" w:rsidRPr="00904AEA" w:rsidRDefault="00733DC0" w:rsidP="00733DC0">
      <w:pPr>
        <w:numPr>
          <w:ilvl w:val="0"/>
          <w:numId w:val="4"/>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Oyster-Derived Proteins</w:t>
      </w:r>
      <w:r w:rsidRPr="00904AEA">
        <w:rPr>
          <w:rFonts w:ascii="Times New Roman" w:hAnsi="Times New Roman" w:cs="Times New Roman"/>
          <w:sz w:val="24"/>
          <w:szCs w:val="24"/>
        </w:rPr>
        <w:t>: Researchers have identified a protein in the blood of Sydney rock oysters capable of killing bacteria and enhancing the efficacy of conventional antibiotics. This discovery holds potential in com</w:t>
      </w:r>
      <w:r w:rsidR="007151BD" w:rsidRPr="00904AEA">
        <w:rPr>
          <w:rFonts w:ascii="Times New Roman" w:hAnsi="Times New Roman" w:cs="Times New Roman"/>
          <w:sz w:val="24"/>
          <w:szCs w:val="24"/>
        </w:rPr>
        <w:t>bating antimicrobial resistance</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Green et al., 2014)</w:t>
      </w:r>
      <w:r w:rsidRPr="00904AEA">
        <w:rPr>
          <w:rFonts w:ascii="Times New Roman" w:hAnsi="Times New Roman" w:cs="Times New Roman"/>
          <w:sz w:val="24"/>
          <w:szCs w:val="24"/>
        </w:rPr>
        <w:t>.</w:t>
      </w:r>
    </w:p>
    <w:p w14:paraId="3C3DF170"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Infection Prevention and Control:</w:t>
      </w:r>
    </w:p>
    <w:p w14:paraId="2F6419F3"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Infection Prevention and Control encompasses strategies essential for reducing the incidence of infections and mitigating antimicrobial resistance. Two pivotal components of IPC are:</w:t>
      </w:r>
    </w:p>
    <w:p w14:paraId="2E4444F6"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Improved Hygiene Practices: Hand Hygiene, Sterilization Protocols, and Hospital Sanitation</w:t>
      </w:r>
      <w:r w:rsidR="0024414F" w:rsidRPr="00904AEA">
        <w:rPr>
          <w:rFonts w:ascii="Times New Roman" w:hAnsi="Times New Roman" w:cs="Times New Roman"/>
          <w:b/>
          <w:bCs/>
          <w:sz w:val="24"/>
          <w:szCs w:val="24"/>
        </w:rPr>
        <w:t xml:space="preserve"> </w:t>
      </w:r>
    </w:p>
    <w:p w14:paraId="0C16685D" w14:textId="77777777" w:rsidR="00733DC0" w:rsidRPr="00904AEA" w:rsidRDefault="00733DC0" w:rsidP="00733DC0">
      <w:pPr>
        <w:numPr>
          <w:ilvl w:val="0"/>
          <w:numId w:val="5"/>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Hand Hygiene</w:t>
      </w:r>
      <w:r w:rsidRPr="00904AEA">
        <w:rPr>
          <w:rFonts w:ascii="Times New Roman" w:hAnsi="Times New Roman" w:cs="Times New Roman"/>
          <w:sz w:val="24"/>
          <w:szCs w:val="24"/>
        </w:rPr>
        <w:t xml:space="preserve">: Maintaining good hand hygiene is essential to avoiding illnesses linked to healthcare. The World Health Organization (WHO) emphasizes that proper </w:t>
      </w:r>
      <w:r w:rsidRPr="00904AEA">
        <w:rPr>
          <w:rFonts w:ascii="Times New Roman" w:hAnsi="Times New Roman" w:cs="Times New Roman"/>
          <w:sz w:val="24"/>
          <w:szCs w:val="24"/>
        </w:rPr>
        <w:lastRenderedPageBreak/>
        <w:t>handwashing by healthcare workers significantly reduce</w:t>
      </w:r>
      <w:r w:rsidR="007151BD" w:rsidRPr="00904AEA">
        <w:rPr>
          <w:rFonts w:ascii="Times New Roman" w:hAnsi="Times New Roman" w:cs="Times New Roman"/>
          <w:sz w:val="24"/>
          <w:szCs w:val="24"/>
        </w:rPr>
        <w:t>s the transmission of pathogens</w:t>
      </w:r>
      <w:r w:rsidR="003A0039" w:rsidRPr="00904AEA">
        <w:rPr>
          <w:rFonts w:ascii="Times New Roman" w:hAnsi="Times New Roman" w:cs="Times New Roman"/>
          <w:sz w:val="24"/>
          <w:szCs w:val="24"/>
        </w:rPr>
        <w:t xml:space="preserve"> (WHO, 2009)</w:t>
      </w:r>
      <w:r w:rsidRPr="00904AEA">
        <w:rPr>
          <w:rFonts w:ascii="Times New Roman" w:hAnsi="Times New Roman" w:cs="Times New Roman"/>
          <w:sz w:val="24"/>
          <w:szCs w:val="24"/>
        </w:rPr>
        <w:t>.</w:t>
      </w:r>
    </w:p>
    <w:p w14:paraId="52AE66D7" w14:textId="77777777" w:rsidR="00733DC0" w:rsidRPr="00904AEA" w:rsidRDefault="00733DC0" w:rsidP="00733DC0">
      <w:pPr>
        <w:numPr>
          <w:ilvl w:val="0"/>
          <w:numId w:val="5"/>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Sterilization Protocols</w:t>
      </w:r>
      <w:r w:rsidRPr="00904AEA">
        <w:rPr>
          <w:rFonts w:ascii="Times New Roman" w:hAnsi="Times New Roman" w:cs="Times New Roman"/>
          <w:sz w:val="24"/>
          <w:szCs w:val="24"/>
        </w:rPr>
        <w:t xml:space="preserve">: Adherence to stringent sterilization protocols for medical instruments and environments is vital. Implementing advanced sterilization techniques, such as hydrogen peroxide vapor and ultraviolet cleaning devices, has been </w:t>
      </w:r>
      <w:r w:rsidR="007151BD" w:rsidRPr="00904AEA">
        <w:rPr>
          <w:rFonts w:ascii="Times New Roman" w:hAnsi="Times New Roman" w:cs="Times New Roman"/>
          <w:sz w:val="24"/>
          <w:szCs w:val="24"/>
        </w:rPr>
        <w:t>shown to reduce infection rates</w:t>
      </w:r>
      <w:r w:rsidR="003A0039" w:rsidRPr="00904AEA">
        <w:rPr>
          <w:rFonts w:ascii="Times New Roman" w:hAnsi="Times New Roman" w:cs="Times New Roman"/>
          <w:sz w:val="24"/>
          <w:szCs w:val="24"/>
        </w:rPr>
        <w:t xml:space="preserve"> (</w:t>
      </w:r>
      <w:r w:rsidR="00380D57" w:rsidRPr="00904AEA">
        <w:rPr>
          <w:rFonts w:ascii="Times New Roman" w:eastAsia="Times New Roman" w:hAnsi="Times New Roman" w:cs="Times New Roman"/>
          <w:sz w:val="24"/>
          <w:szCs w:val="24"/>
        </w:rPr>
        <w:t>Kundrapu et al., 2012)</w:t>
      </w:r>
      <w:r w:rsidRPr="00904AEA">
        <w:rPr>
          <w:rFonts w:ascii="Times New Roman" w:hAnsi="Times New Roman" w:cs="Times New Roman"/>
          <w:sz w:val="24"/>
          <w:szCs w:val="24"/>
        </w:rPr>
        <w:t>.</w:t>
      </w:r>
    </w:p>
    <w:p w14:paraId="07AC22A5" w14:textId="77777777" w:rsidR="00733DC0" w:rsidRPr="00904AEA" w:rsidRDefault="00733DC0" w:rsidP="00733DC0">
      <w:pPr>
        <w:numPr>
          <w:ilvl w:val="0"/>
          <w:numId w:val="5"/>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Hospital Sanitation</w:t>
      </w:r>
      <w:r w:rsidRPr="00904AEA">
        <w:rPr>
          <w:rFonts w:ascii="Times New Roman" w:hAnsi="Times New Roman" w:cs="Times New Roman"/>
          <w:sz w:val="24"/>
          <w:szCs w:val="24"/>
        </w:rPr>
        <w:t>: It is essential to keep the hospital environment clean.  Infection hazards can be reduced in large part by routinely cleaning and disinfecting surfa</w:t>
      </w:r>
      <w:r w:rsidR="005C54D0" w:rsidRPr="00904AEA">
        <w:rPr>
          <w:rFonts w:ascii="Times New Roman" w:hAnsi="Times New Roman" w:cs="Times New Roman"/>
          <w:sz w:val="24"/>
          <w:szCs w:val="24"/>
        </w:rPr>
        <w:t>ces and managing waste properly</w:t>
      </w:r>
      <w:r w:rsidR="00380D57" w:rsidRPr="00904AEA">
        <w:rPr>
          <w:rFonts w:ascii="Times New Roman" w:hAnsi="Times New Roman" w:cs="Times New Roman"/>
          <w:sz w:val="24"/>
          <w:szCs w:val="24"/>
        </w:rPr>
        <w:t xml:space="preserve"> (</w:t>
      </w:r>
      <w:r w:rsidR="00380D57" w:rsidRPr="00904AEA">
        <w:rPr>
          <w:rFonts w:ascii="Times New Roman" w:eastAsia="Times New Roman" w:hAnsi="Times New Roman" w:cs="Times New Roman"/>
          <w:sz w:val="24"/>
          <w:szCs w:val="24"/>
        </w:rPr>
        <w:t>Rutala and Weber, 2019)</w:t>
      </w:r>
      <w:r w:rsidRPr="00904AEA">
        <w:rPr>
          <w:rFonts w:ascii="Times New Roman" w:hAnsi="Times New Roman" w:cs="Times New Roman"/>
          <w:sz w:val="24"/>
          <w:szCs w:val="24"/>
        </w:rPr>
        <w:t>.</w:t>
      </w:r>
    </w:p>
    <w:p w14:paraId="71B9D3ED" w14:textId="77777777" w:rsidR="00733DC0" w:rsidRPr="00904AEA" w:rsidRDefault="00733DC0" w:rsidP="00733DC0">
      <w:pPr>
        <w:numPr>
          <w:ilvl w:val="0"/>
          <w:numId w:val="5"/>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Innovative Handwashing Devices</w:t>
      </w:r>
      <w:r w:rsidRPr="00904AEA">
        <w:rPr>
          <w:rFonts w:ascii="Times New Roman" w:hAnsi="Times New Roman" w:cs="Times New Roman"/>
          <w:sz w:val="24"/>
          <w:szCs w:val="24"/>
        </w:rPr>
        <w:t>: To improve access to hygiene, especially in resource-limited settings, devices like the Sato Tap have been developed. These devices function without plumbing, making hand hygiene more acces</w:t>
      </w:r>
      <w:r w:rsidR="00D3546E" w:rsidRPr="00904AEA">
        <w:rPr>
          <w:rFonts w:ascii="Times New Roman" w:hAnsi="Times New Roman" w:cs="Times New Roman"/>
          <w:sz w:val="24"/>
          <w:szCs w:val="24"/>
        </w:rPr>
        <w:t>sible</w:t>
      </w:r>
      <w:r w:rsidR="00380D57" w:rsidRPr="00904AEA">
        <w:rPr>
          <w:rFonts w:ascii="Times New Roman" w:hAnsi="Times New Roman" w:cs="Times New Roman"/>
          <w:sz w:val="24"/>
          <w:szCs w:val="24"/>
        </w:rPr>
        <w:t xml:space="preserve"> (Ishiyama, 2024)</w:t>
      </w:r>
      <w:r w:rsidRPr="00904AEA">
        <w:rPr>
          <w:rFonts w:ascii="Times New Roman" w:hAnsi="Times New Roman" w:cs="Times New Roman"/>
          <w:sz w:val="24"/>
          <w:szCs w:val="24"/>
        </w:rPr>
        <w:t>.</w:t>
      </w:r>
    </w:p>
    <w:p w14:paraId="01042FF3" w14:textId="77777777" w:rsidR="00733DC0" w:rsidRPr="00904AEA" w:rsidRDefault="00733DC0" w:rsidP="00733DC0">
      <w:pPr>
        <w:numPr>
          <w:ilvl w:val="0"/>
          <w:numId w:val="5"/>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Patient Hand Hygiene</w:t>
      </w:r>
      <w:r w:rsidRPr="00904AEA">
        <w:rPr>
          <w:rFonts w:ascii="Times New Roman" w:hAnsi="Times New Roman" w:cs="Times New Roman"/>
          <w:sz w:val="24"/>
          <w:szCs w:val="24"/>
        </w:rPr>
        <w:t>: Encouraging patients to practice hand hygiene can reduce infection rates. Providing sanitizing gels or wipes within reach and educating patients on proper handwashing techniques are effective st</w:t>
      </w:r>
      <w:r w:rsidR="00D3546E" w:rsidRPr="00904AEA">
        <w:rPr>
          <w:rFonts w:ascii="Times New Roman" w:hAnsi="Times New Roman" w:cs="Times New Roman"/>
          <w:sz w:val="24"/>
          <w:szCs w:val="24"/>
        </w:rPr>
        <w:t>rategies</w:t>
      </w:r>
      <w:r w:rsidR="00380D57" w:rsidRPr="00904AEA">
        <w:rPr>
          <w:rFonts w:ascii="Times New Roman" w:hAnsi="Times New Roman" w:cs="Times New Roman"/>
          <w:sz w:val="24"/>
          <w:szCs w:val="24"/>
        </w:rPr>
        <w:t xml:space="preserve"> (</w:t>
      </w:r>
      <w:r w:rsidR="00380D57" w:rsidRPr="00904AEA">
        <w:rPr>
          <w:rFonts w:ascii="Times New Roman" w:eastAsia="Times New Roman" w:hAnsi="Times New Roman" w:cs="Times New Roman"/>
          <w:sz w:val="24"/>
          <w:szCs w:val="24"/>
        </w:rPr>
        <w:t>Haverstick et al., 2017)</w:t>
      </w:r>
      <w:r w:rsidRPr="00904AEA">
        <w:rPr>
          <w:rFonts w:ascii="Times New Roman" w:hAnsi="Times New Roman" w:cs="Times New Roman"/>
          <w:sz w:val="24"/>
          <w:szCs w:val="24"/>
        </w:rPr>
        <w:t>.</w:t>
      </w:r>
    </w:p>
    <w:p w14:paraId="18B032B4"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Vaccination Programs: Preventing Infections to Reduce Antibiotic Use</w:t>
      </w:r>
    </w:p>
    <w:p w14:paraId="3A95EA6D" w14:textId="77777777" w:rsidR="00733DC0" w:rsidRPr="00904AEA" w:rsidRDefault="00733DC0" w:rsidP="00733DC0">
      <w:pPr>
        <w:numPr>
          <w:ilvl w:val="0"/>
          <w:numId w:val="6"/>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Pneumococcal Vaccination</w:t>
      </w:r>
      <w:r w:rsidRPr="00904AEA">
        <w:rPr>
          <w:rFonts w:ascii="Times New Roman" w:hAnsi="Times New Roman" w:cs="Times New Roman"/>
          <w:sz w:val="24"/>
          <w:szCs w:val="24"/>
        </w:rPr>
        <w:t xml:space="preserve">: Vaccines against </w:t>
      </w:r>
      <w:r w:rsidRPr="00904AEA">
        <w:rPr>
          <w:rFonts w:ascii="Times New Roman" w:hAnsi="Times New Roman" w:cs="Times New Roman"/>
          <w:i/>
          <w:iCs/>
          <w:sz w:val="24"/>
          <w:szCs w:val="24"/>
        </w:rPr>
        <w:t>Streptococcus pneumoniae</w:t>
      </w:r>
      <w:r w:rsidRPr="00904AEA">
        <w:rPr>
          <w:rFonts w:ascii="Times New Roman" w:hAnsi="Times New Roman" w:cs="Times New Roman"/>
          <w:sz w:val="24"/>
          <w:szCs w:val="24"/>
        </w:rPr>
        <w:t xml:space="preserve"> have significantly reduced the incidence of pneumococcal diseases</w:t>
      </w:r>
      <w:r w:rsidR="00380D57" w:rsidRPr="00904AEA">
        <w:rPr>
          <w:rFonts w:ascii="Times New Roman" w:hAnsi="Times New Roman" w:cs="Times New Roman"/>
          <w:sz w:val="24"/>
          <w:szCs w:val="24"/>
        </w:rPr>
        <w:t xml:space="preserve"> (Song et al., 2013)</w:t>
      </w:r>
      <w:r w:rsidRPr="00904AEA">
        <w:rPr>
          <w:rFonts w:ascii="Times New Roman" w:hAnsi="Times New Roman" w:cs="Times New Roman"/>
          <w:sz w:val="24"/>
          <w:szCs w:val="24"/>
        </w:rPr>
        <w:t>.</w:t>
      </w:r>
    </w:p>
    <w:p w14:paraId="244F1E12" w14:textId="77777777" w:rsidR="00733DC0" w:rsidRPr="00904AEA" w:rsidRDefault="00733DC0" w:rsidP="00733DC0">
      <w:pPr>
        <w:numPr>
          <w:ilvl w:val="0"/>
          <w:numId w:val="6"/>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Influenza Vaccination</w:t>
      </w:r>
      <w:r w:rsidRPr="00904AEA">
        <w:rPr>
          <w:rFonts w:ascii="Times New Roman" w:hAnsi="Times New Roman" w:cs="Times New Roman"/>
          <w:sz w:val="24"/>
          <w:szCs w:val="24"/>
        </w:rPr>
        <w:t>: Annual flu vaccinations are recommended for individuals aged six months and older. Immunizing healthcare workers also decreases the risk of viral pneumonia among patients</w:t>
      </w:r>
      <w:r w:rsidR="00380D57" w:rsidRPr="00904AEA">
        <w:rPr>
          <w:rFonts w:ascii="Times New Roman" w:hAnsi="Times New Roman" w:cs="Times New Roman"/>
          <w:sz w:val="24"/>
          <w:szCs w:val="24"/>
        </w:rPr>
        <w:t xml:space="preserve"> (Moghadami, 2017)</w:t>
      </w:r>
      <w:r w:rsidRPr="00904AEA">
        <w:rPr>
          <w:rFonts w:ascii="Times New Roman" w:hAnsi="Times New Roman" w:cs="Times New Roman"/>
          <w:sz w:val="24"/>
          <w:szCs w:val="24"/>
        </w:rPr>
        <w:t>.</w:t>
      </w:r>
    </w:p>
    <w:p w14:paraId="0A4158D5" w14:textId="77777777" w:rsidR="00733DC0" w:rsidRPr="00904AEA" w:rsidRDefault="00733DC0" w:rsidP="00733DC0">
      <w:pPr>
        <w:numPr>
          <w:ilvl w:val="0"/>
          <w:numId w:val="6"/>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UTI Vaccines</w:t>
      </w:r>
      <w:r w:rsidRPr="00904AEA">
        <w:rPr>
          <w:rFonts w:ascii="Times New Roman" w:hAnsi="Times New Roman" w:cs="Times New Roman"/>
          <w:sz w:val="24"/>
          <w:szCs w:val="24"/>
        </w:rPr>
        <w:t>: Vaccines like Uromune (MV-140) have been developed to prevent recurrent urinary tract infections (UTIs). Clinical studies have shown that Uromune reduces the total number of UTIs by about 70% and increases UTI-free rates from around 25% to 57%.</w:t>
      </w:r>
    </w:p>
    <w:p w14:paraId="07F99104" w14:textId="77777777" w:rsidR="00733DC0" w:rsidRPr="00904AEA" w:rsidRDefault="00733DC0" w:rsidP="00733DC0">
      <w:pPr>
        <w:numPr>
          <w:ilvl w:val="0"/>
          <w:numId w:val="6"/>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RSV Vaccination</w:t>
      </w:r>
      <w:r w:rsidRPr="00904AEA">
        <w:rPr>
          <w:rFonts w:ascii="Times New Roman" w:hAnsi="Times New Roman" w:cs="Times New Roman"/>
          <w:sz w:val="24"/>
          <w:szCs w:val="24"/>
        </w:rPr>
        <w:t xml:space="preserve">: Vaccines providing protection against Respiratory Syncytial Virus (RSV) have been developed, offering 86% protection against this serious lung infection. </w:t>
      </w:r>
      <w:r w:rsidRPr="00904AEA">
        <w:rPr>
          <w:rFonts w:ascii="Times New Roman" w:hAnsi="Times New Roman" w:cs="Times New Roman"/>
          <w:sz w:val="24"/>
          <w:szCs w:val="24"/>
        </w:rPr>
        <w:lastRenderedPageBreak/>
        <w:t>In the UK, eligible groups include adults aged 75-79 and pregnant women at least 28 weeks along</w:t>
      </w:r>
      <w:r w:rsidR="00380D57" w:rsidRPr="00904AEA">
        <w:rPr>
          <w:rFonts w:ascii="Times New Roman" w:hAnsi="Times New Roman" w:cs="Times New Roman"/>
          <w:sz w:val="24"/>
          <w:szCs w:val="24"/>
        </w:rPr>
        <w:t xml:space="preserve"> (Singh and Chibale, 2021)</w:t>
      </w:r>
      <w:r w:rsidRPr="00904AEA">
        <w:rPr>
          <w:rFonts w:ascii="Times New Roman" w:hAnsi="Times New Roman" w:cs="Times New Roman"/>
          <w:sz w:val="24"/>
          <w:szCs w:val="24"/>
        </w:rPr>
        <w:t>.</w:t>
      </w:r>
    </w:p>
    <w:p w14:paraId="0C3CEB52" w14:textId="77777777" w:rsidR="00733DC0" w:rsidRPr="00904AEA" w:rsidRDefault="00733DC0" w:rsidP="00733DC0">
      <w:pPr>
        <w:numPr>
          <w:ilvl w:val="0"/>
          <w:numId w:val="6"/>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Advancements in Vaccine Delivery</w:t>
      </w:r>
      <w:r w:rsidRPr="00904AEA">
        <w:rPr>
          <w:rFonts w:ascii="Times New Roman" w:hAnsi="Times New Roman" w:cs="Times New Roman"/>
          <w:sz w:val="24"/>
          <w:szCs w:val="24"/>
        </w:rPr>
        <w:t>: Needle-free vaccines, such as nasal sprays, are being developed to improve vaccine acceptance and coverage. This method not only facilitates administration but also offers potential for more effective immunity by targeting the entry points of pathogens</w:t>
      </w:r>
      <w:r w:rsidR="00380D57" w:rsidRPr="00904AEA">
        <w:rPr>
          <w:rFonts w:ascii="Times New Roman" w:hAnsi="Times New Roman" w:cs="Times New Roman"/>
          <w:sz w:val="24"/>
          <w:szCs w:val="24"/>
        </w:rPr>
        <w:t xml:space="preserve"> (Catalano et al., 2022)</w:t>
      </w:r>
      <w:r w:rsidRPr="00904AEA">
        <w:rPr>
          <w:rFonts w:ascii="Times New Roman" w:hAnsi="Times New Roman" w:cs="Times New Roman"/>
          <w:sz w:val="24"/>
          <w:szCs w:val="24"/>
        </w:rPr>
        <w:t>.</w:t>
      </w:r>
    </w:p>
    <w:p w14:paraId="181C6A5B"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Global Policy and Surveillance</w:t>
      </w:r>
    </w:p>
    <w:p w14:paraId="1528D611" w14:textId="77777777" w:rsidR="00733DC0" w:rsidRPr="00904AEA" w:rsidRDefault="00733DC0" w:rsidP="00EF6C25">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Antimicrobial resistance poses a significant threat to global health, necessitating comprehensive strategies that encompass regulatory measures and international collaboration. Below is an overview of recent advancements in these areas, accompanied by references formatted in APA style:</w:t>
      </w:r>
    </w:p>
    <w:p w14:paraId="5AA8F5B5" w14:textId="77777777" w:rsidR="00733DC0" w:rsidRPr="00904AEA" w:rsidRDefault="00733DC0" w:rsidP="00733DC0">
      <w:pPr>
        <w:spacing w:line="360" w:lineRule="auto"/>
        <w:jc w:val="both"/>
        <w:rPr>
          <w:rFonts w:ascii="Times New Roman" w:hAnsi="Times New Roman" w:cs="Times New Roman"/>
          <w:sz w:val="24"/>
          <w:szCs w:val="24"/>
        </w:rPr>
      </w:pPr>
      <w:bookmarkStart w:id="2" w:name="_Hlk215935344"/>
      <w:r w:rsidRPr="00904AEA">
        <w:rPr>
          <w:rFonts w:ascii="Times New Roman" w:hAnsi="Times New Roman" w:cs="Times New Roman"/>
          <w:b/>
          <w:bCs/>
          <w:sz w:val="24"/>
          <w:szCs w:val="24"/>
        </w:rPr>
        <w:t>Regulatory Measures: Banning Non-Therapeutic Antibiotic Use in Agriculture</w:t>
      </w:r>
    </w:p>
    <w:bookmarkEnd w:id="2"/>
    <w:p w14:paraId="1EE70F0D"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The excessive use of antibiotics in agriculture, especially for non-medical reasons like enhancing growth in livestock, has been recognized as a significant factor in the emergence of antimicrobial resistance. In 2024, several countries implemented stringent regulations to curb this practice:</w:t>
      </w:r>
    </w:p>
    <w:p w14:paraId="21392796" w14:textId="77777777" w:rsidR="00733DC0" w:rsidRPr="00904AEA" w:rsidRDefault="00733DC0" w:rsidP="00733DC0">
      <w:pPr>
        <w:numPr>
          <w:ilvl w:val="0"/>
          <w:numId w:val="7"/>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European Union (EU)</w:t>
      </w:r>
      <w:r w:rsidRPr="00904AEA">
        <w:rPr>
          <w:rFonts w:ascii="Times New Roman" w:hAnsi="Times New Roman" w:cs="Times New Roman"/>
          <w:sz w:val="24"/>
          <w:szCs w:val="24"/>
        </w:rPr>
        <w:t>: The European Union implemented a thorough prohibition on the use of antibiotics for promoting growth in livestock, underscoring its dedication to addressing antimicrobial resistance (EU,2024)</w:t>
      </w:r>
      <w:r w:rsidR="00380D57" w:rsidRPr="00904AEA">
        <w:rPr>
          <w:rFonts w:ascii="Times New Roman" w:hAnsi="Times New Roman" w:cs="Times New Roman"/>
          <w:sz w:val="24"/>
          <w:szCs w:val="24"/>
        </w:rPr>
        <w:t xml:space="preserve"> (Parmanik, 2022)</w:t>
      </w:r>
      <w:r w:rsidRPr="00904AEA">
        <w:rPr>
          <w:rFonts w:ascii="Times New Roman" w:hAnsi="Times New Roman" w:cs="Times New Roman"/>
          <w:sz w:val="24"/>
          <w:szCs w:val="24"/>
        </w:rPr>
        <w:t>.</w:t>
      </w:r>
    </w:p>
    <w:p w14:paraId="28B0725F" w14:textId="77777777" w:rsidR="00733DC0" w:rsidRPr="00904AEA" w:rsidRDefault="00733DC0" w:rsidP="00733DC0">
      <w:pPr>
        <w:numPr>
          <w:ilvl w:val="0"/>
          <w:numId w:val="7"/>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United States</w:t>
      </w:r>
      <w:r w:rsidRPr="00904AEA">
        <w:rPr>
          <w:rFonts w:ascii="Times New Roman" w:hAnsi="Times New Roman" w:cs="Times New Roman"/>
          <w:sz w:val="24"/>
          <w:szCs w:val="24"/>
        </w:rPr>
        <w:t>: The U.S. Food and Drug Administration has established final guidelines that limit the use of medically significant antibiotics in livestock, allowing their application exclusively for therapeutic reasons under the oversight of a veterinarian</w:t>
      </w:r>
      <w:r w:rsidR="00380D57" w:rsidRPr="00904AEA">
        <w:rPr>
          <w:rFonts w:ascii="Times New Roman" w:hAnsi="Times New Roman" w:cs="Times New Roman"/>
          <w:sz w:val="24"/>
          <w:szCs w:val="24"/>
        </w:rPr>
        <w:t xml:space="preserve"> (Duan et al., 2023)</w:t>
      </w:r>
      <w:r w:rsidRPr="00904AEA">
        <w:rPr>
          <w:rFonts w:ascii="Times New Roman" w:hAnsi="Times New Roman" w:cs="Times New Roman"/>
          <w:sz w:val="24"/>
          <w:szCs w:val="24"/>
        </w:rPr>
        <w:t>.</w:t>
      </w:r>
    </w:p>
    <w:p w14:paraId="142067ED" w14:textId="77777777" w:rsidR="00733DC0" w:rsidRPr="00904AEA" w:rsidRDefault="00733DC0" w:rsidP="00733DC0">
      <w:pPr>
        <w:numPr>
          <w:ilvl w:val="0"/>
          <w:numId w:val="7"/>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China</w:t>
      </w:r>
      <w:r w:rsidRPr="00904AEA">
        <w:rPr>
          <w:rFonts w:ascii="Times New Roman" w:hAnsi="Times New Roman" w:cs="Times New Roman"/>
          <w:sz w:val="24"/>
          <w:szCs w:val="24"/>
        </w:rPr>
        <w:t>: The Ministry of Agriculture and Rural Affairs in China has declared a countrywide prohibition on the use of colistin as a feed additive, in response to growing concerns regarding increasing colistin resistance</w:t>
      </w:r>
      <w:r w:rsidR="00380D57" w:rsidRPr="00904AEA">
        <w:rPr>
          <w:rFonts w:ascii="Times New Roman" w:hAnsi="Times New Roman" w:cs="Times New Roman"/>
          <w:sz w:val="24"/>
          <w:szCs w:val="24"/>
        </w:rPr>
        <w:t xml:space="preserve"> (Bharadwaj et al., 2022)</w:t>
      </w:r>
      <w:r w:rsidRPr="00904AEA">
        <w:rPr>
          <w:rFonts w:ascii="Times New Roman" w:hAnsi="Times New Roman" w:cs="Times New Roman"/>
          <w:sz w:val="24"/>
          <w:szCs w:val="24"/>
        </w:rPr>
        <w:t>.</w:t>
      </w:r>
      <w:r w:rsidR="00A511FD" w:rsidRPr="00904AEA">
        <w:rPr>
          <w:rFonts w:ascii="Times New Roman" w:hAnsi="Times New Roman" w:cs="Times New Roman"/>
          <w:sz w:val="24"/>
          <w:szCs w:val="24"/>
          <w:vertAlign w:val="superscript"/>
        </w:rPr>
        <w:t xml:space="preserve"> </w:t>
      </w:r>
    </w:p>
    <w:p w14:paraId="3A3FB887" w14:textId="77777777" w:rsidR="00733DC0" w:rsidRPr="00904AEA" w:rsidRDefault="00733DC0" w:rsidP="00733DC0">
      <w:pPr>
        <w:numPr>
          <w:ilvl w:val="0"/>
          <w:numId w:val="7"/>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lastRenderedPageBreak/>
        <w:t>India</w:t>
      </w:r>
      <w:r w:rsidRPr="00904AEA">
        <w:rPr>
          <w:rFonts w:ascii="Times New Roman" w:hAnsi="Times New Roman" w:cs="Times New Roman"/>
          <w:sz w:val="24"/>
          <w:szCs w:val="24"/>
        </w:rPr>
        <w:t>: The Food Safety and Standards Authority of India issued regulations prohibiting the use of antibiotics for non-therapeutic purposes in animal husbandry, aiming to reduce AMR risks</w:t>
      </w:r>
      <w:r w:rsidR="00380D57" w:rsidRPr="00904AEA">
        <w:rPr>
          <w:rFonts w:ascii="Times New Roman" w:hAnsi="Times New Roman" w:cs="Times New Roman"/>
          <w:sz w:val="24"/>
          <w:szCs w:val="24"/>
        </w:rPr>
        <w:t xml:space="preserve"> (Kunz Coyne et al., 2022)</w:t>
      </w:r>
      <w:r w:rsidRPr="00904AEA">
        <w:rPr>
          <w:rFonts w:ascii="Times New Roman" w:hAnsi="Times New Roman" w:cs="Times New Roman"/>
          <w:sz w:val="24"/>
          <w:szCs w:val="24"/>
        </w:rPr>
        <w:t>.</w:t>
      </w:r>
    </w:p>
    <w:p w14:paraId="3996ED2F" w14:textId="77777777" w:rsidR="00733DC0" w:rsidRPr="00904AEA" w:rsidRDefault="00733DC0" w:rsidP="00733DC0">
      <w:pPr>
        <w:numPr>
          <w:ilvl w:val="0"/>
          <w:numId w:val="7"/>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Brazil</w:t>
      </w:r>
      <w:r w:rsidRPr="00904AEA">
        <w:rPr>
          <w:rFonts w:ascii="Times New Roman" w:hAnsi="Times New Roman" w:cs="Times New Roman"/>
          <w:sz w:val="24"/>
          <w:szCs w:val="24"/>
        </w:rPr>
        <w:t>: The Brazilian Health Regulatory Agency implemented policies restricting the prophylactic use of antibiotics in livestock, aligning w</w:t>
      </w:r>
      <w:r w:rsidR="009C567B" w:rsidRPr="00904AEA">
        <w:rPr>
          <w:rFonts w:ascii="Times New Roman" w:hAnsi="Times New Roman" w:cs="Times New Roman"/>
          <w:sz w:val="24"/>
          <w:szCs w:val="24"/>
        </w:rPr>
        <w:t>ith global efforts to combat</w:t>
      </w:r>
      <w:r w:rsidR="00380D57" w:rsidRPr="00904AEA">
        <w:rPr>
          <w:rFonts w:ascii="Times New Roman" w:hAnsi="Times New Roman" w:cs="Times New Roman"/>
          <w:sz w:val="24"/>
          <w:szCs w:val="24"/>
        </w:rPr>
        <w:t xml:space="preserve"> (Alara and Alara, 2024)</w:t>
      </w:r>
      <w:r w:rsidRPr="00904AEA">
        <w:rPr>
          <w:rFonts w:ascii="Times New Roman" w:hAnsi="Times New Roman" w:cs="Times New Roman"/>
          <w:sz w:val="24"/>
          <w:szCs w:val="24"/>
        </w:rPr>
        <w:t>.</w:t>
      </w:r>
    </w:p>
    <w:p w14:paraId="6E15EB41"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International Collaboration: Coordinated Global Efforts to Monitor and Combat AMR</w:t>
      </w:r>
    </w:p>
    <w:p w14:paraId="59EF0BE1"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Addressing AMR requires unified global action. In 2024, several initiatives underscored the importance of international collaboration:</w:t>
      </w:r>
    </w:p>
    <w:p w14:paraId="42A7ACE6" w14:textId="77777777" w:rsidR="00733DC0" w:rsidRPr="00904AEA" w:rsidRDefault="00733DC0" w:rsidP="00733DC0">
      <w:pPr>
        <w:numPr>
          <w:ilvl w:val="0"/>
          <w:numId w:val="8"/>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United Nations High-Level Meeting on AMR</w:t>
      </w:r>
      <w:r w:rsidRPr="00904AEA">
        <w:rPr>
          <w:rFonts w:ascii="Times New Roman" w:hAnsi="Times New Roman" w:cs="Times New Roman"/>
          <w:sz w:val="24"/>
          <w:szCs w:val="24"/>
        </w:rPr>
        <w:t>: In September 2024, world leaders convened at the UN General Assembly, committing to a 10% reduction in AMR-related deaths by 2030 and emphasizing the need for multisectoral approaches</w:t>
      </w:r>
      <w:r w:rsidR="00380D57" w:rsidRPr="00904AEA">
        <w:rPr>
          <w:rFonts w:ascii="Times New Roman" w:hAnsi="Times New Roman" w:cs="Times New Roman"/>
          <w:sz w:val="24"/>
          <w:szCs w:val="24"/>
        </w:rPr>
        <w:t xml:space="preserve"> (Terreni et al., 2021)</w:t>
      </w:r>
      <w:r w:rsidRPr="00904AEA">
        <w:rPr>
          <w:rFonts w:ascii="Times New Roman" w:hAnsi="Times New Roman" w:cs="Times New Roman"/>
          <w:sz w:val="24"/>
          <w:szCs w:val="24"/>
        </w:rPr>
        <w:t>.</w:t>
      </w:r>
    </w:p>
    <w:p w14:paraId="35A0DE8E" w14:textId="77777777" w:rsidR="00733DC0" w:rsidRPr="00904AEA" w:rsidRDefault="00733DC0" w:rsidP="00733DC0">
      <w:pPr>
        <w:numPr>
          <w:ilvl w:val="0"/>
          <w:numId w:val="8"/>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Global Leaders Group on Antimicrobial Resistance</w:t>
      </w:r>
      <w:r w:rsidRPr="00904AEA">
        <w:rPr>
          <w:rFonts w:ascii="Times New Roman" w:hAnsi="Times New Roman" w:cs="Times New Roman"/>
          <w:sz w:val="24"/>
          <w:szCs w:val="24"/>
        </w:rPr>
        <w:t>: This group continued its advocacy in 2024, promoting policies to mitigate AMR across human, animal, and environmental health sectors</w:t>
      </w:r>
      <w:r w:rsidR="00380D57" w:rsidRPr="00904AEA">
        <w:rPr>
          <w:rFonts w:ascii="Times New Roman" w:hAnsi="Times New Roman" w:cs="Times New Roman"/>
          <w:sz w:val="24"/>
          <w:szCs w:val="24"/>
        </w:rPr>
        <w:t xml:space="preserve"> (Liu et al., 2021)</w:t>
      </w:r>
      <w:r w:rsidRPr="00904AEA">
        <w:rPr>
          <w:rFonts w:ascii="Times New Roman" w:hAnsi="Times New Roman" w:cs="Times New Roman"/>
          <w:sz w:val="24"/>
          <w:szCs w:val="24"/>
        </w:rPr>
        <w:t>.</w:t>
      </w:r>
    </w:p>
    <w:p w14:paraId="7786AFBF" w14:textId="77777777" w:rsidR="00733DC0" w:rsidRPr="00904AEA" w:rsidRDefault="00733DC0" w:rsidP="00733DC0">
      <w:pPr>
        <w:numPr>
          <w:ilvl w:val="0"/>
          <w:numId w:val="8"/>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CARB-X Funding Expansion</w:t>
      </w:r>
      <w:r w:rsidRPr="00904AEA">
        <w:rPr>
          <w:rFonts w:ascii="Times New Roman" w:hAnsi="Times New Roman" w:cs="Times New Roman"/>
          <w:sz w:val="24"/>
          <w:szCs w:val="24"/>
        </w:rPr>
        <w:t>: The Combating Antibiotic-Resistant Bacteria Biopharmaceutical Accelerator received additional funding from international partners in 2024 to support the development of innovative antimicrobial products</w:t>
      </w:r>
      <w:r w:rsidR="00380D57" w:rsidRPr="00904AEA">
        <w:rPr>
          <w:rFonts w:ascii="Times New Roman" w:hAnsi="Times New Roman" w:cs="Times New Roman"/>
          <w:sz w:val="24"/>
          <w:szCs w:val="24"/>
        </w:rPr>
        <w:t xml:space="preserve"> (Jubair et al., 2021)</w:t>
      </w:r>
      <w:r w:rsidRPr="00904AEA">
        <w:rPr>
          <w:rFonts w:ascii="Times New Roman" w:hAnsi="Times New Roman" w:cs="Times New Roman"/>
          <w:sz w:val="24"/>
          <w:szCs w:val="24"/>
        </w:rPr>
        <w:t>.</w:t>
      </w:r>
    </w:p>
    <w:p w14:paraId="05111B24" w14:textId="77777777" w:rsidR="00733DC0" w:rsidRPr="00904AEA" w:rsidRDefault="00733DC0" w:rsidP="00733DC0">
      <w:pPr>
        <w:numPr>
          <w:ilvl w:val="0"/>
          <w:numId w:val="8"/>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One Health Global Antimicrobial Resistance Partnership</w:t>
      </w:r>
      <w:r w:rsidRPr="00904AEA">
        <w:rPr>
          <w:rFonts w:ascii="Times New Roman" w:hAnsi="Times New Roman" w:cs="Times New Roman"/>
          <w:sz w:val="24"/>
          <w:szCs w:val="24"/>
        </w:rPr>
        <w:t>: This initiative facilitated collaboration among nations to integrate human, animal, and environmental health strategies against AMR</w:t>
      </w:r>
      <w:r w:rsidR="00380D57" w:rsidRPr="00904AEA">
        <w:rPr>
          <w:rFonts w:ascii="Times New Roman" w:hAnsi="Times New Roman" w:cs="Times New Roman"/>
          <w:sz w:val="24"/>
          <w:szCs w:val="24"/>
        </w:rPr>
        <w:t xml:space="preserve"> (Kebede et al., 2021)</w:t>
      </w:r>
      <w:r w:rsidRPr="00904AEA">
        <w:rPr>
          <w:rFonts w:ascii="Times New Roman" w:hAnsi="Times New Roman" w:cs="Times New Roman"/>
          <w:sz w:val="24"/>
          <w:szCs w:val="24"/>
        </w:rPr>
        <w:t>.</w:t>
      </w:r>
    </w:p>
    <w:p w14:paraId="7C4AE527" w14:textId="77777777" w:rsidR="00733DC0" w:rsidRPr="00904AEA" w:rsidRDefault="00733DC0" w:rsidP="00733DC0">
      <w:pPr>
        <w:numPr>
          <w:ilvl w:val="0"/>
          <w:numId w:val="8"/>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World Health Organization (WHO) Surveillance Programs</w:t>
      </w:r>
      <w:r w:rsidRPr="00904AEA">
        <w:rPr>
          <w:rFonts w:ascii="Times New Roman" w:hAnsi="Times New Roman" w:cs="Times New Roman"/>
          <w:sz w:val="24"/>
          <w:szCs w:val="24"/>
        </w:rPr>
        <w:t>: The WHO expanded its Global Antimicrobial Resistance and Use Surveillance System in 2024, enhancing data collection and sharing among member states</w:t>
      </w:r>
      <w:r w:rsidR="00380D57" w:rsidRPr="00904AEA">
        <w:rPr>
          <w:rFonts w:ascii="Times New Roman" w:hAnsi="Times New Roman" w:cs="Times New Roman"/>
          <w:sz w:val="24"/>
          <w:szCs w:val="24"/>
        </w:rPr>
        <w:t xml:space="preserve"> (</w:t>
      </w:r>
      <w:r w:rsidR="00380D57" w:rsidRPr="00904AEA">
        <w:rPr>
          <w:rFonts w:ascii="Times New Roman" w:eastAsia="Times New Roman" w:hAnsi="Times New Roman" w:cs="Times New Roman"/>
          <w:sz w:val="24"/>
          <w:szCs w:val="24"/>
        </w:rPr>
        <w:t>Wang et al., 2022)</w:t>
      </w:r>
      <w:r w:rsidRPr="00904AEA">
        <w:rPr>
          <w:rFonts w:ascii="Times New Roman" w:hAnsi="Times New Roman" w:cs="Times New Roman"/>
          <w:sz w:val="24"/>
          <w:szCs w:val="24"/>
        </w:rPr>
        <w:t>.</w:t>
      </w:r>
    </w:p>
    <w:p w14:paraId="60460865" w14:textId="77777777" w:rsidR="00733DC0" w:rsidRPr="00904AEA" w:rsidRDefault="00ED17CE"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CONCLUSION</w:t>
      </w:r>
      <w:r w:rsidR="00042D53" w:rsidRPr="00904AEA">
        <w:rPr>
          <w:rFonts w:ascii="Times New Roman" w:hAnsi="Times New Roman" w:cs="Times New Roman"/>
          <w:b/>
          <w:bCs/>
          <w:sz w:val="24"/>
          <w:szCs w:val="24"/>
        </w:rPr>
        <w:t xml:space="preserve"> </w:t>
      </w:r>
    </w:p>
    <w:p w14:paraId="79BCF503" w14:textId="77777777" w:rsidR="00733DC0" w:rsidRPr="00904AEA" w:rsidRDefault="00733DC0" w:rsidP="00ED17CE">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lastRenderedPageBreak/>
        <w:t xml:space="preserve">A major threat to global health is antimicrobial resistance, which jeopardizes the efficacy of antibiotics and other antimicrobial treatments. The emergence of extensively drug-resistant and multidrug-resistant infections is fueled by microbial survival strategies like biofilm development, efflux pump activation, target site alterations, and enzymatic antibiotic degradation. The issue is made worse by the overuse and abuse of antibiotics in agriculture and human medicine, as well as by inadequate infection control, environmental contamination, and international travel, all of which call for immediate international action.Once-treatable infections are becoming life-threatening, while medical procedures such as surgeries and chemotherapy face heightened risks of complications due to drug-resistant infections. Rising healthcare costs and productivity losses further strain </w:t>
      </w:r>
      <w:r w:rsidRPr="00495F0F">
        <w:rPr>
          <w:rFonts w:ascii="Times New Roman" w:hAnsi="Times New Roman" w:cs="Times New Roman"/>
          <w:sz w:val="24"/>
          <w:szCs w:val="24"/>
          <w:highlight w:val="yellow"/>
        </w:rPr>
        <w:t>economies.Among</w:t>
      </w:r>
      <w:r w:rsidRPr="00904AEA">
        <w:rPr>
          <w:rFonts w:ascii="Times New Roman" w:hAnsi="Times New Roman" w:cs="Times New Roman"/>
          <w:sz w:val="24"/>
          <w:szCs w:val="24"/>
        </w:rPr>
        <w:t xml:space="preserve"> the several tactics required to fight AMR are the creation of novel antibiotics and complementary therapies like phage therapy and antimicrobial peptides. Strengthening antimicrobial stewardship, improving infection prevention through hygiene and vaccination, and enhancing global surveillance systems are crucial. Public awareness programs encouraging ethical antibiotic usage must be implemented in conjunction with regulatory measures, such as prohibiting the use of non-therapeutic antibiotics in agriculture. Governments, researchers, medical professionals, and the general public must work together globally to lessen the effects of antibiotic resistance.</w:t>
      </w:r>
    </w:p>
    <w:p w14:paraId="63F986BB" w14:textId="77777777" w:rsidR="0016621E" w:rsidRPr="00904AEA" w:rsidRDefault="0016621E"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Conflict of Interest</w:t>
      </w:r>
    </w:p>
    <w:p w14:paraId="76B2AA3E" w14:textId="77777777" w:rsidR="0016621E" w:rsidRPr="00904AEA" w:rsidRDefault="0016621E" w:rsidP="0016621E">
      <w:pPr>
        <w:spacing w:line="360" w:lineRule="auto"/>
        <w:jc w:val="both"/>
        <w:rPr>
          <w:rFonts w:ascii="Times New Roman" w:hAnsi="Times New Roman" w:cs="Times New Roman"/>
          <w:bCs/>
          <w:sz w:val="24"/>
          <w:szCs w:val="24"/>
        </w:rPr>
      </w:pPr>
      <w:r w:rsidRPr="00904AEA">
        <w:rPr>
          <w:rFonts w:ascii="Times New Roman" w:hAnsi="Times New Roman" w:cs="Times New Roman"/>
          <w:bCs/>
          <w:sz w:val="24"/>
          <w:szCs w:val="24"/>
        </w:rPr>
        <w:t xml:space="preserve">The author(s) do not have any conflict of interest. </w:t>
      </w:r>
    </w:p>
    <w:p w14:paraId="3F3A0575" w14:textId="77777777" w:rsidR="0016621E" w:rsidRPr="00904AEA" w:rsidRDefault="0016621E"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Data Availability Statement</w:t>
      </w:r>
    </w:p>
    <w:p w14:paraId="2FF039F0" w14:textId="77777777" w:rsidR="0016621E" w:rsidRPr="00904AEA" w:rsidRDefault="0016621E"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Cs/>
          <w:sz w:val="24"/>
          <w:szCs w:val="24"/>
        </w:rPr>
        <w:t>This statement does not apply to this</w:t>
      </w:r>
      <w:r w:rsidR="007955A5"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article.</w:t>
      </w:r>
    </w:p>
    <w:p w14:paraId="2DEB7D43" w14:textId="77777777" w:rsidR="0016621E" w:rsidRPr="00904AEA" w:rsidRDefault="007955A5"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E</w:t>
      </w:r>
      <w:r w:rsidR="0016621E" w:rsidRPr="00904AEA">
        <w:rPr>
          <w:rFonts w:ascii="Times New Roman" w:hAnsi="Times New Roman" w:cs="Times New Roman"/>
          <w:b/>
          <w:bCs/>
          <w:sz w:val="24"/>
          <w:szCs w:val="24"/>
        </w:rPr>
        <w:t>thics Statement</w:t>
      </w:r>
    </w:p>
    <w:p w14:paraId="3E313B59" w14:textId="77777777" w:rsidR="0016621E" w:rsidRPr="00904AEA" w:rsidRDefault="0016621E" w:rsidP="0016621E">
      <w:pPr>
        <w:spacing w:line="360" w:lineRule="auto"/>
        <w:jc w:val="both"/>
        <w:rPr>
          <w:rFonts w:ascii="Times New Roman" w:hAnsi="Times New Roman" w:cs="Times New Roman"/>
          <w:bCs/>
          <w:sz w:val="24"/>
          <w:szCs w:val="24"/>
        </w:rPr>
      </w:pPr>
      <w:r w:rsidRPr="00904AEA">
        <w:rPr>
          <w:rFonts w:ascii="Times New Roman" w:hAnsi="Times New Roman" w:cs="Times New Roman"/>
          <w:bCs/>
          <w:sz w:val="24"/>
          <w:szCs w:val="24"/>
        </w:rPr>
        <w:t>This research did not involve human</w:t>
      </w:r>
      <w:r w:rsidR="007955A5"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participants, animal subjects, or any material that</w:t>
      </w:r>
      <w:r w:rsidR="007955A5"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requires ethical approval.</w:t>
      </w:r>
    </w:p>
    <w:p w14:paraId="01BE8E2B" w14:textId="77777777" w:rsidR="0016621E" w:rsidRPr="00904AEA" w:rsidRDefault="0016621E"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Informed Consent Statement</w:t>
      </w:r>
    </w:p>
    <w:p w14:paraId="0660AA04" w14:textId="77777777" w:rsidR="0016621E" w:rsidRPr="00904AEA" w:rsidRDefault="0016621E" w:rsidP="0016621E">
      <w:pPr>
        <w:spacing w:line="360" w:lineRule="auto"/>
        <w:jc w:val="both"/>
        <w:rPr>
          <w:rFonts w:ascii="Times New Roman" w:hAnsi="Times New Roman" w:cs="Times New Roman"/>
          <w:bCs/>
          <w:sz w:val="24"/>
          <w:szCs w:val="24"/>
        </w:rPr>
      </w:pPr>
      <w:r w:rsidRPr="00904AEA">
        <w:rPr>
          <w:rFonts w:ascii="Times New Roman" w:hAnsi="Times New Roman" w:cs="Times New Roman"/>
          <w:bCs/>
          <w:sz w:val="24"/>
          <w:szCs w:val="24"/>
        </w:rPr>
        <w:t>This study did not involve human</w:t>
      </w:r>
      <w:r w:rsidR="00AD1C84"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participants, and therefore, informed consent was</w:t>
      </w:r>
      <w:r w:rsidR="00AD1C84"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not required.</w:t>
      </w:r>
    </w:p>
    <w:p w14:paraId="45671D3E" w14:textId="77777777" w:rsidR="0016621E" w:rsidRPr="00904AEA" w:rsidRDefault="0016621E"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Clinical Trial Registration</w:t>
      </w:r>
    </w:p>
    <w:p w14:paraId="1FD9B06D" w14:textId="77777777" w:rsidR="0016621E" w:rsidRPr="00904AEA" w:rsidRDefault="0016621E" w:rsidP="0016621E">
      <w:pPr>
        <w:spacing w:line="360" w:lineRule="auto"/>
        <w:jc w:val="both"/>
        <w:rPr>
          <w:rFonts w:ascii="Times New Roman" w:hAnsi="Times New Roman" w:cs="Times New Roman"/>
          <w:bCs/>
          <w:sz w:val="24"/>
          <w:szCs w:val="24"/>
        </w:rPr>
      </w:pPr>
      <w:r w:rsidRPr="00904AEA">
        <w:rPr>
          <w:rFonts w:ascii="Times New Roman" w:hAnsi="Times New Roman" w:cs="Times New Roman"/>
          <w:bCs/>
          <w:sz w:val="24"/>
          <w:szCs w:val="24"/>
        </w:rPr>
        <w:lastRenderedPageBreak/>
        <w:t>This research does not involve any clinical</w:t>
      </w:r>
      <w:r w:rsidR="00AD1C84"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trials.</w:t>
      </w:r>
    </w:p>
    <w:p w14:paraId="7D521924" w14:textId="77777777" w:rsidR="0016621E" w:rsidRPr="00904AEA" w:rsidRDefault="0016621E"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Permission to reproduce material from other</w:t>
      </w:r>
      <w:r w:rsidR="00AD1C84" w:rsidRPr="00904AEA">
        <w:rPr>
          <w:rFonts w:ascii="Times New Roman" w:hAnsi="Times New Roman" w:cs="Times New Roman"/>
          <w:b/>
          <w:bCs/>
          <w:sz w:val="24"/>
          <w:szCs w:val="24"/>
        </w:rPr>
        <w:t xml:space="preserve"> </w:t>
      </w:r>
      <w:r w:rsidRPr="00904AEA">
        <w:rPr>
          <w:rFonts w:ascii="Times New Roman" w:hAnsi="Times New Roman" w:cs="Times New Roman"/>
          <w:b/>
          <w:bCs/>
          <w:sz w:val="24"/>
          <w:szCs w:val="24"/>
        </w:rPr>
        <w:t>sources</w:t>
      </w:r>
    </w:p>
    <w:p w14:paraId="519B6839" w14:textId="77777777" w:rsidR="0016621E" w:rsidRPr="00904AEA" w:rsidRDefault="0016621E" w:rsidP="0016621E">
      <w:pPr>
        <w:spacing w:line="360" w:lineRule="auto"/>
        <w:jc w:val="both"/>
        <w:rPr>
          <w:rFonts w:ascii="Times New Roman" w:hAnsi="Times New Roman" w:cs="Times New Roman"/>
          <w:bCs/>
          <w:sz w:val="24"/>
          <w:szCs w:val="24"/>
        </w:rPr>
      </w:pPr>
      <w:r w:rsidRPr="00904AEA">
        <w:rPr>
          <w:rFonts w:ascii="Times New Roman" w:hAnsi="Times New Roman" w:cs="Times New Roman"/>
          <w:bCs/>
          <w:sz w:val="24"/>
          <w:szCs w:val="24"/>
        </w:rPr>
        <w:t>Not applicable.</w:t>
      </w:r>
    </w:p>
    <w:p w14:paraId="50CC31EC" w14:textId="77777777" w:rsidR="001752EC" w:rsidRPr="00904AEA" w:rsidRDefault="00733DC0" w:rsidP="001752EC">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References</w:t>
      </w:r>
    </w:p>
    <w:p w14:paraId="44A3FBF5"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Alara, J. A., &amp; Alara, O. R. (2024). An overview of the global alarming increase of multiple drug resistant: a major challenge in clinical diagnosis. </w:t>
      </w:r>
      <w:r w:rsidRPr="00521BBA">
        <w:rPr>
          <w:rFonts w:ascii="Times New Roman" w:eastAsia="Times New Roman" w:hAnsi="Times New Roman" w:cs="Times New Roman"/>
          <w:i/>
          <w:iCs/>
        </w:rPr>
        <w:t>Infectious Disorders-Drug TargetsDisorders)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24</w:t>
      </w:r>
      <w:r w:rsidRPr="00521BBA">
        <w:rPr>
          <w:rFonts w:ascii="Times New Roman" w:eastAsia="Times New Roman" w:hAnsi="Times New Roman" w:cs="Times New Roman"/>
        </w:rPr>
        <w:t>(3), 26-42.</w:t>
      </w:r>
      <w:r w:rsidRPr="00521BBA">
        <w:rPr>
          <w:rFonts w:ascii="Times New Roman" w:hAnsi="Times New Roman" w:cs="Times New Roman"/>
        </w:rPr>
        <w:t xml:space="preserve"> </w:t>
      </w:r>
      <w:hyperlink r:id="rId13" w:history="1">
        <w:r w:rsidRPr="00521BBA">
          <w:rPr>
            <w:rStyle w:val="Hyperlink"/>
            <w:rFonts w:ascii="Times New Roman" w:hAnsi="Times New Roman" w:cs="Times New Roman"/>
            <w:color w:val="auto"/>
          </w:rPr>
          <w:t>https://doi.org/10.2174/1871526523666230725103902</w:t>
        </w:r>
      </w:hyperlink>
    </w:p>
    <w:p w14:paraId="6205BBF2"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Balasubramanian, B., Soundharrajan, I., Al-Dhabi, N. A., Vijayaraghavan, P., Balasubramanian, K., Valan Arasu, M., &amp; Choi, K. C. (2021). Probiotic characteristics of Ligilactobacillus salivarius AS22 isolated from sheep dung and its application in corn-fox tail millet silage. </w:t>
      </w:r>
      <w:r w:rsidRPr="00521BBA">
        <w:rPr>
          <w:rFonts w:ascii="Times New Roman" w:eastAsia="Times New Roman" w:hAnsi="Times New Roman" w:cs="Times New Roman"/>
          <w:i/>
          <w:iCs/>
        </w:rPr>
        <w:t>Applied Sciences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11</w:t>
      </w:r>
      <w:r w:rsidRPr="00521BBA">
        <w:rPr>
          <w:rFonts w:ascii="Times New Roman" w:eastAsia="Times New Roman" w:hAnsi="Times New Roman" w:cs="Times New Roman"/>
        </w:rPr>
        <w:t>(20), 9447.</w:t>
      </w:r>
      <w:r w:rsidRPr="00521BBA">
        <w:rPr>
          <w:rFonts w:ascii="Times New Roman" w:hAnsi="Times New Roman" w:cs="Times New Roman"/>
        </w:rPr>
        <w:t xml:space="preserve"> https://doi.org/</w:t>
      </w:r>
      <w:r w:rsidRPr="00521BBA">
        <w:rPr>
          <w:rFonts w:ascii="Times New Roman" w:eastAsia="Times New Roman" w:hAnsi="Times New Roman" w:cs="Times New Roman"/>
        </w:rPr>
        <w:t>10.3390/app11209447</w:t>
      </w:r>
    </w:p>
    <w:p w14:paraId="110819DE"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Belay, W. Y., Getachew, M., Tegegne, B. A., Teffera, Z. H., Dagne, A., Zeleke, T. K., </w:t>
      </w:r>
      <w:r w:rsidRPr="00521BBA">
        <w:rPr>
          <w:rFonts w:ascii="Times New Roman" w:hAnsi="Times New Roman" w:cs="Times New Roman"/>
        </w:rPr>
        <w:t>Abebe, R. B., Gedif, A. A., Fenta, A., Yirdaw, G.,</w:t>
      </w:r>
      <w:r w:rsidRPr="00521BBA">
        <w:rPr>
          <w:rFonts w:ascii="Times New Roman" w:eastAsia="Times New Roman" w:hAnsi="Times New Roman" w:cs="Times New Roman"/>
        </w:rPr>
        <w:t xml:space="preserve"> &amp; Aschale, Y. (2024). Mechanism of antibacterial resistance, strategies and next-generation antimicrobials to contain antimicrobial resistance: a review. </w:t>
      </w:r>
      <w:r w:rsidRPr="00521BBA">
        <w:rPr>
          <w:rFonts w:ascii="Times New Roman" w:eastAsia="Times New Roman" w:hAnsi="Times New Roman" w:cs="Times New Roman"/>
          <w:i/>
          <w:iCs/>
        </w:rPr>
        <w:t>Frontiers in Pharmacology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15</w:t>
      </w:r>
      <w:r w:rsidRPr="00521BBA">
        <w:rPr>
          <w:rFonts w:ascii="Times New Roman" w:eastAsia="Times New Roman" w:hAnsi="Times New Roman" w:cs="Times New Roman"/>
        </w:rPr>
        <w:t>, 1444781.</w:t>
      </w:r>
      <w:r w:rsidRPr="00521BBA">
        <w:rPr>
          <w:rFonts w:ascii="Times New Roman" w:hAnsi="Times New Roman" w:cs="Times New Roman"/>
        </w:rPr>
        <w:t xml:space="preserve"> </w:t>
      </w:r>
      <w:hyperlink r:id="rId14" w:tgtFrame="_new" w:history="1">
        <w:r w:rsidRPr="00521BBA">
          <w:rPr>
            <w:rStyle w:val="Hyperlink"/>
            <w:rFonts w:ascii="Times New Roman" w:hAnsi="Times New Roman" w:cs="Times New Roman"/>
            <w:color w:val="auto"/>
          </w:rPr>
          <w:t>https://doi.org/10.3389/fmicb.2021.696514</w:t>
        </w:r>
      </w:hyperlink>
    </w:p>
    <w:p w14:paraId="7ED5232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Bharadwaj, A., Rastogi, A., Pandey, S., Gupta, S., &amp; Sohal, J. S. (2022). Multidrug‐resistant bacteria: their mechanism of action and prophylaxis. </w:t>
      </w:r>
      <w:r w:rsidRPr="00521BBA">
        <w:rPr>
          <w:rFonts w:ascii="Times New Roman" w:eastAsia="Times New Roman" w:hAnsi="Times New Roman" w:cs="Times New Roman"/>
          <w:i/>
          <w:iCs/>
        </w:rPr>
        <w:t xml:space="preserve">BioMed </w:t>
      </w:r>
      <w:r w:rsidR="00DC2BAA" w:rsidRPr="00521BBA">
        <w:rPr>
          <w:rFonts w:ascii="Times New Roman" w:eastAsia="Times New Roman" w:hAnsi="Times New Roman" w:cs="Times New Roman"/>
          <w:i/>
          <w:iCs/>
        </w:rPr>
        <w:t>R</w:t>
      </w:r>
      <w:r w:rsidRPr="00521BBA">
        <w:rPr>
          <w:rFonts w:ascii="Times New Roman" w:eastAsia="Times New Roman" w:hAnsi="Times New Roman" w:cs="Times New Roman"/>
          <w:i/>
          <w:iCs/>
        </w:rPr>
        <w:t xml:space="preserve">esearch </w:t>
      </w:r>
      <w:r w:rsidR="00DC2BAA" w:rsidRPr="00521BBA">
        <w:rPr>
          <w:rFonts w:ascii="Times New Roman" w:eastAsia="Times New Roman" w:hAnsi="Times New Roman" w:cs="Times New Roman"/>
          <w:i/>
          <w:iCs/>
        </w:rPr>
        <w:t>I</w:t>
      </w:r>
      <w:r w:rsidRPr="00521BBA">
        <w:rPr>
          <w:rFonts w:ascii="Times New Roman" w:eastAsia="Times New Roman" w:hAnsi="Times New Roman" w:cs="Times New Roman"/>
          <w:i/>
          <w:iCs/>
        </w:rPr>
        <w:t>nternational</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2022</w:t>
      </w:r>
      <w:r w:rsidRPr="00521BBA">
        <w:rPr>
          <w:rFonts w:ascii="Times New Roman" w:eastAsia="Times New Roman" w:hAnsi="Times New Roman" w:cs="Times New Roman"/>
        </w:rPr>
        <w:t>(1), 5419874.</w:t>
      </w:r>
      <w:r w:rsidRPr="00521BBA">
        <w:rPr>
          <w:rFonts w:ascii="Times New Roman" w:hAnsi="Times New Roman" w:cs="Times New Roman"/>
        </w:rPr>
        <w:t xml:space="preserve"> </w:t>
      </w:r>
      <w:hyperlink r:id="rId15" w:history="1">
        <w:r w:rsidRPr="00521BBA">
          <w:rPr>
            <w:rStyle w:val="Hyperlink"/>
            <w:rFonts w:ascii="Times New Roman" w:hAnsi="Times New Roman" w:cs="Times New Roman"/>
            <w:color w:val="auto"/>
          </w:rPr>
          <w:t>https://doi.org/10.1155/2022/5419874</w:t>
        </w:r>
      </w:hyperlink>
    </w:p>
    <w:p w14:paraId="51B2704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Biji, G. D., Arun, A., Muthulakshmi, E., Vijayaraghavan, P., Arasu, M. V., &amp; Al-Dhabi, N. A. (2016). Bio-prospecting of cuttle fish waste and cow dung for the production of fibrinolytic enzyme from Bacillus cereus IND5 in solid state fermentation. </w:t>
      </w:r>
      <w:r w:rsidRPr="00521BBA">
        <w:rPr>
          <w:rFonts w:ascii="Times New Roman" w:eastAsia="Times New Roman" w:hAnsi="Times New Roman" w:cs="Times New Roman"/>
          <w:i/>
          <w:iCs/>
        </w:rPr>
        <w:t>3 Biotech</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6</w:t>
      </w:r>
      <w:r w:rsidRPr="00521BBA">
        <w:rPr>
          <w:rFonts w:ascii="Times New Roman" w:eastAsia="Times New Roman" w:hAnsi="Times New Roman" w:cs="Times New Roman"/>
        </w:rPr>
        <w:t>(2), 231.</w:t>
      </w:r>
      <w:r w:rsidRPr="00521BBA">
        <w:rPr>
          <w:rStyle w:val="Heading1Char"/>
          <w:rFonts w:ascii="Times New Roman" w:hAnsi="Times New Roman" w:cs="Times New Roman"/>
          <w:color w:val="auto"/>
          <w:sz w:val="24"/>
          <w:szCs w:val="24"/>
        </w:rPr>
        <w:t xml:space="preserve"> </w:t>
      </w:r>
      <w:hyperlink r:id="rId16" w:history="1">
        <w:r w:rsidRPr="00521BBA">
          <w:rPr>
            <w:rStyle w:val="Hyperlink"/>
            <w:rFonts w:ascii="Times New Roman" w:hAnsi="Times New Roman" w:cs="Times New Roman"/>
            <w:color w:val="auto"/>
          </w:rPr>
          <w:t>https://doi.org/10.1007/s13205-016-0553-0</w:t>
        </w:r>
      </w:hyperlink>
    </w:p>
    <w:p w14:paraId="458A16DB"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Catalano, A., Iacopetta, D., Ceramella, J., Scumaci, D., Giuzio, F., Saturnino, C., </w:t>
      </w:r>
      <w:r w:rsidRPr="00521BBA">
        <w:rPr>
          <w:rFonts w:ascii="Times New Roman" w:hAnsi="Times New Roman" w:cs="Times New Roman"/>
        </w:rPr>
        <w:t>Aquaro, S., Rosano, C.,</w:t>
      </w:r>
      <w:r w:rsidRPr="00521BBA">
        <w:rPr>
          <w:rFonts w:ascii="Times New Roman" w:eastAsia="Times New Roman" w:hAnsi="Times New Roman" w:cs="Times New Roman"/>
        </w:rPr>
        <w:t xml:space="preserve"> &amp; Sinicropi, M. S. (2022). Multidrug resistance (MDR): A widespread phenomenon in pharmacological therapies. </w:t>
      </w:r>
      <w:r w:rsidRPr="00521BBA">
        <w:rPr>
          <w:rFonts w:ascii="Times New Roman" w:eastAsia="Times New Roman" w:hAnsi="Times New Roman" w:cs="Times New Roman"/>
          <w:i/>
          <w:iCs/>
        </w:rPr>
        <w:t>Molecules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27</w:t>
      </w:r>
      <w:r w:rsidRPr="00521BBA">
        <w:rPr>
          <w:rFonts w:ascii="Times New Roman" w:eastAsia="Times New Roman" w:hAnsi="Times New Roman" w:cs="Times New Roman"/>
        </w:rPr>
        <w:t>(3), 616.</w:t>
      </w:r>
      <w:r w:rsidRPr="00521BBA">
        <w:rPr>
          <w:rFonts w:ascii="Times New Roman" w:hAnsi="Times New Roman" w:cs="Times New Roman"/>
        </w:rPr>
        <w:t xml:space="preserve"> </w:t>
      </w:r>
      <w:hyperlink r:id="rId17" w:history="1">
        <w:r w:rsidRPr="00521BBA">
          <w:rPr>
            <w:rStyle w:val="Hyperlink"/>
            <w:rFonts w:ascii="Times New Roman" w:hAnsi="Times New Roman" w:cs="Times New Roman"/>
            <w:color w:val="auto"/>
          </w:rPr>
          <w:t>https://doi.org/10.3390/molecules27030616</w:t>
        </w:r>
      </w:hyperlink>
    </w:p>
    <w:p w14:paraId="5D9B98D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Citorik, R. J., Mimee, M., &amp; Lu, T. K. (2014). Sequence-specific antimicrobials using efficiently delivered RNA-guided nucleases. </w:t>
      </w:r>
      <w:r w:rsidRPr="00521BBA">
        <w:rPr>
          <w:rFonts w:ascii="Times New Roman" w:eastAsia="Times New Roman" w:hAnsi="Times New Roman" w:cs="Times New Roman"/>
          <w:i/>
          <w:iCs/>
        </w:rPr>
        <w:t xml:space="preserve">Nature </w:t>
      </w:r>
      <w:r w:rsidR="00DC2BAA" w:rsidRPr="00521BBA">
        <w:rPr>
          <w:rFonts w:ascii="Times New Roman" w:eastAsia="Times New Roman" w:hAnsi="Times New Roman" w:cs="Times New Roman"/>
          <w:i/>
          <w:iCs/>
        </w:rPr>
        <w:t>B</w:t>
      </w:r>
      <w:r w:rsidRPr="00521BBA">
        <w:rPr>
          <w:rFonts w:ascii="Times New Roman" w:eastAsia="Times New Roman" w:hAnsi="Times New Roman" w:cs="Times New Roman"/>
          <w:i/>
          <w:iCs/>
        </w:rPr>
        <w:t>iotechnology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32</w:t>
      </w:r>
      <w:r w:rsidRPr="00521BBA">
        <w:rPr>
          <w:rFonts w:ascii="Times New Roman" w:eastAsia="Times New Roman" w:hAnsi="Times New Roman" w:cs="Times New Roman"/>
        </w:rPr>
        <w:t>(11), 1141-1145.</w:t>
      </w:r>
      <w:r w:rsidRPr="00521BBA">
        <w:rPr>
          <w:rStyle w:val="Heading1Char"/>
          <w:rFonts w:ascii="Times New Roman" w:hAnsi="Times New Roman" w:cs="Times New Roman"/>
          <w:color w:val="auto"/>
          <w:sz w:val="24"/>
          <w:szCs w:val="24"/>
        </w:rPr>
        <w:t xml:space="preserve"> </w:t>
      </w:r>
      <w:r w:rsidRPr="00521BBA">
        <w:rPr>
          <w:rStyle w:val="c-bibliographic-informationvalue"/>
          <w:rFonts w:ascii="Times New Roman" w:hAnsi="Times New Roman" w:cs="Times New Roman"/>
        </w:rPr>
        <w:t>https://doi.org/10.1038/nbt.3011</w:t>
      </w:r>
    </w:p>
    <w:p w14:paraId="35433C4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Duan, C., Yu, M., Xu, J., Li, B. Y., Zhao, Y., &amp; Kankala, R. K. (2023). Overcoming Cancer Multi-drug Resistance (MDR): Reasons, mechanisms, nanotherapeutic solutions, and challenges. </w:t>
      </w:r>
      <w:r w:rsidRPr="00521BBA">
        <w:rPr>
          <w:rFonts w:ascii="Times New Roman" w:eastAsia="Times New Roman" w:hAnsi="Times New Roman" w:cs="Times New Roman"/>
          <w:i/>
          <w:iCs/>
        </w:rPr>
        <w:t>Biomedicine &amp; Pharmacotherapy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162</w:t>
      </w:r>
      <w:r w:rsidRPr="00521BBA">
        <w:rPr>
          <w:rFonts w:ascii="Times New Roman" w:eastAsia="Times New Roman" w:hAnsi="Times New Roman" w:cs="Times New Roman"/>
        </w:rPr>
        <w:t>, 114643.</w:t>
      </w:r>
      <w:r w:rsidRPr="00521BBA">
        <w:rPr>
          <w:rFonts w:ascii="Times New Roman" w:hAnsi="Times New Roman" w:cs="Times New Roman"/>
        </w:rPr>
        <w:t xml:space="preserve"> </w:t>
      </w:r>
      <w:hyperlink r:id="rId18" w:tgtFrame="_blank" w:tooltip="Persistent link using digital object identifier" w:history="1">
        <w:r w:rsidRPr="00521BBA">
          <w:rPr>
            <w:rStyle w:val="anchor-text"/>
            <w:rFonts w:ascii="Times New Roman" w:hAnsi="Times New Roman" w:cs="Times New Roman"/>
            <w:u w:val="single"/>
          </w:rPr>
          <w:t>https://doi.org/10.1016/j.biopha.2023.114643</w:t>
        </w:r>
      </w:hyperlink>
    </w:p>
    <w:p w14:paraId="6F6D721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Dürr, U. H., Sudheendra, U. S., &amp; Ramamoorthy, A. (2006). LL-37, the only human member of the cathelicidin family of antimicrobial peptides. </w:t>
      </w:r>
      <w:r w:rsidRPr="00521BBA">
        <w:rPr>
          <w:rFonts w:ascii="Times New Roman" w:eastAsia="Times New Roman" w:hAnsi="Times New Roman" w:cs="Times New Roman"/>
          <w:i/>
          <w:iCs/>
        </w:rPr>
        <w:t>Biochimica et Biophysica Acta (BBA)-Biomembranes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1758</w:t>
      </w:r>
      <w:r w:rsidRPr="00521BBA">
        <w:rPr>
          <w:rFonts w:ascii="Times New Roman" w:eastAsia="Times New Roman" w:hAnsi="Times New Roman" w:cs="Times New Roman"/>
        </w:rPr>
        <w:t>(9), 1408-1425.</w:t>
      </w:r>
      <w:r w:rsidRPr="00521BBA">
        <w:rPr>
          <w:rFonts w:ascii="Times New Roman" w:hAnsi="Times New Roman" w:cs="Times New Roman"/>
        </w:rPr>
        <w:t xml:space="preserve"> </w:t>
      </w:r>
      <w:r w:rsidR="00DC2BAA" w:rsidRPr="00521BBA">
        <w:rPr>
          <w:rFonts w:ascii="Times New Roman" w:hAnsi="Times New Roman" w:cs="Times New Roman"/>
        </w:rPr>
        <w:t>https://doi.org/</w:t>
      </w:r>
      <w:hyperlink r:id="rId19" w:tgtFrame="_blank" w:tooltip="Persistent link using digital object identifier" w:history="1">
        <w:r w:rsidRPr="00521BBA">
          <w:rPr>
            <w:rStyle w:val="anchor-text"/>
            <w:rFonts w:ascii="Times New Roman" w:hAnsi="Times New Roman" w:cs="Times New Roman"/>
            <w:u w:val="single"/>
          </w:rPr>
          <w:t>10.1016/j.bbamem.2006.03.030</w:t>
        </w:r>
      </w:hyperlink>
    </w:p>
    <w:p w14:paraId="54BFFDC8"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hAnsi="Times New Roman" w:cs="Times New Roman"/>
        </w:rPr>
        <w:t xml:space="preserve">European Union. (2024). </w:t>
      </w:r>
      <w:r w:rsidRPr="00521BBA">
        <w:rPr>
          <w:rFonts w:ascii="Times New Roman" w:hAnsi="Times New Roman" w:cs="Times New Roman"/>
          <w:i/>
          <w:iCs/>
        </w:rPr>
        <w:t>Commission Implementing Regulation (EU) 2024/XXX of 15 March 2024 on measures to prevent the use of antibiotics for growth promotion in animals</w:t>
      </w:r>
      <w:r w:rsidRPr="00521BBA">
        <w:rPr>
          <w:rFonts w:ascii="Times New Roman" w:hAnsi="Times New Roman" w:cs="Times New Roman"/>
        </w:rPr>
        <w:t>. Official Journal of the European Union.</w:t>
      </w:r>
    </w:p>
    <w:p w14:paraId="6477B87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hAnsi="Times New Roman" w:cs="Times New Roman"/>
        </w:rPr>
        <w:lastRenderedPageBreak/>
        <w:t xml:space="preserve">Farraj, D. A. A., Gawwad, M. R. A., Elshikh, M. S., Arokiyaraj, S., &amp; Vijayaraghavan, P. (2024). Biodegradation of 17β‐estradiol by drug‐resistant Stenotrophomonas maltophilia MN08 and Pseudomonas aeruginosa KL10 isolated from the sediment sample. </w:t>
      </w:r>
      <w:r w:rsidRPr="00521BBA">
        <w:rPr>
          <w:rFonts w:ascii="Times New Roman" w:hAnsi="Times New Roman" w:cs="Times New Roman"/>
          <w:i/>
          <w:iCs/>
        </w:rPr>
        <w:t>Environmental Quality Management</w:t>
      </w:r>
      <w:r w:rsidRPr="00521BBA">
        <w:rPr>
          <w:rFonts w:ascii="Times New Roman" w:hAnsi="Times New Roman" w:cs="Times New Roman"/>
        </w:rPr>
        <w:t xml:space="preserve">, </w:t>
      </w:r>
      <w:r w:rsidRPr="00521BBA">
        <w:rPr>
          <w:rFonts w:ascii="Times New Roman" w:hAnsi="Times New Roman" w:cs="Times New Roman"/>
          <w:i/>
          <w:iCs/>
        </w:rPr>
        <w:t>34</w:t>
      </w:r>
      <w:r w:rsidRPr="00521BBA">
        <w:rPr>
          <w:rFonts w:ascii="Times New Roman" w:hAnsi="Times New Roman" w:cs="Times New Roman"/>
        </w:rPr>
        <w:t xml:space="preserve">(1), e22183. </w:t>
      </w:r>
      <w:hyperlink r:id="rId20" w:history="1">
        <w:r w:rsidRPr="00521BBA">
          <w:rPr>
            <w:rStyle w:val="Hyperlink"/>
            <w:rFonts w:ascii="Times New Roman" w:hAnsi="Times New Roman" w:cs="Times New Roman"/>
            <w:color w:val="auto"/>
          </w:rPr>
          <w:t>https://doi.org/10.1002/tqem.22183</w:t>
        </w:r>
      </w:hyperlink>
    </w:p>
    <w:p w14:paraId="5FEDCDFB"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Faure, G., Shmakov, S. A., Yan, W. X., Cheng, D. R., Scott, D. A., Peters, J. E., </w:t>
      </w:r>
      <w:r w:rsidRPr="00521BBA">
        <w:rPr>
          <w:rFonts w:ascii="Times New Roman" w:hAnsi="Times New Roman" w:cs="Times New Roman"/>
        </w:rPr>
        <w:t>Makarova, K. S.,</w:t>
      </w:r>
      <w:r w:rsidRPr="00521BBA">
        <w:rPr>
          <w:rFonts w:ascii="Times New Roman" w:eastAsia="Times New Roman" w:hAnsi="Times New Roman" w:cs="Times New Roman"/>
        </w:rPr>
        <w:t xml:space="preserve"> &amp; Koonin, E. V. (2019). CRISPR–Cas in mobile genetic elements: counter-defence and beyond. </w:t>
      </w:r>
      <w:r w:rsidRPr="00521BBA">
        <w:rPr>
          <w:rFonts w:ascii="Times New Roman" w:eastAsia="Times New Roman" w:hAnsi="Times New Roman" w:cs="Times New Roman"/>
          <w:i/>
          <w:iCs/>
        </w:rPr>
        <w:t>Nature Reviews Microbiology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17</w:t>
      </w:r>
      <w:r w:rsidRPr="00521BBA">
        <w:rPr>
          <w:rFonts w:ascii="Times New Roman" w:eastAsia="Times New Roman" w:hAnsi="Times New Roman" w:cs="Times New Roman"/>
        </w:rPr>
        <w:t>(8), 513-525.</w:t>
      </w:r>
      <w:r w:rsidR="00DC2BAA" w:rsidRPr="00521BBA">
        <w:rPr>
          <w:rStyle w:val="Heading1Char"/>
          <w:color w:val="auto"/>
        </w:rPr>
        <w:t xml:space="preserve"> </w:t>
      </w:r>
      <w:r w:rsidR="00DC2BAA" w:rsidRPr="00904AEA">
        <w:rPr>
          <w:rStyle w:val="c-bibliographic-informationvalue"/>
        </w:rPr>
        <w:t>https://doi.org/10.1038/s41579-019-0204-7</w:t>
      </w:r>
    </w:p>
    <w:p w14:paraId="4103FAF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Fischetti, V. A. (2018). Development of phage lysins as novel therapeutics: a historical perspective. </w:t>
      </w:r>
      <w:r w:rsidRPr="00521BBA">
        <w:rPr>
          <w:rFonts w:ascii="Times New Roman" w:eastAsia="Times New Roman" w:hAnsi="Times New Roman" w:cs="Times New Roman"/>
          <w:i/>
          <w:iCs/>
        </w:rPr>
        <w:t>Viruses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10</w:t>
      </w:r>
      <w:r w:rsidRPr="00521BBA">
        <w:rPr>
          <w:rFonts w:ascii="Times New Roman" w:eastAsia="Times New Roman" w:hAnsi="Times New Roman" w:cs="Times New Roman"/>
        </w:rPr>
        <w:t>(6), 310.</w:t>
      </w:r>
      <w:r w:rsidRPr="00521BBA">
        <w:rPr>
          <w:rFonts w:ascii="Times New Roman" w:hAnsi="Times New Roman" w:cs="Times New Roman"/>
        </w:rPr>
        <w:t xml:space="preserve"> </w:t>
      </w:r>
      <w:r w:rsidR="00DC2BAA" w:rsidRPr="00904AEA">
        <w:rPr>
          <w:rStyle w:val="c-bibliographic-informationvalue"/>
        </w:rPr>
        <w:t>https://doi.org/</w:t>
      </w:r>
      <w:hyperlink r:id="rId21" w:history="1">
        <w:r w:rsidRPr="00521BBA">
          <w:rPr>
            <w:rStyle w:val="Hyperlink"/>
            <w:rFonts w:ascii="Times New Roman" w:hAnsi="Times New Roman" w:cs="Times New Roman"/>
            <w:color w:val="auto"/>
          </w:rPr>
          <w:t>10.3390/v10060310</w:t>
        </w:r>
      </w:hyperlink>
    </w:p>
    <w:p w14:paraId="50BF94F8"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Gashaw, M., Berhane, M., Bekele, S., Melaku, T., Lemmi, G., Chelkeba, L., </w:t>
      </w:r>
      <w:r w:rsidRPr="00521BBA">
        <w:rPr>
          <w:rFonts w:ascii="Times New Roman" w:hAnsi="Times New Roman" w:cs="Times New Roman"/>
        </w:rPr>
        <w:t>Wakjira, T., Tesfaw, G., Mekonnen, Z., Kroidl, A.,</w:t>
      </w:r>
      <w:r w:rsidRPr="00521BBA">
        <w:rPr>
          <w:rFonts w:ascii="Times New Roman" w:eastAsia="Times New Roman" w:hAnsi="Times New Roman" w:cs="Times New Roman"/>
        </w:rPr>
        <w:t xml:space="preserve"> &amp; Gudina, E. K. (2025). Antibiotic Use Patterns at Jimma Medical Center in Southwest Ethiopia: A Call for Local Antibiogram-Guided Prescription. </w:t>
      </w:r>
      <w:r w:rsidRPr="00521BBA">
        <w:rPr>
          <w:rFonts w:ascii="Times New Roman" w:eastAsia="Times New Roman" w:hAnsi="Times New Roman" w:cs="Times New Roman"/>
          <w:i/>
          <w:iCs/>
        </w:rPr>
        <w:t>Journal of Clinical Medicine</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14</w:t>
      </w:r>
      <w:r w:rsidRPr="00521BBA">
        <w:rPr>
          <w:rFonts w:ascii="Times New Roman" w:eastAsia="Times New Roman" w:hAnsi="Times New Roman" w:cs="Times New Roman"/>
        </w:rPr>
        <w:t>(7), 2413.</w:t>
      </w:r>
      <w:r w:rsidRPr="00521BBA">
        <w:rPr>
          <w:rFonts w:ascii="Times New Roman" w:hAnsi="Times New Roman" w:cs="Times New Roman"/>
        </w:rPr>
        <w:t xml:space="preserve"> </w:t>
      </w:r>
      <w:hyperlink r:id="rId22" w:tgtFrame="_blank" w:tooltip="Persistent link using digital object identifier" w:history="1">
        <w:r w:rsidRPr="00521BBA">
          <w:rPr>
            <w:rStyle w:val="anchor-text"/>
            <w:rFonts w:ascii="Times New Roman" w:hAnsi="Times New Roman" w:cs="Times New Roman"/>
            <w:u w:val="single"/>
          </w:rPr>
          <w:t>https://doi.org/10.1016/j.ijid.2025.108033</w:t>
        </w:r>
      </w:hyperlink>
    </w:p>
    <w:p w14:paraId="60C2D39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Gaurav, A., Bakht, P., Saini, M., Pandey, S., &amp; Pathania, R. (2023). Role of bacterial efflux pumps in antibiotic resistance, virulence, and strategies to discover novel efflux pump inhibitors. </w:t>
      </w:r>
      <w:r w:rsidRPr="00521BBA">
        <w:rPr>
          <w:rFonts w:ascii="Times New Roman" w:eastAsia="Times New Roman" w:hAnsi="Times New Roman" w:cs="Times New Roman"/>
          <w:i/>
          <w:iCs/>
        </w:rPr>
        <w:t>Microbiology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169</w:t>
      </w:r>
      <w:r w:rsidRPr="00521BBA">
        <w:rPr>
          <w:rFonts w:ascii="Times New Roman" w:eastAsia="Times New Roman" w:hAnsi="Times New Roman" w:cs="Times New Roman"/>
        </w:rPr>
        <w:t>(5), 001333.</w:t>
      </w:r>
      <w:r w:rsidRPr="00521BBA">
        <w:rPr>
          <w:rFonts w:ascii="Times New Roman" w:hAnsi="Times New Roman" w:cs="Times New Roman"/>
        </w:rPr>
        <w:t xml:space="preserve"> https://doi.org/</w:t>
      </w:r>
      <w:hyperlink r:id="rId23" w:history="1">
        <w:r w:rsidRPr="00521BBA">
          <w:rPr>
            <w:rStyle w:val="Hyperlink"/>
            <w:rFonts w:ascii="Times New Roman" w:hAnsi="Times New Roman" w:cs="Times New Roman"/>
            <w:color w:val="auto"/>
          </w:rPr>
          <w:t>10.1099/mic.0.001333</w:t>
        </w:r>
      </w:hyperlink>
    </w:p>
    <w:p w14:paraId="2D3D5953"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Green, T. J., Montagnani, C., Benkendorff, K., Robinson, N., &amp; Speck, P. (2014). Ontogeny and water temperature influences the antiviral response of the Pacific oyster, Crassostrea gigas. </w:t>
      </w:r>
      <w:r w:rsidRPr="00521BBA">
        <w:rPr>
          <w:rFonts w:ascii="Times New Roman" w:eastAsia="Times New Roman" w:hAnsi="Times New Roman" w:cs="Times New Roman"/>
          <w:i/>
          <w:iCs/>
        </w:rPr>
        <w:t xml:space="preserve">Fish &amp; </w:t>
      </w:r>
      <w:r w:rsidR="00DC2BAA" w:rsidRPr="00521BBA">
        <w:rPr>
          <w:rFonts w:ascii="Times New Roman" w:eastAsia="Times New Roman" w:hAnsi="Times New Roman" w:cs="Times New Roman"/>
          <w:i/>
          <w:iCs/>
        </w:rPr>
        <w:t>S</w:t>
      </w:r>
      <w:r w:rsidRPr="00521BBA">
        <w:rPr>
          <w:rFonts w:ascii="Times New Roman" w:eastAsia="Times New Roman" w:hAnsi="Times New Roman" w:cs="Times New Roman"/>
          <w:i/>
          <w:iCs/>
        </w:rPr>
        <w:t xml:space="preserve">hellfish </w:t>
      </w:r>
      <w:r w:rsidR="00DC2BAA" w:rsidRPr="00521BBA">
        <w:rPr>
          <w:rFonts w:ascii="Times New Roman" w:eastAsia="Times New Roman" w:hAnsi="Times New Roman" w:cs="Times New Roman"/>
          <w:i/>
          <w:iCs/>
        </w:rPr>
        <w:t>I</w:t>
      </w:r>
      <w:r w:rsidRPr="00521BBA">
        <w:rPr>
          <w:rFonts w:ascii="Times New Roman" w:eastAsia="Times New Roman" w:hAnsi="Times New Roman" w:cs="Times New Roman"/>
          <w:i/>
          <w:iCs/>
        </w:rPr>
        <w:t>mmunology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36</w:t>
      </w:r>
      <w:r w:rsidRPr="00521BBA">
        <w:rPr>
          <w:rFonts w:ascii="Times New Roman" w:eastAsia="Times New Roman" w:hAnsi="Times New Roman" w:cs="Times New Roman"/>
        </w:rPr>
        <w:t>(1), 151-157.</w:t>
      </w:r>
      <w:r w:rsidRPr="00521BBA">
        <w:rPr>
          <w:rFonts w:ascii="Times New Roman" w:hAnsi="Times New Roman" w:cs="Times New Roman"/>
        </w:rPr>
        <w:t xml:space="preserve"> </w:t>
      </w:r>
      <w:r w:rsidR="00DC2BAA" w:rsidRPr="00904AEA">
        <w:rPr>
          <w:rStyle w:val="c-bibliographic-informationvalue"/>
        </w:rPr>
        <w:t>https://doi.org/</w:t>
      </w:r>
      <w:hyperlink r:id="rId24" w:tgtFrame="_blank" w:tooltip="Persistent link using digital object identifier" w:history="1">
        <w:r w:rsidRPr="00521BBA">
          <w:rPr>
            <w:rStyle w:val="anchor-text"/>
            <w:rFonts w:ascii="Times New Roman" w:hAnsi="Times New Roman" w:cs="Times New Roman"/>
            <w:u w:val="single"/>
          </w:rPr>
          <w:t>10.1016/j.fsi.2013.10.026</w:t>
        </w:r>
      </w:hyperlink>
    </w:p>
    <w:p w14:paraId="25988179"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Haverstick, S., Goodrich, C., Freeman, R., James, S., Kullar, R., &amp; Ahrens, M. (2017). Patients’ hand washing and reducing hospital-acquired infection. </w:t>
      </w:r>
      <w:r w:rsidRPr="00521BBA">
        <w:rPr>
          <w:rFonts w:ascii="Times New Roman" w:eastAsia="Times New Roman" w:hAnsi="Times New Roman" w:cs="Times New Roman"/>
          <w:i/>
          <w:iCs/>
        </w:rPr>
        <w:t xml:space="preserve">Critical </w:t>
      </w:r>
      <w:r w:rsidR="00DC2BAA" w:rsidRPr="00521BBA">
        <w:rPr>
          <w:rFonts w:ascii="Times New Roman" w:eastAsia="Times New Roman" w:hAnsi="Times New Roman" w:cs="Times New Roman"/>
          <w:i/>
          <w:iCs/>
        </w:rPr>
        <w:t>C</w:t>
      </w:r>
      <w:r w:rsidRPr="00521BBA">
        <w:rPr>
          <w:rFonts w:ascii="Times New Roman" w:eastAsia="Times New Roman" w:hAnsi="Times New Roman" w:cs="Times New Roman"/>
          <w:i/>
          <w:iCs/>
        </w:rPr>
        <w:t xml:space="preserve">are </w:t>
      </w:r>
      <w:r w:rsidR="00DC2BAA" w:rsidRPr="00521BBA">
        <w:rPr>
          <w:rFonts w:ascii="Times New Roman" w:eastAsia="Times New Roman" w:hAnsi="Times New Roman" w:cs="Times New Roman"/>
          <w:i/>
          <w:iCs/>
        </w:rPr>
        <w:t>M</w:t>
      </w:r>
      <w:r w:rsidRPr="00521BBA">
        <w:rPr>
          <w:rFonts w:ascii="Times New Roman" w:eastAsia="Times New Roman" w:hAnsi="Times New Roman" w:cs="Times New Roman"/>
          <w:i/>
          <w:iCs/>
        </w:rPr>
        <w:t>urse</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37</w:t>
      </w:r>
      <w:r w:rsidRPr="00521BBA">
        <w:rPr>
          <w:rFonts w:ascii="Times New Roman" w:eastAsia="Times New Roman" w:hAnsi="Times New Roman" w:cs="Times New Roman"/>
        </w:rPr>
        <w:t>(3), e1-e8.</w:t>
      </w:r>
      <w:r w:rsidRPr="00521BBA">
        <w:rPr>
          <w:rFonts w:ascii="Times New Roman" w:hAnsi="Times New Roman" w:cs="Times New Roman"/>
        </w:rPr>
        <w:t xml:space="preserve"> </w:t>
      </w:r>
      <w:r w:rsidR="00DC2BAA" w:rsidRPr="00904AEA">
        <w:rPr>
          <w:rStyle w:val="c-bibliographic-informationvalue"/>
        </w:rPr>
        <w:t>https://doi.org/</w:t>
      </w:r>
      <w:hyperlink r:id="rId25" w:tgtFrame="_blank" w:history="1">
        <w:r w:rsidRPr="00521BBA">
          <w:rPr>
            <w:rStyle w:val="Hyperlink"/>
            <w:rFonts w:ascii="Times New Roman" w:hAnsi="Times New Roman" w:cs="Times New Roman"/>
            <w:color w:val="auto"/>
          </w:rPr>
          <w:t>10.4037/ccn2017694</w:t>
        </w:r>
      </w:hyperlink>
    </w:p>
    <w:p w14:paraId="66ABBAE6" w14:textId="77777777" w:rsidR="001752EC" w:rsidRPr="00521BBA" w:rsidRDefault="001752EC" w:rsidP="00521BBA">
      <w:pPr>
        <w:pStyle w:val="ListParagraph"/>
        <w:numPr>
          <w:ilvl w:val="0"/>
          <w:numId w:val="10"/>
        </w:numPr>
        <w:spacing w:after="0" w:line="240" w:lineRule="auto"/>
        <w:jc w:val="both"/>
        <w:rPr>
          <w:rFonts w:ascii="Times New Roman" w:hAnsi="Times New Roman" w:cs="Times New Roman"/>
        </w:rPr>
      </w:pPr>
      <w:r w:rsidRPr="00521BBA">
        <w:rPr>
          <w:rFonts w:ascii="Times New Roman" w:hAnsi="Times New Roman" w:cs="Times New Roman"/>
        </w:rPr>
        <w:t xml:space="preserve">Ishiyama D. </w:t>
      </w:r>
      <w:r w:rsidR="00DC2BAA" w:rsidRPr="00521BBA">
        <w:rPr>
          <w:rFonts w:ascii="Times New Roman" w:hAnsi="Times New Roman" w:cs="Times New Roman"/>
        </w:rPr>
        <w:t xml:space="preserve">(2024). </w:t>
      </w:r>
      <w:r w:rsidRPr="00521BBA">
        <w:rPr>
          <w:rFonts w:ascii="Times New Roman" w:hAnsi="Times New Roman" w:cs="Times New Roman"/>
        </w:rPr>
        <w:t>Everyone can benefit from handwashing': How a new device is improving access to hygiene</w:t>
      </w:r>
      <w:r w:rsidR="00DC2BAA" w:rsidRPr="00521BBA">
        <w:rPr>
          <w:rFonts w:ascii="Times New Roman" w:hAnsi="Times New Roman" w:cs="Times New Roman"/>
        </w:rPr>
        <w:t>.</w:t>
      </w:r>
    </w:p>
    <w:p w14:paraId="652DEF61"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Jubair, N., Rajagopal, M., Chinnappan, S., Abdullah, N. B., &amp; Fatima, A. (2021). Review on the antibacterial mechanism of plant‐derived compounds against multidrug‐resistant bacteria (MDR). </w:t>
      </w:r>
      <w:r w:rsidRPr="00521BBA">
        <w:rPr>
          <w:rFonts w:ascii="Times New Roman" w:eastAsia="Times New Roman" w:hAnsi="Times New Roman" w:cs="Times New Roman"/>
          <w:i/>
          <w:iCs/>
        </w:rPr>
        <w:t>Evidence‐Based Complementary and Alternative Medicine</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2021</w:t>
      </w:r>
      <w:r w:rsidRPr="00521BBA">
        <w:rPr>
          <w:rFonts w:ascii="Times New Roman" w:eastAsia="Times New Roman" w:hAnsi="Times New Roman" w:cs="Times New Roman"/>
        </w:rPr>
        <w:t>(1), 3663315.</w:t>
      </w:r>
      <w:r w:rsidRPr="00521BBA">
        <w:rPr>
          <w:rFonts w:ascii="Times New Roman" w:hAnsi="Times New Roman" w:cs="Times New Roman"/>
        </w:rPr>
        <w:t xml:space="preserve"> </w:t>
      </w:r>
      <w:hyperlink r:id="rId26" w:history="1">
        <w:r w:rsidRPr="00521BBA">
          <w:rPr>
            <w:rStyle w:val="Hyperlink"/>
            <w:rFonts w:ascii="Times New Roman" w:hAnsi="Times New Roman" w:cs="Times New Roman"/>
            <w:color w:val="auto"/>
          </w:rPr>
          <w:t>https://doi.org/10.1155/2021/3663315</w:t>
        </w:r>
      </w:hyperlink>
    </w:p>
    <w:p w14:paraId="2E4556AC"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Kebede, T., Gadisa, E., &amp; Tufa, A. (2021). Antimicrobial activities evaluation and phytochemical screening of some selected medicinal plants: A possible alternative in the treatment of multidrug-resistant microbes. </w:t>
      </w:r>
      <w:r w:rsidRPr="00521BBA">
        <w:rPr>
          <w:rFonts w:ascii="Times New Roman" w:eastAsia="Times New Roman" w:hAnsi="Times New Roman" w:cs="Times New Roman"/>
          <w:i/>
          <w:iCs/>
        </w:rPr>
        <w:t xml:space="preserve">PloS </w:t>
      </w:r>
      <w:r w:rsidR="00DC2BAA" w:rsidRPr="00521BBA">
        <w:rPr>
          <w:rFonts w:ascii="Times New Roman" w:eastAsia="Times New Roman" w:hAnsi="Times New Roman" w:cs="Times New Roman"/>
          <w:i/>
          <w:iCs/>
        </w:rPr>
        <w:t>O</w:t>
      </w:r>
      <w:r w:rsidRPr="00521BBA">
        <w:rPr>
          <w:rFonts w:ascii="Times New Roman" w:eastAsia="Times New Roman" w:hAnsi="Times New Roman" w:cs="Times New Roman"/>
          <w:i/>
          <w:iCs/>
        </w:rPr>
        <w:t>ne</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16</w:t>
      </w:r>
      <w:r w:rsidRPr="00521BBA">
        <w:rPr>
          <w:rFonts w:ascii="Times New Roman" w:eastAsia="Times New Roman" w:hAnsi="Times New Roman" w:cs="Times New Roman"/>
        </w:rPr>
        <w:t>(3), e0249253.</w:t>
      </w:r>
      <w:r w:rsidRPr="00521BBA">
        <w:rPr>
          <w:rFonts w:ascii="Times New Roman" w:hAnsi="Times New Roman" w:cs="Times New Roman"/>
        </w:rPr>
        <w:t xml:space="preserve"> </w:t>
      </w:r>
      <w:hyperlink r:id="rId27" w:history="1">
        <w:r w:rsidRPr="00521BBA">
          <w:rPr>
            <w:rStyle w:val="Hyperlink"/>
            <w:rFonts w:ascii="Times New Roman" w:hAnsi="Times New Roman" w:cs="Times New Roman"/>
            <w:color w:val="auto"/>
          </w:rPr>
          <w:t>https://doi.org/10.1371/journal.pone.0249253</w:t>
        </w:r>
      </w:hyperlink>
    </w:p>
    <w:p w14:paraId="351AD6A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Kundrapu, S., Sunkesula, V., Jury, L. A., Sitzlar, B. M., &amp; Donskey, C. J. (2012). Daily disinfection of high-touch surfaces in isolation rooms to reduce contamination of healthcare workers' hands. </w:t>
      </w:r>
      <w:r w:rsidRPr="00521BBA">
        <w:rPr>
          <w:rFonts w:ascii="Times New Roman" w:eastAsia="Times New Roman" w:hAnsi="Times New Roman" w:cs="Times New Roman"/>
          <w:i/>
          <w:iCs/>
        </w:rPr>
        <w:t>Infection Control &amp; Hospital Epidemiology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33</w:t>
      </w:r>
      <w:r w:rsidRPr="00521BBA">
        <w:rPr>
          <w:rFonts w:ascii="Times New Roman" w:eastAsia="Times New Roman" w:hAnsi="Times New Roman" w:cs="Times New Roman"/>
        </w:rPr>
        <w:t>(10), 1039-1042.</w:t>
      </w:r>
      <w:r w:rsidRPr="00521BBA">
        <w:rPr>
          <w:rStyle w:val="text"/>
          <w:rFonts w:ascii="Times New Roman" w:hAnsi="Times New Roman" w:cs="Times New Roman"/>
          <w:u w:val="single"/>
        </w:rPr>
        <w:t xml:space="preserve"> </w:t>
      </w:r>
      <w:r w:rsidR="00DC2BAA" w:rsidRPr="00521BBA">
        <w:rPr>
          <w:rStyle w:val="text"/>
          <w:rFonts w:ascii="Times New Roman" w:hAnsi="Times New Roman" w:cs="Times New Roman"/>
          <w:u w:val="single"/>
        </w:rPr>
        <w:t>https://doi.org/</w:t>
      </w:r>
      <w:r w:rsidRPr="00521BBA">
        <w:rPr>
          <w:rStyle w:val="text"/>
          <w:rFonts w:ascii="Times New Roman" w:hAnsi="Times New Roman" w:cs="Times New Roman"/>
          <w:u w:val="single"/>
        </w:rPr>
        <w:t>10.1086/667730</w:t>
      </w:r>
    </w:p>
    <w:p w14:paraId="61AAB504"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Kunz Coyne, A. J., El Ghali, A., Holger, D., Rebold, N., &amp; Rybak, M. J. (2022). Therapeutic strategies for emerging multidrug-resistant Pseudomonas aeruginosa. </w:t>
      </w:r>
      <w:r w:rsidRPr="00521BBA">
        <w:rPr>
          <w:rFonts w:ascii="Times New Roman" w:eastAsia="Times New Roman" w:hAnsi="Times New Roman" w:cs="Times New Roman"/>
          <w:i/>
          <w:iCs/>
        </w:rPr>
        <w:t xml:space="preserve">Infectious </w:t>
      </w:r>
      <w:r w:rsidR="00DC2BAA" w:rsidRPr="00521BBA">
        <w:rPr>
          <w:rFonts w:ascii="Times New Roman" w:eastAsia="Times New Roman" w:hAnsi="Times New Roman" w:cs="Times New Roman"/>
          <w:i/>
          <w:iCs/>
        </w:rPr>
        <w:t>D</w:t>
      </w:r>
      <w:r w:rsidRPr="00521BBA">
        <w:rPr>
          <w:rFonts w:ascii="Times New Roman" w:eastAsia="Times New Roman" w:hAnsi="Times New Roman" w:cs="Times New Roman"/>
          <w:i/>
          <w:iCs/>
        </w:rPr>
        <w:t xml:space="preserve">iseases and </w:t>
      </w:r>
      <w:r w:rsidR="00DC2BAA" w:rsidRPr="00521BBA">
        <w:rPr>
          <w:rFonts w:ascii="Times New Roman" w:eastAsia="Times New Roman" w:hAnsi="Times New Roman" w:cs="Times New Roman"/>
          <w:i/>
          <w:iCs/>
        </w:rPr>
        <w:t>T</w:t>
      </w:r>
      <w:r w:rsidRPr="00521BBA">
        <w:rPr>
          <w:rFonts w:ascii="Times New Roman" w:eastAsia="Times New Roman" w:hAnsi="Times New Roman" w:cs="Times New Roman"/>
          <w:i/>
          <w:iCs/>
        </w:rPr>
        <w:t>herapy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11</w:t>
      </w:r>
      <w:r w:rsidRPr="00521BBA">
        <w:rPr>
          <w:rFonts w:ascii="Times New Roman" w:eastAsia="Times New Roman" w:hAnsi="Times New Roman" w:cs="Times New Roman"/>
        </w:rPr>
        <w:t>(2), 661-682.</w:t>
      </w:r>
      <w:r w:rsidRPr="00521BBA">
        <w:rPr>
          <w:rFonts w:ascii="Times New Roman" w:hAnsi="Times New Roman" w:cs="Times New Roman"/>
        </w:rPr>
        <w:t xml:space="preserve"> </w:t>
      </w:r>
      <w:hyperlink r:id="rId28" w:history="1">
        <w:r w:rsidRPr="00521BBA">
          <w:rPr>
            <w:rStyle w:val="Hyperlink"/>
            <w:rFonts w:ascii="Times New Roman" w:hAnsi="Times New Roman" w:cs="Times New Roman"/>
            <w:color w:val="auto"/>
          </w:rPr>
          <w:t>https://doi.org/10.1007/s40121-022-00591-2</w:t>
        </w:r>
      </w:hyperlink>
    </w:p>
    <w:p w14:paraId="6CEF3231"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Laxminarayan, R., Duse, A., Wattal, C., Zaidi, A. K., Wertheim, H. F., Sumpradit, N., </w:t>
      </w:r>
      <w:r w:rsidRPr="00521BBA">
        <w:rPr>
          <w:rFonts w:ascii="Times New Roman" w:hAnsi="Times New Roman" w:cs="Times New Roman"/>
        </w:rPr>
        <w:t>Vlieghe, E., Hara, G. L., Gould, I. M., Goossens, H.,</w:t>
      </w:r>
      <w:r w:rsidRPr="00521BBA">
        <w:rPr>
          <w:rFonts w:ascii="Times New Roman" w:eastAsia="Times New Roman" w:hAnsi="Times New Roman" w:cs="Times New Roman"/>
        </w:rPr>
        <w:t xml:space="preserve"> &amp; Cars, O. (2013). Antibiotic </w:t>
      </w:r>
      <w:r w:rsidRPr="00521BBA">
        <w:rPr>
          <w:rFonts w:ascii="Times New Roman" w:eastAsia="Times New Roman" w:hAnsi="Times New Roman" w:cs="Times New Roman"/>
        </w:rPr>
        <w:lastRenderedPageBreak/>
        <w:t xml:space="preserve">resistance—the need for global solutions. </w:t>
      </w:r>
      <w:r w:rsidRPr="00521BBA">
        <w:rPr>
          <w:rFonts w:ascii="Times New Roman" w:eastAsia="Times New Roman" w:hAnsi="Times New Roman" w:cs="Times New Roman"/>
          <w:i/>
          <w:iCs/>
        </w:rPr>
        <w:t xml:space="preserve">The Lancet </w:t>
      </w:r>
      <w:r w:rsidR="00DC2BAA" w:rsidRPr="00521BBA">
        <w:rPr>
          <w:rFonts w:ascii="Times New Roman" w:eastAsia="Times New Roman" w:hAnsi="Times New Roman" w:cs="Times New Roman"/>
          <w:i/>
          <w:iCs/>
        </w:rPr>
        <w:t>I</w:t>
      </w:r>
      <w:r w:rsidRPr="00521BBA">
        <w:rPr>
          <w:rFonts w:ascii="Times New Roman" w:eastAsia="Times New Roman" w:hAnsi="Times New Roman" w:cs="Times New Roman"/>
          <w:i/>
          <w:iCs/>
        </w:rPr>
        <w:t xml:space="preserve">nfectious </w:t>
      </w:r>
      <w:r w:rsidR="00DC2BAA" w:rsidRPr="00521BBA">
        <w:rPr>
          <w:rFonts w:ascii="Times New Roman" w:eastAsia="Times New Roman" w:hAnsi="Times New Roman" w:cs="Times New Roman"/>
          <w:i/>
          <w:iCs/>
        </w:rPr>
        <w:t>D</w:t>
      </w:r>
      <w:r w:rsidRPr="00521BBA">
        <w:rPr>
          <w:rFonts w:ascii="Times New Roman" w:eastAsia="Times New Roman" w:hAnsi="Times New Roman" w:cs="Times New Roman"/>
          <w:i/>
          <w:iCs/>
        </w:rPr>
        <w:t>iseases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13</w:t>
      </w:r>
      <w:r w:rsidRPr="00521BBA">
        <w:rPr>
          <w:rFonts w:ascii="Times New Roman" w:eastAsia="Times New Roman" w:hAnsi="Times New Roman" w:cs="Times New Roman"/>
        </w:rPr>
        <w:t>(12), 1057-1098.</w:t>
      </w:r>
    </w:p>
    <w:p w14:paraId="2F65768A"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Lin, D. M., Koskella, B., &amp; Lin, H. C. (2017). Phage therapy: An alternative to antibiotics in the age of multi-drug resistance. </w:t>
      </w:r>
      <w:r w:rsidRPr="00521BBA">
        <w:rPr>
          <w:rFonts w:ascii="Times New Roman" w:eastAsia="Times New Roman" w:hAnsi="Times New Roman" w:cs="Times New Roman"/>
          <w:i/>
          <w:iCs/>
        </w:rPr>
        <w:t xml:space="preserve">World </w:t>
      </w:r>
      <w:r w:rsidR="00BD0489" w:rsidRPr="00521BBA">
        <w:rPr>
          <w:rFonts w:ascii="Times New Roman" w:eastAsia="Times New Roman" w:hAnsi="Times New Roman" w:cs="Times New Roman"/>
          <w:i/>
          <w:iCs/>
        </w:rPr>
        <w:t>J</w:t>
      </w:r>
      <w:r w:rsidRPr="00521BBA">
        <w:rPr>
          <w:rFonts w:ascii="Times New Roman" w:eastAsia="Times New Roman" w:hAnsi="Times New Roman" w:cs="Times New Roman"/>
          <w:i/>
          <w:iCs/>
        </w:rPr>
        <w:t xml:space="preserve">ournal of </w:t>
      </w:r>
      <w:r w:rsidR="00BD0489" w:rsidRPr="00521BBA">
        <w:rPr>
          <w:rFonts w:ascii="Times New Roman" w:eastAsia="Times New Roman" w:hAnsi="Times New Roman" w:cs="Times New Roman"/>
          <w:i/>
          <w:iCs/>
        </w:rPr>
        <w:t>g</w:t>
      </w:r>
      <w:r w:rsidRPr="00521BBA">
        <w:rPr>
          <w:rFonts w:ascii="Times New Roman" w:eastAsia="Times New Roman" w:hAnsi="Times New Roman" w:cs="Times New Roman"/>
          <w:i/>
          <w:iCs/>
        </w:rPr>
        <w:t xml:space="preserve">astrointestinal </w:t>
      </w:r>
      <w:r w:rsidR="00BD0489" w:rsidRPr="00521BBA">
        <w:rPr>
          <w:rFonts w:ascii="Times New Roman" w:eastAsia="Times New Roman" w:hAnsi="Times New Roman" w:cs="Times New Roman"/>
          <w:i/>
          <w:iCs/>
        </w:rPr>
        <w:t>P</w:t>
      </w:r>
      <w:r w:rsidRPr="00521BBA">
        <w:rPr>
          <w:rFonts w:ascii="Times New Roman" w:eastAsia="Times New Roman" w:hAnsi="Times New Roman" w:cs="Times New Roman"/>
          <w:i/>
          <w:iCs/>
        </w:rPr>
        <w:t xml:space="preserve">harmacology and </w:t>
      </w:r>
      <w:r w:rsidR="00BD0489" w:rsidRPr="00521BBA">
        <w:rPr>
          <w:rFonts w:ascii="Times New Roman" w:eastAsia="Times New Roman" w:hAnsi="Times New Roman" w:cs="Times New Roman"/>
          <w:i/>
          <w:iCs/>
        </w:rPr>
        <w:t>T</w:t>
      </w:r>
      <w:r w:rsidRPr="00521BBA">
        <w:rPr>
          <w:rFonts w:ascii="Times New Roman" w:eastAsia="Times New Roman" w:hAnsi="Times New Roman" w:cs="Times New Roman"/>
          <w:i/>
          <w:iCs/>
        </w:rPr>
        <w:t>herapeutics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8</w:t>
      </w:r>
      <w:r w:rsidRPr="00521BBA">
        <w:rPr>
          <w:rFonts w:ascii="Times New Roman" w:eastAsia="Times New Roman" w:hAnsi="Times New Roman" w:cs="Times New Roman"/>
        </w:rPr>
        <w:t>(3), 162.</w:t>
      </w:r>
      <w:r w:rsidRPr="00521BBA">
        <w:rPr>
          <w:rFonts w:ascii="Times New Roman" w:hAnsi="Times New Roman" w:cs="Times New Roman"/>
        </w:rPr>
        <w:t xml:space="preserve"> </w:t>
      </w:r>
      <w:r w:rsidR="00BD0489" w:rsidRPr="00521BBA">
        <w:rPr>
          <w:rFonts w:ascii="Times New Roman" w:hAnsi="Times New Roman" w:cs="Times New Roman"/>
        </w:rPr>
        <w:t>https://doi.org/</w:t>
      </w:r>
      <w:hyperlink r:id="rId29" w:tgtFrame="_blank" w:history="1">
        <w:r w:rsidRPr="00521BBA">
          <w:rPr>
            <w:rStyle w:val="Hyperlink"/>
            <w:rFonts w:ascii="Times New Roman" w:hAnsi="Times New Roman" w:cs="Times New Roman"/>
            <w:color w:val="auto"/>
          </w:rPr>
          <w:t>10.4292/wjgpt.v8.i3.162</w:t>
        </w:r>
      </w:hyperlink>
    </w:p>
    <w:p w14:paraId="628165F8"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Ling, L. L., Schneider, T., Peoples, A. J., Spoering, A. L., Engels, I., Conlon, B. P., </w:t>
      </w:r>
      <w:r w:rsidRPr="00521BBA">
        <w:rPr>
          <w:rFonts w:ascii="Times New Roman" w:hAnsi="Times New Roman" w:cs="Times New Roman"/>
        </w:rPr>
        <w:t>Mueller, A., Schäberle, T. F., Hughes, D. E., Epstein, S.,</w:t>
      </w:r>
      <w:r w:rsidRPr="00521BBA">
        <w:rPr>
          <w:rFonts w:ascii="Times New Roman" w:eastAsia="Times New Roman" w:hAnsi="Times New Roman" w:cs="Times New Roman"/>
        </w:rPr>
        <w:t xml:space="preserve"> &amp; Lewis, K. (2015). A new antibiotic kills pathogens without detectable resistance. </w:t>
      </w:r>
      <w:r w:rsidRPr="00521BBA">
        <w:rPr>
          <w:rFonts w:ascii="Times New Roman" w:eastAsia="Times New Roman" w:hAnsi="Times New Roman" w:cs="Times New Roman"/>
          <w:i/>
          <w:iCs/>
        </w:rPr>
        <w:t>Nature</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517</w:t>
      </w:r>
      <w:r w:rsidRPr="00521BBA">
        <w:rPr>
          <w:rFonts w:ascii="Times New Roman" w:eastAsia="Times New Roman" w:hAnsi="Times New Roman" w:cs="Times New Roman"/>
        </w:rPr>
        <w:t>(7535), 455-459.</w:t>
      </w:r>
      <w:r w:rsidR="00BD0489" w:rsidRPr="00521BBA">
        <w:rPr>
          <w:rStyle w:val="Heading1Char"/>
          <w:color w:val="auto"/>
        </w:rPr>
        <w:t xml:space="preserve"> </w:t>
      </w:r>
      <w:r w:rsidR="00BD0489" w:rsidRPr="00904AEA">
        <w:rPr>
          <w:rStyle w:val="c-bibliographic-informationvalue"/>
        </w:rPr>
        <w:t>https://doi.org/10.1038/nature14098</w:t>
      </w:r>
    </w:p>
    <w:p w14:paraId="1931D322"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Liu, Y., Tong, Z., Shi, J., Li, R., Upton, M., &amp; Wang, Z. (2021). Drug repurposing for next-generation combination therapies against multidrug-resistant bacteria. </w:t>
      </w:r>
      <w:r w:rsidRPr="00521BBA">
        <w:rPr>
          <w:rFonts w:ascii="Times New Roman" w:eastAsia="Times New Roman" w:hAnsi="Times New Roman" w:cs="Times New Roman"/>
          <w:i/>
          <w:iCs/>
        </w:rPr>
        <w:t>Theranostics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11</w:t>
      </w:r>
      <w:r w:rsidRPr="00521BBA">
        <w:rPr>
          <w:rFonts w:ascii="Times New Roman" w:eastAsia="Times New Roman" w:hAnsi="Times New Roman" w:cs="Times New Roman"/>
        </w:rPr>
        <w:t>(10), 4910.</w:t>
      </w:r>
      <w:r w:rsidRPr="00521BBA">
        <w:rPr>
          <w:rFonts w:ascii="Times New Roman" w:hAnsi="Times New Roman" w:cs="Times New Roman"/>
        </w:rPr>
        <w:t xml:space="preserve"> </w:t>
      </w:r>
      <w:r w:rsidR="00BD0489" w:rsidRPr="00904AEA">
        <w:rPr>
          <w:rStyle w:val="c-bibliographic-informationvalue"/>
        </w:rPr>
        <w:t>https://doi.org/</w:t>
      </w:r>
      <w:hyperlink r:id="rId30" w:tgtFrame="_blank" w:history="1">
        <w:r w:rsidRPr="00521BBA">
          <w:rPr>
            <w:rStyle w:val="Hyperlink"/>
            <w:rFonts w:ascii="Times New Roman" w:hAnsi="Times New Roman" w:cs="Times New Roman"/>
            <w:color w:val="auto"/>
          </w:rPr>
          <w:t>10.7150/thno.56205</w:t>
        </w:r>
      </w:hyperlink>
    </w:p>
    <w:p w14:paraId="277D7261"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Malar, T. J., Antonyswamy, J., Vijayaraghavan, P., Kim, Y. O., Al-Ghamdi, A. A., Elshikh, M. S., </w:t>
      </w:r>
      <w:r w:rsidRPr="00521BBA">
        <w:rPr>
          <w:rFonts w:ascii="Times New Roman" w:hAnsi="Times New Roman" w:cs="Times New Roman"/>
        </w:rPr>
        <w:t>Hatamleh, A. A., Al-Dosary, M. A., Na, S. W.,</w:t>
      </w:r>
      <w:r w:rsidRPr="00521BBA">
        <w:rPr>
          <w:rFonts w:ascii="Times New Roman" w:eastAsia="Times New Roman" w:hAnsi="Times New Roman" w:cs="Times New Roman"/>
        </w:rPr>
        <w:t xml:space="preserve"> &amp; Kim, H. J. (2020). In-vitro phytochemical and pharmacological bio-efficacy studies on Azadirachta indica A. Juss and Melia azedarach Linn for anticancer activity. </w:t>
      </w:r>
      <w:r w:rsidRPr="00521BBA">
        <w:rPr>
          <w:rFonts w:ascii="Times New Roman" w:eastAsia="Times New Roman" w:hAnsi="Times New Roman" w:cs="Times New Roman"/>
          <w:i/>
          <w:iCs/>
        </w:rPr>
        <w:t xml:space="preserve">Saudi </w:t>
      </w:r>
      <w:r w:rsidR="00BD0489" w:rsidRPr="00521BBA">
        <w:rPr>
          <w:rFonts w:ascii="Times New Roman" w:eastAsia="Times New Roman" w:hAnsi="Times New Roman" w:cs="Times New Roman"/>
          <w:i/>
          <w:iCs/>
        </w:rPr>
        <w:t>J</w:t>
      </w:r>
      <w:r w:rsidRPr="00521BBA">
        <w:rPr>
          <w:rFonts w:ascii="Times New Roman" w:eastAsia="Times New Roman" w:hAnsi="Times New Roman" w:cs="Times New Roman"/>
          <w:i/>
          <w:iCs/>
        </w:rPr>
        <w:t xml:space="preserve">ournal of </w:t>
      </w:r>
      <w:r w:rsidR="00BD0489" w:rsidRPr="00521BBA">
        <w:rPr>
          <w:rFonts w:ascii="Times New Roman" w:eastAsia="Times New Roman" w:hAnsi="Times New Roman" w:cs="Times New Roman"/>
          <w:i/>
          <w:iCs/>
        </w:rPr>
        <w:t>b</w:t>
      </w:r>
      <w:r w:rsidRPr="00521BBA">
        <w:rPr>
          <w:rFonts w:ascii="Times New Roman" w:eastAsia="Times New Roman" w:hAnsi="Times New Roman" w:cs="Times New Roman"/>
          <w:i/>
          <w:iCs/>
        </w:rPr>
        <w:t xml:space="preserve">iological </w:t>
      </w:r>
      <w:r w:rsidR="00BD0489" w:rsidRPr="00521BBA">
        <w:rPr>
          <w:rFonts w:ascii="Times New Roman" w:eastAsia="Times New Roman" w:hAnsi="Times New Roman" w:cs="Times New Roman"/>
          <w:i/>
          <w:iCs/>
        </w:rPr>
        <w:t>S</w:t>
      </w:r>
      <w:r w:rsidRPr="00521BBA">
        <w:rPr>
          <w:rFonts w:ascii="Times New Roman" w:eastAsia="Times New Roman" w:hAnsi="Times New Roman" w:cs="Times New Roman"/>
          <w:i/>
          <w:iCs/>
        </w:rPr>
        <w:t>ciences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27</w:t>
      </w:r>
      <w:r w:rsidRPr="00521BBA">
        <w:rPr>
          <w:rFonts w:ascii="Times New Roman" w:eastAsia="Times New Roman" w:hAnsi="Times New Roman" w:cs="Times New Roman"/>
        </w:rPr>
        <w:t>(2), 682-688.</w:t>
      </w:r>
      <w:r w:rsidRPr="00521BBA">
        <w:rPr>
          <w:rFonts w:ascii="Times New Roman" w:hAnsi="Times New Roman" w:cs="Times New Roman"/>
        </w:rPr>
        <w:t xml:space="preserve"> https://doi.org/</w:t>
      </w:r>
      <w:r w:rsidRPr="00521BBA">
        <w:rPr>
          <w:rFonts w:ascii="Times New Roman" w:eastAsia="Times New Roman" w:hAnsi="Times New Roman" w:cs="Times New Roman"/>
        </w:rPr>
        <w:t>10.1016/j.sjbs.2019.11.024</w:t>
      </w:r>
    </w:p>
    <w:p w14:paraId="1299C177"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Mazel, D. (2006). Integrons: agents of bacterial evolution. </w:t>
      </w:r>
      <w:r w:rsidRPr="00521BBA">
        <w:rPr>
          <w:rFonts w:ascii="Times New Roman" w:eastAsia="Times New Roman" w:hAnsi="Times New Roman" w:cs="Times New Roman"/>
          <w:i/>
          <w:iCs/>
        </w:rPr>
        <w:t>Nature Reviews Microbiology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4</w:t>
      </w:r>
      <w:r w:rsidRPr="00521BBA">
        <w:rPr>
          <w:rFonts w:ascii="Times New Roman" w:eastAsia="Times New Roman" w:hAnsi="Times New Roman" w:cs="Times New Roman"/>
        </w:rPr>
        <w:t>(8), 608-620.</w:t>
      </w:r>
      <w:r w:rsidR="00BD0489" w:rsidRPr="00521BBA">
        <w:rPr>
          <w:rStyle w:val="Heading1Char"/>
          <w:color w:val="auto"/>
        </w:rPr>
        <w:t xml:space="preserve"> </w:t>
      </w:r>
      <w:r w:rsidR="00BD0489" w:rsidRPr="00904AEA">
        <w:rPr>
          <w:rStyle w:val="c-bibliographic-informationvalue"/>
        </w:rPr>
        <w:t>https://doi.org/10.1038/nrmicro1462</w:t>
      </w:r>
    </w:p>
    <w:p w14:paraId="2F9FBDFC"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hAnsi="Times New Roman" w:cs="Times New Roman"/>
        </w:rPr>
        <w:t xml:space="preserve">McGrath. (2024). </w:t>
      </w:r>
      <w:r w:rsidRPr="00521BBA">
        <w:rPr>
          <w:rFonts w:ascii="Times New Roman" w:hAnsi="Times New Roman" w:cs="Times New Roman"/>
          <w:i/>
          <w:iCs/>
        </w:rPr>
        <w:t xml:space="preserve">Pathogenic microbes blown vast distances by winds, </w:t>
      </w:r>
      <w:r w:rsidR="00271685" w:rsidRPr="00521BBA">
        <w:rPr>
          <w:rFonts w:ascii="Times New Roman" w:hAnsi="Times New Roman" w:cs="Times New Roman"/>
          <w:i/>
          <w:iCs/>
        </w:rPr>
        <w:t>S</w:t>
      </w:r>
      <w:r w:rsidRPr="00521BBA">
        <w:rPr>
          <w:rFonts w:ascii="Times New Roman" w:hAnsi="Times New Roman" w:cs="Times New Roman"/>
          <w:i/>
          <w:iCs/>
        </w:rPr>
        <w:t xml:space="preserve">cientists </w:t>
      </w:r>
      <w:r w:rsidR="00271685" w:rsidRPr="00521BBA">
        <w:rPr>
          <w:rFonts w:ascii="Times New Roman" w:hAnsi="Times New Roman" w:cs="Times New Roman"/>
          <w:i/>
          <w:iCs/>
        </w:rPr>
        <w:t>D</w:t>
      </w:r>
      <w:r w:rsidRPr="00521BBA">
        <w:rPr>
          <w:rFonts w:ascii="Times New Roman" w:hAnsi="Times New Roman" w:cs="Times New Roman"/>
          <w:i/>
          <w:iCs/>
        </w:rPr>
        <w:t>iscover</w:t>
      </w:r>
      <w:r w:rsidRPr="00521BBA">
        <w:rPr>
          <w:rFonts w:ascii="Times New Roman" w:hAnsi="Times New Roman" w:cs="Times New Roman"/>
        </w:rPr>
        <w:t>.</w:t>
      </w:r>
    </w:p>
    <w:p w14:paraId="1E483887"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Moghadami, M. (2017). A narrative review of influenza: a seasonal and pandemic disease. </w:t>
      </w:r>
      <w:r w:rsidRPr="00521BBA">
        <w:rPr>
          <w:rFonts w:ascii="Times New Roman" w:eastAsia="Times New Roman" w:hAnsi="Times New Roman" w:cs="Times New Roman"/>
          <w:i/>
          <w:iCs/>
        </w:rPr>
        <w:t xml:space="preserve">Iranian </w:t>
      </w:r>
      <w:r w:rsidR="00271685" w:rsidRPr="00521BBA">
        <w:rPr>
          <w:rFonts w:ascii="Times New Roman" w:eastAsia="Times New Roman" w:hAnsi="Times New Roman" w:cs="Times New Roman"/>
          <w:i/>
          <w:iCs/>
        </w:rPr>
        <w:t>J</w:t>
      </w:r>
      <w:r w:rsidRPr="00521BBA">
        <w:rPr>
          <w:rFonts w:ascii="Times New Roman" w:eastAsia="Times New Roman" w:hAnsi="Times New Roman" w:cs="Times New Roman"/>
          <w:i/>
          <w:iCs/>
        </w:rPr>
        <w:t xml:space="preserve">ournal of </w:t>
      </w:r>
      <w:r w:rsidR="00271685" w:rsidRPr="00521BBA">
        <w:rPr>
          <w:rFonts w:ascii="Times New Roman" w:eastAsia="Times New Roman" w:hAnsi="Times New Roman" w:cs="Times New Roman"/>
          <w:i/>
          <w:iCs/>
        </w:rPr>
        <w:t>M</w:t>
      </w:r>
      <w:r w:rsidRPr="00521BBA">
        <w:rPr>
          <w:rFonts w:ascii="Times New Roman" w:eastAsia="Times New Roman" w:hAnsi="Times New Roman" w:cs="Times New Roman"/>
          <w:i/>
          <w:iCs/>
        </w:rPr>
        <w:t xml:space="preserve">edical </w:t>
      </w:r>
      <w:r w:rsidR="00271685" w:rsidRPr="00521BBA">
        <w:rPr>
          <w:rFonts w:ascii="Times New Roman" w:eastAsia="Times New Roman" w:hAnsi="Times New Roman" w:cs="Times New Roman"/>
          <w:i/>
          <w:iCs/>
        </w:rPr>
        <w:t>S</w:t>
      </w:r>
      <w:r w:rsidRPr="00521BBA">
        <w:rPr>
          <w:rFonts w:ascii="Times New Roman" w:eastAsia="Times New Roman" w:hAnsi="Times New Roman" w:cs="Times New Roman"/>
          <w:i/>
          <w:iCs/>
        </w:rPr>
        <w:t>ciences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42</w:t>
      </w:r>
      <w:r w:rsidRPr="00521BBA">
        <w:rPr>
          <w:rFonts w:ascii="Times New Roman" w:eastAsia="Times New Roman" w:hAnsi="Times New Roman" w:cs="Times New Roman"/>
        </w:rPr>
        <w:t>(1), 2.</w:t>
      </w:r>
      <w:r w:rsidRPr="00521BBA">
        <w:rPr>
          <w:rStyle w:val="Heading1Char"/>
          <w:rFonts w:ascii="Times New Roman" w:hAnsi="Times New Roman" w:cs="Times New Roman"/>
          <w:color w:val="auto"/>
          <w:sz w:val="24"/>
          <w:szCs w:val="24"/>
        </w:rPr>
        <w:t xml:space="preserve"> </w:t>
      </w:r>
      <w:r w:rsidR="00271685" w:rsidRPr="00904AEA">
        <w:rPr>
          <w:rStyle w:val="c-bibliographic-informationvalue"/>
        </w:rPr>
        <w:t>https://doi.org/</w:t>
      </w:r>
      <w:r w:rsidRPr="00521BBA">
        <w:rPr>
          <w:rStyle w:val="HTMLCite"/>
          <w:rFonts w:ascii="Times New Roman" w:hAnsi="Times New Roman" w:cs="Times New Roman"/>
          <w:i w:val="0"/>
        </w:rPr>
        <w:t>10.1097/AOG.0000000000000593</w:t>
      </w:r>
    </w:p>
    <w:p w14:paraId="53AD4D90"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Mone, N. S., Syed, S., Ravichandiran, P., Satpute, S. K., Kim, A. R., &amp; Yoo, D. J. (2023). How structure–function relationships of 1, 4‐naphthoquinones combat antimicrobial resistance in multidrug‐resistant (MDR) pathogens. </w:t>
      </w:r>
      <w:r w:rsidRPr="00521BBA">
        <w:rPr>
          <w:rFonts w:ascii="Times New Roman" w:eastAsia="Times New Roman" w:hAnsi="Times New Roman" w:cs="Times New Roman"/>
          <w:i/>
          <w:iCs/>
        </w:rPr>
        <w:t>ChemMedChem</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18</w:t>
      </w:r>
      <w:r w:rsidRPr="00521BBA">
        <w:rPr>
          <w:rFonts w:ascii="Times New Roman" w:eastAsia="Times New Roman" w:hAnsi="Times New Roman" w:cs="Times New Roman"/>
        </w:rPr>
        <w:t>(2), e202200471.</w:t>
      </w:r>
      <w:r w:rsidRPr="00521BBA">
        <w:rPr>
          <w:rFonts w:ascii="Times New Roman" w:hAnsi="Times New Roman" w:cs="Times New Roman"/>
        </w:rPr>
        <w:t xml:space="preserve"> </w:t>
      </w:r>
      <w:hyperlink r:id="rId31" w:history="1">
        <w:r w:rsidRPr="00521BBA">
          <w:rPr>
            <w:rStyle w:val="Hyperlink"/>
            <w:rFonts w:ascii="Times New Roman" w:hAnsi="Times New Roman" w:cs="Times New Roman"/>
            <w:color w:val="auto"/>
          </w:rPr>
          <w:t>https://doi.org/10.1002/cmdc.202200471</w:t>
        </w:r>
      </w:hyperlink>
    </w:p>
    <w:p w14:paraId="3A8561D5"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Mookherjee, N., Anderson, M. A., Haagsman, H. P., &amp; Davidson, D. J. (2020). Antimicrobial host defence peptides: functions and clinical potential. </w:t>
      </w:r>
      <w:r w:rsidRPr="00521BBA">
        <w:rPr>
          <w:rFonts w:ascii="Times New Roman" w:eastAsia="Times New Roman" w:hAnsi="Times New Roman" w:cs="Times New Roman"/>
          <w:i/>
          <w:iCs/>
        </w:rPr>
        <w:t xml:space="preserve">Nature </w:t>
      </w:r>
      <w:r w:rsidR="00271685" w:rsidRPr="00521BBA">
        <w:rPr>
          <w:rFonts w:ascii="Times New Roman" w:eastAsia="Times New Roman" w:hAnsi="Times New Roman" w:cs="Times New Roman"/>
          <w:i/>
          <w:iCs/>
        </w:rPr>
        <w:t>R</w:t>
      </w:r>
      <w:r w:rsidRPr="00521BBA">
        <w:rPr>
          <w:rFonts w:ascii="Times New Roman" w:eastAsia="Times New Roman" w:hAnsi="Times New Roman" w:cs="Times New Roman"/>
          <w:i/>
          <w:iCs/>
        </w:rPr>
        <w:t xml:space="preserve">eviews Drug </w:t>
      </w:r>
      <w:r w:rsidR="00271685" w:rsidRPr="00521BBA">
        <w:rPr>
          <w:rFonts w:ascii="Times New Roman" w:eastAsia="Times New Roman" w:hAnsi="Times New Roman" w:cs="Times New Roman"/>
          <w:i/>
          <w:iCs/>
        </w:rPr>
        <w:t>D</w:t>
      </w:r>
      <w:r w:rsidRPr="00521BBA">
        <w:rPr>
          <w:rFonts w:ascii="Times New Roman" w:eastAsia="Times New Roman" w:hAnsi="Times New Roman" w:cs="Times New Roman"/>
          <w:i/>
          <w:iCs/>
        </w:rPr>
        <w:t>iscovery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19</w:t>
      </w:r>
      <w:r w:rsidRPr="00521BBA">
        <w:rPr>
          <w:rFonts w:ascii="Times New Roman" w:eastAsia="Times New Roman" w:hAnsi="Times New Roman" w:cs="Times New Roman"/>
        </w:rPr>
        <w:t>(5), 311-332.</w:t>
      </w:r>
      <w:r w:rsidRPr="00521BBA">
        <w:rPr>
          <w:rStyle w:val="Heading1Char"/>
          <w:rFonts w:ascii="Times New Roman" w:hAnsi="Times New Roman" w:cs="Times New Roman"/>
          <w:color w:val="auto"/>
          <w:sz w:val="24"/>
          <w:szCs w:val="24"/>
        </w:rPr>
        <w:t xml:space="preserve"> </w:t>
      </w:r>
      <w:r w:rsidRPr="00521BBA">
        <w:rPr>
          <w:rStyle w:val="c-bibliographic-informationvalue"/>
          <w:rFonts w:ascii="Times New Roman" w:hAnsi="Times New Roman" w:cs="Times New Roman"/>
        </w:rPr>
        <w:t>https://doi.org/10.1038/s41573-019-0058-8</w:t>
      </w:r>
    </w:p>
    <w:p w14:paraId="2A06FE0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Parmanik, A., Das, S., Kar, B., Bose, A., Dwivedi, G. R., &amp; Pandey, M. M. (2022). Current treatment strategies against multidrug-resistant bacteria: a review. </w:t>
      </w:r>
      <w:r w:rsidRPr="00521BBA">
        <w:rPr>
          <w:rFonts w:ascii="Times New Roman" w:eastAsia="Times New Roman" w:hAnsi="Times New Roman" w:cs="Times New Roman"/>
          <w:i/>
          <w:iCs/>
        </w:rPr>
        <w:t xml:space="preserve">Current </w:t>
      </w:r>
      <w:r w:rsidR="00271685" w:rsidRPr="00521BBA">
        <w:rPr>
          <w:rFonts w:ascii="Times New Roman" w:eastAsia="Times New Roman" w:hAnsi="Times New Roman" w:cs="Times New Roman"/>
          <w:i/>
          <w:iCs/>
        </w:rPr>
        <w:t>M</w:t>
      </w:r>
      <w:r w:rsidRPr="00521BBA">
        <w:rPr>
          <w:rFonts w:ascii="Times New Roman" w:eastAsia="Times New Roman" w:hAnsi="Times New Roman" w:cs="Times New Roman"/>
          <w:i/>
          <w:iCs/>
        </w:rPr>
        <w:t>icrobiology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79</w:t>
      </w:r>
      <w:r w:rsidRPr="00521BBA">
        <w:rPr>
          <w:rFonts w:ascii="Times New Roman" w:eastAsia="Times New Roman" w:hAnsi="Times New Roman" w:cs="Times New Roman"/>
        </w:rPr>
        <w:t>(12), 388.</w:t>
      </w:r>
      <w:r w:rsidRPr="00521BBA">
        <w:rPr>
          <w:rFonts w:ascii="Times New Roman" w:hAnsi="Times New Roman" w:cs="Times New Roman"/>
        </w:rPr>
        <w:t xml:space="preserve"> </w:t>
      </w:r>
      <w:hyperlink r:id="rId32" w:history="1">
        <w:r w:rsidRPr="00521BBA">
          <w:rPr>
            <w:rStyle w:val="Hyperlink"/>
            <w:rFonts w:ascii="Times New Roman" w:hAnsi="Times New Roman" w:cs="Times New Roman"/>
            <w:color w:val="auto"/>
          </w:rPr>
          <w:t>https://doi.org/10.1007/s00284-022-03061-7</w:t>
        </w:r>
      </w:hyperlink>
    </w:p>
    <w:p w14:paraId="694BF741"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Partridge, S. R., Kwong, S. M., Firth, N., &amp; Jensen, S. O. (2018). Mobile genetic elements associated with antimicrobial resistance. </w:t>
      </w:r>
      <w:r w:rsidRPr="00521BBA">
        <w:rPr>
          <w:rFonts w:ascii="Times New Roman" w:eastAsia="Times New Roman" w:hAnsi="Times New Roman" w:cs="Times New Roman"/>
          <w:i/>
          <w:iCs/>
        </w:rPr>
        <w:t xml:space="preserve">Clinical </w:t>
      </w:r>
      <w:r w:rsidR="00271685" w:rsidRPr="00521BBA">
        <w:rPr>
          <w:rFonts w:ascii="Times New Roman" w:eastAsia="Times New Roman" w:hAnsi="Times New Roman" w:cs="Times New Roman"/>
          <w:i/>
          <w:iCs/>
        </w:rPr>
        <w:t>M</w:t>
      </w:r>
      <w:r w:rsidRPr="00521BBA">
        <w:rPr>
          <w:rFonts w:ascii="Times New Roman" w:eastAsia="Times New Roman" w:hAnsi="Times New Roman" w:cs="Times New Roman"/>
          <w:i/>
          <w:iCs/>
        </w:rPr>
        <w:t xml:space="preserve">icrobiology </w:t>
      </w:r>
      <w:r w:rsidR="00271685" w:rsidRPr="00521BBA">
        <w:rPr>
          <w:rFonts w:ascii="Times New Roman" w:eastAsia="Times New Roman" w:hAnsi="Times New Roman" w:cs="Times New Roman"/>
          <w:i/>
          <w:iCs/>
        </w:rPr>
        <w:t>R</w:t>
      </w:r>
      <w:r w:rsidRPr="00521BBA">
        <w:rPr>
          <w:rFonts w:ascii="Times New Roman" w:eastAsia="Times New Roman" w:hAnsi="Times New Roman" w:cs="Times New Roman"/>
          <w:i/>
          <w:iCs/>
        </w:rPr>
        <w:t>eviews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31</w:t>
      </w:r>
      <w:r w:rsidRPr="00521BBA">
        <w:rPr>
          <w:rFonts w:ascii="Times New Roman" w:eastAsia="Times New Roman" w:hAnsi="Times New Roman" w:cs="Times New Roman"/>
        </w:rPr>
        <w:t>(4), 10-1128.</w:t>
      </w:r>
      <w:r w:rsidRPr="00521BBA">
        <w:rPr>
          <w:rFonts w:ascii="Times New Roman" w:hAnsi="Times New Roman" w:cs="Times New Roman"/>
        </w:rPr>
        <w:t xml:space="preserve"> </w:t>
      </w:r>
      <w:r w:rsidR="00271685" w:rsidRPr="00521BBA">
        <w:rPr>
          <w:rFonts w:ascii="Times New Roman" w:hAnsi="Times New Roman" w:cs="Times New Roman"/>
        </w:rPr>
        <w:t>https://doi.org/</w:t>
      </w:r>
      <w:hyperlink r:id="rId33" w:history="1">
        <w:r w:rsidRPr="00521BBA">
          <w:rPr>
            <w:rStyle w:val="Hyperlink"/>
            <w:rFonts w:ascii="Times New Roman" w:hAnsi="Times New Roman" w:cs="Times New Roman"/>
            <w:color w:val="auto"/>
          </w:rPr>
          <w:t>10.1128/cmr.00088-1</w:t>
        </w:r>
      </w:hyperlink>
      <w:r w:rsidRPr="00521BBA">
        <w:rPr>
          <w:rFonts w:ascii="Times New Roman" w:hAnsi="Times New Roman" w:cs="Times New Roman"/>
        </w:rPr>
        <w:t>7</w:t>
      </w:r>
    </w:p>
    <w:p w14:paraId="225978F8"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hAnsi="Times New Roman" w:cs="Times New Roman"/>
        </w:rPr>
        <w:t xml:space="preserve">Rajaselvam, J., Kadaikunnan, S., Alharbi, N. S., Khaled, J. M., &amp; Vijayaraghavan, P. (2024). Biodegradation of endocrine disrupting compounds from the wastewater by the immobilized indigenous bacteria. </w:t>
      </w:r>
      <w:r w:rsidRPr="00521BBA">
        <w:rPr>
          <w:rFonts w:ascii="Times New Roman" w:hAnsi="Times New Roman" w:cs="Times New Roman"/>
          <w:i/>
          <w:iCs/>
        </w:rPr>
        <w:t>Environmental Quality Management</w:t>
      </w:r>
      <w:r w:rsidRPr="00521BBA">
        <w:rPr>
          <w:rFonts w:ascii="Times New Roman" w:hAnsi="Times New Roman" w:cs="Times New Roman"/>
        </w:rPr>
        <w:t xml:space="preserve">, </w:t>
      </w:r>
      <w:r w:rsidRPr="00521BBA">
        <w:rPr>
          <w:rFonts w:ascii="Times New Roman" w:hAnsi="Times New Roman" w:cs="Times New Roman"/>
          <w:i/>
          <w:iCs/>
        </w:rPr>
        <w:t>34</w:t>
      </w:r>
      <w:r w:rsidRPr="00521BBA">
        <w:rPr>
          <w:rFonts w:ascii="Times New Roman" w:hAnsi="Times New Roman" w:cs="Times New Roman"/>
        </w:rPr>
        <w:t xml:space="preserve">(2), e22252. </w:t>
      </w:r>
      <w:hyperlink r:id="rId34" w:history="1">
        <w:r w:rsidRPr="00521BBA">
          <w:rPr>
            <w:rStyle w:val="Hyperlink"/>
            <w:rFonts w:ascii="Times New Roman" w:hAnsi="Times New Roman" w:cs="Times New Roman"/>
            <w:color w:val="auto"/>
          </w:rPr>
          <w:t>https://doi.org/10.1002/tqem.22252</w:t>
        </w:r>
      </w:hyperlink>
    </w:p>
    <w:p w14:paraId="5D827B5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Raju, M. V., Chandrasekaran, M. K., Rajendran, M. S., Kanniappan, G. V., Ahalliya, R. M., Dugganaboyana, G. K., </w:t>
      </w:r>
      <w:r w:rsidRPr="00521BBA">
        <w:rPr>
          <w:rFonts w:ascii="Times New Roman" w:hAnsi="Times New Roman" w:cs="Times New Roman"/>
        </w:rPr>
        <w:t>Almutairi, M. H., Almutairi, B. O., Khusro, A.,</w:t>
      </w:r>
      <w:r w:rsidRPr="00521BBA">
        <w:rPr>
          <w:rFonts w:ascii="Times New Roman" w:eastAsia="Times New Roman" w:hAnsi="Times New Roman" w:cs="Times New Roman"/>
        </w:rPr>
        <w:t xml:space="preserve"> &amp; Vijayaraghavan, P. (2024). Deciphering the therapeutic, larvicidal, and chemical pollutant degrading properties of leaves-mediated silver nanoparticles obtained from Alpinia purpurata. </w:t>
      </w:r>
      <w:r w:rsidRPr="00521BBA">
        <w:rPr>
          <w:rFonts w:ascii="Times New Roman" w:eastAsia="Times New Roman" w:hAnsi="Times New Roman" w:cs="Times New Roman"/>
          <w:i/>
          <w:iCs/>
        </w:rPr>
        <w:t>BioResources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19</w:t>
      </w:r>
      <w:r w:rsidRPr="00521BBA">
        <w:rPr>
          <w:rFonts w:ascii="Times New Roman" w:eastAsia="Times New Roman" w:hAnsi="Times New Roman" w:cs="Times New Roman"/>
        </w:rPr>
        <w:t>(2), 3328.</w:t>
      </w:r>
      <w:r w:rsidRPr="00521BBA">
        <w:rPr>
          <w:rFonts w:ascii="Times New Roman" w:hAnsi="Times New Roman" w:cs="Times New Roman"/>
        </w:rPr>
        <w:t xml:space="preserve"> https://doi.org/10.15376/biores.19.2.3328-3352</w:t>
      </w:r>
    </w:p>
    <w:p w14:paraId="71C289C0"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lastRenderedPageBreak/>
        <w:t xml:space="preserve">Ribeiro, M., Ceballos, S., Poeta, P., Torres, C., &amp; Igrejas, G. (2021). Methicillin-resistant Staphylococcus aureus proteome response to antibiotic stress provides insights for new therapeutic strategies. </w:t>
      </w:r>
      <w:r w:rsidRPr="00521BBA">
        <w:rPr>
          <w:rFonts w:ascii="Times New Roman" w:eastAsia="Times New Roman" w:hAnsi="Times New Roman" w:cs="Times New Roman"/>
          <w:i/>
          <w:iCs/>
        </w:rPr>
        <w:t>OMICS: A Journal of Integrative 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25</w:t>
      </w:r>
      <w:r w:rsidRPr="00521BBA">
        <w:rPr>
          <w:rFonts w:ascii="Times New Roman" w:eastAsia="Times New Roman" w:hAnsi="Times New Roman" w:cs="Times New Roman"/>
        </w:rPr>
        <w:t>(11), 711-724.</w:t>
      </w:r>
      <w:r w:rsidRPr="00521BBA">
        <w:rPr>
          <w:rFonts w:ascii="Times New Roman" w:hAnsi="Times New Roman" w:cs="Times New Roman"/>
        </w:rPr>
        <w:t xml:space="preserve"> https://doi.org/</w:t>
      </w:r>
      <w:hyperlink r:id="rId35" w:history="1">
        <w:r w:rsidRPr="00521BBA">
          <w:rPr>
            <w:rStyle w:val="Hyperlink"/>
            <w:rFonts w:ascii="Times New Roman" w:hAnsi="Times New Roman" w:cs="Times New Roman"/>
            <w:color w:val="auto"/>
          </w:rPr>
          <w:t>10.1089/omi.2021.0151</w:t>
        </w:r>
      </w:hyperlink>
    </w:p>
    <w:p w14:paraId="4F2B801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Rutala, W. A., &amp; Weber, D. J. (2019). Best practices for disinfection of noncritical environmental surfaces and equipment in health care facilities: A bundle approach. </w:t>
      </w:r>
      <w:r w:rsidRPr="00521BBA">
        <w:rPr>
          <w:rFonts w:ascii="Times New Roman" w:eastAsia="Times New Roman" w:hAnsi="Times New Roman" w:cs="Times New Roman"/>
          <w:i/>
          <w:iCs/>
        </w:rPr>
        <w:t xml:space="preserve">American </w:t>
      </w:r>
      <w:r w:rsidR="00271685" w:rsidRPr="00521BBA">
        <w:rPr>
          <w:rFonts w:ascii="Times New Roman" w:eastAsia="Times New Roman" w:hAnsi="Times New Roman" w:cs="Times New Roman"/>
          <w:i/>
          <w:iCs/>
        </w:rPr>
        <w:t>J</w:t>
      </w:r>
      <w:r w:rsidRPr="00521BBA">
        <w:rPr>
          <w:rFonts w:ascii="Times New Roman" w:eastAsia="Times New Roman" w:hAnsi="Times New Roman" w:cs="Times New Roman"/>
          <w:i/>
          <w:iCs/>
        </w:rPr>
        <w:t xml:space="preserve">ournal of </w:t>
      </w:r>
      <w:r w:rsidR="00271685" w:rsidRPr="00521BBA">
        <w:rPr>
          <w:rFonts w:ascii="Times New Roman" w:eastAsia="Times New Roman" w:hAnsi="Times New Roman" w:cs="Times New Roman"/>
          <w:i/>
          <w:iCs/>
        </w:rPr>
        <w:t>I</w:t>
      </w:r>
      <w:r w:rsidRPr="00521BBA">
        <w:rPr>
          <w:rFonts w:ascii="Times New Roman" w:eastAsia="Times New Roman" w:hAnsi="Times New Roman" w:cs="Times New Roman"/>
          <w:i/>
          <w:iCs/>
        </w:rPr>
        <w:t xml:space="preserve">nfection </w:t>
      </w:r>
      <w:r w:rsidR="00271685" w:rsidRPr="00521BBA">
        <w:rPr>
          <w:rFonts w:ascii="Times New Roman" w:eastAsia="Times New Roman" w:hAnsi="Times New Roman" w:cs="Times New Roman"/>
          <w:i/>
          <w:iCs/>
        </w:rPr>
        <w:t>C</w:t>
      </w:r>
      <w:r w:rsidRPr="00521BBA">
        <w:rPr>
          <w:rFonts w:ascii="Times New Roman" w:eastAsia="Times New Roman" w:hAnsi="Times New Roman" w:cs="Times New Roman"/>
          <w:i/>
          <w:iCs/>
        </w:rPr>
        <w:t>ontrol</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47</w:t>
      </w:r>
      <w:r w:rsidRPr="00521BBA">
        <w:rPr>
          <w:rFonts w:ascii="Times New Roman" w:eastAsia="Times New Roman" w:hAnsi="Times New Roman" w:cs="Times New Roman"/>
        </w:rPr>
        <w:t>, A96-A105.</w:t>
      </w:r>
      <w:r w:rsidRPr="00521BBA">
        <w:rPr>
          <w:rFonts w:ascii="Times New Roman" w:hAnsi="Times New Roman" w:cs="Times New Roman"/>
        </w:rPr>
        <w:t xml:space="preserve"> </w:t>
      </w:r>
      <w:r w:rsidR="00271685" w:rsidRPr="00521BBA">
        <w:rPr>
          <w:rFonts w:ascii="Times New Roman" w:hAnsi="Times New Roman" w:cs="Times New Roman"/>
        </w:rPr>
        <w:t>https://doi.org/</w:t>
      </w:r>
      <w:hyperlink r:id="rId36" w:tgtFrame="_blank" w:tooltip="Persistent link using digital object identifier" w:history="1">
        <w:r w:rsidRPr="00521BBA">
          <w:rPr>
            <w:rStyle w:val="anchor-text"/>
            <w:rFonts w:ascii="Times New Roman" w:hAnsi="Times New Roman" w:cs="Times New Roman"/>
            <w:u w:val="single"/>
          </w:rPr>
          <w:t>10.1016/j.ajic.2019.01.014</w:t>
        </w:r>
      </w:hyperlink>
    </w:p>
    <w:p w14:paraId="52DDB737"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Rybarski, J. R., Hu, K., Hill, A. M., Wilke, C. O., &amp; Finkelstein, I. J. (2021). Metagenomic discovery of CRISPR-associated transposons. </w:t>
      </w:r>
      <w:r w:rsidRPr="00521BBA">
        <w:rPr>
          <w:rFonts w:ascii="Times New Roman" w:eastAsia="Times New Roman" w:hAnsi="Times New Roman" w:cs="Times New Roman"/>
          <w:i/>
          <w:iCs/>
        </w:rPr>
        <w:t>Proceedings of the National Academy of Sciences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118</w:t>
      </w:r>
      <w:r w:rsidRPr="00521BBA">
        <w:rPr>
          <w:rFonts w:ascii="Times New Roman" w:eastAsia="Times New Roman" w:hAnsi="Times New Roman" w:cs="Times New Roman"/>
        </w:rPr>
        <w:t>(49), e2112279118.</w:t>
      </w:r>
      <w:r w:rsidRPr="00521BBA">
        <w:rPr>
          <w:rFonts w:ascii="Times New Roman" w:hAnsi="Times New Roman" w:cs="Times New Roman"/>
        </w:rPr>
        <w:t xml:space="preserve"> </w:t>
      </w:r>
      <w:r w:rsidR="00271685" w:rsidRPr="00521BBA">
        <w:rPr>
          <w:rFonts w:ascii="Times New Roman" w:hAnsi="Times New Roman" w:cs="Times New Roman"/>
        </w:rPr>
        <w:t>https://doi.org/</w:t>
      </w:r>
      <w:r w:rsidRPr="00521BBA">
        <w:rPr>
          <w:rFonts w:ascii="Times New Roman" w:hAnsi="Times New Roman" w:cs="Times New Roman"/>
        </w:rPr>
        <w:t>10.1073/pnas.2112279118</w:t>
      </w:r>
    </w:p>
    <w:p w14:paraId="1ECA900D"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Seukep, A. J., Mbuntcha, H. G., Kuete, V., Chu, Y., Fan, E., &amp; Guo, M. Q. (2022). What approaches to thwart bacterial efflux pumps-mediated resistance?. </w:t>
      </w:r>
      <w:r w:rsidRPr="00521BBA">
        <w:rPr>
          <w:rFonts w:ascii="Times New Roman" w:eastAsia="Times New Roman" w:hAnsi="Times New Roman" w:cs="Times New Roman"/>
          <w:i/>
          <w:iCs/>
        </w:rPr>
        <w:t>Antibiotics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11</w:t>
      </w:r>
      <w:r w:rsidRPr="00521BBA">
        <w:rPr>
          <w:rFonts w:ascii="Times New Roman" w:eastAsia="Times New Roman" w:hAnsi="Times New Roman" w:cs="Times New Roman"/>
        </w:rPr>
        <w:t>(10), 1287.</w:t>
      </w:r>
      <w:r w:rsidRPr="00521BBA">
        <w:rPr>
          <w:rFonts w:ascii="Times New Roman" w:hAnsi="Times New Roman" w:cs="Times New Roman"/>
        </w:rPr>
        <w:t xml:space="preserve"> </w:t>
      </w:r>
      <w:r w:rsidR="00271685" w:rsidRPr="00521BBA">
        <w:rPr>
          <w:rFonts w:ascii="Times New Roman" w:hAnsi="Times New Roman" w:cs="Times New Roman"/>
        </w:rPr>
        <w:t>https://doi.org/</w:t>
      </w:r>
      <w:r w:rsidRPr="00521BBA">
        <w:rPr>
          <w:rFonts w:ascii="Times New Roman" w:hAnsi="Times New Roman" w:cs="Times New Roman"/>
        </w:rPr>
        <w:t>10.3390/antibiotics11101287</w:t>
      </w:r>
    </w:p>
    <w:p w14:paraId="5C04F8B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Singh, V., &amp; Chibale, K. (2021). Strategies to combat multi-drug resistance in tuberculosis. </w:t>
      </w:r>
      <w:r w:rsidRPr="00521BBA">
        <w:rPr>
          <w:rFonts w:ascii="Times New Roman" w:eastAsia="Times New Roman" w:hAnsi="Times New Roman" w:cs="Times New Roman"/>
          <w:i/>
          <w:iCs/>
        </w:rPr>
        <w:t xml:space="preserve">Accounts of </w:t>
      </w:r>
      <w:r w:rsidR="00271685" w:rsidRPr="00521BBA">
        <w:rPr>
          <w:rFonts w:ascii="Times New Roman" w:eastAsia="Times New Roman" w:hAnsi="Times New Roman" w:cs="Times New Roman"/>
          <w:i/>
          <w:iCs/>
        </w:rPr>
        <w:t>C</w:t>
      </w:r>
      <w:r w:rsidRPr="00521BBA">
        <w:rPr>
          <w:rFonts w:ascii="Times New Roman" w:eastAsia="Times New Roman" w:hAnsi="Times New Roman" w:cs="Times New Roman"/>
          <w:i/>
          <w:iCs/>
        </w:rPr>
        <w:t xml:space="preserve">hemical </w:t>
      </w:r>
      <w:r w:rsidR="00271685" w:rsidRPr="00521BBA">
        <w:rPr>
          <w:rFonts w:ascii="Times New Roman" w:eastAsia="Times New Roman" w:hAnsi="Times New Roman" w:cs="Times New Roman"/>
          <w:i/>
          <w:iCs/>
        </w:rPr>
        <w:t>R</w:t>
      </w:r>
      <w:r w:rsidRPr="00521BBA">
        <w:rPr>
          <w:rFonts w:ascii="Times New Roman" w:eastAsia="Times New Roman" w:hAnsi="Times New Roman" w:cs="Times New Roman"/>
          <w:i/>
          <w:iCs/>
        </w:rPr>
        <w:t>esearch</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54</w:t>
      </w:r>
      <w:r w:rsidRPr="00521BBA">
        <w:rPr>
          <w:rFonts w:ascii="Times New Roman" w:eastAsia="Times New Roman" w:hAnsi="Times New Roman" w:cs="Times New Roman"/>
        </w:rPr>
        <w:t>(10), 2361-2376.</w:t>
      </w:r>
      <w:r w:rsidRPr="00521BBA">
        <w:rPr>
          <w:rFonts w:ascii="Times New Roman" w:hAnsi="Times New Roman" w:cs="Times New Roman"/>
        </w:rPr>
        <w:t xml:space="preserve"> </w:t>
      </w:r>
      <w:hyperlink r:id="rId37" w:tooltip="DOI URL" w:history="1">
        <w:r w:rsidRPr="00521BBA">
          <w:rPr>
            <w:rStyle w:val="Hyperlink"/>
            <w:rFonts w:ascii="Times New Roman" w:hAnsi="Times New Roman" w:cs="Times New Roman"/>
            <w:color w:val="auto"/>
          </w:rPr>
          <w:t>https://doi.org/10.1021/acs.accounts.0c00878</w:t>
        </w:r>
      </w:hyperlink>
    </w:p>
    <w:p w14:paraId="45C78FCD"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Song, J. Y., Moseley, M. A., Burton, R. L., &amp; Nahm, M. H. (2013). Pneumococcal vaccine and opsonic pneumococcal antibody. </w:t>
      </w:r>
      <w:r w:rsidRPr="00521BBA">
        <w:rPr>
          <w:rFonts w:ascii="Times New Roman" w:eastAsia="Times New Roman" w:hAnsi="Times New Roman" w:cs="Times New Roman"/>
          <w:i/>
          <w:iCs/>
        </w:rPr>
        <w:t>Journal of Infection and Chemotherapy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19</w:t>
      </w:r>
      <w:r w:rsidRPr="00521BBA">
        <w:rPr>
          <w:rFonts w:ascii="Times New Roman" w:eastAsia="Times New Roman" w:hAnsi="Times New Roman" w:cs="Times New Roman"/>
        </w:rPr>
        <w:t>(3), 412-425.</w:t>
      </w:r>
      <w:r w:rsidRPr="00521BBA">
        <w:rPr>
          <w:rFonts w:ascii="Times New Roman" w:hAnsi="Times New Roman" w:cs="Times New Roman"/>
        </w:rPr>
        <w:t xml:space="preserve"> </w:t>
      </w:r>
      <w:hyperlink r:id="rId38" w:tgtFrame="_blank" w:tooltip="Persistent link using digital object identifier" w:history="1">
        <w:r w:rsidRPr="00521BBA">
          <w:rPr>
            <w:rStyle w:val="anchor-text"/>
            <w:rFonts w:ascii="Times New Roman" w:hAnsi="Times New Roman" w:cs="Times New Roman"/>
            <w:u w:val="single"/>
          </w:rPr>
          <w:t>https://doi.org/10.1007/s10156-013-0601-1</w:t>
        </w:r>
      </w:hyperlink>
    </w:p>
    <w:p w14:paraId="13E49234"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Terreni, M., Taccani, M., &amp; Pregnolato, M. (2021). New antibiotics for multidrug-resistant bacterial strains: latest research developments and future perspectives. </w:t>
      </w:r>
      <w:r w:rsidRPr="00521BBA">
        <w:rPr>
          <w:rFonts w:ascii="Times New Roman" w:eastAsia="Times New Roman" w:hAnsi="Times New Roman" w:cs="Times New Roman"/>
          <w:i/>
          <w:iCs/>
        </w:rPr>
        <w:t>Molecules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26</w:t>
      </w:r>
      <w:r w:rsidRPr="00521BBA">
        <w:rPr>
          <w:rFonts w:ascii="Times New Roman" w:eastAsia="Times New Roman" w:hAnsi="Times New Roman" w:cs="Times New Roman"/>
        </w:rPr>
        <w:t>(9), 2671.</w:t>
      </w:r>
      <w:r w:rsidRPr="00521BBA">
        <w:rPr>
          <w:rFonts w:ascii="Times New Roman" w:hAnsi="Times New Roman" w:cs="Times New Roman"/>
        </w:rPr>
        <w:t xml:space="preserve"> </w:t>
      </w:r>
      <w:hyperlink r:id="rId39" w:history="1">
        <w:r w:rsidRPr="00521BBA">
          <w:rPr>
            <w:rStyle w:val="Hyperlink"/>
            <w:rFonts w:ascii="Times New Roman" w:hAnsi="Times New Roman" w:cs="Times New Roman"/>
            <w:color w:val="auto"/>
          </w:rPr>
          <w:t>https://doi.org/10.3390/molecules26092671</w:t>
        </w:r>
      </w:hyperlink>
    </w:p>
    <w:p w14:paraId="42C9897E"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lang w:eastAsia="en-IN"/>
        </w:rPr>
      </w:pPr>
      <w:r w:rsidRPr="00521BBA">
        <w:rPr>
          <w:rFonts w:ascii="Times New Roman" w:eastAsia="Times New Roman" w:hAnsi="Times New Roman" w:cs="Times New Roman"/>
          <w:lang w:eastAsia="en-IN"/>
        </w:rPr>
        <w:t xml:space="preserve">Vijayaraghavan, P., Lourthuraj, A. A., Arasu, M. V., AbdullahAl-Dhabi, N., Ravindran, B., &amp; WoongChang, S. (2021). Effective removal of pharmaceutical impurities and nutrients using biocatalyst from the municipal wastewater with moving bed packed reactor. </w:t>
      </w:r>
      <w:r w:rsidRPr="00521BBA">
        <w:rPr>
          <w:rFonts w:ascii="Times New Roman" w:eastAsia="Times New Roman" w:hAnsi="Times New Roman" w:cs="Times New Roman"/>
          <w:i/>
          <w:iCs/>
          <w:lang w:eastAsia="en-IN"/>
        </w:rPr>
        <w:t>Environmental Research</w:t>
      </w:r>
      <w:r w:rsidRPr="00521BBA">
        <w:rPr>
          <w:rFonts w:ascii="Times New Roman" w:eastAsia="Times New Roman" w:hAnsi="Times New Roman" w:cs="Times New Roman"/>
          <w:lang w:eastAsia="en-IN"/>
        </w:rPr>
        <w:t xml:space="preserve">, </w:t>
      </w:r>
      <w:r w:rsidRPr="00521BBA">
        <w:rPr>
          <w:rFonts w:ascii="Times New Roman" w:eastAsia="Times New Roman" w:hAnsi="Times New Roman" w:cs="Times New Roman"/>
          <w:i/>
          <w:iCs/>
          <w:lang w:eastAsia="en-IN"/>
        </w:rPr>
        <w:t>200</w:t>
      </w:r>
      <w:r w:rsidRPr="00521BBA">
        <w:rPr>
          <w:rFonts w:ascii="Times New Roman" w:eastAsia="Times New Roman" w:hAnsi="Times New Roman" w:cs="Times New Roman"/>
          <w:lang w:eastAsia="en-IN"/>
        </w:rPr>
        <w:t>, 111777.</w:t>
      </w:r>
      <w:r w:rsidRPr="00521BBA">
        <w:rPr>
          <w:rFonts w:ascii="Times New Roman" w:hAnsi="Times New Roman" w:cs="Times New Roman"/>
        </w:rPr>
        <w:t xml:space="preserve"> </w:t>
      </w:r>
      <w:hyperlink r:id="rId40" w:tgtFrame="_blank" w:tooltip="Persistent link using digital object identifier" w:history="1">
        <w:r w:rsidRPr="00521BBA">
          <w:rPr>
            <w:rStyle w:val="anchor-text"/>
            <w:rFonts w:ascii="Times New Roman" w:hAnsi="Times New Roman" w:cs="Times New Roman"/>
            <w:u w:val="single"/>
          </w:rPr>
          <w:t>https://doi.org/10.1016/j.envres.2021.111777</w:t>
        </w:r>
      </w:hyperlink>
    </w:p>
    <w:p w14:paraId="48AC6DE1"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Wang, B., Farhan, M. H. R., Yuan, L., Sui, Y., Chu, J., Yang, X., </w:t>
      </w:r>
      <w:r w:rsidRPr="00521BBA">
        <w:rPr>
          <w:rFonts w:ascii="Times New Roman" w:hAnsi="Times New Roman" w:cs="Times New Roman"/>
        </w:rPr>
        <w:t>Li, Y., Huang, L.,</w:t>
      </w:r>
      <w:r w:rsidRPr="00521BBA">
        <w:rPr>
          <w:rFonts w:ascii="Times New Roman" w:eastAsia="Times New Roman" w:hAnsi="Times New Roman" w:cs="Times New Roman"/>
        </w:rPr>
        <w:t xml:space="preserve"> &amp; Cheng, G. (2024). Transfer dynamics of antimicrobial resistance among gram-negative bacteria. </w:t>
      </w:r>
      <w:r w:rsidRPr="00521BBA">
        <w:rPr>
          <w:rFonts w:ascii="Times New Roman" w:eastAsia="Times New Roman" w:hAnsi="Times New Roman" w:cs="Times New Roman"/>
          <w:i/>
          <w:iCs/>
        </w:rPr>
        <w:t>Science of The Total Environment</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954</w:t>
      </w:r>
      <w:r w:rsidRPr="00521BBA">
        <w:rPr>
          <w:rFonts w:ascii="Times New Roman" w:eastAsia="Times New Roman" w:hAnsi="Times New Roman" w:cs="Times New Roman"/>
        </w:rPr>
        <w:t>, 176347.</w:t>
      </w:r>
      <w:r w:rsidRPr="00521BBA">
        <w:rPr>
          <w:rFonts w:ascii="Times New Roman" w:hAnsi="Times New Roman" w:cs="Times New Roman"/>
        </w:rPr>
        <w:t xml:space="preserve"> </w:t>
      </w:r>
      <w:hyperlink r:id="rId41" w:history="1">
        <w:r w:rsidRPr="00521BBA">
          <w:rPr>
            <w:rStyle w:val="Hyperlink"/>
            <w:rFonts w:ascii="Times New Roman" w:hAnsi="Times New Roman" w:cs="Times New Roman"/>
            <w:color w:val="auto"/>
          </w:rPr>
          <w:t>https://doi.org/10.1016/j.scitotenv.2024.176347</w:t>
        </w:r>
      </w:hyperlink>
    </w:p>
    <w:p w14:paraId="1A00390B"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Wang, C., Lu, H., Li, X., Zhu, Y., Ji, Y., Lu, W., </w:t>
      </w:r>
      <w:r w:rsidRPr="00521BBA">
        <w:rPr>
          <w:rFonts w:ascii="Times New Roman" w:hAnsi="Times New Roman" w:cs="Times New Roman"/>
        </w:rPr>
        <w:t>Wang, G., Dong, W., Liu, M., Wang, X.,</w:t>
      </w:r>
      <w:r w:rsidRPr="00521BBA">
        <w:rPr>
          <w:rFonts w:ascii="Times New Roman" w:eastAsia="Times New Roman" w:hAnsi="Times New Roman" w:cs="Times New Roman"/>
        </w:rPr>
        <w:t xml:space="preserve"> &amp; Tan, C. (2022). Identification of an anti-virulence drug that reverses antibiotic resistance in multidrug resistant bacteria. </w:t>
      </w:r>
      <w:r w:rsidRPr="00521BBA">
        <w:rPr>
          <w:rFonts w:ascii="Times New Roman" w:eastAsia="Times New Roman" w:hAnsi="Times New Roman" w:cs="Times New Roman"/>
          <w:i/>
          <w:iCs/>
        </w:rPr>
        <w:t>Biomedicine &amp; Pharmacotherapy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153</w:t>
      </w:r>
      <w:r w:rsidRPr="00521BBA">
        <w:rPr>
          <w:rFonts w:ascii="Times New Roman" w:eastAsia="Times New Roman" w:hAnsi="Times New Roman" w:cs="Times New Roman"/>
        </w:rPr>
        <w:t>, 113334.</w:t>
      </w:r>
      <w:r w:rsidRPr="00521BBA">
        <w:rPr>
          <w:rFonts w:ascii="Times New Roman" w:hAnsi="Times New Roman" w:cs="Times New Roman"/>
        </w:rPr>
        <w:t xml:space="preserve"> </w:t>
      </w:r>
      <w:hyperlink r:id="rId42" w:tgtFrame="_blank" w:tooltip="Persistent link using digital object identifier" w:history="1">
        <w:r w:rsidRPr="00521BBA">
          <w:rPr>
            <w:rStyle w:val="anchor-text"/>
            <w:rFonts w:ascii="Times New Roman" w:hAnsi="Times New Roman" w:cs="Times New Roman"/>
            <w:u w:val="single"/>
          </w:rPr>
          <w:t>https://doi.org/10.1016/j.biopha.2022.113334</w:t>
        </w:r>
      </w:hyperlink>
    </w:p>
    <w:p w14:paraId="1599087B" w14:textId="77777777" w:rsidR="00271685" w:rsidRPr="00521BBA" w:rsidRDefault="001752EC" w:rsidP="00521BBA">
      <w:pPr>
        <w:pStyle w:val="ListParagraph"/>
        <w:numPr>
          <w:ilvl w:val="0"/>
          <w:numId w:val="10"/>
        </w:numPr>
        <w:spacing w:after="0" w:line="240" w:lineRule="auto"/>
        <w:jc w:val="both"/>
        <w:rPr>
          <w:rFonts w:ascii="Times New Roman" w:hAnsi="Times New Roman" w:cs="Times New Roman"/>
        </w:rPr>
      </w:pPr>
      <w:r w:rsidRPr="00521BBA">
        <w:rPr>
          <w:rFonts w:ascii="Times New Roman" w:hAnsi="Times New Roman" w:cs="Times New Roman"/>
        </w:rPr>
        <w:t xml:space="preserve">WHO. (2009). WHO guidelines on hand hygiene in health care. </w:t>
      </w:r>
      <w:r w:rsidRPr="00521BBA">
        <w:rPr>
          <w:rFonts w:ascii="Times New Roman" w:hAnsi="Times New Roman" w:cs="Times New Roman"/>
          <w:i/>
          <w:iCs/>
        </w:rPr>
        <w:t>World Health Organization Press</w:t>
      </w:r>
      <w:r w:rsidRPr="00521BBA">
        <w:rPr>
          <w:rFonts w:ascii="Times New Roman" w:hAnsi="Times New Roman" w:cs="Times New Roman"/>
        </w:rPr>
        <w:t xml:space="preserve">. </w:t>
      </w:r>
    </w:p>
    <w:p w14:paraId="2AE713FA"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Widodo, A., Lamid, M., Effendi, M. H., Khailrullah, A. R., Kurniawan, S. C., Silaen, O. S. M., </w:t>
      </w:r>
      <w:r w:rsidRPr="00521BBA">
        <w:rPr>
          <w:rFonts w:ascii="Times New Roman" w:hAnsi="Times New Roman" w:cs="Times New Roman"/>
        </w:rPr>
        <w:t>Riwu, K. H. P., Yustinasari, L. R., Afnani, D. A., Dameanti, F. N. A. E. P.,</w:t>
      </w:r>
      <w:r w:rsidRPr="00521BBA">
        <w:rPr>
          <w:rFonts w:ascii="Times New Roman" w:eastAsia="Times New Roman" w:hAnsi="Times New Roman" w:cs="Times New Roman"/>
        </w:rPr>
        <w:t xml:space="preserve"> &amp; Ramandinianto, S. C. (2023). Antimicrobial resistance characteristics of multidrug resistance and extended-spectrum beta-lactamase producing Escherichia coli from several dairy farms in Probolinggo, Indonesia. </w:t>
      </w:r>
      <w:r w:rsidRPr="00521BBA">
        <w:rPr>
          <w:rFonts w:ascii="Times New Roman" w:eastAsia="Times New Roman" w:hAnsi="Times New Roman" w:cs="Times New Roman"/>
          <w:i/>
          <w:iCs/>
        </w:rPr>
        <w:t>Biodiversitas Journal of Biological Diversity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24</w:t>
      </w:r>
      <w:r w:rsidRPr="00521BBA">
        <w:rPr>
          <w:rFonts w:ascii="Times New Roman" w:eastAsia="Times New Roman" w:hAnsi="Times New Roman" w:cs="Times New Roman"/>
        </w:rPr>
        <w:t>(1).</w:t>
      </w:r>
      <w:r w:rsidRPr="00521BBA">
        <w:rPr>
          <w:rFonts w:ascii="Times New Roman" w:hAnsi="Times New Roman" w:cs="Times New Roman"/>
        </w:rPr>
        <w:t xml:space="preserve"> </w:t>
      </w:r>
      <w:r w:rsidR="00271685" w:rsidRPr="00521BBA">
        <w:rPr>
          <w:rFonts w:ascii="Times New Roman" w:hAnsi="Times New Roman" w:cs="Times New Roman"/>
        </w:rPr>
        <w:t>https://doi.org/</w:t>
      </w:r>
      <w:r w:rsidRPr="00521BBA">
        <w:rPr>
          <w:rFonts w:ascii="Times New Roman" w:hAnsi="Times New Roman" w:cs="Times New Roman"/>
        </w:rPr>
        <w:t>10.13057/biodiv/d240126</w:t>
      </w:r>
    </w:p>
    <w:p w14:paraId="7DF6279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Wilcox, R. S., Marenda, M. S., Devlin, J. M., &amp; Wilks, C. R. (2024). Antimicrobial use in laboratory rodent facilities in Australia and New Zealand-a cross-sectional survey of </w:t>
      </w:r>
      <w:r w:rsidRPr="00521BBA">
        <w:rPr>
          <w:rFonts w:ascii="Times New Roman" w:eastAsia="Times New Roman" w:hAnsi="Times New Roman" w:cs="Times New Roman"/>
        </w:rPr>
        <w:lastRenderedPageBreak/>
        <w:t xml:space="preserve">veterinarians and facility managers. </w:t>
      </w:r>
      <w:r w:rsidRPr="00521BBA">
        <w:rPr>
          <w:rFonts w:ascii="Times New Roman" w:eastAsia="Times New Roman" w:hAnsi="Times New Roman" w:cs="Times New Roman"/>
          <w:i/>
          <w:iCs/>
        </w:rPr>
        <w:t xml:space="preserve">Plos </w:t>
      </w:r>
      <w:r w:rsidR="00271685" w:rsidRPr="00521BBA">
        <w:rPr>
          <w:rFonts w:ascii="Times New Roman" w:eastAsia="Times New Roman" w:hAnsi="Times New Roman" w:cs="Times New Roman"/>
          <w:i/>
          <w:iCs/>
        </w:rPr>
        <w:t>O</w:t>
      </w:r>
      <w:r w:rsidRPr="00521BBA">
        <w:rPr>
          <w:rFonts w:ascii="Times New Roman" w:eastAsia="Times New Roman" w:hAnsi="Times New Roman" w:cs="Times New Roman"/>
          <w:i/>
          <w:iCs/>
        </w:rPr>
        <w:t>ne</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19</w:t>
      </w:r>
      <w:r w:rsidRPr="00521BBA">
        <w:rPr>
          <w:rFonts w:ascii="Times New Roman" w:eastAsia="Times New Roman" w:hAnsi="Times New Roman" w:cs="Times New Roman"/>
        </w:rPr>
        <w:t>(8), e0292908.</w:t>
      </w:r>
      <w:r w:rsidRPr="00521BBA">
        <w:rPr>
          <w:rFonts w:ascii="Times New Roman" w:hAnsi="Times New Roman" w:cs="Times New Roman"/>
        </w:rPr>
        <w:t xml:space="preserve"> </w:t>
      </w:r>
      <w:r w:rsidR="00271685" w:rsidRPr="00521BBA">
        <w:rPr>
          <w:rFonts w:ascii="Times New Roman" w:hAnsi="Times New Roman" w:cs="Times New Roman"/>
        </w:rPr>
        <w:t>https://doi.org/</w:t>
      </w:r>
      <w:hyperlink r:id="rId43" w:history="1">
        <w:r w:rsidRPr="00521BBA">
          <w:rPr>
            <w:rStyle w:val="Hyperlink"/>
            <w:rFonts w:ascii="Times New Roman" w:hAnsi="Times New Roman" w:cs="Times New Roman"/>
            <w:color w:val="auto"/>
          </w:rPr>
          <w:t>10.1371/journal.pone.0292908</w:t>
        </w:r>
      </w:hyperlink>
    </w:p>
    <w:p w14:paraId="675AFBBD"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Wu, W., Huang, J., &amp; Xu, Z. (2024). Antibiotic influx and efflux in Pseudomonas aeruginosa: Regulation and therapeutic implications. </w:t>
      </w:r>
      <w:r w:rsidRPr="00521BBA">
        <w:rPr>
          <w:rFonts w:ascii="Times New Roman" w:eastAsia="Times New Roman" w:hAnsi="Times New Roman" w:cs="Times New Roman"/>
          <w:i/>
          <w:iCs/>
        </w:rPr>
        <w:t xml:space="preserve">Microbial </w:t>
      </w:r>
      <w:r w:rsidR="00271685" w:rsidRPr="00521BBA">
        <w:rPr>
          <w:rFonts w:ascii="Times New Roman" w:eastAsia="Times New Roman" w:hAnsi="Times New Roman" w:cs="Times New Roman"/>
          <w:i/>
          <w:iCs/>
        </w:rPr>
        <w:t>B</w:t>
      </w:r>
      <w:r w:rsidRPr="00521BBA">
        <w:rPr>
          <w:rFonts w:ascii="Times New Roman" w:eastAsia="Times New Roman" w:hAnsi="Times New Roman" w:cs="Times New Roman"/>
          <w:i/>
          <w:iCs/>
        </w:rPr>
        <w:t>iotechnology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17</w:t>
      </w:r>
      <w:r w:rsidRPr="00521BBA">
        <w:rPr>
          <w:rFonts w:ascii="Times New Roman" w:eastAsia="Times New Roman" w:hAnsi="Times New Roman" w:cs="Times New Roman"/>
        </w:rPr>
        <w:t xml:space="preserve">(5), e14487. </w:t>
      </w:r>
      <w:r w:rsidRPr="00521BBA">
        <w:rPr>
          <w:rFonts w:ascii="Times New Roman" w:hAnsi="Times New Roman" w:cs="Times New Roman"/>
        </w:rPr>
        <w:t>https://doi.org/</w:t>
      </w:r>
      <w:r w:rsidRPr="00521BBA">
        <w:rPr>
          <w:rFonts w:ascii="Times New Roman" w:eastAsia="Times New Roman" w:hAnsi="Times New Roman" w:cs="Times New Roman"/>
        </w:rPr>
        <w:t>10.1111/1751-7915.14487</w:t>
      </w:r>
    </w:p>
    <w:p w14:paraId="287880F7"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Wu, X., Al Farraj, D. A., Rajaselvam, J., Alkufeidy, R. M., Vijayaraghavan, P., Alkubaisi, N. A., </w:t>
      </w:r>
      <w:r w:rsidRPr="00521BBA">
        <w:rPr>
          <w:rFonts w:ascii="Times New Roman" w:hAnsi="Times New Roman" w:cs="Times New Roman"/>
        </w:rPr>
        <w:t>Agastian, P.,</w:t>
      </w:r>
      <w:r w:rsidRPr="00521BBA">
        <w:rPr>
          <w:rFonts w:ascii="Times New Roman" w:eastAsia="Times New Roman" w:hAnsi="Times New Roman" w:cs="Times New Roman"/>
        </w:rPr>
        <w:t xml:space="preserve"> &amp; Alshammari, M. K. (2020). Characterization of biofilm formed by multidrug resistant Pseudomonas aeruginosa DC-17 isolated from dental caries. </w:t>
      </w:r>
      <w:r w:rsidRPr="00521BBA">
        <w:rPr>
          <w:rFonts w:ascii="Times New Roman" w:eastAsia="Times New Roman" w:hAnsi="Times New Roman" w:cs="Times New Roman"/>
          <w:i/>
          <w:iCs/>
        </w:rPr>
        <w:t>Saudi Journal of Biological Sciences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27</w:t>
      </w:r>
      <w:r w:rsidRPr="00521BBA">
        <w:rPr>
          <w:rFonts w:ascii="Times New Roman" w:eastAsia="Times New Roman" w:hAnsi="Times New Roman" w:cs="Times New Roman"/>
        </w:rPr>
        <w:t>(11), 2955-2960.</w:t>
      </w:r>
      <w:r w:rsidR="00271685" w:rsidRPr="00904AEA">
        <w:t xml:space="preserve"> </w:t>
      </w:r>
      <w:hyperlink r:id="rId44" w:tgtFrame="_blank" w:tooltip="Persistent link using digital object identifier" w:history="1">
        <w:r w:rsidR="00271685" w:rsidRPr="00521BBA">
          <w:rPr>
            <w:rStyle w:val="anchor-text"/>
            <w:u w:val="single"/>
          </w:rPr>
          <w:t>https://doi.org/10.1016/j.sjbs.2020.07.020</w:t>
        </w:r>
      </w:hyperlink>
    </w:p>
    <w:p w14:paraId="31F84E83"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Yao, C., Guo, H., Li, Q., Zhang, X., Shang, Y., Li, T., </w:t>
      </w:r>
      <w:r w:rsidRPr="00521BBA">
        <w:rPr>
          <w:rFonts w:ascii="Times New Roman" w:hAnsi="Times New Roman" w:cs="Times New Roman"/>
        </w:rPr>
        <w:t>Wang, Y., Xue, Z., Wang, L., Li, L.,</w:t>
      </w:r>
      <w:r w:rsidRPr="00521BBA">
        <w:rPr>
          <w:rFonts w:ascii="Times New Roman" w:eastAsia="Times New Roman" w:hAnsi="Times New Roman" w:cs="Times New Roman"/>
        </w:rPr>
        <w:t xml:space="preserve"> &amp; Pang, Y. (2021). Prevalence of extensively drug-resistant tuberculosis in a Chinese multidrug-resistant TB cohort after redefinition. </w:t>
      </w:r>
      <w:r w:rsidRPr="00521BBA">
        <w:rPr>
          <w:rFonts w:ascii="Times New Roman" w:eastAsia="Times New Roman" w:hAnsi="Times New Roman" w:cs="Times New Roman"/>
          <w:i/>
          <w:iCs/>
        </w:rPr>
        <w:t>Antimicrobial Resistance &amp; Infection Control</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10</w:t>
      </w:r>
      <w:r w:rsidRPr="00521BBA">
        <w:rPr>
          <w:rFonts w:ascii="Times New Roman" w:eastAsia="Times New Roman" w:hAnsi="Times New Roman" w:cs="Times New Roman"/>
        </w:rPr>
        <w:t>(1), 126.</w:t>
      </w:r>
      <w:r w:rsidRPr="00521BBA">
        <w:rPr>
          <w:rStyle w:val="Heading1Char"/>
          <w:rFonts w:ascii="Times New Roman" w:hAnsi="Times New Roman" w:cs="Times New Roman"/>
          <w:color w:val="auto"/>
          <w:sz w:val="24"/>
          <w:szCs w:val="24"/>
        </w:rPr>
        <w:t xml:space="preserve"> </w:t>
      </w:r>
      <w:r w:rsidRPr="00521BBA">
        <w:rPr>
          <w:rStyle w:val="c-bibliographic-informationvalue"/>
          <w:rFonts w:ascii="Times New Roman" w:hAnsi="Times New Roman" w:cs="Times New Roman"/>
        </w:rPr>
        <w:t>https://doi.org/10.1186/s13756-021-00995-8</w:t>
      </w:r>
    </w:p>
    <w:p w14:paraId="1DE8B5B5"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Zhou, H., Lu, Z., Liu, X., Bie, X., Cui, X., Wang, Z., </w:t>
      </w:r>
      <w:r w:rsidRPr="00521BBA">
        <w:rPr>
          <w:rFonts w:ascii="Times New Roman" w:hAnsi="Times New Roman" w:cs="Times New Roman"/>
        </w:rPr>
        <w:t>Sun, X.,</w:t>
      </w:r>
      <w:r w:rsidRPr="00521BBA">
        <w:rPr>
          <w:rFonts w:ascii="Times New Roman" w:eastAsia="Times New Roman" w:hAnsi="Times New Roman" w:cs="Times New Roman"/>
        </w:rPr>
        <w:t xml:space="preserve"> &amp; Yang, J. (2024). Characterization and transmission of plasmid-mediated multidrug resistance in foodborne Vibrio parahaemolyticus. </w:t>
      </w:r>
      <w:r w:rsidRPr="00521BBA">
        <w:rPr>
          <w:rFonts w:ascii="Times New Roman" w:eastAsia="Times New Roman" w:hAnsi="Times New Roman" w:cs="Times New Roman"/>
          <w:i/>
          <w:iCs/>
        </w:rPr>
        <w:t>Frontiers in Microbiology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15</w:t>
      </w:r>
      <w:r w:rsidRPr="00521BBA">
        <w:rPr>
          <w:rFonts w:ascii="Times New Roman" w:eastAsia="Times New Roman" w:hAnsi="Times New Roman" w:cs="Times New Roman"/>
        </w:rPr>
        <w:t>, 1437660.</w:t>
      </w:r>
      <w:r w:rsidRPr="00521BBA">
        <w:rPr>
          <w:rFonts w:ascii="Times New Roman" w:hAnsi="Times New Roman" w:cs="Times New Roman"/>
        </w:rPr>
        <w:t xml:space="preserve"> </w:t>
      </w:r>
      <w:r w:rsidR="00271685" w:rsidRPr="00521BBA">
        <w:rPr>
          <w:rFonts w:ascii="Times New Roman" w:hAnsi="Times New Roman" w:cs="Times New Roman"/>
        </w:rPr>
        <w:t>https://doi.org/</w:t>
      </w:r>
      <w:r w:rsidRPr="00521BBA">
        <w:rPr>
          <w:rFonts w:ascii="Times New Roman" w:hAnsi="Times New Roman" w:cs="Times New Roman"/>
        </w:rPr>
        <w:t>10.3389/fmicb.2024.1437660</w:t>
      </w:r>
    </w:p>
    <w:p w14:paraId="038FAA7D" w14:textId="77777777" w:rsidR="0097518A" w:rsidRPr="00904AEA" w:rsidRDefault="0097518A" w:rsidP="0097518A">
      <w:pPr>
        <w:jc w:val="both"/>
        <w:rPr>
          <w:rFonts w:ascii="Times New Roman" w:hAnsi="Times New Roman" w:cs="Times New Roman"/>
          <w:sz w:val="24"/>
          <w:szCs w:val="24"/>
        </w:rPr>
      </w:pPr>
    </w:p>
    <w:p w14:paraId="398C26B2" w14:textId="77777777" w:rsidR="00BC6EF1" w:rsidRPr="00904AEA" w:rsidRDefault="00BC6EF1">
      <w:pPr>
        <w:rPr>
          <w:rFonts w:ascii="Times New Roman" w:hAnsi="Times New Roman" w:cs="Times New Roman"/>
          <w:sz w:val="24"/>
          <w:szCs w:val="24"/>
        </w:rPr>
      </w:pPr>
    </w:p>
    <w:p w14:paraId="50B557B9" w14:textId="77777777" w:rsidR="00D6389C" w:rsidRPr="00904AEA" w:rsidRDefault="00D6389C">
      <w:pPr>
        <w:rPr>
          <w:rFonts w:ascii="Times New Roman" w:hAnsi="Times New Roman" w:cs="Times New Roman"/>
          <w:sz w:val="24"/>
          <w:szCs w:val="24"/>
        </w:rPr>
      </w:pPr>
    </w:p>
    <w:sectPr w:rsidR="00D6389C" w:rsidRPr="00904AEA" w:rsidSect="00510B83">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jipto Leksono" w:date="2025-12-13T00:00:00Z" w:initials="TL">
    <w:p w14:paraId="5A08149F" w14:textId="7DD8C41A" w:rsidR="006B4BC1" w:rsidRDefault="006B4BC1">
      <w:pPr>
        <w:pStyle w:val="CommentText"/>
      </w:pPr>
      <w:r>
        <w:rPr>
          <w:rStyle w:val="CommentReference"/>
        </w:rPr>
        <w:annotationRef/>
      </w:r>
      <w:r w:rsidRPr="006B4BC1">
        <w:rPr>
          <w:rStyle w:val="CommentReference"/>
        </w:rPr>
        <w:t>Please use only one sub-chapter heading. Or provide an introductory narrative before moving on to the sub-chapter headings.</w:t>
      </w:r>
    </w:p>
  </w:comment>
  <w:comment w:id="1" w:author="Tjipto Leksono" w:date="2025-12-13T00:07:00Z" w:initials="TL">
    <w:p w14:paraId="7FE812FA" w14:textId="6A92C816" w:rsidR="006B4BC1" w:rsidRDefault="006B4BC1">
      <w:pPr>
        <w:pStyle w:val="CommentText"/>
      </w:pPr>
      <w:r>
        <w:rPr>
          <w:rStyle w:val="CommentReference"/>
        </w:rPr>
        <w:annotationRef/>
      </w:r>
      <w:r w:rsidR="00307DBB" w:rsidRPr="00307DBB">
        <w:t xml:space="preserve">It is important to have </w:t>
      </w:r>
      <w:r w:rsidR="00307DBB">
        <w:t xml:space="preserve">systematic </w:t>
      </w:r>
      <w:r w:rsidR="00307DBB" w:rsidRPr="00307DBB">
        <w:t xml:space="preserve">organization when determining the subheading titles </w:t>
      </w:r>
      <w:r w:rsidR="00495F0F">
        <w:t>by</w:t>
      </w:r>
      <w:r w:rsidR="00307DBB" w:rsidRPr="00307DBB">
        <w:t xml:space="preserve"> the </w:t>
      </w:r>
      <w:r w:rsidR="00495F0F">
        <w:t>next</w:t>
      </w:r>
      <w:r w:rsidR="00307DBB" w:rsidRPr="00307DBB">
        <w:t xml:space="preserve"> subheadings. It would be better to provide a brief narrative before moving on to the titles of the sections of the subheadings that will be presented.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08149F" w15:done="0"/>
  <w15:commentEx w15:paraId="7FE812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C8C53F" w16cex:dateUtc="2025-12-12T17:00:00Z"/>
  <w16cex:commentExtensible w16cex:durableId="56F247B3" w16cex:dateUtc="2025-12-12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08149F" w16cid:durableId="34C8C53F"/>
  <w16cid:commentId w16cid:paraId="7FE812FA" w16cid:durableId="56F247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3F76B" w14:textId="77777777" w:rsidR="00F13AD9" w:rsidRDefault="00F13AD9" w:rsidP="00BF2C83">
      <w:pPr>
        <w:spacing w:after="0" w:line="240" w:lineRule="auto"/>
      </w:pPr>
      <w:r>
        <w:separator/>
      </w:r>
    </w:p>
  </w:endnote>
  <w:endnote w:type="continuationSeparator" w:id="0">
    <w:p w14:paraId="455C3DD1" w14:textId="77777777" w:rsidR="00F13AD9" w:rsidRDefault="00F13AD9" w:rsidP="00BF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EDB8" w14:textId="77777777" w:rsidR="00BF2C83" w:rsidRDefault="00BF2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8F00" w14:textId="77777777" w:rsidR="00BF2C83" w:rsidRDefault="00BF2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5694" w14:textId="77777777" w:rsidR="00BF2C83" w:rsidRDefault="00BF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2DC33" w14:textId="77777777" w:rsidR="00F13AD9" w:rsidRDefault="00F13AD9" w:rsidP="00BF2C83">
      <w:pPr>
        <w:spacing w:after="0" w:line="240" w:lineRule="auto"/>
      </w:pPr>
      <w:r>
        <w:separator/>
      </w:r>
    </w:p>
  </w:footnote>
  <w:footnote w:type="continuationSeparator" w:id="0">
    <w:p w14:paraId="3D67DBE9" w14:textId="77777777" w:rsidR="00F13AD9" w:rsidRDefault="00F13AD9" w:rsidP="00BF2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474D" w14:textId="2C7AA579" w:rsidR="00BF2C83" w:rsidRDefault="00000000">
    <w:pPr>
      <w:pStyle w:val="Header"/>
    </w:pPr>
    <w:r>
      <w:rPr>
        <w:noProof/>
      </w:rPr>
      <w:pict w14:anchorId="51EA8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45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6CB6" w14:textId="3CEE206C" w:rsidR="00BF2C83" w:rsidRDefault="00000000">
    <w:pPr>
      <w:pStyle w:val="Header"/>
    </w:pPr>
    <w:r>
      <w:rPr>
        <w:noProof/>
      </w:rPr>
      <w:pict w14:anchorId="7C394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45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229D" w14:textId="7BAC0A78" w:rsidR="00BF2C83" w:rsidRDefault="00000000">
    <w:pPr>
      <w:pStyle w:val="Header"/>
    </w:pPr>
    <w:r>
      <w:rPr>
        <w:noProof/>
      </w:rPr>
      <w:pict w14:anchorId="134C9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45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15289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3"/>
    <w:multiLevelType w:val="multilevel"/>
    <w:tmpl w:val="9E78E4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7"/>
    <w:multiLevelType w:val="multilevel"/>
    <w:tmpl w:val="D3922D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9"/>
    <w:multiLevelType w:val="multilevel"/>
    <w:tmpl w:val="4B58D6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10"/>
    <w:multiLevelType w:val="multilevel"/>
    <w:tmpl w:val="F1B69C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12"/>
    <w:multiLevelType w:val="multilevel"/>
    <w:tmpl w:val="557E57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15"/>
    <w:multiLevelType w:val="multilevel"/>
    <w:tmpl w:val="6DC0F8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1C"/>
    <w:multiLevelType w:val="multilevel"/>
    <w:tmpl w:val="1CA2DB9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BFD4884"/>
    <w:multiLevelType w:val="hybridMultilevel"/>
    <w:tmpl w:val="4DB69B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0AB3E51"/>
    <w:multiLevelType w:val="multilevel"/>
    <w:tmpl w:val="CAE8C7D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320890122">
    <w:abstractNumId w:val="5"/>
  </w:num>
  <w:num w:numId="2" w16cid:durableId="1625236092">
    <w:abstractNumId w:val="7"/>
  </w:num>
  <w:num w:numId="3" w16cid:durableId="1467045049">
    <w:abstractNumId w:val="1"/>
  </w:num>
  <w:num w:numId="4" w16cid:durableId="1608587224">
    <w:abstractNumId w:val="4"/>
  </w:num>
  <w:num w:numId="5" w16cid:durableId="752360795">
    <w:abstractNumId w:val="0"/>
  </w:num>
  <w:num w:numId="6" w16cid:durableId="2110657946">
    <w:abstractNumId w:val="3"/>
  </w:num>
  <w:num w:numId="7" w16cid:durableId="646788668">
    <w:abstractNumId w:val="6"/>
  </w:num>
  <w:num w:numId="8" w16cid:durableId="1868056824">
    <w:abstractNumId w:val="2"/>
  </w:num>
  <w:num w:numId="9" w16cid:durableId="764694520">
    <w:abstractNumId w:val="9"/>
  </w:num>
  <w:num w:numId="10" w16cid:durableId="9320840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jipto Leksono">
    <w15:presenceInfo w15:providerId="Windows Live" w15:userId="8f4a4c13bd227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3DC0"/>
    <w:rsid w:val="00000F71"/>
    <w:rsid w:val="00042D53"/>
    <w:rsid w:val="00052DC0"/>
    <w:rsid w:val="000935D7"/>
    <w:rsid w:val="00093994"/>
    <w:rsid w:val="0009649A"/>
    <w:rsid w:val="000A4367"/>
    <w:rsid w:val="000D3FEF"/>
    <w:rsid w:val="000F188B"/>
    <w:rsid w:val="000F40DB"/>
    <w:rsid w:val="00111D48"/>
    <w:rsid w:val="00137242"/>
    <w:rsid w:val="0016621E"/>
    <w:rsid w:val="001752EC"/>
    <w:rsid w:val="001761DE"/>
    <w:rsid w:val="00183FC4"/>
    <w:rsid w:val="00195A33"/>
    <w:rsid w:val="001B3A79"/>
    <w:rsid w:val="001F5CDC"/>
    <w:rsid w:val="002115E6"/>
    <w:rsid w:val="00223A4D"/>
    <w:rsid w:val="0024414F"/>
    <w:rsid w:val="0026364A"/>
    <w:rsid w:val="00271685"/>
    <w:rsid w:val="00273215"/>
    <w:rsid w:val="002746A5"/>
    <w:rsid w:val="002928D3"/>
    <w:rsid w:val="002A0A86"/>
    <w:rsid w:val="002F1E8D"/>
    <w:rsid w:val="00307DBB"/>
    <w:rsid w:val="00337D01"/>
    <w:rsid w:val="00380D57"/>
    <w:rsid w:val="0038789F"/>
    <w:rsid w:val="003A0039"/>
    <w:rsid w:val="003F7A14"/>
    <w:rsid w:val="0041451E"/>
    <w:rsid w:val="0042207E"/>
    <w:rsid w:val="0046301F"/>
    <w:rsid w:val="004748B0"/>
    <w:rsid w:val="00487631"/>
    <w:rsid w:val="00495F0F"/>
    <w:rsid w:val="004C092C"/>
    <w:rsid w:val="00505A8B"/>
    <w:rsid w:val="00510B83"/>
    <w:rsid w:val="00521BBA"/>
    <w:rsid w:val="00542CBC"/>
    <w:rsid w:val="00567F2D"/>
    <w:rsid w:val="00570CCD"/>
    <w:rsid w:val="005A3B0D"/>
    <w:rsid w:val="005C54D0"/>
    <w:rsid w:val="00617105"/>
    <w:rsid w:val="00624507"/>
    <w:rsid w:val="006260A8"/>
    <w:rsid w:val="006448E7"/>
    <w:rsid w:val="006B15C1"/>
    <w:rsid w:val="006B4BC1"/>
    <w:rsid w:val="006D247E"/>
    <w:rsid w:val="006F6351"/>
    <w:rsid w:val="00704473"/>
    <w:rsid w:val="007151BD"/>
    <w:rsid w:val="007154D0"/>
    <w:rsid w:val="007169E5"/>
    <w:rsid w:val="0072547C"/>
    <w:rsid w:val="00733DC0"/>
    <w:rsid w:val="0074505C"/>
    <w:rsid w:val="0075366B"/>
    <w:rsid w:val="007873A8"/>
    <w:rsid w:val="007955A5"/>
    <w:rsid w:val="008667D0"/>
    <w:rsid w:val="00874409"/>
    <w:rsid w:val="00884FE5"/>
    <w:rsid w:val="008C6BAF"/>
    <w:rsid w:val="008D1F60"/>
    <w:rsid w:val="00901ACD"/>
    <w:rsid w:val="00904AEA"/>
    <w:rsid w:val="00914A00"/>
    <w:rsid w:val="009159AE"/>
    <w:rsid w:val="00927DC0"/>
    <w:rsid w:val="00942DEC"/>
    <w:rsid w:val="0094622F"/>
    <w:rsid w:val="0097518A"/>
    <w:rsid w:val="00990025"/>
    <w:rsid w:val="009B7728"/>
    <w:rsid w:val="009C567B"/>
    <w:rsid w:val="00A05596"/>
    <w:rsid w:val="00A107F1"/>
    <w:rsid w:val="00A22087"/>
    <w:rsid w:val="00A2250E"/>
    <w:rsid w:val="00A31683"/>
    <w:rsid w:val="00A45680"/>
    <w:rsid w:val="00A511FD"/>
    <w:rsid w:val="00A51C76"/>
    <w:rsid w:val="00A57D2F"/>
    <w:rsid w:val="00A815A4"/>
    <w:rsid w:val="00AD1C84"/>
    <w:rsid w:val="00AE4D46"/>
    <w:rsid w:val="00B0002E"/>
    <w:rsid w:val="00B04AC4"/>
    <w:rsid w:val="00B65144"/>
    <w:rsid w:val="00B729F3"/>
    <w:rsid w:val="00B7634F"/>
    <w:rsid w:val="00B8454C"/>
    <w:rsid w:val="00B86700"/>
    <w:rsid w:val="00BA1890"/>
    <w:rsid w:val="00BC0A03"/>
    <w:rsid w:val="00BC6EF1"/>
    <w:rsid w:val="00BD0489"/>
    <w:rsid w:val="00BE2E67"/>
    <w:rsid w:val="00BF2C83"/>
    <w:rsid w:val="00C03FA6"/>
    <w:rsid w:val="00C04881"/>
    <w:rsid w:val="00C10011"/>
    <w:rsid w:val="00C42470"/>
    <w:rsid w:val="00C652A1"/>
    <w:rsid w:val="00C6587D"/>
    <w:rsid w:val="00CC2473"/>
    <w:rsid w:val="00D12002"/>
    <w:rsid w:val="00D14227"/>
    <w:rsid w:val="00D3546E"/>
    <w:rsid w:val="00D5792F"/>
    <w:rsid w:val="00D6389C"/>
    <w:rsid w:val="00D71E3D"/>
    <w:rsid w:val="00DC2BAA"/>
    <w:rsid w:val="00DD6F67"/>
    <w:rsid w:val="00DD771A"/>
    <w:rsid w:val="00DE49EE"/>
    <w:rsid w:val="00DE7C34"/>
    <w:rsid w:val="00E12DAC"/>
    <w:rsid w:val="00E63C64"/>
    <w:rsid w:val="00E67D25"/>
    <w:rsid w:val="00E95971"/>
    <w:rsid w:val="00EA0319"/>
    <w:rsid w:val="00EB24C7"/>
    <w:rsid w:val="00ED17CE"/>
    <w:rsid w:val="00EE1553"/>
    <w:rsid w:val="00EF3495"/>
    <w:rsid w:val="00EF6C25"/>
    <w:rsid w:val="00F13AD9"/>
    <w:rsid w:val="00F2674B"/>
    <w:rsid w:val="00F44945"/>
    <w:rsid w:val="00F51E4E"/>
    <w:rsid w:val="00F54A86"/>
    <w:rsid w:val="00FC294D"/>
    <w:rsid w:val="00FE69EE"/>
    <w:rsid w:val="00FF25E4"/>
    <w:rsid w:val="00FF71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BC4C0"/>
  <w15:docId w15:val="{40588007-683F-4DE4-8EA1-39A086E2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B83"/>
  </w:style>
  <w:style w:type="paragraph" w:styleId="Heading1">
    <w:name w:val="heading 1"/>
    <w:basedOn w:val="Normal"/>
    <w:next w:val="Normal"/>
    <w:link w:val="Heading1Char"/>
    <w:uiPriority w:val="9"/>
    <w:qFormat/>
    <w:rsid w:val="00733DC0"/>
    <w:pPr>
      <w:keepNext/>
      <w:keepLines/>
      <w:spacing w:before="360" w:after="80" w:line="278" w:lineRule="auto"/>
      <w:outlineLvl w:val="0"/>
    </w:pPr>
    <w:rPr>
      <w:rFonts w:ascii="Calibri Light" w:eastAsia="SimSun" w:hAnsi="Calibri Light" w:cs="SimSun"/>
      <w:color w:val="2F5496"/>
      <w:kern w:val="2"/>
      <w:sz w:val="40"/>
      <w:szCs w:val="4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DC0"/>
    <w:rPr>
      <w:rFonts w:ascii="Calibri Light" w:eastAsia="SimSun" w:hAnsi="Calibri Light" w:cs="SimSun"/>
      <w:color w:val="2F5496"/>
      <w:kern w:val="2"/>
      <w:sz w:val="40"/>
      <w:szCs w:val="40"/>
      <w:lang w:val="en-IN"/>
    </w:rPr>
  </w:style>
  <w:style w:type="paragraph" w:styleId="ListParagraph">
    <w:name w:val="List Paragraph"/>
    <w:basedOn w:val="Normal"/>
    <w:uiPriority w:val="34"/>
    <w:qFormat/>
    <w:rsid w:val="00733DC0"/>
    <w:pPr>
      <w:spacing w:after="160" w:line="278" w:lineRule="auto"/>
      <w:ind w:left="720"/>
      <w:contextualSpacing/>
    </w:pPr>
    <w:rPr>
      <w:rFonts w:ascii="Calibri" w:eastAsia="Calibri" w:hAnsi="Calibri" w:cs="SimSun"/>
      <w:kern w:val="2"/>
      <w:sz w:val="24"/>
      <w:szCs w:val="24"/>
      <w:lang w:val="en-IN"/>
    </w:rPr>
  </w:style>
  <w:style w:type="character" w:styleId="Hyperlink">
    <w:name w:val="Hyperlink"/>
    <w:basedOn w:val="DefaultParagraphFont"/>
    <w:uiPriority w:val="99"/>
    <w:rsid w:val="00733DC0"/>
    <w:rPr>
      <w:color w:val="0563C1"/>
      <w:u w:val="single"/>
    </w:rPr>
  </w:style>
  <w:style w:type="character" w:customStyle="1" w:styleId="meta-value">
    <w:name w:val="meta-value"/>
    <w:basedOn w:val="DefaultParagraphFont"/>
    <w:rsid w:val="00733DC0"/>
  </w:style>
  <w:style w:type="character" w:customStyle="1" w:styleId="anchor-text">
    <w:name w:val="anchor-text"/>
    <w:basedOn w:val="DefaultParagraphFont"/>
    <w:rsid w:val="00733DC0"/>
  </w:style>
  <w:style w:type="character" w:customStyle="1" w:styleId="text">
    <w:name w:val="text"/>
    <w:basedOn w:val="DefaultParagraphFont"/>
    <w:rsid w:val="00733DC0"/>
  </w:style>
  <w:style w:type="paragraph" w:styleId="BalloonText">
    <w:name w:val="Balloon Text"/>
    <w:basedOn w:val="Normal"/>
    <w:link w:val="BalloonTextChar"/>
    <w:uiPriority w:val="99"/>
    <w:semiHidden/>
    <w:unhideWhenUsed/>
    <w:rsid w:val="00733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DC0"/>
    <w:rPr>
      <w:rFonts w:ascii="Tahoma" w:hAnsi="Tahoma" w:cs="Tahoma"/>
      <w:sz w:val="16"/>
      <w:szCs w:val="16"/>
    </w:rPr>
  </w:style>
  <w:style w:type="character" w:customStyle="1" w:styleId="c-bibliographic-informationvalue">
    <w:name w:val="c-bibliographic-information__value"/>
    <w:basedOn w:val="DefaultParagraphFont"/>
    <w:rsid w:val="00D14227"/>
  </w:style>
  <w:style w:type="character" w:styleId="HTMLCite">
    <w:name w:val="HTML Cite"/>
    <w:basedOn w:val="DefaultParagraphFont"/>
    <w:uiPriority w:val="99"/>
    <w:semiHidden/>
    <w:unhideWhenUsed/>
    <w:rsid w:val="00E12DAC"/>
    <w:rPr>
      <w:i/>
      <w:iCs/>
    </w:rPr>
  </w:style>
  <w:style w:type="paragraph" w:styleId="Header">
    <w:name w:val="header"/>
    <w:basedOn w:val="Normal"/>
    <w:link w:val="HeaderChar"/>
    <w:uiPriority w:val="99"/>
    <w:unhideWhenUsed/>
    <w:rsid w:val="00BF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C83"/>
  </w:style>
  <w:style w:type="paragraph" w:styleId="Footer">
    <w:name w:val="footer"/>
    <w:basedOn w:val="Normal"/>
    <w:link w:val="FooterChar"/>
    <w:uiPriority w:val="99"/>
    <w:unhideWhenUsed/>
    <w:rsid w:val="00BF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C83"/>
  </w:style>
  <w:style w:type="character" w:styleId="CommentReference">
    <w:name w:val="annotation reference"/>
    <w:basedOn w:val="DefaultParagraphFont"/>
    <w:uiPriority w:val="99"/>
    <w:semiHidden/>
    <w:unhideWhenUsed/>
    <w:rsid w:val="006B4BC1"/>
    <w:rPr>
      <w:sz w:val="16"/>
      <w:szCs w:val="16"/>
    </w:rPr>
  </w:style>
  <w:style w:type="paragraph" w:styleId="CommentText">
    <w:name w:val="annotation text"/>
    <w:basedOn w:val="Normal"/>
    <w:link w:val="CommentTextChar"/>
    <w:uiPriority w:val="99"/>
    <w:semiHidden/>
    <w:unhideWhenUsed/>
    <w:rsid w:val="006B4BC1"/>
    <w:pPr>
      <w:spacing w:line="240" w:lineRule="auto"/>
    </w:pPr>
    <w:rPr>
      <w:sz w:val="20"/>
      <w:szCs w:val="20"/>
    </w:rPr>
  </w:style>
  <w:style w:type="character" w:customStyle="1" w:styleId="CommentTextChar">
    <w:name w:val="Comment Text Char"/>
    <w:basedOn w:val="DefaultParagraphFont"/>
    <w:link w:val="CommentText"/>
    <w:uiPriority w:val="99"/>
    <w:semiHidden/>
    <w:rsid w:val="006B4BC1"/>
    <w:rPr>
      <w:sz w:val="20"/>
      <w:szCs w:val="20"/>
    </w:rPr>
  </w:style>
  <w:style w:type="paragraph" w:styleId="CommentSubject">
    <w:name w:val="annotation subject"/>
    <w:basedOn w:val="CommentText"/>
    <w:next w:val="CommentText"/>
    <w:link w:val="CommentSubjectChar"/>
    <w:uiPriority w:val="99"/>
    <w:semiHidden/>
    <w:unhideWhenUsed/>
    <w:rsid w:val="006B4BC1"/>
    <w:rPr>
      <w:b/>
      <w:bCs/>
    </w:rPr>
  </w:style>
  <w:style w:type="character" w:customStyle="1" w:styleId="CommentSubjectChar">
    <w:name w:val="Comment Subject Char"/>
    <w:basedOn w:val="CommentTextChar"/>
    <w:link w:val="CommentSubject"/>
    <w:uiPriority w:val="99"/>
    <w:semiHidden/>
    <w:rsid w:val="006B4B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2350">
      <w:bodyDiv w:val="1"/>
      <w:marLeft w:val="0"/>
      <w:marRight w:val="0"/>
      <w:marTop w:val="0"/>
      <w:marBottom w:val="0"/>
      <w:divBdr>
        <w:top w:val="none" w:sz="0" w:space="0" w:color="auto"/>
        <w:left w:val="none" w:sz="0" w:space="0" w:color="auto"/>
        <w:bottom w:val="none" w:sz="0" w:space="0" w:color="auto"/>
        <w:right w:val="none" w:sz="0" w:space="0" w:color="auto"/>
      </w:divBdr>
      <w:divsChild>
        <w:div w:id="1701475019">
          <w:marLeft w:val="0"/>
          <w:marRight w:val="0"/>
          <w:marTop w:val="0"/>
          <w:marBottom w:val="0"/>
          <w:divBdr>
            <w:top w:val="none" w:sz="0" w:space="0" w:color="auto"/>
            <w:left w:val="none" w:sz="0" w:space="0" w:color="auto"/>
            <w:bottom w:val="none" w:sz="0" w:space="0" w:color="auto"/>
            <w:right w:val="none" w:sz="0" w:space="0" w:color="auto"/>
          </w:divBdr>
        </w:div>
      </w:divsChild>
    </w:div>
    <w:div w:id="37779975">
      <w:bodyDiv w:val="1"/>
      <w:marLeft w:val="0"/>
      <w:marRight w:val="0"/>
      <w:marTop w:val="0"/>
      <w:marBottom w:val="0"/>
      <w:divBdr>
        <w:top w:val="none" w:sz="0" w:space="0" w:color="auto"/>
        <w:left w:val="none" w:sz="0" w:space="0" w:color="auto"/>
        <w:bottom w:val="none" w:sz="0" w:space="0" w:color="auto"/>
        <w:right w:val="none" w:sz="0" w:space="0" w:color="auto"/>
      </w:divBdr>
      <w:divsChild>
        <w:div w:id="155851588">
          <w:marLeft w:val="0"/>
          <w:marRight w:val="0"/>
          <w:marTop w:val="0"/>
          <w:marBottom w:val="0"/>
          <w:divBdr>
            <w:top w:val="none" w:sz="0" w:space="0" w:color="auto"/>
            <w:left w:val="none" w:sz="0" w:space="0" w:color="auto"/>
            <w:bottom w:val="none" w:sz="0" w:space="0" w:color="auto"/>
            <w:right w:val="none" w:sz="0" w:space="0" w:color="auto"/>
          </w:divBdr>
        </w:div>
      </w:divsChild>
    </w:div>
    <w:div w:id="96407829">
      <w:bodyDiv w:val="1"/>
      <w:marLeft w:val="0"/>
      <w:marRight w:val="0"/>
      <w:marTop w:val="0"/>
      <w:marBottom w:val="0"/>
      <w:divBdr>
        <w:top w:val="none" w:sz="0" w:space="0" w:color="auto"/>
        <w:left w:val="none" w:sz="0" w:space="0" w:color="auto"/>
        <w:bottom w:val="none" w:sz="0" w:space="0" w:color="auto"/>
        <w:right w:val="none" w:sz="0" w:space="0" w:color="auto"/>
      </w:divBdr>
      <w:divsChild>
        <w:div w:id="443158859">
          <w:marLeft w:val="0"/>
          <w:marRight w:val="0"/>
          <w:marTop w:val="0"/>
          <w:marBottom w:val="0"/>
          <w:divBdr>
            <w:top w:val="none" w:sz="0" w:space="0" w:color="auto"/>
            <w:left w:val="none" w:sz="0" w:space="0" w:color="auto"/>
            <w:bottom w:val="none" w:sz="0" w:space="0" w:color="auto"/>
            <w:right w:val="none" w:sz="0" w:space="0" w:color="auto"/>
          </w:divBdr>
        </w:div>
      </w:divsChild>
    </w:div>
    <w:div w:id="99760197">
      <w:bodyDiv w:val="1"/>
      <w:marLeft w:val="0"/>
      <w:marRight w:val="0"/>
      <w:marTop w:val="0"/>
      <w:marBottom w:val="0"/>
      <w:divBdr>
        <w:top w:val="none" w:sz="0" w:space="0" w:color="auto"/>
        <w:left w:val="none" w:sz="0" w:space="0" w:color="auto"/>
        <w:bottom w:val="none" w:sz="0" w:space="0" w:color="auto"/>
        <w:right w:val="none" w:sz="0" w:space="0" w:color="auto"/>
      </w:divBdr>
      <w:divsChild>
        <w:div w:id="129707768">
          <w:marLeft w:val="0"/>
          <w:marRight w:val="0"/>
          <w:marTop w:val="0"/>
          <w:marBottom w:val="0"/>
          <w:divBdr>
            <w:top w:val="none" w:sz="0" w:space="0" w:color="auto"/>
            <w:left w:val="none" w:sz="0" w:space="0" w:color="auto"/>
            <w:bottom w:val="none" w:sz="0" w:space="0" w:color="auto"/>
            <w:right w:val="none" w:sz="0" w:space="0" w:color="auto"/>
          </w:divBdr>
        </w:div>
      </w:divsChild>
    </w:div>
    <w:div w:id="120732792">
      <w:bodyDiv w:val="1"/>
      <w:marLeft w:val="0"/>
      <w:marRight w:val="0"/>
      <w:marTop w:val="0"/>
      <w:marBottom w:val="0"/>
      <w:divBdr>
        <w:top w:val="none" w:sz="0" w:space="0" w:color="auto"/>
        <w:left w:val="none" w:sz="0" w:space="0" w:color="auto"/>
        <w:bottom w:val="none" w:sz="0" w:space="0" w:color="auto"/>
        <w:right w:val="none" w:sz="0" w:space="0" w:color="auto"/>
      </w:divBdr>
      <w:divsChild>
        <w:div w:id="206650149">
          <w:marLeft w:val="0"/>
          <w:marRight w:val="0"/>
          <w:marTop w:val="0"/>
          <w:marBottom w:val="0"/>
          <w:divBdr>
            <w:top w:val="none" w:sz="0" w:space="0" w:color="auto"/>
            <w:left w:val="none" w:sz="0" w:space="0" w:color="auto"/>
            <w:bottom w:val="none" w:sz="0" w:space="0" w:color="auto"/>
            <w:right w:val="none" w:sz="0" w:space="0" w:color="auto"/>
          </w:divBdr>
        </w:div>
      </w:divsChild>
    </w:div>
    <w:div w:id="126557886">
      <w:bodyDiv w:val="1"/>
      <w:marLeft w:val="0"/>
      <w:marRight w:val="0"/>
      <w:marTop w:val="0"/>
      <w:marBottom w:val="0"/>
      <w:divBdr>
        <w:top w:val="none" w:sz="0" w:space="0" w:color="auto"/>
        <w:left w:val="none" w:sz="0" w:space="0" w:color="auto"/>
        <w:bottom w:val="none" w:sz="0" w:space="0" w:color="auto"/>
        <w:right w:val="none" w:sz="0" w:space="0" w:color="auto"/>
      </w:divBdr>
      <w:divsChild>
        <w:div w:id="1914970975">
          <w:marLeft w:val="0"/>
          <w:marRight w:val="0"/>
          <w:marTop w:val="0"/>
          <w:marBottom w:val="0"/>
          <w:divBdr>
            <w:top w:val="none" w:sz="0" w:space="0" w:color="auto"/>
            <w:left w:val="none" w:sz="0" w:space="0" w:color="auto"/>
            <w:bottom w:val="none" w:sz="0" w:space="0" w:color="auto"/>
            <w:right w:val="none" w:sz="0" w:space="0" w:color="auto"/>
          </w:divBdr>
        </w:div>
      </w:divsChild>
    </w:div>
    <w:div w:id="170293510">
      <w:bodyDiv w:val="1"/>
      <w:marLeft w:val="0"/>
      <w:marRight w:val="0"/>
      <w:marTop w:val="0"/>
      <w:marBottom w:val="0"/>
      <w:divBdr>
        <w:top w:val="none" w:sz="0" w:space="0" w:color="auto"/>
        <w:left w:val="none" w:sz="0" w:space="0" w:color="auto"/>
        <w:bottom w:val="none" w:sz="0" w:space="0" w:color="auto"/>
        <w:right w:val="none" w:sz="0" w:space="0" w:color="auto"/>
      </w:divBdr>
      <w:divsChild>
        <w:div w:id="1471822892">
          <w:marLeft w:val="0"/>
          <w:marRight w:val="0"/>
          <w:marTop w:val="0"/>
          <w:marBottom w:val="0"/>
          <w:divBdr>
            <w:top w:val="none" w:sz="0" w:space="0" w:color="auto"/>
            <w:left w:val="none" w:sz="0" w:space="0" w:color="auto"/>
            <w:bottom w:val="none" w:sz="0" w:space="0" w:color="auto"/>
            <w:right w:val="none" w:sz="0" w:space="0" w:color="auto"/>
          </w:divBdr>
        </w:div>
      </w:divsChild>
    </w:div>
    <w:div w:id="246623546">
      <w:bodyDiv w:val="1"/>
      <w:marLeft w:val="0"/>
      <w:marRight w:val="0"/>
      <w:marTop w:val="0"/>
      <w:marBottom w:val="0"/>
      <w:divBdr>
        <w:top w:val="none" w:sz="0" w:space="0" w:color="auto"/>
        <w:left w:val="none" w:sz="0" w:space="0" w:color="auto"/>
        <w:bottom w:val="none" w:sz="0" w:space="0" w:color="auto"/>
        <w:right w:val="none" w:sz="0" w:space="0" w:color="auto"/>
      </w:divBdr>
      <w:divsChild>
        <w:div w:id="317684792">
          <w:marLeft w:val="0"/>
          <w:marRight w:val="0"/>
          <w:marTop w:val="0"/>
          <w:marBottom w:val="0"/>
          <w:divBdr>
            <w:top w:val="none" w:sz="0" w:space="0" w:color="auto"/>
            <w:left w:val="none" w:sz="0" w:space="0" w:color="auto"/>
            <w:bottom w:val="none" w:sz="0" w:space="0" w:color="auto"/>
            <w:right w:val="none" w:sz="0" w:space="0" w:color="auto"/>
          </w:divBdr>
        </w:div>
      </w:divsChild>
    </w:div>
    <w:div w:id="266428579">
      <w:bodyDiv w:val="1"/>
      <w:marLeft w:val="0"/>
      <w:marRight w:val="0"/>
      <w:marTop w:val="0"/>
      <w:marBottom w:val="0"/>
      <w:divBdr>
        <w:top w:val="none" w:sz="0" w:space="0" w:color="auto"/>
        <w:left w:val="none" w:sz="0" w:space="0" w:color="auto"/>
        <w:bottom w:val="none" w:sz="0" w:space="0" w:color="auto"/>
        <w:right w:val="none" w:sz="0" w:space="0" w:color="auto"/>
      </w:divBdr>
      <w:divsChild>
        <w:div w:id="917439308">
          <w:marLeft w:val="0"/>
          <w:marRight w:val="0"/>
          <w:marTop w:val="0"/>
          <w:marBottom w:val="0"/>
          <w:divBdr>
            <w:top w:val="none" w:sz="0" w:space="0" w:color="auto"/>
            <w:left w:val="none" w:sz="0" w:space="0" w:color="auto"/>
            <w:bottom w:val="none" w:sz="0" w:space="0" w:color="auto"/>
            <w:right w:val="none" w:sz="0" w:space="0" w:color="auto"/>
          </w:divBdr>
        </w:div>
      </w:divsChild>
    </w:div>
    <w:div w:id="268247050">
      <w:bodyDiv w:val="1"/>
      <w:marLeft w:val="0"/>
      <w:marRight w:val="0"/>
      <w:marTop w:val="0"/>
      <w:marBottom w:val="0"/>
      <w:divBdr>
        <w:top w:val="none" w:sz="0" w:space="0" w:color="auto"/>
        <w:left w:val="none" w:sz="0" w:space="0" w:color="auto"/>
        <w:bottom w:val="none" w:sz="0" w:space="0" w:color="auto"/>
        <w:right w:val="none" w:sz="0" w:space="0" w:color="auto"/>
      </w:divBdr>
      <w:divsChild>
        <w:div w:id="1877231731">
          <w:marLeft w:val="0"/>
          <w:marRight w:val="0"/>
          <w:marTop w:val="0"/>
          <w:marBottom w:val="0"/>
          <w:divBdr>
            <w:top w:val="none" w:sz="0" w:space="0" w:color="auto"/>
            <w:left w:val="none" w:sz="0" w:space="0" w:color="auto"/>
            <w:bottom w:val="none" w:sz="0" w:space="0" w:color="auto"/>
            <w:right w:val="none" w:sz="0" w:space="0" w:color="auto"/>
          </w:divBdr>
        </w:div>
      </w:divsChild>
    </w:div>
    <w:div w:id="275794696">
      <w:bodyDiv w:val="1"/>
      <w:marLeft w:val="0"/>
      <w:marRight w:val="0"/>
      <w:marTop w:val="0"/>
      <w:marBottom w:val="0"/>
      <w:divBdr>
        <w:top w:val="none" w:sz="0" w:space="0" w:color="auto"/>
        <w:left w:val="none" w:sz="0" w:space="0" w:color="auto"/>
        <w:bottom w:val="none" w:sz="0" w:space="0" w:color="auto"/>
        <w:right w:val="none" w:sz="0" w:space="0" w:color="auto"/>
      </w:divBdr>
      <w:divsChild>
        <w:div w:id="1578661446">
          <w:marLeft w:val="0"/>
          <w:marRight w:val="0"/>
          <w:marTop w:val="0"/>
          <w:marBottom w:val="0"/>
          <w:divBdr>
            <w:top w:val="none" w:sz="0" w:space="0" w:color="auto"/>
            <w:left w:val="none" w:sz="0" w:space="0" w:color="auto"/>
            <w:bottom w:val="none" w:sz="0" w:space="0" w:color="auto"/>
            <w:right w:val="none" w:sz="0" w:space="0" w:color="auto"/>
          </w:divBdr>
        </w:div>
      </w:divsChild>
    </w:div>
    <w:div w:id="300885787">
      <w:bodyDiv w:val="1"/>
      <w:marLeft w:val="0"/>
      <w:marRight w:val="0"/>
      <w:marTop w:val="0"/>
      <w:marBottom w:val="0"/>
      <w:divBdr>
        <w:top w:val="none" w:sz="0" w:space="0" w:color="auto"/>
        <w:left w:val="none" w:sz="0" w:space="0" w:color="auto"/>
        <w:bottom w:val="none" w:sz="0" w:space="0" w:color="auto"/>
        <w:right w:val="none" w:sz="0" w:space="0" w:color="auto"/>
      </w:divBdr>
      <w:divsChild>
        <w:div w:id="575746989">
          <w:marLeft w:val="0"/>
          <w:marRight w:val="0"/>
          <w:marTop w:val="0"/>
          <w:marBottom w:val="0"/>
          <w:divBdr>
            <w:top w:val="none" w:sz="0" w:space="0" w:color="auto"/>
            <w:left w:val="none" w:sz="0" w:space="0" w:color="auto"/>
            <w:bottom w:val="none" w:sz="0" w:space="0" w:color="auto"/>
            <w:right w:val="none" w:sz="0" w:space="0" w:color="auto"/>
          </w:divBdr>
        </w:div>
      </w:divsChild>
    </w:div>
    <w:div w:id="321475107">
      <w:bodyDiv w:val="1"/>
      <w:marLeft w:val="0"/>
      <w:marRight w:val="0"/>
      <w:marTop w:val="0"/>
      <w:marBottom w:val="0"/>
      <w:divBdr>
        <w:top w:val="none" w:sz="0" w:space="0" w:color="auto"/>
        <w:left w:val="none" w:sz="0" w:space="0" w:color="auto"/>
        <w:bottom w:val="none" w:sz="0" w:space="0" w:color="auto"/>
        <w:right w:val="none" w:sz="0" w:space="0" w:color="auto"/>
      </w:divBdr>
      <w:divsChild>
        <w:div w:id="1946618507">
          <w:marLeft w:val="0"/>
          <w:marRight w:val="0"/>
          <w:marTop w:val="0"/>
          <w:marBottom w:val="0"/>
          <w:divBdr>
            <w:top w:val="none" w:sz="0" w:space="0" w:color="auto"/>
            <w:left w:val="none" w:sz="0" w:space="0" w:color="auto"/>
            <w:bottom w:val="none" w:sz="0" w:space="0" w:color="auto"/>
            <w:right w:val="none" w:sz="0" w:space="0" w:color="auto"/>
          </w:divBdr>
        </w:div>
      </w:divsChild>
    </w:div>
    <w:div w:id="374428861">
      <w:bodyDiv w:val="1"/>
      <w:marLeft w:val="0"/>
      <w:marRight w:val="0"/>
      <w:marTop w:val="0"/>
      <w:marBottom w:val="0"/>
      <w:divBdr>
        <w:top w:val="none" w:sz="0" w:space="0" w:color="auto"/>
        <w:left w:val="none" w:sz="0" w:space="0" w:color="auto"/>
        <w:bottom w:val="none" w:sz="0" w:space="0" w:color="auto"/>
        <w:right w:val="none" w:sz="0" w:space="0" w:color="auto"/>
      </w:divBdr>
      <w:divsChild>
        <w:div w:id="2122214465">
          <w:marLeft w:val="0"/>
          <w:marRight w:val="0"/>
          <w:marTop w:val="0"/>
          <w:marBottom w:val="0"/>
          <w:divBdr>
            <w:top w:val="none" w:sz="0" w:space="0" w:color="auto"/>
            <w:left w:val="none" w:sz="0" w:space="0" w:color="auto"/>
            <w:bottom w:val="none" w:sz="0" w:space="0" w:color="auto"/>
            <w:right w:val="none" w:sz="0" w:space="0" w:color="auto"/>
          </w:divBdr>
        </w:div>
      </w:divsChild>
    </w:div>
    <w:div w:id="376780581">
      <w:bodyDiv w:val="1"/>
      <w:marLeft w:val="0"/>
      <w:marRight w:val="0"/>
      <w:marTop w:val="0"/>
      <w:marBottom w:val="0"/>
      <w:divBdr>
        <w:top w:val="none" w:sz="0" w:space="0" w:color="auto"/>
        <w:left w:val="none" w:sz="0" w:space="0" w:color="auto"/>
        <w:bottom w:val="none" w:sz="0" w:space="0" w:color="auto"/>
        <w:right w:val="none" w:sz="0" w:space="0" w:color="auto"/>
      </w:divBdr>
      <w:divsChild>
        <w:div w:id="1407415772">
          <w:marLeft w:val="0"/>
          <w:marRight w:val="0"/>
          <w:marTop w:val="0"/>
          <w:marBottom w:val="0"/>
          <w:divBdr>
            <w:top w:val="none" w:sz="0" w:space="0" w:color="auto"/>
            <w:left w:val="none" w:sz="0" w:space="0" w:color="auto"/>
            <w:bottom w:val="none" w:sz="0" w:space="0" w:color="auto"/>
            <w:right w:val="none" w:sz="0" w:space="0" w:color="auto"/>
          </w:divBdr>
        </w:div>
      </w:divsChild>
    </w:div>
    <w:div w:id="401366688">
      <w:bodyDiv w:val="1"/>
      <w:marLeft w:val="0"/>
      <w:marRight w:val="0"/>
      <w:marTop w:val="0"/>
      <w:marBottom w:val="0"/>
      <w:divBdr>
        <w:top w:val="none" w:sz="0" w:space="0" w:color="auto"/>
        <w:left w:val="none" w:sz="0" w:space="0" w:color="auto"/>
        <w:bottom w:val="none" w:sz="0" w:space="0" w:color="auto"/>
        <w:right w:val="none" w:sz="0" w:space="0" w:color="auto"/>
      </w:divBdr>
      <w:divsChild>
        <w:div w:id="776412376">
          <w:marLeft w:val="0"/>
          <w:marRight w:val="0"/>
          <w:marTop w:val="0"/>
          <w:marBottom w:val="0"/>
          <w:divBdr>
            <w:top w:val="none" w:sz="0" w:space="0" w:color="auto"/>
            <w:left w:val="none" w:sz="0" w:space="0" w:color="auto"/>
            <w:bottom w:val="none" w:sz="0" w:space="0" w:color="auto"/>
            <w:right w:val="none" w:sz="0" w:space="0" w:color="auto"/>
          </w:divBdr>
        </w:div>
      </w:divsChild>
    </w:div>
    <w:div w:id="424884173">
      <w:bodyDiv w:val="1"/>
      <w:marLeft w:val="0"/>
      <w:marRight w:val="0"/>
      <w:marTop w:val="0"/>
      <w:marBottom w:val="0"/>
      <w:divBdr>
        <w:top w:val="none" w:sz="0" w:space="0" w:color="auto"/>
        <w:left w:val="none" w:sz="0" w:space="0" w:color="auto"/>
        <w:bottom w:val="none" w:sz="0" w:space="0" w:color="auto"/>
        <w:right w:val="none" w:sz="0" w:space="0" w:color="auto"/>
      </w:divBdr>
      <w:divsChild>
        <w:div w:id="349993286">
          <w:marLeft w:val="0"/>
          <w:marRight w:val="0"/>
          <w:marTop w:val="0"/>
          <w:marBottom w:val="0"/>
          <w:divBdr>
            <w:top w:val="none" w:sz="0" w:space="0" w:color="auto"/>
            <w:left w:val="none" w:sz="0" w:space="0" w:color="auto"/>
            <w:bottom w:val="none" w:sz="0" w:space="0" w:color="auto"/>
            <w:right w:val="none" w:sz="0" w:space="0" w:color="auto"/>
          </w:divBdr>
        </w:div>
      </w:divsChild>
    </w:div>
    <w:div w:id="427426266">
      <w:bodyDiv w:val="1"/>
      <w:marLeft w:val="0"/>
      <w:marRight w:val="0"/>
      <w:marTop w:val="0"/>
      <w:marBottom w:val="0"/>
      <w:divBdr>
        <w:top w:val="none" w:sz="0" w:space="0" w:color="auto"/>
        <w:left w:val="none" w:sz="0" w:space="0" w:color="auto"/>
        <w:bottom w:val="none" w:sz="0" w:space="0" w:color="auto"/>
        <w:right w:val="none" w:sz="0" w:space="0" w:color="auto"/>
      </w:divBdr>
      <w:divsChild>
        <w:div w:id="2103719867">
          <w:marLeft w:val="0"/>
          <w:marRight w:val="0"/>
          <w:marTop w:val="0"/>
          <w:marBottom w:val="0"/>
          <w:divBdr>
            <w:top w:val="none" w:sz="0" w:space="0" w:color="auto"/>
            <w:left w:val="none" w:sz="0" w:space="0" w:color="auto"/>
            <w:bottom w:val="none" w:sz="0" w:space="0" w:color="auto"/>
            <w:right w:val="none" w:sz="0" w:space="0" w:color="auto"/>
          </w:divBdr>
        </w:div>
      </w:divsChild>
    </w:div>
    <w:div w:id="498423572">
      <w:bodyDiv w:val="1"/>
      <w:marLeft w:val="0"/>
      <w:marRight w:val="0"/>
      <w:marTop w:val="0"/>
      <w:marBottom w:val="0"/>
      <w:divBdr>
        <w:top w:val="none" w:sz="0" w:space="0" w:color="auto"/>
        <w:left w:val="none" w:sz="0" w:space="0" w:color="auto"/>
        <w:bottom w:val="none" w:sz="0" w:space="0" w:color="auto"/>
        <w:right w:val="none" w:sz="0" w:space="0" w:color="auto"/>
      </w:divBdr>
      <w:divsChild>
        <w:div w:id="1853302767">
          <w:marLeft w:val="0"/>
          <w:marRight w:val="0"/>
          <w:marTop w:val="0"/>
          <w:marBottom w:val="0"/>
          <w:divBdr>
            <w:top w:val="none" w:sz="0" w:space="0" w:color="auto"/>
            <w:left w:val="none" w:sz="0" w:space="0" w:color="auto"/>
            <w:bottom w:val="none" w:sz="0" w:space="0" w:color="auto"/>
            <w:right w:val="none" w:sz="0" w:space="0" w:color="auto"/>
          </w:divBdr>
        </w:div>
      </w:divsChild>
    </w:div>
    <w:div w:id="551423285">
      <w:bodyDiv w:val="1"/>
      <w:marLeft w:val="0"/>
      <w:marRight w:val="0"/>
      <w:marTop w:val="0"/>
      <w:marBottom w:val="0"/>
      <w:divBdr>
        <w:top w:val="none" w:sz="0" w:space="0" w:color="auto"/>
        <w:left w:val="none" w:sz="0" w:space="0" w:color="auto"/>
        <w:bottom w:val="none" w:sz="0" w:space="0" w:color="auto"/>
        <w:right w:val="none" w:sz="0" w:space="0" w:color="auto"/>
      </w:divBdr>
      <w:divsChild>
        <w:div w:id="1402681422">
          <w:marLeft w:val="0"/>
          <w:marRight w:val="0"/>
          <w:marTop w:val="0"/>
          <w:marBottom w:val="0"/>
          <w:divBdr>
            <w:top w:val="none" w:sz="0" w:space="0" w:color="auto"/>
            <w:left w:val="none" w:sz="0" w:space="0" w:color="auto"/>
            <w:bottom w:val="none" w:sz="0" w:space="0" w:color="auto"/>
            <w:right w:val="none" w:sz="0" w:space="0" w:color="auto"/>
          </w:divBdr>
        </w:div>
      </w:divsChild>
    </w:div>
    <w:div w:id="555777489">
      <w:bodyDiv w:val="1"/>
      <w:marLeft w:val="0"/>
      <w:marRight w:val="0"/>
      <w:marTop w:val="0"/>
      <w:marBottom w:val="0"/>
      <w:divBdr>
        <w:top w:val="none" w:sz="0" w:space="0" w:color="auto"/>
        <w:left w:val="none" w:sz="0" w:space="0" w:color="auto"/>
        <w:bottom w:val="none" w:sz="0" w:space="0" w:color="auto"/>
        <w:right w:val="none" w:sz="0" w:space="0" w:color="auto"/>
      </w:divBdr>
      <w:divsChild>
        <w:div w:id="208995966">
          <w:marLeft w:val="0"/>
          <w:marRight w:val="0"/>
          <w:marTop w:val="0"/>
          <w:marBottom w:val="0"/>
          <w:divBdr>
            <w:top w:val="none" w:sz="0" w:space="0" w:color="auto"/>
            <w:left w:val="none" w:sz="0" w:space="0" w:color="auto"/>
            <w:bottom w:val="none" w:sz="0" w:space="0" w:color="auto"/>
            <w:right w:val="none" w:sz="0" w:space="0" w:color="auto"/>
          </w:divBdr>
        </w:div>
      </w:divsChild>
    </w:div>
    <w:div w:id="582564883">
      <w:bodyDiv w:val="1"/>
      <w:marLeft w:val="0"/>
      <w:marRight w:val="0"/>
      <w:marTop w:val="0"/>
      <w:marBottom w:val="0"/>
      <w:divBdr>
        <w:top w:val="none" w:sz="0" w:space="0" w:color="auto"/>
        <w:left w:val="none" w:sz="0" w:space="0" w:color="auto"/>
        <w:bottom w:val="none" w:sz="0" w:space="0" w:color="auto"/>
        <w:right w:val="none" w:sz="0" w:space="0" w:color="auto"/>
      </w:divBdr>
      <w:divsChild>
        <w:div w:id="342322111">
          <w:marLeft w:val="0"/>
          <w:marRight w:val="0"/>
          <w:marTop w:val="0"/>
          <w:marBottom w:val="0"/>
          <w:divBdr>
            <w:top w:val="none" w:sz="0" w:space="0" w:color="auto"/>
            <w:left w:val="none" w:sz="0" w:space="0" w:color="auto"/>
            <w:bottom w:val="none" w:sz="0" w:space="0" w:color="auto"/>
            <w:right w:val="none" w:sz="0" w:space="0" w:color="auto"/>
          </w:divBdr>
        </w:div>
      </w:divsChild>
    </w:div>
    <w:div w:id="606540860">
      <w:bodyDiv w:val="1"/>
      <w:marLeft w:val="0"/>
      <w:marRight w:val="0"/>
      <w:marTop w:val="0"/>
      <w:marBottom w:val="0"/>
      <w:divBdr>
        <w:top w:val="none" w:sz="0" w:space="0" w:color="auto"/>
        <w:left w:val="none" w:sz="0" w:space="0" w:color="auto"/>
        <w:bottom w:val="none" w:sz="0" w:space="0" w:color="auto"/>
        <w:right w:val="none" w:sz="0" w:space="0" w:color="auto"/>
      </w:divBdr>
      <w:divsChild>
        <w:div w:id="1833983737">
          <w:marLeft w:val="0"/>
          <w:marRight w:val="0"/>
          <w:marTop w:val="0"/>
          <w:marBottom w:val="0"/>
          <w:divBdr>
            <w:top w:val="none" w:sz="0" w:space="0" w:color="auto"/>
            <w:left w:val="none" w:sz="0" w:space="0" w:color="auto"/>
            <w:bottom w:val="none" w:sz="0" w:space="0" w:color="auto"/>
            <w:right w:val="none" w:sz="0" w:space="0" w:color="auto"/>
          </w:divBdr>
        </w:div>
      </w:divsChild>
    </w:div>
    <w:div w:id="656616195">
      <w:bodyDiv w:val="1"/>
      <w:marLeft w:val="0"/>
      <w:marRight w:val="0"/>
      <w:marTop w:val="0"/>
      <w:marBottom w:val="0"/>
      <w:divBdr>
        <w:top w:val="none" w:sz="0" w:space="0" w:color="auto"/>
        <w:left w:val="none" w:sz="0" w:space="0" w:color="auto"/>
        <w:bottom w:val="none" w:sz="0" w:space="0" w:color="auto"/>
        <w:right w:val="none" w:sz="0" w:space="0" w:color="auto"/>
      </w:divBdr>
      <w:divsChild>
        <w:div w:id="427963550">
          <w:marLeft w:val="0"/>
          <w:marRight w:val="0"/>
          <w:marTop w:val="0"/>
          <w:marBottom w:val="0"/>
          <w:divBdr>
            <w:top w:val="none" w:sz="0" w:space="0" w:color="auto"/>
            <w:left w:val="none" w:sz="0" w:space="0" w:color="auto"/>
            <w:bottom w:val="none" w:sz="0" w:space="0" w:color="auto"/>
            <w:right w:val="none" w:sz="0" w:space="0" w:color="auto"/>
          </w:divBdr>
        </w:div>
      </w:divsChild>
    </w:div>
    <w:div w:id="657072620">
      <w:bodyDiv w:val="1"/>
      <w:marLeft w:val="0"/>
      <w:marRight w:val="0"/>
      <w:marTop w:val="0"/>
      <w:marBottom w:val="0"/>
      <w:divBdr>
        <w:top w:val="none" w:sz="0" w:space="0" w:color="auto"/>
        <w:left w:val="none" w:sz="0" w:space="0" w:color="auto"/>
        <w:bottom w:val="none" w:sz="0" w:space="0" w:color="auto"/>
        <w:right w:val="none" w:sz="0" w:space="0" w:color="auto"/>
      </w:divBdr>
      <w:divsChild>
        <w:div w:id="1672949491">
          <w:marLeft w:val="0"/>
          <w:marRight w:val="0"/>
          <w:marTop w:val="0"/>
          <w:marBottom w:val="0"/>
          <w:divBdr>
            <w:top w:val="none" w:sz="0" w:space="0" w:color="auto"/>
            <w:left w:val="none" w:sz="0" w:space="0" w:color="auto"/>
            <w:bottom w:val="none" w:sz="0" w:space="0" w:color="auto"/>
            <w:right w:val="none" w:sz="0" w:space="0" w:color="auto"/>
          </w:divBdr>
        </w:div>
      </w:divsChild>
    </w:div>
    <w:div w:id="666251565">
      <w:bodyDiv w:val="1"/>
      <w:marLeft w:val="0"/>
      <w:marRight w:val="0"/>
      <w:marTop w:val="0"/>
      <w:marBottom w:val="0"/>
      <w:divBdr>
        <w:top w:val="none" w:sz="0" w:space="0" w:color="auto"/>
        <w:left w:val="none" w:sz="0" w:space="0" w:color="auto"/>
        <w:bottom w:val="none" w:sz="0" w:space="0" w:color="auto"/>
        <w:right w:val="none" w:sz="0" w:space="0" w:color="auto"/>
      </w:divBdr>
      <w:divsChild>
        <w:div w:id="487206032">
          <w:marLeft w:val="0"/>
          <w:marRight w:val="0"/>
          <w:marTop w:val="0"/>
          <w:marBottom w:val="0"/>
          <w:divBdr>
            <w:top w:val="none" w:sz="0" w:space="0" w:color="auto"/>
            <w:left w:val="none" w:sz="0" w:space="0" w:color="auto"/>
            <w:bottom w:val="none" w:sz="0" w:space="0" w:color="auto"/>
            <w:right w:val="none" w:sz="0" w:space="0" w:color="auto"/>
          </w:divBdr>
        </w:div>
      </w:divsChild>
    </w:div>
    <w:div w:id="707486103">
      <w:bodyDiv w:val="1"/>
      <w:marLeft w:val="0"/>
      <w:marRight w:val="0"/>
      <w:marTop w:val="0"/>
      <w:marBottom w:val="0"/>
      <w:divBdr>
        <w:top w:val="none" w:sz="0" w:space="0" w:color="auto"/>
        <w:left w:val="none" w:sz="0" w:space="0" w:color="auto"/>
        <w:bottom w:val="none" w:sz="0" w:space="0" w:color="auto"/>
        <w:right w:val="none" w:sz="0" w:space="0" w:color="auto"/>
      </w:divBdr>
      <w:divsChild>
        <w:div w:id="1857303720">
          <w:marLeft w:val="0"/>
          <w:marRight w:val="0"/>
          <w:marTop w:val="0"/>
          <w:marBottom w:val="0"/>
          <w:divBdr>
            <w:top w:val="none" w:sz="0" w:space="0" w:color="auto"/>
            <w:left w:val="none" w:sz="0" w:space="0" w:color="auto"/>
            <w:bottom w:val="none" w:sz="0" w:space="0" w:color="auto"/>
            <w:right w:val="none" w:sz="0" w:space="0" w:color="auto"/>
          </w:divBdr>
        </w:div>
      </w:divsChild>
    </w:div>
    <w:div w:id="708800562">
      <w:bodyDiv w:val="1"/>
      <w:marLeft w:val="0"/>
      <w:marRight w:val="0"/>
      <w:marTop w:val="0"/>
      <w:marBottom w:val="0"/>
      <w:divBdr>
        <w:top w:val="none" w:sz="0" w:space="0" w:color="auto"/>
        <w:left w:val="none" w:sz="0" w:space="0" w:color="auto"/>
        <w:bottom w:val="none" w:sz="0" w:space="0" w:color="auto"/>
        <w:right w:val="none" w:sz="0" w:space="0" w:color="auto"/>
      </w:divBdr>
      <w:divsChild>
        <w:div w:id="935096692">
          <w:marLeft w:val="0"/>
          <w:marRight w:val="0"/>
          <w:marTop w:val="0"/>
          <w:marBottom w:val="0"/>
          <w:divBdr>
            <w:top w:val="none" w:sz="0" w:space="0" w:color="auto"/>
            <w:left w:val="none" w:sz="0" w:space="0" w:color="auto"/>
            <w:bottom w:val="none" w:sz="0" w:space="0" w:color="auto"/>
            <w:right w:val="none" w:sz="0" w:space="0" w:color="auto"/>
          </w:divBdr>
        </w:div>
      </w:divsChild>
    </w:div>
    <w:div w:id="724568878">
      <w:bodyDiv w:val="1"/>
      <w:marLeft w:val="0"/>
      <w:marRight w:val="0"/>
      <w:marTop w:val="0"/>
      <w:marBottom w:val="0"/>
      <w:divBdr>
        <w:top w:val="none" w:sz="0" w:space="0" w:color="auto"/>
        <w:left w:val="none" w:sz="0" w:space="0" w:color="auto"/>
        <w:bottom w:val="none" w:sz="0" w:space="0" w:color="auto"/>
        <w:right w:val="none" w:sz="0" w:space="0" w:color="auto"/>
      </w:divBdr>
      <w:divsChild>
        <w:div w:id="2097290116">
          <w:marLeft w:val="0"/>
          <w:marRight w:val="0"/>
          <w:marTop w:val="0"/>
          <w:marBottom w:val="0"/>
          <w:divBdr>
            <w:top w:val="none" w:sz="0" w:space="0" w:color="auto"/>
            <w:left w:val="none" w:sz="0" w:space="0" w:color="auto"/>
            <w:bottom w:val="none" w:sz="0" w:space="0" w:color="auto"/>
            <w:right w:val="none" w:sz="0" w:space="0" w:color="auto"/>
          </w:divBdr>
        </w:div>
      </w:divsChild>
    </w:div>
    <w:div w:id="736829731">
      <w:bodyDiv w:val="1"/>
      <w:marLeft w:val="0"/>
      <w:marRight w:val="0"/>
      <w:marTop w:val="0"/>
      <w:marBottom w:val="0"/>
      <w:divBdr>
        <w:top w:val="none" w:sz="0" w:space="0" w:color="auto"/>
        <w:left w:val="none" w:sz="0" w:space="0" w:color="auto"/>
        <w:bottom w:val="none" w:sz="0" w:space="0" w:color="auto"/>
        <w:right w:val="none" w:sz="0" w:space="0" w:color="auto"/>
      </w:divBdr>
      <w:divsChild>
        <w:div w:id="964042268">
          <w:marLeft w:val="0"/>
          <w:marRight w:val="0"/>
          <w:marTop w:val="0"/>
          <w:marBottom w:val="0"/>
          <w:divBdr>
            <w:top w:val="none" w:sz="0" w:space="0" w:color="auto"/>
            <w:left w:val="none" w:sz="0" w:space="0" w:color="auto"/>
            <w:bottom w:val="none" w:sz="0" w:space="0" w:color="auto"/>
            <w:right w:val="none" w:sz="0" w:space="0" w:color="auto"/>
          </w:divBdr>
        </w:div>
      </w:divsChild>
    </w:div>
    <w:div w:id="738479938">
      <w:bodyDiv w:val="1"/>
      <w:marLeft w:val="0"/>
      <w:marRight w:val="0"/>
      <w:marTop w:val="0"/>
      <w:marBottom w:val="0"/>
      <w:divBdr>
        <w:top w:val="none" w:sz="0" w:space="0" w:color="auto"/>
        <w:left w:val="none" w:sz="0" w:space="0" w:color="auto"/>
        <w:bottom w:val="none" w:sz="0" w:space="0" w:color="auto"/>
        <w:right w:val="none" w:sz="0" w:space="0" w:color="auto"/>
      </w:divBdr>
      <w:divsChild>
        <w:div w:id="1975136477">
          <w:marLeft w:val="0"/>
          <w:marRight w:val="0"/>
          <w:marTop w:val="0"/>
          <w:marBottom w:val="0"/>
          <w:divBdr>
            <w:top w:val="none" w:sz="0" w:space="0" w:color="auto"/>
            <w:left w:val="none" w:sz="0" w:space="0" w:color="auto"/>
            <w:bottom w:val="none" w:sz="0" w:space="0" w:color="auto"/>
            <w:right w:val="none" w:sz="0" w:space="0" w:color="auto"/>
          </w:divBdr>
        </w:div>
      </w:divsChild>
    </w:div>
    <w:div w:id="743457779">
      <w:bodyDiv w:val="1"/>
      <w:marLeft w:val="0"/>
      <w:marRight w:val="0"/>
      <w:marTop w:val="0"/>
      <w:marBottom w:val="0"/>
      <w:divBdr>
        <w:top w:val="none" w:sz="0" w:space="0" w:color="auto"/>
        <w:left w:val="none" w:sz="0" w:space="0" w:color="auto"/>
        <w:bottom w:val="none" w:sz="0" w:space="0" w:color="auto"/>
        <w:right w:val="none" w:sz="0" w:space="0" w:color="auto"/>
      </w:divBdr>
      <w:divsChild>
        <w:div w:id="924655025">
          <w:marLeft w:val="0"/>
          <w:marRight w:val="0"/>
          <w:marTop w:val="0"/>
          <w:marBottom w:val="0"/>
          <w:divBdr>
            <w:top w:val="none" w:sz="0" w:space="0" w:color="auto"/>
            <w:left w:val="none" w:sz="0" w:space="0" w:color="auto"/>
            <w:bottom w:val="none" w:sz="0" w:space="0" w:color="auto"/>
            <w:right w:val="none" w:sz="0" w:space="0" w:color="auto"/>
          </w:divBdr>
        </w:div>
      </w:divsChild>
    </w:div>
    <w:div w:id="931161822">
      <w:bodyDiv w:val="1"/>
      <w:marLeft w:val="0"/>
      <w:marRight w:val="0"/>
      <w:marTop w:val="0"/>
      <w:marBottom w:val="0"/>
      <w:divBdr>
        <w:top w:val="none" w:sz="0" w:space="0" w:color="auto"/>
        <w:left w:val="none" w:sz="0" w:space="0" w:color="auto"/>
        <w:bottom w:val="none" w:sz="0" w:space="0" w:color="auto"/>
        <w:right w:val="none" w:sz="0" w:space="0" w:color="auto"/>
      </w:divBdr>
      <w:divsChild>
        <w:div w:id="953288462">
          <w:marLeft w:val="0"/>
          <w:marRight w:val="0"/>
          <w:marTop w:val="0"/>
          <w:marBottom w:val="0"/>
          <w:divBdr>
            <w:top w:val="none" w:sz="0" w:space="0" w:color="auto"/>
            <w:left w:val="none" w:sz="0" w:space="0" w:color="auto"/>
            <w:bottom w:val="none" w:sz="0" w:space="0" w:color="auto"/>
            <w:right w:val="none" w:sz="0" w:space="0" w:color="auto"/>
          </w:divBdr>
        </w:div>
      </w:divsChild>
    </w:div>
    <w:div w:id="968512752">
      <w:bodyDiv w:val="1"/>
      <w:marLeft w:val="0"/>
      <w:marRight w:val="0"/>
      <w:marTop w:val="0"/>
      <w:marBottom w:val="0"/>
      <w:divBdr>
        <w:top w:val="none" w:sz="0" w:space="0" w:color="auto"/>
        <w:left w:val="none" w:sz="0" w:space="0" w:color="auto"/>
        <w:bottom w:val="none" w:sz="0" w:space="0" w:color="auto"/>
        <w:right w:val="none" w:sz="0" w:space="0" w:color="auto"/>
      </w:divBdr>
      <w:divsChild>
        <w:div w:id="461776416">
          <w:marLeft w:val="0"/>
          <w:marRight w:val="0"/>
          <w:marTop w:val="0"/>
          <w:marBottom w:val="0"/>
          <w:divBdr>
            <w:top w:val="none" w:sz="0" w:space="0" w:color="auto"/>
            <w:left w:val="none" w:sz="0" w:space="0" w:color="auto"/>
            <w:bottom w:val="none" w:sz="0" w:space="0" w:color="auto"/>
            <w:right w:val="none" w:sz="0" w:space="0" w:color="auto"/>
          </w:divBdr>
        </w:div>
      </w:divsChild>
    </w:div>
    <w:div w:id="981084538">
      <w:bodyDiv w:val="1"/>
      <w:marLeft w:val="0"/>
      <w:marRight w:val="0"/>
      <w:marTop w:val="0"/>
      <w:marBottom w:val="0"/>
      <w:divBdr>
        <w:top w:val="none" w:sz="0" w:space="0" w:color="auto"/>
        <w:left w:val="none" w:sz="0" w:space="0" w:color="auto"/>
        <w:bottom w:val="none" w:sz="0" w:space="0" w:color="auto"/>
        <w:right w:val="none" w:sz="0" w:space="0" w:color="auto"/>
      </w:divBdr>
      <w:divsChild>
        <w:div w:id="1281303372">
          <w:marLeft w:val="0"/>
          <w:marRight w:val="0"/>
          <w:marTop w:val="0"/>
          <w:marBottom w:val="0"/>
          <w:divBdr>
            <w:top w:val="none" w:sz="0" w:space="0" w:color="auto"/>
            <w:left w:val="none" w:sz="0" w:space="0" w:color="auto"/>
            <w:bottom w:val="none" w:sz="0" w:space="0" w:color="auto"/>
            <w:right w:val="none" w:sz="0" w:space="0" w:color="auto"/>
          </w:divBdr>
        </w:div>
      </w:divsChild>
    </w:div>
    <w:div w:id="1024938569">
      <w:bodyDiv w:val="1"/>
      <w:marLeft w:val="0"/>
      <w:marRight w:val="0"/>
      <w:marTop w:val="0"/>
      <w:marBottom w:val="0"/>
      <w:divBdr>
        <w:top w:val="none" w:sz="0" w:space="0" w:color="auto"/>
        <w:left w:val="none" w:sz="0" w:space="0" w:color="auto"/>
        <w:bottom w:val="none" w:sz="0" w:space="0" w:color="auto"/>
        <w:right w:val="none" w:sz="0" w:space="0" w:color="auto"/>
      </w:divBdr>
      <w:divsChild>
        <w:div w:id="1612199588">
          <w:marLeft w:val="0"/>
          <w:marRight w:val="0"/>
          <w:marTop w:val="0"/>
          <w:marBottom w:val="0"/>
          <w:divBdr>
            <w:top w:val="none" w:sz="0" w:space="0" w:color="auto"/>
            <w:left w:val="none" w:sz="0" w:space="0" w:color="auto"/>
            <w:bottom w:val="none" w:sz="0" w:space="0" w:color="auto"/>
            <w:right w:val="none" w:sz="0" w:space="0" w:color="auto"/>
          </w:divBdr>
        </w:div>
      </w:divsChild>
    </w:div>
    <w:div w:id="1028487266">
      <w:bodyDiv w:val="1"/>
      <w:marLeft w:val="0"/>
      <w:marRight w:val="0"/>
      <w:marTop w:val="0"/>
      <w:marBottom w:val="0"/>
      <w:divBdr>
        <w:top w:val="none" w:sz="0" w:space="0" w:color="auto"/>
        <w:left w:val="none" w:sz="0" w:space="0" w:color="auto"/>
        <w:bottom w:val="none" w:sz="0" w:space="0" w:color="auto"/>
        <w:right w:val="none" w:sz="0" w:space="0" w:color="auto"/>
      </w:divBdr>
      <w:divsChild>
        <w:div w:id="69347896">
          <w:marLeft w:val="0"/>
          <w:marRight w:val="0"/>
          <w:marTop w:val="0"/>
          <w:marBottom w:val="0"/>
          <w:divBdr>
            <w:top w:val="none" w:sz="0" w:space="0" w:color="auto"/>
            <w:left w:val="none" w:sz="0" w:space="0" w:color="auto"/>
            <w:bottom w:val="none" w:sz="0" w:space="0" w:color="auto"/>
            <w:right w:val="none" w:sz="0" w:space="0" w:color="auto"/>
          </w:divBdr>
        </w:div>
      </w:divsChild>
    </w:div>
    <w:div w:id="1060131176">
      <w:bodyDiv w:val="1"/>
      <w:marLeft w:val="0"/>
      <w:marRight w:val="0"/>
      <w:marTop w:val="0"/>
      <w:marBottom w:val="0"/>
      <w:divBdr>
        <w:top w:val="none" w:sz="0" w:space="0" w:color="auto"/>
        <w:left w:val="none" w:sz="0" w:space="0" w:color="auto"/>
        <w:bottom w:val="none" w:sz="0" w:space="0" w:color="auto"/>
        <w:right w:val="none" w:sz="0" w:space="0" w:color="auto"/>
      </w:divBdr>
      <w:divsChild>
        <w:div w:id="36777458">
          <w:marLeft w:val="0"/>
          <w:marRight w:val="0"/>
          <w:marTop w:val="0"/>
          <w:marBottom w:val="0"/>
          <w:divBdr>
            <w:top w:val="none" w:sz="0" w:space="0" w:color="auto"/>
            <w:left w:val="none" w:sz="0" w:space="0" w:color="auto"/>
            <w:bottom w:val="none" w:sz="0" w:space="0" w:color="auto"/>
            <w:right w:val="none" w:sz="0" w:space="0" w:color="auto"/>
          </w:divBdr>
        </w:div>
      </w:divsChild>
    </w:div>
    <w:div w:id="1066608454">
      <w:bodyDiv w:val="1"/>
      <w:marLeft w:val="0"/>
      <w:marRight w:val="0"/>
      <w:marTop w:val="0"/>
      <w:marBottom w:val="0"/>
      <w:divBdr>
        <w:top w:val="none" w:sz="0" w:space="0" w:color="auto"/>
        <w:left w:val="none" w:sz="0" w:space="0" w:color="auto"/>
        <w:bottom w:val="none" w:sz="0" w:space="0" w:color="auto"/>
        <w:right w:val="none" w:sz="0" w:space="0" w:color="auto"/>
      </w:divBdr>
      <w:divsChild>
        <w:div w:id="2115517205">
          <w:marLeft w:val="0"/>
          <w:marRight w:val="0"/>
          <w:marTop w:val="0"/>
          <w:marBottom w:val="0"/>
          <w:divBdr>
            <w:top w:val="none" w:sz="0" w:space="0" w:color="auto"/>
            <w:left w:val="none" w:sz="0" w:space="0" w:color="auto"/>
            <w:bottom w:val="none" w:sz="0" w:space="0" w:color="auto"/>
            <w:right w:val="none" w:sz="0" w:space="0" w:color="auto"/>
          </w:divBdr>
        </w:div>
      </w:divsChild>
    </w:div>
    <w:div w:id="1099370572">
      <w:bodyDiv w:val="1"/>
      <w:marLeft w:val="0"/>
      <w:marRight w:val="0"/>
      <w:marTop w:val="0"/>
      <w:marBottom w:val="0"/>
      <w:divBdr>
        <w:top w:val="none" w:sz="0" w:space="0" w:color="auto"/>
        <w:left w:val="none" w:sz="0" w:space="0" w:color="auto"/>
        <w:bottom w:val="none" w:sz="0" w:space="0" w:color="auto"/>
        <w:right w:val="none" w:sz="0" w:space="0" w:color="auto"/>
      </w:divBdr>
      <w:divsChild>
        <w:div w:id="1426078349">
          <w:marLeft w:val="0"/>
          <w:marRight w:val="0"/>
          <w:marTop w:val="0"/>
          <w:marBottom w:val="0"/>
          <w:divBdr>
            <w:top w:val="none" w:sz="0" w:space="0" w:color="auto"/>
            <w:left w:val="none" w:sz="0" w:space="0" w:color="auto"/>
            <w:bottom w:val="none" w:sz="0" w:space="0" w:color="auto"/>
            <w:right w:val="none" w:sz="0" w:space="0" w:color="auto"/>
          </w:divBdr>
        </w:div>
      </w:divsChild>
    </w:div>
    <w:div w:id="1116289011">
      <w:bodyDiv w:val="1"/>
      <w:marLeft w:val="0"/>
      <w:marRight w:val="0"/>
      <w:marTop w:val="0"/>
      <w:marBottom w:val="0"/>
      <w:divBdr>
        <w:top w:val="none" w:sz="0" w:space="0" w:color="auto"/>
        <w:left w:val="none" w:sz="0" w:space="0" w:color="auto"/>
        <w:bottom w:val="none" w:sz="0" w:space="0" w:color="auto"/>
        <w:right w:val="none" w:sz="0" w:space="0" w:color="auto"/>
      </w:divBdr>
      <w:divsChild>
        <w:div w:id="2056926654">
          <w:marLeft w:val="0"/>
          <w:marRight w:val="0"/>
          <w:marTop w:val="0"/>
          <w:marBottom w:val="0"/>
          <w:divBdr>
            <w:top w:val="none" w:sz="0" w:space="0" w:color="auto"/>
            <w:left w:val="none" w:sz="0" w:space="0" w:color="auto"/>
            <w:bottom w:val="none" w:sz="0" w:space="0" w:color="auto"/>
            <w:right w:val="none" w:sz="0" w:space="0" w:color="auto"/>
          </w:divBdr>
        </w:div>
      </w:divsChild>
    </w:div>
    <w:div w:id="1191071639">
      <w:bodyDiv w:val="1"/>
      <w:marLeft w:val="0"/>
      <w:marRight w:val="0"/>
      <w:marTop w:val="0"/>
      <w:marBottom w:val="0"/>
      <w:divBdr>
        <w:top w:val="none" w:sz="0" w:space="0" w:color="auto"/>
        <w:left w:val="none" w:sz="0" w:space="0" w:color="auto"/>
        <w:bottom w:val="none" w:sz="0" w:space="0" w:color="auto"/>
        <w:right w:val="none" w:sz="0" w:space="0" w:color="auto"/>
      </w:divBdr>
      <w:divsChild>
        <w:div w:id="325980863">
          <w:marLeft w:val="0"/>
          <w:marRight w:val="0"/>
          <w:marTop w:val="0"/>
          <w:marBottom w:val="0"/>
          <w:divBdr>
            <w:top w:val="none" w:sz="0" w:space="0" w:color="auto"/>
            <w:left w:val="none" w:sz="0" w:space="0" w:color="auto"/>
            <w:bottom w:val="none" w:sz="0" w:space="0" w:color="auto"/>
            <w:right w:val="none" w:sz="0" w:space="0" w:color="auto"/>
          </w:divBdr>
        </w:div>
      </w:divsChild>
    </w:div>
    <w:div w:id="1247498143">
      <w:bodyDiv w:val="1"/>
      <w:marLeft w:val="0"/>
      <w:marRight w:val="0"/>
      <w:marTop w:val="0"/>
      <w:marBottom w:val="0"/>
      <w:divBdr>
        <w:top w:val="none" w:sz="0" w:space="0" w:color="auto"/>
        <w:left w:val="none" w:sz="0" w:space="0" w:color="auto"/>
        <w:bottom w:val="none" w:sz="0" w:space="0" w:color="auto"/>
        <w:right w:val="none" w:sz="0" w:space="0" w:color="auto"/>
      </w:divBdr>
      <w:divsChild>
        <w:div w:id="441612185">
          <w:marLeft w:val="0"/>
          <w:marRight w:val="0"/>
          <w:marTop w:val="0"/>
          <w:marBottom w:val="0"/>
          <w:divBdr>
            <w:top w:val="none" w:sz="0" w:space="0" w:color="auto"/>
            <w:left w:val="none" w:sz="0" w:space="0" w:color="auto"/>
            <w:bottom w:val="none" w:sz="0" w:space="0" w:color="auto"/>
            <w:right w:val="none" w:sz="0" w:space="0" w:color="auto"/>
          </w:divBdr>
        </w:div>
      </w:divsChild>
    </w:div>
    <w:div w:id="1251818828">
      <w:bodyDiv w:val="1"/>
      <w:marLeft w:val="0"/>
      <w:marRight w:val="0"/>
      <w:marTop w:val="0"/>
      <w:marBottom w:val="0"/>
      <w:divBdr>
        <w:top w:val="none" w:sz="0" w:space="0" w:color="auto"/>
        <w:left w:val="none" w:sz="0" w:space="0" w:color="auto"/>
        <w:bottom w:val="none" w:sz="0" w:space="0" w:color="auto"/>
        <w:right w:val="none" w:sz="0" w:space="0" w:color="auto"/>
      </w:divBdr>
      <w:divsChild>
        <w:div w:id="41952177">
          <w:marLeft w:val="0"/>
          <w:marRight w:val="0"/>
          <w:marTop w:val="0"/>
          <w:marBottom w:val="0"/>
          <w:divBdr>
            <w:top w:val="none" w:sz="0" w:space="0" w:color="auto"/>
            <w:left w:val="none" w:sz="0" w:space="0" w:color="auto"/>
            <w:bottom w:val="none" w:sz="0" w:space="0" w:color="auto"/>
            <w:right w:val="none" w:sz="0" w:space="0" w:color="auto"/>
          </w:divBdr>
        </w:div>
      </w:divsChild>
    </w:div>
    <w:div w:id="1264457915">
      <w:bodyDiv w:val="1"/>
      <w:marLeft w:val="0"/>
      <w:marRight w:val="0"/>
      <w:marTop w:val="0"/>
      <w:marBottom w:val="0"/>
      <w:divBdr>
        <w:top w:val="none" w:sz="0" w:space="0" w:color="auto"/>
        <w:left w:val="none" w:sz="0" w:space="0" w:color="auto"/>
        <w:bottom w:val="none" w:sz="0" w:space="0" w:color="auto"/>
        <w:right w:val="none" w:sz="0" w:space="0" w:color="auto"/>
      </w:divBdr>
      <w:divsChild>
        <w:div w:id="918170782">
          <w:marLeft w:val="0"/>
          <w:marRight w:val="0"/>
          <w:marTop w:val="0"/>
          <w:marBottom w:val="0"/>
          <w:divBdr>
            <w:top w:val="none" w:sz="0" w:space="0" w:color="auto"/>
            <w:left w:val="none" w:sz="0" w:space="0" w:color="auto"/>
            <w:bottom w:val="none" w:sz="0" w:space="0" w:color="auto"/>
            <w:right w:val="none" w:sz="0" w:space="0" w:color="auto"/>
          </w:divBdr>
        </w:div>
      </w:divsChild>
    </w:div>
    <w:div w:id="1273977377">
      <w:bodyDiv w:val="1"/>
      <w:marLeft w:val="0"/>
      <w:marRight w:val="0"/>
      <w:marTop w:val="0"/>
      <w:marBottom w:val="0"/>
      <w:divBdr>
        <w:top w:val="none" w:sz="0" w:space="0" w:color="auto"/>
        <w:left w:val="none" w:sz="0" w:space="0" w:color="auto"/>
        <w:bottom w:val="none" w:sz="0" w:space="0" w:color="auto"/>
        <w:right w:val="none" w:sz="0" w:space="0" w:color="auto"/>
      </w:divBdr>
      <w:divsChild>
        <w:div w:id="2052225992">
          <w:marLeft w:val="0"/>
          <w:marRight w:val="0"/>
          <w:marTop w:val="0"/>
          <w:marBottom w:val="0"/>
          <w:divBdr>
            <w:top w:val="none" w:sz="0" w:space="0" w:color="auto"/>
            <w:left w:val="none" w:sz="0" w:space="0" w:color="auto"/>
            <w:bottom w:val="none" w:sz="0" w:space="0" w:color="auto"/>
            <w:right w:val="none" w:sz="0" w:space="0" w:color="auto"/>
          </w:divBdr>
        </w:div>
      </w:divsChild>
    </w:div>
    <w:div w:id="1274287796">
      <w:bodyDiv w:val="1"/>
      <w:marLeft w:val="0"/>
      <w:marRight w:val="0"/>
      <w:marTop w:val="0"/>
      <w:marBottom w:val="0"/>
      <w:divBdr>
        <w:top w:val="none" w:sz="0" w:space="0" w:color="auto"/>
        <w:left w:val="none" w:sz="0" w:space="0" w:color="auto"/>
        <w:bottom w:val="none" w:sz="0" w:space="0" w:color="auto"/>
        <w:right w:val="none" w:sz="0" w:space="0" w:color="auto"/>
      </w:divBdr>
      <w:divsChild>
        <w:div w:id="980963549">
          <w:marLeft w:val="0"/>
          <w:marRight w:val="0"/>
          <w:marTop w:val="0"/>
          <w:marBottom w:val="0"/>
          <w:divBdr>
            <w:top w:val="none" w:sz="0" w:space="0" w:color="auto"/>
            <w:left w:val="none" w:sz="0" w:space="0" w:color="auto"/>
            <w:bottom w:val="none" w:sz="0" w:space="0" w:color="auto"/>
            <w:right w:val="none" w:sz="0" w:space="0" w:color="auto"/>
          </w:divBdr>
        </w:div>
      </w:divsChild>
    </w:div>
    <w:div w:id="1314069705">
      <w:bodyDiv w:val="1"/>
      <w:marLeft w:val="0"/>
      <w:marRight w:val="0"/>
      <w:marTop w:val="0"/>
      <w:marBottom w:val="0"/>
      <w:divBdr>
        <w:top w:val="none" w:sz="0" w:space="0" w:color="auto"/>
        <w:left w:val="none" w:sz="0" w:space="0" w:color="auto"/>
        <w:bottom w:val="none" w:sz="0" w:space="0" w:color="auto"/>
        <w:right w:val="none" w:sz="0" w:space="0" w:color="auto"/>
      </w:divBdr>
      <w:divsChild>
        <w:div w:id="1653019398">
          <w:marLeft w:val="0"/>
          <w:marRight w:val="0"/>
          <w:marTop w:val="0"/>
          <w:marBottom w:val="0"/>
          <w:divBdr>
            <w:top w:val="none" w:sz="0" w:space="0" w:color="auto"/>
            <w:left w:val="none" w:sz="0" w:space="0" w:color="auto"/>
            <w:bottom w:val="none" w:sz="0" w:space="0" w:color="auto"/>
            <w:right w:val="none" w:sz="0" w:space="0" w:color="auto"/>
          </w:divBdr>
        </w:div>
      </w:divsChild>
    </w:div>
    <w:div w:id="1345013563">
      <w:bodyDiv w:val="1"/>
      <w:marLeft w:val="0"/>
      <w:marRight w:val="0"/>
      <w:marTop w:val="0"/>
      <w:marBottom w:val="0"/>
      <w:divBdr>
        <w:top w:val="none" w:sz="0" w:space="0" w:color="auto"/>
        <w:left w:val="none" w:sz="0" w:space="0" w:color="auto"/>
        <w:bottom w:val="none" w:sz="0" w:space="0" w:color="auto"/>
        <w:right w:val="none" w:sz="0" w:space="0" w:color="auto"/>
      </w:divBdr>
      <w:divsChild>
        <w:div w:id="520625183">
          <w:marLeft w:val="0"/>
          <w:marRight w:val="0"/>
          <w:marTop w:val="0"/>
          <w:marBottom w:val="0"/>
          <w:divBdr>
            <w:top w:val="none" w:sz="0" w:space="0" w:color="auto"/>
            <w:left w:val="none" w:sz="0" w:space="0" w:color="auto"/>
            <w:bottom w:val="none" w:sz="0" w:space="0" w:color="auto"/>
            <w:right w:val="none" w:sz="0" w:space="0" w:color="auto"/>
          </w:divBdr>
        </w:div>
      </w:divsChild>
    </w:div>
    <w:div w:id="1388072620">
      <w:bodyDiv w:val="1"/>
      <w:marLeft w:val="0"/>
      <w:marRight w:val="0"/>
      <w:marTop w:val="0"/>
      <w:marBottom w:val="0"/>
      <w:divBdr>
        <w:top w:val="none" w:sz="0" w:space="0" w:color="auto"/>
        <w:left w:val="none" w:sz="0" w:space="0" w:color="auto"/>
        <w:bottom w:val="none" w:sz="0" w:space="0" w:color="auto"/>
        <w:right w:val="none" w:sz="0" w:space="0" w:color="auto"/>
      </w:divBdr>
      <w:divsChild>
        <w:div w:id="1658533857">
          <w:marLeft w:val="0"/>
          <w:marRight w:val="0"/>
          <w:marTop w:val="0"/>
          <w:marBottom w:val="0"/>
          <w:divBdr>
            <w:top w:val="none" w:sz="0" w:space="0" w:color="auto"/>
            <w:left w:val="none" w:sz="0" w:space="0" w:color="auto"/>
            <w:bottom w:val="none" w:sz="0" w:space="0" w:color="auto"/>
            <w:right w:val="none" w:sz="0" w:space="0" w:color="auto"/>
          </w:divBdr>
        </w:div>
      </w:divsChild>
    </w:div>
    <w:div w:id="1455095872">
      <w:bodyDiv w:val="1"/>
      <w:marLeft w:val="0"/>
      <w:marRight w:val="0"/>
      <w:marTop w:val="0"/>
      <w:marBottom w:val="0"/>
      <w:divBdr>
        <w:top w:val="none" w:sz="0" w:space="0" w:color="auto"/>
        <w:left w:val="none" w:sz="0" w:space="0" w:color="auto"/>
        <w:bottom w:val="none" w:sz="0" w:space="0" w:color="auto"/>
        <w:right w:val="none" w:sz="0" w:space="0" w:color="auto"/>
      </w:divBdr>
      <w:divsChild>
        <w:div w:id="774713463">
          <w:marLeft w:val="0"/>
          <w:marRight w:val="0"/>
          <w:marTop w:val="0"/>
          <w:marBottom w:val="0"/>
          <w:divBdr>
            <w:top w:val="none" w:sz="0" w:space="0" w:color="auto"/>
            <w:left w:val="none" w:sz="0" w:space="0" w:color="auto"/>
            <w:bottom w:val="none" w:sz="0" w:space="0" w:color="auto"/>
            <w:right w:val="none" w:sz="0" w:space="0" w:color="auto"/>
          </w:divBdr>
        </w:div>
      </w:divsChild>
    </w:div>
    <w:div w:id="1465544223">
      <w:bodyDiv w:val="1"/>
      <w:marLeft w:val="0"/>
      <w:marRight w:val="0"/>
      <w:marTop w:val="0"/>
      <w:marBottom w:val="0"/>
      <w:divBdr>
        <w:top w:val="none" w:sz="0" w:space="0" w:color="auto"/>
        <w:left w:val="none" w:sz="0" w:space="0" w:color="auto"/>
        <w:bottom w:val="none" w:sz="0" w:space="0" w:color="auto"/>
        <w:right w:val="none" w:sz="0" w:space="0" w:color="auto"/>
      </w:divBdr>
      <w:divsChild>
        <w:div w:id="1403020517">
          <w:marLeft w:val="0"/>
          <w:marRight w:val="0"/>
          <w:marTop w:val="0"/>
          <w:marBottom w:val="0"/>
          <w:divBdr>
            <w:top w:val="none" w:sz="0" w:space="0" w:color="auto"/>
            <w:left w:val="none" w:sz="0" w:space="0" w:color="auto"/>
            <w:bottom w:val="none" w:sz="0" w:space="0" w:color="auto"/>
            <w:right w:val="none" w:sz="0" w:space="0" w:color="auto"/>
          </w:divBdr>
        </w:div>
      </w:divsChild>
    </w:div>
    <w:div w:id="1489595573">
      <w:bodyDiv w:val="1"/>
      <w:marLeft w:val="0"/>
      <w:marRight w:val="0"/>
      <w:marTop w:val="0"/>
      <w:marBottom w:val="0"/>
      <w:divBdr>
        <w:top w:val="none" w:sz="0" w:space="0" w:color="auto"/>
        <w:left w:val="none" w:sz="0" w:space="0" w:color="auto"/>
        <w:bottom w:val="none" w:sz="0" w:space="0" w:color="auto"/>
        <w:right w:val="none" w:sz="0" w:space="0" w:color="auto"/>
      </w:divBdr>
      <w:divsChild>
        <w:div w:id="369690420">
          <w:marLeft w:val="0"/>
          <w:marRight w:val="0"/>
          <w:marTop w:val="0"/>
          <w:marBottom w:val="0"/>
          <w:divBdr>
            <w:top w:val="none" w:sz="0" w:space="0" w:color="auto"/>
            <w:left w:val="none" w:sz="0" w:space="0" w:color="auto"/>
            <w:bottom w:val="none" w:sz="0" w:space="0" w:color="auto"/>
            <w:right w:val="none" w:sz="0" w:space="0" w:color="auto"/>
          </w:divBdr>
        </w:div>
      </w:divsChild>
    </w:div>
    <w:div w:id="1496991825">
      <w:bodyDiv w:val="1"/>
      <w:marLeft w:val="0"/>
      <w:marRight w:val="0"/>
      <w:marTop w:val="0"/>
      <w:marBottom w:val="0"/>
      <w:divBdr>
        <w:top w:val="none" w:sz="0" w:space="0" w:color="auto"/>
        <w:left w:val="none" w:sz="0" w:space="0" w:color="auto"/>
        <w:bottom w:val="none" w:sz="0" w:space="0" w:color="auto"/>
        <w:right w:val="none" w:sz="0" w:space="0" w:color="auto"/>
      </w:divBdr>
      <w:divsChild>
        <w:div w:id="1801259655">
          <w:marLeft w:val="0"/>
          <w:marRight w:val="0"/>
          <w:marTop w:val="0"/>
          <w:marBottom w:val="0"/>
          <w:divBdr>
            <w:top w:val="none" w:sz="0" w:space="0" w:color="auto"/>
            <w:left w:val="none" w:sz="0" w:space="0" w:color="auto"/>
            <w:bottom w:val="none" w:sz="0" w:space="0" w:color="auto"/>
            <w:right w:val="none" w:sz="0" w:space="0" w:color="auto"/>
          </w:divBdr>
        </w:div>
      </w:divsChild>
    </w:div>
    <w:div w:id="1507284356">
      <w:bodyDiv w:val="1"/>
      <w:marLeft w:val="0"/>
      <w:marRight w:val="0"/>
      <w:marTop w:val="0"/>
      <w:marBottom w:val="0"/>
      <w:divBdr>
        <w:top w:val="none" w:sz="0" w:space="0" w:color="auto"/>
        <w:left w:val="none" w:sz="0" w:space="0" w:color="auto"/>
        <w:bottom w:val="none" w:sz="0" w:space="0" w:color="auto"/>
        <w:right w:val="none" w:sz="0" w:space="0" w:color="auto"/>
      </w:divBdr>
      <w:divsChild>
        <w:div w:id="1576744576">
          <w:marLeft w:val="0"/>
          <w:marRight w:val="0"/>
          <w:marTop w:val="0"/>
          <w:marBottom w:val="0"/>
          <w:divBdr>
            <w:top w:val="none" w:sz="0" w:space="0" w:color="auto"/>
            <w:left w:val="none" w:sz="0" w:space="0" w:color="auto"/>
            <w:bottom w:val="none" w:sz="0" w:space="0" w:color="auto"/>
            <w:right w:val="none" w:sz="0" w:space="0" w:color="auto"/>
          </w:divBdr>
        </w:div>
      </w:divsChild>
    </w:div>
    <w:div w:id="1508251968">
      <w:bodyDiv w:val="1"/>
      <w:marLeft w:val="0"/>
      <w:marRight w:val="0"/>
      <w:marTop w:val="0"/>
      <w:marBottom w:val="0"/>
      <w:divBdr>
        <w:top w:val="none" w:sz="0" w:space="0" w:color="auto"/>
        <w:left w:val="none" w:sz="0" w:space="0" w:color="auto"/>
        <w:bottom w:val="none" w:sz="0" w:space="0" w:color="auto"/>
        <w:right w:val="none" w:sz="0" w:space="0" w:color="auto"/>
      </w:divBdr>
      <w:divsChild>
        <w:div w:id="1465272250">
          <w:marLeft w:val="0"/>
          <w:marRight w:val="0"/>
          <w:marTop w:val="0"/>
          <w:marBottom w:val="0"/>
          <w:divBdr>
            <w:top w:val="none" w:sz="0" w:space="0" w:color="auto"/>
            <w:left w:val="none" w:sz="0" w:space="0" w:color="auto"/>
            <w:bottom w:val="none" w:sz="0" w:space="0" w:color="auto"/>
            <w:right w:val="none" w:sz="0" w:space="0" w:color="auto"/>
          </w:divBdr>
        </w:div>
      </w:divsChild>
    </w:div>
    <w:div w:id="1549949876">
      <w:bodyDiv w:val="1"/>
      <w:marLeft w:val="0"/>
      <w:marRight w:val="0"/>
      <w:marTop w:val="0"/>
      <w:marBottom w:val="0"/>
      <w:divBdr>
        <w:top w:val="none" w:sz="0" w:space="0" w:color="auto"/>
        <w:left w:val="none" w:sz="0" w:space="0" w:color="auto"/>
        <w:bottom w:val="none" w:sz="0" w:space="0" w:color="auto"/>
        <w:right w:val="none" w:sz="0" w:space="0" w:color="auto"/>
      </w:divBdr>
      <w:divsChild>
        <w:div w:id="463498897">
          <w:marLeft w:val="0"/>
          <w:marRight w:val="0"/>
          <w:marTop w:val="0"/>
          <w:marBottom w:val="0"/>
          <w:divBdr>
            <w:top w:val="none" w:sz="0" w:space="0" w:color="auto"/>
            <w:left w:val="none" w:sz="0" w:space="0" w:color="auto"/>
            <w:bottom w:val="none" w:sz="0" w:space="0" w:color="auto"/>
            <w:right w:val="none" w:sz="0" w:space="0" w:color="auto"/>
          </w:divBdr>
        </w:div>
      </w:divsChild>
    </w:div>
    <w:div w:id="1576234249">
      <w:bodyDiv w:val="1"/>
      <w:marLeft w:val="0"/>
      <w:marRight w:val="0"/>
      <w:marTop w:val="0"/>
      <w:marBottom w:val="0"/>
      <w:divBdr>
        <w:top w:val="none" w:sz="0" w:space="0" w:color="auto"/>
        <w:left w:val="none" w:sz="0" w:space="0" w:color="auto"/>
        <w:bottom w:val="none" w:sz="0" w:space="0" w:color="auto"/>
        <w:right w:val="none" w:sz="0" w:space="0" w:color="auto"/>
      </w:divBdr>
      <w:divsChild>
        <w:div w:id="1204975406">
          <w:marLeft w:val="0"/>
          <w:marRight w:val="0"/>
          <w:marTop w:val="0"/>
          <w:marBottom w:val="0"/>
          <w:divBdr>
            <w:top w:val="none" w:sz="0" w:space="0" w:color="auto"/>
            <w:left w:val="none" w:sz="0" w:space="0" w:color="auto"/>
            <w:bottom w:val="none" w:sz="0" w:space="0" w:color="auto"/>
            <w:right w:val="none" w:sz="0" w:space="0" w:color="auto"/>
          </w:divBdr>
        </w:div>
      </w:divsChild>
    </w:div>
    <w:div w:id="1595236787">
      <w:bodyDiv w:val="1"/>
      <w:marLeft w:val="0"/>
      <w:marRight w:val="0"/>
      <w:marTop w:val="0"/>
      <w:marBottom w:val="0"/>
      <w:divBdr>
        <w:top w:val="none" w:sz="0" w:space="0" w:color="auto"/>
        <w:left w:val="none" w:sz="0" w:space="0" w:color="auto"/>
        <w:bottom w:val="none" w:sz="0" w:space="0" w:color="auto"/>
        <w:right w:val="none" w:sz="0" w:space="0" w:color="auto"/>
      </w:divBdr>
      <w:divsChild>
        <w:div w:id="1753307595">
          <w:marLeft w:val="0"/>
          <w:marRight w:val="0"/>
          <w:marTop w:val="0"/>
          <w:marBottom w:val="0"/>
          <w:divBdr>
            <w:top w:val="none" w:sz="0" w:space="0" w:color="auto"/>
            <w:left w:val="none" w:sz="0" w:space="0" w:color="auto"/>
            <w:bottom w:val="none" w:sz="0" w:space="0" w:color="auto"/>
            <w:right w:val="none" w:sz="0" w:space="0" w:color="auto"/>
          </w:divBdr>
        </w:div>
      </w:divsChild>
    </w:div>
    <w:div w:id="1741444398">
      <w:bodyDiv w:val="1"/>
      <w:marLeft w:val="0"/>
      <w:marRight w:val="0"/>
      <w:marTop w:val="0"/>
      <w:marBottom w:val="0"/>
      <w:divBdr>
        <w:top w:val="none" w:sz="0" w:space="0" w:color="auto"/>
        <w:left w:val="none" w:sz="0" w:space="0" w:color="auto"/>
        <w:bottom w:val="none" w:sz="0" w:space="0" w:color="auto"/>
        <w:right w:val="none" w:sz="0" w:space="0" w:color="auto"/>
      </w:divBdr>
      <w:divsChild>
        <w:div w:id="446394075">
          <w:marLeft w:val="0"/>
          <w:marRight w:val="0"/>
          <w:marTop w:val="0"/>
          <w:marBottom w:val="0"/>
          <w:divBdr>
            <w:top w:val="none" w:sz="0" w:space="0" w:color="auto"/>
            <w:left w:val="none" w:sz="0" w:space="0" w:color="auto"/>
            <w:bottom w:val="none" w:sz="0" w:space="0" w:color="auto"/>
            <w:right w:val="none" w:sz="0" w:space="0" w:color="auto"/>
          </w:divBdr>
        </w:div>
      </w:divsChild>
    </w:div>
    <w:div w:id="1766413858">
      <w:bodyDiv w:val="1"/>
      <w:marLeft w:val="0"/>
      <w:marRight w:val="0"/>
      <w:marTop w:val="0"/>
      <w:marBottom w:val="0"/>
      <w:divBdr>
        <w:top w:val="none" w:sz="0" w:space="0" w:color="auto"/>
        <w:left w:val="none" w:sz="0" w:space="0" w:color="auto"/>
        <w:bottom w:val="none" w:sz="0" w:space="0" w:color="auto"/>
        <w:right w:val="none" w:sz="0" w:space="0" w:color="auto"/>
      </w:divBdr>
      <w:divsChild>
        <w:div w:id="41102635">
          <w:marLeft w:val="0"/>
          <w:marRight w:val="0"/>
          <w:marTop w:val="0"/>
          <w:marBottom w:val="0"/>
          <w:divBdr>
            <w:top w:val="none" w:sz="0" w:space="0" w:color="auto"/>
            <w:left w:val="none" w:sz="0" w:space="0" w:color="auto"/>
            <w:bottom w:val="none" w:sz="0" w:space="0" w:color="auto"/>
            <w:right w:val="none" w:sz="0" w:space="0" w:color="auto"/>
          </w:divBdr>
        </w:div>
      </w:divsChild>
    </w:div>
    <w:div w:id="1768958648">
      <w:bodyDiv w:val="1"/>
      <w:marLeft w:val="0"/>
      <w:marRight w:val="0"/>
      <w:marTop w:val="0"/>
      <w:marBottom w:val="0"/>
      <w:divBdr>
        <w:top w:val="none" w:sz="0" w:space="0" w:color="auto"/>
        <w:left w:val="none" w:sz="0" w:space="0" w:color="auto"/>
        <w:bottom w:val="none" w:sz="0" w:space="0" w:color="auto"/>
        <w:right w:val="none" w:sz="0" w:space="0" w:color="auto"/>
      </w:divBdr>
      <w:divsChild>
        <w:div w:id="2050108849">
          <w:marLeft w:val="0"/>
          <w:marRight w:val="0"/>
          <w:marTop w:val="0"/>
          <w:marBottom w:val="0"/>
          <w:divBdr>
            <w:top w:val="none" w:sz="0" w:space="0" w:color="auto"/>
            <w:left w:val="none" w:sz="0" w:space="0" w:color="auto"/>
            <w:bottom w:val="none" w:sz="0" w:space="0" w:color="auto"/>
            <w:right w:val="none" w:sz="0" w:space="0" w:color="auto"/>
          </w:divBdr>
        </w:div>
      </w:divsChild>
    </w:div>
    <w:div w:id="1778209673">
      <w:bodyDiv w:val="1"/>
      <w:marLeft w:val="0"/>
      <w:marRight w:val="0"/>
      <w:marTop w:val="0"/>
      <w:marBottom w:val="0"/>
      <w:divBdr>
        <w:top w:val="none" w:sz="0" w:space="0" w:color="auto"/>
        <w:left w:val="none" w:sz="0" w:space="0" w:color="auto"/>
        <w:bottom w:val="none" w:sz="0" w:space="0" w:color="auto"/>
        <w:right w:val="none" w:sz="0" w:space="0" w:color="auto"/>
      </w:divBdr>
      <w:divsChild>
        <w:div w:id="2139764015">
          <w:marLeft w:val="0"/>
          <w:marRight w:val="0"/>
          <w:marTop w:val="0"/>
          <w:marBottom w:val="0"/>
          <w:divBdr>
            <w:top w:val="none" w:sz="0" w:space="0" w:color="auto"/>
            <w:left w:val="none" w:sz="0" w:space="0" w:color="auto"/>
            <w:bottom w:val="none" w:sz="0" w:space="0" w:color="auto"/>
            <w:right w:val="none" w:sz="0" w:space="0" w:color="auto"/>
          </w:divBdr>
        </w:div>
      </w:divsChild>
    </w:div>
    <w:div w:id="1892570098">
      <w:bodyDiv w:val="1"/>
      <w:marLeft w:val="0"/>
      <w:marRight w:val="0"/>
      <w:marTop w:val="0"/>
      <w:marBottom w:val="0"/>
      <w:divBdr>
        <w:top w:val="none" w:sz="0" w:space="0" w:color="auto"/>
        <w:left w:val="none" w:sz="0" w:space="0" w:color="auto"/>
        <w:bottom w:val="none" w:sz="0" w:space="0" w:color="auto"/>
        <w:right w:val="none" w:sz="0" w:space="0" w:color="auto"/>
      </w:divBdr>
      <w:divsChild>
        <w:div w:id="1031225381">
          <w:marLeft w:val="0"/>
          <w:marRight w:val="0"/>
          <w:marTop w:val="0"/>
          <w:marBottom w:val="0"/>
          <w:divBdr>
            <w:top w:val="none" w:sz="0" w:space="0" w:color="auto"/>
            <w:left w:val="none" w:sz="0" w:space="0" w:color="auto"/>
            <w:bottom w:val="none" w:sz="0" w:space="0" w:color="auto"/>
            <w:right w:val="none" w:sz="0" w:space="0" w:color="auto"/>
          </w:divBdr>
        </w:div>
      </w:divsChild>
    </w:div>
    <w:div w:id="1909916830">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7">
          <w:marLeft w:val="0"/>
          <w:marRight w:val="0"/>
          <w:marTop w:val="0"/>
          <w:marBottom w:val="0"/>
          <w:divBdr>
            <w:top w:val="none" w:sz="0" w:space="0" w:color="auto"/>
            <w:left w:val="none" w:sz="0" w:space="0" w:color="auto"/>
            <w:bottom w:val="none" w:sz="0" w:space="0" w:color="auto"/>
            <w:right w:val="none" w:sz="0" w:space="0" w:color="auto"/>
          </w:divBdr>
        </w:div>
      </w:divsChild>
    </w:div>
    <w:div w:id="1994404514">
      <w:bodyDiv w:val="1"/>
      <w:marLeft w:val="0"/>
      <w:marRight w:val="0"/>
      <w:marTop w:val="0"/>
      <w:marBottom w:val="0"/>
      <w:divBdr>
        <w:top w:val="none" w:sz="0" w:space="0" w:color="auto"/>
        <w:left w:val="none" w:sz="0" w:space="0" w:color="auto"/>
        <w:bottom w:val="none" w:sz="0" w:space="0" w:color="auto"/>
        <w:right w:val="none" w:sz="0" w:space="0" w:color="auto"/>
      </w:divBdr>
      <w:divsChild>
        <w:div w:id="1640456232">
          <w:marLeft w:val="0"/>
          <w:marRight w:val="0"/>
          <w:marTop w:val="0"/>
          <w:marBottom w:val="0"/>
          <w:divBdr>
            <w:top w:val="none" w:sz="0" w:space="0" w:color="auto"/>
            <w:left w:val="none" w:sz="0" w:space="0" w:color="auto"/>
            <w:bottom w:val="none" w:sz="0" w:space="0" w:color="auto"/>
            <w:right w:val="none" w:sz="0" w:space="0" w:color="auto"/>
          </w:divBdr>
        </w:div>
      </w:divsChild>
    </w:div>
    <w:div w:id="2005669091">
      <w:bodyDiv w:val="1"/>
      <w:marLeft w:val="0"/>
      <w:marRight w:val="0"/>
      <w:marTop w:val="0"/>
      <w:marBottom w:val="0"/>
      <w:divBdr>
        <w:top w:val="none" w:sz="0" w:space="0" w:color="auto"/>
        <w:left w:val="none" w:sz="0" w:space="0" w:color="auto"/>
        <w:bottom w:val="none" w:sz="0" w:space="0" w:color="auto"/>
        <w:right w:val="none" w:sz="0" w:space="0" w:color="auto"/>
      </w:divBdr>
      <w:divsChild>
        <w:div w:id="1051415578">
          <w:marLeft w:val="0"/>
          <w:marRight w:val="0"/>
          <w:marTop w:val="0"/>
          <w:marBottom w:val="0"/>
          <w:divBdr>
            <w:top w:val="none" w:sz="0" w:space="0" w:color="auto"/>
            <w:left w:val="none" w:sz="0" w:space="0" w:color="auto"/>
            <w:bottom w:val="none" w:sz="0" w:space="0" w:color="auto"/>
            <w:right w:val="none" w:sz="0" w:space="0" w:color="auto"/>
          </w:divBdr>
        </w:div>
      </w:divsChild>
    </w:div>
    <w:div w:id="2030644077">
      <w:bodyDiv w:val="1"/>
      <w:marLeft w:val="0"/>
      <w:marRight w:val="0"/>
      <w:marTop w:val="0"/>
      <w:marBottom w:val="0"/>
      <w:divBdr>
        <w:top w:val="none" w:sz="0" w:space="0" w:color="auto"/>
        <w:left w:val="none" w:sz="0" w:space="0" w:color="auto"/>
        <w:bottom w:val="none" w:sz="0" w:space="0" w:color="auto"/>
        <w:right w:val="none" w:sz="0" w:space="0" w:color="auto"/>
      </w:divBdr>
      <w:divsChild>
        <w:div w:id="1668708393">
          <w:marLeft w:val="0"/>
          <w:marRight w:val="0"/>
          <w:marTop w:val="0"/>
          <w:marBottom w:val="0"/>
          <w:divBdr>
            <w:top w:val="none" w:sz="0" w:space="0" w:color="auto"/>
            <w:left w:val="none" w:sz="0" w:space="0" w:color="auto"/>
            <w:bottom w:val="none" w:sz="0" w:space="0" w:color="auto"/>
            <w:right w:val="none" w:sz="0" w:space="0" w:color="auto"/>
          </w:divBdr>
        </w:div>
      </w:divsChild>
    </w:div>
    <w:div w:id="2057317323">
      <w:bodyDiv w:val="1"/>
      <w:marLeft w:val="0"/>
      <w:marRight w:val="0"/>
      <w:marTop w:val="0"/>
      <w:marBottom w:val="0"/>
      <w:divBdr>
        <w:top w:val="none" w:sz="0" w:space="0" w:color="auto"/>
        <w:left w:val="none" w:sz="0" w:space="0" w:color="auto"/>
        <w:bottom w:val="none" w:sz="0" w:space="0" w:color="auto"/>
        <w:right w:val="none" w:sz="0" w:space="0" w:color="auto"/>
      </w:divBdr>
      <w:divsChild>
        <w:div w:id="545071476">
          <w:marLeft w:val="0"/>
          <w:marRight w:val="0"/>
          <w:marTop w:val="0"/>
          <w:marBottom w:val="0"/>
          <w:divBdr>
            <w:top w:val="none" w:sz="0" w:space="0" w:color="auto"/>
            <w:left w:val="none" w:sz="0" w:space="0" w:color="auto"/>
            <w:bottom w:val="none" w:sz="0" w:space="0" w:color="auto"/>
            <w:right w:val="none" w:sz="0" w:space="0" w:color="auto"/>
          </w:divBdr>
        </w:div>
      </w:divsChild>
    </w:div>
    <w:div w:id="2058891406">
      <w:bodyDiv w:val="1"/>
      <w:marLeft w:val="0"/>
      <w:marRight w:val="0"/>
      <w:marTop w:val="0"/>
      <w:marBottom w:val="0"/>
      <w:divBdr>
        <w:top w:val="none" w:sz="0" w:space="0" w:color="auto"/>
        <w:left w:val="none" w:sz="0" w:space="0" w:color="auto"/>
        <w:bottom w:val="none" w:sz="0" w:space="0" w:color="auto"/>
        <w:right w:val="none" w:sz="0" w:space="0" w:color="auto"/>
      </w:divBdr>
      <w:divsChild>
        <w:div w:id="782460501">
          <w:marLeft w:val="0"/>
          <w:marRight w:val="0"/>
          <w:marTop w:val="0"/>
          <w:marBottom w:val="0"/>
          <w:divBdr>
            <w:top w:val="none" w:sz="0" w:space="0" w:color="auto"/>
            <w:left w:val="none" w:sz="0" w:space="0" w:color="auto"/>
            <w:bottom w:val="none" w:sz="0" w:space="0" w:color="auto"/>
            <w:right w:val="none" w:sz="0" w:space="0" w:color="auto"/>
          </w:divBdr>
        </w:div>
      </w:divsChild>
    </w:div>
    <w:div w:id="2078748739">
      <w:bodyDiv w:val="1"/>
      <w:marLeft w:val="0"/>
      <w:marRight w:val="0"/>
      <w:marTop w:val="0"/>
      <w:marBottom w:val="0"/>
      <w:divBdr>
        <w:top w:val="none" w:sz="0" w:space="0" w:color="auto"/>
        <w:left w:val="none" w:sz="0" w:space="0" w:color="auto"/>
        <w:bottom w:val="none" w:sz="0" w:space="0" w:color="auto"/>
        <w:right w:val="none" w:sz="0" w:space="0" w:color="auto"/>
      </w:divBdr>
      <w:divsChild>
        <w:div w:id="1943953905">
          <w:marLeft w:val="0"/>
          <w:marRight w:val="0"/>
          <w:marTop w:val="0"/>
          <w:marBottom w:val="0"/>
          <w:divBdr>
            <w:top w:val="none" w:sz="0" w:space="0" w:color="auto"/>
            <w:left w:val="none" w:sz="0" w:space="0" w:color="auto"/>
            <w:bottom w:val="none" w:sz="0" w:space="0" w:color="auto"/>
            <w:right w:val="none" w:sz="0" w:space="0" w:color="auto"/>
          </w:divBdr>
        </w:div>
      </w:divsChild>
    </w:div>
    <w:div w:id="2089617152">
      <w:bodyDiv w:val="1"/>
      <w:marLeft w:val="0"/>
      <w:marRight w:val="0"/>
      <w:marTop w:val="0"/>
      <w:marBottom w:val="0"/>
      <w:divBdr>
        <w:top w:val="none" w:sz="0" w:space="0" w:color="auto"/>
        <w:left w:val="none" w:sz="0" w:space="0" w:color="auto"/>
        <w:bottom w:val="none" w:sz="0" w:space="0" w:color="auto"/>
        <w:right w:val="none" w:sz="0" w:space="0" w:color="auto"/>
      </w:divBdr>
      <w:divsChild>
        <w:div w:id="383481747">
          <w:marLeft w:val="0"/>
          <w:marRight w:val="0"/>
          <w:marTop w:val="0"/>
          <w:marBottom w:val="0"/>
          <w:divBdr>
            <w:top w:val="none" w:sz="0" w:space="0" w:color="auto"/>
            <w:left w:val="none" w:sz="0" w:space="0" w:color="auto"/>
            <w:bottom w:val="none" w:sz="0" w:space="0" w:color="auto"/>
            <w:right w:val="none" w:sz="0" w:space="0" w:color="auto"/>
          </w:divBdr>
        </w:div>
      </w:divsChild>
    </w:div>
    <w:div w:id="2133942593">
      <w:bodyDiv w:val="1"/>
      <w:marLeft w:val="0"/>
      <w:marRight w:val="0"/>
      <w:marTop w:val="0"/>
      <w:marBottom w:val="0"/>
      <w:divBdr>
        <w:top w:val="none" w:sz="0" w:space="0" w:color="auto"/>
        <w:left w:val="none" w:sz="0" w:space="0" w:color="auto"/>
        <w:bottom w:val="none" w:sz="0" w:space="0" w:color="auto"/>
        <w:right w:val="none" w:sz="0" w:space="0" w:color="auto"/>
      </w:divBdr>
      <w:divsChild>
        <w:div w:id="187774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2174/1871526523666230725103902" TargetMode="External"/><Relationship Id="rId18" Type="http://schemas.openxmlformats.org/officeDocument/2006/relationships/hyperlink" Target="https://doi.org/10.1016/j.biopha.2023.114643" TargetMode="External"/><Relationship Id="rId26" Type="http://schemas.openxmlformats.org/officeDocument/2006/relationships/hyperlink" Target="https://doi.org/10.1155/2021/3663315" TargetMode="External"/><Relationship Id="rId39" Type="http://schemas.openxmlformats.org/officeDocument/2006/relationships/hyperlink" Target="https://doi.org/10.3390/molecules26092671" TargetMode="External"/><Relationship Id="rId21" Type="http://schemas.openxmlformats.org/officeDocument/2006/relationships/hyperlink" Target="https://www.mdpi.com/1999-4915/10/6/310" TargetMode="External"/><Relationship Id="rId34" Type="http://schemas.openxmlformats.org/officeDocument/2006/relationships/hyperlink" Target="https://doi.org/10.1002/tqem.22252" TargetMode="External"/><Relationship Id="rId42" Type="http://schemas.openxmlformats.org/officeDocument/2006/relationships/hyperlink" Target="https://doi.org/10.1016/j.biopha.2022.113334"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07/s13205-016-0553-0" TargetMode="External"/><Relationship Id="rId29" Type="http://schemas.openxmlformats.org/officeDocument/2006/relationships/hyperlink" Target="https://doi.org/10.4292/wjgpt.v8.i3.162" TargetMode="External"/><Relationship Id="rId11" Type="http://schemas.microsoft.com/office/2018/08/relationships/commentsExtensible" Target="commentsExtensible.xml"/><Relationship Id="rId24" Type="http://schemas.openxmlformats.org/officeDocument/2006/relationships/hyperlink" Target="https://doi.org/10.1016/j.fsi.2013.10.026" TargetMode="External"/><Relationship Id="rId32" Type="http://schemas.openxmlformats.org/officeDocument/2006/relationships/hyperlink" Target="https://doi.org/10.1007/s00284-022-03061-7" TargetMode="External"/><Relationship Id="rId37" Type="http://schemas.openxmlformats.org/officeDocument/2006/relationships/hyperlink" Target="https://doi.org/10.1021/acs.accounts.0c00878" TargetMode="External"/><Relationship Id="rId40" Type="http://schemas.openxmlformats.org/officeDocument/2006/relationships/hyperlink" Target="https://doi.org/10.1016/j.envres.2021.111777"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footnotes" Target="footnotes.xml"/><Relationship Id="rId10" Type="http://schemas.microsoft.com/office/2016/09/relationships/commentsIds" Target="commentsIds.xml"/><Relationship Id="rId19" Type="http://schemas.openxmlformats.org/officeDocument/2006/relationships/hyperlink" Target="https://doi.org/10.1016/j.bbamem.2006.03.030" TargetMode="External"/><Relationship Id="rId31" Type="http://schemas.openxmlformats.org/officeDocument/2006/relationships/hyperlink" Target="https://doi.org/10.1002/cmdc.202200471" TargetMode="External"/><Relationship Id="rId44" Type="http://schemas.openxmlformats.org/officeDocument/2006/relationships/hyperlink" Target="https://doi.org/10.1016/j.sjbs.2020.07.020" TargetMode="External"/><Relationship Id="rId52"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doi.org/10.3389/fmicb.2021.696514" TargetMode="External"/><Relationship Id="rId22" Type="http://schemas.openxmlformats.org/officeDocument/2006/relationships/hyperlink" Target="https://doi.org/10.1016/j.ijid.2025.108033" TargetMode="External"/><Relationship Id="rId27" Type="http://schemas.openxmlformats.org/officeDocument/2006/relationships/hyperlink" Target="https://doi.org/10.1371/journal.pone.0249253" TargetMode="External"/><Relationship Id="rId30" Type="http://schemas.openxmlformats.org/officeDocument/2006/relationships/hyperlink" Target="https://doi.org/10.7150/thno.56205" TargetMode="External"/><Relationship Id="rId35" Type="http://schemas.openxmlformats.org/officeDocument/2006/relationships/hyperlink" Target="https://doi.org/10.1089/omi.2021.0151" TargetMode="External"/><Relationship Id="rId43" Type="http://schemas.openxmlformats.org/officeDocument/2006/relationships/hyperlink" Target="https://doi.org/10.1371/journal.pone.0292908" TargetMode="External"/><Relationship Id="rId48" Type="http://schemas.openxmlformats.org/officeDocument/2006/relationships/footer" Target="footer2.xml"/><Relationship Id="rId8" Type="http://schemas.openxmlformats.org/officeDocument/2006/relationships/comments" Target="comments.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3390/molecules27030616" TargetMode="External"/><Relationship Id="rId25" Type="http://schemas.openxmlformats.org/officeDocument/2006/relationships/hyperlink" Target="https://doi.org/10.4037/ccn2017694" TargetMode="External"/><Relationship Id="rId33" Type="http://schemas.openxmlformats.org/officeDocument/2006/relationships/hyperlink" Target="https://doi.org/10.1128/cmr.00088-17" TargetMode="External"/><Relationship Id="rId38" Type="http://schemas.openxmlformats.org/officeDocument/2006/relationships/hyperlink" Target="https://doi.org/10.1007/s10156-013-0601-1" TargetMode="External"/><Relationship Id="rId46" Type="http://schemas.openxmlformats.org/officeDocument/2006/relationships/header" Target="header2.xml"/><Relationship Id="rId20" Type="http://schemas.openxmlformats.org/officeDocument/2006/relationships/hyperlink" Target="https://doi.org/10.1002/tqem.22183" TargetMode="External"/><Relationship Id="rId41" Type="http://schemas.openxmlformats.org/officeDocument/2006/relationships/hyperlink" Target="https://doi.org/10.1016/j.scitotenv.2024.17634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55/2022/5419874" TargetMode="External"/><Relationship Id="rId23" Type="http://schemas.openxmlformats.org/officeDocument/2006/relationships/hyperlink" Target="https://doi.org/10.1099/mic.0.001333" TargetMode="External"/><Relationship Id="rId28" Type="http://schemas.openxmlformats.org/officeDocument/2006/relationships/hyperlink" Target="https://doi.org/10.1007/s40121-022-00591-2" TargetMode="External"/><Relationship Id="rId36" Type="http://schemas.openxmlformats.org/officeDocument/2006/relationships/hyperlink" Target="https://doi.org/10.1016/j.ajic.2019.01.014" TargetMode="External"/><Relationship Id="rId4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20</Pages>
  <Words>6677</Words>
  <Characters>38060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RAGAVAN</dc:creator>
  <cp:lastModifiedBy>Tjipto Leksono</cp:lastModifiedBy>
  <cp:revision>11</cp:revision>
  <dcterms:created xsi:type="dcterms:W3CDTF">2025-12-05T14:35:00Z</dcterms:created>
  <dcterms:modified xsi:type="dcterms:W3CDTF">2025-12-12T17:25:00Z</dcterms:modified>
</cp:coreProperties>
</file>