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AC7" w:rsidRDefault="00690AC7" w:rsidP="00690AC7">
      <w:pPr>
        <w:pStyle w:val="Heading1"/>
      </w:pPr>
      <w:r>
        <w:t>Climate Change and Anthropogenic Stressors: Synergistic Effects on Native Fish Species in the Subarnarekha Ecosystem</w:t>
      </w:r>
    </w:p>
    <w:p w:rsidR="00690AC7" w:rsidRDefault="00690AC7" w:rsidP="0011088B">
      <w:pPr>
        <w:pStyle w:val="Heading2"/>
        <w:spacing w:before="0" w:beforeAutospacing="0" w:after="0" w:afterAutospacing="0"/>
        <w:jc w:val="both"/>
      </w:pPr>
    </w:p>
    <w:p w:rsidR="00690AC7" w:rsidRDefault="00690AC7" w:rsidP="00690AC7">
      <w:pPr>
        <w:pStyle w:val="Heading2"/>
      </w:pPr>
      <w:bookmarkStart w:id="0" w:name="_GoBack"/>
      <w:bookmarkEnd w:id="0"/>
      <w:r>
        <w:t>Abstract</w:t>
      </w:r>
    </w:p>
    <w:p w:rsidR="00690AC7" w:rsidRDefault="00690AC7" w:rsidP="00690AC7">
      <w:pPr>
        <w:pStyle w:val="NormalWeb"/>
      </w:pPr>
      <w:r>
        <w:t>The Subarnarekha River system in eastern India supports diverse freshwater and estuarine habitats that sustain native fish populations and fisheries-dependent livelihoods. Rapid environmental change in this basin is increasingly shaped by interacting drivers rather than isolated stressors. Climate change is intensifying thermal stress, altering hydrological regimes, and increasing the frequency of extreme events, while long-standing anthropogenic pressures—especially mining- and industry-linked metal contamination, urban wastewater inputs, and habitat modification—continue to degrade water and habitat quality. This review synthesizes current understanding of how climate-driven changes can interact with local stressors to produce non-linear, and sometimes unexpected, impacts on native fish species across life stages and trophic levels. Emphasis is placed on mechanistic pathways relevant to the Subarnarekha context, including warming–metal toxicity interactions, flow–pollution coupling, habitat fragmentation effects on migration and reproduction, and food-web restructuring. Evidence from the Subarnarekha and comparable river systems indicates that combined stressors frequently yield outcomes that diverge from single-stressor predictions, with local disturbances often overriding or masking warming effects, yet also amplifying vulnerability when physiological limits are approached. Finally, the review proposes an integrated monitoring and management agenda for the Subarnarekha that explicitly anticipates stressor interactions, prioritizes ecological connectivity and pollution control, and strengthens climate resilience through adaptive, basin-scale governance.</w:t>
      </w:r>
    </w:p>
    <w:p w:rsidR="00690AC7" w:rsidRDefault="00690AC7" w:rsidP="00690AC7">
      <w:pPr>
        <w:pStyle w:val="NormalWeb"/>
      </w:pPr>
      <w:r>
        <w:rPr>
          <w:rStyle w:val="Strong"/>
        </w:rPr>
        <w:t>Keywords:</w:t>
      </w:r>
      <w:r>
        <w:t xml:space="preserve"> Subarnarekha River, freshwater fishes, multiple stressors, heavy metals, climate warming, flow alteration, estuarine change, synergistic impacts</w:t>
      </w:r>
    </w:p>
    <w:p w:rsidR="00E742DA" w:rsidRDefault="00E742DA" w:rsidP="00E742DA">
      <w:pPr>
        <w:pStyle w:val="Heading2"/>
      </w:pPr>
      <w:r>
        <w:t>1. Introduction</w:t>
      </w:r>
    </w:p>
    <w:p w:rsidR="00E742DA" w:rsidRDefault="00E742DA" w:rsidP="00E742DA">
      <w:pPr>
        <w:pStyle w:val="NormalWeb"/>
      </w:pPr>
      <w:r>
        <w:t>Freshwater ecosystems occupy a small fraction of the Earth’s surface yet sustain disproportionate biodiversity and provide essential services such as fisheries, drinking-water supply, nutrient processing, and cultural livelihoods. However, rivers and associated floodplains are also “receivers” of cumulative pressures from upstream land use, making them highly sensitive to human disturbances (Dudgeon et al., 2006). Global syntheses now consistently show that multiple stressors—acting simultaneously and often unevenly across space—are a defining feature of modern river basins, with downstream propagation of impacts and strong potential for non-linear ecological change (</w:t>
      </w:r>
      <w:proofErr w:type="spellStart"/>
      <w:r>
        <w:t>Vörösmarty</w:t>
      </w:r>
      <w:proofErr w:type="spellEnd"/>
      <w:r>
        <w:t xml:space="preserve"> et al., 2010). Within this global context, native fish species are especially relevant sentinels because they integrate habitat alteration, hydrological change, temperature stress, water-quality degradation, and food-web disruption across their life cycles, and because many species rely </w:t>
      </w:r>
      <w:r>
        <w:lastRenderedPageBreak/>
        <w:t>on longitudinal connectivity and predictable seasonal cues that are readily disrupted (Dudgeon et al., 2006).</w:t>
      </w:r>
    </w:p>
    <w:p w:rsidR="00E742DA" w:rsidRDefault="00E742DA" w:rsidP="00E742DA">
      <w:pPr>
        <w:pStyle w:val="NormalWeb"/>
      </w:pPr>
      <w:r>
        <w:t xml:space="preserve">A central challenge in contemporary freshwater science is that stressors rarely occur in isolation. Overexploitation, pollution, habitat modification, invasive species, and altered flow regimes can interact with climatic warming and hydroclimatic variability to reshape fish assemblages and ecosystem functioning (Dudgeon et al., 2006; </w:t>
      </w:r>
      <w:proofErr w:type="spellStart"/>
      <w:r>
        <w:t>Vörösmarty</w:t>
      </w:r>
      <w:proofErr w:type="spellEnd"/>
      <w:r>
        <w:t xml:space="preserve"> et al., 2010). Multi-stressor framing is therefore not only descriptive but mechanistic: the same climatic shift (e.g., warming) can be ecologically “filtered” by local stressors (e.g., toxic contamination, turbidity, eutrophication), and the same anthropogenic pressure (e.g., industrial effluent) can have stronger biological consequences under heat stress, hypoxia, or low-flow conditions (Ormerod et al., 2010; Reid et al., 2019). In this sense, climate change often behaves as a broad-scale amplifier that alters exposure, sensitivity, and recovery capacity, while local anthropogenic pressures shape the pathways through which those climatic changes translate into realized biological impacts.</w:t>
      </w:r>
    </w:p>
    <w:p w:rsidR="00E742DA" w:rsidRDefault="00E742DA" w:rsidP="00E742DA">
      <w:pPr>
        <w:pStyle w:val="Heading3"/>
      </w:pPr>
      <w:r>
        <w:t>1.1. Multiple stressors and the problem of interaction in freshwater fish ecology</w:t>
      </w:r>
    </w:p>
    <w:p w:rsidR="00E742DA" w:rsidRDefault="00E742DA" w:rsidP="00E742DA">
      <w:pPr>
        <w:pStyle w:val="NormalWeb"/>
      </w:pPr>
      <w:r>
        <w:t>The “multiple stressors” paradigm has become foundational because it better reflects real rivers than single-driver narratives and because management decisions are commonly made under competing objectives (water supply, industrial development, agriculture, biodiversity conservation). Conceptually, interactions among stressors can manifest as amplification, dampening, or dominance—where one stressor overwhelms the measurable contribution of another—depending on mechanisms and the organizational level examined (Ormerod et al., 2010; Morris et al., 2022). This matters for fish because stressors that are sublethal alone can converge on shared physiological pathways (e.g., oxidative stress, endocrine disruption, impaired osmoregulation) and thereby erode growth, reproduction, and survival when combined. Reviews of freshwater threats emphasize that such cumulative or interacting effects are now widespread, challenging the assumption that mitigating a single pressure will automatically yield proportional ecological recovery (Reid et al., 2019).</w:t>
      </w:r>
    </w:p>
    <w:p w:rsidR="00E742DA" w:rsidRDefault="00E742DA" w:rsidP="00E742DA">
      <w:pPr>
        <w:pStyle w:val="NormalWeb"/>
      </w:pPr>
      <w:r>
        <w:t>Importantly, interaction outcomes are not uniform. Experimental syntheses indicate that combined impacts are frequently best predicted by the strongest stressor under many contexts, but that masking can also occur—where local pressures obscure warming signals or reduce detectability of climate effects at community and ecosystem levels (Morris et al., 2022). For riverine fish conservation, this implies that climate adaptation strategies must be nested within basin-specific pollutant and habitat contexts; otherwise, warming may be addressed while more immediate constraints on fish persistence remain unresolved.</w:t>
      </w:r>
    </w:p>
    <w:p w:rsidR="00E742DA" w:rsidRDefault="00E742DA" w:rsidP="00E742DA">
      <w:pPr>
        <w:pStyle w:val="Heading3"/>
      </w:pPr>
      <w:r>
        <w:t>1.2. Climate change as an amplifier of freshwater stressor regimes</w:t>
      </w:r>
    </w:p>
    <w:p w:rsidR="00E742DA" w:rsidRDefault="00E742DA" w:rsidP="00E742DA">
      <w:pPr>
        <w:pStyle w:val="NormalWeb"/>
      </w:pPr>
      <w:r>
        <w:t xml:space="preserve">Climate change influences freshwater fish through direct thermal constraints and through indirect changes in hydrology, habitat availability, and water quality. Across levels of biological organization, warming and altered flow regimes can change metabolic demand, phenology, recruitment success, and the frequency of extreme events, while simultaneously shifting species distributions and reshuffling assemblages (Woodward et al., 2010). Observational and predictive studies in freshwater biogeography indicate that distributional responses to climate forcing are already detectable and are likely to intensify as temperature and flow extremes become more common (Comte et al., 2013). For fish, such shifts can alter </w:t>
      </w:r>
      <w:r>
        <w:lastRenderedPageBreak/>
        <w:t>competitive balances among native species, modify trophic interactions, and reduce the suitability of thermal refugia during low flows, especially when river morphology and riparian condition have already been simplified by human activities.</w:t>
      </w:r>
    </w:p>
    <w:p w:rsidR="00E742DA" w:rsidRDefault="00E742DA" w:rsidP="00E742DA">
      <w:pPr>
        <w:pStyle w:val="NormalWeb"/>
      </w:pPr>
      <w:r>
        <w:t>At the same time, climate-driven changes can modify contaminant dynamics. Low-flow periods can concentrate dissolved pollutants, high-intensity rainfall can mobilize sediments and associated metals, and thermal changes can influence toxicity and bioavailability. Because many contaminants persist and accumulate in sediments and biota, warming-related physiological stress may increase susceptibility to pollutant exposure, raising the plausibility of synergistic outcomes even where empirical attribution is challenging. Mechanistic reviews on heavy metals demonstrate how exposure can provoke oxidative stress responses and tissue pathology in fish, with implications for population performance and food-web transfer (Shahjahan et al., 2022). Thus, climate change should be understood not merely as a “background” driver but as a force that alters both ecological sensitivity and the timing, intensity, and pathways of anthropogenic stressor exposure.</w:t>
      </w:r>
    </w:p>
    <w:p w:rsidR="00E742DA" w:rsidRDefault="00E742DA" w:rsidP="00E742DA">
      <w:pPr>
        <w:pStyle w:val="Heading3"/>
      </w:pPr>
      <w:r>
        <w:t>1.3. The Subarnarekha River ecosystem as a multiple-stressor landscape for native fishes</w:t>
      </w:r>
    </w:p>
    <w:p w:rsidR="00E742DA" w:rsidRDefault="00E742DA" w:rsidP="00E742DA">
      <w:pPr>
        <w:pStyle w:val="NormalWeb"/>
      </w:pPr>
      <w:r>
        <w:t>The Subarnarekha riverine system provides a pertinent setting to examine climate–anthropogenic synergies because it traverses industrial and mining-influenced landscapes and connects freshwater reaches to an estuarine transition zone with additional salinity and coastal-change pressures. Peer-reviewed studies from the basin document substantial metal burdens across compartments relevant to fish exposure, including dissolved-phase contamination with seasonal variability and source-identification signals (</w:t>
      </w:r>
      <w:proofErr w:type="spellStart"/>
      <w:r>
        <w:t>Giri</w:t>
      </w:r>
      <w:proofErr w:type="spellEnd"/>
      <w:r>
        <w:t xml:space="preserve"> &amp; Singh, 2014b), elevated metals in water and sediments in industrial stretches (Banerjee et al., 2016), and measurable contamination in edible fish and shrimp species with implications for food-chain transfer and risk (</w:t>
      </w:r>
      <w:proofErr w:type="spellStart"/>
      <w:r>
        <w:t>Giri</w:t>
      </w:r>
      <w:proofErr w:type="spellEnd"/>
      <w:r>
        <w:t xml:space="preserve"> &amp; Singh, 2015). Together, these findings indicate that native fish assemblages in the Subarnarekha are likely to experience chronic pollutant pressure alongside episodic spikes associated with hydrological seasonality</w:t>
      </w:r>
      <w:r w:rsidR="003A339E">
        <w:t xml:space="preserve"> (</w:t>
      </w:r>
      <w:r w:rsidR="003A339E" w:rsidRPr="00C80EE2">
        <w:rPr>
          <w:color w:val="222222"/>
          <w:shd w:val="clear" w:color="auto" w:fill="FFFFFF"/>
        </w:rPr>
        <w:t xml:space="preserve">Ahmad &amp; </w:t>
      </w:r>
      <w:proofErr w:type="spellStart"/>
      <w:r w:rsidR="003A339E" w:rsidRPr="00C80EE2">
        <w:rPr>
          <w:color w:val="222222"/>
          <w:shd w:val="clear" w:color="auto" w:fill="FFFFFF"/>
        </w:rPr>
        <w:t>Goparaju</w:t>
      </w:r>
      <w:proofErr w:type="spellEnd"/>
      <w:r w:rsidR="003A339E">
        <w:rPr>
          <w:color w:val="222222"/>
          <w:shd w:val="clear" w:color="auto" w:fill="FFFFFF"/>
        </w:rPr>
        <w:t xml:space="preserve">, 2017; </w:t>
      </w:r>
      <w:r w:rsidR="003A339E" w:rsidRPr="00C80EE2">
        <w:rPr>
          <w:color w:val="222222"/>
          <w:shd w:val="clear" w:color="auto" w:fill="FFFFFF"/>
        </w:rPr>
        <w:t>Bhandari</w:t>
      </w:r>
      <w:r w:rsidR="003A339E">
        <w:rPr>
          <w:color w:val="222222"/>
          <w:shd w:val="clear" w:color="auto" w:fill="FFFFFF"/>
        </w:rPr>
        <w:t xml:space="preserve"> </w:t>
      </w:r>
      <w:r w:rsidR="003A339E" w:rsidRPr="00C80EE2">
        <w:rPr>
          <w:color w:val="222222"/>
          <w:shd w:val="clear" w:color="auto" w:fill="FFFFFF"/>
        </w:rPr>
        <w:t>&amp; Mukhopadhyay, 2022</w:t>
      </w:r>
      <w:r w:rsidR="003A339E">
        <w:t>)</w:t>
      </w:r>
      <w:r>
        <w:t>.</w:t>
      </w:r>
    </w:p>
    <w:p w:rsidR="00E742DA" w:rsidRDefault="00E742DA" w:rsidP="00E742DA">
      <w:pPr>
        <w:pStyle w:val="NormalWeb"/>
      </w:pPr>
      <w:r>
        <w:t xml:space="preserve">The estuarine and coastal segment introduces further complexity. Landscape change and climate-related sea-level influences can alter salinity intrusion, shoreline dynamics, and habitat mosaics that shape nursery function and fisheries productivity. Work in the Subarnarekha estuary highlights how vegetation change and coastal management intersect with environmental vulnerability, underscoring that basin-scale fish stressors extend beyond upstream freshwater segments (Roy &amp; Datta, 2018). Under climate change, such coastal transitions may intensify ecological gradients and alter exposure regimes (e.g., via storm surges, saline incursions, and altered sediment transport), potentially compounding upstream stressors like metal contamination and habitat fragmentation. These interacting pressures motivate a synthesis that is explicitly multi-scalar, linking global climate mechanisms to basin-specific pollutant, land-use, and </w:t>
      </w:r>
      <w:proofErr w:type="spellStart"/>
      <w:r>
        <w:t>hydromorphological</w:t>
      </w:r>
      <w:proofErr w:type="spellEnd"/>
      <w:r>
        <w:t xml:space="preserve"> conditions that shape fish persistence.</w:t>
      </w:r>
    </w:p>
    <w:p w:rsidR="00E742DA" w:rsidRDefault="00E742DA" w:rsidP="00E742DA">
      <w:pPr>
        <w:pStyle w:val="Heading3"/>
      </w:pPr>
      <w:r>
        <w:t>1.4. Scope and objectives of the review</w:t>
      </w:r>
    </w:p>
    <w:p w:rsidR="00E742DA" w:rsidRDefault="00E742DA" w:rsidP="00E742DA">
      <w:pPr>
        <w:pStyle w:val="NormalWeb"/>
      </w:pPr>
      <w:r>
        <w:t xml:space="preserve">This review synthesizes evidence on how climate change and anthropogenic stressors may jointly affect native fish species in the Subarnarekha ecosystem, emphasizing interaction pathways rather than isolated drivers. The scope spans thermal and hydrological climate </w:t>
      </w:r>
      <w:r>
        <w:lastRenderedPageBreak/>
        <w:t>mechanisms, major local stressors relevant to the basin (industrial and mining-associated contamination, altered habitat and flow conditions, and estuarine/coastal change), and the ecological consequences for fish at physiological, population, and community levels. The objectives are to (</w:t>
      </w:r>
      <w:proofErr w:type="spellStart"/>
      <w:r>
        <w:t>i</w:t>
      </w:r>
      <w:proofErr w:type="spellEnd"/>
      <w:r>
        <w:t>) consolidate the conceptual and empirical basis for stressor interactions in freshwater fish systems, (ii) interpret Subarnarekha-relevant evidence on pollutant exposure and environmental change through a multi-stressor lens, and (iii) identify priority research and management directions for detecting, preventing, and mitigating synergistic impacts on native fish biodiversity.</w:t>
      </w:r>
    </w:p>
    <w:p w:rsidR="00690AC7" w:rsidRDefault="00690AC7" w:rsidP="00690AC7">
      <w:pPr>
        <w:pStyle w:val="Heading2"/>
      </w:pPr>
      <w:r>
        <w:t>2. Methods for literature selection</w:t>
      </w:r>
    </w:p>
    <w:p w:rsidR="00690AC7" w:rsidRDefault="00690AC7" w:rsidP="00690AC7">
      <w:pPr>
        <w:pStyle w:val="NormalWeb"/>
      </w:pPr>
      <w:r>
        <w:t>A structured literature search was conducted using Web of Science, Scopus, PubMed, and Google Scholar for publications from January 20</w:t>
      </w:r>
      <w:r w:rsidR="003A339E">
        <w:t>00</w:t>
      </w:r>
      <w:r>
        <w:t xml:space="preserve"> through December 2025, with additional classic references included where directly relevant to multiple-stressor ecology. Search strings combined basin-specific and process-based terms, including “Subarnarekha River” AND (fish OR fisheries OR aquatic biota) AND (heavy metals OR contamination OR mining OR industrial effluent OR water quality), and climate-interaction strings such as (freshwater fish OR riverine fish) AND (climate warming OR temperature) AND (multiple stressors OR synergistic OR interactive effects) AND (pollution OR metals OR eutrophication OR flow alteration). Inclusion criteria emphasized peer-reviewed journal articles and reviews with explicit ecological or ecotoxicological relevance. Studies were prioritized if they (</w:t>
      </w:r>
      <w:proofErr w:type="spellStart"/>
      <w:r>
        <w:t>i</w:t>
      </w:r>
      <w:proofErr w:type="spellEnd"/>
      <w:r>
        <w:t xml:space="preserve">) addressed the Subarnarekha basin directly, (ii) provided mechanistic insight into fish responses to warming, flow change, or contamination, or (iii) synthesized multiple-stressor interactions in freshwater ecosystems. Items were excluded if they lacked sufficient methodological detail, were not research-focused, or </w:t>
      </w:r>
      <w:r w:rsidR="0046191D">
        <w:t xml:space="preserve">were </w:t>
      </w:r>
      <w:r>
        <w:t>not peer reviewed.</w:t>
      </w:r>
    </w:p>
    <w:p w:rsidR="007E7420" w:rsidRDefault="007E7420" w:rsidP="007E7420">
      <w:pPr>
        <w:pStyle w:val="Heading2"/>
      </w:pPr>
      <w:r>
        <w:t>3. Subarnarekha ecosystem context for fish vulnerability</w:t>
      </w:r>
    </w:p>
    <w:p w:rsidR="007E7420" w:rsidRDefault="007E7420" w:rsidP="007E7420">
      <w:pPr>
        <w:pStyle w:val="Heading3"/>
      </w:pPr>
      <w:r>
        <w:t>3.1. Ecohydrological setting and the “template” for fish life histories</w:t>
      </w:r>
    </w:p>
    <w:p w:rsidR="007E7420" w:rsidRDefault="007E7420" w:rsidP="007E7420">
      <w:pPr>
        <w:pStyle w:val="NormalWeb"/>
      </w:pPr>
      <w:r>
        <w:t>The Subarnarekha is a rain-fed, monsoon-dominated peninsular river in eastern India whose seasonal hydrology strongly structures habitat availability for native fishes</w:t>
      </w:r>
      <w:r w:rsidR="003A339E">
        <w:t xml:space="preserve"> (</w:t>
      </w:r>
      <w:proofErr w:type="spellStart"/>
      <w:r w:rsidR="003A339E" w:rsidRPr="00C80EE2">
        <w:rPr>
          <w:color w:val="222222"/>
          <w:shd w:val="clear" w:color="auto" w:fill="FFFFFF"/>
        </w:rPr>
        <w:t>Dahanga</w:t>
      </w:r>
      <w:proofErr w:type="spellEnd"/>
      <w:r w:rsidR="003A339E" w:rsidRPr="00C80EE2">
        <w:rPr>
          <w:color w:val="222222"/>
          <w:shd w:val="clear" w:color="auto" w:fill="FFFFFF"/>
        </w:rPr>
        <w:t xml:space="preserve"> &amp; Nath, 2024</w:t>
      </w:r>
      <w:r w:rsidR="003A339E">
        <w:rPr>
          <w:color w:val="222222"/>
          <w:shd w:val="clear" w:color="auto" w:fill="FFFFFF"/>
        </w:rPr>
        <w:t xml:space="preserve">; </w:t>
      </w:r>
      <w:r w:rsidR="003A339E" w:rsidRPr="00C80EE2">
        <w:rPr>
          <w:color w:val="222222"/>
          <w:shd w:val="clear" w:color="auto" w:fill="FFFFFF"/>
        </w:rPr>
        <w:t xml:space="preserve">Ganguli </w:t>
      </w:r>
      <w:r w:rsidR="003A339E">
        <w:rPr>
          <w:color w:val="222222"/>
          <w:shd w:val="clear" w:color="auto" w:fill="FFFFFF"/>
        </w:rPr>
        <w:t xml:space="preserve">et al., </w:t>
      </w:r>
      <w:r w:rsidR="003A339E" w:rsidRPr="00C80EE2">
        <w:rPr>
          <w:color w:val="222222"/>
          <w:shd w:val="clear" w:color="auto" w:fill="FFFFFF"/>
        </w:rPr>
        <w:t>2018</w:t>
      </w:r>
      <w:r w:rsidR="003A339E">
        <w:t>)</w:t>
      </w:r>
      <w:r>
        <w:t>. Across such rivers, the annual alternation between high-flow monsoon months and prolonged low-flow periods governs the timing of spawning, recruitment windows, lateral floodplain access, and the persistence of dry-season refugia (</w:t>
      </w:r>
      <w:proofErr w:type="spellStart"/>
      <w:r>
        <w:t>Poff</w:t>
      </w:r>
      <w:proofErr w:type="spellEnd"/>
      <w:r>
        <w:t xml:space="preserve"> et al., 1997). In the Subarnarekha basin specifically, flood hydrology analyses based on multi-decadal discharge records emphasize that monsoon peaks can be many-fold higher than mean flows, with frequent overbank flooding in shallow semi-alluvial reaches and measurable channel readjustment over decadal scales (Das &amp; Gupta, 2021). This “boom–bust” flow regime can benefit fishes adapted to seasonal expansion and contraction of wetted habitat, but it also creates vulnerability when anthropogenic stressors compress the safe operating space of that natural variability. When low flows become more prolonged or warmer, and when flood pulses increasingly carry contaminants and fine sediments, the same hydrologic dynamism that historically supported diverse life histories can become a mechanism for repeated disturbance and mortality—especially for taxa dependent on stable spawning substrates, floodplain nursery habitats, or connectivity among mainstem–tributary–estuary habitats (Reid et al., 2019; Tickner et al., 2020). </w:t>
      </w:r>
    </w:p>
    <w:p w:rsidR="007E7420" w:rsidRDefault="007E7420" w:rsidP="007E7420">
      <w:pPr>
        <w:pStyle w:val="Heading3"/>
      </w:pPr>
      <w:r>
        <w:lastRenderedPageBreak/>
        <w:t>3.2. Land-use and climate-driven hydrologic shifts that alter exposure pathways</w:t>
      </w:r>
    </w:p>
    <w:p w:rsidR="007E7420" w:rsidRDefault="007E7420" w:rsidP="007E7420">
      <w:pPr>
        <w:pStyle w:val="NormalWeb"/>
      </w:pPr>
      <w:r>
        <w:t>Basin-scale changes in land cover and hydroclimate are central to understanding fish vulnerability because they reconfigure both habitat structure and the transport pathways of stressors. Process-based modeling for the Subarnarekha basin using SWAT indicates that recent land-use change (notably increases in built-up areas and reductions in water bodies and/or agricultural land in some scenarios) can increase surface flow and substantially depress groundwater contributions to streamflow under combined land-use and climate-change forcing (Kumari et al., 2024</w:t>
      </w:r>
      <w:r w:rsidR="003A20E8">
        <w:t xml:space="preserve">; </w:t>
      </w:r>
      <w:r w:rsidR="003A20E8" w:rsidRPr="003F036F">
        <w:t>Sharma</w:t>
      </w:r>
      <w:r w:rsidR="003A20E8">
        <w:t xml:space="preserve"> et al., 2024</w:t>
      </w:r>
      <w:r>
        <w:t xml:space="preserve">). In the upper watershed, SWAT-based assessments similarly link urban development and declining forest cover to increased surface runoff and heightened erosion/sedimentation risk, while reducing shallow and deep aquifer recharge components that typically sustain dry-season flows (Shree &amp; Kumar, 2023). For native fishes, these shifts matter because reduced baseflow shrinks dry-season wetted habitat, concentrates pollutants, and increases thermal stress, while intensified runoff and erosion can bury eggs, simplify benthic habitat, and reduce feeding efficiency for visual and drift-feeding species. Crucially, these hydrologic changes do not only modify “how much water” is present; they modify </w:t>
      </w:r>
      <w:r>
        <w:rPr>
          <w:rStyle w:val="Emphasis"/>
        </w:rPr>
        <w:t>when</w:t>
      </w:r>
      <w:r>
        <w:t xml:space="preserve"> and </w:t>
      </w:r>
      <w:r>
        <w:rPr>
          <w:rStyle w:val="Emphasis"/>
        </w:rPr>
        <w:t>how</w:t>
      </w:r>
      <w:r>
        <w:t xml:space="preserve"> contaminants and sediments are delivered—setting the stage for synergistic impacts with warming and flow intermittency that are widely recognized as emerging threats in freshwaters (Reid et al., 2019). </w:t>
      </w:r>
    </w:p>
    <w:p w:rsidR="007E7420" w:rsidRDefault="007E7420" w:rsidP="007E7420">
      <w:pPr>
        <w:pStyle w:val="Heading3"/>
      </w:pPr>
      <w:r>
        <w:t>3.3. Industrial–mining corridor signatures and seasonality of metal stressors</w:t>
      </w:r>
    </w:p>
    <w:p w:rsidR="007E7420" w:rsidRDefault="007E7420" w:rsidP="007E7420">
      <w:pPr>
        <w:pStyle w:val="NormalWeb"/>
      </w:pPr>
      <w:r>
        <w:t>A defining vulnerability context for Subarnarekha fishes is the river’s passage through mineralized terrains and industrial–mining landscapes, where metal inputs interact with monsoon hydrology to produce strong seasonal pulses. Multi-season monitoring along the Jamshedpur stretch documents elevated concentrations of several metals in water and, more strongly, in sediments, with pre-monsoon conditions often reflecting higher contamination factors and pollution indices—consistent with concentration during low flow and enhanced influence of point and near-field sources (Banerjee et al., 2016). Basin-wide studies of dissolved metals also report pronounced spatial–temporal variation across pre-monsoon, monsoon, and post-monsoon seasons and identify both geogenic and anthropogenic source fingerprints (</w:t>
      </w:r>
      <w:proofErr w:type="spellStart"/>
      <w:r>
        <w:t>Giri</w:t>
      </w:r>
      <w:proofErr w:type="spellEnd"/>
      <w:r>
        <w:t xml:space="preserve"> &amp; Singh, 2014b). Complementary sediment investigations show that contamination is not uniform: certain reaches exhibit comparatively serious enrichment patterns (notably for elements such as Pb and Cu in some locations), with interpretations pointing to combined influences of mining, industrial discharge, and other human activities (</w:t>
      </w:r>
      <w:proofErr w:type="spellStart"/>
      <w:r>
        <w:t>Giri</w:t>
      </w:r>
      <w:proofErr w:type="spellEnd"/>
      <w:r>
        <w:t xml:space="preserve"> et al., 2013). For fishes, this means exposure is not simply chronic background pollution; it is often a sequence of alternating stress regimes—dry-season concentration and physiological stress, monsoon remobilization of contaminated fine sediments and runoff-borne pulses, and post-monsoon redistribution—superimposed on life stages that are seasonally synchronized to flow (</w:t>
      </w:r>
      <w:proofErr w:type="spellStart"/>
      <w:r>
        <w:t>Poff</w:t>
      </w:r>
      <w:proofErr w:type="spellEnd"/>
      <w:r>
        <w:t xml:space="preserve"> et al., 1997). In such settings, early life stages can be disproportionately affected because embryos and larvae occupy nearshore/low-velocity habitats where fine sediments and particle-bound contaminants accumulate, while adults may experience repeated sublethal exposure that erodes condition and reproductive output across years (Tickner et al., 2020). </w:t>
      </w:r>
    </w:p>
    <w:p w:rsidR="007E7420" w:rsidRDefault="007E7420" w:rsidP="007E7420">
      <w:pPr>
        <w:pStyle w:val="Heading3"/>
      </w:pPr>
      <w:r>
        <w:t>3.4. Lower-river and estuarine transition as a compound-stressor zone</w:t>
      </w:r>
    </w:p>
    <w:p w:rsidR="007E7420" w:rsidRDefault="007E7420" w:rsidP="007E7420">
      <w:pPr>
        <w:pStyle w:val="NormalWeb"/>
      </w:pPr>
      <w:r>
        <w:t xml:space="preserve">The river–estuary transition is often a compound-stressor zone because it concentrates physical variability (salinity, turbidity, temperature) and human pressures (navigation, </w:t>
      </w:r>
      <w:r>
        <w:lastRenderedPageBreak/>
        <w:t>settlement, effluent), while functioning as a migratory corridor and nursery interface for many taxa. Even without species-by-species inventories in this subsection, the Subarnarekha’s lower reaches can be interpreted through two converging lines of evidence. First, flood susceptibility and channel-change analyses indicate that downstream reaches are prone to frequent high-magnitude flooding and channel adjustments (Das &amp; Gupta, 2021), processes that can restructure bank habitats, scour spawning grounds, and shift the location of low-velocity refugia important for juveniles. Second, heavy-metal pollution indexing along the Subarnarekha shows that a subset of locations—explicitly including sites near industrial/mining influence and near the estuary—can exhibit markedly elevated index values relative to the river-wide background (</w:t>
      </w:r>
      <w:proofErr w:type="spellStart"/>
      <w:r>
        <w:t>Giri</w:t>
      </w:r>
      <w:proofErr w:type="spellEnd"/>
      <w:r>
        <w:t xml:space="preserve"> &amp; Singh, 2014a). This suggests that the transition zone may function as an “accumulation and mixing” segment where stressors delivered from upstream interact with naturally high environmental variability. Conceptually, this aligns with the broader estuarine ecology insight that estuaries are inherently variable and “naturally stressed,” which can mask anthropogenic impacts unless functional indicators and stressor-specific evidence are examined (Elliott &amp; </w:t>
      </w:r>
      <w:proofErr w:type="spellStart"/>
      <w:r>
        <w:t>Quintino</w:t>
      </w:r>
      <w:proofErr w:type="spellEnd"/>
      <w:r>
        <w:t xml:space="preserve">, 2007). For native fish assemblages, the implication is that vulnerability is shaped by both </w:t>
      </w:r>
      <w:r>
        <w:rPr>
          <w:rStyle w:val="Emphasis"/>
        </w:rPr>
        <w:t>natural</w:t>
      </w:r>
      <w:r>
        <w:t xml:space="preserve"> gradients (e.g., salinity/turbidity variability) and </w:t>
      </w:r>
      <w:r>
        <w:rPr>
          <w:rStyle w:val="Emphasis"/>
        </w:rPr>
        <w:t>anthropogenic</w:t>
      </w:r>
      <w:r>
        <w:t xml:space="preserve"> gradients (contaminants and altered hydrology), making the lower Subarnarekha a likely hotspot for synergistic stress during sensitive periods such as recruitment, migration, and dry-season contraction. </w:t>
      </w:r>
    </w:p>
    <w:p w:rsidR="007E7420" w:rsidRDefault="007E7420" w:rsidP="007E7420">
      <w:pPr>
        <w:pStyle w:val="Heading3"/>
      </w:pPr>
      <w:r>
        <w:t>3.5. Translating basin context into a fish-vulnerability lens</w:t>
      </w:r>
    </w:p>
    <w:p w:rsidR="007E7420" w:rsidRDefault="007E7420" w:rsidP="007E7420">
      <w:pPr>
        <w:pStyle w:val="NormalWeb"/>
      </w:pPr>
      <w:r>
        <w:t>Taken together, the Subarnarekha’s vulnerability context can be understood as the convergence of (</w:t>
      </w:r>
      <w:proofErr w:type="spellStart"/>
      <w:r>
        <w:t>i</w:t>
      </w:r>
      <w:proofErr w:type="spellEnd"/>
      <w:r>
        <w:t xml:space="preserve">) a highly seasonal flow regime with extreme monsoon peaks and low-flow concentration periods, (ii) rapid land-use change that increases runoff/erosion while reducing groundwater support for dry-season habitat, and (iii) persistent, spatially heterogeneous metal contamination in water and sediments linked to industrial–mining landscapes. The ecological consequence for native fishes is an elevated probability that multiple stressors co-occur in time and space: thermal and oxygen stress during low flow, contaminant pulses and sediment smothering during monsoon runoff, and channel-instability effects that reduce habitat predictability across years. This pattern matches global assessments emphasizing that freshwater biodiversity decline is driven not by single pressures in isolation, but by interacting stressors that compound across life stages and across the river network (Reid et al., 2019; Tickner et al., 2020). In the Subarnarekha, the practical significance is that “exposure” and “sensitivity” are not evenly distributed: they are amplified in reaches where dry-season refugia are lost, where contaminated sediments accumulate, and where hydro-geomorphic instability repeatedly resets habitat. This ecosystem context is therefore foundational for later sections that evaluate how climate warming and other anthropogenic stressors interact synergistically to erode resilience in native fish populations and assemblages. </w:t>
      </w:r>
      <w:r w:rsidR="003A339E">
        <w:t xml:space="preserve">A summary of </w:t>
      </w:r>
      <w:r w:rsidR="003A339E" w:rsidRPr="003A339E">
        <w:t>Subarnarekha ecosystem and fish vulnerability</w:t>
      </w:r>
      <w:r w:rsidR="003A339E">
        <w:t xml:space="preserve"> i</w:t>
      </w:r>
      <w:r w:rsidR="00653524">
        <w:t>s presented in Table 1.</w:t>
      </w:r>
    </w:p>
    <w:p w:rsidR="00653524" w:rsidRDefault="00653524" w:rsidP="007E7420">
      <w:pPr>
        <w:pStyle w:val="NormalWeb"/>
      </w:pPr>
    </w:p>
    <w:p w:rsidR="007E7420" w:rsidRDefault="007E7420" w:rsidP="007E7420"/>
    <w:p w:rsidR="007E7420" w:rsidRPr="003A339E" w:rsidRDefault="003A339E" w:rsidP="003A339E">
      <w:pPr>
        <w:pStyle w:val="NormalWeb"/>
        <w:rPr>
          <w:b/>
        </w:rPr>
      </w:pPr>
      <w:r w:rsidRPr="003A339E">
        <w:rPr>
          <w:b/>
        </w:rPr>
        <w:t>Table 1: Subarnarekha ecosystem and fish vulnerability</w:t>
      </w:r>
    </w:p>
    <w:tbl>
      <w:tblPr>
        <w:tblStyle w:val="TableGrid"/>
        <w:tblW w:w="0" w:type="auto"/>
        <w:tblLook w:val="04A0" w:firstRow="1" w:lastRow="0" w:firstColumn="1" w:lastColumn="0" w:noHBand="0" w:noVBand="1"/>
      </w:tblPr>
      <w:tblGrid>
        <w:gridCol w:w="1973"/>
        <w:gridCol w:w="3113"/>
        <w:gridCol w:w="2533"/>
        <w:gridCol w:w="1623"/>
      </w:tblGrid>
      <w:tr w:rsidR="007E7420" w:rsidTr="003A339E">
        <w:tc>
          <w:tcPr>
            <w:tcW w:w="0" w:type="auto"/>
            <w:hideMark/>
          </w:tcPr>
          <w:p w:rsidR="007E7420" w:rsidRDefault="007E7420" w:rsidP="003A339E">
            <w:pPr>
              <w:spacing w:after="0" w:line="240" w:lineRule="auto"/>
              <w:ind w:left="11" w:right="57" w:hanging="11"/>
              <w:jc w:val="center"/>
              <w:rPr>
                <w:b/>
                <w:bCs/>
              </w:rPr>
            </w:pPr>
            <w:r>
              <w:rPr>
                <w:b/>
                <w:bCs/>
              </w:rPr>
              <w:t>Vulnerability-</w:t>
            </w:r>
            <w:r>
              <w:rPr>
                <w:b/>
                <w:bCs/>
              </w:rPr>
              <w:lastRenderedPageBreak/>
              <w:t>relevant feature in Subarnarekha</w:t>
            </w:r>
          </w:p>
        </w:tc>
        <w:tc>
          <w:tcPr>
            <w:tcW w:w="0" w:type="auto"/>
            <w:hideMark/>
          </w:tcPr>
          <w:p w:rsidR="007E7420" w:rsidRDefault="007E7420" w:rsidP="003A339E">
            <w:pPr>
              <w:spacing w:after="0" w:line="240" w:lineRule="auto"/>
              <w:ind w:left="11" w:right="57" w:hanging="11"/>
              <w:jc w:val="center"/>
              <w:rPr>
                <w:b/>
                <w:bCs/>
              </w:rPr>
            </w:pPr>
            <w:r>
              <w:rPr>
                <w:b/>
                <w:bCs/>
              </w:rPr>
              <w:lastRenderedPageBreak/>
              <w:t xml:space="preserve">Mechanism shaping fish </w:t>
            </w:r>
            <w:r>
              <w:rPr>
                <w:b/>
                <w:bCs/>
              </w:rPr>
              <w:lastRenderedPageBreak/>
              <w:t>vulnerability</w:t>
            </w:r>
          </w:p>
        </w:tc>
        <w:tc>
          <w:tcPr>
            <w:tcW w:w="0" w:type="auto"/>
            <w:hideMark/>
          </w:tcPr>
          <w:p w:rsidR="007E7420" w:rsidRDefault="007E7420" w:rsidP="003A339E">
            <w:pPr>
              <w:spacing w:after="0" w:line="240" w:lineRule="auto"/>
              <w:ind w:left="11" w:right="57" w:hanging="11"/>
              <w:jc w:val="center"/>
              <w:rPr>
                <w:b/>
                <w:bCs/>
              </w:rPr>
            </w:pPr>
            <w:r>
              <w:rPr>
                <w:b/>
                <w:bCs/>
              </w:rPr>
              <w:lastRenderedPageBreak/>
              <w:t xml:space="preserve">Likely fish-level </w:t>
            </w:r>
            <w:r>
              <w:rPr>
                <w:b/>
                <w:bCs/>
              </w:rPr>
              <w:lastRenderedPageBreak/>
              <w:t>consequence</w:t>
            </w:r>
          </w:p>
        </w:tc>
        <w:tc>
          <w:tcPr>
            <w:tcW w:w="0" w:type="auto"/>
            <w:hideMark/>
          </w:tcPr>
          <w:p w:rsidR="007E7420" w:rsidRDefault="007E7420" w:rsidP="003A339E">
            <w:pPr>
              <w:spacing w:after="0" w:line="240" w:lineRule="auto"/>
              <w:ind w:left="11" w:right="57" w:hanging="11"/>
              <w:jc w:val="center"/>
              <w:rPr>
                <w:b/>
                <w:bCs/>
              </w:rPr>
            </w:pPr>
            <w:r>
              <w:rPr>
                <w:b/>
                <w:bCs/>
              </w:rPr>
              <w:lastRenderedPageBreak/>
              <w:t xml:space="preserve">Key </w:t>
            </w:r>
            <w:r>
              <w:rPr>
                <w:b/>
                <w:bCs/>
              </w:rPr>
              <w:lastRenderedPageBreak/>
              <w:t>supporting sources</w:t>
            </w:r>
          </w:p>
        </w:tc>
      </w:tr>
      <w:tr w:rsidR="007E7420" w:rsidTr="003A339E">
        <w:tc>
          <w:tcPr>
            <w:tcW w:w="0" w:type="auto"/>
            <w:hideMark/>
          </w:tcPr>
          <w:p w:rsidR="007E7420" w:rsidRDefault="007E7420" w:rsidP="003A339E">
            <w:pPr>
              <w:spacing w:after="0" w:line="240" w:lineRule="auto"/>
              <w:ind w:left="11" w:right="57" w:hanging="11"/>
            </w:pPr>
            <w:r>
              <w:lastRenderedPageBreak/>
              <w:t>Strong monsoon peaks and frequent flooding</w:t>
            </w:r>
          </w:p>
        </w:tc>
        <w:tc>
          <w:tcPr>
            <w:tcW w:w="0" w:type="auto"/>
            <w:hideMark/>
          </w:tcPr>
          <w:p w:rsidR="007E7420" w:rsidRDefault="007E7420" w:rsidP="003A339E">
            <w:pPr>
              <w:spacing w:after="0" w:line="240" w:lineRule="auto"/>
              <w:ind w:left="11" w:right="57" w:hanging="11"/>
            </w:pPr>
            <w:r>
              <w:t>Extreme flow variability, overbank floods, channel readjustment</w:t>
            </w:r>
          </w:p>
        </w:tc>
        <w:tc>
          <w:tcPr>
            <w:tcW w:w="0" w:type="auto"/>
            <w:hideMark/>
          </w:tcPr>
          <w:p w:rsidR="007E7420" w:rsidRDefault="007E7420" w:rsidP="003A339E">
            <w:pPr>
              <w:spacing w:after="0" w:line="240" w:lineRule="auto"/>
              <w:ind w:left="11" w:right="57" w:hanging="11"/>
            </w:pPr>
            <w:r>
              <w:t>Spawning-ground scour; displacement of juveniles; repeated habitat resets</w:t>
            </w:r>
          </w:p>
        </w:tc>
        <w:tc>
          <w:tcPr>
            <w:tcW w:w="0" w:type="auto"/>
            <w:hideMark/>
          </w:tcPr>
          <w:p w:rsidR="007E7420" w:rsidRDefault="007E7420" w:rsidP="003A339E">
            <w:pPr>
              <w:spacing w:after="0" w:line="240" w:lineRule="auto"/>
              <w:ind w:left="11" w:right="57" w:hanging="11"/>
            </w:pPr>
            <w:r>
              <w:t xml:space="preserve">Das &amp; Gupta (2021); </w:t>
            </w:r>
            <w:proofErr w:type="spellStart"/>
            <w:r>
              <w:t>Poff</w:t>
            </w:r>
            <w:proofErr w:type="spellEnd"/>
            <w:r>
              <w:t xml:space="preserve"> et al. (1997) </w:t>
            </w:r>
          </w:p>
        </w:tc>
      </w:tr>
      <w:tr w:rsidR="007E7420" w:rsidTr="003A339E">
        <w:tc>
          <w:tcPr>
            <w:tcW w:w="0" w:type="auto"/>
            <w:hideMark/>
          </w:tcPr>
          <w:p w:rsidR="007E7420" w:rsidRDefault="007E7420" w:rsidP="003A339E">
            <w:pPr>
              <w:spacing w:after="0" w:line="240" w:lineRule="auto"/>
              <w:ind w:left="11" w:right="57" w:hanging="11"/>
            </w:pPr>
            <w:r>
              <w:t>Land-use change increasing runoff and erosion</w:t>
            </w:r>
          </w:p>
        </w:tc>
        <w:tc>
          <w:tcPr>
            <w:tcW w:w="0" w:type="auto"/>
            <w:hideMark/>
          </w:tcPr>
          <w:p w:rsidR="007E7420" w:rsidRDefault="007E7420" w:rsidP="003A339E">
            <w:pPr>
              <w:spacing w:after="0" w:line="240" w:lineRule="auto"/>
              <w:ind w:left="11" w:right="57" w:hanging="11"/>
            </w:pPr>
            <w:r>
              <w:t>Higher surface runoff, sediment delivery; reduced aquifer recharge</w:t>
            </w:r>
          </w:p>
        </w:tc>
        <w:tc>
          <w:tcPr>
            <w:tcW w:w="0" w:type="auto"/>
            <w:hideMark/>
          </w:tcPr>
          <w:p w:rsidR="007E7420" w:rsidRDefault="007E7420" w:rsidP="003A339E">
            <w:pPr>
              <w:spacing w:after="0" w:line="240" w:lineRule="auto"/>
              <w:ind w:left="11" w:right="57" w:hanging="11"/>
            </w:pPr>
            <w:r>
              <w:t>Siltation of benthic habitats; loss of dry-season refugia; greater pollutant concentration</w:t>
            </w:r>
          </w:p>
        </w:tc>
        <w:tc>
          <w:tcPr>
            <w:tcW w:w="0" w:type="auto"/>
            <w:hideMark/>
          </w:tcPr>
          <w:p w:rsidR="007E7420" w:rsidRDefault="007E7420" w:rsidP="003A339E">
            <w:pPr>
              <w:spacing w:after="0" w:line="240" w:lineRule="auto"/>
              <w:ind w:left="11" w:right="57" w:hanging="11"/>
            </w:pPr>
            <w:r>
              <w:t xml:space="preserve">Shree &amp; Kumar (2023); Kumari et al. (2024) </w:t>
            </w:r>
          </w:p>
        </w:tc>
      </w:tr>
      <w:tr w:rsidR="007E7420" w:rsidTr="003A339E">
        <w:tc>
          <w:tcPr>
            <w:tcW w:w="0" w:type="auto"/>
            <w:hideMark/>
          </w:tcPr>
          <w:p w:rsidR="007E7420" w:rsidRDefault="007E7420" w:rsidP="003A339E">
            <w:pPr>
              <w:spacing w:after="0" w:line="240" w:lineRule="auto"/>
              <w:ind w:left="11" w:right="57" w:hanging="11"/>
            </w:pPr>
            <w:r>
              <w:t>Declining groundwater contribution under combined change scenarios</w:t>
            </w:r>
          </w:p>
        </w:tc>
        <w:tc>
          <w:tcPr>
            <w:tcW w:w="0" w:type="auto"/>
            <w:hideMark/>
          </w:tcPr>
          <w:p w:rsidR="007E7420" w:rsidRDefault="007E7420" w:rsidP="003A339E">
            <w:pPr>
              <w:spacing w:after="0" w:line="240" w:lineRule="auto"/>
              <w:ind w:left="11" w:right="57" w:hanging="11"/>
            </w:pPr>
            <w:r>
              <w:t>Reduced baseflow and habitat persistence in dry months</w:t>
            </w:r>
          </w:p>
        </w:tc>
        <w:tc>
          <w:tcPr>
            <w:tcW w:w="0" w:type="auto"/>
            <w:hideMark/>
          </w:tcPr>
          <w:p w:rsidR="007E7420" w:rsidRDefault="007E7420" w:rsidP="003A339E">
            <w:pPr>
              <w:spacing w:after="0" w:line="240" w:lineRule="auto"/>
              <w:ind w:left="11" w:right="57" w:hanging="11"/>
            </w:pPr>
            <w:r>
              <w:t>Thermal/oxygen stress; contraction of habitat mosaics; crowding and higher disease/competition risk</w:t>
            </w:r>
          </w:p>
        </w:tc>
        <w:tc>
          <w:tcPr>
            <w:tcW w:w="0" w:type="auto"/>
            <w:hideMark/>
          </w:tcPr>
          <w:p w:rsidR="007E7420" w:rsidRDefault="007E7420" w:rsidP="003A339E">
            <w:pPr>
              <w:spacing w:after="0" w:line="240" w:lineRule="auto"/>
              <w:ind w:left="11" w:right="57" w:hanging="11"/>
            </w:pPr>
            <w:r>
              <w:t xml:space="preserve">Kumari et al. (2024) </w:t>
            </w:r>
          </w:p>
        </w:tc>
      </w:tr>
      <w:tr w:rsidR="007E7420" w:rsidTr="003A339E">
        <w:tc>
          <w:tcPr>
            <w:tcW w:w="0" w:type="auto"/>
            <w:hideMark/>
          </w:tcPr>
          <w:p w:rsidR="007E7420" w:rsidRDefault="007E7420" w:rsidP="003A339E">
            <w:pPr>
              <w:spacing w:after="0" w:line="240" w:lineRule="auto"/>
              <w:ind w:left="11" w:right="57" w:hanging="11"/>
            </w:pPr>
            <w:r>
              <w:t>Spatially heterogeneous metal contamination in water and sediments</w:t>
            </w:r>
          </w:p>
        </w:tc>
        <w:tc>
          <w:tcPr>
            <w:tcW w:w="0" w:type="auto"/>
            <w:hideMark/>
          </w:tcPr>
          <w:p w:rsidR="007E7420" w:rsidRDefault="007E7420" w:rsidP="003A339E">
            <w:pPr>
              <w:spacing w:after="0" w:line="240" w:lineRule="auto"/>
              <w:ind w:left="11" w:right="57" w:hanging="11"/>
            </w:pPr>
            <w:r>
              <w:t>Point/near-field sources plus seasonal concentration/remobilization</w:t>
            </w:r>
          </w:p>
        </w:tc>
        <w:tc>
          <w:tcPr>
            <w:tcW w:w="0" w:type="auto"/>
            <w:hideMark/>
          </w:tcPr>
          <w:p w:rsidR="007E7420" w:rsidRDefault="007E7420" w:rsidP="003A339E">
            <w:pPr>
              <w:spacing w:after="0" w:line="240" w:lineRule="auto"/>
              <w:ind w:left="11" w:right="57" w:hanging="11"/>
            </w:pPr>
            <w:r>
              <w:t>Chronic and episodic toxic stress; sublethal impairment affecting growth and reproduction</w:t>
            </w:r>
          </w:p>
        </w:tc>
        <w:tc>
          <w:tcPr>
            <w:tcW w:w="0" w:type="auto"/>
            <w:hideMark/>
          </w:tcPr>
          <w:p w:rsidR="007E7420" w:rsidRDefault="007E7420" w:rsidP="003A339E">
            <w:pPr>
              <w:spacing w:after="0" w:line="240" w:lineRule="auto"/>
              <w:ind w:left="11" w:right="57" w:hanging="11"/>
            </w:pPr>
            <w:r>
              <w:t xml:space="preserve">Banerjee et al. (2016); </w:t>
            </w:r>
            <w:proofErr w:type="spellStart"/>
            <w:r>
              <w:t>Giri</w:t>
            </w:r>
            <w:proofErr w:type="spellEnd"/>
            <w:r>
              <w:t xml:space="preserve"> &amp; Singh (2014b); </w:t>
            </w:r>
            <w:proofErr w:type="spellStart"/>
            <w:r>
              <w:t>Giri</w:t>
            </w:r>
            <w:proofErr w:type="spellEnd"/>
            <w:r>
              <w:t xml:space="preserve"> et al. (2013) </w:t>
            </w:r>
          </w:p>
        </w:tc>
      </w:tr>
      <w:tr w:rsidR="007E7420" w:rsidTr="003A339E">
        <w:tc>
          <w:tcPr>
            <w:tcW w:w="0" w:type="auto"/>
            <w:hideMark/>
          </w:tcPr>
          <w:p w:rsidR="007E7420" w:rsidRDefault="007E7420" w:rsidP="003A339E">
            <w:pPr>
              <w:spacing w:after="0" w:line="240" w:lineRule="auto"/>
              <w:ind w:left="11" w:right="57" w:hanging="11"/>
            </w:pPr>
            <w:r>
              <w:t>Elevated metal pollution index at select sites including near estuary</w:t>
            </w:r>
          </w:p>
        </w:tc>
        <w:tc>
          <w:tcPr>
            <w:tcW w:w="0" w:type="auto"/>
            <w:hideMark/>
          </w:tcPr>
          <w:p w:rsidR="007E7420" w:rsidRDefault="007E7420" w:rsidP="003A339E">
            <w:pPr>
              <w:spacing w:after="0" w:line="240" w:lineRule="auto"/>
              <w:ind w:left="11" w:right="57" w:hanging="11"/>
            </w:pPr>
            <w:r>
              <w:t>Accumulation/mixing zone under high natural variability</w:t>
            </w:r>
          </w:p>
        </w:tc>
        <w:tc>
          <w:tcPr>
            <w:tcW w:w="0" w:type="auto"/>
            <w:hideMark/>
          </w:tcPr>
          <w:p w:rsidR="007E7420" w:rsidRDefault="007E7420" w:rsidP="003A339E">
            <w:pPr>
              <w:spacing w:after="0" w:line="240" w:lineRule="auto"/>
              <w:ind w:left="11" w:right="57" w:hanging="11"/>
            </w:pPr>
            <w:r>
              <w:t>“Compound-stressor” hotspot affecting recruitment and migration corridors</w:t>
            </w:r>
          </w:p>
        </w:tc>
        <w:tc>
          <w:tcPr>
            <w:tcW w:w="0" w:type="auto"/>
            <w:hideMark/>
          </w:tcPr>
          <w:p w:rsidR="007E7420" w:rsidRDefault="007E7420" w:rsidP="003A339E">
            <w:pPr>
              <w:spacing w:after="0" w:line="240" w:lineRule="auto"/>
              <w:ind w:left="11" w:right="57" w:hanging="11"/>
            </w:pPr>
            <w:proofErr w:type="spellStart"/>
            <w:r>
              <w:t>Giri</w:t>
            </w:r>
            <w:proofErr w:type="spellEnd"/>
            <w:r>
              <w:t xml:space="preserve"> &amp; Singh (2014a); Elliott &amp; </w:t>
            </w:r>
            <w:proofErr w:type="spellStart"/>
            <w:r>
              <w:t>Quintino</w:t>
            </w:r>
            <w:proofErr w:type="spellEnd"/>
            <w:r>
              <w:t xml:space="preserve"> (2007) </w:t>
            </w:r>
          </w:p>
        </w:tc>
      </w:tr>
      <w:tr w:rsidR="007E7420" w:rsidTr="003A339E">
        <w:tc>
          <w:tcPr>
            <w:tcW w:w="0" w:type="auto"/>
            <w:hideMark/>
          </w:tcPr>
          <w:p w:rsidR="007E7420" w:rsidRDefault="007E7420" w:rsidP="003A339E">
            <w:pPr>
              <w:spacing w:after="0" w:line="240" w:lineRule="auto"/>
              <w:ind w:left="11" w:right="57" w:hanging="11"/>
            </w:pPr>
            <w:r>
              <w:t>Multi-stressor context typical of freshwater biodiversity crisis</w:t>
            </w:r>
          </w:p>
        </w:tc>
        <w:tc>
          <w:tcPr>
            <w:tcW w:w="0" w:type="auto"/>
            <w:hideMark/>
          </w:tcPr>
          <w:p w:rsidR="007E7420" w:rsidRDefault="007E7420" w:rsidP="003A339E">
            <w:pPr>
              <w:spacing w:after="0" w:line="240" w:lineRule="auto"/>
              <w:ind w:left="11" w:right="57" w:hanging="11"/>
            </w:pPr>
            <w:r>
              <w:t>Synergies among flow alteration, pollution, habitat loss, and climate forcing</w:t>
            </w:r>
          </w:p>
        </w:tc>
        <w:tc>
          <w:tcPr>
            <w:tcW w:w="0" w:type="auto"/>
            <w:hideMark/>
          </w:tcPr>
          <w:p w:rsidR="007E7420" w:rsidRDefault="007E7420" w:rsidP="003A339E">
            <w:pPr>
              <w:spacing w:after="0" w:line="240" w:lineRule="auto"/>
              <w:ind w:left="11" w:right="57" w:hanging="11"/>
            </w:pPr>
            <w:r>
              <w:t>Reduced resilience; higher sensitivity across life stages; cumulative declines</w:t>
            </w:r>
          </w:p>
        </w:tc>
        <w:tc>
          <w:tcPr>
            <w:tcW w:w="0" w:type="auto"/>
            <w:hideMark/>
          </w:tcPr>
          <w:p w:rsidR="007E7420" w:rsidRDefault="007E7420" w:rsidP="003A339E">
            <w:pPr>
              <w:spacing w:after="0" w:line="240" w:lineRule="auto"/>
              <w:ind w:left="11" w:right="57" w:hanging="11"/>
            </w:pPr>
            <w:r>
              <w:t xml:space="preserve">Reid et al. (2019); Tickner et al. (2020) </w:t>
            </w:r>
          </w:p>
        </w:tc>
      </w:tr>
    </w:tbl>
    <w:p w:rsidR="007E7420" w:rsidRDefault="007E7420" w:rsidP="007E7420"/>
    <w:p w:rsidR="007E7420" w:rsidRPr="007E7420" w:rsidRDefault="007E7420" w:rsidP="007E7420">
      <w:pPr>
        <w:spacing w:before="100" w:beforeAutospacing="1" w:after="100" w:afterAutospacing="1" w:line="240" w:lineRule="auto"/>
        <w:ind w:left="0" w:right="0" w:firstLine="0"/>
        <w:jc w:val="left"/>
        <w:outlineLvl w:val="1"/>
        <w:rPr>
          <w:b/>
          <w:bCs/>
          <w:color w:val="auto"/>
          <w:kern w:val="0"/>
          <w:sz w:val="36"/>
          <w:szCs w:val="36"/>
          <w:lang w:val="en-US" w:eastAsia="en-US"/>
        </w:rPr>
      </w:pPr>
      <w:r w:rsidRPr="007E7420">
        <w:rPr>
          <w:b/>
          <w:bCs/>
          <w:color w:val="auto"/>
          <w:kern w:val="0"/>
          <w:sz w:val="36"/>
          <w:szCs w:val="36"/>
          <w:lang w:val="en-US" w:eastAsia="en-US"/>
        </w:rPr>
        <w:t>4. Anthropogenic stressors in the Subarnarekha basin relevant to fishes</w:t>
      </w:r>
    </w:p>
    <w:p w:rsidR="007E7420" w:rsidRPr="007E7420" w:rsidRDefault="007E7420" w:rsidP="007E7420">
      <w:pPr>
        <w:spacing w:before="100" w:beforeAutospacing="1" w:after="100" w:afterAutospacing="1" w:line="240" w:lineRule="auto"/>
        <w:ind w:left="0" w:right="0" w:firstLine="0"/>
        <w:jc w:val="left"/>
        <w:outlineLvl w:val="2"/>
        <w:rPr>
          <w:b/>
          <w:bCs/>
          <w:color w:val="auto"/>
          <w:kern w:val="0"/>
          <w:sz w:val="27"/>
          <w:szCs w:val="27"/>
          <w:lang w:val="en-US" w:eastAsia="en-US"/>
        </w:rPr>
      </w:pPr>
      <w:r w:rsidRPr="007E7420">
        <w:rPr>
          <w:b/>
          <w:bCs/>
          <w:color w:val="auto"/>
          <w:kern w:val="0"/>
          <w:sz w:val="27"/>
          <w:szCs w:val="27"/>
          <w:lang w:val="en-US" w:eastAsia="en-US"/>
        </w:rPr>
        <w:t>4.1 Industrial–mining contamination and potentially toxic elements (PTEs)</w:t>
      </w:r>
    </w:p>
    <w:p w:rsidR="007E7420" w:rsidRPr="007E7420" w:rsidRDefault="007E7420" w:rsidP="007E7420">
      <w:pPr>
        <w:spacing w:before="100" w:beforeAutospacing="1" w:after="100" w:afterAutospacing="1" w:line="240" w:lineRule="auto"/>
        <w:ind w:left="0" w:right="0" w:firstLine="0"/>
        <w:jc w:val="left"/>
        <w:rPr>
          <w:color w:val="auto"/>
          <w:kern w:val="0"/>
          <w:lang w:val="en-US" w:eastAsia="en-US"/>
        </w:rPr>
      </w:pPr>
      <w:r w:rsidRPr="007E7420">
        <w:rPr>
          <w:color w:val="auto"/>
          <w:kern w:val="0"/>
          <w:lang w:val="en-US" w:eastAsia="en-US"/>
        </w:rPr>
        <w:t>The Subarnarekha basin has long been shaped by intensive industrialization and mining across its middle reaches, with the Jamshedpur–</w:t>
      </w:r>
      <w:proofErr w:type="spellStart"/>
      <w:r w:rsidRPr="007E7420">
        <w:rPr>
          <w:color w:val="auto"/>
          <w:kern w:val="0"/>
          <w:lang w:val="en-US" w:eastAsia="en-US"/>
        </w:rPr>
        <w:t>Adityapur</w:t>
      </w:r>
      <w:proofErr w:type="spellEnd"/>
      <w:r w:rsidRPr="007E7420">
        <w:rPr>
          <w:color w:val="auto"/>
          <w:kern w:val="0"/>
          <w:lang w:val="en-US" w:eastAsia="en-US"/>
        </w:rPr>
        <w:t xml:space="preserve"> industrial corridor often functioning as a focal zone where treated and untreated effluents, stormwater, and diffuse runoff converge into the river network. Field evidence from the Jamshedpur stretch shows that metal(loid) burdens are not only detectable in the water column but are frequently amplified in bed sediments, indicating sustained inputs and the capacity for long-term remobilization during high-flow events and seasonal redox shifts (Banerjee et al., 2016; </w:t>
      </w:r>
      <w:proofErr w:type="spellStart"/>
      <w:r w:rsidRPr="007E7420">
        <w:rPr>
          <w:color w:val="auto"/>
          <w:kern w:val="0"/>
          <w:lang w:val="en-US" w:eastAsia="en-US"/>
        </w:rPr>
        <w:t>Giri</w:t>
      </w:r>
      <w:proofErr w:type="spellEnd"/>
      <w:r w:rsidRPr="007E7420">
        <w:rPr>
          <w:color w:val="auto"/>
          <w:kern w:val="0"/>
          <w:lang w:val="en-US" w:eastAsia="en-US"/>
        </w:rPr>
        <w:t xml:space="preserve"> et al., 2013). In practical ecological terms, this matters because sediments act as both habitat and exposure medium for benthic feeders and for fishes whose eggs and larvae develop in near-bed microhabitats. Once metals are stored in fine fractions, monsoon-driven resuspension and downstream transport can repeatedly reintroduce toxic exposure pulses even if point-source discharges fluctuate</w:t>
      </w:r>
      <w:r w:rsidR="003A339E">
        <w:rPr>
          <w:color w:val="auto"/>
          <w:kern w:val="0"/>
          <w:lang w:val="en-US" w:eastAsia="en-US"/>
        </w:rPr>
        <w:t xml:space="preserve"> (</w:t>
      </w:r>
      <w:r w:rsidR="003A339E" w:rsidRPr="00C80EE2">
        <w:rPr>
          <w:lang w:val="en-US"/>
        </w:rPr>
        <w:t>Ghosh</w:t>
      </w:r>
      <w:r w:rsidR="003A339E">
        <w:rPr>
          <w:lang w:val="en-US"/>
        </w:rPr>
        <w:t xml:space="preserve"> et al., </w:t>
      </w:r>
      <w:r w:rsidR="003A339E" w:rsidRPr="00C80EE2">
        <w:rPr>
          <w:lang w:val="en-US"/>
        </w:rPr>
        <w:t>2022</w:t>
      </w:r>
      <w:r w:rsidR="003A339E">
        <w:rPr>
          <w:lang w:val="en-US"/>
        </w:rPr>
        <w:t xml:space="preserve">; </w:t>
      </w:r>
      <w:proofErr w:type="spellStart"/>
      <w:r w:rsidR="003A339E" w:rsidRPr="00771FDB">
        <w:rPr>
          <w:color w:val="222222"/>
          <w:shd w:val="clear" w:color="auto" w:fill="FFFFFF"/>
        </w:rPr>
        <w:t>Ghorai</w:t>
      </w:r>
      <w:proofErr w:type="spellEnd"/>
      <w:r w:rsidR="003A339E" w:rsidRPr="00771FDB">
        <w:rPr>
          <w:color w:val="222222"/>
          <w:shd w:val="clear" w:color="auto" w:fill="FFFFFF"/>
        </w:rPr>
        <w:t>, 2024</w:t>
      </w:r>
      <w:r w:rsidR="003A339E">
        <w:rPr>
          <w:color w:val="auto"/>
          <w:kern w:val="0"/>
          <w:lang w:val="en-US" w:eastAsia="en-US"/>
        </w:rPr>
        <w:t>)</w:t>
      </w:r>
      <w:r w:rsidRPr="007E7420">
        <w:rPr>
          <w:color w:val="auto"/>
          <w:kern w:val="0"/>
          <w:lang w:val="en-US" w:eastAsia="en-US"/>
        </w:rPr>
        <w:t>.</w:t>
      </w:r>
    </w:p>
    <w:p w:rsidR="007E7420" w:rsidRPr="007E7420" w:rsidRDefault="007E7420" w:rsidP="007E7420">
      <w:pPr>
        <w:spacing w:before="100" w:beforeAutospacing="1" w:after="100" w:afterAutospacing="1" w:line="240" w:lineRule="auto"/>
        <w:ind w:left="0" w:right="0" w:firstLine="0"/>
        <w:jc w:val="left"/>
        <w:rPr>
          <w:color w:val="auto"/>
          <w:kern w:val="0"/>
          <w:lang w:val="en-US" w:eastAsia="en-US"/>
        </w:rPr>
      </w:pPr>
      <w:r w:rsidRPr="007E7420">
        <w:rPr>
          <w:color w:val="auto"/>
          <w:kern w:val="0"/>
          <w:lang w:val="en-US" w:eastAsia="en-US"/>
        </w:rPr>
        <w:lastRenderedPageBreak/>
        <w:t>Seasonality further strengthens the case that anthropogenic sources dominate metal loading. In the Jamshedpur stretch, concentrations of metals such as Zn, Pb, Cr, Cd, Ni, and Cu show marked seasonal structure, with sediments typically reflecting substantially higher contamination than the overlying water and with pollution indices indicating progressive deterioration at multiple sites (Banerjee et al., 2016</w:t>
      </w:r>
      <w:r w:rsidR="003A339E">
        <w:rPr>
          <w:color w:val="auto"/>
          <w:kern w:val="0"/>
          <w:lang w:val="en-US" w:eastAsia="en-US"/>
        </w:rPr>
        <w:t xml:space="preserve">; </w:t>
      </w:r>
      <w:proofErr w:type="spellStart"/>
      <w:r w:rsidR="003A339E" w:rsidRPr="00C80EE2">
        <w:rPr>
          <w:color w:val="222222"/>
          <w:shd w:val="clear" w:color="auto" w:fill="FFFFFF"/>
        </w:rPr>
        <w:t>Giri</w:t>
      </w:r>
      <w:proofErr w:type="spellEnd"/>
      <w:r w:rsidR="003A339E">
        <w:rPr>
          <w:color w:val="222222"/>
          <w:shd w:val="clear" w:color="auto" w:fill="FFFFFF"/>
        </w:rPr>
        <w:t xml:space="preserve"> </w:t>
      </w:r>
      <w:r w:rsidR="003A339E" w:rsidRPr="00C80EE2">
        <w:rPr>
          <w:color w:val="222222"/>
          <w:shd w:val="clear" w:color="auto" w:fill="FFFFFF"/>
        </w:rPr>
        <w:t xml:space="preserve">&amp; Singh, </w:t>
      </w:r>
      <w:r w:rsidR="003A339E">
        <w:rPr>
          <w:color w:val="222222"/>
          <w:shd w:val="clear" w:color="auto" w:fill="FFFFFF"/>
        </w:rPr>
        <w:t xml:space="preserve">2016; </w:t>
      </w:r>
      <w:proofErr w:type="spellStart"/>
      <w:r w:rsidR="003A339E" w:rsidRPr="00C80EE2">
        <w:t>Kalita</w:t>
      </w:r>
      <w:proofErr w:type="spellEnd"/>
      <w:r w:rsidR="003A339E">
        <w:t xml:space="preserve"> et al., </w:t>
      </w:r>
      <w:r w:rsidR="003A339E" w:rsidRPr="00C80EE2">
        <w:t>2023</w:t>
      </w:r>
      <w:r w:rsidRPr="007E7420">
        <w:rPr>
          <w:color w:val="auto"/>
          <w:kern w:val="0"/>
          <w:lang w:val="en-US" w:eastAsia="en-US"/>
        </w:rPr>
        <w:t>). This pattern is consistent with a river receiving both continuous effluent inputs and episodic wash-off from catchment surfaces, including industrial yards, tailings, and urban impervious cover. Complementary basin-scale monitoring using heavy-metal pollution indexing also indicates that multiple elements display significant seasonality and that conditions can become more adverse during low-flow periods when dilution is weakest (</w:t>
      </w:r>
      <w:proofErr w:type="spellStart"/>
      <w:r w:rsidRPr="007E7420">
        <w:rPr>
          <w:color w:val="auto"/>
          <w:kern w:val="0"/>
          <w:lang w:val="en-US" w:eastAsia="en-US"/>
        </w:rPr>
        <w:t>Giri</w:t>
      </w:r>
      <w:proofErr w:type="spellEnd"/>
      <w:r w:rsidRPr="007E7420">
        <w:rPr>
          <w:color w:val="auto"/>
          <w:kern w:val="0"/>
          <w:lang w:val="en-US" w:eastAsia="en-US"/>
        </w:rPr>
        <w:t xml:space="preserve"> &amp; Singh, 2014). </w:t>
      </w:r>
    </w:p>
    <w:p w:rsidR="007E7420" w:rsidRPr="007E7420" w:rsidRDefault="007E7420" w:rsidP="007E7420">
      <w:pPr>
        <w:spacing w:before="100" w:beforeAutospacing="1" w:after="100" w:afterAutospacing="1" w:line="240" w:lineRule="auto"/>
        <w:ind w:left="0" w:right="0" w:firstLine="0"/>
        <w:jc w:val="left"/>
        <w:rPr>
          <w:color w:val="auto"/>
          <w:kern w:val="0"/>
          <w:lang w:val="en-US" w:eastAsia="en-US"/>
        </w:rPr>
      </w:pPr>
      <w:r w:rsidRPr="007E7420">
        <w:rPr>
          <w:color w:val="auto"/>
          <w:kern w:val="0"/>
          <w:lang w:val="en-US" w:eastAsia="en-US"/>
        </w:rPr>
        <w:t xml:space="preserve">For fishes, the relevance of metal contamination is not limited to lethal toxicity; sublethal impacts can alter feeding, growth, reproduction, immunity, and behavior—effects that become particularly consequential for native species already operating close to physiological limits under warming and variable flow regimes. A strong Subarnarekha-specific signal of ecological risk comes from bioaccumulation work in the Jamshedpur stretch that tracked metals across water, sediment, plankton, </w:t>
      </w:r>
      <w:proofErr w:type="spellStart"/>
      <w:r w:rsidRPr="007E7420">
        <w:rPr>
          <w:color w:val="auto"/>
          <w:kern w:val="0"/>
          <w:lang w:val="en-US" w:eastAsia="en-US"/>
        </w:rPr>
        <w:t>molluscs</w:t>
      </w:r>
      <w:proofErr w:type="spellEnd"/>
      <w:r w:rsidRPr="007E7420">
        <w:rPr>
          <w:color w:val="auto"/>
          <w:kern w:val="0"/>
          <w:lang w:val="en-US" w:eastAsia="en-US"/>
        </w:rPr>
        <w:t xml:space="preserve">, and two indigenous fishes (Puntius </w:t>
      </w:r>
      <w:proofErr w:type="spellStart"/>
      <w:r w:rsidRPr="007E7420">
        <w:rPr>
          <w:color w:val="auto"/>
          <w:kern w:val="0"/>
          <w:lang w:val="en-US" w:eastAsia="en-US"/>
        </w:rPr>
        <w:t>puntius</w:t>
      </w:r>
      <w:proofErr w:type="spellEnd"/>
      <w:r w:rsidRPr="007E7420">
        <w:rPr>
          <w:color w:val="auto"/>
          <w:kern w:val="0"/>
          <w:lang w:val="en-US" w:eastAsia="en-US"/>
        </w:rPr>
        <w:t xml:space="preserve"> and </w:t>
      </w:r>
      <w:proofErr w:type="spellStart"/>
      <w:r w:rsidRPr="007E7420">
        <w:rPr>
          <w:color w:val="auto"/>
          <w:kern w:val="0"/>
          <w:lang w:val="en-US" w:eastAsia="en-US"/>
        </w:rPr>
        <w:t>Labeo</w:t>
      </w:r>
      <w:proofErr w:type="spellEnd"/>
      <w:r w:rsidRPr="007E7420">
        <w:rPr>
          <w:color w:val="auto"/>
          <w:kern w:val="0"/>
          <w:lang w:val="en-US" w:eastAsia="en-US"/>
        </w:rPr>
        <w:t xml:space="preserve"> </w:t>
      </w:r>
      <w:proofErr w:type="spellStart"/>
      <w:r w:rsidRPr="007E7420">
        <w:rPr>
          <w:color w:val="auto"/>
          <w:kern w:val="0"/>
          <w:lang w:val="en-US" w:eastAsia="en-US"/>
        </w:rPr>
        <w:t>bata</w:t>
      </w:r>
      <w:proofErr w:type="spellEnd"/>
      <w:r w:rsidRPr="007E7420">
        <w:rPr>
          <w:color w:val="auto"/>
          <w:kern w:val="0"/>
          <w:lang w:val="en-US" w:eastAsia="en-US"/>
        </w:rPr>
        <w:t>). The study documented substantial bioaccumulation for certain metals and explicitly cautioned that fish may be unsafe for human consumption under prevailing conditions, implying persistent exposure within the aquatic food web rather than transient contamination (Banerjee et al., 2015). Such trophic transfer is particularly concerning for native fishes occupying mid- to higher trophic positions, because repeated dietary intake can maintain internal metal burdens even when ambient water concentrations temporarily decline.</w:t>
      </w:r>
    </w:p>
    <w:p w:rsidR="007E7420" w:rsidRPr="007E7420" w:rsidRDefault="007E7420" w:rsidP="007E7420">
      <w:pPr>
        <w:spacing w:before="100" w:beforeAutospacing="1" w:after="100" w:afterAutospacing="1" w:line="240" w:lineRule="auto"/>
        <w:ind w:left="0" w:right="0" w:firstLine="0"/>
        <w:jc w:val="left"/>
        <w:outlineLvl w:val="2"/>
        <w:rPr>
          <w:b/>
          <w:bCs/>
          <w:color w:val="auto"/>
          <w:kern w:val="0"/>
          <w:sz w:val="27"/>
          <w:szCs w:val="27"/>
          <w:lang w:val="en-US" w:eastAsia="en-US"/>
        </w:rPr>
      </w:pPr>
      <w:r w:rsidRPr="007E7420">
        <w:rPr>
          <w:b/>
          <w:bCs/>
          <w:color w:val="auto"/>
          <w:kern w:val="0"/>
          <w:sz w:val="27"/>
          <w:szCs w:val="27"/>
          <w:lang w:val="en-US" w:eastAsia="en-US"/>
        </w:rPr>
        <w:t>4.2 Urban wastewater, organic loading, and land-use change as chronic stressors</w:t>
      </w:r>
    </w:p>
    <w:p w:rsidR="007E7420" w:rsidRPr="007E7420" w:rsidRDefault="007E7420" w:rsidP="007E7420">
      <w:pPr>
        <w:spacing w:before="100" w:beforeAutospacing="1" w:after="100" w:afterAutospacing="1" w:line="240" w:lineRule="auto"/>
        <w:ind w:left="0" w:right="0" w:firstLine="0"/>
        <w:jc w:val="left"/>
        <w:rPr>
          <w:color w:val="auto"/>
          <w:kern w:val="0"/>
          <w:lang w:val="en-US" w:eastAsia="en-US"/>
        </w:rPr>
      </w:pPr>
      <w:r w:rsidRPr="007E7420">
        <w:rPr>
          <w:color w:val="auto"/>
          <w:kern w:val="0"/>
          <w:lang w:val="en-US" w:eastAsia="en-US"/>
        </w:rPr>
        <w:t>Along the Ranchi stretch of the Subarnarekha watershed, water-quality assessments integrating physicochemical indicators and multivariate statistics point to a chronic mixture of stressors typical of rapidly urbanizing basins: elevated dissolved solids and conductivity, chloride-related issues, and seasonal increases in biochemical oxygen demand (BOD) during monsoon conditions (</w:t>
      </w:r>
      <w:proofErr w:type="spellStart"/>
      <w:r w:rsidRPr="007E7420">
        <w:rPr>
          <w:color w:val="auto"/>
          <w:kern w:val="0"/>
          <w:lang w:val="en-US" w:eastAsia="en-US"/>
        </w:rPr>
        <w:t>Kadave</w:t>
      </w:r>
      <w:proofErr w:type="spellEnd"/>
      <w:r w:rsidRPr="007E7420">
        <w:rPr>
          <w:color w:val="auto"/>
          <w:kern w:val="0"/>
          <w:lang w:val="en-US" w:eastAsia="en-US"/>
        </w:rPr>
        <w:t xml:space="preserve"> &amp; Kumari, 2025). The key fish-relevant implication is that organic loading and associated microbial respiration can depress dissolved oxygen (DO), while runoff-driven delivery of fine particulates and contaminants can further constrain respiratory and osmoregulatory performance. Importantly, this is not a “single pollutant” problem; rather, it reflects the combined imprint of sewage inputs, runoff from mixed land uses, and hydrological seasonality that reorganizes exposure profiles across pre-monsoon, monsoon, and post-monsoon periods.</w:t>
      </w:r>
    </w:p>
    <w:p w:rsidR="007E7420" w:rsidRPr="007E7420" w:rsidRDefault="007E7420" w:rsidP="007E7420">
      <w:pPr>
        <w:spacing w:before="100" w:beforeAutospacing="1" w:after="100" w:afterAutospacing="1" w:line="240" w:lineRule="auto"/>
        <w:ind w:left="0" w:right="0" w:firstLine="0"/>
        <w:jc w:val="left"/>
        <w:rPr>
          <w:color w:val="auto"/>
          <w:kern w:val="0"/>
          <w:lang w:val="en-US" w:eastAsia="en-US"/>
        </w:rPr>
      </w:pPr>
      <w:r w:rsidRPr="007E7420">
        <w:rPr>
          <w:color w:val="auto"/>
          <w:kern w:val="0"/>
          <w:lang w:val="en-US" w:eastAsia="en-US"/>
        </w:rPr>
        <w:t>The same Ranchi-stretch study concluded that water quality index (WQI) values ranged from poor to unsuitable across sampling points in all seasons, and that land-use/land-cover analysis indicated substantial loss of forest cover and changes in water bodies over time, reinforcing the interpretation that watershed transformation is directly coupled to deteriorating aquatic habitat condition (</w:t>
      </w:r>
      <w:proofErr w:type="spellStart"/>
      <w:r w:rsidRPr="007E7420">
        <w:rPr>
          <w:color w:val="auto"/>
          <w:kern w:val="0"/>
          <w:lang w:val="en-US" w:eastAsia="en-US"/>
        </w:rPr>
        <w:t>Kadave</w:t>
      </w:r>
      <w:proofErr w:type="spellEnd"/>
      <w:r w:rsidRPr="007E7420">
        <w:rPr>
          <w:color w:val="auto"/>
          <w:kern w:val="0"/>
          <w:lang w:val="en-US" w:eastAsia="en-US"/>
        </w:rPr>
        <w:t xml:space="preserve"> &amp; Kumari, 2025). For fishes, such land-cover change matters because it alters shading (thermal regimes), bank stability (sediment delivery), and the capacity of riparian zones to intercept nutrients and pollutants before they reach channels. Over ecological time, the outcome is often biotic filtering: tolerant generalists persist, while sensitive native species decline due to repeated hypoxia risk, greater disease pressure, and </w:t>
      </w:r>
      <w:r w:rsidRPr="007E7420">
        <w:rPr>
          <w:color w:val="auto"/>
          <w:kern w:val="0"/>
          <w:lang w:val="en-US" w:eastAsia="en-US"/>
        </w:rPr>
        <w:lastRenderedPageBreak/>
        <w:t>degraded nursery habitat structure</w:t>
      </w:r>
      <w:r w:rsidR="003A339E">
        <w:rPr>
          <w:color w:val="auto"/>
          <w:kern w:val="0"/>
          <w:lang w:val="en-US" w:eastAsia="en-US"/>
        </w:rPr>
        <w:t xml:space="preserve"> (</w:t>
      </w:r>
      <w:r w:rsidR="003A339E" w:rsidRPr="00C80EE2">
        <w:rPr>
          <w:color w:val="222222"/>
          <w:shd w:val="clear" w:color="auto" w:fill="FFFFFF"/>
        </w:rPr>
        <w:t>Kumari</w:t>
      </w:r>
      <w:r w:rsidR="003A339E">
        <w:rPr>
          <w:color w:val="222222"/>
          <w:shd w:val="clear" w:color="auto" w:fill="FFFFFF"/>
        </w:rPr>
        <w:t xml:space="preserve"> </w:t>
      </w:r>
      <w:r w:rsidR="003A339E" w:rsidRPr="00C80EE2">
        <w:rPr>
          <w:color w:val="222222"/>
          <w:shd w:val="clear" w:color="auto" w:fill="FFFFFF"/>
        </w:rPr>
        <w:t xml:space="preserve">&amp; </w:t>
      </w:r>
      <w:proofErr w:type="spellStart"/>
      <w:r w:rsidR="003A339E" w:rsidRPr="00C80EE2">
        <w:rPr>
          <w:color w:val="222222"/>
          <w:shd w:val="clear" w:color="auto" w:fill="FFFFFF"/>
        </w:rPr>
        <w:t>Maiti</w:t>
      </w:r>
      <w:proofErr w:type="spellEnd"/>
      <w:r w:rsidR="003A339E" w:rsidRPr="00C80EE2">
        <w:rPr>
          <w:color w:val="222222"/>
          <w:shd w:val="clear" w:color="auto" w:fill="FFFFFF"/>
        </w:rPr>
        <w:t>, 2020</w:t>
      </w:r>
      <w:r w:rsidR="003A339E">
        <w:rPr>
          <w:color w:val="222222"/>
          <w:shd w:val="clear" w:color="auto" w:fill="FFFFFF"/>
        </w:rPr>
        <w:t xml:space="preserve">; </w:t>
      </w:r>
      <w:r w:rsidR="003A339E" w:rsidRPr="00C80EE2">
        <w:rPr>
          <w:color w:val="222222"/>
          <w:shd w:val="clear" w:color="auto" w:fill="FFFFFF"/>
        </w:rPr>
        <w:t>Kumari</w:t>
      </w:r>
      <w:r w:rsidR="003A339E">
        <w:rPr>
          <w:color w:val="222222"/>
          <w:shd w:val="clear" w:color="auto" w:fill="FFFFFF"/>
        </w:rPr>
        <w:t xml:space="preserve"> et al., </w:t>
      </w:r>
      <w:r w:rsidR="003A339E" w:rsidRPr="00C80EE2">
        <w:rPr>
          <w:color w:val="222222"/>
          <w:shd w:val="clear" w:color="auto" w:fill="FFFFFF"/>
        </w:rPr>
        <w:t>2018</w:t>
      </w:r>
      <w:r w:rsidR="003A339E">
        <w:rPr>
          <w:color w:val="222222"/>
          <w:shd w:val="clear" w:color="auto" w:fill="FFFFFF"/>
        </w:rPr>
        <w:t xml:space="preserve">; </w:t>
      </w:r>
      <w:proofErr w:type="spellStart"/>
      <w:r w:rsidR="003A339E" w:rsidRPr="00C80EE2">
        <w:rPr>
          <w:color w:val="222222"/>
          <w:shd w:val="clear" w:color="auto" w:fill="FFFFFF"/>
        </w:rPr>
        <w:t>Nesemann</w:t>
      </w:r>
      <w:proofErr w:type="spellEnd"/>
      <w:r w:rsidR="003A339E">
        <w:rPr>
          <w:color w:val="222222"/>
          <w:shd w:val="clear" w:color="auto" w:fill="FFFFFF"/>
        </w:rPr>
        <w:t xml:space="preserve"> et al., </w:t>
      </w:r>
      <w:r w:rsidR="003A339E" w:rsidRPr="00C80EE2">
        <w:rPr>
          <w:color w:val="222222"/>
          <w:shd w:val="clear" w:color="auto" w:fill="FFFFFF"/>
        </w:rPr>
        <w:t>2017</w:t>
      </w:r>
      <w:r w:rsidR="003A339E">
        <w:rPr>
          <w:color w:val="auto"/>
          <w:kern w:val="0"/>
          <w:lang w:val="en-US" w:eastAsia="en-US"/>
        </w:rPr>
        <w:t>)</w:t>
      </w:r>
      <w:r w:rsidRPr="007E7420">
        <w:rPr>
          <w:color w:val="auto"/>
          <w:kern w:val="0"/>
          <w:lang w:val="en-US" w:eastAsia="en-US"/>
        </w:rPr>
        <w:t>.</w:t>
      </w:r>
    </w:p>
    <w:p w:rsidR="007E7420" w:rsidRPr="007E7420" w:rsidRDefault="007E7420" w:rsidP="007E7420">
      <w:pPr>
        <w:spacing w:before="100" w:beforeAutospacing="1" w:after="100" w:afterAutospacing="1" w:line="240" w:lineRule="auto"/>
        <w:ind w:left="0" w:right="0" w:firstLine="0"/>
        <w:jc w:val="left"/>
        <w:outlineLvl w:val="2"/>
        <w:rPr>
          <w:b/>
          <w:bCs/>
          <w:color w:val="auto"/>
          <w:kern w:val="0"/>
          <w:sz w:val="27"/>
          <w:szCs w:val="27"/>
          <w:lang w:val="en-US" w:eastAsia="en-US"/>
        </w:rPr>
      </w:pPr>
      <w:r w:rsidRPr="007E7420">
        <w:rPr>
          <w:b/>
          <w:bCs/>
          <w:color w:val="auto"/>
          <w:kern w:val="0"/>
          <w:sz w:val="27"/>
          <w:szCs w:val="27"/>
          <w:lang w:val="en-US" w:eastAsia="en-US"/>
        </w:rPr>
        <w:t>4.3 Erosion, sediment yield, and habitat smothering in a monsoon-driven basin</w:t>
      </w:r>
    </w:p>
    <w:p w:rsidR="007E7420" w:rsidRPr="007E7420" w:rsidRDefault="007E7420" w:rsidP="007E7420">
      <w:pPr>
        <w:spacing w:before="100" w:beforeAutospacing="1" w:after="100" w:afterAutospacing="1" w:line="240" w:lineRule="auto"/>
        <w:ind w:left="0" w:right="0" w:firstLine="0"/>
        <w:jc w:val="left"/>
        <w:rPr>
          <w:color w:val="auto"/>
          <w:kern w:val="0"/>
          <w:lang w:val="en-US" w:eastAsia="en-US"/>
        </w:rPr>
      </w:pPr>
      <w:r w:rsidRPr="007E7420">
        <w:rPr>
          <w:color w:val="auto"/>
          <w:kern w:val="0"/>
          <w:lang w:val="en-US" w:eastAsia="en-US"/>
        </w:rPr>
        <w:t>Beyond chemical exposure, a major anthropogenic pressure in the Subarnarekha basin is accelerated soil loss and sediment delivery linked to catchment disturbance and land management under a highly seasonal monsoon hydroclimate. Modeling-based assessment in the Subarnarekha basin has quantified soil loss and emphasized how monsoon variability and basin characteristics can generate substantial sediment flux to the river system (</w:t>
      </w:r>
      <w:proofErr w:type="spellStart"/>
      <w:r w:rsidRPr="007E7420">
        <w:rPr>
          <w:color w:val="auto"/>
          <w:kern w:val="0"/>
          <w:lang w:val="en-US" w:eastAsia="en-US"/>
        </w:rPr>
        <w:t>Acharyya</w:t>
      </w:r>
      <w:proofErr w:type="spellEnd"/>
      <w:r w:rsidRPr="007E7420">
        <w:rPr>
          <w:color w:val="auto"/>
          <w:kern w:val="0"/>
          <w:lang w:val="en-US" w:eastAsia="en-US"/>
        </w:rPr>
        <w:t xml:space="preserve"> et al., 2022). While erosion is a natural geomorphic process, anthropogenic amplification—via vegetation removal, poorly managed construction and mining surfaces, road expansion, and altered drainage—can shift sediment loads beyond the tolerance windows of native fishes, especially in spawning seasons when eggs and larvae are vulnerable to abrasion, clogging, and burial.</w:t>
      </w:r>
    </w:p>
    <w:p w:rsidR="007E7420" w:rsidRPr="007E7420" w:rsidRDefault="007E7420" w:rsidP="007E7420">
      <w:pPr>
        <w:spacing w:before="100" w:beforeAutospacing="1" w:after="100" w:afterAutospacing="1" w:line="240" w:lineRule="auto"/>
        <w:ind w:left="0" w:right="0" w:firstLine="0"/>
        <w:jc w:val="left"/>
        <w:rPr>
          <w:color w:val="auto"/>
          <w:kern w:val="0"/>
          <w:lang w:val="en-US" w:eastAsia="en-US"/>
        </w:rPr>
      </w:pPr>
      <w:r w:rsidRPr="007E7420">
        <w:rPr>
          <w:color w:val="auto"/>
          <w:kern w:val="0"/>
          <w:lang w:val="en-US" w:eastAsia="en-US"/>
        </w:rPr>
        <w:t xml:space="preserve">For many riverine fishes, fine sediment is ecologically disruptive because it reduces interstitial spaces in gravels and coarse substrates, degrading the microhabitats used for spawning and early development, while persistent turbidity can interfere with visual foraging and predator avoidance. In addition, sediment-associated contaminants (including </w:t>
      </w:r>
      <w:proofErr w:type="spellStart"/>
      <w:r w:rsidRPr="007E7420">
        <w:rPr>
          <w:color w:val="auto"/>
          <w:kern w:val="0"/>
          <w:lang w:val="en-US" w:eastAsia="en-US"/>
        </w:rPr>
        <w:t>sorbed</w:t>
      </w:r>
      <w:proofErr w:type="spellEnd"/>
      <w:r w:rsidRPr="007E7420">
        <w:rPr>
          <w:color w:val="auto"/>
          <w:kern w:val="0"/>
          <w:lang w:val="en-US" w:eastAsia="en-US"/>
        </w:rPr>
        <w:t xml:space="preserve"> metals) create a coupled stressor environment: habitat smothering and chemical exposure occur together, and each can magnify the other’s effects by increasing contact between organisms and contaminated particles (Banerjee et al., 2016; </w:t>
      </w:r>
      <w:proofErr w:type="spellStart"/>
      <w:r w:rsidRPr="007E7420">
        <w:rPr>
          <w:color w:val="auto"/>
          <w:kern w:val="0"/>
          <w:lang w:val="en-US" w:eastAsia="en-US"/>
        </w:rPr>
        <w:t>Giri</w:t>
      </w:r>
      <w:proofErr w:type="spellEnd"/>
      <w:r w:rsidRPr="007E7420">
        <w:rPr>
          <w:color w:val="auto"/>
          <w:kern w:val="0"/>
          <w:lang w:val="en-US" w:eastAsia="en-US"/>
        </w:rPr>
        <w:t xml:space="preserve"> et al., 2013). Over repeated monsoon cycles, this combination can erode recruitment reliability for native species, producing population-level declines even when adult mortality is not immediately obvious.</w:t>
      </w:r>
    </w:p>
    <w:p w:rsidR="007E7420" w:rsidRPr="007E7420" w:rsidRDefault="007E7420" w:rsidP="007E7420">
      <w:pPr>
        <w:spacing w:before="100" w:beforeAutospacing="1" w:after="100" w:afterAutospacing="1" w:line="240" w:lineRule="auto"/>
        <w:ind w:left="0" w:right="0" w:firstLine="0"/>
        <w:jc w:val="left"/>
        <w:outlineLvl w:val="2"/>
        <w:rPr>
          <w:b/>
          <w:bCs/>
          <w:color w:val="auto"/>
          <w:kern w:val="0"/>
          <w:sz w:val="27"/>
          <w:szCs w:val="27"/>
          <w:lang w:val="en-US" w:eastAsia="en-US"/>
        </w:rPr>
      </w:pPr>
      <w:r w:rsidRPr="007E7420">
        <w:rPr>
          <w:b/>
          <w:bCs/>
          <w:color w:val="auto"/>
          <w:kern w:val="0"/>
          <w:sz w:val="27"/>
          <w:szCs w:val="27"/>
          <w:lang w:val="en-US" w:eastAsia="en-US"/>
        </w:rPr>
        <w:t>4.4 Impoundments, altered connectivity, and water-quality pressures in reservoir-linked reaches</w:t>
      </w:r>
    </w:p>
    <w:p w:rsidR="007E7420" w:rsidRPr="007E7420" w:rsidRDefault="007E7420" w:rsidP="007E7420">
      <w:pPr>
        <w:spacing w:before="100" w:beforeAutospacing="1" w:after="100" w:afterAutospacing="1" w:line="240" w:lineRule="auto"/>
        <w:ind w:left="0" w:right="0" w:firstLine="0"/>
        <w:jc w:val="left"/>
        <w:rPr>
          <w:color w:val="auto"/>
          <w:kern w:val="0"/>
          <w:lang w:val="en-US" w:eastAsia="en-US"/>
        </w:rPr>
      </w:pPr>
      <w:r w:rsidRPr="007E7420">
        <w:rPr>
          <w:color w:val="auto"/>
          <w:kern w:val="0"/>
          <w:lang w:val="en-US" w:eastAsia="en-US"/>
        </w:rPr>
        <w:t xml:space="preserve">Hydrological alteration is another significant anthropogenic dimension of fish stress in the Subarnarekha basin, particularly where dams and barrages modify flow seasonality, interrupt longitudinal connectivity, and reshape local water quality. A multi-site assessment of selected dams and a barrage situated within the Subarnarekha river basin (including </w:t>
      </w:r>
      <w:proofErr w:type="spellStart"/>
      <w:r w:rsidRPr="007E7420">
        <w:rPr>
          <w:color w:val="auto"/>
          <w:kern w:val="0"/>
          <w:lang w:val="en-US" w:eastAsia="en-US"/>
        </w:rPr>
        <w:t>Chandil</w:t>
      </w:r>
      <w:proofErr w:type="spellEnd"/>
      <w:r w:rsidRPr="007E7420">
        <w:rPr>
          <w:color w:val="auto"/>
          <w:kern w:val="0"/>
          <w:lang w:val="en-US" w:eastAsia="en-US"/>
        </w:rPr>
        <w:t xml:space="preserve"> Dam and </w:t>
      </w:r>
      <w:proofErr w:type="spellStart"/>
      <w:r w:rsidRPr="007E7420">
        <w:rPr>
          <w:color w:val="auto"/>
          <w:kern w:val="0"/>
          <w:lang w:val="en-US" w:eastAsia="en-US"/>
        </w:rPr>
        <w:t>Galudih</w:t>
      </w:r>
      <w:proofErr w:type="spellEnd"/>
      <w:r w:rsidRPr="007E7420">
        <w:rPr>
          <w:color w:val="auto"/>
          <w:kern w:val="0"/>
          <w:lang w:val="en-US" w:eastAsia="en-US"/>
        </w:rPr>
        <w:t xml:space="preserve"> Barrage) documented seasonal variation in multiple parameters (including DO and BOD) and concluded that overall water quality ranged from good to poor, with implications for water use and management (Pandey et al., 2023). Even when impoundments provide water-supply benefits, they can impose ecological costs by fragmenting habitats and altering the timing and magnitude of flows that cue migration and spawning.</w:t>
      </w:r>
    </w:p>
    <w:p w:rsidR="007E7420" w:rsidRPr="007E7420" w:rsidRDefault="007E7420" w:rsidP="007E7420">
      <w:pPr>
        <w:spacing w:before="100" w:beforeAutospacing="1" w:after="100" w:afterAutospacing="1" w:line="240" w:lineRule="auto"/>
        <w:ind w:left="0" w:right="0" w:firstLine="0"/>
        <w:jc w:val="left"/>
        <w:rPr>
          <w:color w:val="auto"/>
          <w:kern w:val="0"/>
          <w:lang w:val="en-US" w:eastAsia="en-US"/>
        </w:rPr>
      </w:pPr>
      <w:r w:rsidRPr="007E7420">
        <w:rPr>
          <w:color w:val="auto"/>
          <w:kern w:val="0"/>
          <w:lang w:val="en-US" w:eastAsia="en-US"/>
        </w:rPr>
        <w:t>From a fish-biodiversity perspective, altered flow regimes and disrupted connectivity are repeatedly identified as mechanisms that reduce population viability, facilitate invasions, and reorganize habitat templates across river–floodplain networks (Bunn &amp; Arthington, 2002). In the Subarnarekha context, this means that native fishes adapted to monsoon pulses and seasonal floodplain opportunities may experience mismatches between life-history timing and habitat availability when regulation dampens high flows or shifts their seasonal expression. In addition, impoundments can trap sediments and change downstream substrate composition, sometimes simplifying habitat and reducing the diversity of feeding and breeding niches available to native assemblages.</w:t>
      </w:r>
    </w:p>
    <w:p w:rsidR="007E7420" w:rsidRPr="007E7420" w:rsidRDefault="007E7420" w:rsidP="007E7420">
      <w:pPr>
        <w:spacing w:before="100" w:beforeAutospacing="1" w:after="100" w:afterAutospacing="1" w:line="240" w:lineRule="auto"/>
        <w:ind w:left="0" w:right="0" w:firstLine="0"/>
        <w:jc w:val="left"/>
        <w:outlineLvl w:val="2"/>
        <w:rPr>
          <w:b/>
          <w:bCs/>
          <w:color w:val="auto"/>
          <w:kern w:val="0"/>
          <w:sz w:val="27"/>
          <w:szCs w:val="27"/>
          <w:lang w:val="en-US" w:eastAsia="en-US"/>
        </w:rPr>
      </w:pPr>
      <w:r w:rsidRPr="007E7420">
        <w:rPr>
          <w:b/>
          <w:bCs/>
          <w:color w:val="auto"/>
          <w:kern w:val="0"/>
          <w:sz w:val="27"/>
          <w:szCs w:val="27"/>
          <w:lang w:val="en-US" w:eastAsia="en-US"/>
        </w:rPr>
        <w:lastRenderedPageBreak/>
        <w:t>4.5 Synthesis: why these stressors matter for native fish persistence</w:t>
      </w:r>
    </w:p>
    <w:p w:rsidR="007E7420" w:rsidRPr="007E7420" w:rsidRDefault="007E7420" w:rsidP="007E7420">
      <w:pPr>
        <w:spacing w:before="100" w:beforeAutospacing="1" w:after="100" w:afterAutospacing="1" w:line="240" w:lineRule="auto"/>
        <w:ind w:left="0" w:right="0" w:firstLine="0"/>
        <w:jc w:val="left"/>
        <w:rPr>
          <w:color w:val="auto"/>
          <w:kern w:val="0"/>
          <w:lang w:val="en-US" w:eastAsia="en-US"/>
        </w:rPr>
      </w:pPr>
      <w:r w:rsidRPr="007E7420">
        <w:rPr>
          <w:color w:val="auto"/>
          <w:kern w:val="0"/>
          <w:lang w:val="en-US" w:eastAsia="en-US"/>
        </w:rPr>
        <w:t>Taken together, the Subarnarekha basin illustrates a multi-pathway stress landscape where chemical contamination (notably metals), chronic organic and ionic loading tied to urbanization, catchment-scale sediment pressures, and hydrological fragmentation can co-occur across the same river network. The ecological significance for native fishes lies in recurrence and coupling: exposures are not isolated events but repeat seasonally and interact through shared physiological bottlenecks such as respiration, osmoregulation, and early-life-stage survival. This cumulative anthropogenic context sets the stage for strong synergy with climate-driven warming and hydrological extremes, because baseline habitat quality and organismal resilience are already eroded before climate stress is added.</w:t>
      </w:r>
      <w:r w:rsidR="00653524">
        <w:rPr>
          <w:color w:val="auto"/>
          <w:kern w:val="0"/>
          <w:lang w:val="en-US" w:eastAsia="en-US"/>
        </w:rPr>
        <w:t xml:space="preserve"> </w:t>
      </w:r>
      <w:r w:rsidR="00653524" w:rsidRPr="00653524">
        <w:rPr>
          <w:color w:val="auto"/>
          <w:kern w:val="0"/>
          <w:lang w:val="en-US" w:eastAsia="en-US"/>
        </w:rPr>
        <w:t>Fish related Anthropogenic stressors in the Subarnarekha basin</w:t>
      </w:r>
      <w:r w:rsidR="00653524">
        <w:rPr>
          <w:color w:val="auto"/>
          <w:kern w:val="0"/>
          <w:lang w:val="en-US" w:eastAsia="en-US"/>
        </w:rPr>
        <w:t xml:space="preserve"> are presented in Table 2.</w:t>
      </w:r>
    </w:p>
    <w:p w:rsidR="007E7420" w:rsidRPr="00653524" w:rsidRDefault="00653524" w:rsidP="007E7420">
      <w:pPr>
        <w:spacing w:before="100" w:beforeAutospacing="1" w:after="100" w:afterAutospacing="1" w:line="240" w:lineRule="auto"/>
        <w:ind w:left="0" w:right="0" w:firstLine="0"/>
        <w:jc w:val="left"/>
        <w:outlineLvl w:val="1"/>
        <w:rPr>
          <w:b/>
          <w:bCs/>
          <w:color w:val="auto"/>
          <w:kern w:val="0"/>
          <w:szCs w:val="36"/>
          <w:lang w:val="en-US" w:eastAsia="en-US"/>
        </w:rPr>
      </w:pPr>
      <w:r w:rsidRPr="00653524">
        <w:rPr>
          <w:b/>
          <w:bCs/>
          <w:color w:val="auto"/>
          <w:kern w:val="0"/>
          <w:szCs w:val="36"/>
          <w:lang w:val="en-US" w:eastAsia="en-US"/>
        </w:rPr>
        <w:t xml:space="preserve">Table 2: Fish related </w:t>
      </w:r>
      <w:r>
        <w:rPr>
          <w:b/>
          <w:bCs/>
          <w:color w:val="auto"/>
          <w:kern w:val="0"/>
          <w:szCs w:val="36"/>
          <w:lang w:val="en-US" w:eastAsia="en-US"/>
        </w:rPr>
        <w:t>a</w:t>
      </w:r>
      <w:r w:rsidRPr="00653524">
        <w:rPr>
          <w:b/>
          <w:bCs/>
          <w:color w:val="auto"/>
          <w:kern w:val="0"/>
          <w:szCs w:val="36"/>
          <w:lang w:val="en-US" w:eastAsia="en-US"/>
        </w:rPr>
        <w:t xml:space="preserve">nthropogenic stressors in the Subarnarekha basin </w:t>
      </w:r>
    </w:p>
    <w:tbl>
      <w:tblPr>
        <w:tblStyle w:val="TableGrid"/>
        <w:tblW w:w="0" w:type="auto"/>
        <w:tblLook w:val="04A0" w:firstRow="1" w:lastRow="0" w:firstColumn="1" w:lastColumn="0" w:noHBand="0" w:noVBand="1"/>
      </w:tblPr>
      <w:tblGrid>
        <w:gridCol w:w="2190"/>
        <w:gridCol w:w="2954"/>
        <w:gridCol w:w="2501"/>
        <w:gridCol w:w="1597"/>
      </w:tblGrid>
      <w:tr w:rsidR="007E7420" w:rsidRPr="007E7420" w:rsidTr="00653524">
        <w:tc>
          <w:tcPr>
            <w:tcW w:w="0" w:type="auto"/>
            <w:hideMark/>
          </w:tcPr>
          <w:p w:rsidR="007E7420" w:rsidRPr="007E7420" w:rsidRDefault="007E7420" w:rsidP="00653524">
            <w:pPr>
              <w:spacing w:after="0" w:line="240" w:lineRule="auto"/>
              <w:ind w:left="0" w:right="0" w:firstLine="0"/>
              <w:jc w:val="center"/>
              <w:rPr>
                <w:b/>
                <w:bCs/>
                <w:color w:val="auto"/>
                <w:kern w:val="0"/>
                <w:lang w:val="en-US" w:eastAsia="en-US"/>
              </w:rPr>
            </w:pPr>
            <w:r w:rsidRPr="007E7420">
              <w:rPr>
                <w:b/>
                <w:bCs/>
                <w:color w:val="auto"/>
                <w:kern w:val="0"/>
                <w:lang w:val="en-US" w:eastAsia="en-US"/>
              </w:rPr>
              <w:t>Anthropogenic stressor (Subarnarekha basin)</w:t>
            </w:r>
          </w:p>
        </w:tc>
        <w:tc>
          <w:tcPr>
            <w:tcW w:w="0" w:type="auto"/>
            <w:hideMark/>
          </w:tcPr>
          <w:p w:rsidR="007E7420" w:rsidRPr="007E7420" w:rsidRDefault="007E7420" w:rsidP="00653524">
            <w:pPr>
              <w:spacing w:after="0" w:line="240" w:lineRule="auto"/>
              <w:ind w:left="0" w:right="0" w:firstLine="0"/>
              <w:jc w:val="center"/>
              <w:rPr>
                <w:b/>
                <w:bCs/>
                <w:color w:val="auto"/>
                <w:kern w:val="0"/>
                <w:lang w:val="en-US" w:eastAsia="en-US"/>
              </w:rPr>
            </w:pPr>
            <w:r w:rsidRPr="007E7420">
              <w:rPr>
                <w:b/>
                <w:bCs/>
                <w:color w:val="auto"/>
                <w:kern w:val="0"/>
                <w:lang w:val="en-US" w:eastAsia="en-US"/>
              </w:rPr>
              <w:t>Main Subarnarekha-linked evidence</w:t>
            </w:r>
          </w:p>
        </w:tc>
        <w:tc>
          <w:tcPr>
            <w:tcW w:w="0" w:type="auto"/>
            <w:hideMark/>
          </w:tcPr>
          <w:p w:rsidR="007E7420" w:rsidRPr="007E7420" w:rsidRDefault="007E7420" w:rsidP="00653524">
            <w:pPr>
              <w:spacing w:after="0" w:line="240" w:lineRule="auto"/>
              <w:ind w:left="0" w:right="0" w:firstLine="0"/>
              <w:jc w:val="center"/>
              <w:rPr>
                <w:b/>
                <w:bCs/>
                <w:color w:val="auto"/>
                <w:kern w:val="0"/>
                <w:lang w:val="en-US" w:eastAsia="en-US"/>
              </w:rPr>
            </w:pPr>
            <w:r w:rsidRPr="007E7420">
              <w:rPr>
                <w:b/>
                <w:bCs/>
                <w:color w:val="auto"/>
                <w:kern w:val="0"/>
                <w:lang w:val="en-US" w:eastAsia="en-US"/>
              </w:rPr>
              <w:t>Fish-relevant exposure pathway / likely outcome</w:t>
            </w:r>
          </w:p>
        </w:tc>
        <w:tc>
          <w:tcPr>
            <w:tcW w:w="0" w:type="auto"/>
            <w:hideMark/>
          </w:tcPr>
          <w:p w:rsidR="007E7420" w:rsidRPr="007E7420" w:rsidRDefault="007E7420" w:rsidP="00653524">
            <w:pPr>
              <w:spacing w:after="0" w:line="240" w:lineRule="auto"/>
              <w:ind w:left="0" w:right="0" w:firstLine="0"/>
              <w:jc w:val="center"/>
              <w:rPr>
                <w:b/>
                <w:bCs/>
                <w:color w:val="auto"/>
                <w:kern w:val="0"/>
                <w:lang w:val="en-US" w:eastAsia="en-US"/>
              </w:rPr>
            </w:pPr>
            <w:r w:rsidRPr="007E7420">
              <w:rPr>
                <w:b/>
                <w:bCs/>
                <w:color w:val="auto"/>
                <w:kern w:val="0"/>
                <w:lang w:val="en-US" w:eastAsia="en-US"/>
              </w:rPr>
              <w:t>Key reference(s)</w:t>
            </w:r>
          </w:p>
        </w:tc>
      </w:tr>
      <w:tr w:rsidR="007E7420" w:rsidRPr="007E7420" w:rsidTr="00653524">
        <w:tc>
          <w:tcPr>
            <w:tcW w:w="0" w:type="auto"/>
            <w:hideMark/>
          </w:tcPr>
          <w:p w:rsidR="007E7420" w:rsidRPr="007E7420" w:rsidRDefault="007E7420" w:rsidP="00653524">
            <w:pPr>
              <w:spacing w:after="0" w:line="240" w:lineRule="auto"/>
              <w:ind w:left="0" w:right="0" w:firstLine="0"/>
              <w:jc w:val="left"/>
              <w:rPr>
                <w:color w:val="auto"/>
                <w:kern w:val="0"/>
                <w:lang w:val="en-US" w:eastAsia="en-US"/>
              </w:rPr>
            </w:pPr>
            <w:r w:rsidRPr="007E7420">
              <w:rPr>
                <w:color w:val="auto"/>
                <w:kern w:val="0"/>
                <w:lang w:val="en-US" w:eastAsia="en-US"/>
              </w:rPr>
              <w:t>Industrial and mining-linked metal pollution (water + sediments)</w:t>
            </w:r>
          </w:p>
        </w:tc>
        <w:tc>
          <w:tcPr>
            <w:tcW w:w="0" w:type="auto"/>
            <w:hideMark/>
          </w:tcPr>
          <w:p w:rsidR="007E7420" w:rsidRPr="007E7420" w:rsidRDefault="007E7420" w:rsidP="00653524">
            <w:pPr>
              <w:spacing w:after="0" w:line="240" w:lineRule="auto"/>
              <w:ind w:left="0" w:right="0" w:firstLine="0"/>
              <w:jc w:val="left"/>
              <w:rPr>
                <w:color w:val="auto"/>
                <w:kern w:val="0"/>
                <w:lang w:val="en-US" w:eastAsia="en-US"/>
              </w:rPr>
            </w:pPr>
            <w:r w:rsidRPr="007E7420">
              <w:rPr>
                <w:color w:val="auto"/>
                <w:kern w:val="0"/>
                <w:lang w:val="en-US" w:eastAsia="en-US"/>
              </w:rPr>
              <w:t>Seasonal metal contamination documented in water and especially sediments in Jamshedpur stretch</w:t>
            </w:r>
          </w:p>
        </w:tc>
        <w:tc>
          <w:tcPr>
            <w:tcW w:w="0" w:type="auto"/>
            <w:hideMark/>
          </w:tcPr>
          <w:p w:rsidR="007E7420" w:rsidRPr="007E7420" w:rsidRDefault="007E7420" w:rsidP="00653524">
            <w:pPr>
              <w:spacing w:after="0" w:line="240" w:lineRule="auto"/>
              <w:ind w:left="0" w:right="0" w:firstLine="0"/>
              <w:jc w:val="left"/>
              <w:rPr>
                <w:color w:val="auto"/>
                <w:kern w:val="0"/>
                <w:lang w:val="en-US" w:eastAsia="en-US"/>
              </w:rPr>
            </w:pPr>
            <w:r w:rsidRPr="007E7420">
              <w:rPr>
                <w:color w:val="auto"/>
                <w:kern w:val="0"/>
                <w:lang w:val="en-US" w:eastAsia="en-US"/>
              </w:rPr>
              <w:t>Toxicity and chronic sublethal stress; sediment contact exposure; remobilization during high flow; recruitment impacts via contaminated substrates</w:t>
            </w:r>
          </w:p>
        </w:tc>
        <w:tc>
          <w:tcPr>
            <w:tcW w:w="0" w:type="auto"/>
            <w:hideMark/>
          </w:tcPr>
          <w:p w:rsidR="007E7420" w:rsidRPr="007E7420" w:rsidRDefault="007E7420" w:rsidP="00653524">
            <w:pPr>
              <w:spacing w:after="0" w:line="240" w:lineRule="auto"/>
              <w:ind w:left="0" w:right="0" w:firstLine="0"/>
              <w:jc w:val="left"/>
              <w:rPr>
                <w:color w:val="auto"/>
                <w:kern w:val="0"/>
                <w:lang w:val="en-US" w:eastAsia="en-US"/>
              </w:rPr>
            </w:pPr>
            <w:r w:rsidRPr="007E7420">
              <w:rPr>
                <w:color w:val="auto"/>
                <w:kern w:val="0"/>
                <w:lang w:val="en-US" w:eastAsia="en-US"/>
              </w:rPr>
              <w:t xml:space="preserve">Banerjee et al. (2016); </w:t>
            </w:r>
            <w:proofErr w:type="spellStart"/>
            <w:r w:rsidRPr="007E7420">
              <w:rPr>
                <w:color w:val="auto"/>
                <w:kern w:val="0"/>
                <w:lang w:val="en-US" w:eastAsia="en-US"/>
              </w:rPr>
              <w:t>Giri</w:t>
            </w:r>
            <w:proofErr w:type="spellEnd"/>
            <w:r w:rsidRPr="007E7420">
              <w:rPr>
                <w:color w:val="auto"/>
                <w:kern w:val="0"/>
                <w:lang w:val="en-US" w:eastAsia="en-US"/>
              </w:rPr>
              <w:t xml:space="preserve"> et al. (2013)</w:t>
            </w:r>
          </w:p>
        </w:tc>
      </w:tr>
      <w:tr w:rsidR="007E7420" w:rsidRPr="007E7420" w:rsidTr="00653524">
        <w:tc>
          <w:tcPr>
            <w:tcW w:w="0" w:type="auto"/>
            <w:hideMark/>
          </w:tcPr>
          <w:p w:rsidR="007E7420" w:rsidRPr="007E7420" w:rsidRDefault="007E7420" w:rsidP="00653524">
            <w:pPr>
              <w:spacing w:after="0" w:line="240" w:lineRule="auto"/>
              <w:ind w:left="0" w:right="0" w:firstLine="0"/>
              <w:jc w:val="left"/>
              <w:rPr>
                <w:color w:val="auto"/>
                <w:kern w:val="0"/>
                <w:lang w:val="en-US" w:eastAsia="en-US"/>
              </w:rPr>
            </w:pPr>
            <w:r w:rsidRPr="007E7420">
              <w:rPr>
                <w:color w:val="auto"/>
                <w:kern w:val="0"/>
                <w:lang w:val="en-US" w:eastAsia="en-US"/>
              </w:rPr>
              <w:t>Food-web bioaccumulation of metals in native fishes</w:t>
            </w:r>
          </w:p>
        </w:tc>
        <w:tc>
          <w:tcPr>
            <w:tcW w:w="0" w:type="auto"/>
            <w:hideMark/>
          </w:tcPr>
          <w:p w:rsidR="007E7420" w:rsidRPr="007E7420" w:rsidRDefault="007E7420" w:rsidP="00653524">
            <w:pPr>
              <w:spacing w:after="0" w:line="240" w:lineRule="auto"/>
              <w:ind w:left="0" w:right="0" w:firstLine="0"/>
              <w:jc w:val="left"/>
              <w:rPr>
                <w:color w:val="auto"/>
                <w:kern w:val="0"/>
                <w:lang w:val="en-US" w:eastAsia="en-US"/>
              </w:rPr>
            </w:pPr>
            <w:r w:rsidRPr="007E7420">
              <w:rPr>
                <w:color w:val="auto"/>
                <w:kern w:val="0"/>
                <w:lang w:val="en-US" w:eastAsia="en-US"/>
              </w:rPr>
              <w:t>Metals traced across water/sediment/biota and accumulated in indigenous fishes in Jamshedpur stretch</w:t>
            </w:r>
          </w:p>
        </w:tc>
        <w:tc>
          <w:tcPr>
            <w:tcW w:w="0" w:type="auto"/>
            <w:hideMark/>
          </w:tcPr>
          <w:p w:rsidR="007E7420" w:rsidRPr="007E7420" w:rsidRDefault="007E7420" w:rsidP="00653524">
            <w:pPr>
              <w:spacing w:after="0" w:line="240" w:lineRule="auto"/>
              <w:ind w:left="0" w:right="0" w:firstLine="0"/>
              <w:jc w:val="left"/>
              <w:rPr>
                <w:color w:val="auto"/>
                <w:kern w:val="0"/>
                <w:lang w:val="en-US" w:eastAsia="en-US"/>
              </w:rPr>
            </w:pPr>
            <w:r w:rsidRPr="007E7420">
              <w:rPr>
                <w:color w:val="auto"/>
                <w:kern w:val="0"/>
                <w:lang w:val="en-US" w:eastAsia="en-US"/>
              </w:rPr>
              <w:t>Trophic transfer; elevated tissue burdens; potential reproductive and health effects; human consumption concern</w:t>
            </w:r>
          </w:p>
        </w:tc>
        <w:tc>
          <w:tcPr>
            <w:tcW w:w="0" w:type="auto"/>
            <w:hideMark/>
          </w:tcPr>
          <w:p w:rsidR="007E7420" w:rsidRPr="007E7420" w:rsidRDefault="007E7420" w:rsidP="00653524">
            <w:pPr>
              <w:spacing w:after="0" w:line="240" w:lineRule="auto"/>
              <w:ind w:left="0" w:right="0" w:firstLine="0"/>
              <w:jc w:val="left"/>
              <w:rPr>
                <w:color w:val="auto"/>
                <w:kern w:val="0"/>
                <w:lang w:val="en-US" w:eastAsia="en-US"/>
              </w:rPr>
            </w:pPr>
            <w:r w:rsidRPr="007E7420">
              <w:rPr>
                <w:color w:val="auto"/>
                <w:kern w:val="0"/>
                <w:lang w:val="en-US" w:eastAsia="en-US"/>
              </w:rPr>
              <w:t>Banerjee et al. (2015)</w:t>
            </w:r>
          </w:p>
        </w:tc>
      </w:tr>
      <w:tr w:rsidR="007E7420" w:rsidRPr="007E7420" w:rsidTr="00653524">
        <w:tc>
          <w:tcPr>
            <w:tcW w:w="0" w:type="auto"/>
            <w:hideMark/>
          </w:tcPr>
          <w:p w:rsidR="007E7420" w:rsidRPr="007E7420" w:rsidRDefault="007E7420" w:rsidP="00653524">
            <w:pPr>
              <w:spacing w:after="0" w:line="240" w:lineRule="auto"/>
              <w:ind w:left="0" w:right="0" w:firstLine="0"/>
              <w:jc w:val="left"/>
              <w:rPr>
                <w:color w:val="auto"/>
                <w:kern w:val="0"/>
                <w:lang w:val="en-US" w:eastAsia="en-US"/>
              </w:rPr>
            </w:pPr>
            <w:r w:rsidRPr="007E7420">
              <w:rPr>
                <w:color w:val="auto"/>
                <w:kern w:val="0"/>
                <w:lang w:val="en-US" w:eastAsia="en-US"/>
              </w:rPr>
              <w:t>Chronic urbanization-linked water-quality degradation (ionic load, BOD/DO stress)</w:t>
            </w:r>
          </w:p>
        </w:tc>
        <w:tc>
          <w:tcPr>
            <w:tcW w:w="0" w:type="auto"/>
            <w:hideMark/>
          </w:tcPr>
          <w:p w:rsidR="007E7420" w:rsidRPr="007E7420" w:rsidRDefault="007E7420" w:rsidP="00653524">
            <w:pPr>
              <w:spacing w:after="0" w:line="240" w:lineRule="auto"/>
              <w:ind w:left="0" w:right="0" w:firstLine="0"/>
              <w:jc w:val="left"/>
              <w:rPr>
                <w:color w:val="auto"/>
                <w:kern w:val="0"/>
                <w:lang w:val="en-US" w:eastAsia="en-US"/>
              </w:rPr>
            </w:pPr>
            <w:r w:rsidRPr="007E7420">
              <w:rPr>
                <w:color w:val="auto"/>
                <w:kern w:val="0"/>
                <w:lang w:val="en-US" w:eastAsia="en-US"/>
              </w:rPr>
              <w:t>Ranchi stretch shows poor-to-unsuitable WQI and seasonal shifts in parameters including BOD/DO</w:t>
            </w:r>
          </w:p>
        </w:tc>
        <w:tc>
          <w:tcPr>
            <w:tcW w:w="0" w:type="auto"/>
            <w:hideMark/>
          </w:tcPr>
          <w:p w:rsidR="007E7420" w:rsidRPr="007E7420" w:rsidRDefault="007E7420" w:rsidP="00653524">
            <w:pPr>
              <w:spacing w:after="0" w:line="240" w:lineRule="auto"/>
              <w:ind w:left="0" w:right="0" w:firstLine="0"/>
              <w:jc w:val="left"/>
              <w:rPr>
                <w:color w:val="auto"/>
                <w:kern w:val="0"/>
                <w:lang w:val="en-US" w:eastAsia="en-US"/>
              </w:rPr>
            </w:pPr>
            <w:r w:rsidRPr="007E7420">
              <w:rPr>
                <w:color w:val="auto"/>
                <w:kern w:val="0"/>
                <w:lang w:val="en-US" w:eastAsia="en-US"/>
              </w:rPr>
              <w:t>Hypoxia risk and reduced aerobic scope; disease susceptibility; competitive advantage to tolerant species over sensitive natives</w:t>
            </w:r>
          </w:p>
        </w:tc>
        <w:tc>
          <w:tcPr>
            <w:tcW w:w="0" w:type="auto"/>
            <w:hideMark/>
          </w:tcPr>
          <w:p w:rsidR="007E7420" w:rsidRPr="007E7420" w:rsidRDefault="007E7420" w:rsidP="00653524">
            <w:pPr>
              <w:spacing w:after="0" w:line="240" w:lineRule="auto"/>
              <w:ind w:left="0" w:right="0" w:firstLine="0"/>
              <w:jc w:val="left"/>
              <w:rPr>
                <w:color w:val="auto"/>
                <w:kern w:val="0"/>
                <w:lang w:val="en-US" w:eastAsia="en-US"/>
              </w:rPr>
            </w:pPr>
            <w:proofErr w:type="spellStart"/>
            <w:r w:rsidRPr="007E7420">
              <w:rPr>
                <w:color w:val="auto"/>
                <w:kern w:val="0"/>
                <w:lang w:val="en-US" w:eastAsia="en-US"/>
              </w:rPr>
              <w:t>Kadave</w:t>
            </w:r>
            <w:proofErr w:type="spellEnd"/>
            <w:r w:rsidRPr="007E7420">
              <w:rPr>
                <w:color w:val="auto"/>
                <w:kern w:val="0"/>
                <w:lang w:val="en-US" w:eastAsia="en-US"/>
              </w:rPr>
              <w:t xml:space="preserve"> &amp; Kumari (2025)</w:t>
            </w:r>
          </w:p>
        </w:tc>
      </w:tr>
      <w:tr w:rsidR="007E7420" w:rsidRPr="007E7420" w:rsidTr="00653524">
        <w:tc>
          <w:tcPr>
            <w:tcW w:w="0" w:type="auto"/>
            <w:hideMark/>
          </w:tcPr>
          <w:p w:rsidR="007E7420" w:rsidRPr="007E7420" w:rsidRDefault="007E7420" w:rsidP="00653524">
            <w:pPr>
              <w:spacing w:after="0" w:line="240" w:lineRule="auto"/>
              <w:ind w:left="0" w:right="0" w:firstLine="0"/>
              <w:jc w:val="left"/>
              <w:rPr>
                <w:color w:val="auto"/>
                <w:kern w:val="0"/>
                <w:lang w:val="en-US" w:eastAsia="en-US"/>
              </w:rPr>
            </w:pPr>
            <w:r w:rsidRPr="007E7420">
              <w:rPr>
                <w:color w:val="auto"/>
                <w:kern w:val="0"/>
                <w:lang w:val="en-US" w:eastAsia="en-US"/>
              </w:rPr>
              <w:t>Catchment disturbance → elevated soil loss and sediment delivery</w:t>
            </w:r>
          </w:p>
        </w:tc>
        <w:tc>
          <w:tcPr>
            <w:tcW w:w="0" w:type="auto"/>
            <w:hideMark/>
          </w:tcPr>
          <w:p w:rsidR="007E7420" w:rsidRPr="007E7420" w:rsidRDefault="007E7420" w:rsidP="00653524">
            <w:pPr>
              <w:spacing w:after="0" w:line="240" w:lineRule="auto"/>
              <w:ind w:left="0" w:right="0" w:firstLine="0"/>
              <w:jc w:val="left"/>
              <w:rPr>
                <w:color w:val="auto"/>
                <w:kern w:val="0"/>
                <w:lang w:val="en-US" w:eastAsia="en-US"/>
              </w:rPr>
            </w:pPr>
            <w:r w:rsidRPr="007E7420">
              <w:rPr>
                <w:color w:val="auto"/>
                <w:kern w:val="0"/>
                <w:lang w:val="en-US" w:eastAsia="en-US"/>
              </w:rPr>
              <w:t>Basin-scale soil loss quantified under monsoon-driven dynamics</w:t>
            </w:r>
          </w:p>
        </w:tc>
        <w:tc>
          <w:tcPr>
            <w:tcW w:w="0" w:type="auto"/>
            <w:hideMark/>
          </w:tcPr>
          <w:p w:rsidR="007E7420" w:rsidRPr="007E7420" w:rsidRDefault="007E7420" w:rsidP="00653524">
            <w:pPr>
              <w:spacing w:after="0" w:line="240" w:lineRule="auto"/>
              <w:ind w:left="0" w:right="0" w:firstLine="0"/>
              <w:jc w:val="left"/>
              <w:rPr>
                <w:color w:val="auto"/>
                <w:kern w:val="0"/>
                <w:lang w:val="en-US" w:eastAsia="en-US"/>
              </w:rPr>
            </w:pPr>
            <w:r w:rsidRPr="007E7420">
              <w:rPr>
                <w:color w:val="auto"/>
                <w:kern w:val="0"/>
                <w:lang w:val="en-US" w:eastAsia="en-US"/>
              </w:rPr>
              <w:t>Turbidity and gill irritation; smothering of spawning substrates; reduced larval survival and nursery quality</w:t>
            </w:r>
          </w:p>
        </w:tc>
        <w:tc>
          <w:tcPr>
            <w:tcW w:w="0" w:type="auto"/>
            <w:hideMark/>
          </w:tcPr>
          <w:p w:rsidR="007E7420" w:rsidRPr="007E7420" w:rsidRDefault="007E7420" w:rsidP="00653524">
            <w:pPr>
              <w:spacing w:after="0" w:line="240" w:lineRule="auto"/>
              <w:ind w:left="0" w:right="0" w:firstLine="0"/>
              <w:jc w:val="left"/>
              <w:rPr>
                <w:color w:val="auto"/>
                <w:kern w:val="0"/>
                <w:lang w:val="en-US" w:eastAsia="en-US"/>
              </w:rPr>
            </w:pPr>
            <w:proofErr w:type="spellStart"/>
            <w:r w:rsidRPr="007E7420">
              <w:rPr>
                <w:color w:val="auto"/>
                <w:kern w:val="0"/>
                <w:lang w:val="en-US" w:eastAsia="en-US"/>
              </w:rPr>
              <w:t>Acharyya</w:t>
            </w:r>
            <w:proofErr w:type="spellEnd"/>
            <w:r w:rsidRPr="007E7420">
              <w:rPr>
                <w:color w:val="auto"/>
                <w:kern w:val="0"/>
                <w:lang w:val="en-US" w:eastAsia="en-US"/>
              </w:rPr>
              <w:t xml:space="preserve"> et al. (2022)</w:t>
            </w:r>
          </w:p>
        </w:tc>
      </w:tr>
      <w:tr w:rsidR="007E7420" w:rsidRPr="007E7420" w:rsidTr="00653524">
        <w:tc>
          <w:tcPr>
            <w:tcW w:w="0" w:type="auto"/>
            <w:hideMark/>
          </w:tcPr>
          <w:p w:rsidR="007E7420" w:rsidRPr="007E7420" w:rsidRDefault="007E7420" w:rsidP="00653524">
            <w:pPr>
              <w:spacing w:after="0" w:line="240" w:lineRule="auto"/>
              <w:ind w:left="0" w:right="0" w:firstLine="0"/>
              <w:jc w:val="left"/>
              <w:rPr>
                <w:color w:val="auto"/>
                <w:kern w:val="0"/>
                <w:lang w:val="en-US" w:eastAsia="en-US"/>
              </w:rPr>
            </w:pPr>
            <w:r w:rsidRPr="007E7420">
              <w:rPr>
                <w:color w:val="auto"/>
                <w:kern w:val="0"/>
                <w:lang w:val="en-US" w:eastAsia="en-US"/>
              </w:rPr>
              <w:t>Dams/barrages + associated water-quality pressures</w:t>
            </w:r>
          </w:p>
        </w:tc>
        <w:tc>
          <w:tcPr>
            <w:tcW w:w="0" w:type="auto"/>
            <w:hideMark/>
          </w:tcPr>
          <w:p w:rsidR="007E7420" w:rsidRPr="007E7420" w:rsidRDefault="007E7420" w:rsidP="00653524">
            <w:pPr>
              <w:spacing w:after="0" w:line="240" w:lineRule="auto"/>
              <w:ind w:left="0" w:right="0" w:firstLine="0"/>
              <w:jc w:val="left"/>
              <w:rPr>
                <w:color w:val="auto"/>
                <w:kern w:val="0"/>
                <w:lang w:val="en-US" w:eastAsia="en-US"/>
              </w:rPr>
            </w:pPr>
            <w:r w:rsidRPr="007E7420">
              <w:rPr>
                <w:color w:val="auto"/>
                <w:kern w:val="0"/>
                <w:lang w:val="en-US" w:eastAsia="en-US"/>
              </w:rPr>
              <w:t>Multiple Subarnarekha-basin impoundments show seasonal water-quality variation; LULC change linked to water quality around dam sites</w:t>
            </w:r>
          </w:p>
        </w:tc>
        <w:tc>
          <w:tcPr>
            <w:tcW w:w="0" w:type="auto"/>
            <w:hideMark/>
          </w:tcPr>
          <w:p w:rsidR="007E7420" w:rsidRPr="007E7420" w:rsidRDefault="007E7420" w:rsidP="00653524">
            <w:pPr>
              <w:spacing w:after="0" w:line="240" w:lineRule="auto"/>
              <w:ind w:left="0" w:right="0" w:firstLine="0"/>
              <w:jc w:val="left"/>
              <w:rPr>
                <w:color w:val="auto"/>
                <w:kern w:val="0"/>
                <w:lang w:val="en-US" w:eastAsia="en-US"/>
              </w:rPr>
            </w:pPr>
            <w:r w:rsidRPr="007E7420">
              <w:rPr>
                <w:color w:val="auto"/>
                <w:kern w:val="0"/>
                <w:lang w:val="en-US" w:eastAsia="en-US"/>
              </w:rPr>
              <w:t>Fragmentation and altered flow cues; habitat simplification; altered sediment regimes; local water-quality stress in impounded reaches</w:t>
            </w:r>
          </w:p>
        </w:tc>
        <w:tc>
          <w:tcPr>
            <w:tcW w:w="0" w:type="auto"/>
            <w:hideMark/>
          </w:tcPr>
          <w:p w:rsidR="007E7420" w:rsidRPr="007E7420" w:rsidRDefault="007E7420" w:rsidP="00653524">
            <w:pPr>
              <w:spacing w:after="0" w:line="240" w:lineRule="auto"/>
              <w:ind w:left="0" w:right="0" w:firstLine="0"/>
              <w:jc w:val="left"/>
              <w:rPr>
                <w:color w:val="auto"/>
                <w:kern w:val="0"/>
                <w:lang w:val="en-US" w:eastAsia="en-US"/>
              </w:rPr>
            </w:pPr>
            <w:r w:rsidRPr="007E7420">
              <w:rPr>
                <w:color w:val="auto"/>
                <w:kern w:val="0"/>
                <w:lang w:val="en-US" w:eastAsia="en-US"/>
              </w:rPr>
              <w:t>Pandey et al. (2023); Bunn &amp; Arthington (2002)</w:t>
            </w:r>
          </w:p>
        </w:tc>
      </w:tr>
    </w:tbl>
    <w:p w:rsidR="002331C1" w:rsidRDefault="002331C1" w:rsidP="00690AC7">
      <w:pPr>
        <w:pStyle w:val="Heading2"/>
      </w:pPr>
    </w:p>
    <w:p w:rsidR="000115D1" w:rsidRDefault="000115D1" w:rsidP="000115D1">
      <w:pPr>
        <w:pStyle w:val="Heading2"/>
      </w:pPr>
      <w:r>
        <w:lastRenderedPageBreak/>
        <w:t>5. Climate change stress pathways affecting native fishes</w:t>
      </w:r>
    </w:p>
    <w:p w:rsidR="000115D1" w:rsidRDefault="000115D1" w:rsidP="000115D1">
      <w:pPr>
        <w:pStyle w:val="Heading3"/>
      </w:pPr>
      <w:r>
        <w:t>5.1. Warming-driven metabolic demand and the riverine “oxygen squeeze”</w:t>
      </w:r>
    </w:p>
    <w:p w:rsidR="000115D1" w:rsidRDefault="000115D1" w:rsidP="000115D1">
      <w:pPr>
        <w:pStyle w:val="NormalWeb"/>
      </w:pPr>
      <w:r>
        <w:t>For native fishes of the Subarnarekha, rising water temperature is best understood not as a single stressor but as a driver that simultaneously accelerates biological rates and erodes physicochemical “breathing space” in the channel. As temperature increases, routine metabolic demand and the costs of activity, digestion, and reproduction typically rise, while dissolved oxygen (DO) solubility declines and oxygen dynamics become more volatile in shallow, slow-flowing reaches. This creates an “oxygen squeeze” in which the same fish must meet higher oxygen demand in water that can hold less oxygen, particularly during low-flow periods when reaeration is reduced and thermal stratification can develop locally in pools and impoundment-like reaches (</w:t>
      </w:r>
      <w:proofErr w:type="spellStart"/>
      <w:r>
        <w:t>Zhi</w:t>
      </w:r>
      <w:proofErr w:type="spellEnd"/>
      <w:r>
        <w:t xml:space="preserve"> et al., 2023). Recent river-scale reconstructions show that warming and deoxygenation can co-occur across broad river networks, with hypoxia risk peaking under combinations of heat, reduced flow, and elevated organic loads (</w:t>
      </w:r>
      <w:proofErr w:type="spellStart"/>
      <w:r>
        <w:t>Zhi</w:t>
      </w:r>
      <w:proofErr w:type="spellEnd"/>
      <w:r>
        <w:t xml:space="preserve"> et al., 2023). In parallel, global assessments indicate that climate change is expected to increase the frequency and intensity of low-oxygen episodes in rivers, with hypoxia becoming more likely under warming scenarios, especially where water quality pressures already depress DO (Graham et al., 2025). For Subarnarekha fishes, this pathway is ecologically important because it converts otherwise tolerable temperatures into performance bottlenecks: aerobic scope narrows, foraging becomes riskier, predator evasion may weaken, and recovery after disturbance slows, cumulatively reducing growth and condition and increasing susceptibility to disease and contaminants.</w:t>
      </w:r>
    </w:p>
    <w:p w:rsidR="000115D1" w:rsidRDefault="000115D1" w:rsidP="000115D1">
      <w:pPr>
        <w:pStyle w:val="Heading3"/>
      </w:pPr>
      <w:r>
        <w:t>5.2. Flow and thermal regime shifts that restructure habitat opportunity and constraint</w:t>
      </w:r>
    </w:p>
    <w:p w:rsidR="000115D1" w:rsidRDefault="000115D1" w:rsidP="000115D1">
      <w:pPr>
        <w:pStyle w:val="NormalWeb"/>
      </w:pPr>
      <w:r>
        <w:t>Climate change also acts through hydroclimatic pathways that restructure the spatial and temporal distribution of habitats essential to fish persistence, including spawning substrates, nursery margins, and dry-season refugia. In monsoon-influenced basins such as the Subarnarekha, fish life histories are often tuned to seasonal flow pulses that synchronize reproduction, dispersal, and recruitment; changes in the timing, duration, or predictability of these pulses can therefore decouple environmental cues from biological schedules. Increased variability in discharge can intensify bed disturbance during high flows and compress refuge availability during extended low flows, producing recruitment “pinch points” even when adult survival remains high. Importantly, DO stress can be amplified by hydrologic extremes: drought-like conditions reduce reaeration and concentrate organic matter, while floods can import high loads of oxygen-demanding material and turbidity that suppress photosynthesis, increasing short-lived hypoxia episodes (</w:t>
      </w:r>
      <w:proofErr w:type="spellStart"/>
      <w:r>
        <w:t>Zhi</w:t>
      </w:r>
      <w:proofErr w:type="spellEnd"/>
      <w:r>
        <w:t xml:space="preserve"> et al., 2023; Graham et al., 2025). Conceptually, these processes are consistent with multi-level frameworks that emphasize how warming and hydrologic change cascade from individuals to populations and communities, especially when other stressors reduce resilience (Woodward et al., 2010). In Subarnarekha reaches already experiencing seasonal habitat contraction, climate-driven shifts in the “hydraulic calendar” can thus transform the dry season from a survivable bottleneck into a recurrent mortality filter, disproportionately affecting small-bodied natives and early life stages.</w:t>
      </w:r>
    </w:p>
    <w:p w:rsidR="000115D1" w:rsidRDefault="000115D1" w:rsidP="000115D1">
      <w:pPr>
        <w:pStyle w:val="Heading3"/>
      </w:pPr>
      <w:r>
        <w:t>5.3. Thermal extremes and acute demographic shocks</w:t>
      </w:r>
    </w:p>
    <w:p w:rsidR="000115D1" w:rsidRDefault="000115D1" w:rsidP="000115D1">
      <w:pPr>
        <w:pStyle w:val="NormalWeb"/>
      </w:pPr>
      <w:r>
        <w:lastRenderedPageBreak/>
        <w:t>Beyond gradual warming, episodic thermal extremes can trigger abrupt demographic shocks, including fish kills and cohort failures, with consequences that can persist for years. Evidence from north-temperate lakes shows that fish die-offs are strongly associated with thermal extremes, and that the probability of such catastrophic events is projected to rise under continued warming (Till et al., 2019). While these analyses are lake-focused, the underlying mechanism—exceedance of physiological and oxygen constraints under extreme heat—translates directly to river pools, marginal wetlands, and low-velocity reaches where fish aggregate during low flows. The implication for the Subarnarekha is that heatwaves can convert already-stressed dry-season refugia into lethal environments, particularly where warming coincides with high biochemical oxygen demand. At the organismal scale, experimental work demonstrates that responses to heatwaves can be complex and species-specific: some fish can display short-term resilience, yet sustained or repeated exposures still elevate risk through cumulative metabolic strain and oxygen limitation, especially when background conditions remain warm (Dai et al., 2022). These findings support a practical vulnerability framing for Subarnarekha natives: climate change increases not only mean stress but also the likelihood of threshold-crossing events that reset population trajectories, with the greatest impacts expected where refuge habitats are shallow, poorly connected, and water-quality impaired (Graham et al., 2025; Till et al., 2019).</w:t>
      </w:r>
    </w:p>
    <w:p w:rsidR="000115D1" w:rsidRDefault="000115D1" w:rsidP="000115D1">
      <w:pPr>
        <w:pStyle w:val="Heading3"/>
      </w:pPr>
      <w:r>
        <w:t>5.4. Biogeographic redistribution, functional vulnerability, and phenological mismatch</w:t>
      </w:r>
    </w:p>
    <w:p w:rsidR="000115D1" w:rsidRDefault="000115D1" w:rsidP="000115D1">
      <w:pPr>
        <w:pStyle w:val="NormalWeb"/>
      </w:pPr>
      <w:r>
        <w:t xml:space="preserve">As thermal and flow regimes shift, fish distributions are expected to reorganize along river networks, with warm-water taxa expanding and cool- or flow-sensitive taxa contracting, provided dispersal pathways and suitable habitats remain available. A synthesis of observed and predicted changes in freshwater fish distributions emphasizes that climate signals are already detectable in range dynamics and that projected shifts are likely to be uneven across regions and taxa, with strong implications for community turnover and local extirpation risk (Comte et al., 2013). At a global scale, recent functional-trait analyses suggest that climate change threatens not only species richness but also functional diversity, implying potential loss of ecological roles such as benthic grazing, </w:t>
      </w:r>
      <w:proofErr w:type="spellStart"/>
      <w:r>
        <w:t>detritivory</w:t>
      </w:r>
      <w:proofErr w:type="spellEnd"/>
      <w:r>
        <w:t xml:space="preserve">, and specialized </w:t>
      </w:r>
      <w:proofErr w:type="spellStart"/>
      <w:r>
        <w:t>insectivory</w:t>
      </w:r>
      <w:proofErr w:type="spellEnd"/>
      <w:r>
        <w:t xml:space="preserve"> that underpin riverine food webs (Scherer et al., 2023). These patterns matter for the Subarnarekha because many native fishes contribute distinct functions tied to habitat mosaics across riffles, runs, floodplain margins, and estuarine transition zones. Climate-driven shifts can also create “phenological friction,” where temperature alters the timing of plankton dynamics, prey availability, or migration windows faster than fish life cycles can adjust. Work on estuarine pelagic food webs illustrates how altered timing can propagate through trophic interactions and reduce match quality between consumers and resources (</w:t>
      </w:r>
      <w:proofErr w:type="spellStart"/>
      <w:r>
        <w:t>Chevillot</w:t>
      </w:r>
      <w:proofErr w:type="spellEnd"/>
      <w:r>
        <w:t xml:space="preserve"> et al., 2017). In the Subarnarekha’s lower reaches—where river–estuary coupling supports fisheries and native biodiversity—this pathway highlights that climate change can degrade recruitment even without obvious adult mortality, by eroding seasonal synchrony between larvae/juveniles and prey fields.</w:t>
      </w:r>
    </w:p>
    <w:p w:rsidR="000115D1" w:rsidRDefault="000115D1" w:rsidP="000115D1">
      <w:pPr>
        <w:pStyle w:val="Heading3"/>
      </w:pPr>
      <w:r>
        <w:t>5.5. Dispersal constraints under climate change: connectivity as a gating factor</w:t>
      </w:r>
    </w:p>
    <w:p w:rsidR="000115D1" w:rsidRDefault="000115D1" w:rsidP="000115D1">
      <w:pPr>
        <w:pStyle w:val="NormalWeb"/>
      </w:pPr>
      <w:r>
        <w:t xml:space="preserve">Even when climate trends make new habitats suitable, fishes can benefit only if they can reach them. In fragmented basins, climate adaptation via range shifts is therefore “gated” by connectivity. A global analysis of large dams demonstrates that current and future dam infrastructure can substantially reduce geographic range connectivity for freshwater fishes, </w:t>
      </w:r>
      <w:r>
        <w:lastRenderedPageBreak/>
        <w:t>restricting movement pathways that would otherwise allow tracking of shifting climates and refugia (Barbarossa et al., 2020). This constraint is central to climate vulnerability in the Subarnarekha because longitudinal barriers and regulated segments can trap populations in warming reaches, forcing them to endure deteriorating thermal and oxygen conditions rather than redistribute. Broader global assessments similarly indicate that warming threatens freshwater fish assemblages worldwide, with risk amplified where dispersal is blocked and where local stressors reduce the margin for physiological compensation (Barbarossa et al., 2021). From a management standpoint, this pathway implies that “climate adaptation” for Subarnarekha fishes is inseparable from river-network function: thermal refuges, tributary sanctuaries, and estuarine transition habitats must remain accessible, or climate change becomes a local extinction accelerator rather than a driver of redistribution (Woodward et al., 2010; Barbarossa et al., 2020).</w:t>
      </w:r>
      <w:r w:rsidR="00653524">
        <w:t xml:space="preserve"> Table 3 presents a summary of Climate change stress pathways affecting freshwater fishes.</w:t>
      </w:r>
    </w:p>
    <w:p w:rsidR="000115D1" w:rsidRPr="00653524" w:rsidRDefault="00653524" w:rsidP="00653524">
      <w:pPr>
        <w:rPr>
          <w:b/>
        </w:rPr>
      </w:pPr>
      <w:r w:rsidRPr="00653524">
        <w:rPr>
          <w:b/>
        </w:rPr>
        <w:t xml:space="preserve">Table 3: Climate change stress pathways affecting freshwater fishes </w:t>
      </w:r>
    </w:p>
    <w:tbl>
      <w:tblPr>
        <w:tblStyle w:val="TableGrid"/>
        <w:tblW w:w="0" w:type="auto"/>
        <w:tblLook w:val="04A0" w:firstRow="1" w:lastRow="0" w:firstColumn="1" w:lastColumn="0" w:noHBand="0" w:noVBand="1"/>
      </w:tblPr>
      <w:tblGrid>
        <w:gridCol w:w="1950"/>
        <w:gridCol w:w="3137"/>
        <w:gridCol w:w="2490"/>
        <w:gridCol w:w="1665"/>
      </w:tblGrid>
      <w:tr w:rsidR="000115D1" w:rsidTr="00653524">
        <w:tc>
          <w:tcPr>
            <w:tcW w:w="0" w:type="auto"/>
            <w:hideMark/>
          </w:tcPr>
          <w:p w:rsidR="000115D1" w:rsidRDefault="000115D1" w:rsidP="00653524">
            <w:pPr>
              <w:spacing w:after="0" w:line="240" w:lineRule="auto"/>
              <w:ind w:left="11" w:right="57" w:hanging="11"/>
              <w:jc w:val="center"/>
              <w:rPr>
                <w:b/>
                <w:bCs/>
              </w:rPr>
            </w:pPr>
            <w:r>
              <w:rPr>
                <w:b/>
                <w:bCs/>
              </w:rPr>
              <w:t>Climate pathway</w:t>
            </w:r>
          </w:p>
        </w:tc>
        <w:tc>
          <w:tcPr>
            <w:tcW w:w="0" w:type="auto"/>
            <w:hideMark/>
          </w:tcPr>
          <w:p w:rsidR="000115D1" w:rsidRDefault="000115D1" w:rsidP="00653524">
            <w:pPr>
              <w:spacing w:after="0" w:line="240" w:lineRule="auto"/>
              <w:ind w:left="11" w:right="57" w:hanging="11"/>
              <w:jc w:val="center"/>
              <w:rPr>
                <w:b/>
                <w:bCs/>
              </w:rPr>
            </w:pPr>
            <w:r>
              <w:rPr>
                <w:b/>
                <w:bCs/>
              </w:rPr>
              <w:t>Mechanistic link most relevant to Subarnarekha fishes</w:t>
            </w:r>
          </w:p>
        </w:tc>
        <w:tc>
          <w:tcPr>
            <w:tcW w:w="0" w:type="auto"/>
            <w:hideMark/>
          </w:tcPr>
          <w:p w:rsidR="000115D1" w:rsidRDefault="000115D1" w:rsidP="00653524">
            <w:pPr>
              <w:spacing w:after="0" w:line="240" w:lineRule="auto"/>
              <w:ind w:left="11" w:right="57" w:hanging="11"/>
              <w:jc w:val="center"/>
              <w:rPr>
                <w:b/>
                <w:bCs/>
              </w:rPr>
            </w:pPr>
            <w:r>
              <w:rPr>
                <w:b/>
                <w:bCs/>
              </w:rPr>
              <w:t>Likely biological signal in native fishes</w:t>
            </w:r>
          </w:p>
        </w:tc>
        <w:tc>
          <w:tcPr>
            <w:tcW w:w="0" w:type="auto"/>
            <w:hideMark/>
          </w:tcPr>
          <w:p w:rsidR="000115D1" w:rsidRDefault="00653524" w:rsidP="00653524">
            <w:pPr>
              <w:spacing w:after="0" w:line="240" w:lineRule="auto"/>
              <w:ind w:left="11" w:right="57" w:hanging="11"/>
              <w:jc w:val="center"/>
              <w:rPr>
                <w:b/>
                <w:bCs/>
              </w:rPr>
            </w:pPr>
            <w:r>
              <w:rPr>
                <w:b/>
                <w:bCs/>
              </w:rPr>
              <w:t>R</w:t>
            </w:r>
            <w:r w:rsidR="000115D1">
              <w:rPr>
                <w:b/>
                <w:bCs/>
              </w:rPr>
              <w:t>eferences</w:t>
            </w:r>
          </w:p>
        </w:tc>
      </w:tr>
      <w:tr w:rsidR="000115D1" w:rsidTr="00653524">
        <w:tc>
          <w:tcPr>
            <w:tcW w:w="0" w:type="auto"/>
            <w:hideMark/>
          </w:tcPr>
          <w:p w:rsidR="000115D1" w:rsidRDefault="000115D1" w:rsidP="00653524">
            <w:pPr>
              <w:spacing w:after="0" w:line="240" w:lineRule="auto"/>
              <w:ind w:left="11" w:right="57" w:hanging="11"/>
            </w:pPr>
            <w:r>
              <w:t>Warming + deoxygenation (“oxygen squeeze”)</w:t>
            </w:r>
          </w:p>
        </w:tc>
        <w:tc>
          <w:tcPr>
            <w:tcW w:w="0" w:type="auto"/>
            <w:hideMark/>
          </w:tcPr>
          <w:p w:rsidR="000115D1" w:rsidRDefault="000115D1" w:rsidP="00653524">
            <w:pPr>
              <w:spacing w:after="0" w:line="240" w:lineRule="auto"/>
              <w:ind w:left="11" w:right="57" w:hanging="11"/>
            </w:pPr>
            <w:r>
              <w:t>Higher metabolic demand with lower DO solubility; intensified DO volatility in warm, low-flow reaches</w:t>
            </w:r>
          </w:p>
        </w:tc>
        <w:tc>
          <w:tcPr>
            <w:tcW w:w="0" w:type="auto"/>
            <w:hideMark/>
          </w:tcPr>
          <w:p w:rsidR="000115D1" w:rsidRDefault="000115D1" w:rsidP="00653524">
            <w:pPr>
              <w:spacing w:after="0" w:line="240" w:lineRule="auto"/>
              <w:ind w:left="11" w:right="57" w:hanging="11"/>
            </w:pPr>
            <w:r>
              <w:t>Reduced growth/condition, higher stress sensitivity, elevated mortality during low flows</w:t>
            </w:r>
          </w:p>
        </w:tc>
        <w:tc>
          <w:tcPr>
            <w:tcW w:w="0" w:type="auto"/>
            <w:hideMark/>
          </w:tcPr>
          <w:p w:rsidR="000115D1" w:rsidRDefault="000115D1" w:rsidP="00653524">
            <w:pPr>
              <w:spacing w:after="0" w:line="240" w:lineRule="auto"/>
              <w:ind w:left="11" w:right="57" w:hanging="11"/>
            </w:pPr>
            <w:proofErr w:type="spellStart"/>
            <w:r>
              <w:t>Zhi</w:t>
            </w:r>
            <w:proofErr w:type="spellEnd"/>
            <w:r>
              <w:t xml:space="preserve"> et al. (2023); Graham et al. (2025)</w:t>
            </w:r>
          </w:p>
        </w:tc>
      </w:tr>
      <w:tr w:rsidR="000115D1" w:rsidTr="00653524">
        <w:tc>
          <w:tcPr>
            <w:tcW w:w="0" w:type="auto"/>
            <w:hideMark/>
          </w:tcPr>
          <w:p w:rsidR="000115D1" w:rsidRDefault="000115D1" w:rsidP="00653524">
            <w:pPr>
              <w:spacing w:after="0" w:line="240" w:lineRule="auto"/>
              <w:ind w:left="11" w:right="57" w:hanging="11"/>
            </w:pPr>
            <w:r>
              <w:t>Hydroclimatic extremes altering habitat availability</w:t>
            </w:r>
          </w:p>
        </w:tc>
        <w:tc>
          <w:tcPr>
            <w:tcW w:w="0" w:type="auto"/>
            <w:hideMark/>
          </w:tcPr>
          <w:p w:rsidR="000115D1" w:rsidRDefault="000115D1" w:rsidP="00653524">
            <w:pPr>
              <w:spacing w:after="0" w:line="240" w:lineRule="auto"/>
              <w:ind w:left="11" w:right="57" w:hanging="11"/>
            </w:pPr>
            <w:r>
              <w:t>Longer/stronger low-flow bottlenecks; high-flow disturbance; DO stress during droughts and floods</w:t>
            </w:r>
          </w:p>
        </w:tc>
        <w:tc>
          <w:tcPr>
            <w:tcW w:w="0" w:type="auto"/>
            <w:hideMark/>
          </w:tcPr>
          <w:p w:rsidR="000115D1" w:rsidRDefault="000115D1" w:rsidP="00653524">
            <w:pPr>
              <w:spacing w:after="0" w:line="240" w:lineRule="auto"/>
              <w:ind w:left="11" w:right="57" w:hanging="11"/>
            </w:pPr>
            <w:r>
              <w:t>Recruitment failure years; shifts toward tolerant, opportunistic taxa</w:t>
            </w:r>
          </w:p>
        </w:tc>
        <w:tc>
          <w:tcPr>
            <w:tcW w:w="0" w:type="auto"/>
            <w:hideMark/>
          </w:tcPr>
          <w:p w:rsidR="000115D1" w:rsidRDefault="000115D1" w:rsidP="00653524">
            <w:pPr>
              <w:spacing w:after="0" w:line="240" w:lineRule="auto"/>
              <w:ind w:left="11" w:right="57" w:hanging="11"/>
            </w:pPr>
            <w:r>
              <w:t xml:space="preserve">Woodward et al. (2010); </w:t>
            </w:r>
            <w:proofErr w:type="spellStart"/>
            <w:r>
              <w:t>Zhi</w:t>
            </w:r>
            <w:proofErr w:type="spellEnd"/>
            <w:r>
              <w:t xml:space="preserve"> et al. (2023)</w:t>
            </w:r>
          </w:p>
        </w:tc>
      </w:tr>
      <w:tr w:rsidR="000115D1" w:rsidTr="00653524">
        <w:tc>
          <w:tcPr>
            <w:tcW w:w="0" w:type="auto"/>
            <w:hideMark/>
          </w:tcPr>
          <w:p w:rsidR="000115D1" w:rsidRDefault="000115D1" w:rsidP="00653524">
            <w:pPr>
              <w:spacing w:after="0" w:line="240" w:lineRule="auto"/>
              <w:ind w:left="11" w:right="57" w:hanging="11"/>
            </w:pPr>
            <w:r>
              <w:t>Heatwaves causing acute demographic shocks</w:t>
            </w:r>
          </w:p>
        </w:tc>
        <w:tc>
          <w:tcPr>
            <w:tcW w:w="0" w:type="auto"/>
            <w:hideMark/>
          </w:tcPr>
          <w:p w:rsidR="000115D1" w:rsidRDefault="000115D1" w:rsidP="00653524">
            <w:pPr>
              <w:spacing w:after="0" w:line="240" w:lineRule="auto"/>
              <w:ind w:left="11" w:right="57" w:hanging="11"/>
            </w:pPr>
            <w:r>
              <w:t>Threshold exceedance in temperature + oxygen; refuge habitats become lethal</w:t>
            </w:r>
          </w:p>
        </w:tc>
        <w:tc>
          <w:tcPr>
            <w:tcW w:w="0" w:type="auto"/>
            <w:hideMark/>
          </w:tcPr>
          <w:p w:rsidR="000115D1" w:rsidRDefault="000115D1" w:rsidP="00653524">
            <w:pPr>
              <w:spacing w:after="0" w:line="240" w:lineRule="auto"/>
              <w:ind w:left="11" w:right="57" w:hanging="11"/>
            </w:pPr>
            <w:r>
              <w:t>Fish kills; abrupt population declines; missing cohorts</w:t>
            </w:r>
          </w:p>
        </w:tc>
        <w:tc>
          <w:tcPr>
            <w:tcW w:w="0" w:type="auto"/>
            <w:hideMark/>
          </w:tcPr>
          <w:p w:rsidR="000115D1" w:rsidRDefault="000115D1" w:rsidP="00653524">
            <w:pPr>
              <w:spacing w:after="0" w:line="240" w:lineRule="auto"/>
              <w:ind w:left="11" w:right="57" w:hanging="11"/>
            </w:pPr>
            <w:r>
              <w:t>Till et al. (2019); Dai et al. (2022)</w:t>
            </w:r>
          </w:p>
        </w:tc>
      </w:tr>
      <w:tr w:rsidR="000115D1" w:rsidTr="00653524">
        <w:tc>
          <w:tcPr>
            <w:tcW w:w="0" w:type="auto"/>
            <w:hideMark/>
          </w:tcPr>
          <w:p w:rsidR="000115D1" w:rsidRDefault="000115D1" w:rsidP="00653524">
            <w:pPr>
              <w:spacing w:after="0" w:line="240" w:lineRule="auto"/>
              <w:ind w:left="11" w:right="57" w:hanging="11"/>
            </w:pPr>
            <w:r>
              <w:t>Redistribution + functional erosion</w:t>
            </w:r>
          </w:p>
        </w:tc>
        <w:tc>
          <w:tcPr>
            <w:tcW w:w="0" w:type="auto"/>
            <w:hideMark/>
          </w:tcPr>
          <w:p w:rsidR="000115D1" w:rsidRDefault="000115D1" w:rsidP="00653524">
            <w:pPr>
              <w:spacing w:after="0" w:line="240" w:lineRule="auto"/>
              <w:ind w:left="11" w:right="57" w:hanging="11"/>
            </w:pPr>
            <w:r>
              <w:t>Range shifts and local extirpations; loss of functionally distinct natives</w:t>
            </w:r>
          </w:p>
        </w:tc>
        <w:tc>
          <w:tcPr>
            <w:tcW w:w="0" w:type="auto"/>
            <w:hideMark/>
          </w:tcPr>
          <w:p w:rsidR="000115D1" w:rsidRDefault="000115D1" w:rsidP="00653524">
            <w:pPr>
              <w:spacing w:after="0" w:line="240" w:lineRule="auto"/>
              <w:ind w:left="11" w:right="57" w:hanging="11"/>
            </w:pPr>
            <w:r>
              <w:t>Community turnover; loss of specialized ecological roles</w:t>
            </w:r>
          </w:p>
        </w:tc>
        <w:tc>
          <w:tcPr>
            <w:tcW w:w="0" w:type="auto"/>
            <w:hideMark/>
          </w:tcPr>
          <w:p w:rsidR="000115D1" w:rsidRDefault="000115D1" w:rsidP="00653524">
            <w:pPr>
              <w:spacing w:after="0" w:line="240" w:lineRule="auto"/>
              <w:ind w:left="11" w:right="57" w:hanging="11"/>
            </w:pPr>
            <w:r>
              <w:t>Comte et al. (2013); Scherer et al. (2023)</w:t>
            </w:r>
          </w:p>
        </w:tc>
      </w:tr>
      <w:tr w:rsidR="000115D1" w:rsidTr="00653524">
        <w:tc>
          <w:tcPr>
            <w:tcW w:w="0" w:type="auto"/>
            <w:hideMark/>
          </w:tcPr>
          <w:p w:rsidR="000115D1" w:rsidRDefault="000115D1" w:rsidP="00653524">
            <w:pPr>
              <w:spacing w:after="0" w:line="240" w:lineRule="auto"/>
              <w:ind w:left="11" w:right="57" w:hanging="11"/>
            </w:pPr>
            <w:r>
              <w:t>Phenological mismatch in lower river/estuary</w:t>
            </w:r>
          </w:p>
        </w:tc>
        <w:tc>
          <w:tcPr>
            <w:tcW w:w="0" w:type="auto"/>
            <w:hideMark/>
          </w:tcPr>
          <w:p w:rsidR="000115D1" w:rsidRDefault="000115D1" w:rsidP="00653524">
            <w:pPr>
              <w:spacing w:after="0" w:line="240" w:lineRule="auto"/>
              <w:ind w:left="11" w:right="57" w:hanging="11"/>
            </w:pPr>
            <w:r>
              <w:t>Altered timing of prey fields and trophic interactions</w:t>
            </w:r>
          </w:p>
        </w:tc>
        <w:tc>
          <w:tcPr>
            <w:tcW w:w="0" w:type="auto"/>
            <w:hideMark/>
          </w:tcPr>
          <w:p w:rsidR="000115D1" w:rsidRDefault="000115D1" w:rsidP="00653524">
            <w:pPr>
              <w:spacing w:after="0" w:line="240" w:lineRule="auto"/>
              <w:ind w:left="11" w:right="57" w:hanging="11"/>
            </w:pPr>
            <w:r>
              <w:t>Lower larval/juvenile survival even without adult mortality</w:t>
            </w:r>
          </w:p>
        </w:tc>
        <w:tc>
          <w:tcPr>
            <w:tcW w:w="0" w:type="auto"/>
            <w:hideMark/>
          </w:tcPr>
          <w:p w:rsidR="000115D1" w:rsidRDefault="000115D1" w:rsidP="00653524">
            <w:pPr>
              <w:spacing w:after="0" w:line="240" w:lineRule="auto"/>
              <w:ind w:left="11" w:right="57" w:hanging="11"/>
            </w:pPr>
            <w:proofErr w:type="spellStart"/>
            <w:r>
              <w:t>Chevillot</w:t>
            </w:r>
            <w:proofErr w:type="spellEnd"/>
            <w:r>
              <w:t xml:space="preserve"> et al. (2017)</w:t>
            </w:r>
          </w:p>
        </w:tc>
      </w:tr>
      <w:tr w:rsidR="000115D1" w:rsidTr="00653524">
        <w:tc>
          <w:tcPr>
            <w:tcW w:w="0" w:type="auto"/>
            <w:hideMark/>
          </w:tcPr>
          <w:p w:rsidR="000115D1" w:rsidRDefault="000115D1" w:rsidP="00653524">
            <w:pPr>
              <w:spacing w:after="0" w:line="240" w:lineRule="auto"/>
              <w:ind w:left="11" w:right="57" w:hanging="11"/>
            </w:pPr>
            <w:r>
              <w:t>Connectivity limits climate tracking</w:t>
            </w:r>
          </w:p>
        </w:tc>
        <w:tc>
          <w:tcPr>
            <w:tcW w:w="0" w:type="auto"/>
            <w:hideMark/>
          </w:tcPr>
          <w:p w:rsidR="000115D1" w:rsidRDefault="000115D1" w:rsidP="00653524">
            <w:pPr>
              <w:spacing w:after="0" w:line="240" w:lineRule="auto"/>
              <w:ind w:left="11" w:right="57" w:hanging="11"/>
            </w:pPr>
            <w:r>
              <w:t>Barriers prevent movement to refugia/thermally suitable reaches</w:t>
            </w:r>
          </w:p>
        </w:tc>
        <w:tc>
          <w:tcPr>
            <w:tcW w:w="0" w:type="auto"/>
            <w:hideMark/>
          </w:tcPr>
          <w:p w:rsidR="000115D1" w:rsidRDefault="000115D1" w:rsidP="00653524">
            <w:pPr>
              <w:spacing w:after="0" w:line="240" w:lineRule="auto"/>
              <w:ind w:left="11" w:right="57" w:hanging="11"/>
            </w:pPr>
            <w:r>
              <w:t>Increased local extinction risk; isolation of subpopulations</w:t>
            </w:r>
          </w:p>
        </w:tc>
        <w:tc>
          <w:tcPr>
            <w:tcW w:w="0" w:type="auto"/>
            <w:hideMark/>
          </w:tcPr>
          <w:p w:rsidR="000115D1" w:rsidRDefault="000115D1" w:rsidP="00653524">
            <w:pPr>
              <w:spacing w:after="0" w:line="240" w:lineRule="auto"/>
              <w:ind w:left="11" w:right="57" w:hanging="11"/>
            </w:pPr>
            <w:r>
              <w:t>Barbarossa et al. (2020); Barbarossa et al. (2021)</w:t>
            </w:r>
          </w:p>
        </w:tc>
      </w:tr>
      <w:tr w:rsidR="000115D1" w:rsidTr="00653524">
        <w:tc>
          <w:tcPr>
            <w:tcW w:w="0" w:type="auto"/>
            <w:hideMark/>
          </w:tcPr>
          <w:p w:rsidR="000115D1" w:rsidRDefault="000115D1" w:rsidP="00653524">
            <w:pPr>
              <w:spacing w:after="0" w:line="240" w:lineRule="auto"/>
              <w:ind w:left="11" w:right="57" w:hanging="11"/>
            </w:pPr>
            <w:r>
              <w:t>Climate × land-use interaction as vulnerability amplifier</w:t>
            </w:r>
          </w:p>
        </w:tc>
        <w:tc>
          <w:tcPr>
            <w:tcW w:w="0" w:type="auto"/>
            <w:hideMark/>
          </w:tcPr>
          <w:p w:rsidR="000115D1" w:rsidRDefault="000115D1" w:rsidP="00653524">
            <w:pPr>
              <w:spacing w:after="0" w:line="240" w:lineRule="auto"/>
              <w:ind w:left="11" w:right="57" w:hanging="11"/>
            </w:pPr>
            <w:r>
              <w:t>Warming intensifies impacts of poor shading/nutrients/runoff</w:t>
            </w:r>
          </w:p>
        </w:tc>
        <w:tc>
          <w:tcPr>
            <w:tcW w:w="0" w:type="auto"/>
            <w:hideMark/>
          </w:tcPr>
          <w:p w:rsidR="000115D1" w:rsidRDefault="000115D1" w:rsidP="00653524">
            <w:pPr>
              <w:spacing w:after="0" w:line="240" w:lineRule="auto"/>
              <w:ind w:left="11" w:right="57" w:hanging="11"/>
            </w:pPr>
            <w:r>
              <w:t>Stronger responses than climate alone; lower resilience</w:t>
            </w:r>
          </w:p>
        </w:tc>
        <w:tc>
          <w:tcPr>
            <w:tcW w:w="0" w:type="auto"/>
            <w:hideMark/>
          </w:tcPr>
          <w:p w:rsidR="000115D1" w:rsidRDefault="000115D1" w:rsidP="00653524">
            <w:pPr>
              <w:spacing w:after="0" w:line="240" w:lineRule="auto"/>
              <w:ind w:left="11" w:right="57" w:hanging="11"/>
            </w:pPr>
            <w:proofErr w:type="spellStart"/>
            <w:r>
              <w:t>Mantyka</w:t>
            </w:r>
            <w:proofErr w:type="spellEnd"/>
            <w:r>
              <w:t>-Pringle et al. (2014); Graham et al. (2025)</w:t>
            </w:r>
          </w:p>
        </w:tc>
      </w:tr>
    </w:tbl>
    <w:p w:rsidR="000115D1" w:rsidRDefault="000115D1" w:rsidP="000115D1"/>
    <w:p w:rsidR="0069332F" w:rsidRDefault="0069332F" w:rsidP="0069332F">
      <w:pPr>
        <w:pStyle w:val="Heading2"/>
      </w:pPr>
      <w:r>
        <w:t>6. Synergistic effects of climate and anthropogenic stressors on fishes</w:t>
      </w:r>
    </w:p>
    <w:p w:rsidR="0069332F" w:rsidRDefault="0069332F" w:rsidP="0069332F">
      <w:pPr>
        <w:pStyle w:val="Heading3"/>
      </w:pPr>
      <w:r>
        <w:lastRenderedPageBreak/>
        <w:t>6.1. Why “synergy” is a central risk concept for riverine fishes</w:t>
      </w:r>
    </w:p>
    <w:p w:rsidR="0069332F" w:rsidRDefault="0069332F" w:rsidP="0069332F">
      <w:pPr>
        <w:pStyle w:val="NormalWeb"/>
      </w:pPr>
      <w:r>
        <w:t>In river ecosystems, fishes rarely experience climate change stressors (warming, altered rainfall, more frequent low-flow periods, and extreme events) in isolation; instead, these pressures are layered onto existing anthropogenic disturbances such as metal contamination, nutrient enrichment, habitat simplification, and connectivity loss. The practical consequence is that risk is often governed less by any single driver than by how drivers interact. In freshwater ecology, interaction outcomes are commonly framed as additive (the combined effect equals the sum of individual effects), antagonistic (one stressor dampens the other), or synergistic (the combined effect exceeds additivity). Meta-analytic work has shown that paired stressors in freshwater systems frequently deviate from simple additivity, meaning management approaches that treat stressors independently can systematically under- or over-estimate biological impact (Jackson et al., 2016). This matters for fishes because their population persistence depends on the alignment of multiple life-history processes—growth, reproduction, dispersal, and recruitment—that can be disrupted at different points by different stressors, with interaction effects accumulating across seasons and generations (Ormerod et al., 2010).</w:t>
      </w:r>
    </w:p>
    <w:p w:rsidR="0069332F" w:rsidRDefault="0069332F" w:rsidP="0069332F">
      <w:pPr>
        <w:pStyle w:val="NormalWeb"/>
      </w:pPr>
      <w:r>
        <w:t>A particularly important interaction pattern in rivers is “masking,” where strong local stressors can obscure or overwhelm the detectable signal of warming at the community level. This does not imply warming is benign; rather, it suggests that systems already pushed toward physiological and ecological limits may show little incremental change until thresholds are crossed, after which responses can be abrupt (Morris et al., 2022). For native fishes in heavily used basins, this threshold behavior is highly relevant because incremental climatic warming can transform existing, chronic anthropogenic pressures into acute mortality or recruitment failure events when combined with low flow, low dissolved oxygen, and pollutant pulses.</w:t>
      </w:r>
    </w:p>
    <w:p w:rsidR="0069332F" w:rsidRDefault="0069332F" w:rsidP="0069332F">
      <w:pPr>
        <w:pStyle w:val="Heading3"/>
      </w:pPr>
      <w:r>
        <w:t>6.2. Physiological co-limitation pathways: warming, deoxygenation, and contaminant toxicity</w:t>
      </w:r>
    </w:p>
    <w:p w:rsidR="0069332F" w:rsidRDefault="0069332F" w:rsidP="0069332F">
      <w:pPr>
        <w:pStyle w:val="NormalWeb"/>
      </w:pPr>
      <w:r>
        <w:t>Synergistic impacts often arise because different stressors converge on the same physiological “bottlenecks.” Warming raises metabolic oxygen demand while simultaneously decreasing oxygen solubility in water; when paired with organic pollution, eutrophication, or stratification in impounded reaches, this can intensify hypoxia exposure. Recent large-scale evidence shows that river warming is commonly accompanied by declining dissolved oxygen, reinforcing the idea that thermal stress and oxygen stress should be treated as coupled hazards rather than separate ones (</w:t>
      </w:r>
      <w:proofErr w:type="spellStart"/>
      <w:r>
        <w:t>Zhi</w:t>
      </w:r>
      <w:proofErr w:type="spellEnd"/>
      <w:r>
        <w:t xml:space="preserve"> et al., 2023). For fishes, these conditions compress aerobic scope, forcing trade-offs that reduce growth, impair immune function, and increase susceptibility to disease and parasitism—effects that can magnify the damage caused by pollutants.</w:t>
      </w:r>
    </w:p>
    <w:p w:rsidR="0069332F" w:rsidRDefault="0069332F" w:rsidP="0069332F">
      <w:pPr>
        <w:pStyle w:val="NormalWeb"/>
      </w:pPr>
      <w:r>
        <w:t xml:space="preserve">Metal contamination is especially prone to synergy with climatic stress because metals can disrupt gill function, ion regulation, endocrine pathways, and oxidative balance—core systems already strained under elevated temperature and reduced oxygen availability (Shahjahan et al., 2022). A broad toxicological synthesis has emphasized that climate-driven changes in temperature and hydrology can modify contaminant fate, exposure, and toxicity, thereby changing not only how much pollutant reaches organisms but also how organisms respond at a given dose (Noyes et al., 2009). In combination, warming and metals can therefore interact through multiple routes: higher metabolic rates can increase uptake and </w:t>
      </w:r>
      <w:r>
        <w:lastRenderedPageBreak/>
        <w:t>biotransformation demands; hypoxia can reduce detoxification capacity; and oxidative stress burdens can compound when both thermal stress and metal exposure generate reactive oxygen species. For native fishes, these co-limitation pathways are critical because they translate basin-scale climate trends into individual-level impairment that can cascade into lowered recruitment and altered competitive balance among species.</w:t>
      </w:r>
    </w:p>
    <w:p w:rsidR="0069332F" w:rsidRDefault="0069332F" w:rsidP="0069332F">
      <w:pPr>
        <w:pStyle w:val="Heading3"/>
      </w:pPr>
      <w:r>
        <w:t>6.3. Hydroclimatic extremes meet legacy pollution: concentration and pulse dynamics in the Subarnarekha context</w:t>
      </w:r>
    </w:p>
    <w:p w:rsidR="0069332F" w:rsidRDefault="0069332F" w:rsidP="0069332F">
      <w:pPr>
        <w:pStyle w:val="NormalWeb"/>
      </w:pPr>
      <w:r>
        <w:t>In monsoon-influenced rivers such as the Subarnarekha, climate change influences not only average conditions but also the timing and intensity of extremes. Synergies emerge because hydrologic extremes reshape exposure regimes. During prolonged low-flow or drought-like periods, reduced dilution and longer residence times can increase concentrations of dissolved contaminants, while elevated water temperatures intensify physiological sensitivity. In the Subarnarekha, dissolved metal concentrations have been reported to show strong seasonal structure, with pre-monsoon conditions often exhibiting higher levels than monsoon periods—consistent with dilution effects and altered source contributions across seasons (</w:t>
      </w:r>
      <w:proofErr w:type="spellStart"/>
      <w:r>
        <w:t>Giri</w:t>
      </w:r>
      <w:proofErr w:type="spellEnd"/>
      <w:r>
        <w:t xml:space="preserve"> &amp; Singh, 2014). This seasonal pattern implies a plausible “high-risk window” for fishes when peak heat coincides with lowest flow and highest contaminant concentrations, increasing the likelihood that sublethal stress becomes lethal during episodic events.</w:t>
      </w:r>
    </w:p>
    <w:p w:rsidR="0069332F" w:rsidRDefault="0069332F" w:rsidP="0069332F">
      <w:pPr>
        <w:pStyle w:val="NormalWeb"/>
      </w:pPr>
      <w:r>
        <w:t>Conversely, extreme rainfall and flood pulses can remobilize contaminated sediments and transport pollutants downstream in short, intense exposure episodes. Sediments can behave as both sinks and sources: when physical disturbance, redox shifts, or scouring occurs, metals bound to particulates may become bioavailable, generating exposure spikes that overlap with thermal and oxygen stress. Seasonal evidence of heavy metal contamination dynamics in the Subarnarekha’s industrially influenced stretches highlights the likelihood that such remobilization and seasonal cycling can recur in predictable patterns (Banerjee et al., 2016). For fishes, these pulse dynamics are ecologically significant because short, high-intensity exposures can coincide with sensitive life stages (spawning, larval drift, juvenile nursery use), producing disproportionate demographic effects compared with the same contaminant load delivered gradually.</w:t>
      </w:r>
    </w:p>
    <w:p w:rsidR="0069332F" w:rsidRDefault="0069332F" w:rsidP="0069332F">
      <w:pPr>
        <w:pStyle w:val="Heading3"/>
      </w:pPr>
      <w:r>
        <w:t>6.4. Connectivity loss and habitat alteration as amplifiers of climate sensitivity</w:t>
      </w:r>
    </w:p>
    <w:p w:rsidR="0069332F" w:rsidRDefault="0069332F" w:rsidP="0069332F">
      <w:pPr>
        <w:pStyle w:val="NormalWeb"/>
      </w:pPr>
      <w:r>
        <w:t>A defining feature of synergy in river fish conservation is that habitat fragmentation and simplification can convert climate stress from a challenge to an existential threat by removing behavioral and geographic options. Many fishes buffer warming by shifting longitudinally (toward cooler headwaters) or laterally (into shaded tributaries, groundwater-fed refuges, or deeper pools). Large dams and associated flow regulation can block these movements, alter thermal regimes, and reduce habitat heterogeneity, thereby amplifying the biological consequences of warming and altered hydrology. Global species-level analyses demonstrate that large dams substantially fragment the occurrence-range connectivity of thousands of lotic fish species, underscoring the magnitude of connectivity loss as a biodiversity pressure that can interact with climate trends (Barbarossa et al., 2020). In basins where barriers coincide with pollution hotspots, fragmentation also limits recolonization after local fish kills and increases the probability that stressed populations become trapped in degraded reaches.</w:t>
      </w:r>
    </w:p>
    <w:p w:rsidR="0069332F" w:rsidRDefault="0069332F" w:rsidP="0069332F">
      <w:pPr>
        <w:pStyle w:val="NormalWeb"/>
      </w:pPr>
      <w:r>
        <w:t xml:space="preserve">This connectivity lens aligns with freshwater-focused synthesis work showing that climate change and land-use change can interact to reshape freshwater fish and macroinvertebrate </w:t>
      </w:r>
      <w:r>
        <w:lastRenderedPageBreak/>
        <w:t>outcomes in ways not predictable from either driver alone (</w:t>
      </w:r>
      <w:proofErr w:type="spellStart"/>
      <w:r>
        <w:t>Mantyka</w:t>
      </w:r>
      <w:proofErr w:type="spellEnd"/>
      <w:r>
        <w:t>-Pringle et al., 2014). Applied to the Subarnarekha, it suggests that even if individual stressors (e.g., a moderate warming trend, a moderate contaminant burden, a moderate barrier density) appear manageable in isolation, their combination can accelerate native fish vulnerability by reducing resilience mechanisms: movement to refugia, phenological flexibility, and recovery through dispersal.</w:t>
      </w:r>
    </w:p>
    <w:p w:rsidR="0069332F" w:rsidRDefault="0069332F" w:rsidP="0069332F">
      <w:pPr>
        <w:pStyle w:val="Heading3"/>
      </w:pPr>
      <w:r>
        <w:t>6.5. Implications for native fish persistence in the Subarnarekha: toward interaction-aware risk framing</w:t>
      </w:r>
    </w:p>
    <w:p w:rsidR="0069332F" w:rsidRDefault="0069332F" w:rsidP="0069332F">
      <w:pPr>
        <w:pStyle w:val="NormalWeb"/>
      </w:pPr>
      <w:r>
        <w:t>Taken together, the evidence indicates that the most consequential threats to native fishes in the Subarnarekha are likely to be interaction-driven and seasonally structured. The pre-monsoon period is a plausible convergence point for high temperature, low flow, and elevated dissolved metal exposure (</w:t>
      </w:r>
      <w:proofErr w:type="spellStart"/>
      <w:r>
        <w:t>Giri</w:t>
      </w:r>
      <w:proofErr w:type="spellEnd"/>
      <w:r>
        <w:t xml:space="preserve"> &amp; Singh, 2014), while monsoon extremes can promote sediment disturbance and pollutant redistribution (Banerjee et al., 2016). Superimposed connectivity loss can prevent escape from these stress windows and slow recovery afterward (Barbarossa et al., 2020). Moreover, contaminants can render fish more sensitive to thermal and oxygen stress by weakening gill integrity, endocrine stability, and oxidative defenses (Shahjahan et al., 2022), which is consistent with broader climate–toxicant interaction perspectives (Noyes et al., 2009). Therefore, an interaction-aware framing—identifying when and where stressors overlap, and which physiological or life-stage bottlenecks they share—should be treated as foundational for interpreting observed fish declines and for designing monitoring and mitigation strategies suited to the Subarnarekha ecosystem (Jackson et al., 2016; Morris et al., 2022; Ormerod et al., 2010).</w:t>
      </w:r>
      <w:r w:rsidR="00653524">
        <w:t xml:space="preserve"> Table 4 presents a summary of Integrative effects of climate and anthropogenic stressors on freshwater fishes.</w:t>
      </w:r>
    </w:p>
    <w:p w:rsidR="0069332F" w:rsidRPr="00653524" w:rsidRDefault="00653524" w:rsidP="0069332F">
      <w:pPr>
        <w:rPr>
          <w:b/>
        </w:rPr>
      </w:pPr>
      <w:r w:rsidRPr="00653524">
        <w:rPr>
          <w:b/>
        </w:rPr>
        <w:t>Table 4: Integrative effects of climate and anthropogenic stressors on freshwater fishes</w:t>
      </w:r>
    </w:p>
    <w:tbl>
      <w:tblPr>
        <w:tblStyle w:val="TableGrid"/>
        <w:tblW w:w="0" w:type="auto"/>
        <w:tblLook w:val="04A0" w:firstRow="1" w:lastRow="0" w:firstColumn="1" w:lastColumn="0" w:noHBand="0" w:noVBand="1"/>
      </w:tblPr>
      <w:tblGrid>
        <w:gridCol w:w="2404"/>
        <w:gridCol w:w="2593"/>
        <w:gridCol w:w="2491"/>
        <w:gridCol w:w="1754"/>
      </w:tblGrid>
      <w:tr w:rsidR="0069332F" w:rsidTr="00653524">
        <w:tc>
          <w:tcPr>
            <w:tcW w:w="0" w:type="auto"/>
            <w:hideMark/>
          </w:tcPr>
          <w:p w:rsidR="0069332F" w:rsidRDefault="0069332F" w:rsidP="00653524">
            <w:pPr>
              <w:spacing w:after="0" w:line="240" w:lineRule="auto"/>
              <w:ind w:left="11" w:right="57" w:hanging="11"/>
              <w:jc w:val="center"/>
              <w:rPr>
                <w:b/>
                <w:bCs/>
              </w:rPr>
            </w:pPr>
            <w:r>
              <w:rPr>
                <w:b/>
                <w:bCs/>
              </w:rPr>
              <w:t>Synergistic mechanism (stressor combination)</w:t>
            </w:r>
          </w:p>
        </w:tc>
        <w:tc>
          <w:tcPr>
            <w:tcW w:w="0" w:type="auto"/>
            <w:hideMark/>
          </w:tcPr>
          <w:p w:rsidR="0069332F" w:rsidRDefault="0069332F" w:rsidP="00653524">
            <w:pPr>
              <w:spacing w:after="0" w:line="240" w:lineRule="auto"/>
              <w:ind w:left="11" w:right="57" w:hanging="11"/>
              <w:jc w:val="center"/>
              <w:rPr>
                <w:b/>
                <w:bCs/>
              </w:rPr>
            </w:pPr>
            <w:r>
              <w:rPr>
                <w:b/>
                <w:bCs/>
              </w:rPr>
              <w:t>Likely fish-level consequence</w:t>
            </w:r>
          </w:p>
        </w:tc>
        <w:tc>
          <w:tcPr>
            <w:tcW w:w="0" w:type="auto"/>
            <w:hideMark/>
          </w:tcPr>
          <w:p w:rsidR="0069332F" w:rsidRDefault="0069332F" w:rsidP="00653524">
            <w:pPr>
              <w:spacing w:after="0" w:line="240" w:lineRule="auto"/>
              <w:ind w:left="11" w:right="57" w:hanging="11"/>
              <w:jc w:val="center"/>
              <w:rPr>
                <w:b/>
                <w:bCs/>
              </w:rPr>
            </w:pPr>
            <w:r>
              <w:rPr>
                <w:b/>
                <w:bCs/>
              </w:rPr>
              <w:t>Subarnarekha-specific relevance (examples)</w:t>
            </w:r>
          </w:p>
        </w:tc>
        <w:tc>
          <w:tcPr>
            <w:tcW w:w="0" w:type="auto"/>
            <w:hideMark/>
          </w:tcPr>
          <w:p w:rsidR="0069332F" w:rsidRDefault="0069332F" w:rsidP="00653524">
            <w:pPr>
              <w:spacing w:after="0" w:line="240" w:lineRule="auto"/>
              <w:ind w:left="11" w:right="57" w:hanging="11"/>
              <w:jc w:val="center"/>
              <w:rPr>
                <w:b/>
                <w:bCs/>
              </w:rPr>
            </w:pPr>
            <w:r>
              <w:rPr>
                <w:b/>
                <w:bCs/>
              </w:rPr>
              <w:t>Key supporting reference(s)</w:t>
            </w:r>
          </w:p>
        </w:tc>
      </w:tr>
      <w:tr w:rsidR="0069332F" w:rsidTr="00653524">
        <w:tc>
          <w:tcPr>
            <w:tcW w:w="0" w:type="auto"/>
            <w:hideMark/>
          </w:tcPr>
          <w:p w:rsidR="0069332F" w:rsidRDefault="0069332F" w:rsidP="00653524">
            <w:pPr>
              <w:spacing w:after="0" w:line="240" w:lineRule="auto"/>
              <w:ind w:left="11" w:right="57" w:hanging="11"/>
            </w:pPr>
            <w:r>
              <w:t>Warming × low dissolved oxygen (deoxygenation)</w:t>
            </w:r>
          </w:p>
        </w:tc>
        <w:tc>
          <w:tcPr>
            <w:tcW w:w="0" w:type="auto"/>
            <w:hideMark/>
          </w:tcPr>
          <w:p w:rsidR="0069332F" w:rsidRDefault="0069332F" w:rsidP="00653524">
            <w:pPr>
              <w:spacing w:after="0" w:line="240" w:lineRule="auto"/>
              <w:ind w:left="11" w:right="57" w:hanging="11"/>
            </w:pPr>
            <w:r>
              <w:t>Reduced aerobic scope; heightened mortality risk during heat/low-flow episodes</w:t>
            </w:r>
          </w:p>
        </w:tc>
        <w:tc>
          <w:tcPr>
            <w:tcW w:w="0" w:type="auto"/>
            <w:hideMark/>
          </w:tcPr>
          <w:p w:rsidR="0069332F" w:rsidRDefault="0069332F" w:rsidP="00653524">
            <w:pPr>
              <w:spacing w:after="0" w:line="240" w:lineRule="auto"/>
              <w:ind w:left="11" w:right="57" w:hanging="11"/>
            </w:pPr>
            <w:r>
              <w:t>Heat + low-flow seasons increase hypoxia risk, especially in sluggish/regulated reaches</w:t>
            </w:r>
          </w:p>
        </w:tc>
        <w:tc>
          <w:tcPr>
            <w:tcW w:w="0" w:type="auto"/>
            <w:hideMark/>
          </w:tcPr>
          <w:p w:rsidR="0069332F" w:rsidRDefault="0069332F" w:rsidP="00653524">
            <w:pPr>
              <w:spacing w:after="0" w:line="240" w:lineRule="auto"/>
              <w:ind w:left="11" w:right="57" w:hanging="11"/>
            </w:pPr>
            <w:proofErr w:type="spellStart"/>
            <w:r>
              <w:t>Zhi</w:t>
            </w:r>
            <w:proofErr w:type="spellEnd"/>
            <w:r>
              <w:t xml:space="preserve"> et al., 2023; Ormerod et al., 2010</w:t>
            </w:r>
          </w:p>
        </w:tc>
      </w:tr>
      <w:tr w:rsidR="0069332F" w:rsidTr="00653524">
        <w:tc>
          <w:tcPr>
            <w:tcW w:w="0" w:type="auto"/>
            <w:hideMark/>
          </w:tcPr>
          <w:p w:rsidR="0069332F" w:rsidRDefault="0069332F" w:rsidP="00653524">
            <w:pPr>
              <w:spacing w:after="0" w:line="240" w:lineRule="auto"/>
              <w:ind w:left="11" w:right="57" w:hanging="11"/>
            </w:pPr>
            <w:r>
              <w:t>Warming × metal contamination</w:t>
            </w:r>
          </w:p>
        </w:tc>
        <w:tc>
          <w:tcPr>
            <w:tcW w:w="0" w:type="auto"/>
            <w:hideMark/>
          </w:tcPr>
          <w:p w:rsidR="0069332F" w:rsidRDefault="0069332F" w:rsidP="00653524">
            <w:pPr>
              <w:spacing w:after="0" w:line="240" w:lineRule="auto"/>
              <w:ind w:left="11" w:right="57" w:hanging="11"/>
            </w:pPr>
            <w:r>
              <w:t>Elevated toxicity via oxidative stress, impaired gills/</w:t>
            </w:r>
            <w:proofErr w:type="spellStart"/>
            <w:r>
              <w:t>ionoregulation</w:t>
            </w:r>
            <w:proofErr w:type="spellEnd"/>
            <w:r>
              <w:t>, reduced detox capacity</w:t>
            </w:r>
          </w:p>
        </w:tc>
        <w:tc>
          <w:tcPr>
            <w:tcW w:w="0" w:type="auto"/>
            <w:hideMark/>
          </w:tcPr>
          <w:p w:rsidR="0069332F" w:rsidRDefault="0069332F" w:rsidP="00653524">
            <w:pPr>
              <w:spacing w:after="0" w:line="240" w:lineRule="auto"/>
              <w:ind w:left="11" w:right="57" w:hanging="11"/>
            </w:pPr>
            <w:r>
              <w:t>Metals show strong seasonal variation; heat can coincide with higher pre-monsoon concentrations</w:t>
            </w:r>
          </w:p>
        </w:tc>
        <w:tc>
          <w:tcPr>
            <w:tcW w:w="0" w:type="auto"/>
            <w:hideMark/>
          </w:tcPr>
          <w:p w:rsidR="0069332F" w:rsidRDefault="0069332F" w:rsidP="00653524">
            <w:pPr>
              <w:spacing w:after="0" w:line="240" w:lineRule="auto"/>
              <w:ind w:left="11" w:right="57" w:hanging="11"/>
            </w:pPr>
            <w:r>
              <w:t xml:space="preserve">Noyes et al., 2009; Shahjahan et al., 2022; </w:t>
            </w:r>
            <w:proofErr w:type="spellStart"/>
            <w:r>
              <w:t>Giri</w:t>
            </w:r>
            <w:proofErr w:type="spellEnd"/>
            <w:r>
              <w:t xml:space="preserve"> &amp; Singh, 2014</w:t>
            </w:r>
          </w:p>
        </w:tc>
      </w:tr>
      <w:tr w:rsidR="0069332F" w:rsidTr="00653524">
        <w:tc>
          <w:tcPr>
            <w:tcW w:w="0" w:type="auto"/>
            <w:hideMark/>
          </w:tcPr>
          <w:p w:rsidR="0069332F" w:rsidRDefault="0069332F" w:rsidP="00653524">
            <w:pPr>
              <w:spacing w:after="0" w:line="240" w:lineRule="auto"/>
              <w:ind w:left="11" w:right="57" w:hanging="11"/>
            </w:pPr>
            <w:r>
              <w:t>Low flow × dissolved metals</w:t>
            </w:r>
          </w:p>
        </w:tc>
        <w:tc>
          <w:tcPr>
            <w:tcW w:w="0" w:type="auto"/>
            <w:hideMark/>
          </w:tcPr>
          <w:p w:rsidR="0069332F" w:rsidRDefault="0069332F" w:rsidP="00653524">
            <w:pPr>
              <w:spacing w:after="0" w:line="240" w:lineRule="auto"/>
              <w:ind w:left="11" w:right="57" w:hanging="11"/>
            </w:pPr>
            <w:r>
              <w:t>Concentration effects + longer exposure duration</w:t>
            </w:r>
          </w:p>
        </w:tc>
        <w:tc>
          <w:tcPr>
            <w:tcW w:w="0" w:type="auto"/>
            <w:hideMark/>
          </w:tcPr>
          <w:p w:rsidR="0069332F" w:rsidRDefault="0069332F" w:rsidP="00653524">
            <w:pPr>
              <w:spacing w:after="0" w:line="240" w:lineRule="auto"/>
              <w:ind w:left="11" w:right="57" w:hanging="11"/>
            </w:pPr>
            <w:r>
              <w:t>Pre-monsoon conditions can elevate dissolved metals through reduced dilution</w:t>
            </w:r>
          </w:p>
        </w:tc>
        <w:tc>
          <w:tcPr>
            <w:tcW w:w="0" w:type="auto"/>
            <w:hideMark/>
          </w:tcPr>
          <w:p w:rsidR="0069332F" w:rsidRDefault="0069332F" w:rsidP="00653524">
            <w:pPr>
              <w:spacing w:after="0" w:line="240" w:lineRule="auto"/>
              <w:ind w:left="11" w:right="57" w:hanging="11"/>
            </w:pPr>
            <w:proofErr w:type="spellStart"/>
            <w:r>
              <w:t>Giri</w:t>
            </w:r>
            <w:proofErr w:type="spellEnd"/>
            <w:r>
              <w:t xml:space="preserve"> &amp; Singh, 2014</w:t>
            </w:r>
          </w:p>
        </w:tc>
      </w:tr>
      <w:tr w:rsidR="0069332F" w:rsidTr="00653524">
        <w:tc>
          <w:tcPr>
            <w:tcW w:w="0" w:type="auto"/>
            <w:hideMark/>
          </w:tcPr>
          <w:p w:rsidR="0069332F" w:rsidRDefault="0069332F" w:rsidP="00653524">
            <w:pPr>
              <w:spacing w:after="0" w:line="240" w:lineRule="auto"/>
              <w:ind w:left="11" w:right="57" w:hanging="11"/>
            </w:pPr>
            <w:r>
              <w:t>Extreme rainfall/floods × contaminated sediments</w:t>
            </w:r>
          </w:p>
        </w:tc>
        <w:tc>
          <w:tcPr>
            <w:tcW w:w="0" w:type="auto"/>
            <w:hideMark/>
          </w:tcPr>
          <w:p w:rsidR="0069332F" w:rsidRDefault="0069332F" w:rsidP="00653524">
            <w:pPr>
              <w:spacing w:after="0" w:line="240" w:lineRule="auto"/>
              <w:ind w:left="11" w:right="57" w:hanging="11"/>
            </w:pPr>
            <w:r>
              <w:t>Short, intense exposure pulses during sediment remobilization</w:t>
            </w:r>
          </w:p>
        </w:tc>
        <w:tc>
          <w:tcPr>
            <w:tcW w:w="0" w:type="auto"/>
            <w:hideMark/>
          </w:tcPr>
          <w:p w:rsidR="0069332F" w:rsidRDefault="0069332F" w:rsidP="00653524">
            <w:pPr>
              <w:spacing w:after="0" w:line="240" w:lineRule="auto"/>
              <w:ind w:left="11" w:right="57" w:hanging="11"/>
            </w:pPr>
            <w:r>
              <w:t>Industrial stretches can show seasonal metal dynamics consistent with remobilization risk</w:t>
            </w:r>
          </w:p>
        </w:tc>
        <w:tc>
          <w:tcPr>
            <w:tcW w:w="0" w:type="auto"/>
            <w:hideMark/>
          </w:tcPr>
          <w:p w:rsidR="0069332F" w:rsidRDefault="0069332F" w:rsidP="00653524">
            <w:pPr>
              <w:spacing w:after="0" w:line="240" w:lineRule="auto"/>
              <w:ind w:left="11" w:right="57" w:hanging="11"/>
            </w:pPr>
            <w:r>
              <w:t>Banerjee et al., 2016; Noyes et al., 2009</w:t>
            </w:r>
          </w:p>
        </w:tc>
      </w:tr>
      <w:tr w:rsidR="0069332F" w:rsidTr="00653524">
        <w:tc>
          <w:tcPr>
            <w:tcW w:w="0" w:type="auto"/>
            <w:hideMark/>
          </w:tcPr>
          <w:p w:rsidR="0069332F" w:rsidRDefault="0069332F" w:rsidP="00653524">
            <w:pPr>
              <w:spacing w:after="0" w:line="240" w:lineRule="auto"/>
              <w:ind w:left="11" w:right="57" w:hanging="11"/>
            </w:pPr>
            <w:r>
              <w:t xml:space="preserve">Dams/fragmentation × warming/hydrologic </w:t>
            </w:r>
            <w:r>
              <w:lastRenderedPageBreak/>
              <w:t>change</w:t>
            </w:r>
          </w:p>
        </w:tc>
        <w:tc>
          <w:tcPr>
            <w:tcW w:w="0" w:type="auto"/>
            <w:hideMark/>
          </w:tcPr>
          <w:p w:rsidR="0069332F" w:rsidRDefault="0069332F" w:rsidP="00653524">
            <w:pPr>
              <w:spacing w:after="0" w:line="240" w:lineRule="auto"/>
              <w:ind w:left="11" w:right="57" w:hanging="11"/>
            </w:pPr>
            <w:r>
              <w:lastRenderedPageBreak/>
              <w:t xml:space="preserve">Loss of thermal/oxygen refugia access; slower </w:t>
            </w:r>
            <w:r>
              <w:lastRenderedPageBreak/>
              <w:t>recovery after local die-offs</w:t>
            </w:r>
          </w:p>
        </w:tc>
        <w:tc>
          <w:tcPr>
            <w:tcW w:w="0" w:type="auto"/>
            <w:hideMark/>
          </w:tcPr>
          <w:p w:rsidR="0069332F" w:rsidRDefault="0069332F" w:rsidP="00653524">
            <w:pPr>
              <w:spacing w:after="0" w:line="240" w:lineRule="auto"/>
              <w:ind w:left="11" w:right="57" w:hanging="11"/>
            </w:pPr>
            <w:r>
              <w:lastRenderedPageBreak/>
              <w:t xml:space="preserve">Barriers can trap fishes in degraded reaches and </w:t>
            </w:r>
            <w:r>
              <w:lastRenderedPageBreak/>
              <w:t>limit recolonization</w:t>
            </w:r>
          </w:p>
        </w:tc>
        <w:tc>
          <w:tcPr>
            <w:tcW w:w="0" w:type="auto"/>
            <w:hideMark/>
          </w:tcPr>
          <w:p w:rsidR="0069332F" w:rsidRDefault="0069332F" w:rsidP="00653524">
            <w:pPr>
              <w:spacing w:after="0" w:line="240" w:lineRule="auto"/>
              <w:ind w:left="11" w:right="57" w:hanging="11"/>
            </w:pPr>
            <w:r>
              <w:lastRenderedPageBreak/>
              <w:t xml:space="preserve">Barbarossa et al., 2020; </w:t>
            </w:r>
            <w:proofErr w:type="spellStart"/>
            <w:r>
              <w:lastRenderedPageBreak/>
              <w:t>Mantyka</w:t>
            </w:r>
            <w:proofErr w:type="spellEnd"/>
            <w:r>
              <w:t>-Pringle et al., 2014</w:t>
            </w:r>
          </w:p>
        </w:tc>
      </w:tr>
      <w:tr w:rsidR="0069332F" w:rsidTr="00653524">
        <w:tc>
          <w:tcPr>
            <w:tcW w:w="0" w:type="auto"/>
            <w:hideMark/>
          </w:tcPr>
          <w:p w:rsidR="0069332F" w:rsidRDefault="0069332F" w:rsidP="00653524">
            <w:pPr>
              <w:spacing w:after="0" w:line="240" w:lineRule="auto"/>
              <w:ind w:left="11" w:right="57" w:hanging="11"/>
            </w:pPr>
            <w:r>
              <w:lastRenderedPageBreak/>
              <w:t>Multiple local stressors × warming (“masking” and thresholds)</w:t>
            </w:r>
          </w:p>
        </w:tc>
        <w:tc>
          <w:tcPr>
            <w:tcW w:w="0" w:type="auto"/>
            <w:hideMark/>
          </w:tcPr>
          <w:p w:rsidR="0069332F" w:rsidRDefault="0069332F" w:rsidP="00653524">
            <w:pPr>
              <w:spacing w:after="0" w:line="240" w:lineRule="auto"/>
              <w:ind w:left="11" w:right="57" w:hanging="11"/>
            </w:pPr>
            <w:r>
              <w:t>Apparent stability followed by abrupt decline once thresholds are crossed</w:t>
            </w:r>
          </w:p>
        </w:tc>
        <w:tc>
          <w:tcPr>
            <w:tcW w:w="0" w:type="auto"/>
            <w:hideMark/>
          </w:tcPr>
          <w:p w:rsidR="0069332F" w:rsidRDefault="0069332F" w:rsidP="00653524">
            <w:pPr>
              <w:spacing w:after="0" w:line="240" w:lineRule="auto"/>
              <w:ind w:left="11" w:right="57" w:hanging="11"/>
            </w:pPr>
            <w:r>
              <w:t>High baseline stress may hide warming effects until extreme events occur</w:t>
            </w:r>
          </w:p>
        </w:tc>
        <w:tc>
          <w:tcPr>
            <w:tcW w:w="0" w:type="auto"/>
            <w:hideMark/>
          </w:tcPr>
          <w:p w:rsidR="0069332F" w:rsidRDefault="0069332F" w:rsidP="00653524">
            <w:pPr>
              <w:spacing w:after="0" w:line="240" w:lineRule="auto"/>
              <w:ind w:left="11" w:right="57" w:hanging="11"/>
            </w:pPr>
            <w:r>
              <w:t xml:space="preserve">Morris et al., 2022; </w:t>
            </w:r>
            <w:proofErr w:type="spellStart"/>
            <w:r>
              <w:t>Jackso</w:t>
            </w:r>
            <w:proofErr w:type="spellEnd"/>
          </w:p>
        </w:tc>
      </w:tr>
    </w:tbl>
    <w:p w:rsidR="0069332F" w:rsidRDefault="0069332F" w:rsidP="0069332F"/>
    <w:p w:rsidR="00A33B3D" w:rsidRDefault="00A33B3D" w:rsidP="00A33B3D">
      <w:pPr>
        <w:pStyle w:val="Heading2"/>
      </w:pPr>
      <w:r>
        <w:t>7. Implications for native fish species and fisheries in the Subarnarekha ecosystem</w:t>
      </w:r>
    </w:p>
    <w:p w:rsidR="00A33B3D" w:rsidRDefault="00A33B3D" w:rsidP="00A33B3D">
      <w:pPr>
        <w:pStyle w:val="Heading3"/>
      </w:pPr>
      <w:r>
        <w:t>7.1. Consequences for native fish demography, recruitment, and resilience</w:t>
      </w:r>
    </w:p>
    <w:p w:rsidR="00A33B3D" w:rsidRDefault="00A33B3D" w:rsidP="00A33B3D">
      <w:pPr>
        <w:pStyle w:val="NormalWeb"/>
      </w:pPr>
      <w:r>
        <w:t>In the Subarnarekha basin, the most immediate implication of interacting climate and human stressors is not simply “fewer fish,” but a progressive erosion of demographic stability in native populations. Warming intensifies metabolic oxygen demand, while hydrological alteration and organic/industrial loading can reduce dissolved oxygen availability; together, these changes can push river reaches into episodic or chronic oxygen stress. In rivers globally, climate change is projected to increase hypoxia pressure by lowering dissolved oxygen and increasing the number of days with stressful oxygen conditions, creating an energetic bottleneck for fish growth and survival, especially for early life stages that have narrow physiological margins (Graham et al., 2025). In Subarnarekha-like monsoonal systems, where seasonal low flows already compress habitat area, the same oxygen–temperature coupling implies that “bad years” for recruitment can become more frequent, increasing interannual variability and elevating the risk of local population collapses in sensitive native taxa</w:t>
      </w:r>
      <w:r w:rsidR="003A339E">
        <w:t xml:space="preserve"> (</w:t>
      </w:r>
      <w:r w:rsidR="003A339E" w:rsidRPr="00C80EE2">
        <w:rPr>
          <w:color w:val="222222"/>
          <w:shd w:val="clear" w:color="auto" w:fill="FFFFFF"/>
        </w:rPr>
        <w:t>Pandey</w:t>
      </w:r>
      <w:r w:rsidR="003A339E">
        <w:rPr>
          <w:color w:val="222222"/>
          <w:shd w:val="clear" w:color="auto" w:fill="FFFFFF"/>
        </w:rPr>
        <w:t xml:space="preserve"> et al., </w:t>
      </w:r>
      <w:r w:rsidR="003A339E" w:rsidRPr="00C80EE2">
        <w:rPr>
          <w:color w:val="222222"/>
          <w:shd w:val="clear" w:color="auto" w:fill="FFFFFF"/>
        </w:rPr>
        <w:t>2024</w:t>
      </w:r>
      <w:r w:rsidR="003A339E">
        <w:rPr>
          <w:color w:val="222222"/>
          <w:shd w:val="clear" w:color="auto" w:fill="FFFFFF"/>
        </w:rPr>
        <w:t xml:space="preserve">; </w:t>
      </w:r>
      <w:r w:rsidR="003A339E" w:rsidRPr="00C80EE2">
        <w:rPr>
          <w:color w:val="222222"/>
          <w:shd w:val="clear" w:color="auto" w:fill="FFFFFF"/>
        </w:rPr>
        <w:t xml:space="preserve">Shaw </w:t>
      </w:r>
      <w:r w:rsidR="003A339E">
        <w:rPr>
          <w:color w:val="222222"/>
          <w:shd w:val="clear" w:color="auto" w:fill="FFFFFF"/>
        </w:rPr>
        <w:t xml:space="preserve">et al., 2025a; </w:t>
      </w:r>
      <w:r w:rsidR="003A339E" w:rsidRPr="00C80EE2">
        <w:rPr>
          <w:color w:val="222222"/>
          <w:shd w:val="clear" w:color="auto" w:fill="FFFFFF"/>
        </w:rPr>
        <w:t xml:space="preserve">Shaw </w:t>
      </w:r>
      <w:r w:rsidR="003A339E">
        <w:rPr>
          <w:color w:val="222222"/>
          <w:shd w:val="clear" w:color="auto" w:fill="FFFFFF"/>
        </w:rPr>
        <w:t>et al., 2025b</w:t>
      </w:r>
      <w:r w:rsidR="003A339E">
        <w:t>)</w:t>
      </w:r>
      <w:r>
        <w:t>.</w:t>
      </w:r>
    </w:p>
    <w:p w:rsidR="00A33B3D" w:rsidRDefault="00A33B3D" w:rsidP="00A33B3D">
      <w:pPr>
        <w:pStyle w:val="NormalWeb"/>
      </w:pPr>
      <w:r>
        <w:t>Pollution-linked stress adds a second layer of demographic risk by reducing condition and shifting energy budgets away from growth and reproduction. Evidence from Subarnarekha fishes and shrimps indicates that metal burdens can reach levels that raise consumer health concerns and signal substantial exposure within the food web (</w:t>
      </w:r>
      <w:proofErr w:type="spellStart"/>
      <w:r>
        <w:t>Giri</w:t>
      </w:r>
      <w:proofErr w:type="spellEnd"/>
      <w:r>
        <w:t xml:space="preserve"> &amp; Singh, 2015a). Such contamination pressure is not merely a food-safety issue; it also plausibly contributes to sublethal impairment, including reduced somatic growth, altered allocation to gonad development, and weakened disease resistance, thereby lowering population resilience to climatic extremes. Over time, these mechanisms can translate into truncated age structures and recruitment overfishing dynamics even when fishing effort is unchanged, because fewer individuals survive long enough to contribute strongly to reproduction.</w:t>
      </w:r>
    </w:p>
    <w:p w:rsidR="00A33B3D" w:rsidRDefault="00A33B3D" w:rsidP="00A33B3D">
      <w:pPr>
        <w:pStyle w:val="Heading3"/>
      </w:pPr>
      <w:r>
        <w:t>7.2. Community restructuring and loss of native biodiversity functions</w:t>
      </w:r>
    </w:p>
    <w:p w:rsidR="00A33B3D" w:rsidRDefault="00A33B3D" w:rsidP="00A33B3D">
      <w:pPr>
        <w:pStyle w:val="NormalWeb"/>
      </w:pPr>
      <w:r>
        <w:t xml:space="preserve">At the community level, synergistic stressors can drive a shift from assemblages structured by natural seasonal cues to assemblages dominated by tolerance traits. Climate-driven changes in water temperature and flow extremes are projected to threaten a large fraction of freshwater fish ranges globally, with the strongest risks concentrated in tropical and subtropical regions and with maximum water temperature extremes often more consequential than flow extremes (Barbarossa et al., 2021). Translating this to the Subarnarekha implies heightened pressure on native species that depend on predictable monsoon pulses for spawning migrations, floodplain access, or nursery habitat formation. When climatic </w:t>
      </w:r>
      <w:r>
        <w:lastRenderedPageBreak/>
        <w:t>extremes repeatedly disrupt these cues while pollution simultaneously reduces habitat quality, species that are physiologically tolerant, opportunistic in reproduction, or able to exploit degraded habitats can increase in relative abundance, producing functional homogenization.</w:t>
      </w:r>
    </w:p>
    <w:p w:rsidR="00A33B3D" w:rsidRDefault="00A33B3D" w:rsidP="00A33B3D">
      <w:pPr>
        <w:pStyle w:val="NormalWeb"/>
      </w:pPr>
      <w:r>
        <w:t>This restructuring matters for ecosystem functioning and fishery productivity because native fish diversity supports a portfolio of feeding strategies and habitat use that stabilizes food webs across seasons. As sensitive guilds decline, trophic interactions can simplify; benthic–pelagic coupling may weaken where substrate is heavily silted or chemically stressed; and nursery habitats may become ecological traps when low-flow periods concentrate contaminants and reduce oxygen. The net implication is that the basin may experience not only species losses but also declining reliability of ecosystem services, including nutrient cycling and biologically mediated water-quality regulation, which further feeds back into habitat suitability for fishes.</w:t>
      </w:r>
    </w:p>
    <w:p w:rsidR="00A33B3D" w:rsidRDefault="00A33B3D" w:rsidP="00A33B3D">
      <w:pPr>
        <w:pStyle w:val="Heading3"/>
      </w:pPr>
      <w:r>
        <w:t>7.3. Fisheries productivity, household livelihoods, and economic stability</w:t>
      </w:r>
    </w:p>
    <w:p w:rsidR="00A33B3D" w:rsidRDefault="00A33B3D" w:rsidP="00A33B3D">
      <w:pPr>
        <w:pStyle w:val="NormalWeb"/>
      </w:pPr>
      <w:r>
        <w:t>For fisheries dependent communities, the primary implication of compounded stress is rising uncertainty. In systems where fishing is seasonal and closely synchronized with monsoon hydrology, climate variability can shift the timing and magnitude of catches by altering migration windows, spawning success, and habitat availability. When low-flow seasons intensify, fishers may concentrate effort into smaller areas, increasing localized exploitation pressure at the same time that fish are physiologically stressed. The consequence is often a decline in catch per unit effort and a move toward smaller-bodied fish or lower-value species—changes that reduce household income stability even if total catch appears superficially stable in the short term.</w:t>
      </w:r>
    </w:p>
    <w:p w:rsidR="00A33B3D" w:rsidRDefault="00A33B3D" w:rsidP="00A33B3D">
      <w:pPr>
        <w:pStyle w:val="NormalWeb"/>
      </w:pPr>
      <w:r>
        <w:t>Anthropogenic contamination can create an additional economic pathway of impact by undermining market trust and increasing post-harvest risk. When edible fishes and shrimps accumulate metals to levels that raise hazard-based concerns, the fishery can face demand shocks, informal advisories, or consumer avoidance, which disproportionately harms small-scale fishers who cannot easily shift to alternative livelihoods or safer fishing grounds (</w:t>
      </w:r>
      <w:proofErr w:type="spellStart"/>
      <w:r>
        <w:t>Giri</w:t>
      </w:r>
      <w:proofErr w:type="spellEnd"/>
      <w:r>
        <w:t xml:space="preserve"> &amp; Singh, 2015a, 2015b). Importantly, this is not only a downstream “estuary problem.” Evidence of potentially toxic element contamination in the lower Subarnarekha and associated health-risk assessments indicates that pollutant exposure is spatially structured and seasonally variable, with higher contamination pressure often emerging during pre-monsoon conditions when dilution is limited (Pradhan et al., 2024). Such seasonality aligns unfortunately with periods when riverine fishing pressure can be high due to restricted habitats, amplifying both ecological and socio-economic vulnerability.</w:t>
      </w:r>
    </w:p>
    <w:p w:rsidR="00A33B3D" w:rsidRDefault="00A33B3D" w:rsidP="00A33B3D">
      <w:pPr>
        <w:pStyle w:val="Heading3"/>
      </w:pPr>
      <w:r>
        <w:t>7.4. Public health implications through fish consumption pathways</w:t>
      </w:r>
    </w:p>
    <w:p w:rsidR="00A33B3D" w:rsidRDefault="00A33B3D" w:rsidP="00A33B3D">
      <w:pPr>
        <w:pStyle w:val="NormalWeb"/>
      </w:pPr>
      <w:r>
        <w:t>A distinctive implication for the Subarnarekha is the coupling of ecological stress with public health risk via fish consumption. Metals measured in Subarnarekha fish and shrimp have been used to compute risk indices indicating that consumption of certain species from certain locations can pose appreciable health concerns (</w:t>
      </w:r>
      <w:proofErr w:type="spellStart"/>
      <w:r>
        <w:t>Giri</w:t>
      </w:r>
      <w:proofErr w:type="spellEnd"/>
      <w:r>
        <w:t xml:space="preserve"> &amp; Singh, 2015a). A broader risk framing that incorporates fish, shrimp, and sediment similarly emphasizes that ecological contamination intersects with human exposure pathways in river-dependent communities (</w:t>
      </w:r>
      <w:proofErr w:type="spellStart"/>
      <w:r>
        <w:t>Giri</w:t>
      </w:r>
      <w:proofErr w:type="spellEnd"/>
      <w:r>
        <w:t xml:space="preserve"> &amp; Singh, 2015b). In practical terms, this means that the fishery’s value cannot be evaluated only by landed biomass; it must also be evaluated by safety, consumer perception, and the long-term health costs borne by households relying on riverine protein.</w:t>
      </w:r>
    </w:p>
    <w:p w:rsidR="00A33B3D" w:rsidRDefault="00A33B3D" w:rsidP="00A33B3D">
      <w:pPr>
        <w:pStyle w:val="NormalWeb"/>
      </w:pPr>
      <w:r>
        <w:lastRenderedPageBreak/>
        <w:t>Climate change can magnify this pathway indirectly. Warmer temperatures and altered flow regimes can increase the frequency of low-flow stagnation and change geochemical conditions that influence contaminant mobilization and bioavailability. Thus, even if pollutant inputs were held constant, climatic shifts could change exposure profiles in fish tissues through altered uptake, trophic pathways, and habitat use under stress. This establishes a strong rationale for integrated monitoring that links climate variables, water quality, and fish tissue chemistry rather than treating them as separate management domains.</w:t>
      </w:r>
    </w:p>
    <w:p w:rsidR="00A33B3D" w:rsidRDefault="00A33B3D" w:rsidP="00A33B3D">
      <w:pPr>
        <w:pStyle w:val="Heading3"/>
      </w:pPr>
      <w:r>
        <w:t>7.5. Management implications specific to Subarnarekha native fishes and fisheries</w:t>
      </w:r>
    </w:p>
    <w:p w:rsidR="00A33B3D" w:rsidRDefault="00A33B3D" w:rsidP="00A33B3D">
      <w:pPr>
        <w:pStyle w:val="NormalWeb"/>
      </w:pPr>
      <w:r>
        <w:t xml:space="preserve">The combined implications described above suggest that protecting Subarnarekha native fishes requires shifting from single-stressor management to explicitly climate-ready, multi-risk governance. A practical priority is to identify and protect thermal–oxygen refugia—reaches or microhabitats that remain cooler, better oxygenated, or less contaminated during critical seasons—because such refugia can stabilize recruitment and preserve </w:t>
      </w:r>
      <w:proofErr w:type="spellStart"/>
      <w:r>
        <w:t>broodstock</w:t>
      </w:r>
      <w:proofErr w:type="spellEnd"/>
      <w:r>
        <w:t xml:space="preserve"> through extreme years, consistent with global evidence that temperature extremes and oxygen stress are increasingly decisive constraints (Barbarossa et al., 2021; Graham et al., 2025). In parallel, contaminant risk management must move beyond snapshot compliance and incorporate seasonal targeting, given evidence of seasonal contrasts in potentially toxic elements and associated health risks in the lower river (Pradhan et al., 2024). Finally, fishery sustainability becomes inseparable from food safety: monitoring and communication strategies should aim to prevent silent erosion of consumer trust and reduce chronic exposure risks signaled by fish/shrimp metal profiles and risk assessments in the Subarnarekha (</w:t>
      </w:r>
      <w:proofErr w:type="spellStart"/>
      <w:r>
        <w:t>Giri</w:t>
      </w:r>
      <w:proofErr w:type="spellEnd"/>
      <w:r>
        <w:t xml:space="preserve"> &amp; Singh, 2015a, 2015b).</w:t>
      </w:r>
    </w:p>
    <w:p w:rsidR="00653524" w:rsidRDefault="00653524" w:rsidP="00A33B3D">
      <w:pPr>
        <w:pStyle w:val="Heading2"/>
      </w:pPr>
    </w:p>
    <w:p w:rsidR="00A33B3D" w:rsidRDefault="00A33B3D" w:rsidP="00A33B3D">
      <w:pPr>
        <w:pStyle w:val="Heading2"/>
      </w:pPr>
      <w:r>
        <w:t>8. Monitoring, modelling, and management responses for interacting stressors</w:t>
      </w:r>
    </w:p>
    <w:p w:rsidR="00A33B3D" w:rsidRDefault="00A33B3D" w:rsidP="00A33B3D">
      <w:pPr>
        <w:pStyle w:val="Heading3"/>
      </w:pPr>
      <w:r>
        <w:t>8.1. Designing monitoring to detect interacting stressors rather than single drivers</w:t>
      </w:r>
    </w:p>
    <w:p w:rsidR="00A33B3D" w:rsidRDefault="00A33B3D" w:rsidP="00A33B3D">
      <w:pPr>
        <w:pStyle w:val="NormalWeb"/>
      </w:pPr>
      <w:r>
        <w:t>In a monsoon-driven river such as the Subarnarekha, the ecological signal experienced by native fishes is rarely attributable to one pressure at a time. Warming, altered hydrology, and deteriorating water quality can combine with sediment pulses, contaminants, and habitat fragmentation to generate non-linear biological responses that are difficult to infer from sporadic sampling. Evidence syntheses from freshwater experiments show that cumulative effects of paired stressors are frequently non-additive, and that dominant local stressors can overwhelm, mask, or redirect the apparent effect of warming (Jackson et al., 2016; Morris et al., 2022). For the Subarnarekha basin, this implies that monitoring programs should be structured explicitly around joint attribution: they must quantify both climate-linked drivers (temperature, flow regime, low-flow duration) and human-linked drivers (nutrients, toxicants, suspended sediment, barriers) at the same sites and time windows, rather than running parallel programs that cannot be integrated analytically.</w:t>
      </w:r>
    </w:p>
    <w:p w:rsidR="00A33B3D" w:rsidRDefault="00A33B3D" w:rsidP="00A33B3D">
      <w:pPr>
        <w:pStyle w:val="NormalWeb"/>
      </w:pPr>
      <w:r>
        <w:lastRenderedPageBreak/>
        <w:t>A practical implication is that temporal design is as important as spatial design. The hydrological “event space” of the Subarnarekha includes intense monsoon floods, short-lived first-flush pulses, and extended low-flow periods that can amplify temperature and pollutant concentrations. Monitoring that only targets a single season risks missing the most biologically consequential combinations, such as low-flow warming coincident with reduced dissolved oxygen, or monsoon scouring that redistributes contaminated sediments and reshapes habitat. Basin studies that have modelled runoff, erosion, and sediment dynamics in the Subarnarekha context reinforce that discharge variability and soil loss are not incidental—they are central pathways linking land use, climate variability, and habitat quality (</w:t>
      </w:r>
      <w:proofErr w:type="spellStart"/>
      <w:r>
        <w:t>Acharyya</w:t>
      </w:r>
      <w:proofErr w:type="spellEnd"/>
      <w:r>
        <w:t xml:space="preserve"> et al., 2022; Shree &amp; Kumar, 2023). Accordingly, an interaction-aware design should incorporate routine baseline observations plus event-triggered sampling (for early monsoon storms, peak floods, and late-season low flows), because those windows are when synergisms are most likely to emerge for fishes.</w:t>
      </w:r>
    </w:p>
    <w:p w:rsidR="00A33B3D" w:rsidRDefault="00A33B3D" w:rsidP="00A33B3D">
      <w:pPr>
        <w:pStyle w:val="Heading3"/>
      </w:pPr>
      <w:r>
        <w:t>8.2. Indicators, technologies, and “fit-for-synergy” measurement strategies</w:t>
      </w:r>
    </w:p>
    <w:p w:rsidR="00A33B3D" w:rsidRDefault="00A33B3D" w:rsidP="00A33B3D">
      <w:pPr>
        <w:pStyle w:val="NormalWeb"/>
      </w:pPr>
      <w:r>
        <w:t>Detecting synergistic stress requires indicators that respond rapidly and mechanistically to combined pressures. For fish vulnerability, high-frequency dissolved oxygen (DO) and temperature are especially informative because they integrate metabolism, organic loading, re-aeration dynamics, and thermal stress. Recent advances show that daily DO dynamics can be strongly temperature-driven at broad scales, implying that warming can systematically elevate hypoxia risk when combined with organic pollution or flow reduction (</w:t>
      </w:r>
      <w:proofErr w:type="spellStart"/>
      <w:r>
        <w:t>Zhi</w:t>
      </w:r>
      <w:proofErr w:type="spellEnd"/>
      <w:r>
        <w:t>, Ouyang, Shen, &amp; Li, 2023). Complementary reconstructions of long-term warming and deoxygenation trends demonstrate that persistent DO declines are detectable when appropriate data streams exist, and that such declines have clear implications for riverine ecosystem function (</w:t>
      </w:r>
      <w:proofErr w:type="spellStart"/>
      <w:r>
        <w:t>Zhi</w:t>
      </w:r>
      <w:proofErr w:type="spellEnd"/>
      <w:r>
        <w:t>, Klingler, Liu, &amp; Li, 2023). Translating these insights to Subarnarekha monitoring supports a shift from infrequent grab samples toward continuous sensor networks at strategically chosen reaches (e.g., upstream reference segments, industrial/urban corridors, mining-influenced tributaries, and the lower river–estuary transition), coupled with routine calibration and quality assurance.</w:t>
      </w:r>
    </w:p>
    <w:p w:rsidR="00A33B3D" w:rsidRDefault="00A33B3D" w:rsidP="00A33B3D">
      <w:pPr>
        <w:pStyle w:val="NormalWeb"/>
      </w:pPr>
      <w:r>
        <w:t>Chemical and sediment indicators should be chosen to reflect known basin pressures and fish exposure routes, while remaining interpretable under changing flows. Peer-reviewed assessments from the Subarnarekha corridor document heavy metal burdens in water and sediments and emphasize strong seasonal structure, which is consistent with dilution–concentration effects and sediment remobilization across monsoon cycles (Banerjee et al., 2016). Because contaminants and suspended solids often co-transport, jointly measuring turbidity/suspended sediment alongside dissolved constituents helps distinguish chemical toxicity from habitat-mediated stress (gill abrasion, spawning substrate smothering), especially during high-flow periods. Remote sensing can complement in situ monitoring by providing synoptic proxies for surface temperature and turbidity, enabling managers to prioritize on-the-ground sampling during extreme events or hotspots. The central methodological point is not merely adding more variables, but collecting variables that allow mechanistic interpretation of co-stressor exposure and that can be assimilated into models without major gaps.</w:t>
      </w:r>
    </w:p>
    <w:p w:rsidR="00A33B3D" w:rsidRDefault="00A33B3D" w:rsidP="00A33B3D">
      <w:pPr>
        <w:pStyle w:val="Heading3"/>
      </w:pPr>
      <w:r>
        <w:t>8.3. Modelling frameworks for scenario testing and risk prediction under multiple stressors</w:t>
      </w:r>
    </w:p>
    <w:p w:rsidR="00A33B3D" w:rsidRDefault="00A33B3D" w:rsidP="00A33B3D">
      <w:pPr>
        <w:pStyle w:val="NormalWeb"/>
      </w:pPr>
      <w:r>
        <w:lastRenderedPageBreak/>
        <w:t>For interacting climate and human pressures, modelling needs to be coupled and uncertainty-aware. Hydrological and sediment models provide an essential backbone because they translate climate variability and land-use change into flow, erosion, and sediment delivery regimes that shape fish habitats. In the Subarnarekha basin, SWAT-based applications have already been used to quantify land use/land cover influences on hydrological components, offering a foundation for projecting how future land transformation and climate variability might alter runoff and related stress pathways (Shree &amp; Kumar, 2023). Basin-specific assessments that integrate climate and land-use change in SWAT further support explicit scenario design for management, including the identification of periods and reaches where pollutant loading and altered flows may jointly intensify ecological risk (Kumari et al., 2024). Importantly, such scenario modelling becomes more policy-relevant when outputs are translated into biologically interpretable endpoints, such as frequency of high-temperature/low-DO days, duration of low-flow habitat contraction, or probability of contaminant exceedance during critical fish life stages.</w:t>
      </w:r>
    </w:p>
    <w:p w:rsidR="00A33B3D" w:rsidRDefault="00A33B3D" w:rsidP="00A33B3D">
      <w:pPr>
        <w:pStyle w:val="NormalWeb"/>
      </w:pPr>
      <w:r>
        <w:t>However, process-based models alone rarely capture the full spatiotemporal structure of water quality in data-sparse settings. Recent work on data assimilation highlights how integrating observations as they arrive can reduce uncertainty by updating model states and parameters, improving near-real-time forecasts and retrospective reconstructions (Cho et al., 2020). In Subarnarekha applications, assimilation can be especially valuable when continuous sensors are deployed unevenly or when event monitoring generates short, high-information bursts. At the same time, machine-learning approaches have demonstrated that, with appropriate training data, daily DO variability and long-term deoxygenation can be reconstructed from combined meteorological, watershed, and water-quality inputs (</w:t>
      </w:r>
      <w:proofErr w:type="spellStart"/>
      <w:r>
        <w:t>Zhi</w:t>
      </w:r>
      <w:proofErr w:type="spellEnd"/>
      <w:r>
        <w:t xml:space="preserve">, Klingler, Liu, &amp; Li, 2023; </w:t>
      </w:r>
      <w:proofErr w:type="spellStart"/>
      <w:r>
        <w:t>Zhi</w:t>
      </w:r>
      <w:proofErr w:type="spellEnd"/>
      <w:r>
        <w:t>, Ouyang, Shen, &amp; Li, 2023). A defensible strategy for interacting stressors is therefore hybrid: use process models for causal structure and scenario plausibility, and use data-driven models (ideally constrained by mechanistic variables) for gap-filling, downscaling, and short-horizon prediction, with cross-validation that explicitly tests performance during extremes rather than only during average conditions.</w:t>
      </w:r>
    </w:p>
    <w:p w:rsidR="00A33B3D" w:rsidRDefault="00A33B3D" w:rsidP="00A33B3D">
      <w:pPr>
        <w:pStyle w:val="Heading3"/>
      </w:pPr>
      <w:r>
        <w:t>8.4. Management responses that target interactions, not just components</w:t>
      </w:r>
    </w:p>
    <w:p w:rsidR="00A33B3D" w:rsidRDefault="00A33B3D" w:rsidP="00A33B3D">
      <w:pPr>
        <w:pStyle w:val="NormalWeb"/>
      </w:pPr>
      <w:r>
        <w:t xml:space="preserve">The empirical message from multi-stressor freshwater syntheses is that managing local stressors often yields disproportionate benefits because they can dominate biological responses and suppress the apparent effect of warming (Morris et al., 2022). For the Subarnarekha, this argues for “synergy-aware prioritization”: reducing organic loading and nutrient inputs (which heighten oxygen demand), controlling sediment and contaminated sediment mobilization, and improving riparian shading can collectively increase thermal and hypoxia resilience even under ongoing climate warming. Environmental flow management is a key complement because altered flow timing and magnitude can exacerbate thermal stress, reduce habitat availability, and diminish dilution capacity; foundational flow-ecology evidence shows that biodiversity consequences of altered flow regimes are pervasive and mechanistically linked to changes in magnitude, timing, and rate of change (Bunn &amp; Arthington, 2002; </w:t>
      </w:r>
      <w:proofErr w:type="spellStart"/>
      <w:r>
        <w:t>Poff</w:t>
      </w:r>
      <w:proofErr w:type="spellEnd"/>
      <w:r>
        <w:t xml:space="preserve"> &amp; Zimmerman, 2010). In practice, even modest protections of dry-season baseflows and reconnection of lateral habitats can function as climate adaptation measures by reducing the probability that high temperatures coincide with critically low DO.</w:t>
      </w:r>
    </w:p>
    <w:p w:rsidR="00A33B3D" w:rsidRDefault="00A33B3D" w:rsidP="00A33B3D">
      <w:pPr>
        <w:pStyle w:val="NormalWeb"/>
      </w:pPr>
      <w:r>
        <w:t xml:space="preserve">Habitat connectivity and fragmentation control remain central in a basin where barriers and flow regulation can constrain migration and isolate subpopulations. Global evidence shows that present and planned large dams can substantially reduce geographic-range connectivity </w:t>
      </w:r>
      <w:r>
        <w:lastRenderedPageBreak/>
        <w:t>for lotic fishes, with implications for population persistence under environmental change (Barbarossa et al., 2020). Within a Subarnarekha management frame, this supports a combination of barrier audits, fish-passage feasibility assessments where appropriate, and targeted protection of tributary refugia that can serve as recolonization sources after extreme events. The logic of interaction management is to avoid inadvertently amplifying climate risk—for example, by allowing low-flow fragmentation and poor water quality to coincide during heat periods—by coordinating pollution control, habitat restoration, and flow rules as a single strategy rather than as separate sectoral interventions.</w:t>
      </w:r>
    </w:p>
    <w:p w:rsidR="00A33B3D" w:rsidRDefault="00A33B3D" w:rsidP="00A33B3D">
      <w:pPr>
        <w:pStyle w:val="Heading3"/>
      </w:pPr>
      <w:r>
        <w:t>8.5. Adaptive governance, evaluation, and learning for the Subarnarekha basin</w:t>
      </w:r>
    </w:p>
    <w:p w:rsidR="00A33B3D" w:rsidRDefault="00A33B3D" w:rsidP="00A33B3D">
      <w:pPr>
        <w:pStyle w:val="NormalWeb"/>
      </w:pPr>
      <w:r>
        <w:t>Because interaction effects can shift over time with land use, infrastructure, and climate, basin management should be explicitly adaptive. Monitoring networks should be treated as hypothesis-testing systems: models generate predictions about where and when stressors will co-occur, monitoring tests those predictions, and management is adjusted based on measured outcomes. Incorporating uncertainty metrics and explicitly tracking “near-miss” events (e.g., episodes where temperature approached stress thresholds but DO did not collapse due to improved effluent control) helps identify which interventions are preventing synergy. Over the medium term, the basin can move toward risk-based thresholds that combine climate and local stress indicators—for instance, management triggers that tighten discharge controls during forecast heatwaves and low-flow spells when the probability of hypoxia is highest, consistent with the demonstrated sensitivity of river oxygen regimes to temperature and flow context (</w:t>
      </w:r>
      <w:proofErr w:type="spellStart"/>
      <w:r>
        <w:t>Zhi</w:t>
      </w:r>
      <w:proofErr w:type="spellEnd"/>
      <w:r>
        <w:t>, Ouyang, Shen, &amp; Li, 2023). In sum, resilience for native fishes in the Subarnarekha is most plausibly achieved through integrated monitoring and modelling that make interactions visible, coupled with management that reduces local stressor dominance while restoring flow–habitat processes that buffer climate stress.</w:t>
      </w:r>
    </w:p>
    <w:p w:rsidR="00A33B3D" w:rsidRDefault="00A33B3D" w:rsidP="00690AC7">
      <w:pPr>
        <w:pStyle w:val="Heading2"/>
      </w:pPr>
    </w:p>
    <w:p w:rsidR="00690AC7" w:rsidRDefault="00690AC7" w:rsidP="00690AC7">
      <w:pPr>
        <w:pStyle w:val="Heading2"/>
      </w:pPr>
      <w:r>
        <w:t>9. Conclusions</w:t>
      </w:r>
    </w:p>
    <w:p w:rsidR="003A20E8" w:rsidRPr="003A20E8" w:rsidRDefault="003A20E8" w:rsidP="003A20E8">
      <w:pPr>
        <w:pStyle w:val="Heading2"/>
        <w:numPr>
          <w:ilvl w:val="0"/>
          <w:numId w:val="35"/>
        </w:numPr>
        <w:rPr>
          <w:b w:val="0"/>
          <w:bCs w:val="0"/>
          <w:sz w:val="24"/>
          <w:szCs w:val="24"/>
        </w:rPr>
      </w:pPr>
      <w:r w:rsidRPr="003A20E8">
        <w:rPr>
          <w:b w:val="0"/>
          <w:bCs w:val="0"/>
          <w:sz w:val="24"/>
          <w:szCs w:val="24"/>
        </w:rPr>
        <w:t>Native fish vulnerability in the Subarnarekha is driven by interacting pressures, where climate warming and hydrological variability operate on top of long-standing pollution and habitat modification rather than replacing them as standalone drivers.</w:t>
      </w:r>
    </w:p>
    <w:p w:rsidR="003A20E8" w:rsidRPr="003A20E8" w:rsidRDefault="003A20E8" w:rsidP="003A20E8">
      <w:pPr>
        <w:pStyle w:val="Heading2"/>
        <w:numPr>
          <w:ilvl w:val="0"/>
          <w:numId w:val="35"/>
        </w:numPr>
        <w:rPr>
          <w:b w:val="0"/>
          <w:bCs w:val="0"/>
          <w:sz w:val="24"/>
          <w:szCs w:val="24"/>
        </w:rPr>
      </w:pPr>
      <w:r w:rsidRPr="003A20E8">
        <w:rPr>
          <w:b w:val="0"/>
          <w:bCs w:val="0"/>
          <w:sz w:val="24"/>
          <w:szCs w:val="24"/>
        </w:rPr>
        <w:t>The most consequential risks are expected during seasonal “stress windows,” especially low-flow, high-temperature periods when dissolved oxygen declines and contaminant concentrations can rise, and during monsoon extremes that remobilize contaminated sediments and disrupt habitats.</w:t>
      </w:r>
    </w:p>
    <w:p w:rsidR="003A20E8" w:rsidRPr="003A20E8" w:rsidRDefault="003A20E8" w:rsidP="003A20E8">
      <w:pPr>
        <w:pStyle w:val="Heading2"/>
        <w:numPr>
          <w:ilvl w:val="0"/>
          <w:numId w:val="35"/>
        </w:numPr>
        <w:rPr>
          <w:b w:val="0"/>
          <w:bCs w:val="0"/>
          <w:sz w:val="24"/>
          <w:szCs w:val="24"/>
        </w:rPr>
      </w:pPr>
      <w:r w:rsidRPr="003A20E8">
        <w:rPr>
          <w:b w:val="0"/>
          <w:bCs w:val="0"/>
          <w:sz w:val="24"/>
          <w:szCs w:val="24"/>
        </w:rPr>
        <w:t>Synergistic effects are likely to be strongest when different stressors converge on shared biological bottlenecks, including aerobic capacity, osmoregulation, immune function, and early-life-stage survival.</w:t>
      </w:r>
    </w:p>
    <w:p w:rsidR="003A20E8" w:rsidRPr="003A20E8" w:rsidRDefault="003A20E8" w:rsidP="003A20E8">
      <w:pPr>
        <w:pStyle w:val="Heading2"/>
        <w:rPr>
          <w:b w:val="0"/>
          <w:bCs w:val="0"/>
          <w:sz w:val="24"/>
          <w:szCs w:val="24"/>
        </w:rPr>
      </w:pPr>
    </w:p>
    <w:p w:rsidR="003A20E8" w:rsidRPr="003A20E8" w:rsidRDefault="003A20E8" w:rsidP="003A20E8">
      <w:pPr>
        <w:pStyle w:val="Heading2"/>
        <w:numPr>
          <w:ilvl w:val="0"/>
          <w:numId w:val="35"/>
        </w:numPr>
        <w:rPr>
          <w:b w:val="0"/>
          <w:bCs w:val="0"/>
          <w:sz w:val="24"/>
          <w:szCs w:val="24"/>
        </w:rPr>
      </w:pPr>
      <w:r w:rsidRPr="003A20E8">
        <w:rPr>
          <w:b w:val="0"/>
          <w:bCs w:val="0"/>
          <w:sz w:val="24"/>
          <w:szCs w:val="24"/>
        </w:rPr>
        <w:t>Persistent metal contamination and deteriorating water quality can reduce fish condition and reproductive output, increasing the probability that climatic extremes translate into recruitment failures and multi-year population downturns.</w:t>
      </w:r>
    </w:p>
    <w:p w:rsidR="003A20E8" w:rsidRPr="003A20E8" w:rsidRDefault="003A20E8" w:rsidP="003A20E8">
      <w:pPr>
        <w:pStyle w:val="Heading2"/>
        <w:numPr>
          <w:ilvl w:val="0"/>
          <w:numId w:val="35"/>
        </w:numPr>
        <w:rPr>
          <w:b w:val="0"/>
          <w:bCs w:val="0"/>
          <w:sz w:val="24"/>
          <w:szCs w:val="24"/>
        </w:rPr>
      </w:pPr>
      <w:r w:rsidRPr="003A20E8">
        <w:rPr>
          <w:b w:val="0"/>
          <w:bCs w:val="0"/>
          <w:sz w:val="24"/>
          <w:szCs w:val="24"/>
        </w:rPr>
        <w:lastRenderedPageBreak/>
        <w:t>Habitat fragmentation and altered flow regimes can amplify climate impacts by reducing access to refugia, blocking movement, and slowing recovery after extreme events or local fish kills.</w:t>
      </w:r>
    </w:p>
    <w:p w:rsidR="003A20E8" w:rsidRPr="003A20E8" w:rsidRDefault="003A20E8" w:rsidP="003A20E8">
      <w:pPr>
        <w:pStyle w:val="Heading2"/>
        <w:numPr>
          <w:ilvl w:val="0"/>
          <w:numId w:val="35"/>
        </w:numPr>
        <w:rPr>
          <w:b w:val="0"/>
          <w:bCs w:val="0"/>
          <w:sz w:val="24"/>
          <w:szCs w:val="24"/>
        </w:rPr>
      </w:pPr>
      <w:r w:rsidRPr="003A20E8">
        <w:rPr>
          <w:b w:val="0"/>
          <w:bCs w:val="0"/>
          <w:sz w:val="24"/>
          <w:szCs w:val="24"/>
        </w:rPr>
        <w:t>The river–estuary transition should be treated as a compound-stressor zone where upstream loads interact with naturally high variability, making nursery function and migration corridors particularly sensitive to change.</w:t>
      </w:r>
    </w:p>
    <w:p w:rsidR="003A20E8" w:rsidRPr="003A20E8" w:rsidRDefault="003A20E8" w:rsidP="003A20E8">
      <w:pPr>
        <w:pStyle w:val="Heading2"/>
        <w:numPr>
          <w:ilvl w:val="0"/>
          <w:numId w:val="35"/>
        </w:numPr>
        <w:rPr>
          <w:b w:val="0"/>
          <w:bCs w:val="0"/>
          <w:sz w:val="24"/>
          <w:szCs w:val="24"/>
        </w:rPr>
      </w:pPr>
      <w:r w:rsidRPr="003A20E8">
        <w:rPr>
          <w:b w:val="0"/>
          <w:bCs w:val="0"/>
          <w:sz w:val="24"/>
          <w:szCs w:val="24"/>
        </w:rPr>
        <w:t>Effective conservation and fisheries sustainability require interaction-aware monitoring and management, combining high-frequency temperature–oxygen observations with targeted contaminant and sediment assessments across critical seasons and reaches.</w:t>
      </w:r>
    </w:p>
    <w:p w:rsidR="003A20E8" w:rsidRDefault="003A20E8" w:rsidP="003A20E8">
      <w:pPr>
        <w:pStyle w:val="Heading2"/>
        <w:numPr>
          <w:ilvl w:val="0"/>
          <w:numId w:val="35"/>
        </w:numPr>
        <w:rPr>
          <w:b w:val="0"/>
          <w:bCs w:val="0"/>
          <w:sz w:val="24"/>
          <w:szCs w:val="24"/>
        </w:rPr>
      </w:pPr>
      <w:r w:rsidRPr="003A20E8">
        <w:rPr>
          <w:b w:val="0"/>
          <w:bCs w:val="0"/>
          <w:sz w:val="24"/>
          <w:szCs w:val="24"/>
        </w:rPr>
        <w:t xml:space="preserve">Basin-scale resilience will depend on coordinated actions that reduce local stressor dominance (pollution control, sediment management, riparian protection) while restoring connectivity and flow–habitat processes that buffer native fishes against a warming, more variable climate. </w:t>
      </w:r>
    </w:p>
    <w:p w:rsidR="00690AC7" w:rsidRDefault="00690AC7" w:rsidP="003A20E8">
      <w:pPr>
        <w:pStyle w:val="Heading2"/>
      </w:pPr>
      <w:r>
        <w:t>10. Limitations</w:t>
      </w:r>
    </w:p>
    <w:p w:rsidR="003A20E8" w:rsidRDefault="00690AC7" w:rsidP="003A20E8">
      <w:pPr>
        <w:pStyle w:val="NormalWeb"/>
        <w:numPr>
          <w:ilvl w:val="0"/>
          <w:numId w:val="36"/>
        </w:numPr>
      </w:pPr>
      <w:r>
        <w:t>This</w:t>
      </w:r>
      <w:r w:rsidR="003A20E8">
        <w:t xml:space="preserve"> narrative</w:t>
      </w:r>
      <w:r>
        <w:t xml:space="preserve"> review is constrained by uneven availability of fish-focused ecological studies specific to the Subarnarekha relative to the stronger body of evidence on contamination and water quality. </w:t>
      </w:r>
    </w:p>
    <w:p w:rsidR="003A20E8" w:rsidRDefault="003A20E8" w:rsidP="003A20E8">
      <w:pPr>
        <w:pStyle w:val="NormalWeb"/>
        <w:numPr>
          <w:ilvl w:val="0"/>
          <w:numId w:val="36"/>
        </w:numPr>
      </w:pPr>
      <w:r>
        <w:t>Subarnarekha-specific ecological studies on native fish population trends, recruitment dynamics, and long-term community change are comparatively limited, so several interaction inferences rely on mechanisms established in other river systems.</w:t>
      </w:r>
    </w:p>
    <w:p w:rsidR="003A20E8" w:rsidRDefault="003A20E8" w:rsidP="003A20E8">
      <w:pPr>
        <w:pStyle w:val="NormalWeb"/>
        <w:numPr>
          <w:ilvl w:val="0"/>
          <w:numId w:val="36"/>
        </w:numPr>
      </w:pPr>
      <w:r>
        <w:t>Many available basin studies emphasize water quality and contamination, with fewer datasets directly linking stressor exposure to fish health biomarkers, reproductive performance, or survival across seasons and life stages.</w:t>
      </w:r>
    </w:p>
    <w:p w:rsidR="003A20E8" w:rsidRDefault="003A20E8" w:rsidP="003A20E8">
      <w:pPr>
        <w:pStyle w:val="NormalWeb"/>
        <w:numPr>
          <w:ilvl w:val="0"/>
          <w:numId w:val="36"/>
        </w:numPr>
      </w:pPr>
      <w:r>
        <w:t>Spatial coverage is uneven across tributaries, midstream industrial corridors, and the river–estuary transition, constraining precise identification of hotspot reaches and connectivity-critical refugia.</w:t>
      </w:r>
    </w:p>
    <w:p w:rsidR="003A20E8" w:rsidRDefault="003A20E8" w:rsidP="003A20E8">
      <w:pPr>
        <w:pStyle w:val="NormalWeb"/>
        <w:numPr>
          <w:ilvl w:val="0"/>
          <w:numId w:val="36"/>
        </w:numPr>
      </w:pPr>
      <w:r>
        <w:t>Event-based extremes (heatwaves, first-flush storms, peak floods) are under-sampled, reducing confidence in quantifying short-duration but high-impact synergistic episodes that may drive demographic shocks.</w:t>
      </w:r>
    </w:p>
    <w:p w:rsidR="003A20E8" w:rsidRDefault="003A20E8" w:rsidP="003A20E8">
      <w:pPr>
        <w:pStyle w:val="NormalWeb"/>
        <w:numPr>
          <w:ilvl w:val="0"/>
          <w:numId w:val="36"/>
        </w:numPr>
      </w:pPr>
      <w:r>
        <w:t>Formal cumulative-risk modelling that integrates climate scenarios, flow alteration, contaminant transport, and fisheries pressure remains sparse, limiting the ability to produce predictive, management-ready thresholds for the basin.</w:t>
      </w:r>
    </w:p>
    <w:p w:rsidR="00690AC7" w:rsidRDefault="00690AC7" w:rsidP="00690AC7">
      <w:pPr>
        <w:pStyle w:val="Heading2"/>
      </w:pPr>
      <w:r>
        <w:t xml:space="preserve">References </w:t>
      </w:r>
    </w:p>
    <w:p w:rsidR="003A339E" w:rsidRPr="003A339E" w:rsidRDefault="003A339E" w:rsidP="003A339E">
      <w:pPr>
        <w:spacing w:before="100" w:beforeAutospacing="1" w:after="100" w:afterAutospacing="1" w:line="240" w:lineRule="auto"/>
        <w:ind w:left="0" w:firstLine="0"/>
        <w:rPr>
          <w:lang w:val="en-US"/>
        </w:rPr>
      </w:pPr>
      <w:proofErr w:type="spellStart"/>
      <w:r w:rsidRPr="003A339E">
        <w:rPr>
          <w:color w:val="222222"/>
          <w:shd w:val="clear" w:color="auto" w:fill="FFFFFF"/>
        </w:rPr>
        <w:t>Acharyya</w:t>
      </w:r>
      <w:proofErr w:type="spellEnd"/>
      <w:r w:rsidRPr="003A339E">
        <w:rPr>
          <w:color w:val="222222"/>
          <w:shd w:val="clear" w:color="auto" w:fill="FFFFFF"/>
        </w:rPr>
        <w:t xml:space="preserve">, R., </w:t>
      </w:r>
      <w:proofErr w:type="spellStart"/>
      <w:r w:rsidRPr="003A339E">
        <w:rPr>
          <w:color w:val="222222"/>
          <w:shd w:val="clear" w:color="auto" w:fill="FFFFFF"/>
        </w:rPr>
        <w:t>Pramanick</w:t>
      </w:r>
      <w:proofErr w:type="spellEnd"/>
      <w:r w:rsidRPr="003A339E">
        <w:rPr>
          <w:color w:val="222222"/>
          <w:shd w:val="clear" w:color="auto" w:fill="FFFFFF"/>
        </w:rPr>
        <w:t>, N., Mukherjee, S., Ghosh, S., Chanda, A., Pal, I., ... &amp; Mukhopadhyay, A. (2022). Evaluation of catchment hydrology and soil loss in non-perennial river system: A case study of Subarnarekha Basin, India. </w:t>
      </w:r>
      <w:proofErr w:type="spellStart"/>
      <w:r w:rsidRPr="003A339E">
        <w:rPr>
          <w:i/>
          <w:iCs/>
          <w:color w:val="222222"/>
          <w:shd w:val="clear" w:color="auto" w:fill="FFFFFF"/>
        </w:rPr>
        <w:t>Modeling</w:t>
      </w:r>
      <w:proofErr w:type="spellEnd"/>
      <w:r w:rsidRPr="003A339E">
        <w:rPr>
          <w:i/>
          <w:iCs/>
          <w:color w:val="222222"/>
          <w:shd w:val="clear" w:color="auto" w:fill="FFFFFF"/>
        </w:rPr>
        <w:t xml:space="preserve"> Earth Systems and Environment</w:t>
      </w:r>
      <w:r w:rsidRPr="003A339E">
        <w:rPr>
          <w:color w:val="222222"/>
          <w:shd w:val="clear" w:color="auto" w:fill="FFFFFF"/>
        </w:rPr>
        <w:t>, </w:t>
      </w:r>
      <w:r w:rsidRPr="003A339E">
        <w:rPr>
          <w:i/>
          <w:iCs/>
          <w:color w:val="222222"/>
          <w:shd w:val="clear" w:color="auto" w:fill="FFFFFF"/>
        </w:rPr>
        <w:t>8</w:t>
      </w:r>
      <w:r w:rsidRPr="003A339E">
        <w:rPr>
          <w:color w:val="222222"/>
          <w:shd w:val="clear" w:color="auto" w:fill="FFFFFF"/>
        </w:rPr>
        <w:t xml:space="preserve">(2), 2401-2429. </w:t>
      </w:r>
      <w:hyperlink r:id="rId8" w:history="1">
        <w:r w:rsidRPr="003A339E">
          <w:rPr>
            <w:rStyle w:val="Hyperlink"/>
            <w:lang w:val="en-US"/>
          </w:rPr>
          <w:t>https://doi.org/10.1007/s40808-021-01231-3</w:t>
        </w:r>
      </w:hyperlink>
      <w:r w:rsidRPr="003A339E">
        <w:rPr>
          <w:lang w:val="en-US"/>
        </w:rPr>
        <w:t xml:space="preserve"> </w:t>
      </w:r>
    </w:p>
    <w:p w:rsidR="003A339E" w:rsidRPr="003A339E" w:rsidRDefault="003A339E" w:rsidP="003A339E">
      <w:pPr>
        <w:shd w:val="clear" w:color="auto" w:fill="FFFFFF"/>
        <w:spacing w:before="120" w:after="120" w:line="240" w:lineRule="auto"/>
        <w:ind w:left="0" w:right="0" w:firstLine="0"/>
        <w:jc w:val="left"/>
        <w:rPr>
          <w:rFonts w:eastAsia="Calibri"/>
          <w:color w:val="222222"/>
          <w:kern w:val="0"/>
          <w:shd w:val="clear" w:color="auto" w:fill="FFFFFF"/>
          <w:lang w:val="en-GB" w:eastAsia="en-US"/>
        </w:rPr>
      </w:pPr>
      <w:r w:rsidRPr="003A339E">
        <w:rPr>
          <w:rFonts w:eastAsia="Calibri"/>
          <w:color w:val="222222"/>
          <w:kern w:val="0"/>
          <w:shd w:val="clear" w:color="auto" w:fill="FFFFFF"/>
          <w:lang w:val="en-GB" w:eastAsia="en-US"/>
        </w:rPr>
        <w:t xml:space="preserve">Ahmad, F., &amp; </w:t>
      </w:r>
      <w:proofErr w:type="spellStart"/>
      <w:r w:rsidRPr="003A339E">
        <w:rPr>
          <w:rFonts w:eastAsia="Calibri"/>
          <w:color w:val="222222"/>
          <w:kern w:val="0"/>
          <w:shd w:val="clear" w:color="auto" w:fill="FFFFFF"/>
          <w:lang w:val="en-GB" w:eastAsia="en-US"/>
        </w:rPr>
        <w:t>Goparaju</w:t>
      </w:r>
      <w:proofErr w:type="spellEnd"/>
      <w:r w:rsidRPr="003A339E">
        <w:rPr>
          <w:rFonts w:eastAsia="Calibri"/>
          <w:color w:val="222222"/>
          <w:kern w:val="0"/>
          <w:shd w:val="clear" w:color="auto" w:fill="FFFFFF"/>
          <w:lang w:val="en-GB" w:eastAsia="en-US"/>
        </w:rPr>
        <w:t>, L. (2017). Soil and water conservation prioritization using geospatial technology–a case study of part of Subarnarekha Basin, Jharkhand, India. </w:t>
      </w:r>
      <w:r w:rsidRPr="003A339E">
        <w:rPr>
          <w:rFonts w:eastAsia="Calibri"/>
          <w:i/>
          <w:iCs/>
          <w:color w:val="222222"/>
          <w:kern w:val="0"/>
          <w:shd w:val="clear" w:color="auto" w:fill="FFFFFF"/>
          <w:lang w:val="en-GB" w:eastAsia="en-US"/>
        </w:rPr>
        <w:t>AIMS Geosciences</w:t>
      </w:r>
      <w:r w:rsidRPr="003A339E">
        <w:rPr>
          <w:rFonts w:eastAsia="Calibri"/>
          <w:color w:val="222222"/>
          <w:kern w:val="0"/>
          <w:shd w:val="clear" w:color="auto" w:fill="FFFFFF"/>
          <w:lang w:val="en-GB" w:eastAsia="en-US"/>
        </w:rPr>
        <w:t>, </w:t>
      </w:r>
      <w:r w:rsidRPr="003A339E">
        <w:rPr>
          <w:rFonts w:eastAsia="Calibri"/>
          <w:i/>
          <w:iCs/>
          <w:color w:val="222222"/>
          <w:kern w:val="0"/>
          <w:shd w:val="clear" w:color="auto" w:fill="FFFFFF"/>
          <w:lang w:val="en-GB" w:eastAsia="en-US"/>
        </w:rPr>
        <w:t>3</w:t>
      </w:r>
      <w:r w:rsidRPr="003A339E">
        <w:rPr>
          <w:rFonts w:eastAsia="Calibri"/>
          <w:color w:val="222222"/>
          <w:kern w:val="0"/>
          <w:shd w:val="clear" w:color="auto" w:fill="FFFFFF"/>
          <w:lang w:val="en-GB" w:eastAsia="en-US"/>
        </w:rPr>
        <w:t xml:space="preserve">(3), 375-395. </w:t>
      </w:r>
      <w:hyperlink r:id="rId9" w:history="1">
        <w:r w:rsidRPr="003A339E">
          <w:rPr>
            <w:rFonts w:eastAsia="Calibri"/>
            <w:color w:val="0000FF"/>
            <w:kern w:val="0"/>
            <w:u w:val="single"/>
            <w:lang w:val="en-GB" w:eastAsia="en-US"/>
          </w:rPr>
          <w:t>https://doi.org/10.3934/geosci.2017.3.375</w:t>
        </w:r>
      </w:hyperlink>
      <w:r w:rsidRPr="003A339E">
        <w:rPr>
          <w:rFonts w:eastAsia="Calibri"/>
          <w:color w:val="222222"/>
          <w:kern w:val="0"/>
          <w:shd w:val="clear" w:color="auto" w:fill="FFFFFF"/>
          <w:lang w:val="en-GB" w:eastAsia="en-US"/>
        </w:rPr>
        <w:t xml:space="preserve"> </w:t>
      </w:r>
    </w:p>
    <w:p w:rsidR="003A339E" w:rsidRPr="003A339E" w:rsidRDefault="003A339E" w:rsidP="003A339E">
      <w:pPr>
        <w:pStyle w:val="NormalWeb"/>
      </w:pPr>
      <w:r w:rsidRPr="003A339E">
        <w:rPr>
          <w:color w:val="222222"/>
          <w:shd w:val="clear" w:color="auto" w:fill="FFFFFF"/>
        </w:rPr>
        <w:lastRenderedPageBreak/>
        <w:t xml:space="preserve">Banerjee, S., Kumar, A., </w:t>
      </w:r>
      <w:proofErr w:type="spellStart"/>
      <w:r w:rsidRPr="003A339E">
        <w:rPr>
          <w:color w:val="222222"/>
          <w:shd w:val="clear" w:color="auto" w:fill="FFFFFF"/>
        </w:rPr>
        <w:t>Maiti</w:t>
      </w:r>
      <w:proofErr w:type="spellEnd"/>
      <w:r w:rsidRPr="003A339E">
        <w:rPr>
          <w:color w:val="222222"/>
          <w:shd w:val="clear" w:color="auto" w:fill="FFFFFF"/>
        </w:rPr>
        <w:t>, S. K., &amp; Chowdhury, A. (2016). Seasonal variation in heavy metal contaminations in water and sediments of Jamshedpur stretch of Subarnarekha river, India. </w:t>
      </w:r>
      <w:r w:rsidRPr="003A339E">
        <w:rPr>
          <w:i/>
          <w:iCs/>
          <w:color w:val="222222"/>
          <w:shd w:val="clear" w:color="auto" w:fill="FFFFFF"/>
        </w:rPr>
        <w:t>Environmental earth sciences</w:t>
      </w:r>
      <w:r w:rsidRPr="003A339E">
        <w:rPr>
          <w:color w:val="222222"/>
          <w:shd w:val="clear" w:color="auto" w:fill="FFFFFF"/>
        </w:rPr>
        <w:t>, </w:t>
      </w:r>
      <w:r w:rsidRPr="003A339E">
        <w:rPr>
          <w:i/>
          <w:iCs/>
          <w:color w:val="222222"/>
          <w:shd w:val="clear" w:color="auto" w:fill="FFFFFF"/>
        </w:rPr>
        <w:t>75</w:t>
      </w:r>
      <w:r w:rsidRPr="003A339E">
        <w:rPr>
          <w:color w:val="222222"/>
          <w:shd w:val="clear" w:color="auto" w:fill="FFFFFF"/>
        </w:rPr>
        <w:t xml:space="preserve">(3), 265. </w:t>
      </w:r>
      <w:hyperlink r:id="rId10" w:history="1">
        <w:r w:rsidRPr="003A339E">
          <w:rPr>
            <w:rStyle w:val="Hyperlink"/>
          </w:rPr>
          <w:t>https://doi.org/10.1007/s12665-015-4990-6</w:t>
        </w:r>
      </w:hyperlink>
    </w:p>
    <w:p w:rsidR="003A339E" w:rsidRPr="003A339E" w:rsidRDefault="003A339E" w:rsidP="003A339E">
      <w:pPr>
        <w:pStyle w:val="NormalWeb"/>
      </w:pPr>
      <w:r w:rsidRPr="003A339E">
        <w:rPr>
          <w:color w:val="222222"/>
          <w:shd w:val="clear" w:color="auto" w:fill="FFFFFF"/>
        </w:rPr>
        <w:t xml:space="preserve">Banerjee, S., </w:t>
      </w:r>
      <w:proofErr w:type="spellStart"/>
      <w:r w:rsidRPr="003A339E">
        <w:rPr>
          <w:color w:val="222222"/>
          <w:shd w:val="clear" w:color="auto" w:fill="FFFFFF"/>
        </w:rPr>
        <w:t>Maiti</w:t>
      </w:r>
      <w:proofErr w:type="spellEnd"/>
      <w:r w:rsidRPr="003A339E">
        <w:rPr>
          <w:color w:val="222222"/>
          <w:shd w:val="clear" w:color="auto" w:fill="FFFFFF"/>
        </w:rPr>
        <w:t xml:space="preserve">, S. K., &amp; Kumar, A. (2015). Metal contamination in water and bioaccumulation of metals in the planktons, </w:t>
      </w:r>
      <w:proofErr w:type="spellStart"/>
      <w:r w:rsidRPr="003A339E">
        <w:rPr>
          <w:color w:val="222222"/>
          <w:shd w:val="clear" w:color="auto" w:fill="FFFFFF"/>
        </w:rPr>
        <w:t>molluscs</w:t>
      </w:r>
      <w:proofErr w:type="spellEnd"/>
      <w:r w:rsidRPr="003A339E">
        <w:rPr>
          <w:color w:val="222222"/>
          <w:shd w:val="clear" w:color="auto" w:fill="FFFFFF"/>
        </w:rPr>
        <w:t xml:space="preserve"> and fishes in J </w:t>
      </w:r>
      <w:proofErr w:type="spellStart"/>
      <w:r w:rsidRPr="003A339E">
        <w:rPr>
          <w:color w:val="222222"/>
          <w:shd w:val="clear" w:color="auto" w:fill="FFFFFF"/>
        </w:rPr>
        <w:t>amshedpur</w:t>
      </w:r>
      <w:proofErr w:type="spellEnd"/>
      <w:r w:rsidRPr="003A339E">
        <w:rPr>
          <w:color w:val="222222"/>
          <w:shd w:val="clear" w:color="auto" w:fill="FFFFFF"/>
        </w:rPr>
        <w:t xml:space="preserve"> stretch of S </w:t>
      </w:r>
      <w:proofErr w:type="spellStart"/>
      <w:r w:rsidRPr="003A339E">
        <w:rPr>
          <w:color w:val="222222"/>
          <w:shd w:val="clear" w:color="auto" w:fill="FFFFFF"/>
        </w:rPr>
        <w:t>ubarnarekha</w:t>
      </w:r>
      <w:proofErr w:type="spellEnd"/>
      <w:r w:rsidRPr="003A339E">
        <w:rPr>
          <w:color w:val="222222"/>
          <w:shd w:val="clear" w:color="auto" w:fill="FFFFFF"/>
        </w:rPr>
        <w:t xml:space="preserve"> R </w:t>
      </w:r>
      <w:proofErr w:type="spellStart"/>
      <w:r w:rsidRPr="003A339E">
        <w:rPr>
          <w:color w:val="222222"/>
          <w:shd w:val="clear" w:color="auto" w:fill="FFFFFF"/>
        </w:rPr>
        <w:t>iver</w:t>
      </w:r>
      <w:proofErr w:type="spellEnd"/>
      <w:r w:rsidRPr="003A339E">
        <w:rPr>
          <w:color w:val="222222"/>
          <w:shd w:val="clear" w:color="auto" w:fill="FFFFFF"/>
        </w:rPr>
        <w:t xml:space="preserve"> of C </w:t>
      </w:r>
      <w:proofErr w:type="spellStart"/>
      <w:r w:rsidRPr="003A339E">
        <w:rPr>
          <w:color w:val="222222"/>
          <w:shd w:val="clear" w:color="auto" w:fill="FFFFFF"/>
        </w:rPr>
        <w:t>hotanagpur</w:t>
      </w:r>
      <w:proofErr w:type="spellEnd"/>
      <w:r w:rsidRPr="003A339E">
        <w:rPr>
          <w:color w:val="222222"/>
          <w:shd w:val="clear" w:color="auto" w:fill="FFFFFF"/>
        </w:rPr>
        <w:t xml:space="preserve"> plateau, I </w:t>
      </w:r>
      <w:proofErr w:type="spellStart"/>
      <w:r w:rsidRPr="003A339E">
        <w:rPr>
          <w:color w:val="222222"/>
          <w:shd w:val="clear" w:color="auto" w:fill="FFFFFF"/>
        </w:rPr>
        <w:t>ndia</w:t>
      </w:r>
      <w:proofErr w:type="spellEnd"/>
      <w:r w:rsidRPr="003A339E">
        <w:rPr>
          <w:color w:val="222222"/>
          <w:shd w:val="clear" w:color="auto" w:fill="FFFFFF"/>
        </w:rPr>
        <w:t>. </w:t>
      </w:r>
      <w:r w:rsidRPr="003A339E">
        <w:rPr>
          <w:i/>
          <w:iCs/>
          <w:color w:val="222222"/>
          <w:shd w:val="clear" w:color="auto" w:fill="FFFFFF"/>
        </w:rPr>
        <w:t>Water and Environment Journal</w:t>
      </w:r>
      <w:r w:rsidRPr="003A339E">
        <w:rPr>
          <w:color w:val="222222"/>
          <w:shd w:val="clear" w:color="auto" w:fill="FFFFFF"/>
        </w:rPr>
        <w:t>, </w:t>
      </w:r>
      <w:r w:rsidRPr="003A339E">
        <w:rPr>
          <w:i/>
          <w:iCs/>
          <w:color w:val="222222"/>
          <w:shd w:val="clear" w:color="auto" w:fill="FFFFFF"/>
        </w:rPr>
        <w:t>29</w:t>
      </w:r>
      <w:r w:rsidRPr="003A339E">
        <w:rPr>
          <w:color w:val="222222"/>
          <w:shd w:val="clear" w:color="auto" w:fill="FFFFFF"/>
        </w:rPr>
        <w:t xml:space="preserve">(2), 207-213. </w:t>
      </w:r>
      <w:hyperlink r:id="rId11" w:history="1">
        <w:r w:rsidRPr="003A339E">
          <w:rPr>
            <w:rStyle w:val="Hyperlink"/>
          </w:rPr>
          <w:t>https://doi.org/10.1111/wej.12108</w:t>
        </w:r>
      </w:hyperlink>
      <w:r w:rsidRPr="003A339E">
        <w:t xml:space="preserve"> </w:t>
      </w:r>
    </w:p>
    <w:p w:rsidR="003A339E" w:rsidRPr="003A339E" w:rsidRDefault="003A339E" w:rsidP="003A339E">
      <w:pPr>
        <w:pStyle w:val="NormalWeb"/>
      </w:pPr>
      <w:r w:rsidRPr="003A339E">
        <w:rPr>
          <w:color w:val="222222"/>
          <w:shd w:val="clear" w:color="auto" w:fill="FFFFFF"/>
        </w:rPr>
        <w:t xml:space="preserve">Barbarossa, V., </w:t>
      </w:r>
      <w:proofErr w:type="spellStart"/>
      <w:r w:rsidRPr="003A339E">
        <w:rPr>
          <w:color w:val="222222"/>
          <w:shd w:val="clear" w:color="auto" w:fill="FFFFFF"/>
        </w:rPr>
        <w:t>Bosmans</w:t>
      </w:r>
      <w:proofErr w:type="spellEnd"/>
      <w:r w:rsidRPr="003A339E">
        <w:rPr>
          <w:color w:val="222222"/>
          <w:shd w:val="clear" w:color="auto" w:fill="FFFFFF"/>
        </w:rPr>
        <w:t xml:space="preserve">, J., Wanders, N., King, H., </w:t>
      </w:r>
      <w:proofErr w:type="spellStart"/>
      <w:r w:rsidRPr="003A339E">
        <w:rPr>
          <w:color w:val="222222"/>
          <w:shd w:val="clear" w:color="auto" w:fill="FFFFFF"/>
        </w:rPr>
        <w:t>Bierkens</w:t>
      </w:r>
      <w:proofErr w:type="spellEnd"/>
      <w:r w:rsidRPr="003A339E">
        <w:rPr>
          <w:color w:val="222222"/>
          <w:shd w:val="clear" w:color="auto" w:fill="FFFFFF"/>
        </w:rPr>
        <w:t xml:space="preserve">, M. F., </w:t>
      </w:r>
      <w:proofErr w:type="spellStart"/>
      <w:r w:rsidRPr="003A339E">
        <w:rPr>
          <w:color w:val="222222"/>
          <w:shd w:val="clear" w:color="auto" w:fill="FFFFFF"/>
        </w:rPr>
        <w:t>Huijbregts</w:t>
      </w:r>
      <w:proofErr w:type="spellEnd"/>
      <w:r w:rsidRPr="003A339E">
        <w:rPr>
          <w:color w:val="222222"/>
          <w:shd w:val="clear" w:color="auto" w:fill="FFFFFF"/>
        </w:rPr>
        <w:t>, M. A., &amp; Schipper, A. M. (2021). Threats of global warming to the world’s freshwater fishes. </w:t>
      </w:r>
      <w:r w:rsidRPr="003A339E">
        <w:rPr>
          <w:i/>
          <w:iCs/>
          <w:color w:val="222222"/>
          <w:shd w:val="clear" w:color="auto" w:fill="FFFFFF"/>
        </w:rPr>
        <w:t>Nature communications</w:t>
      </w:r>
      <w:r w:rsidRPr="003A339E">
        <w:rPr>
          <w:color w:val="222222"/>
          <w:shd w:val="clear" w:color="auto" w:fill="FFFFFF"/>
        </w:rPr>
        <w:t>, </w:t>
      </w:r>
      <w:r w:rsidRPr="003A339E">
        <w:rPr>
          <w:i/>
          <w:iCs/>
          <w:color w:val="222222"/>
          <w:shd w:val="clear" w:color="auto" w:fill="FFFFFF"/>
        </w:rPr>
        <w:t>12</w:t>
      </w:r>
      <w:r w:rsidRPr="003A339E">
        <w:rPr>
          <w:color w:val="222222"/>
          <w:shd w:val="clear" w:color="auto" w:fill="FFFFFF"/>
        </w:rPr>
        <w:t xml:space="preserve">(1), 1701. </w:t>
      </w:r>
      <w:hyperlink r:id="rId12" w:tgtFrame="_new" w:history="1">
        <w:r w:rsidRPr="003A339E">
          <w:rPr>
            <w:rStyle w:val="Hyperlink"/>
          </w:rPr>
          <w:t>https://doi.org/10.1038/s41467-021-21655-w</w:t>
        </w:r>
      </w:hyperlink>
      <w:r w:rsidRPr="003A339E">
        <w:t xml:space="preserve"> </w:t>
      </w:r>
    </w:p>
    <w:p w:rsidR="003A339E" w:rsidRPr="003A339E" w:rsidRDefault="003A339E" w:rsidP="003A339E">
      <w:pPr>
        <w:pStyle w:val="NormalWeb"/>
      </w:pPr>
      <w:r w:rsidRPr="003A339E">
        <w:rPr>
          <w:color w:val="222222"/>
          <w:shd w:val="clear" w:color="auto" w:fill="FFFFFF"/>
        </w:rPr>
        <w:t xml:space="preserve">Barbarossa, V., Schmitt, R. J., </w:t>
      </w:r>
      <w:proofErr w:type="spellStart"/>
      <w:r w:rsidRPr="003A339E">
        <w:rPr>
          <w:color w:val="222222"/>
          <w:shd w:val="clear" w:color="auto" w:fill="FFFFFF"/>
        </w:rPr>
        <w:t>Huijbregts</w:t>
      </w:r>
      <w:proofErr w:type="spellEnd"/>
      <w:r w:rsidRPr="003A339E">
        <w:rPr>
          <w:color w:val="222222"/>
          <w:shd w:val="clear" w:color="auto" w:fill="FFFFFF"/>
        </w:rPr>
        <w:t xml:space="preserve">, M. A., </w:t>
      </w:r>
      <w:proofErr w:type="spellStart"/>
      <w:r w:rsidRPr="003A339E">
        <w:rPr>
          <w:color w:val="222222"/>
          <w:shd w:val="clear" w:color="auto" w:fill="FFFFFF"/>
        </w:rPr>
        <w:t>Zarfl</w:t>
      </w:r>
      <w:proofErr w:type="spellEnd"/>
      <w:r w:rsidRPr="003A339E">
        <w:rPr>
          <w:color w:val="222222"/>
          <w:shd w:val="clear" w:color="auto" w:fill="FFFFFF"/>
        </w:rPr>
        <w:t>, C., King, H., &amp; Schipper, A. M. (2020). Impacts of current and future large dams on the geographic range connectivity of freshwater fish worldwide. </w:t>
      </w:r>
      <w:r w:rsidRPr="003A339E">
        <w:rPr>
          <w:i/>
          <w:iCs/>
          <w:color w:val="222222"/>
          <w:shd w:val="clear" w:color="auto" w:fill="FFFFFF"/>
        </w:rPr>
        <w:t>Proceedings of the National Academy of Sciences</w:t>
      </w:r>
      <w:r w:rsidRPr="003A339E">
        <w:rPr>
          <w:color w:val="222222"/>
          <w:shd w:val="clear" w:color="auto" w:fill="FFFFFF"/>
        </w:rPr>
        <w:t>, </w:t>
      </w:r>
      <w:r w:rsidRPr="003A339E">
        <w:rPr>
          <w:i/>
          <w:iCs/>
          <w:color w:val="222222"/>
          <w:shd w:val="clear" w:color="auto" w:fill="FFFFFF"/>
        </w:rPr>
        <w:t>117</w:t>
      </w:r>
      <w:r w:rsidRPr="003A339E">
        <w:rPr>
          <w:color w:val="222222"/>
          <w:shd w:val="clear" w:color="auto" w:fill="FFFFFF"/>
        </w:rPr>
        <w:t xml:space="preserve">(7), 3648-3655. </w:t>
      </w:r>
      <w:hyperlink r:id="rId13" w:tgtFrame="_new" w:history="1">
        <w:r w:rsidRPr="003A339E">
          <w:rPr>
            <w:rStyle w:val="Hyperlink"/>
          </w:rPr>
          <w:t>https://doi.org/10.1073/pnas.1912776117</w:t>
        </w:r>
      </w:hyperlink>
      <w:r w:rsidRPr="003A339E">
        <w:t xml:space="preserve"> </w:t>
      </w:r>
    </w:p>
    <w:p w:rsidR="003A339E" w:rsidRPr="003A339E" w:rsidRDefault="003A339E" w:rsidP="003A339E">
      <w:pPr>
        <w:spacing w:before="120" w:after="120" w:line="259" w:lineRule="auto"/>
        <w:ind w:left="0" w:right="0" w:firstLine="0"/>
        <w:jc w:val="left"/>
        <w:rPr>
          <w:rFonts w:eastAsia="Calibri"/>
          <w:color w:val="222222"/>
          <w:kern w:val="0"/>
          <w:shd w:val="clear" w:color="auto" w:fill="FFFFFF"/>
          <w:lang w:val="en-GB" w:eastAsia="en-US"/>
        </w:rPr>
      </w:pPr>
      <w:r w:rsidRPr="003A339E">
        <w:rPr>
          <w:rFonts w:eastAsia="Calibri"/>
          <w:color w:val="222222"/>
          <w:kern w:val="0"/>
          <w:shd w:val="clear" w:color="auto" w:fill="FFFFFF"/>
          <w:lang w:val="en-GB" w:eastAsia="en-US"/>
        </w:rPr>
        <w:t xml:space="preserve">Bhandari, U., &amp; Mukhopadhyay, U. (2022). An Integrated Approach of River Health Assessment Based on </w:t>
      </w:r>
      <w:proofErr w:type="spellStart"/>
      <w:r w:rsidRPr="003A339E">
        <w:rPr>
          <w:rFonts w:eastAsia="Calibri"/>
          <w:color w:val="222222"/>
          <w:kern w:val="0"/>
          <w:shd w:val="clear" w:color="auto" w:fill="FFFFFF"/>
          <w:lang w:val="en-GB" w:eastAsia="en-US"/>
        </w:rPr>
        <w:t>Physico</w:t>
      </w:r>
      <w:proofErr w:type="spellEnd"/>
      <w:r w:rsidRPr="003A339E">
        <w:rPr>
          <w:rFonts w:eastAsia="Calibri"/>
          <w:color w:val="222222"/>
          <w:kern w:val="0"/>
          <w:shd w:val="clear" w:color="auto" w:fill="FFFFFF"/>
          <w:lang w:val="en-GB" w:eastAsia="en-US"/>
        </w:rPr>
        <w:t>-chemical Parameters of the River Subarnarekha, India. In </w:t>
      </w:r>
      <w:r w:rsidRPr="003A339E">
        <w:rPr>
          <w:rFonts w:eastAsia="Calibri"/>
          <w:i/>
          <w:iCs/>
          <w:color w:val="222222"/>
          <w:kern w:val="0"/>
          <w:shd w:val="clear" w:color="auto" w:fill="FFFFFF"/>
          <w:lang w:val="en-GB" w:eastAsia="en-US"/>
        </w:rPr>
        <w:t>Drainage Basin Dynamics: An Introduction to Morphology, Landscape and Modelling</w:t>
      </w:r>
      <w:r w:rsidRPr="003A339E">
        <w:rPr>
          <w:rFonts w:eastAsia="Calibri"/>
          <w:color w:val="222222"/>
          <w:kern w:val="0"/>
          <w:shd w:val="clear" w:color="auto" w:fill="FFFFFF"/>
          <w:lang w:val="en-GB" w:eastAsia="en-US"/>
        </w:rPr>
        <w:t xml:space="preserve"> (pp. 383-406). Cham: Springer International Publishing. </w:t>
      </w:r>
      <w:hyperlink r:id="rId14" w:history="1">
        <w:r w:rsidRPr="003A339E">
          <w:rPr>
            <w:rFonts w:eastAsia="Calibri"/>
            <w:color w:val="0000FF"/>
            <w:kern w:val="0"/>
            <w:u w:val="single"/>
            <w:lang w:val="en-GB" w:eastAsia="en-US"/>
          </w:rPr>
          <w:t>https://doi.org/10.1007/978-3-030-79634-1_17</w:t>
        </w:r>
      </w:hyperlink>
      <w:r w:rsidRPr="003A339E">
        <w:rPr>
          <w:rFonts w:eastAsia="Calibri"/>
          <w:color w:val="222222"/>
          <w:kern w:val="0"/>
          <w:shd w:val="clear" w:color="auto" w:fill="FFFFFF"/>
          <w:lang w:val="en-GB" w:eastAsia="en-US"/>
        </w:rPr>
        <w:t xml:space="preserve"> </w:t>
      </w:r>
    </w:p>
    <w:p w:rsidR="003A339E" w:rsidRPr="003A339E" w:rsidRDefault="003A339E" w:rsidP="003A339E">
      <w:pPr>
        <w:pStyle w:val="NormalWeb"/>
      </w:pPr>
      <w:r w:rsidRPr="003A339E">
        <w:rPr>
          <w:color w:val="222222"/>
          <w:shd w:val="clear" w:color="auto" w:fill="FFFFFF"/>
        </w:rPr>
        <w:t>Bunn, S. E., &amp; Arthington, A. H. (2002). Basic principles and ecological consequences of altered flow regimes for aquatic biodiversity. </w:t>
      </w:r>
      <w:r w:rsidRPr="003A339E">
        <w:rPr>
          <w:i/>
          <w:iCs/>
          <w:color w:val="222222"/>
          <w:shd w:val="clear" w:color="auto" w:fill="FFFFFF"/>
        </w:rPr>
        <w:t>Environmental management</w:t>
      </w:r>
      <w:r w:rsidRPr="003A339E">
        <w:rPr>
          <w:color w:val="222222"/>
          <w:shd w:val="clear" w:color="auto" w:fill="FFFFFF"/>
        </w:rPr>
        <w:t>, </w:t>
      </w:r>
      <w:r w:rsidRPr="003A339E">
        <w:rPr>
          <w:i/>
          <w:iCs/>
          <w:color w:val="222222"/>
          <w:shd w:val="clear" w:color="auto" w:fill="FFFFFF"/>
        </w:rPr>
        <w:t>30</w:t>
      </w:r>
      <w:r w:rsidRPr="003A339E">
        <w:rPr>
          <w:color w:val="222222"/>
          <w:shd w:val="clear" w:color="auto" w:fill="FFFFFF"/>
        </w:rPr>
        <w:t xml:space="preserve">(4), 492-507. </w:t>
      </w:r>
      <w:hyperlink r:id="rId15" w:history="1">
        <w:r w:rsidRPr="003A339E">
          <w:rPr>
            <w:rStyle w:val="Hyperlink"/>
          </w:rPr>
          <w:t>https://doi.org/10.1007/s00267-002-2737-0</w:t>
        </w:r>
      </w:hyperlink>
      <w:r w:rsidRPr="003A339E">
        <w:t xml:space="preserve"> </w:t>
      </w:r>
    </w:p>
    <w:p w:rsidR="003A339E" w:rsidRPr="003A339E" w:rsidRDefault="003A339E" w:rsidP="003A339E">
      <w:pPr>
        <w:pStyle w:val="NormalWeb"/>
      </w:pPr>
      <w:proofErr w:type="spellStart"/>
      <w:r w:rsidRPr="003A339E">
        <w:rPr>
          <w:color w:val="222222"/>
          <w:shd w:val="clear" w:color="auto" w:fill="FFFFFF"/>
        </w:rPr>
        <w:t>Chevillot</w:t>
      </w:r>
      <w:proofErr w:type="spellEnd"/>
      <w:r w:rsidRPr="003A339E">
        <w:rPr>
          <w:color w:val="222222"/>
          <w:shd w:val="clear" w:color="auto" w:fill="FFFFFF"/>
        </w:rPr>
        <w:t xml:space="preserve">, X., </w:t>
      </w:r>
      <w:proofErr w:type="spellStart"/>
      <w:r w:rsidRPr="003A339E">
        <w:rPr>
          <w:color w:val="222222"/>
          <w:shd w:val="clear" w:color="auto" w:fill="FFFFFF"/>
        </w:rPr>
        <w:t>Drouineau</w:t>
      </w:r>
      <w:proofErr w:type="spellEnd"/>
      <w:r w:rsidRPr="003A339E">
        <w:rPr>
          <w:color w:val="222222"/>
          <w:shd w:val="clear" w:color="auto" w:fill="FFFFFF"/>
        </w:rPr>
        <w:t xml:space="preserve">, H., Lambert, P., </w:t>
      </w:r>
      <w:proofErr w:type="spellStart"/>
      <w:r w:rsidRPr="003A339E">
        <w:rPr>
          <w:color w:val="222222"/>
          <w:shd w:val="clear" w:color="auto" w:fill="FFFFFF"/>
        </w:rPr>
        <w:t>Carassou</w:t>
      </w:r>
      <w:proofErr w:type="spellEnd"/>
      <w:r w:rsidRPr="003A339E">
        <w:rPr>
          <w:color w:val="222222"/>
          <w:shd w:val="clear" w:color="auto" w:fill="FFFFFF"/>
        </w:rPr>
        <w:t xml:space="preserve">, L., </w:t>
      </w:r>
      <w:proofErr w:type="spellStart"/>
      <w:r w:rsidRPr="003A339E">
        <w:rPr>
          <w:color w:val="222222"/>
          <w:shd w:val="clear" w:color="auto" w:fill="FFFFFF"/>
        </w:rPr>
        <w:t>Sautour</w:t>
      </w:r>
      <w:proofErr w:type="spellEnd"/>
      <w:r w:rsidRPr="003A339E">
        <w:rPr>
          <w:color w:val="222222"/>
          <w:shd w:val="clear" w:color="auto" w:fill="FFFFFF"/>
        </w:rPr>
        <w:t xml:space="preserve">, B., &amp; </w:t>
      </w:r>
      <w:proofErr w:type="spellStart"/>
      <w:r w:rsidRPr="003A339E">
        <w:rPr>
          <w:color w:val="222222"/>
          <w:shd w:val="clear" w:color="auto" w:fill="FFFFFF"/>
        </w:rPr>
        <w:t>Lobry</w:t>
      </w:r>
      <w:proofErr w:type="spellEnd"/>
      <w:r w:rsidRPr="003A339E">
        <w:rPr>
          <w:color w:val="222222"/>
          <w:shd w:val="clear" w:color="auto" w:fill="FFFFFF"/>
        </w:rPr>
        <w:t xml:space="preserve">, J. (2017). Toward a phenological mismatch in estuarine pelagic food </w:t>
      </w:r>
      <w:proofErr w:type="gramStart"/>
      <w:r w:rsidRPr="003A339E">
        <w:rPr>
          <w:color w:val="222222"/>
          <w:shd w:val="clear" w:color="auto" w:fill="FFFFFF"/>
        </w:rPr>
        <w:t>web?.</w:t>
      </w:r>
      <w:proofErr w:type="gramEnd"/>
      <w:r w:rsidRPr="003A339E">
        <w:rPr>
          <w:color w:val="222222"/>
          <w:shd w:val="clear" w:color="auto" w:fill="FFFFFF"/>
        </w:rPr>
        <w:t> </w:t>
      </w:r>
      <w:proofErr w:type="spellStart"/>
      <w:r w:rsidRPr="003A339E">
        <w:rPr>
          <w:i/>
          <w:iCs/>
          <w:color w:val="222222"/>
          <w:shd w:val="clear" w:color="auto" w:fill="FFFFFF"/>
        </w:rPr>
        <w:t>Plos</w:t>
      </w:r>
      <w:proofErr w:type="spellEnd"/>
      <w:r w:rsidRPr="003A339E">
        <w:rPr>
          <w:i/>
          <w:iCs/>
          <w:color w:val="222222"/>
          <w:shd w:val="clear" w:color="auto" w:fill="FFFFFF"/>
        </w:rPr>
        <w:t xml:space="preserve"> one</w:t>
      </w:r>
      <w:r w:rsidRPr="003A339E">
        <w:rPr>
          <w:color w:val="222222"/>
          <w:shd w:val="clear" w:color="auto" w:fill="FFFFFF"/>
        </w:rPr>
        <w:t>, </w:t>
      </w:r>
      <w:r w:rsidRPr="003A339E">
        <w:rPr>
          <w:i/>
          <w:iCs/>
          <w:color w:val="222222"/>
          <w:shd w:val="clear" w:color="auto" w:fill="FFFFFF"/>
        </w:rPr>
        <w:t>12</w:t>
      </w:r>
      <w:r w:rsidRPr="003A339E">
        <w:rPr>
          <w:color w:val="222222"/>
          <w:shd w:val="clear" w:color="auto" w:fill="FFFFFF"/>
        </w:rPr>
        <w:t xml:space="preserve">(3), e0173752. </w:t>
      </w:r>
      <w:hyperlink r:id="rId16" w:history="1">
        <w:r w:rsidRPr="003A339E">
          <w:rPr>
            <w:rStyle w:val="Hyperlink"/>
          </w:rPr>
          <w:t>https://doi.org/10.1371/journal.pone.0173752</w:t>
        </w:r>
      </w:hyperlink>
      <w:r w:rsidRPr="003A339E">
        <w:t xml:space="preserve"> </w:t>
      </w:r>
    </w:p>
    <w:p w:rsidR="003A339E" w:rsidRPr="003A339E" w:rsidRDefault="003A339E" w:rsidP="003A339E">
      <w:pPr>
        <w:pStyle w:val="NormalWeb"/>
      </w:pPr>
      <w:r w:rsidRPr="003A339E">
        <w:rPr>
          <w:color w:val="222222"/>
          <w:shd w:val="clear" w:color="auto" w:fill="FFFFFF"/>
        </w:rPr>
        <w:t xml:space="preserve">Cho, K. H., </w:t>
      </w:r>
      <w:proofErr w:type="spellStart"/>
      <w:r w:rsidRPr="003A339E">
        <w:rPr>
          <w:color w:val="222222"/>
          <w:shd w:val="clear" w:color="auto" w:fill="FFFFFF"/>
        </w:rPr>
        <w:t>Pachepsky</w:t>
      </w:r>
      <w:proofErr w:type="spellEnd"/>
      <w:r w:rsidRPr="003A339E">
        <w:rPr>
          <w:color w:val="222222"/>
          <w:shd w:val="clear" w:color="auto" w:fill="FFFFFF"/>
        </w:rPr>
        <w:t xml:space="preserve">, Y., </w:t>
      </w:r>
      <w:proofErr w:type="spellStart"/>
      <w:r w:rsidRPr="003A339E">
        <w:rPr>
          <w:color w:val="222222"/>
          <w:shd w:val="clear" w:color="auto" w:fill="FFFFFF"/>
        </w:rPr>
        <w:t>Ligaray</w:t>
      </w:r>
      <w:proofErr w:type="spellEnd"/>
      <w:r w:rsidRPr="003A339E">
        <w:rPr>
          <w:color w:val="222222"/>
          <w:shd w:val="clear" w:color="auto" w:fill="FFFFFF"/>
        </w:rPr>
        <w:t>, M., Kwon, Y., &amp; Kim, K. H. (2020). Data assimilation in surface water quality modeling: A review. </w:t>
      </w:r>
      <w:r w:rsidRPr="003A339E">
        <w:rPr>
          <w:i/>
          <w:iCs/>
          <w:color w:val="222222"/>
          <w:shd w:val="clear" w:color="auto" w:fill="FFFFFF"/>
        </w:rPr>
        <w:t>Water Research</w:t>
      </w:r>
      <w:r w:rsidRPr="003A339E">
        <w:rPr>
          <w:color w:val="222222"/>
          <w:shd w:val="clear" w:color="auto" w:fill="FFFFFF"/>
        </w:rPr>
        <w:t>, </w:t>
      </w:r>
      <w:r w:rsidRPr="003A339E">
        <w:rPr>
          <w:i/>
          <w:iCs/>
          <w:color w:val="222222"/>
          <w:shd w:val="clear" w:color="auto" w:fill="FFFFFF"/>
        </w:rPr>
        <w:t>186</w:t>
      </w:r>
      <w:r w:rsidRPr="003A339E">
        <w:rPr>
          <w:color w:val="222222"/>
          <w:shd w:val="clear" w:color="auto" w:fill="FFFFFF"/>
        </w:rPr>
        <w:t xml:space="preserve">, 116307. </w:t>
      </w:r>
      <w:hyperlink r:id="rId17" w:history="1">
        <w:r w:rsidRPr="003A339E">
          <w:rPr>
            <w:rStyle w:val="Hyperlink"/>
          </w:rPr>
          <w:t>https://doi.org/10.1016/j.watres.2020.116307</w:t>
        </w:r>
      </w:hyperlink>
      <w:r w:rsidRPr="003A339E">
        <w:t xml:space="preserve"> </w:t>
      </w:r>
    </w:p>
    <w:p w:rsidR="003A339E" w:rsidRPr="003A339E" w:rsidRDefault="003A339E" w:rsidP="003A339E">
      <w:pPr>
        <w:pStyle w:val="NormalWeb"/>
      </w:pPr>
      <w:r w:rsidRPr="003A339E">
        <w:rPr>
          <w:color w:val="222222"/>
          <w:shd w:val="clear" w:color="auto" w:fill="FFFFFF"/>
        </w:rPr>
        <w:t xml:space="preserve">Comte, L., Buisson, L., </w:t>
      </w:r>
      <w:proofErr w:type="spellStart"/>
      <w:r w:rsidRPr="003A339E">
        <w:rPr>
          <w:color w:val="222222"/>
          <w:shd w:val="clear" w:color="auto" w:fill="FFFFFF"/>
        </w:rPr>
        <w:t>Daufresne</w:t>
      </w:r>
      <w:proofErr w:type="spellEnd"/>
      <w:r w:rsidRPr="003A339E">
        <w:rPr>
          <w:color w:val="222222"/>
          <w:shd w:val="clear" w:color="auto" w:fill="FFFFFF"/>
        </w:rPr>
        <w:t xml:space="preserve">, M., &amp; </w:t>
      </w:r>
      <w:proofErr w:type="spellStart"/>
      <w:r w:rsidRPr="003A339E">
        <w:rPr>
          <w:color w:val="222222"/>
          <w:shd w:val="clear" w:color="auto" w:fill="FFFFFF"/>
        </w:rPr>
        <w:t>Grenouillet</w:t>
      </w:r>
      <w:proofErr w:type="spellEnd"/>
      <w:r w:rsidRPr="003A339E">
        <w:rPr>
          <w:color w:val="222222"/>
          <w:shd w:val="clear" w:color="auto" w:fill="FFFFFF"/>
        </w:rPr>
        <w:t>, G. (2013). Climate‐induced changes in the distribution of freshwater fish: observed and predicted trends. </w:t>
      </w:r>
      <w:r w:rsidRPr="003A339E">
        <w:rPr>
          <w:i/>
          <w:iCs/>
          <w:color w:val="222222"/>
          <w:shd w:val="clear" w:color="auto" w:fill="FFFFFF"/>
        </w:rPr>
        <w:t>Freshwater Biology</w:t>
      </w:r>
      <w:r w:rsidRPr="003A339E">
        <w:rPr>
          <w:color w:val="222222"/>
          <w:shd w:val="clear" w:color="auto" w:fill="FFFFFF"/>
        </w:rPr>
        <w:t>, </w:t>
      </w:r>
      <w:r w:rsidRPr="003A339E">
        <w:rPr>
          <w:i/>
          <w:iCs/>
          <w:color w:val="222222"/>
          <w:shd w:val="clear" w:color="auto" w:fill="FFFFFF"/>
        </w:rPr>
        <w:t>58</w:t>
      </w:r>
      <w:r w:rsidRPr="003A339E">
        <w:rPr>
          <w:color w:val="222222"/>
          <w:shd w:val="clear" w:color="auto" w:fill="FFFFFF"/>
        </w:rPr>
        <w:t xml:space="preserve">(4), 625-639. </w:t>
      </w:r>
      <w:hyperlink r:id="rId18" w:history="1">
        <w:r w:rsidRPr="003A339E">
          <w:rPr>
            <w:rStyle w:val="Hyperlink"/>
          </w:rPr>
          <w:t>https://doi.org/10.1111/fwb.12081</w:t>
        </w:r>
      </w:hyperlink>
      <w:r w:rsidRPr="003A339E">
        <w:t xml:space="preserve"> </w:t>
      </w:r>
    </w:p>
    <w:p w:rsidR="003A339E" w:rsidRPr="003A339E" w:rsidRDefault="003A339E" w:rsidP="003A339E">
      <w:pPr>
        <w:spacing w:before="120" w:after="120" w:line="259" w:lineRule="auto"/>
        <w:ind w:left="0" w:right="0" w:firstLine="0"/>
        <w:jc w:val="left"/>
        <w:rPr>
          <w:rFonts w:eastAsia="Calibri"/>
          <w:color w:val="222222"/>
          <w:kern w:val="0"/>
          <w:shd w:val="clear" w:color="auto" w:fill="FFFFFF"/>
          <w:lang w:val="en-GB" w:eastAsia="en-US"/>
        </w:rPr>
      </w:pPr>
      <w:proofErr w:type="spellStart"/>
      <w:r w:rsidRPr="003A339E">
        <w:rPr>
          <w:rFonts w:eastAsia="Calibri"/>
          <w:color w:val="222222"/>
          <w:kern w:val="0"/>
          <w:shd w:val="clear" w:color="auto" w:fill="FFFFFF"/>
          <w:lang w:val="en-GB" w:eastAsia="en-US"/>
        </w:rPr>
        <w:t>Dahanga</w:t>
      </w:r>
      <w:proofErr w:type="spellEnd"/>
      <w:r w:rsidRPr="003A339E">
        <w:rPr>
          <w:rFonts w:eastAsia="Calibri"/>
          <w:color w:val="222222"/>
          <w:kern w:val="0"/>
          <w:shd w:val="clear" w:color="auto" w:fill="FFFFFF"/>
          <w:lang w:val="en-GB" w:eastAsia="en-US"/>
        </w:rPr>
        <w:t>, P., &amp; Nath, S. (2024). Monitoring and Assessment of Subarnarekha River Water Quality Using Water Quality Index. </w:t>
      </w:r>
      <w:r w:rsidRPr="003A339E">
        <w:rPr>
          <w:rFonts w:eastAsia="Calibri"/>
          <w:i/>
          <w:iCs/>
          <w:color w:val="222222"/>
          <w:kern w:val="0"/>
          <w:shd w:val="clear" w:color="auto" w:fill="FFFFFF"/>
          <w:lang w:val="en-GB" w:eastAsia="en-US"/>
        </w:rPr>
        <w:t>International Journal of Environment and Climate Change</w:t>
      </w:r>
      <w:r w:rsidRPr="003A339E">
        <w:rPr>
          <w:rFonts w:eastAsia="Calibri"/>
          <w:color w:val="222222"/>
          <w:kern w:val="0"/>
          <w:shd w:val="clear" w:color="auto" w:fill="FFFFFF"/>
          <w:lang w:val="en-GB" w:eastAsia="en-US"/>
        </w:rPr>
        <w:t>, </w:t>
      </w:r>
      <w:r w:rsidRPr="003A339E">
        <w:rPr>
          <w:rFonts w:eastAsia="Calibri"/>
          <w:i/>
          <w:iCs/>
          <w:color w:val="222222"/>
          <w:kern w:val="0"/>
          <w:shd w:val="clear" w:color="auto" w:fill="FFFFFF"/>
          <w:lang w:val="en-GB" w:eastAsia="en-US"/>
        </w:rPr>
        <w:t>14</w:t>
      </w:r>
      <w:r w:rsidRPr="003A339E">
        <w:rPr>
          <w:rFonts w:eastAsia="Calibri"/>
          <w:color w:val="222222"/>
          <w:kern w:val="0"/>
          <w:shd w:val="clear" w:color="auto" w:fill="FFFFFF"/>
          <w:lang w:val="en-GB" w:eastAsia="en-US"/>
        </w:rPr>
        <w:t xml:space="preserve">(10), 81-91. </w:t>
      </w:r>
      <w:hyperlink r:id="rId19" w:history="1">
        <w:r w:rsidRPr="003A339E">
          <w:rPr>
            <w:rFonts w:eastAsia="Calibri"/>
            <w:color w:val="0000FF"/>
            <w:kern w:val="0"/>
            <w:u w:val="single"/>
            <w:lang w:val="en-GB" w:eastAsia="en-US"/>
          </w:rPr>
          <w:t>https://dx.doi.org/10.9734/ijecc/2024/v14i104469</w:t>
        </w:r>
      </w:hyperlink>
      <w:r w:rsidRPr="003A339E">
        <w:rPr>
          <w:rFonts w:eastAsia="Calibri"/>
          <w:color w:val="222222"/>
          <w:kern w:val="0"/>
          <w:shd w:val="clear" w:color="auto" w:fill="FFFFFF"/>
          <w:lang w:val="en-GB" w:eastAsia="en-US"/>
        </w:rPr>
        <w:t xml:space="preserve"> </w:t>
      </w:r>
    </w:p>
    <w:p w:rsidR="003A339E" w:rsidRPr="003A339E" w:rsidRDefault="003A339E" w:rsidP="003A339E">
      <w:pPr>
        <w:pStyle w:val="NormalWeb"/>
      </w:pPr>
      <w:r w:rsidRPr="003A339E">
        <w:rPr>
          <w:color w:val="222222"/>
          <w:shd w:val="clear" w:color="auto" w:fill="FFFFFF"/>
        </w:rPr>
        <w:t xml:space="preserve">Dai, Q., </w:t>
      </w:r>
      <w:proofErr w:type="spellStart"/>
      <w:r w:rsidRPr="003A339E">
        <w:rPr>
          <w:color w:val="222222"/>
          <w:shd w:val="clear" w:color="auto" w:fill="FFFFFF"/>
        </w:rPr>
        <w:t>Hostert</w:t>
      </w:r>
      <w:proofErr w:type="spellEnd"/>
      <w:r w:rsidRPr="003A339E">
        <w:rPr>
          <w:color w:val="222222"/>
          <w:shd w:val="clear" w:color="auto" w:fill="FFFFFF"/>
        </w:rPr>
        <w:t xml:space="preserve">, L. E., </w:t>
      </w:r>
      <w:proofErr w:type="spellStart"/>
      <w:r w:rsidRPr="003A339E">
        <w:rPr>
          <w:color w:val="222222"/>
          <w:shd w:val="clear" w:color="auto" w:fill="FFFFFF"/>
        </w:rPr>
        <w:t>Rondon</w:t>
      </w:r>
      <w:proofErr w:type="spellEnd"/>
      <w:r w:rsidRPr="003A339E">
        <w:rPr>
          <w:color w:val="222222"/>
          <w:shd w:val="clear" w:color="auto" w:fill="FFFFFF"/>
        </w:rPr>
        <w:t xml:space="preserve">, J. K., Cao, Y., &amp; </w:t>
      </w:r>
      <w:proofErr w:type="spellStart"/>
      <w:r w:rsidRPr="003A339E">
        <w:rPr>
          <w:color w:val="222222"/>
          <w:shd w:val="clear" w:color="auto" w:fill="FFFFFF"/>
        </w:rPr>
        <w:t>Suski</w:t>
      </w:r>
      <w:proofErr w:type="spellEnd"/>
      <w:r w:rsidRPr="003A339E">
        <w:rPr>
          <w:color w:val="222222"/>
          <w:shd w:val="clear" w:color="auto" w:fill="FFFFFF"/>
        </w:rPr>
        <w:t xml:space="preserve">, C. D. (2022). Thermal tolerance of fish to heatwaves in agricultural streams: What does not kill you makes you </w:t>
      </w:r>
      <w:proofErr w:type="gramStart"/>
      <w:r w:rsidRPr="003A339E">
        <w:rPr>
          <w:color w:val="222222"/>
          <w:shd w:val="clear" w:color="auto" w:fill="FFFFFF"/>
        </w:rPr>
        <w:t>stronger?.</w:t>
      </w:r>
      <w:proofErr w:type="gramEnd"/>
      <w:r w:rsidRPr="003A339E">
        <w:rPr>
          <w:color w:val="222222"/>
          <w:shd w:val="clear" w:color="auto" w:fill="FFFFFF"/>
        </w:rPr>
        <w:t> </w:t>
      </w:r>
      <w:r w:rsidRPr="003A339E">
        <w:rPr>
          <w:i/>
          <w:iCs/>
          <w:color w:val="222222"/>
          <w:shd w:val="clear" w:color="auto" w:fill="FFFFFF"/>
        </w:rPr>
        <w:t>Freshwater Biology</w:t>
      </w:r>
      <w:r w:rsidRPr="003A339E">
        <w:rPr>
          <w:color w:val="222222"/>
          <w:shd w:val="clear" w:color="auto" w:fill="FFFFFF"/>
        </w:rPr>
        <w:t>, </w:t>
      </w:r>
      <w:r w:rsidRPr="003A339E">
        <w:rPr>
          <w:i/>
          <w:iCs/>
          <w:color w:val="222222"/>
          <w:shd w:val="clear" w:color="auto" w:fill="FFFFFF"/>
        </w:rPr>
        <w:t>67</w:t>
      </w:r>
      <w:r w:rsidRPr="003A339E">
        <w:rPr>
          <w:color w:val="222222"/>
          <w:shd w:val="clear" w:color="auto" w:fill="FFFFFF"/>
        </w:rPr>
        <w:t xml:space="preserve">(10), 1801-1814. </w:t>
      </w:r>
      <w:hyperlink r:id="rId20" w:history="1">
        <w:r w:rsidRPr="003A339E">
          <w:rPr>
            <w:rStyle w:val="Hyperlink"/>
          </w:rPr>
          <w:t>https://doi.org/10.1111/fwb.13976</w:t>
        </w:r>
      </w:hyperlink>
      <w:r w:rsidRPr="003A339E">
        <w:t xml:space="preserve"> </w:t>
      </w:r>
    </w:p>
    <w:p w:rsidR="003A339E" w:rsidRPr="003A339E" w:rsidRDefault="003A339E" w:rsidP="003A339E">
      <w:pPr>
        <w:pStyle w:val="NormalWeb"/>
      </w:pPr>
      <w:r w:rsidRPr="003A339E">
        <w:rPr>
          <w:color w:val="222222"/>
          <w:shd w:val="clear" w:color="auto" w:fill="FFFFFF"/>
        </w:rPr>
        <w:lastRenderedPageBreak/>
        <w:t>Das, S., &amp; Gupta, A. (2021). Multi-criteria decision based geospatial mapping of flood susceptibility and temporal hydro-geomorphic changes in the Subarnarekha basin, India. </w:t>
      </w:r>
      <w:r w:rsidRPr="003A339E">
        <w:rPr>
          <w:i/>
          <w:iCs/>
          <w:color w:val="222222"/>
          <w:shd w:val="clear" w:color="auto" w:fill="FFFFFF"/>
        </w:rPr>
        <w:t>Geoscience Frontiers</w:t>
      </w:r>
      <w:r w:rsidRPr="003A339E">
        <w:rPr>
          <w:color w:val="222222"/>
          <w:shd w:val="clear" w:color="auto" w:fill="FFFFFF"/>
        </w:rPr>
        <w:t>, </w:t>
      </w:r>
      <w:r w:rsidRPr="003A339E">
        <w:rPr>
          <w:i/>
          <w:iCs/>
          <w:color w:val="222222"/>
          <w:shd w:val="clear" w:color="auto" w:fill="FFFFFF"/>
        </w:rPr>
        <w:t>12</w:t>
      </w:r>
      <w:r w:rsidRPr="003A339E">
        <w:rPr>
          <w:color w:val="222222"/>
          <w:shd w:val="clear" w:color="auto" w:fill="FFFFFF"/>
        </w:rPr>
        <w:t xml:space="preserve">(5), 101206. </w:t>
      </w:r>
      <w:hyperlink r:id="rId21" w:tgtFrame="_new" w:history="1">
        <w:r w:rsidRPr="003A339E">
          <w:rPr>
            <w:rStyle w:val="Hyperlink"/>
          </w:rPr>
          <w:t>https://doi.org/10.1016/j.gsf.2021.101206</w:t>
        </w:r>
      </w:hyperlink>
      <w:r w:rsidRPr="003A339E">
        <w:t xml:space="preserve"> </w:t>
      </w:r>
    </w:p>
    <w:p w:rsidR="003A339E" w:rsidRPr="003A339E" w:rsidRDefault="003A339E" w:rsidP="003A339E">
      <w:pPr>
        <w:pStyle w:val="NormalWeb"/>
      </w:pPr>
      <w:r w:rsidRPr="003A339E">
        <w:rPr>
          <w:color w:val="222222"/>
          <w:shd w:val="clear" w:color="auto" w:fill="FFFFFF"/>
        </w:rPr>
        <w:t xml:space="preserve">Dudgeon, D., Arthington, A. H., Gessner, M. O., Kawabata, Z. I., </w:t>
      </w:r>
      <w:proofErr w:type="spellStart"/>
      <w:r w:rsidRPr="003A339E">
        <w:rPr>
          <w:color w:val="222222"/>
          <w:shd w:val="clear" w:color="auto" w:fill="FFFFFF"/>
        </w:rPr>
        <w:t>Knowler</w:t>
      </w:r>
      <w:proofErr w:type="spellEnd"/>
      <w:r w:rsidRPr="003A339E">
        <w:rPr>
          <w:color w:val="222222"/>
          <w:shd w:val="clear" w:color="auto" w:fill="FFFFFF"/>
        </w:rPr>
        <w:t xml:space="preserve">, D. J., </w:t>
      </w:r>
      <w:proofErr w:type="spellStart"/>
      <w:r w:rsidRPr="003A339E">
        <w:rPr>
          <w:color w:val="222222"/>
          <w:shd w:val="clear" w:color="auto" w:fill="FFFFFF"/>
        </w:rPr>
        <w:t>Lévêque</w:t>
      </w:r>
      <w:proofErr w:type="spellEnd"/>
      <w:r w:rsidRPr="003A339E">
        <w:rPr>
          <w:color w:val="222222"/>
          <w:shd w:val="clear" w:color="auto" w:fill="FFFFFF"/>
        </w:rPr>
        <w:t>, C., ... &amp; Sullivan, C. A. (2006). Freshwater biodiversity: importance, threats, status and conservation challenges. </w:t>
      </w:r>
      <w:r w:rsidRPr="003A339E">
        <w:rPr>
          <w:i/>
          <w:iCs/>
          <w:color w:val="222222"/>
          <w:shd w:val="clear" w:color="auto" w:fill="FFFFFF"/>
        </w:rPr>
        <w:t>Biological reviews</w:t>
      </w:r>
      <w:r w:rsidRPr="003A339E">
        <w:rPr>
          <w:color w:val="222222"/>
          <w:shd w:val="clear" w:color="auto" w:fill="FFFFFF"/>
        </w:rPr>
        <w:t>, </w:t>
      </w:r>
      <w:r w:rsidRPr="003A339E">
        <w:rPr>
          <w:i/>
          <w:iCs/>
          <w:color w:val="222222"/>
          <w:shd w:val="clear" w:color="auto" w:fill="FFFFFF"/>
        </w:rPr>
        <w:t>81</w:t>
      </w:r>
      <w:r w:rsidRPr="003A339E">
        <w:rPr>
          <w:color w:val="222222"/>
          <w:shd w:val="clear" w:color="auto" w:fill="FFFFFF"/>
        </w:rPr>
        <w:t xml:space="preserve">(2), 163-182. </w:t>
      </w:r>
      <w:hyperlink r:id="rId22" w:history="1">
        <w:r w:rsidRPr="003A339E">
          <w:rPr>
            <w:rStyle w:val="Hyperlink"/>
          </w:rPr>
          <w:t>https://doi.org/10.1017/S1464793105006950</w:t>
        </w:r>
      </w:hyperlink>
      <w:r w:rsidRPr="003A339E">
        <w:t xml:space="preserve"> </w:t>
      </w:r>
    </w:p>
    <w:p w:rsidR="003A339E" w:rsidRPr="003A339E" w:rsidRDefault="003A339E" w:rsidP="003A339E">
      <w:pPr>
        <w:pStyle w:val="NormalWeb"/>
      </w:pPr>
      <w:r w:rsidRPr="003A339E">
        <w:rPr>
          <w:color w:val="222222"/>
          <w:shd w:val="clear" w:color="auto" w:fill="FFFFFF"/>
        </w:rPr>
        <w:t xml:space="preserve">Elliott, M., &amp; </w:t>
      </w:r>
      <w:proofErr w:type="spellStart"/>
      <w:r w:rsidRPr="003A339E">
        <w:rPr>
          <w:color w:val="222222"/>
          <w:shd w:val="clear" w:color="auto" w:fill="FFFFFF"/>
        </w:rPr>
        <w:t>Quintino</w:t>
      </w:r>
      <w:proofErr w:type="spellEnd"/>
      <w:r w:rsidRPr="003A339E">
        <w:rPr>
          <w:color w:val="222222"/>
          <w:shd w:val="clear" w:color="auto" w:fill="FFFFFF"/>
        </w:rPr>
        <w:t>, V. (2007). The estuarine quality paradox, environmental homeostasis and the difficulty of detecting anthropogenic stress in naturally stressed areas. </w:t>
      </w:r>
      <w:r w:rsidRPr="003A339E">
        <w:rPr>
          <w:i/>
          <w:iCs/>
          <w:color w:val="222222"/>
          <w:shd w:val="clear" w:color="auto" w:fill="FFFFFF"/>
        </w:rPr>
        <w:t>Marine pollution bulletin</w:t>
      </w:r>
      <w:r w:rsidRPr="003A339E">
        <w:rPr>
          <w:color w:val="222222"/>
          <w:shd w:val="clear" w:color="auto" w:fill="FFFFFF"/>
        </w:rPr>
        <w:t>, </w:t>
      </w:r>
      <w:r w:rsidRPr="003A339E">
        <w:rPr>
          <w:i/>
          <w:iCs/>
          <w:color w:val="222222"/>
          <w:shd w:val="clear" w:color="auto" w:fill="FFFFFF"/>
        </w:rPr>
        <w:t>54</w:t>
      </w:r>
      <w:r w:rsidRPr="003A339E">
        <w:rPr>
          <w:color w:val="222222"/>
          <w:shd w:val="clear" w:color="auto" w:fill="FFFFFF"/>
        </w:rPr>
        <w:t xml:space="preserve">(6), 640-645. </w:t>
      </w:r>
      <w:hyperlink r:id="rId23" w:history="1">
        <w:r w:rsidRPr="003A339E">
          <w:rPr>
            <w:rStyle w:val="Hyperlink"/>
          </w:rPr>
          <w:t>https://doi.org/10.1016/j.marpolbul.2007.02.003</w:t>
        </w:r>
      </w:hyperlink>
      <w:r w:rsidRPr="003A339E">
        <w:t xml:space="preserve"> </w:t>
      </w:r>
    </w:p>
    <w:p w:rsidR="003A339E" w:rsidRPr="003A339E" w:rsidRDefault="003A339E" w:rsidP="003A339E">
      <w:pPr>
        <w:spacing w:before="120" w:after="120" w:line="259" w:lineRule="auto"/>
        <w:ind w:left="0" w:right="0" w:firstLine="0"/>
        <w:jc w:val="left"/>
        <w:rPr>
          <w:rFonts w:eastAsia="Calibri"/>
          <w:color w:val="222222"/>
          <w:kern w:val="0"/>
          <w:shd w:val="clear" w:color="auto" w:fill="FFFFFF"/>
          <w:lang w:val="en-GB" w:eastAsia="en-US"/>
        </w:rPr>
      </w:pPr>
      <w:r w:rsidRPr="003A339E">
        <w:rPr>
          <w:rFonts w:eastAsia="Calibri"/>
          <w:color w:val="222222"/>
          <w:kern w:val="0"/>
          <w:shd w:val="clear" w:color="auto" w:fill="FFFFFF"/>
          <w:lang w:val="en-GB" w:eastAsia="en-US"/>
        </w:rPr>
        <w:t xml:space="preserve">Ganguli, S., Sinha, S., &amp; </w:t>
      </w:r>
      <w:proofErr w:type="spellStart"/>
      <w:r w:rsidRPr="003A339E">
        <w:rPr>
          <w:rFonts w:eastAsia="Calibri"/>
          <w:color w:val="222222"/>
          <w:kern w:val="0"/>
          <w:shd w:val="clear" w:color="auto" w:fill="FFFFFF"/>
          <w:lang w:val="en-GB" w:eastAsia="en-US"/>
        </w:rPr>
        <w:t>Paswan</w:t>
      </w:r>
      <w:proofErr w:type="spellEnd"/>
      <w:r w:rsidRPr="003A339E">
        <w:rPr>
          <w:rFonts w:eastAsia="Calibri"/>
          <w:color w:val="222222"/>
          <w:kern w:val="0"/>
          <w:shd w:val="clear" w:color="auto" w:fill="FFFFFF"/>
          <w:lang w:val="en-GB" w:eastAsia="en-US"/>
        </w:rPr>
        <w:t>, M. K. (2018). Review Analysis of Water Quality and Suitability to Human &amp; Animals of River Subarnarekha, Jharkhand India. </w:t>
      </w:r>
      <w:r w:rsidRPr="003A339E">
        <w:rPr>
          <w:rFonts w:eastAsia="Calibri"/>
          <w:i/>
          <w:iCs/>
          <w:color w:val="222222"/>
          <w:kern w:val="0"/>
          <w:shd w:val="clear" w:color="auto" w:fill="FFFFFF"/>
          <w:lang w:val="en-GB" w:eastAsia="en-US"/>
        </w:rPr>
        <w:t>International Research Journal of Advanced Engineering and Science</w:t>
      </w:r>
      <w:r w:rsidRPr="003A339E">
        <w:rPr>
          <w:rFonts w:eastAsia="Calibri"/>
          <w:color w:val="222222"/>
          <w:kern w:val="0"/>
          <w:shd w:val="clear" w:color="auto" w:fill="FFFFFF"/>
          <w:lang w:val="en-GB" w:eastAsia="en-US"/>
        </w:rPr>
        <w:t>, </w:t>
      </w:r>
      <w:r w:rsidRPr="003A339E">
        <w:rPr>
          <w:rFonts w:eastAsia="Calibri"/>
          <w:i/>
          <w:iCs/>
          <w:color w:val="222222"/>
          <w:kern w:val="0"/>
          <w:shd w:val="clear" w:color="auto" w:fill="FFFFFF"/>
          <w:lang w:val="en-GB" w:eastAsia="en-US"/>
        </w:rPr>
        <w:t>3</w:t>
      </w:r>
      <w:r w:rsidRPr="003A339E">
        <w:rPr>
          <w:rFonts w:eastAsia="Calibri"/>
          <w:color w:val="222222"/>
          <w:kern w:val="0"/>
          <w:shd w:val="clear" w:color="auto" w:fill="FFFFFF"/>
          <w:lang w:val="en-GB" w:eastAsia="en-US"/>
        </w:rPr>
        <w:t xml:space="preserve">(4), 53-56. </w:t>
      </w:r>
      <w:hyperlink r:id="rId24" w:history="1">
        <w:r w:rsidRPr="003A339E">
          <w:rPr>
            <w:rFonts w:eastAsia="Calibri"/>
            <w:color w:val="0000FF"/>
            <w:kern w:val="0"/>
            <w:u w:val="single"/>
            <w:lang w:val="en-GB" w:eastAsia="en-US"/>
          </w:rPr>
          <w:t>https://doi.org/10.5281/zenodo.2538959</w:t>
        </w:r>
      </w:hyperlink>
      <w:r w:rsidRPr="003A339E">
        <w:rPr>
          <w:rFonts w:eastAsia="Calibri"/>
          <w:color w:val="222222"/>
          <w:kern w:val="0"/>
          <w:shd w:val="clear" w:color="auto" w:fill="FFFFFF"/>
          <w:lang w:val="en-GB" w:eastAsia="en-US"/>
        </w:rPr>
        <w:t xml:space="preserve"> </w:t>
      </w:r>
    </w:p>
    <w:p w:rsidR="003A339E" w:rsidRPr="003A339E" w:rsidRDefault="003A339E" w:rsidP="003A339E">
      <w:pPr>
        <w:shd w:val="clear" w:color="auto" w:fill="FFFFFF"/>
        <w:spacing w:before="120" w:after="120" w:line="240" w:lineRule="auto"/>
        <w:ind w:left="0" w:right="0" w:firstLine="0"/>
        <w:jc w:val="left"/>
        <w:rPr>
          <w:color w:val="auto"/>
          <w:kern w:val="0"/>
          <w:lang w:val="en-US" w:eastAsia="en-US"/>
        </w:rPr>
      </w:pPr>
      <w:proofErr w:type="spellStart"/>
      <w:r w:rsidRPr="003A339E">
        <w:rPr>
          <w:rFonts w:eastAsia="Calibri"/>
          <w:color w:val="222222"/>
          <w:kern w:val="0"/>
          <w:shd w:val="clear" w:color="auto" w:fill="FFFFFF"/>
          <w:lang w:val="en-GB" w:eastAsia="en-US"/>
        </w:rPr>
        <w:t>Ghorai</w:t>
      </w:r>
      <w:proofErr w:type="spellEnd"/>
      <w:r w:rsidRPr="003A339E">
        <w:rPr>
          <w:rFonts w:eastAsia="Calibri"/>
          <w:color w:val="222222"/>
          <w:kern w:val="0"/>
          <w:shd w:val="clear" w:color="auto" w:fill="FFFFFF"/>
          <w:lang w:val="en-GB" w:eastAsia="en-US"/>
        </w:rPr>
        <w:t>, M. (2024). Heavy metal concentration in some commercially important fishes and their contribution from Subarnarekha River of Jharkhand, Odisha, and West Bengal state, India. In </w:t>
      </w:r>
      <w:r w:rsidRPr="003A339E">
        <w:rPr>
          <w:rFonts w:eastAsia="Calibri"/>
          <w:i/>
          <w:iCs/>
          <w:color w:val="222222"/>
          <w:kern w:val="0"/>
          <w:shd w:val="clear" w:color="auto" w:fill="FFFFFF"/>
          <w:lang w:val="en-GB" w:eastAsia="en-US"/>
        </w:rPr>
        <w:t xml:space="preserve">Spatial </w:t>
      </w:r>
      <w:proofErr w:type="spellStart"/>
      <w:r w:rsidRPr="003A339E">
        <w:rPr>
          <w:rFonts w:eastAsia="Calibri"/>
          <w:i/>
          <w:iCs/>
          <w:color w:val="222222"/>
          <w:kern w:val="0"/>
          <w:shd w:val="clear" w:color="auto" w:fill="FFFFFF"/>
          <w:lang w:val="en-GB" w:eastAsia="en-US"/>
        </w:rPr>
        <w:t>Modeling</w:t>
      </w:r>
      <w:proofErr w:type="spellEnd"/>
      <w:r w:rsidRPr="003A339E">
        <w:rPr>
          <w:rFonts w:eastAsia="Calibri"/>
          <w:i/>
          <w:iCs/>
          <w:color w:val="222222"/>
          <w:kern w:val="0"/>
          <w:shd w:val="clear" w:color="auto" w:fill="FFFFFF"/>
          <w:lang w:val="en-GB" w:eastAsia="en-US"/>
        </w:rPr>
        <w:t xml:space="preserve"> of Environmental Pollution and Ecological Risk</w:t>
      </w:r>
      <w:r w:rsidRPr="003A339E">
        <w:rPr>
          <w:rFonts w:eastAsia="Calibri"/>
          <w:color w:val="222222"/>
          <w:kern w:val="0"/>
          <w:shd w:val="clear" w:color="auto" w:fill="FFFFFF"/>
          <w:lang w:val="en-GB" w:eastAsia="en-US"/>
        </w:rPr>
        <w:t xml:space="preserve"> (pp. 359-370). Woodhead Publishing. </w:t>
      </w:r>
      <w:hyperlink r:id="rId25" w:history="1">
        <w:r w:rsidRPr="003A339E">
          <w:rPr>
            <w:rFonts w:eastAsia="Calibri"/>
            <w:color w:val="0000FF"/>
            <w:kern w:val="0"/>
            <w:u w:val="single"/>
            <w:lang w:val="en-GB" w:eastAsia="en-US"/>
          </w:rPr>
          <w:t>https://doi.org/10.1016/B978-0-323-95282-8.00034-1</w:t>
        </w:r>
      </w:hyperlink>
      <w:r w:rsidRPr="003A339E">
        <w:rPr>
          <w:rFonts w:eastAsia="Calibri"/>
          <w:color w:val="222222"/>
          <w:kern w:val="0"/>
          <w:shd w:val="clear" w:color="auto" w:fill="FFFFFF"/>
          <w:lang w:val="en-GB" w:eastAsia="en-US"/>
        </w:rPr>
        <w:t xml:space="preserve"> </w:t>
      </w:r>
    </w:p>
    <w:p w:rsidR="003A339E" w:rsidRPr="003A339E" w:rsidRDefault="003A339E" w:rsidP="003A339E">
      <w:pPr>
        <w:shd w:val="clear" w:color="auto" w:fill="FFFFFF"/>
        <w:spacing w:before="120" w:after="120" w:line="240" w:lineRule="auto"/>
        <w:ind w:left="0" w:right="0" w:firstLine="0"/>
        <w:jc w:val="left"/>
        <w:rPr>
          <w:color w:val="auto"/>
          <w:kern w:val="0"/>
          <w:lang w:val="en-US" w:eastAsia="en-US"/>
        </w:rPr>
      </w:pPr>
      <w:r w:rsidRPr="003A339E">
        <w:rPr>
          <w:color w:val="auto"/>
          <w:kern w:val="0"/>
          <w:lang w:val="en-US" w:eastAsia="en-US"/>
        </w:rPr>
        <w:t xml:space="preserve">Ghosh, A., </w:t>
      </w:r>
      <w:proofErr w:type="spellStart"/>
      <w:r w:rsidRPr="003A339E">
        <w:rPr>
          <w:color w:val="auto"/>
          <w:kern w:val="0"/>
          <w:lang w:val="en-US" w:eastAsia="en-US"/>
        </w:rPr>
        <w:t>bhaumik</w:t>
      </w:r>
      <w:proofErr w:type="spellEnd"/>
      <w:r w:rsidRPr="003A339E">
        <w:rPr>
          <w:color w:val="auto"/>
          <w:kern w:val="0"/>
          <w:lang w:val="en-US" w:eastAsia="en-US"/>
        </w:rPr>
        <w:t xml:space="preserve">, U., &amp; </w:t>
      </w:r>
      <w:proofErr w:type="spellStart"/>
      <w:r w:rsidRPr="003A339E">
        <w:rPr>
          <w:color w:val="auto"/>
          <w:kern w:val="0"/>
          <w:lang w:val="en-US" w:eastAsia="en-US"/>
        </w:rPr>
        <w:t>Satpathy</w:t>
      </w:r>
      <w:proofErr w:type="spellEnd"/>
      <w:r w:rsidRPr="003A339E">
        <w:rPr>
          <w:color w:val="auto"/>
          <w:kern w:val="0"/>
          <w:lang w:val="en-US" w:eastAsia="en-US"/>
        </w:rPr>
        <w:t>, B. B. (2022). Fish Diversity of Subarnarekha Estuary in Relation to Salinity. </w:t>
      </w:r>
      <w:r w:rsidRPr="003A339E">
        <w:rPr>
          <w:i/>
          <w:iCs/>
          <w:color w:val="auto"/>
          <w:kern w:val="0"/>
          <w:lang w:val="en-US" w:eastAsia="en-US"/>
        </w:rPr>
        <w:t>Journal of the Inland Fisheries Society of India</w:t>
      </w:r>
      <w:r w:rsidRPr="003A339E">
        <w:rPr>
          <w:color w:val="auto"/>
          <w:kern w:val="0"/>
          <w:lang w:val="en-US" w:eastAsia="en-US"/>
        </w:rPr>
        <w:t>, </w:t>
      </w:r>
      <w:r w:rsidRPr="003A339E">
        <w:rPr>
          <w:i/>
          <w:iCs/>
          <w:color w:val="auto"/>
          <w:kern w:val="0"/>
          <w:lang w:val="en-US" w:eastAsia="en-US"/>
        </w:rPr>
        <w:t>43</w:t>
      </w:r>
      <w:r w:rsidRPr="003A339E">
        <w:rPr>
          <w:color w:val="auto"/>
          <w:kern w:val="0"/>
          <w:lang w:val="en-US" w:eastAsia="en-US"/>
        </w:rPr>
        <w:t>(1), 51-61. </w:t>
      </w:r>
      <w:hyperlink r:id="rId26" w:history="1">
        <w:r w:rsidRPr="003A339E">
          <w:rPr>
            <w:color w:val="006798"/>
            <w:kern w:val="0"/>
            <w:u w:val="single"/>
            <w:lang w:val="en-US" w:eastAsia="en-US"/>
          </w:rPr>
          <w:t>https://doi.org/10.47780/jifsi.43.1.2011.121281</w:t>
        </w:r>
      </w:hyperlink>
    </w:p>
    <w:p w:rsidR="003A339E" w:rsidRPr="003A339E" w:rsidRDefault="003A339E" w:rsidP="003A339E">
      <w:pPr>
        <w:pStyle w:val="NormalWeb"/>
      </w:pPr>
      <w:proofErr w:type="spellStart"/>
      <w:r w:rsidRPr="003A339E">
        <w:rPr>
          <w:color w:val="222222"/>
          <w:shd w:val="clear" w:color="auto" w:fill="FFFFFF"/>
        </w:rPr>
        <w:t>Giri</w:t>
      </w:r>
      <w:proofErr w:type="spellEnd"/>
      <w:r w:rsidRPr="003A339E">
        <w:rPr>
          <w:color w:val="222222"/>
          <w:shd w:val="clear" w:color="auto" w:fill="FFFFFF"/>
        </w:rPr>
        <w:t>, S., &amp; Singh, A. K. (2014a). Assessment of surface water quality using heavy metal pollution index in Subarnarekha River, India. </w:t>
      </w:r>
      <w:r w:rsidRPr="003A339E">
        <w:rPr>
          <w:i/>
          <w:iCs/>
          <w:color w:val="222222"/>
          <w:shd w:val="clear" w:color="auto" w:fill="FFFFFF"/>
        </w:rPr>
        <w:t>Water Quality, Exposure and Health</w:t>
      </w:r>
      <w:r w:rsidRPr="003A339E">
        <w:rPr>
          <w:color w:val="222222"/>
          <w:shd w:val="clear" w:color="auto" w:fill="FFFFFF"/>
        </w:rPr>
        <w:t>, </w:t>
      </w:r>
      <w:r w:rsidRPr="003A339E">
        <w:rPr>
          <w:i/>
          <w:iCs/>
          <w:color w:val="222222"/>
          <w:shd w:val="clear" w:color="auto" w:fill="FFFFFF"/>
        </w:rPr>
        <w:t>5</w:t>
      </w:r>
      <w:r w:rsidRPr="003A339E">
        <w:rPr>
          <w:color w:val="222222"/>
          <w:shd w:val="clear" w:color="auto" w:fill="FFFFFF"/>
        </w:rPr>
        <w:t xml:space="preserve">(4), 173-182. </w:t>
      </w:r>
      <w:hyperlink r:id="rId27" w:history="1">
        <w:r w:rsidRPr="003A339E">
          <w:rPr>
            <w:rStyle w:val="Hyperlink"/>
          </w:rPr>
          <w:t>https://doi.org/10.1007/s12403-013-0106-2</w:t>
        </w:r>
      </w:hyperlink>
      <w:r w:rsidRPr="003A339E">
        <w:t xml:space="preserve"> </w:t>
      </w:r>
    </w:p>
    <w:p w:rsidR="003A339E" w:rsidRPr="003A339E" w:rsidRDefault="003A339E" w:rsidP="003A339E">
      <w:pPr>
        <w:pStyle w:val="NormalWeb"/>
      </w:pPr>
      <w:proofErr w:type="spellStart"/>
      <w:r w:rsidRPr="003A339E">
        <w:rPr>
          <w:color w:val="222222"/>
          <w:shd w:val="clear" w:color="auto" w:fill="FFFFFF"/>
        </w:rPr>
        <w:t>Giri</w:t>
      </w:r>
      <w:proofErr w:type="spellEnd"/>
      <w:r w:rsidRPr="003A339E">
        <w:rPr>
          <w:color w:val="222222"/>
          <w:shd w:val="clear" w:color="auto" w:fill="FFFFFF"/>
        </w:rPr>
        <w:t>, S., &amp; Singh, A. K. (2014b). Risk assessment, statistical source identification and seasonal fluctuation of dissolved metals in the Subarnarekha River, India. </w:t>
      </w:r>
      <w:r w:rsidRPr="003A339E">
        <w:rPr>
          <w:i/>
          <w:iCs/>
          <w:color w:val="222222"/>
          <w:shd w:val="clear" w:color="auto" w:fill="FFFFFF"/>
        </w:rPr>
        <w:t>Journal of hazardous materials</w:t>
      </w:r>
      <w:r w:rsidRPr="003A339E">
        <w:rPr>
          <w:color w:val="222222"/>
          <w:shd w:val="clear" w:color="auto" w:fill="FFFFFF"/>
        </w:rPr>
        <w:t>, </w:t>
      </w:r>
      <w:r w:rsidRPr="003A339E">
        <w:rPr>
          <w:i/>
          <w:iCs/>
          <w:color w:val="222222"/>
          <w:shd w:val="clear" w:color="auto" w:fill="FFFFFF"/>
        </w:rPr>
        <w:t>265</w:t>
      </w:r>
      <w:r w:rsidRPr="003A339E">
        <w:rPr>
          <w:color w:val="222222"/>
          <w:shd w:val="clear" w:color="auto" w:fill="FFFFFF"/>
        </w:rPr>
        <w:t xml:space="preserve">, 305-314. </w:t>
      </w:r>
      <w:hyperlink r:id="rId28" w:history="1">
        <w:r w:rsidRPr="003A339E">
          <w:rPr>
            <w:rStyle w:val="Hyperlink"/>
          </w:rPr>
          <w:t>https://doi.org/10.1016/j.jhazmat.2013.09.067</w:t>
        </w:r>
      </w:hyperlink>
      <w:r w:rsidRPr="003A339E">
        <w:t xml:space="preserve"> </w:t>
      </w:r>
    </w:p>
    <w:p w:rsidR="003A339E" w:rsidRPr="003A339E" w:rsidRDefault="003A339E" w:rsidP="003A339E">
      <w:pPr>
        <w:pStyle w:val="NormalWeb"/>
      </w:pPr>
      <w:proofErr w:type="spellStart"/>
      <w:r w:rsidRPr="003A339E">
        <w:rPr>
          <w:color w:val="222222"/>
          <w:shd w:val="clear" w:color="auto" w:fill="FFFFFF"/>
        </w:rPr>
        <w:t>Giri</w:t>
      </w:r>
      <w:proofErr w:type="spellEnd"/>
      <w:r w:rsidRPr="003A339E">
        <w:rPr>
          <w:color w:val="222222"/>
          <w:shd w:val="clear" w:color="auto" w:fill="FFFFFF"/>
        </w:rPr>
        <w:t>, S., &amp; Singh, A. K. (2015a). Metals in some edible fish and shrimp species collected in dry season from Subarnarekha River, India. </w:t>
      </w:r>
      <w:r w:rsidRPr="003A339E">
        <w:rPr>
          <w:i/>
          <w:iCs/>
          <w:color w:val="222222"/>
          <w:shd w:val="clear" w:color="auto" w:fill="FFFFFF"/>
        </w:rPr>
        <w:t>Bulletin of environmental contamination and toxicology</w:t>
      </w:r>
      <w:r w:rsidRPr="003A339E">
        <w:rPr>
          <w:color w:val="222222"/>
          <w:shd w:val="clear" w:color="auto" w:fill="FFFFFF"/>
        </w:rPr>
        <w:t>, </w:t>
      </w:r>
      <w:r w:rsidRPr="003A339E">
        <w:rPr>
          <w:i/>
          <w:iCs/>
          <w:color w:val="222222"/>
          <w:shd w:val="clear" w:color="auto" w:fill="FFFFFF"/>
        </w:rPr>
        <w:t>95</w:t>
      </w:r>
      <w:r w:rsidRPr="003A339E">
        <w:rPr>
          <w:color w:val="222222"/>
          <w:shd w:val="clear" w:color="auto" w:fill="FFFFFF"/>
        </w:rPr>
        <w:t>(2), 226-233.</w:t>
      </w:r>
      <w:r w:rsidRPr="003A339E">
        <w:t xml:space="preserve"> </w:t>
      </w:r>
      <w:hyperlink r:id="rId29" w:history="1">
        <w:r w:rsidRPr="003A339E">
          <w:rPr>
            <w:rStyle w:val="Hyperlink"/>
          </w:rPr>
          <w:t>https://doi.org/10.1007/s00128-015-1573-x</w:t>
        </w:r>
      </w:hyperlink>
      <w:r w:rsidRPr="003A339E">
        <w:t xml:space="preserve"> </w:t>
      </w:r>
    </w:p>
    <w:p w:rsidR="003A339E" w:rsidRPr="003A339E" w:rsidRDefault="003A339E" w:rsidP="003A339E">
      <w:pPr>
        <w:pStyle w:val="NormalWeb"/>
      </w:pPr>
      <w:proofErr w:type="spellStart"/>
      <w:r w:rsidRPr="003A339E">
        <w:rPr>
          <w:color w:val="222222"/>
          <w:shd w:val="clear" w:color="auto" w:fill="FFFFFF"/>
        </w:rPr>
        <w:t>Giri</w:t>
      </w:r>
      <w:proofErr w:type="spellEnd"/>
      <w:r w:rsidRPr="003A339E">
        <w:rPr>
          <w:color w:val="222222"/>
          <w:shd w:val="clear" w:color="auto" w:fill="FFFFFF"/>
        </w:rPr>
        <w:t>, S., &amp; Singh, A. K. (2015b). Human health risk and ecological risk assessment of metals in fishes, shrimps and sediment from a tropical river. </w:t>
      </w:r>
      <w:r w:rsidRPr="003A339E">
        <w:rPr>
          <w:i/>
          <w:iCs/>
          <w:color w:val="222222"/>
          <w:shd w:val="clear" w:color="auto" w:fill="FFFFFF"/>
        </w:rPr>
        <w:t>International Journal of Environmental Science and Technology</w:t>
      </w:r>
      <w:r w:rsidRPr="003A339E">
        <w:rPr>
          <w:color w:val="222222"/>
          <w:shd w:val="clear" w:color="auto" w:fill="FFFFFF"/>
        </w:rPr>
        <w:t>, </w:t>
      </w:r>
      <w:r w:rsidRPr="003A339E">
        <w:rPr>
          <w:i/>
          <w:iCs/>
          <w:color w:val="222222"/>
          <w:shd w:val="clear" w:color="auto" w:fill="FFFFFF"/>
        </w:rPr>
        <w:t>12</w:t>
      </w:r>
      <w:r w:rsidRPr="003A339E">
        <w:rPr>
          <w:color w:val="222222"/>
          <w:shd w:val="clear" w:color="auto" w:fill="FFFFFF"/>
        </w:rPr>
        <w:t xml:space="preserve">(7), 2349-2362. </w:t>
      </w:r>
      <w:hyperlink r:id="rId30" w:history="1">
        <w:r w:rsidRPr="003A339E">
          <w:rPr>
            <w:rStyle w:val="Hyperlink"/>
          </w:rPr>
          <w:t>https://doi.org/10.1007/s13762-014-0600-5</w:t>
        </w:r>
      </w:hyperlink>
      <w:r w:rsidRPr="003A339E">
        <w:t xml:space="preserve"> </w:t>
      </w:r>
    </w:p>
    <w:p w:rsidR="003A339E" w:rsidRPr="003A339E" w:rsidRDefault="003A339E" w:rsidP="003A339E">
      <w:pPr>
        <w:spacing w:before="120" w:after="120" w:line="259" w:lineRule="auto"/>
        <w:ind w:left="0" w:right="0" w:firstLine="0"/>
        <w:jc w:val="left"/>
        <w:rPr>
          <w:rFonts w:eastAsia="Calibri"/>
          <w:color w:val="222222"/>
          <w:kern w:val="0"/>
          <w:shd w:val="clear" w:color="auto" w:fill="FFFFFF"/>
          <w:lang w:val="en-GB" w:eastAsia="en-US"/>
        </w:rPr>
      </w:pPr>
      <w:proofErr w:type="spellStart"/>
      <w:r w:rsidRPr="003A339E">
        <w:rPr>
          <w:rFonts w:eastAsia="Calibri"/>
          <w:color w:val="222222"/>
          <w:kern w:val="0"/>
          <w:shd w:val="clear" w:color="auto" w:fill="FFFFFF"/>
          <w:lang w:val="en-GB" w:eastAsia="en-US"/>
        </w:rPr>
        <w:t>Giri</w:t>
      </w:r>
      <w:proofErr w:type="spellEnd"/>
      <w:r w:rsidRPr="003A339E">
        <w:rPr>
          <w:rFonts w:eastAsia="Calibri"/>
          <w:color w:val="222222"/>
          <w:kern w:val="0"/>
          <w:shd w:val="clear" w:color="auto" w:fill="FFFFFF"/>
          <w:lang w:val="en-GB" w:eastAsia="en-US"/>
        </w:rPr>
        <w:t>, S., &amp; Singh, A. K. (2016). Spatial and temporal variation in distribution of metals in bed sediments of Subarnarekha River, India. </w:t>
      </w:r>
      <w:r w:rsidRPr="003A339E">
        <w:rPr>
          <w:rFonts w:eastAsia="Calibri"/>
          <w:i/>
          <w:iCs/>
          <w:color w:val="222222"/>
          <w:kern w:val="0"/>
          <w:shd w:val="clear" w:color="auto" w:fill="FFFFFF"/>
          <w:lang w:val="en-GB" w:eastAsia="en-US"/>
        </w:rPr>
        <w:t>Arabian Journal of Geosciences</w:t>
      </w:r>
      <w:r w:rsidRPr="003A339E">
        <w:rPr>
          <w:rFonts w:eastAsia="Calibri"/>
          <w:color w:val="222222"/>
          <w:kern w:val="0"/>
          <w:shd w:val="clear" w:color="auto" w:fill="FFFFFF"/>
          <w:lang w:val="en-GB" w:eastAsia="en-US"/>
        </w:rPr>
        <w:t>, </w:t>
      </w:r>
      <w:r w:rsidRPr="003A339E">
        <w:rPr>
          <w:rFonts w:eastAsia="Calibri"/>
          <w:i/>
          <w:iCs/>
          <w:color w:val="222222"/>
          <w:kern w:val="0"/>
          <w:shd w:val="clear" w:color="auto" w:fill="FFFFFF"/>
          <w:lang w:val="en-GB" w:eastAsia="en-US"/>
        </w:rPr>
        <w:t>9</w:t>
      </w:r>
      <w:r w:rsidRPr="003A339E">
        <w:rPr>
          <w:rFonts w:eastAsia="Calibri"/>
          <w:color w:val="222222"/>
          <w:kern w:val="0"/>
          <w:shd w:val="clear" w:color="auto" w:fill="FFFFFF"/>
          <w:lang w:val="en-GB" w:eastAsia="en-US"/>
        </w:rPr>
        <w:t xml:space="preserve">(1), 9. </w:t>
      </w:r>
      <w:hyperlink r:id="rId31" w:history="1">
        <w:r w:rsidRPr="003A339E">
          <w:rPr>
            <w:rFonts w:eastAsia="Calibri"/>
            <w:color w:val="0000FF"/>
            <w:kern w:val="0"/>
            <w:u w:val="single"/>
            <w:lang w:val="en-GB" w:eastAsia="en-US"/>
          </w:rPr>
          <w:t>https://doi.org/10.1007/s12517-015-2090-2</w:t>
        </w:r>
      </w:hyperlink>
      <w:r w:rsidRPr="003A339E">
        <w:rPr>
          <w:rFonts w:eastAsia="Calibri"/>
          <w:color w:val="222222"/>
          <w:kern w:val="0"/>
          <w:shd w:val="clear" w:color="auto" w:fill="FFFFFF"/>
          <w:lang w:val="en-GB" w:eastAsia="en-US"/>
        </w:rPr>
        <w:t xml:space="preserve"> </w:t>
      </w:r>
    </w:p>
    <w:p w:rsidR="003A339E" w:rsidRPr="003A339E" w:rsidRDefault="003A339E" w:rsidP="003A339E">
      <w:pPr>
        <w:pStyle w:val="NormalWeb"/>
      </w:pPr>
      <w:proofErr w:type="spellStart"/>
      <w:r w:rsidRPr="003A339E">
        <w:rPr>
          <w:color w:val="222222"/>
          <w:shd w:val="clear" w:color="auto" w:fill="FFFFFF"/>
        </w:rPr>
        <w:t>Giri</w:t>
      </w:r>
      <w:proofErr w:type="spellEnd"/>
      <w:r w:rsidRPr="003A339E">
        <w:rPr>
          <w:color w:val="222222"/>
          <w:shd w:val="clear" w:color="auto" w:fill="FFFFFF"/>
        </w:rPr>
        <w:t xml:space="preserve">, S., Singh, A. K., &amp; </w:t>
      </w:r>
      <w:proofErr w:type="spellStart"/>
      <w:r w:rsidRPr="003A339E">
        <w:rPr>
          <w:color w:val="222222"/>
          <w:shd w:val="clear" w:color="auto" w:fill="FFFFFF"/>
        </w:rPr>
        <w:t>Tewary</w:t>
      </w:r>
      <w:proofErr w:type="spellEnd"/>
      <w:r w:rsidRPr="003A339E">
        <w:rPr>
          <w:color w:val="222222"/>
          <w:shd w:val="clear" w:color="auto" w:fill="FFFFFF"/>
        </w:rPr>
        <w:t>, B. K. (2013). Source and distribution of metals in bed sediments of Subarnarekha River, India. </w:t>
      </w:r>
      <w:r w:rsidRPr="003A339E">
        <w:rPr>
          <w:i/>
          <w:iCs/>
          <w:color w:val="222222"/>
          <w:shd w:val="clear" w:color="auto" w:fill="FFFFFF"/>
        </w:rPr>
        <w:t>Environmental earth sciences</w:t>
      </w:r>
      <w:r w:rsidRPr="003A339E">
        <w:rPr>
          <w:color w:val="222222"/>
          <w:shd w:val="clear" w:color="auto" w:fill="FFFFFF"/>
        </w:rPr>
        <w:t>, </w:t>
      </w:r>
      <w:r w:rsidRPr="003A339E">
        <w:rPr>
          <w:i/>
          <w:iCs/>
          <w:color w:val="222222"/>
          <w:shd w:val="clear" w:color="auto" w:fill="FFFFFF"/>
        </w:rPr>
        <w:t>70</w:t>
      </w:r>
      <w:r w:rsidRPr="003A339E">
        <w:rPr>
          <w:color w:val="222222"/>
          <w:shd w:val="clear" w:color="auto" w:fill="FFFFFF"/>
        </w:rPr>
        <w:t xml:space="preserve">(7), 3381-3392. </w:t>
      </w:r>
      <w:hyperlink r:id="rId32" w:history="1">
        <w:r w:rsidRPr="003A339E">
          <w:rPr>
            <w:rStyle w:val="Hyperlink"/>
          </w:rPr>
          <w:t>https://doi.org/10.1007/s12665-013-2404-1</w:t>
        </w:r>
      </w:hyperlink>
      <w:r w:rsidRPr="003A339E">
        <w:t xml:space="preserve"> </w:t>
      </w:r>
    </w:p>
    <w:p w:rsidR="003A339E" w:rsidRPr="003A339E" w:rsidRDefault="003A339E" w:rsidP="003A339E">
      <w:pPr>
        <w:pStyle w:val="NormalWeb"/>
      </w:pPr>
      <w:r w:rsidRPr="003A339E">
        <w:rPr>
          <w:color w:val="222222"/>
          <w:shd w:val="clear" w:color="auto" w:fill="FFFFFF"/>
        </w:rPr>
        <w:lastRenderedPageBreak/>
        <w:t xml:space="preserve">Graham, D. J., </w:t>
      </w:r>
      <w:proofErr w:type="spellStart"/>
      <w:r w:rsidRPr="003A339E">
        <w:rPr>
          <w:color w:val="222222"/>
          <w:shd w:val="clear" w:color="auto" w:fill="FFFFFF"/>
        </w:rPr>
        <w:t>Bierkens</w:t>
      </w:r>
      <w:proofErr w:type="spellEnd"/>
      <w:r w:rsidRPr="003A339E">
        <w:rPr>
          <w:color w:val="222222"/>
          <w:shd w:val="clear" w:color="auto" w:fill="FFFFFF"/>
        </w:rPr>
        <w:t xml:space="preserve">, M. F., Jones, E. R., </w:t>
      </w:r>
      <w:proofErr w:type="spellStart"/>
      <w:r w:rsidRPr="003A339E">
        <w:rPr>
          <w:color w:val="222222"/>
          <w:shd w:val="clear" w:color="auto" w:fill="FFFFFF"/>
        </w:rPr>
        <w:t>Sutanudjaja</w:t>
      </w:r>
      <w:proofErr w:type="spellEnd"/>
      <w:r w:rsidRPr="003A339E">
        <w:rPr>
          <w:color w:val="222222"/>
          <w:shd w:val="clear" w:color="auto" w:fill="FFFFFF"/>
        </w:rPr>
        <w:t>, E. H., &amp; van Vliet, M. T. (2025). Climate change drives low dissolved oxygen and increased hypoxia rates in rivers worldwide. </w:t>
      </w:r>
      <w:r w:rsidRPr="003A339E">
        <w:rPr>
          <w:i/>
          <w:iCs/>
          <w:color w:val="222222"/>
          <w:shd w:val="clear" w:color="auto" w:fill="FFFFFF"/>
        </w:rPr>
        <w:t>Nature Climate Change</w:t>
      </w:r>
      <w:r w:rsidRPr="003A339E">
        <w:rPr>
          <w:color w:val="222222"/>
          <w:shd w:val="clear" w:color="auto" w:fill="FFFFFF"/>
        </w:rPr>
        <w:t xml:space="preserve">, 1-7. </w:t>
      </w:r>
      <w:hyperlink r:id="rId33" w:history="1">
        <w:r w:rsidRPr="003A339E">
          <w:rPr>
            <w:rStyle w:val="Hyperlink"/>
          </w:rPr>
          <w:t>https://doi.org/10.1038/s41558-025-02483-y</w:t>
        </w:r>
      </w:hyperlink>
      <w:r w:rsidRPr="003A339E">
        <w:t xml:space="preserve"> </w:t>
      </w:r>
    </w:p>
    <w:p w:rsidR="003A339E" w:rsidRPr="003A339E" w:rsidRDefault="003A339E" w:rsidP="003A339E">
      <w:pPr>
        <w:pStyle w:val="NormalWeb"/>
      </w:pPr>
      <w:r w:rsidRPr="003A339E">
        <w:rPr>
          <w:color w:val="222222"/>
          <w:shd w:val="clear" w:color="auto" w:fill="FFFFFF"/>
        </w:rPr>
        <w:t xml:space="preserve">Jackson, M. C., Loewen, C. J., </w:t>
      </w:r>
      <w:proofErr w:type="spellStart"/>
      <w:r w:rsidRPr="003A339E">
        <w:rPr>
          <w:color w:val="222222"/>
          <w:shd w:val="clear" w:color="auto" w:fill="FFFFFF"/>
        </w:rPr>
        <w:t>Vinebrooke</w:t>
      </w:r>
      <w:proofErr w:type="spellEnd"/>
      <w:r w:rsidRPr="003A339E">
        <w:rPr>
          <w:color w:val="222222"/>
          <w:shd w:val="clear" w:color="auto" w:fill="FFFFFF"/>
        </w:rPr>
        <w:t xml:space="preserve">, R. D., &amp; </w:t>
      </w:r>
      <w:proofErr w:type="spellStart"/>
      <w:r w:rsidRPr="003A339E">
        <w:rPr>
          <w:color w:val="222222"/>
          <w:shd w:val="clear" w:color="auto" w:fill="FFFFFF"/>
        </w:rPr>
        <w:t>Chimimba</w:t>
      </w:r>
      <w:proofErr w:type="spellEnd"/>
      <w:r w:rsidRPr="003A339E">
        <w:rPr>
          <w:color w:val="222222"/>
          <w:shd w:val="clear" w:color="auto" w:fill="FFFFFF"/>
        </w:rPr>
        <w:t>, C. T. (2016). Net effects of multiple stressors in freshwater ecosystems: A meta‐analysis. </w:t>
      </w:r>
      <w:r w:rsidRPr="003A339E">
        <w:rPr>
          <w:i/>
          <w:iCs/>
          <w:color w:val="222222"/>
          <w:shd w:val="clear" w:color="auto" w:fill="FFFFFF"/>
        </w:rPr>
        <w:t>Global change biology</w:t>
      </w:r>
      <w:r w:rsidRPr="003A339E">
        <w:rPr>
          <w:color w:val="222222"/>
          <w:shd w:val="clear" w:color="auto" w:fill="FFFFFF"/>
        </w:rPr>
        <w:t>, </w:t>
      </w:r>
      <w:r w:rsidRPr="003A339E">
        <w:rPr>
          <w:i/>
          <w:iCs/>
          <w:color w:val="222222"/>
          <w:shd w:val="clear" w:color="auto" w:fill="FFFFFF"/>
        </w:rPr>
        <w:t>22</w:t>
      </w:r>
      <w:r w:rsidRPr="003A339E">
        <w:rPr>
          <w:color w:val="222222"/>
          <w:shd w:val="clear" w:color="auto" w:fill="FFFFFF"/>
        </w:rPr>
        <w:t xml:space="preserve">(1), 180-189. </w:t>
      </w:r>
      <w:hyperlink r:id="rId34" w:history="1">
        <w:r w:rsidRPr="003A339E">
          <w:rPr>
            <w:rStyle w:val="Hyperlink"/>
          </w:rPr>
          <w:t>https://doi.org/10.1111/gcb.13028</w:t>
        </w:r>
      </w:hyperlink>
      <w:r w:rsidRPr="003A339E">
        <w:t xml:space="preserve"> </w:t>
      </w:r>
    </w:p>
    <w:p w:rsidR="003A339E" w:rsidRPr="003A339E" w:rsidRDefault="003A339E" w:rsidP="003A339E">
      <w:pPr>
        <w:pStyle w:val="NormalWeb"/>
      </w:pPr>
      <w:proofErr w:type="spellStart"/>
      <w:r w:rsidRPr="003A339E">
        <w:rPr>
          <w:color w:val="222222"/>
          <w:shd w:val="clear" w:color="auto" w:fill="FFFFFF"/>
        </w:rPr>
        <w:t>Kadave</w:t>
      </w:r>
      <w:proofErr w:type="spellEnd"/>
      <w:r w:rsidRPr="003A339E">
        <w:rPr>
          <w:color w:val="222222"/>
          <w:shd w:val="clear" w:color="auto" w:fill="FFFFFF"/>
        </w:rPr>
        <w:t>, K. P., &amp; Kumari, N. (2025). Assessment of seasonal water quality and land use land cover change in Subarnarekha watershed of Ranchi stretch in Jharkhand. </w:t>
      </w:r>
      <w:r w:rsidRPr="003A339E">
        <w:rPr>
          <w:i/>
          <w:iCs/>
          <w:color w:val="222222"/>
          <w:shd w:val="clear" w:color="auto" w:fill="FFFFFF"/>
        </w:rPr>
        <w:t>Environmental Science and Pollution Research</w:t>
      </w:r>
      <w:r w:rsidRPr="003A339E">
        <w:rPr>
          <w:color w:val="222222"/>
          <w:shd w:val="clear" w:color="auto" w:fill="FFFFFF"/>
        </w:rPr>
        <w:t>, </w:t>
      </w:r>
      <w:r w:rsidRPr="003A339E">
        <w:rPr>
          <w:i/>
          <w:iCs/>
          <w:color w:val="222222"/>
          <w:shd w:val="clear" w:color="auto" w:fill="FFFFFF"/>
        </w:rPr>
        <w:t>32</w:t>
      </w:r>
      <w:r w:rsidRPr="003A339E">
        <w:rPr>
          <w:color w:val="222222"/>
          <w:shd w:val="clear" w:color="auto" w:fill="FFFFFF"/>
        </w:rPr>
        <w:t xml:space="preserve">(12), 7237-7252. </w:t>
      </w:r>
      <w:hyperlink r:id="rId35" w:history="1">
        <w:r w:rsidRPr="003A339E">
          <w:rPr>
            <w:rStyle w:val="Hyperlink"/>
          </w:rPr>
          <w:t>https://doi.org/10.1007/s11356-023-30979-7</w:t>
        </w:r>
      </w:hyperlink>
      <w:r w:rsidRPr="003A339E">
        <w:t xml:space="preserve"> </w:t>
      </w:r>
    </w:p>
    <w:p w:rsidR="003A339E" w:rsidRPr="003A339E" w:rsidRDefault="003A339E" w:rsidP="003A339E">
      <w:pPr>
        <w:spacing w:before="120" w:after="120" w:line="259" w:lineRule="auto"/>
        <w:ind w:left="0" w:right="0" w:firstLine="0"/>
        <w:jc w:val="left"/>
        <w:rPr>
          <w:rFonts w:eastAsia="Calibri"/>
          <w:color w:val="222222"/>
          <w:kern w:val="0"/>
          <w:shd w:val="clear" w:color="auto" w:fill="FFFFFF"/>
          <w:lang w:val="en-GB" w:eastAsia="en-US"/>
        </w:rPr>
      </w:pPr>
      <w:proofErr w:type="spellStart"/>
      <w:r w:rsidRPr="003A339E">
        <w:rPr>
          <w:rFonts w:eastAsia="Calibri"/>
          <w:color w:val="auto"/>
          <w:kern w:val="0"/>
          <w:lang w:val="en-GB" w:eastAsia="en-US"/>
        </w:rPr>
        <w:t>Kalita</w:t>
      </w:r>
      <w:proofErr w:type="spellEnd"/>
      <w:r w:rsidRPr="003A339E">
        <w:rPr>
          <w:rFonts w:eastAsia="Calibri"/>
          <w:color w:val="auto"/>
          <w:kern w:val="0"/>
          <w:lang w:val="en-GB" w:eastAsia="en-US"/>
        </w:rPr>
        <w:t xml:space="preserve">, U., Goswami, P. S., &amp; Hazarika, A. K. (2023). Unveiling </w:t>
      </w:r>
      <w:proofErr w:type="spellStart"/>
      <w:r w:rsidRPr="003A339E">
        <w:rPr>
          <w:rFonts w:eastAsia="Calibri"/>
          <w:color w:val="auto"/>
          <w:kern w:val="0"/>
          <w:lang w:val="en-GB" w:eastAsia="en-US"/>
        </w:rPr>
        <w:t>Bharalu</w:t>
      </w:r>
      <w:proofErr w:type="spellEnd"/>
      <w:r w:rsidRPr="003A339E">
        <w:rPr>
          <w:rFonts w:eastAsia="Calibri"/>
          <w:color w:val="auto"/>
          <w:kern w:val="0"/>
          <w:lang w:val="en-GB" w:eastAsia="en-US"/>
        </w:rPr>
        <w:t xml:space="preserve"> River’s pollution crisis through a choice experiment. </w:t>
      </w:r>
      <w:r w:rsidRPr="003A339E">
        <w:rPr>
          <w:rFonts w:eastAsia="Calibri"/>
          <w:i/>
          <w:iCs/>
          <w:color w:val="auto"/>
          <w:kern w:val="0"/>
          <w:lang w:val="en-GB" w:eastAsia="en-US"/>
        </w:rPr>
        <w:t>Asian Journal of Environment &amp; Ecology, 21</w:t>
      </w:r>
      <w:r w:rsidRPr="003A339E">
        <w:rPr>
          <w:rFonts w:eastAsia="Calibri"/>
          <w:color w:val="auto"/>
          <w:kern w:val="0"/>
          <w:lang w:val="en-GB" w:eastAsia="en-US"/>
        </w:rPr>
        <w:t xml:space="preserve">(4), 26–37. </w:t>
      </w:r>
      <w:hyperlink r:id="rId36" w:tgtFrame="_new" w:history="1">
        <w:r w:rsidRPr="003A339E">
          <w:rPr>
            <w:rFonts w:eastAsia="Calibri"/>
            <w:color w:val="0000FF"/>
            <w:kern w:val="0"/>
            <w:u w:val="single"/>
            <w:lang w:val="en-GB" w:eastAsia="en-US"/>
          </w:rPr>
          <w:t>https://doi.org/10.9734/ajee/2023/v21i4467</w:t>
        </w:r>
      </w:hyperlink>
      <w:r w:rsidRPr="003A339E">
        <w:rPr>
          <w:rFonts w:eastAsia="Calibri"/>
          <w:color w:val="auto"/>
          <w:kern w:val="0"/>
          <w:lang w:val="en-GB" w:eastAsia="en-US"/>
        </w:rPr>
        <w:t xml:space="preserve"> </w:t>
      </w:r>
    </w:p>
    <w:p w:rsidR="003A339E" w:rsidRPr="003A339E" w:rsidRDefault="003A339E" w:rsidP="003A339E">
      <w:pPr>
        <w:spacing w:before="120" w:after="120" w:line="259" w:lineRule="auto"/>
        <w:ind w:left="0" w:right="0" w:firstLine="0"/>
        <w:jc w:val="left"/>
        <w:rPr>
          <w:rFonts w:eastAsia="Calibri"/>
          <w:color w:val="222222"/>
          <w:kern w:val="0"/>
          <w:shd w:val="clear" w:color="auto" w:fill="FFFFFF"/>
          <w:lang w:val="en-GB" w:eastAsia="en-US"/>
        </w:rPr>
      </w:pPr>
      <w:r w:rsidRPr="003A339E">
        <w:rPr>
          <w:rFonts w:eastAsia="Calibri"/>
          <w:color w:val="222222"/>
          <w:kern w:val="0"/>
          <w:shd w:val="clear" w:color="auto" w:fill="FFFFFF"/>
          <w:lang w:val="en-GB" w:eastAsia="en-US"/>
        </w:rPr>
        <w:t xml:space="preserve">Kumari, P., &amp; </w:t>
      </w:r>
      <w:proofErr w:type="spellStart"/>
      <w:r w:rsidRPr="003A339E">
        <w:rPr>
          <w:rFonts w:eastAsia="Calibri"/>
          <w:color w:val="222222"/>
          <w:kern w:val="0"/>
          <w:shd w:val="clear" w:color="auto" w:fill="FFFFFF"/>
          <w:lang w:val="en-GB" w:eastAsia="en-US"/>
        </w:rPr>
        <w:t>Maiti</w:t>
      </w:r>
      <w:proofErr w:type="spellEnd"/>
      <w:r w:rsidRPr="003A339E">
        <w:rPr>
          <w:rFonts w:eastAsia="Calibri"/>
          <w:color w:val="222222"/>
          <w:kern w:val="0"/>
          <w:shd w:val="clear" w:color="auto" w:fill="FFFFFF"/>
          <w:lang w:val="en-GB" w:eastAsia="en-US"/>
        </w:rPr>
        <w:t>, S. K. (2020). Metal (loid) contamination in water, sediment, epilithic periphyton and fish in three interconnected ecosystems and health risk assessment through intake of fish cooked in Indian style. </w:t>
      </w:r>
      <w:r w:rsidRPr="003A339E">
        <w:rPr>
          <w:rFonts w:eastAsia="Calibri"/>
          <w:i/>
          <w:iCs/>
          <w:color w:val="222222"/>
          <w:kern w:val="0"/>
          <w:shd w:val="clear" w:color="auto" w:fill="FFFFFF"/>
          <w:lang w:val="en-GB" w:eastAsia="en-US"/>
        </w:rPr>
        <w:t>Environmental Science and Pollution Research</w:t>
      </w:r>
      <w:r w:rsidRPr="003A339E">
        <w:rPr>
          <w:rFonts w:eastAsia="Calibri"/>
          <w:color w:val="222222"/>
          <w:kern w:val="0"/>
          <w:shd w:val="clear" w:color="auto" w:fill="FFFFFF"/>
          <w:lang w:val="en-GB" w:eastAsia="en-US"/>
        </w:rPr>
        <w:t>, </w:t>
      </w:r>
      <w:r w:rsidRPr="003A339E">
        <w:rPr>
          <w:rFonts w:eastAsia="Calibri"/>
          <w:i/>
          <w:iCs/>
          <w:color w:val="222222"/>
          <w:kern w:val="0"/>
          <w:shd w:val="clear" w:color="auto" w:fill="FFFFFF"/>
          <w:lang w:val="en-GB" w:eastAsia="en-US"/>
        </w:rPr>
        <w:t>27</w:t>
      </w:r>
      <w:r w:rsidRPr="003A339E">
        <w:rPr>
          <w:rFonts w:eastAsia="Calibri"/>
          <w:color w:val="222222"/>
          <w:kern w:val="0"/>
          <w:shd w:val="clear" w:color="auto" w:fill="FFFFFF"/>
          <w:lang w:val="en-GB" w:eastAsia="en-US"/>
        </w:rPr>
        <w:t xml:space="preserve">(33), 41914-41927. </w:t>
      </w:r>
      <w:hyperlink r:id="rId37" w:history="1">
        <w:r w:rsidRPr="003A339E">
          <w:rPr>
            <w:rFonts w:eastAsia="Calibri"/>
            <w:color w:val="0000FF"/>
            <w:kern w:val="0"/>
            <w:u w:val="single"/>
            <w:lang w:val="en-GB" w:eastAsia="en-US"/>
          </w:rPr>
          <w:t>https://doi.org/10.1007/s11356-020-10023-8</w:t>
        </w:r>
      </w:hyperlink>
      <w:r w:rsidRPr="003A339E">
        <w:rPr>
          <w:rFonts w:eastAsia="Calibri"/>
          <w:color w:val="222222"/>
          <w:kern w:val="0"/>
          <w:shd w:val="clear" w:color="auto" w:fill="FFFFFF"/>
          <w:lang w:val="en-GB" w:eastAsia="en-US"/>
        </w:rPr>
        <w:t xml:space="preserve"> </w:t>
      </w:r>
    </w:p>
    <w:p w:rsidR="003A339E" w:rsidRPr="003A339E" w:rsidRDefault="003A339E" w:rsidP="003A339E">
      <w:pPr>
        <w:spacing w:before="120" w:after="120" w:line="259" w:lineRule="auto"/>
        <w:ind w:left="0" w:right="0" w:firstLine="0"/>
        <w:jc w:val="left"/>
        <w:rPr>
          <w:rFonts w:eastAsia="Calibri"/>
          <w:color w:val="222222"/>
          <w:kern w:val="0"/>
          <w:shd w:val="clear" w:color="auto" w:fill="FFFFFF"/>
          <w:lang w:val="en-GB" w:eastAsia="en-US"/>
        </w:rPr>
      </w:pPr>
      <w:r w:rsidRPr="003A339E">
        <w:rPr>
          <w:rFonts w:eastAsia="Calibri"/>
          <w:color w:val="222222"/>
          <w:kern w:val="0"/>
          <w:shd w:val="clear" w:color="auto" w:fill="FFFFFF"/>
          <w:lang w:val="en-GB" w:eastAsia="en-US"/>
        </w:rPr>
        <w:t xml:space="preserve">Kumari, P., Chowdhury, A., &amp; </w:t>
      </w:r>
      <w:proofErr w:type="spellStart"/>
      <w:r w:rsidRPr="003A339E">
        <w:rPr>
          <w:rFonts w:eastAsia="Calibri"/>
          <w:color w:val="222222"/>
          <w:kern w:val="0"/>
          <w:shd w:val="clear" w:color="auto" w:fill="FFFFFF"/>
          <w:lang w:val="en-GB" w:eastAsia="en-US"/>
        </w:rPr>
        <w:t>Maiti</w:t>
      </w:r>
      <w:proofErr w:type="spellEnd"/>
      <w:r w:rsidRPr="003A339E">
        <w:rPr>
          <w:rFonts w:eastAsia="Calibri"/>
          <w:color w:val="222222"/>
          <w:kern w:val="0"/>
          <w:shd w:val="clear" w:color="auto" w:fill="FFFFFF"/>
          <w:lang w:val="en-GB" w:eastAsia="en-US"/>
        </w:rPr>
        <w:t>, S. K. (2018). Assessment of heavy metal in the water, sediment, and two edible fish species of Jamshedpur Urban Agglomeration, India with special emphasis on human health risk. </w:t>
      </w:r>
      <w:r w:rsidRPr="003A339E">
        <w:rPr>
          <w:rFonts w:eastAsia="Calibri"/>
          <w:i/>
          <w:iCs/>
          <w:color w:val="222222"/>
          <w:kern w:val="0"/>
          <w:shd w:val="clear" w:color="auto" w:fill="FFFFFF"/>
          <w:lang w:val="en-GB" w:eastAsia="en-US"/>
        </w:rPr>
        <w:t>Human and Ecological Risk Assessment: An International Journal</w:t>
      </w:r>
      <w:r w:rsidRPr="003A339E">
        <w:rPr>
          <w:rFonts w:eastAsia="Calibri"/>
          <w:color w:val="222222"/>
          <w:kern w:val="0"/>
          <w:shd w:val="clear" w:color="auto" w:fill="FFFFFF"/>
          <w:lang w:val="en-GB" w:eastAsia="en-US"/>
        </w:rPr>
        <w:t>, </w:t>
      </w:r>
      <w:r w:rsidRPr="003A339E">
        <w:rPr>
          <w:rFonts w:eastAsia="Calibri"/>
          <w:i/>
          <w:iCs/>
          <w:color w:val="222222"/>
          <w:kern w:val="0"/>
          <w:shd w:val="clear" w:color="auto" w:fill="FFFFFF"/>
          <w:lang w:val="en-GB" w:eastAsia="en-US"/>
        </w:rPr>
        <w:t>24</w:t>
      </w:r>
      <w:r w:rsidRPr="003A339E">
        <w:rPr>
          <w:rFonts w:eastAsia="Calibri"/>
          <w:color w:val="222222"/>
          <w:kern w:val="0"/>
          <w:shd w:val="clear" w:color="auto" w:fill="FFFFFF"/>
          <w:lang w:val="en-GB" w:eastAsia="en-US"/>
        </w:rPr>
        <w:t xml:space="preserve">(6), 1477-1500. </w:t>
      </w:r>
      <w:hyperlink r:id="rId38" w:history="1">
        <w:r w:rsidRPr="003A339E">
          <w:rPr>
            <w:rFonts w:eastAsia="Calibri"/>
            <w:color w:val="0000FF"/>
            <w:kern w:val="0"/>
            <w:u w:val="single"/>
            <w:lang w:val="en-GB" w:eastAsia="en-US"/>
          </w:rPr>
          <w:t>https://doi.org/10.1080/10807039.2017.1415131</w:t>
        </w:r>
      </w:hyperlink>
      <w:r w:rsidRPr="003A339E">
        <w:rPr>
          <w:rFonts w:eastAsia="Calibri"/>
          <w:color w:val="222222"/>
          <w:kern w:val="0"/>
          <w:shd w:val="clear" w:color="auto" w:fill="FFFFFF"/>
          <w:lang w:val="en-GB" w:eastAsia="en-US"/>
        </w:rPr>
        <w:t xml:space="preserve"> </w:t>
      </w:r>
    </w:p>
    <w:p w:rsidR="003A339E" w:rsidRPr="003A339E" w:rsidRDefault="003A339E" w:rsidP="003A339E">
      <w:pPr>
        <w:pStyle w:val="NormalWeb"/>
      </w:pPr>
      <w:r w:rsidRPr="003A339E">
        <w:rPr>
          <w:color w:val="222222"/>
          <w:shd w:val="clear" w:color="auto" w:fill="FFFFFF"/>
        </w:rPr>
        <w:t xml:space="preserve">Kumari, P., Singh, A., &amp; </w:t>
      </w:r>
      <w:proofErr w:type="spellStart"/>
      <w:r w:rsidRPr="003A339E">
        <w:rPr>
          <w:color w:val="222222"/>
          <w:shd w:val="clear" w:color="auto" w:fill="FFFFFF"/>
        </w:rPr>
        <w:t>Parhi</w:t>
      </w:r>
      <w:proofErr w:type="spellEnd"/>
      <w:r w:rsidRPr="003A339E">
        <w:rPr>
          <w:color w:val="222222"/>
          <w:shd w:val="clear" w:color="auto" w:fill="FFFFFF"/>
        </w:rPr>
        <w:t>, P. K. (2024). Assessment of the effect of land use and climate change on natural resources and agriculture in the Subarnarekha Basin, India, using the SWAT. </w:t>
      </w:r>
      <w:r w:rsidRPr="003A339E">
        <w:rPr>
          <w:i/>
          <w:iCs/>
          <w:color w:val="222222"/>
          <w:shd w:val="clear" w:color="auto" w:fill="FFFFFF"/>
        </w:rPr>
        <w:t>Natural Resources Research</w:t>
      </w:r>
      <w:r w:rsidRPr="003A339E">
        <w:rPr>
          <w:color w:val="222222"/>
          <w:shd w:val="clear" w:color="auto" w:fill="FFFFFF"/>
        </w:rPr>
        <w:t>, </w:t>
      </w:r>
      <w:r w:rsidRPr="003A339E">
        <w:rPr>
          <w:i/>
          <w:iCs/>
          <w:color w:val="222222"/>
          <w:shd w:val="clear" w:color="auto" w:fill="FFFFFF"/>
        </w:rPr>
        <w:t>33</w:t>
      </w:r>
      <w:r w:rsidRPr="003A339E">
        <w:rPr>
          <w:color w:val="222222"/>
          <w:shd w:val="clear" w:color="auto" w:fill="FFFFFF"/>
        </w:rPr>
        <w:t xml:space="preserve">(4), 1893-1911. </w:t>
      </w:r>
      <w:hyperlink r:id="rId39" w:history="1">
        <w:r w:rsidRPr="003A339E">
          <w:rPr>
            <w:rStyle w:val="Hyperlink"/>
          </w:rPr>
          <w:t>https://doi.org/10.1007/s11053-024-10356-y</w:t>
        </w:r>
      </w:hyperlink>
      <w:r w:rsidRPr="003A339E">
        <w:t xml:space="preserve"> </w:t>
      </w:r>
    </w:p>
    <w:p w:rsidR="003A339E" w:rsidRPr="003A339E" w:rsidRDefault="003A339E" w:rsidP="003A339E">
      <w:pPr>
        <w:pStyle w:val="NormalWeb"/>
      </w:pPr>
      <w:proofErr w:type="spellStart"/>
      <w:r w:rsidRPr="003A339E">
        <w:rPr>
          <w:color w:val="222222"/>
          <w:shd w:val="clear" w:color="auto" w:fill="FFFFFF"/>
        </w:rPr>
        <w:t>Mantyka</w:t>
      </w:r>
      <w:proofErr w:type="spellEnd"/>
      <w:r w:rsidRPr="003A339E">
        <w:rPr>
          <w:color w:val="222222"/>
          <w:shd w:val="clear" w:color="auto" w:fill="FFFFFF"/>
        </w:rPr>
        <w:t xml:space="preserve">‐Pringle, C. S., Martin, T. G., Moffatt, D. B., </w:t>
      </w:r>
      <w:proofErr w:type="spellStart"/>
      <w:r w:rsidRPr="003A339E">
        <w:rPr>
          <w:color w:val="222222"/>
          <w:shd w:val="clear" w:color="auto" w:fill="FFFFFF"/>
        </w:rPr>
        <w:t>Linke</w:t>
      </w:r>
      <w:proofErr w:type="spellEnd"/>
      <w:r w:rsidRPr="003A339E">
        <w:rPr>
          <w:color w:val="222222"/>
          <w:shd w:val="clear" w:color="auto" w:fill="FFFFFF"/>
        </w:rPr>
        <w:t>, S., &amp; Rhodes, J. R. (2014). Understanding and predicting the combined effects of climate change and land‐use change on freshwater macroinvertebrates and fish. </w:t>
      </w:r>
      <w:r w:rsidRPr="003A339E">
        <w:rPr>
          <w:i/>
          <w:iCs/>
          <w:color w:val="222222"/>
          <w:shd w:val="clear" w:color="auto" w:fill="FFFFFF"/>
        </w:rPr>
        <w:t>Journal of Applied Ecology</w:t>
      </w:r>
      <w:r w:rsidRPr="003A339E">
        <w:rPr>
          <w:color w:val="222222"/>
          <w:shd w:val="clear" w:color="auto" w:fill="FFFFFF"/>
        </w:rPr>
        <w:t>, </w:t>
      </w:r>
      <w:r w:rsidRPr="003A339E">
        <w:rPr>
          <w:i/>
          <w:iCs/>
          <w:color w:val="222222"/>
          <w:shd w:val="clear" w:color="auto" w:fill="FFFFFF"/>
        </w:rPr>
        <w:t>51</w:t>
      </w:r>
      <w:r w:rsidRPr="003A339E">
        <w:rPr>
          <w:color w:val="222222"/>
          <w:shd w:val="clear" w:color="auto" w:fill="FFFFFF"/>
        </w:rPr>
        <w:t xml:space="preserve">(3), 572-581. </w:t>
      </w:r>
      <w:hyperlink r:id="rId40" w:history="1">
        <w:r w:rsidRPr="003A339E">
          <w:rPr>
            <w:rStyle w:val="Hyperlink"/>
          </w:rPr>
          <w:t>https://doi.org/10.1111/1365-2664.12236</w:t>
        </w:r>
      </w:hyperlink>
      <w:r w:rsidRPr="003A339E">
        <w:t xml:space="preserve"> </w:t>
      </w:r>
    </w:p>
    <w:p w:rsidR="003A339E" w:rsidRPr="003A339E" w:rsidRDefault="003A339E" w:rsidP="003A339E">
      <w:pPr>
        <w:pStyle w:val="NormalWeb"/>
      </w:pPr>
      <w:r w:rsidRPr="003A339E">
        <w:rPr>
          <w:color w:val="222222"/>
          <w:shd w:val="clear" w:color="auto" w:fill="FFFFFF"/>
        </w:rPr>
        <w:t xml:space="preserve">Morris, O. F., Loewen, C. J., Woodward, G., Schäfer, R. B., Piggott, J. J., </w:t>
      </w:r>
      <w:proofErr w:type="spellStart"/>
      <w:r w:rsidRPr="003A339E">
        <w:rPr>
          <w:color w:val="222222"/>
          <w:shd w:val="clear" w:color="auto" w:fill="FFFFFF"/>
        </w:rPr>
        <w:t>Vinebrooke</w:t>
      </w:r>
      <w:proofErr w:type="spellEnd"/>
      <w:r w:rsidRPr="003A339E">
        <w:rPr>
          <w:color w:val="222222"/>
          <w:shd w:val="clear" w:color="auto" w:fill="FFFFFF"/>
        </w:rPr>
        <w:t>, R. D., &amp; Jackson, M. C. (2022). Local stressors mask the effects of warming in freshwater ecosystems. </w:t>
      </w:r>
      <w:r w:rsidRPr="003A339E">
        <w:rPr>
          <w:i/>
          <w:iCs/>
          <w:color w:val="222222"/>
          <w:shd w:val="clear" w:color="auto" w:fill="FFFFFF"/>
        </w:rPr>
        <w:t>Ecology Letters</w:t>
      </w:r>
      <w:r w:rsidRPr="003A339E">
        <w:rPr>
          <w:color w:val="222222"/>
          <w:shd w:val="clear" w:color="auto" w:fill="FFFFFF"/>
        </w:rPr>
        <w:t>, </w:t>
      </w:r>
      <w:r w:rsidRPr="003A339E">
        <w:rPr>
          <w:i/>
          <w:iCs/>
          <w:color w:val="222222"/>
          <w:shd w:val="clear" w:color="auto" w:fill="FFFFFF"/>
        </w:rPr>
        <w:t>25</w:t>
      </w:r>
      <w:r w:rsidRPr="003A339E">
        <w:rPr>
          <w:color w:val="222222"/>
          <w:shd w:val="clear" w:color="auto" w:fill="FFFFFF"/>
        </w:rPr>
        <w:t xml:space="preserve">(11), 2540-2551. </w:t>
      </w:r>
      <w:hyperlink r:id="rId41" w:tgtFrame="_new" w:history="1">
        <w:r w:rsidRPr="003A339E">
          <w:rPr>
            <w:rStyle w:val="Hyperlink"/>
          </w:rPr>
          <w:t>https://doi.org/10.1111/ele.14108</w:t>
        </w:r>
      </w:hyperlink>
      <w:r w:rsidRPr="003A339E">
        <w:t xml:space="preserve"> </w:t>
      </w:r>
    </w:p>
    <w:p w:rsidR="003A339E" w:rsidRPr="003A339E" w:rsidRDefault="003A339E" w:rsidP="003A339E">
      <w:pPr>
        <w:spacing w:before="120" w:after="120" w:line="259" w:lineRule="auto"/>
        <w:ind w:left="0" w:right="0" w:firstLine="0"/>
        <w:jc w:val="left"/>
        <w:rPr>
          <w:rFonts w:eastAsia="Calibri"/>
          <w:color w:val="222222"/>
          <w:kern w:val="0"/>
          <w:shd w:val="clear" w:color="auto" w:fill="FFFFFF"/>
          <w:lang w:val="en-GB" w:eastAsia="en-US"/>
        </w:rPr>
      </w:pPr>
      <w:proofErr w:type="spellStart"/>
      <w:r w:rsidRPr="003A339E">
        <w:rPr>
          <w:rFonts w:eastAsia="Calibri"/>
          <w:color w:val="222222"/>
          <w:kern w:val="0"/>
          <w:shd w:val="clear" w:color="auto" w:fill="FFFFFF"/>
          <w:lang w:val="en-GB" w:eastAsia="en-US"/>
        </w:rPr>
        <w:t>Nesemann</w:t>
      </w:r>
      <w:proofErr w:type="spellEnd"/>
      <w:r w:rsidRPr="003A339E">
        <w:rPr>
          <w:rFonts w:eastAsia="Calibri"/>
          <w:color w:val="222222"/>
          <w:kern w:val="0"/>
          <w:shd w:val="clear" w:color="auto" w:fill="FFFFFF"/>
          <w:lang w:val="en-GB" w:eastAsia="en-US"/>
        </w:rPr>
        <w:t xml:space="preserve">, H. F., Sharma, G., Kumar, R., Sheetal, A., &amp; Roy, S. (2017). Do the rivers of </w:t>
      </w:r>
      <w:proofErr w:type="spellStart"/>
      <w:r w:rsidRPr="003A339E">
        <w:rPr>
          <w:rFonts w:eastAsia="Calibri"/>
          <w:color w:val="222222"/>
          <w:kern w:val="0"/>
          <w:shd w:val="clear" w:color="auto" w:fill="FFFFFF"/>
          <w:lang w:val="en-GB" w:eastAsia="en-US"/>
        </w:rPr>
        <w:t>Chota</w:t>
      </w:r>
      <w:proofErr w:type="spellEnd"/>
      <w:r w:rsidRPr="003A339E">
        <w:rPr>
          <w:rFonts w:eastAsia="Calibri"/>
          <w:color w:val="222222"/>
          <w:kern w:val="0"/>
          <w:shd w:val="clear" w:color="auto" w:fill="FFFFFF"/>
          <w:lang w:val="en-GB" w:eastAsia="en-US"/>
        </w:rPr>
        <w:t xml:space="preserve"> Nagpur Dry Forests (Jharkhand), </w:t>
      </w:r>
      <w:proofErr w:type="spellStart"/>
      <w:r w:rsidRPr="003A339E">
        <w:rPr>
          <w:rFonts w:eastAsia="Calibri"/>
          <w:color w:val="222222"/>
          <w:kern w:val="0"/>
          <w:shd w:val="clear" w:color="auto" w:fill="FFFFFF"/>
          <w:lang w:val="en-GB" w:eastAsia="en-US"/>
        </w:rPr>
        <w:t>Damodar</w:t>
      </w:r>
      <w:proofErr w:type="spellEnd"/>
      <w:r w:rsidRPr="003A339E">
        <w:rPr>
          <w:rFonts w:eastAsia="Calibri"/>
          <w:color w:val="222222"/>
          <w:kern w:val="0"/>
          <w:shd w:val="clear" w:color="auto" w:fill="FFFFFF"/>
          <w:lang w:val="en-GB" w:eastAsia="en-US"/>
        </w:rPr>
        <w:t xml:space="preserve"> and Subarnarekha differ in biodiversity of aquatic </w:t>
      </w:r>
      <w:proofErr w:type="spellStart"/>
      <w:r w:rsidRPr="003A339E">
        <w:rPr>
          <w:rFonts w:eastAsia="Calibri"/>
          <w:color w:val="222222"/>
          <w:kern w:val="0"/>
          <w:shd w:val="clear" w:color="auto" w:fill="FFFFFF"/>
          <w:lang w:val="en-GB" w:eastAsia="en-US"/>
        </w:rPr>
        <w:t>macrozoobenthos</w:t>
      </w:r>
      <w:proofErr w:type="spellEnd"/>
      <w:r w:rsidRPr="003A339E">
        <w:rPr>
          <w:rFonts w:eastAsia="Calibri"/>
          <w:color w:val="222222"/>
          <w:kern w:val="0"/>
          <w:shd w:val="clear" w:color="auto" w:fill="FFFFFF"/>
          <w:lang w:val="en-GB" w:eastAsia="en-US"/>
        </w:rPr>
        <w:t xml:space="preserve">, functional feeding groups and biological water </w:t>
      </w:r>
      <w:proofErr w:type="gramStart"/>
      <w:r w:rsidRPr="003A339E">
        <w:rPr>
          <w:rFonts w:eastAsia="Calibri"/>
          <w:color w:val="222222"/>
          <w:kern w:val="0"/>
          <w:shd w:val="clear" w:color="auto" w:fill="FFFFFF"/>
          <w:lang w:val="en-GB" w:eastAsia="en-US"/>
        </w:rPr>
        <w:t>quality?.</w:t>
      </w:r>
      <w:proofErr w:type="gramEnd"/>
      <w:r w:rsidRPr="003A339E">
        <w:rPr>
          <w:rFonts w:eastAsia="Calibri"/>
          <w:color w:val="222222"/>
          <w:kern w:val="0"/>
          <w:shd w:val="clear" w:color="auto" w:fill="FFFFFF"/>
          <w:lang w:val="en-GB" w:eastAsia="en-US"/>
        </w:rPr>
        <w:t> </w:t>
      </w:r>
      <w:r w:rsidRPr="003A339E">
        <w:rPr>
          <w:rFonts w:eastAsia="Calibri"/>
          <w:i/>
          <w:iCs/>
          <w:color w:val="222222"/>
          <w:kern w:val="0"/>
          <w:shd w:val="clear" w:color="auto" w:fill="FFFFFF"/>
          <w:lang w:val="en-GB" w:eastAsia="en-US"/>
        </w:rPr>
        <w:t>Aquatic Ecosystem Health &amp; Management</w:t>
      </w:r>
      <w:r w:rsidRPr="003A339E">
        <w:rPr>
          <w:rFonts w:eastAsia="Calibri"/>
          <w:color w:val="222222"/>
          <w:kern w:val="0"/>
          <w:shd w:val="clear" w:color="auto" w:fill="FFFFFF"/>
          <w:lang w:val="en-GB" w:eastAsia="en-US"/>
        </w:rPr>
        <w:t>, </w:t>
      </w:r>
      <w:r w:rsidRPr="003A339E">
        <w:rPr>
          <w:rFonts w:eastAsia="Calibri"/>
          <w:i/>
          <w:iCs/>
          <w:color w:val="222222"/>
          <w:kern w:val="0"/>
          <w:shd w:val="clear" w:color="auto" w:fill="FFFFFF"/>
          <w:lang w:val="en-GB" w:eastAsia="en-US"/>
        </w:rPr>
        <w:t>20</w:t>
      </w:r>
      <w:r w:rsidRPr="003A339E">
        <w:rPr>
          <w:rFonts w:eastAsia="Calibri"/>
          <w:color w:val="222222"/>
          <w:kern w:val="0"/>
          <w:shd w:val="clear" w:color="auto" w:fill="FFFFFF"/>
          <w:lang w:val="en-GB" w:eastAsia="en-US"/>
        </w:rPr>
        <w:t xml:space="preserve">(1-2), 116-129. </w:t>
      </w:r>
      <w:hyperlink r:id="rId42" w:history="1">
        <w:r w:rsidRPr="003A339E">
          <w:rPr>
            <w:rFonts w:eastAsia="Calibri"/>
            <w:color w:val="0000FF"/>
            <w:kern w:val="0"/>
            <w:u w:val="single"/>
            <w:lang w:val="en-GB" w:eastAsia="en-US"/>
          </w:rPr>
          <w:t>https://doi.org/10.1080/14634988.2017.1300041</w:t>
        </w:r>
      </w:hyperlink>
      <w:r w:rsidRPr="003A339E">
        <w:rPr>
          <w:rFonts w:eastAsia="Calibri"/>
          <w:color w:val="222222"/>
          <w:kern w:val="0"/>
          <w:shd w:val="clear" w:color="auto" w:fill="FFFFFF"/>
          <w:lang w:val="en-GB" w:eastAsia="en-US"/>
        </w:rPr>
        <w:t xml:space="preserve"> </w:t>
      </w:r>
    </w:p>
    <w:p w:rsidR="003A339E" w:rsidRPr="003A339E" w:rsidRDefault="003A339E" w:rsidP="003A339E">
      <w:pPr>
        <w:pStyle w:val="NormalWeb"/>
      </w:pPr>
      <w:r w:rsidRPr="003A339E">
        <w:rPr>
          <w:color w:val="222222"/>
          <w:shd w:val="clear" w:color="auto" w:fill="FFFFFF"/>
        </w:rPr>
        <w:t xml:space="preserve">Noyes, P. D., McElwee, M. K., Miller, H. D., Clark, B. W., Van </w:t>
      </w:r>
      <w:proofErr w:type="spellStart"/>
      <w:r w:rsidRPr="003A339E">
        <w:rPr>
          <w:color w:val="222222"/>
          <w:shd w:val="clear" w:color="auto" w:fill="FFFFFF"/>
        </w:rPr>
        <w:t>Tiem</w:t>
      </w:r>
      <w:proofErr w:type="spellEnd"/>
      <w:r w:rsidRPr="003A339E">
        <w:rPr>
          <w:color w:val="222222"/>
          <w:shd w:val="clear" w:color="auto" w:fill="FFFFFF"/>
        </w:rPr>
        <w:t xml:space="preserve">, L. A., Walcott, K. C., ... &amp; Levin, E. D. (2009). The toxicology of climate change: environmental contaminants in a </w:t>
      </w:r>
      <w:r w:rsidRPr="003A339E">
        <w:rPr>
          <w:color w:val="222222"/>
          <w:shd w:val="clear" w:color="auto" w:fill="FFFFFF"/>
        </w:rPr>
        <w:lastRenderedPageBreak/>
        <w:t>warming world. </w:t>
      </w:r>
      <w:r w:rsidRPr="003A339E">
        <w:rPr>
          <w:i/>
          <w:iCs/>
          <w:color w:val="222222"/>
          <w:shd w:val="clear" w:color="auto" w:fill="FFFFFF"/>
        </w:rPr>
        <w:t>Environment international</w:t>
      </w:r>
      <w:r w:rsidRPr="003A339E">
        <w:rPr>
          <w:color w:val="222222"/>
          <w:shd w:val="clear" w:color="auto" w:fill="FFFFFF"/>
        </w:rPr>
        <w:t>, </w:t>
      </w:r>
      <w:r w:rsidRPr="003A339E">
        <w:rPr>
          <w:i/>
          <w:iCs/>
          <w:color w:val="222222"/>
          <w:shd w:val="clear" w:color="auto" w:fill="FFFFFF"/>
        </w:rPr>
        <w:t>35</w:t>
      </w:r>
      <w:r w:rsidRPr="003A339E">
        <w:rPr>
          <w:color w:val="222222"/>
          <w:shd w:val="clear" w:color="auto" w:fill="FFFFFF"/>
        </w:rPr>
        <w:t xml:space="preserve">(6), 971-986. </w:t>
      </w:r>
      <w:hyperlink r:id="rId43" w:history="1">
        <w:r w:rsidRPr="003A339E">
          <w:rPr>
            <w:rStyle w:val="Hyperlink"/>
          </w:rPr>
          <w:t>https://doi.org/10.1016/j.envint.2009.02.006</w:t>
        </w:r>
      </w:hyperlink>
      <w:r w:rsidRPr="003A339E">
        <w:t xml:space="preserve"> </w:t>
      </w:r>
    </w:p>
    <w:p w:rsidR="003A339E" w:rsidRPr="003A339E" w:rsidRDefault="003A339E" w:rsidP="003A339E">
      <w:pPr>
        <w:pStyle w:val="NormalWeb"/>
      </w:pPr>
      <w:r w:rsidRPr="003A339E">
        <w:rPr>
          <w:color w:val="222222"/>
          <w:shd w:val="clear" w:color="auto" w:fill="FFFFFF"/>
        </w:rPr>
        <w:t xml:space="preserve">Ormerod, S. J., Dobson, M., </w:t>
      </w:r>
      <w:proofErr w:type="spellStart"/>
      <w:r w:rsidRPr="003A339E">
        <w:rPr>
          <w:color w:val="222222"/>
          <w:shd w:val="clear" w:color="auto" w:fill="FFFFFF"/>
        </w:rPr>
        <w:t>Hildrew</w:t>
      </w:r>
      <w:proofErr w:type="spellEnd"/>
      <w:r w:rsidRPr="003A339E">
        <w:rPr>
          <w:color w:val="222222"/>
          <w:shd w:val="clear" w:color="auto" w:fill="FFFFFF"/>
        </w:rPr>
        <w:t>, A. G., &amp; Townsend, C. (2010). Multiple stressors in freshwater ecosystems. </w:t>
      </w:r>
      <w:r w:rsidRPr="003A339E">
        <w:rPr>
          <w:i/>
          <w:iCs/>
          <w:color w:val="222222"/>
          <w:shd w:val="clear" w:color="auto" w:fill="FFFFFF"/>
        </w:rPr>
        <w:t>Freshwater biology</w:t>
      </w:r>
      <w:r w:rsidRPr="003A339E">
        <w:rPr>
          <w:color w:val="222222"/>
          <w:shd w:val="clear" w:color="auto" w:fill="FFFFFF"/>
        </w:rPr>
        <w:t>, </w:t>
      </w:r>
      <w:r w:rsidRPr="003A339E">
        <w:rPr>
          <w:i/>
          <w:iCs/>
          <w:color w:val="222222"/>
          <w:shd w:val="clear" w:color="auto" w:fill="FFFFFF"/>
        </w:rPr>
        <w:t>55</w:t>
      </w:r>
      <w:r w:rsidRPr="003A339E">
        <w:rPr>
          <w:color w:val="222222"/>
          <w:shd w:val="clear" w:color="auto" w:fill="FFFFFF"/>
        </w:rPr>
        <w:t xml:space="preserve">, 1-4. </w:t>
      </w:r>
      <w:hyperlink r:id="rId44" w:history="1">
        <w:r w:rsidRPr="003A339E">
          <w:rPr>
            <w:rStyle w:val="Hyperlink"/>
          </w:rPr>
          <w:t>https://doi.org/10.1111/j.1365-2427.2009.02395.x</w:t>
        </w:r>
      </w:hyperlink>
      <w:r w:rsidRPr="003A339E">
        <w:t xml:space="preserve"> </w:t>
      </w:r>
    </w:p>
    <w:p w:rsidR="003A339E" w:rsidRPr="003A339E" w:rsidRDefault="003A339E" w:rsidP="003A339E">
      <w:pPr>
        <w:pStyle w:val="NormalWeb"/>
      </w:pPr>
      <w:r w:rsidRPr="003A339E">
        <w:rPr>
          <w:color w:val="222222"/>
          <w:shd w:val="clear" w:color="auto" w:fill="FFFFFF"/>
        </w:rPr>
        <w:t xml:space="preserve">Pandey, S., Kumari, N., &amp; Al </w:t>
      </w:r>
      <w:proofErr w:type="spellStart"/>
      <w:r w:rsidRPr="003A339E">
        <w:rPr>
          <w:color w:val="222222"/>
          <w:shd w:val="clear" w:color="auto" w:fill="FFFFFF"/>
        </w:rPr>
        <w:t>Nawajish</w:t>
      </w:r>
      <w:proofErr w:type="spellEnd"/>
      <w:r w:rsidRPr="003A339E">
        <w:rPr>
          <w:color w:val="222222"/>
          <w:shd w:val="clear" w:color="auto" w:fill="FFFFFF"/>
        </w:rPr>
        <w:t>, S. (2023). Land use land cover (LULC) and surface water quality assessment in and around selected dams of Jharkhand using water quality index (WQI) and geographic information system (GIS). </w:t>
      </w:r>
      <w:r w:rsidRPr="003A339E">
        <w:rPr>
          <w:i/>
          <w:iCs/>
          <w:color w:val="222222"/>
          <w:shd w:val="clear" w:color="auto" w:fill="FFFFFF"/>
        </w:rPr>
        <w:t>Journal of the Geological Society of India</w:t>
      </w:r>
      <w:r w:rsidRPr="003A339E">
        <w:rPr>
          <w:color w:val="222222"/>
          <w:shd w:val="clear" w:color="auto" w:fill="FFFFFF"/>
        </w:rPr>
        <w:t>, </w:t>
      </w:r>
      <w:r w:rsidRPr="003A339E">
        <w:rPr>
          <w:i/>
          <w:iCs/>
          <w:color w:val="222222"/>
          <w:shd w:val="clear" w:color="auto" w:fill="FFFFFF"/>
        </w:rPr>
        <w:t>99</w:t>
      </w:r>
      <w:r w:rsidRPr="003A339E">
        <w:rPr>
          <w:color w:val="222222"/>
          <w:shd w:val="clear" w:color="auto" w:fill="FFFFFF"/>
        </w:rPr>
        <w:t xml:space="preserve">(2), 205-218. </w:t>
      </w:r>
      <w:hyperlink r:id="rId45" w:history="1">
        <w:r w:rsidRPr="003A339E">
          <w:rPr>
            <w:rStyle w:val="Hyperlink"/>
          </w:rPr>
          <w:t>https://doi.org/10.1007/s12594-023-2288-y</w:t>
        </w:r>
      </w:hyperlink>
      <w:r w:rsidRPr="003A339E">
        <w:t xml:space="preserve"> </w:t>
      </w:r>
    </w:p>
    <w:p w:rsidR="003A339E" w:rsidRPr="003A339E" w:rsidRDefault="003A339E" w:rsidP="003A339E">
      <w:pPr>
        <w:spacing w:before="120" w:after="120" w:line="259" w:lineRule="auto"/>
        <w:ind w:left="0" w:right="0" w:firstLine="0"/>
        <w:jc w:val="left"/>
        <w:rPr>
          <w:rFonts w:eastAsia="Calibri"/>
          <w:color w:val="222222"/>
          <w:kern w:val="0"/>
          <w:shd w:val="clear" w:color="auto" w:fill="FFFFFF"/>
          <w:lang w:val="en-GB" w:eastAsia="en-US"/>
        </w:rPr>
      </w:pPr>
      <w:r w:rsidRPr="003A339E">
        <w:rPr>
          <w:rFonts w:eastAsia="Calibri"/>
          <w:color w:val="222222"/>
          <w:kern w:val="0"/>
          <w:shd w:val="clear" w:color="auto" w:fill="FFFFFF"/>
          <w:lang w:val="en-GB" w:eastAsia="en-US"/>
        </w:rPr>
        <w:t xml:space="preserve">Pandey, V. K., </w:t>
      </w:r>
      <w:proofErr w:type="spellStart"/>
      <w:r w:rsidRPr="003A339E">
        <w:rPr>
          <w:rFonts w:eastAsia="Calibri"/>
          <w:color w:val="222222"/>
          <w:kern w:val="0"/>
          <w:shd w:val="clear" w:color="auto" w:fill="FFFFFF"/>
          <w:lang w:val="en-GB" w:eastAsia="en-US"/>
        </w:rPr>
        <w:t>Tigga</w:t>
      </w:r>
      <w:proofErr w:type="spellEnd"/>
      <w:r w:rsidRPr="003A339E">
        <w:rPr>
          <w:rFonts w:eastAsia="Calibri"/>
          <w:color w:val="222222"/>
          <w:kern w:val="0"/>
          <w:shd w:val="clear" w:color="auto" w:fill="FFFFFF"/>
          <w:lang w:val="en-GB" w:eastAsia="en-US"/>
        </w:rPr>
        <w:t>, T. M., &amp; Roy, B. K. (2024). Impact of Industrialization on River Water Quality in Jharkhand: Causes and Consequences. </w:t>
      </w:r>
      <w:r w:rsidRPr="003A339E">
        <w:rPr>
          <w:rFonts w:eastAsia="Calibri"/>
          <w:i/>
          <w:iCs/>
          <w:color w:val="222222"/>
          <w:kern w:val="0"/>
          <w:shd w:val="clear" w:color="auto" w:fill="FFFFFF"/>
          <w:lang w:val="en-GB" w:eastAsia="en-US"/>
        </w:rPr>
        <w:t>International Journal of Science and Technology (IJST)</w:t>
      </w:r>
      <w:r w:rsidRPr="003A339E">
        <w:rPr>
          <w:rFonts w:eastAsia="Calibri"/>
          <w:color w:val="222222"/>
          <w:kern w:val="0"/>
          <w:shd w:val="clear" w:color="auto" w:fill="FFFFFF"/>
          <w:lang w:val="en-GB" w:eastAsia="en-US"/>
        </w:rPr>
        <w:t>, </w:t>
      </w:r>
      <w:r w:rsidRPr="003A339E">
        <w:rPr>
          <w:rFonts w:eastAsia="Calibri"/>
          <w:i/>
          <w:iCs/>
          <w:color w:val="222222"/>
          <w:kern w:val="0"/>
          <w:shd w:val="clear" w:color="auto" w:fill="FFFFFF"/>
          <w:lang w:val="en-GB" w:eastAsia="en-US"/>
        </w:rPr>
        <w:t>1</w:t>
      </w:r>
      <w:r w:rsidRPr="003A339E">
        <w:rPr>
          <w:rFonts w:eastAsia="Calibri"/>
          <w:color w:val="222222"/>
          <w:kern w:val="0"/>
          <w:shd w:val="clear" w:color="auto" w:fill="FFFFFF"/>
          <w:lang w:val="en-GB" w:eastAsia="en-US"/>
        </w:rPr>
        <w:t xml:space="preserve">(1), 18-25. </w:t>
      </w:r>
      <w:hyperlink r:id="rId46" w:history="1">
        <w:r w:rsidRPr="003A339E">
          <w:rPr>
            <w:rFonts w:eastAsia="Calibri"/>
            <w:color w:val="0000FF"/>
            <w:kern w:val="0"/>
            <w:u w:val="single"/>
            <w:lang w:val="en-GB" w:eastAsia="en-US"/>
          </w:rPr>
          <w:t>https://doi.org/10.70558/IJST.2024.v1.i1.241039</w:t>
        </w:r>
      </w:hyperlink>
      <w:r w:rsidRPr="003A339E">
        <w:rPr>
          <w:rFonts w:eastAsia="Calibri"/>
          <w:color w:val="222222"/>
          <w:kern w:val="0"/>
          <w:shd w:val="clear" w:color="auto" w:fill="FFFFFF"/>
          <w:lang w:val="en-GB" w:eastAsia="en-US"/>
        </w:rPr>
        <w:t xml:space="preserve"> </w:t>
      </w:r>
    </w:p>
    <w:p w:rsidR="003A339E" w:rsidRPr="003A339E" w:rsidRDefault="003A339E" w:rsidP="003A339E">
      <w:pPr>
        <w:pStyle w:val="NormalWeb"/>
      </w:pPr>
      <w:proofErr w:type="spellStart"/>
      <w:r w:rsidRPr="003A339E">
        <w:rPr>
          <w:color w:val="222222"/>
          <w:shd w:val="clear" w:color="auto" w:fill="FFFFFF"/>
        </w:rPr>
        <w:t>Poff</w:t>
      </w:r>
      <w:proofErr w:type="spellEnd"/>
      <w:r w:rsidRPr="003A339E">
        <w:rPr>
          <w:color w:val="222222"/>
          <w:shd w:val="clear" w:color="auto" w:fill="FFFFFF"/>
        </w:rPr>
        <w:t>, N. L., &amp; Zimmerman, J. K. (2010). Ecological responses to altered flow regimes: a literature review to inform the science and management of environmental flows. </w:t>
      </w:r>
      <w:r w:rsidRPr="003A339E">
        <w:rPr>
          <w:i/>
          <w:iCs/>
          <w:color w:val="222222"/>
          <w:shd w:val="clear" w:color="auto" w:fill="FFFFFF"/>
        </w:rPr>
        <w:t>Freshwater biology</w:t>
      </w:r>
      <w:r w:rsidRPr="003A339E">
        <w:rPr>
          <w:color w:val="222222"/>
          <w:shd w:val="clear" w:color="auto" w:fill="FFFFFF"/>
        </w:rPr>
        <w:t>, </w:t>
      </w:r>
      <w:r w:rsidRPr="003A339E">
        <w:rPr>
          <w:i/>
          <w:iCs/>
          <w:color w:val="222222"/>
          <w:shd w:val="clear" w:color="auto" w:fill="FFFFFF"/>
        </w:rPr>
        <w:t>55</w:t>
      </w:r>
      <w:r w:rsidRPr="003A339E">
        <w:rPr>
          <w:color w:val="222222"/>
          <w:shd w:val="clear" w:color="auto" w:fill="FFFFFF"/>
        </w:rPr>
        <w:t xml:space="preserve">(1), 194-205. </w:t>
      </w:r>
      <w:hyperlink r:id="rId47" w:history="1">
        <w:r w:rsidRPr="003A339E">
          <w:rPr>
            <w:rStyle w:val="Hyperlink"/>
          </w:rPr>
          <w:t>https://doi.org/10.1111/j.1365-2427.2009.02272.x</w:t>
        </w:r>
      </w:hyperlink>
      <w:r w:rsidRPr="003A339E">
        <w:t xml:space="preserve"> </w:t>
      </w:r>
    </w:p>
    <w:p w:rsidR="003A339E" w:rsidRPr="003A339E" w:rsidRDefault="003A339E" w:rsidP="003A339E">
      <w:pPr>
        <w:pStyle w:val="NormalWeb"/>
      </w:pPr>
      <w:proofErr w:type="spellStart"/>
      <w:r w:rsidRPr="003A339E">
        <w:rPr>
          <w:color w:val="222222"/>
          <w:shd w:val="clear" w:color="auto" w:fill="FFFFFF"/>
        </w:rPr>
        <w:t>Poff</w:t>
      </w:r>
      <w:proofErr w:type="spellEnd"/>
      <w:r w:rsidRPr="003A339E">
        <w:rPr>
          <w:color w:val="222222"/>
          <w:shd w:val="clear" w:color="auto" w:fill="FFFFFF"/>
        </w:rPr>
        <w:t xml:space="preserve">, N. L., Allan, J. D., Bain, M. B., Karr, J. R., </w:t>
      </w:r>
      <w:proofErr w:type="spellStart"/>
      <w:r w:rsidRPr="003A339E">
        <w:rPr>
          <w:color w:val="222222"/>
          <w:shd w:val="clear" w:color="auto" w:fill="FFFFFF"/>
        </w:rPr>
        <w:t>Prestegaard</w:t>
      </w:r>
      <w:proofErr w:type="spellEnd"/>
      <w:r w:rsidRPr="003A339E">
        <w:rPr>
          <w:color w:val="222222"/>
          <w:shd w:val="clear" w:color="auto" w:fill="FFFFFF"/>
        </w:rPr>
        <w:t>, K. L., Richter, B. D., ... &amp; Stromberg, J. C. (1997). The natural flow regime. </w:t>
      </w:r>
      <w:proofErr w:type="spellStart"/>
      <w:r w:rsidRPr="003A339E">
        <w:rPr>
          <w:i/>
          <w:iCs/>
          <w:color w:val="222222"/>
          <w:shd w:val="clear" w:color="auto" w:fill="FFFFFF"/>
        </w:rPr>
        <w:t>BioScience</w:t>
      </w:r>
      <w:proofErr w:type="spellEnd"/>
      <w:r w:rsidRPr="003A339E">
        <w:rPr>
          <w:color w:val="222222"/>
          <w:shd w:val="clear" w:color="auto" w:fill="FFFFFF"/>
        </w:rPr>
        <w:t>, </w:t>
      </w:r>
      <w:r w:rsidRPr="003A339E">
        <w:rPr>
          <w:i/>
          <w:iCs/>
          <w:color w:val="222222"/>
          <w:shd w:val="clear" w:color="auto" w:fill="FFFFFF"/>
        </w:rPr>
        <w:t>47</w:t>
      </w:r>
      <w:r w:rsidRPr="003A339E">
        <w:rPr>
          <w:color w:val="222222"/>
          <w:shd w:val="clear" w:color="auto" w:fill="FFFFFF"/>
        </w:rPr>
        <w:t xml:space="preserve">(11), 769-784. </w:t>
      </w:r>
      <w:hyperlink r:id="rId48" w:tgtFrame="_new" w:history="1">
        <w:r w:rsidRPr="003A339E">
          <w:rPr>
            <w:rStyle w:val="Hyperlink"/>
          </w:rPr>
          <w:t>https://doi.org/10.2307/1313099</w:t>
        </w:r>
      </w:hyperlink>
      <w:r w:rsidRPr="003A339E">
        <w:t xml:space="preserve"> </w:t>
      </w:r>
    </w:p>
    <w:p w:rsidR="003A339E" w:rsidRPr="003A339E" w:rsidRDefault="003A339E" w:rsidP="003A339E">
      <w:pPr>
        <w:pStyle w:val="NormalWeb"/>
      </w:pPr>
      <w:r w:rsidRPr="003A339E">
        <w:rPr>
          <w:color w:val="222222"/>
          <w:shd w:val="clear" w:color="auto" w:fill="FFFFFF"/>
        </w:rPr>
        <w:t xml:space="preserve">Pradhan, A. K., </w:t>
      </w:r>
      <w:proofErr w:type="spellStart"/>
      <w:r w:rsidRPr="003A339E">
        <w:rPr>
          <w:color w:val="222222"/>
          <w:shd w:val="clear" w:color="auto" w:fill="FFFFFF"/>
        </w:rPr>
        <w:t>Gope</w:t>
      </w:r>
      <w:proofErr w:type="spellEnd"/>
      <w:r w:rsidRPr="003A339E">
        <w:rPr>
          <w:color w:val="222222"/>
          <w:shd w:val="clear" w:color="auto" w:fill="FFFFFF"/>
        </w:rPr>
        <w:t xml:space="preserve">, M., </w:t>
      </w:r>
      <w:proofErr w:type="spellStart"/>
      <w:r w:rsidRPr="003A339E">
        <w:rPr>
          <w:color w:val="222222"/>
          <w:shd w:val="clear" w:color="auto" w:fill="FFFFFF"/>
        </w:rPr>
        <w:t>Pobi</w:t>
      </w:r>
      <w:proofErr w:type="spellEnd"/>
      <w:r w:rsidRPr="003A339E">
        <w:rPr>
          <w:color w:val="222222"/>
          <w:shd w:val="clear" w:color="auto" w:fill="FFFFFF"/>
        </w:rPr>
        <w:t xml:space="preserve">, K. K., </w:t>
      </w:r>
      <w:proofErr w:type="spellStart"/>
      <w:r w:rsidRPr="003A339E">
        <w:rPr>
          <w:color w:val="222222"/>
          <w:shd w:val="clear" w:color="auto" w:fill="FFFFFF"/>
        </w:rPr>
        <w:t>Saha</w:t>
      </w:r>
      <w:proofErr w:type="spellEnd"/>
      <w:r w:rsidRPr="003A339E">
        <w:rPr>
          <w:color w:val="222222"/>
          <w:shd w:val="clear" w:color="auto" w:fill="FFFFFF"/>
        </w:rPr>
        <w:t xml:space="preserve">, S., Gupta, S., Bhattacharjee, R. R., &amp; </w:t>
      </w:r>
      <w:proofErr w:type="spellStart"/>
      <w:r w:rsidRPr="003A339E">
        <w:rPr>
          <w:color w:val="222222"/>
          <w:shd w:val="clear" w:color="auto" w:fill="FFFFFF"/>
        </w:rPr>
        <w:t>Nayek</w:t>
      </w:r>
      <w:proofErr w:type="spellEnd"/>
      <w:r w:rsidRPr="003A339E">
        <w:rPr>
          <w:color w:val="222222"/>
          <w:shd w:val="clear" w:color="auto" w:fill="FFFFFF"/>
        </w:rPr>
        <w:t>, S. (2024). Geostatistical appraisal of water quality, contamination, source distribution of potentially toxic elements (PTEs) in the lower stretches of Subarnarekha River (Odisha), India, and health risk assessment by Monte Carlo simulation approach. </w:t>
      </w:r>
      <w:r w:rsidRPr="003A339E">
        <w:rPr>
          <w:i/>
          <w:iCs/>
          <w:color w:val="222222"/>
          <w:shd w:val="clear" w:color="auto" w:fill="FFFFFF"/>
        </w:rPr>
        <w:t>Environmental Geochemistry and Health</w:t>
      </w:r>
      <w:r w:rsidRPr="003A339E">
        <w:rPr>
          <w:color w:val="222222"/>
          <w:shd w:val="clear" w:color="auto" w:fill="FFFFFF"/>
        </w:rPr>
        <w:t>, </w:t>
      </w:r>
      <w:r w:rsidRPr="003A339E">
        <w:rPr>
          <w:i/>
          <w:iCs/>
          <w:color w:val="222222"/>
          <w:shd w:val="clear" w:color="auto" w:fill="FFFFFF"/>
        </w:rPr>
        <w:t>46</w:t>
      </w:r>
      <w:r w:rsidRPr="003A339E">
        <w:rPr>
          <w:color w:val="222222"/>
          <w:shd w:val="clear" w:color="auto" w:fill="FFFFFF"/>
        </w:rPr>
        <w:t xml:space="preserve">(2), 42. </w:t>
      </w:r>
      <w:hyperlink r:id="rId49" w:history="1">
        <w:r w:rsidRPr="003A339E">
          <w:rPr>
            <w:rStyle w:val="Hyperlink"/>
          </w:rPr>
          <w:t>https://doi.org/10.1007/s10653-023-01815-1</w:t>
        </w:r>
      </w:hyperlink>
      <w:r w:rsidRPr="003A339E">
        <w:t xml:space="preserve"> </w:t>
      </w:r>
    </w:p>
    <w:p w:rsidR="003A339E" w:rsidRPr="003A339E" w:rsidRDefault="003A339E" w:rsidP="003A339E">
      <w:pPr>
        <w:pStyle w:val="NormalWeb"/>
      </w:pPr>
      <w:r w:rsidRPr="003A339E">
        <w:rPr>
          <w:color w:val="222222"/>
          <w:shd w:val="clear" w:color="auto" w:fill="FFFFFF"/>
        </w:rPr>
        <w:t xml:space="preserve">Reid, A. J., Carlson, A. K., Creed, I. F., Eliason, E. J., </w:t>
      </w:r>
      <w:proofErr w:type="spellStart"/>
      <w:r w:rsidRPr="003A339E">
        <w:rPr>
          <w:color w:val="222222"/>
          <w:shd w:val="clear" w:color="auto" w:fill="FFFFFF"/>
        </w:rPr>
        <w:t>Gell</w:t>
      </w:r>
      <w:proofErr w:type="spellEnd"/>
      <w:r w:rsidRPr="003A339E">
        <w:rPr>
          <w:color w:val="222222"/>
          <w:shd w:val="clear" w:color="auto" w:fill="FFFFFF"/>
        </w:rPr>
        <w:t>, P. A., Johnson, P. T., ... &amp; Cooke, S. J. (2019). Emerging threats and persistent conservation challenges for freshwater biodiversity. </w:t>
      </w:r>
      <w:r w:rsidRPr="003A339E">
        <w:rPr>
          <w:i/>
          <w:iCs/>
          <w:color w:val="222222"/>
          <w:shd w:val="clear" w:color="auto" w:fill="FFFFFF"/>
        </w:rPr>
        <w:t>Biological reviews</w:t>
      </w:r>
      <w:r w:rsidRPr="003A339E">
        <w:rPr>
          <w:color w:val="222222"/>
          <w:shd w:val="clear" w:color="auto" w:fill="FFFFFF"/>
        </w:rPr>
        <w:t>, </w:t>
      </w:r>
      <w:r w:rsidRPr="003A339E">
        <w:rPr>
          <w:i/>
          <w:iCs/>
          <w:color w:val="222222"/>
          <w:shd w:val="clear" w:color="auto" w:fill="FFFFFF"/>
        </w:rPr>
        <w:t>94</w:t>
      </w:r>
      <w:r w:rsidRPr="003A339E">
        <w:rPr>
          <w:color w:val="222222"/>
          <w:shd w:val="clear" w:color="auto" w:fill="FFFFFF"/>
        </w:rPr>
        <w:t xml:space="preserve">(3), 849-873. </w:t>
      </w:r>
      <w:hyperlink r:id="rId50" w:history="1">
        <w:r w:rsidRPr="003A339E">
          <w:rPr>
            <w:rStyle w:val="Hyperlink"/>
          </w:rPr>
          <w:t>https://doi.org/10.1111/brv.12480</w:t>
        </w:r>
      </w:hyperlink>
      <w:r w:rsidRPr="003A339E">
        <w:t xml:space="preserve"> </w:t>
      </w:r>
    </w:p>
    <w:p w:rsidR="003A339E" w:rsidRPr="003A339E" w:rsidRDefault="003A339E" w:rsidP="003A339E">
      <w:pPr>
        <w:pStyle w:val="NormalWeb"/>
      </w:pPr>
      <w:r w:rsidRPr="003A339E">
        <w:rPr>
          <w:color w:val="222222"/>
          <w:shd w:val="clear" w:color="auto" w:fill="FFFFFF"/>
        </w:rPr>
        <w:t>Roy, A. K., &amp; Datta, D. (2018). Analyzing the effects of afforestation on estuarine environment of river Subarnarekha, India using geospatial technologies and participatory appraisals. </w:t>
      </w:r>
      <w:r w:rsidRPr="003A339E">
        <w:rPr>
          <w:i/>
          <w:iCs/>
          <w:color w:val="222222"/>
          <w:shd w:val="clear" w:color="auto" w:fill="FFFFFF"/>
        </w:rPr>
        <w:t>Environmental monitoring and assessment</w:t>
      </w:r>
      <w:r w:rsidRPr="003A339E">
        <w:rPr>
          <w:color w:val="222222"/>
          <w:shd w:val="clear" w:color="auto" w:fill="FFFFFF"/>
        </w:rPr>
        <w:t>, </w:t>
      </w:r>
      <w:r w:rsidRPr="003A339E">
        <w:rPr>
          <w:i/>
          <w:iCs/>
          <w:color w:val="222222"/>
          <w:shd w:val="clear" w:color="auto" w:fill="FFFFFF"/>
        </w:rPr>
        <w:t>190</w:t>
      </w:r>
      <w:r w:rsidRPr="003A339E">
        <w:rPr>
          <w:color w:val="222222"/>
          <w:shd w:val="clear" w:color="auto" w:fill="FFFFFF"/>
        </w:rPr>
        <w:t xml:space="preserve">(11), 645. </w:t>
      </w:r>
      <w:hyperlink r:id="rId51" w:history="1">
        <w:r w:rsidRPr="003A339E">
          <w:rPr>
            <w:rStyle w:val="Hyperlink"/>
          </w:rPr>
          <w:t>https://doi.org/10.1007/s10661-018-7030-7</w:t>
        </w:r>
      </w:hyperlink>
      <w:r w:rsidRPr="003A339E">
        <w:t xml:space="preserve"> </w:t>
      </w:r>
    </w:p>
    <w:p w:rsidR="003A339E" w:rsidRPr="003A339E" w:rsidRDefault="003A339E" w:rsidP="003A339E">
      <w:pPr>
        <w:pStyle w:val="NormalWeb"/>
      </w:pPr>
      <w:r w:rsidRPr="003A339E">
        <w:rPr>
          <w:color w:val="222222"/>
          <w:shd w:val="clear" w:color="auto" w:fill="FFFFFF"/>
        </w:rPr>
        <w:t xml:space="preserve">Scherer, L., Boom, H. A., Barbarossa, V., &amp; van </w:t>
      </w:r>
      <w:proofErr w:type="spellStart"/>
      <w:r w:rsidRPr="003A339E">
        <w:rPr>
          <w:color w:val="222222"/>
          <w:shd w:val="clear" w:color="auto" w:fill="FFFFFF"/>
        </w:rPr>
        <w:t>Bodegom</w:t>
      </w:r>
      <w:proofErr w:type="spellEnd"/>
      <w:r w:rsidRPr="003A339E">
        <w:rPr>
          <w:color w:val="222222"/>
          <w:shd w:val="clear" w:color="auto" w:fill="FFFFFF"/>
        </w:rPr>
        <w:t>, P. M. (2023). Climate change threats to the global functional diversity of freshwater fish. </w:t>
      </w:r>
      <w:r w:rsidRPr="003A339E">
        <w:rPr>
          <w:i/>
          <w:iCs/>
          <w:color w:val="222222"/>
          <w:shd w:val="clear" w:color="auto" w:fill="FFFFFF"/>
        </w:rPr>
        <w:t>Global Change Biology</w:t>
      </w:r>
      <w:r w:rsidRPr="003A339E">
        <w:rPr>
          <w:color w:val="222222"/>
          <w:shd w:val="clear" w:color="auto" w:fill="FFFFFF"/>
        </w:rPr>
        <w:t>, </w:t>
      </w:r>
      <w:r w:rsidRPr="003A339E">
        <w:rPr>
          <w:i/>
          <w:iCs/>
          <w:color w:val="222222"/>
          <w:shd w:val="clear" w:color="auto" w:fill="FFFFFF"/>
        </w:rPr>
        <w:t>29</w:t>
      </w:r>
      <w:r w:rsidRPr="003A339E">
        <w:rPr>
          <w:color w:val="222222"/>
          <w:shd w:val="clear" w:color="auto" w:fill="FFFFFF"/>
        </w:rPr>
        <w:t xml:space="preserve">(13), 3781-3793. </w:t>
      </w:r>
      <w:hyperlink r:id="rId52" w:history="1">
        <w:r w:rsidRPr="003A339E">
          <w:rPr>
            <w:rStyle w:val="Hyperlink"/>
          </w:rPr>
          <w:t>https://doi.org/10.1111/gcb.16723</w:t>
        </w:r>
      </w:hyperlink>
      <w:r w:rsidRPr="003A339E">
        <w:t xml:space="preserve"> </w:t>
      </w:r>
    </w:p>
    <w:p w:rsidR="003A339E" w:rsidRDefault="003A339E" w:rsidP="003A339E">
      <w:pPr>
        <w:pStyle w:val="NormalWeb"/>
      </w:pPr>
      <w:r w:rsidRPr="003A339E">
        <w:rPr>
          <w:color w:val="222222"/>
          <w:shd w:val="clear" w:color="auto" w:fill="FFFFFF"/>
        </w:rPr>
        <w:t xml:space="preserve">Shahjahan, M., </w:t>
      </w:r>
      <w:proofErr w:type="spellStart"/>
      <w:r w:rsidRPr="003A339E">
        <w:rPr>
          <w:color w:val="222222"/>
          <w:shd w:val="clear" w:color="auto" w:fill="FFFFFF"/>
        </w:rPr>
        <w:t>Taslima</w:t>
      </w:r>
      <w:proofErr w:type="spellEnd"/>
      <w:r w:rsidRPr="003A339E">
        <w:rPr>
          <w:color w:val="222222"/>
          <w:shd w:val="clear" w:color="auto" w:fill="FFFFFF"/>
        </w:rPr>
        <w:t xml:space="preserve">, K., Rahman, M. S., Al-Emran, M. D., </w:t>
      </w:r>
      <w:proofErr w:type="spellStart"/>
      <w:r w:rsidRPr="003A339E">
        <w:rPr>
          <w:color w:val="222222"/>
          <w:shd w:val="clear" w:color="auto" w:fill="FFFFFF"/>
        </w:rPr>
        <w:t>Alam</w:t>
      </w:r>
      <w:proofErr w:type="spellEnd"/>
      <w:r w:rsidRPr="003A339E">
        <w:rPr>
          <w:color w:val="222222"/>
          <w:shd w:val="clear" w:color="auto" w:fill="FFFFFF"/>
        </w:rPr>
        <w:t xml:space="preserve">, S. I., &amp; </w:t>
      </w:r>
      <w:proofErr w:type="spellStart"/>
      <w:r w:rsidRPr="003A339E">
        <w:rPr>
          <w:color w:val="222222"/>
          <w:shd w:val="clear" w:color="auto" w:fill="FFFFFF"/>
        </w:rPr>
        <w:t>Faggio</w:t>
      </w:r>
      <w:proofErr w:type="spellEnd"/>
      <w:r w:rsidRPr="003A339E">
        <w:rPr>
          <w:color w:val="222222"/>
          <w:shd w:val="clear" w:color="auto" w:fill="FFFFFF"/>
        </w:rPr>
        <w:t>, C. (2022). Effects of heavy metals on fish physiology–a review. </w:t>
      </w:r>
      <w:r w:rsidRPr="003A339E">
        <w:rPr>
          <w:i/>
          <w:iCs/>
          <w:color w:val="222222"/>
          <w:shd w:val="clear" w:color="auto" w:fill="FFFFFF"/>
        </w:rPr>
        <w:t>Chemosphere</w:t>
      </w:r>
      <w:r w:rsidRPr="003A339E">
        <w:rPr>
          <w:color w:val="222222"/>
          <w:shd w:val="clear" w:color="auto" w:fill="FFFFFF"/>
        </w:rPr>
        <w:t>, </w:t>
      </w:r>
      <w:r w:rsidRPr="003A339E">
        <w:rPr>
          <w:i/>
          <w:iCs/>
          <w:color w:val="222222"/>
          <w:shd w:val="clear" w:color="auto" w:fill="FFFFFF"/>
        </w:rPr>
        <w:t>300</w:t>
      </w:r>
      <w:r w:rsidRPr="003A339E">
        <w:rPr>
          <w:color w:val="222222"/>
          <w:shd w:val="clear" w:color="auto" w:fill="FFFFFF"/>
        </w:rPr>
        <w:t xml:space="preserve">, 134519. </w:t>
      </w:r>
      <w:hyperlink r:id="rId53" w:history="1">
        <w:r w:rsidRPr="003A339E">
          <w:rPr>
            <w:rStyle w:val="Hyperlink"/>
          </w:rPr>
          <w:t>https://doi.org/10.1016/j.chemosphere.2022.134519</w:t>
        </w:r>
      </w:hyperlink>
      <w:r w:rsidRPr="003A339E">
        <w:t xml:space="preserve"> </w:t>
      </w:r>
    </w:p>
    <w:p w:rsidR="003F036F" w:rsidRPr="003A339E" w:rsidRDefault="003F036F" w:rsidP="003A339E">
      <w:pPr>
        <w:pStyle w:val="NormalWeb"/>
      </w:pPr>
      <w:r w:rsidRPr="003F036F">
        <w:t>Sharma, R., Pandey, R. K., &amp; Singh, A. K. (2024). A multi-</w:t>
      </w:r>
      <w:proofErr w:type="spellStart"/>
      <w:r w:rsidRPr="003F036F">
        <w:t>criterian</w:t>
      </w:r>
      <w:proofErr w:type="spellEnd"/>
      <w:r w:rsidRPr="003F036F">
        <w:t xml:space="preserve"> approach to identify groundwater potential zones in the Subarnarekha River Basin using integrated analytical </w:t>
      </w:r>
      <w:r w:rsidRPr="003F036F">
        <w:lastRenderedPageBreak/>
        <w:t xml:space="preserve">hierarchy process and geospatial technology. Journal of Geography, Environment and Earth Science International, 28(10), 78–100. </w:t>
      </w:r>
      <w:hyperlink r:id="rId54" w:history="1">
        <w:r w:rsidRPr="00055DED">
          <w:rPr>
            <w:rStyle w:val="Hyperlink"/>
          </w:rPr>
          <w:t>https://doi.org/10.9734/jgeesi/2024/v28i10827</w:t>
        </w:r>
      </w:hyperlink>
      <w:r>
        <w:t xml:space="preserve">  </w:t>
      </w:r>
    </w:p>
    <w:p w:rsidR="003A339E" w:rsidRPr="003A339E" w:rsidRDefault="003A339E" w:rsidP="003A339E">
      <w:pPr>
        <w:spacing w:before="120" w:after="120" w:line="259" w:lineRule="auto"/>
        <w:ind w:left="0" w:right="0" w:firstLine="0"/>
        <w:jc w:val="left"/>
        <w:rPr>
          <w:rFonts w:eastAsia="Calibri"/>
          <w:color w:val="222222"/>
          <w:kern w:val="0"/>
          <w:shd w:val="clear" w:color="auto" w:fill="FFFFFF"/>
          <w:lang w:val="en-GB" w:eastAsia="en-US"/>
        </w:rPr>
      </w:pPr>
      <w:r w:rsidRPr="003A339E">
        <w:rPr>
          <w:rFonts w:eastAsia="Calibri"/>
          <w:color w:val="222222"/>
          <w:kern w:val="0"/>
          <w:shd w:val="clear" w:color="auto" w:fill="FFFFFF"/>
          <w:lang w:val="en-GB" w:eastAsia="en-US"/>
        </w:rPr>
        <w:t>Shaw AK, Kumar A, Abhilash. (2025a). Role of Anthropogenic Metal Contamination in Water, Soil Sediment, Flora and Fauna in the Lotic Ecosystem in Subarnarekha River, Jamshedpur (Jharkhand) India. Flora and Fauna, 31(1</w:t>
      </w:r>
      <w:proofErr w:type="gramStart"/>
      <w:r w:rsidRPr="003A339E">
        <w:rPr>
          <w:rFonts w:eastAsia="Calibri"/>
          <w:color w:val="222222"/>
          <w:kern w:val="0"/>
          <w:shd w:val="clear" w:color="auto" w:fill="FFFFFF"/>
          <w:lang w:val="en-GB" w:eastAsia="en-US"/>
        </w:rPr>
        <w:t>) :</w:t>
      </w:r>
      <w:proofErr w:type="gramEnd"/>
      <w:r w:rsidRPr="003A339E">
        <w:rPr>
          <w:rFonts w:eastAsia="Calibri"/>
          <w:color w:val="222222"/>
          <w:kern w:val="0"/>
          <w:shd w:val="clear" w:color="auto" w:fill="FFFFFF"/>
          <w:lang w:val="en-GB" w:eastAsia="en-US"/>
        </w:rPr>
        <w:t xml:space="preserve"> 160-164. </w:t>
      </w:r>
      <w:hyperlink r:id="rId55" w:history="1">
        <w:r w:rsidRPr="003A339E">
          <w:rPr>
            <w:rFonts w:eastAsia="Calibri"/>
            <w:color w:val="0000FF"/>
            <w:kern w:val="0"/>
            <w:u w:val="single"/>
            <w:lang w:val="en-GB" w:eastAsia="en-US"/>
          </w:rPr>
          <w:t>https://doi.org/10.33451/florafauna.v31i1pp160-164</w:t>
        </w:r>
      </w:hyperlink>
      <w:r w:rsidRPr="003A339E">
        <w:rPr>
          <w:rFonts w:eastAsia="Calibri"/>
          <w:color w:val="222222"/>
          <w:kern w:val="0"/>
          <w:shd w:val="clear" w:color="auto" w:fill="FFFFFF"/>
          <w:lang w:val="en-GB" w:eastAsia="en-US"/>
        </w:rPr>
        <w:t xml:space="preserve">  </w:t>
      </w:r>
      <w:r w:rsidRPr="003A339E">
        <w:rPr>
          <w:rFonts w:eastAsia="Calibri"/>
          <w:color w:val="444444"/>
          <w:kern w:val="0"/>
          <w:shd w:val="clear" w:color="auto" w:fill="FFFFFF"/>
          <w:lang w:val="en-GB" w:eastAsia="en-US"/>
        </w:rPr>
        <w:t xml:space="preserve">  </w:t>
      </w:r>
    </w:p>
    <w:p w:rsidR="003A339E" w:rsidRPr="003A339E" w:rsidRDefault="003A339E" w:rsidP="003A339E">
      <w:pPr>
        <w:spacing w:before="120" w:after="120" w:line="259" w:lineRule="auto"/>
        <w:ind w:left="0" w:right="0" w:firstLine="0"/>
        <w:jc w:val="left"/>
        <w:rPr>
          <w:rFonts w:eastAsia="Calibri"/>
          <w:color w:val="222222"/>
          <w:kern w:val="0"/>
          <w:shd w:val="clear" w:color="auto" w:fill="FFFFFF"/>
          <w:lang w:val="en-GB" w:eastAsia="en-US"/>
        </w:rPr>
      </w:pPr>
      <w:r w:rsidRPr="003A339E">
        <w:rPr>
          <w:rFonts w:eastAsia="Calibri"/>
          <w:color w:val="222222"/>
          <w:kern w:val="0"/>
          <w:shd w:val="clear" w:color="auto" w:fill="FFFFFF"/>
          <w:lang w:val="en-GB" w:eastAsia="en-US"/>
        </w:rPr>
        <w:t xml:space="preserve">Shaw, A. K., </w:t>
      </w:r>
      <w:proofErr w:type="spellStart"/>
      <w:r w:rsidRPr="003A339E">
        <w:rPr>
          <w:rFonts w:eastAsia="Calibri"/>
          <w:color w:val="222222"/>
          <w:kern w:val="0"/>
          <w:shd w:val="clear" w:color="auto" w:fill="FFFFFF"/>
          <w:lang w:val="en-GB" w:eastAsia="en-US"/>
        </w:rPr>
        <w:t>Khalkho</w:t>
      </w:r>
      <w:proofErr w:type="spellEnd"/>
      <w:r w:rsidRPr="003A339E">
        <w:rPr>
          <w:rFonts w:eastAsia="Calibri"/>
          <w:color w:val="222222"/>
          <w:kern w:val="0"/>
          <w:shd w:val="clear" w:color="auto" w:fill="FFFFFF"/>
          <w:lang w:val="en-GB" w:eastAsia="en-US"/>
        </w:rPr>
        <w:t xml:space="preserve">, A. P. V., Ranjan, S., </w:t>
      </w:r>
      <w:proofErr w:type="spellStart"/>
      <w:r w:rsidRPr="003A339E">
        <w:rPr>
          <w:rFonts w:eastAsia="Calibri"/>
          <w:color w:val="222222"/>
          <w:kern w:val="0"/>
          <w:shd w:val="clear" w:color="auto" w:fill="FFFFFF"/>
          <w:lang w:val="en-GB" w:eastAsia="en-US"/>
        </w:rPr>
        <w:t>Mahato</w:t>
      </w:r>
      <w:proofErr w:type="spellEnd"/>
      <w:r w:rsidRPr="003A339E">
        <w:rPr>
          <w:rFonts w:eastAsia="Calibri"/>
          <w:color w:val="222222"/>
          <w:kern w:val="0"/>
          <w:shd w:val="clear" w:color="auto" w:fill="FFFFFF"/>
          <w:lang w:val="en-GB" w:eastAsia="en-US"/>
        </w:rPr>
        <w:t xml:space="preserve">, N. K., Singh, R., &amp; Kumar, A. Abhilash. (2025b). </w:t>
      </w:r>
      <w:proofErr w:type="spellStart"/>
      <w:r w:rsidRPr="003A339E">
        <w:rPr>
          <w:rFonts w:eastAsia="Calibri"/>
          <w:color w:val="222222"/>
          <w:kern w:val="0"/>
          <w:shd w:val="clear" w:color="auto" w:fill="FFFFFF"/>
          <w:lang w:val="en-GB" w:eastAsia="en-US"/>
        </w:rPr>
        <w:t>Bioaccumu-lation</w:t>
      </w:r>
      <w:proofErr w:type="spellEnd"/>
      <w:r w:rsidRPr="003A339E">
        <w:rPr>
          <w:rFonts w:eastAsia="Calibri"/>
          <w:color w:val="222222"/>
          <w:kern w:val="0"/>
          <w:shd w:val="clear" w:color="auto" w:fill="FFFFFF"/>
          <w:lang w:val="en-GB" w:eastAsia="en-US"/>
        </w:rPr>
        <w:t xml:space="preserve"> and Distribution of Lead (Pb) and Cobalt (Co) in Aquatic Ecosystem Components of the Subarnarekha River at </w:t>
      </w:r>
      <w:proofErr w:type="spellStart"/>
      <w:r w:rsidRPr="003A339E">
        <w:rPr>
          <w:rFonts w:eastAsia="Calibri"/>
          <w:color w:val="222222"/>
          <w:kern w:val="0"/>
          <w:shd w:val="clear" w:color="auto" w:fill="FFFFFF"/>
          <w:lang w:val="en-GB" w:eastAsia="en-US"/>
        </w:rPr>
        <w:t>Domuhani</w:t>
      </w:r>
      <w:proofErr w:type="spellEnd"/>
      <w:r w:rsidRPr="003A339E">
        <w:rPr>
          <w:rFonts w:eastAsia="Calibri"/>
          <w:color w:val="222222"/>
          <w:kern w:val="0"/>
          <w:shd w:val="clear" w:color="auto" w:fill="FFFFFF"/>
          <w:lang w:val="en-GB" w:eastAsia="en-US"/>
        </w:rPr>
        <w:t>, Jamshedpur. </w:t>
      </w:r>
      <w:r w:rsidRPr="003A339E">
        <w:rPr>
          <w:rFonts w:eastAsia="Calibri"/>
          <w:i/>
          <w:iCs/>
          <w:color w:val="222222"/>
          <w:kern w:val="0"/>
          <w:shd w:val="clear" w:color="auto" w:fill="FFFFFF"/>
          <w:lang w:val="en-GB" w:eastAsia="en-US"/>
        </w:rPr>
        <w:t xml:space="preserve">J Nat Sci </w:t>
      </w:r>
      <w:proofErr w:type="spellStart"/>
      <w:r w:rsidRPr="003A339E">
        <w:rPr>
          <w:rFonts w:eastAsia="Calibri"/>
          <w:i/>
          <w:iCs/>
          <w:color w:val="222222"/>
          <w:kern w:val="0"/>
          <w:shd w:val="clear" w:color="auto" w:fill="FFFFFF"/>
          <w:lang w:val="en-GB" w:eastAsia="en-US"/>
        </w:rPr>
        <w:t>Explor</w:t>
      </w:r>
      <w:proofErr w:type="spellEnd"/>
      <w:r w:rsidRPr="003A339E">
        <w:rPr>
          <w:rFonts w:eastAsia="Calibri"/>
          <w:color w:val="222222"/>
          <w:kern w:val="0"/>
          <w:shd w:val="clear" w:color="auto" w:fill="FFFFFF"/>
          <w:lang w:val="en-GB" w:eastAsia="en-US"/>
        </w:rPr>
        <w:t>, </w:t>
      </w:r>
      <w:r w:rsidRPr="003A339E">
        <w:rPr>
          <w:rFonts w:eastAsia="Calibri"/>
          <w:i/>
          <w:iCs/>
          <w:color w:val="222222"/>
          <w:kern w:val="0"/>
          <w:shd w:val="clear" w:color="auto" w:fill="FFFFFF"/>
          <w:lang w:val="en-GB" w:eastAsia="en-US"/>
        </w:rPr>
        <w:t>1</w:t>
      </w:r>
      <w:r w:rsidRPr="003A339E">
        <w:rPr>
          <w:rFonts w:eastAsia="Calibri"/>
          <w:color w:val="222222"/>
          <w:kern w:val="0"/>
          <w:shd w:val="clear" w:color="auto" w:fill="FFFFFF"/>
          <w:lang w:val="en-GB" w:eastAsia="en-US"/>
        </w:rPr>
        <w:t xml:space="preserve">(1), 01-07. </w:t>
      </w:r>
      <w:hyperlink r:id="rId56" w:history="1">
        <w:r w:rsidRPr="003A339E">
          <w:rPr>
            <w:rFonts w:eastAsia="Calibri"/>
            <w:color w:val="0000FF"/>
            <w:kern w:val="0"/>
            <w:u w:val="single"/>
            <w:lang w:val="en-GB" w:eastAsia="en-US"/>
          </w:rPr>
          <w:t>http://dx.doi.org/10.2139/ssrn.5231270</w:t>
        </w:r>
      </w:hyperlink>
      <w:r w:rsidRPr="003A339E">
        <w:rPr>
          <w:rFonts w:eastAsia="Calibri"/>
          <w:color w:val="auto"/>
          <w:kern w:val="0"/>
          <w:shd w:val="clear" w:color="auto" w:fill="FFFFFF"/>
          <w:lang w:val="en-GB" w:eastAsia="en-US"/>
        </w:rPr>
        <w:t xml:space="preserve"> </w:t>
      </w:r>
    </w:p>
    <w:p w:rsidR="003A339E" w:rsidRPr="003A339E" w:rsidRDefault="003A339E" w:rsidP="003A339E">
      <w:pPr>
        <w:pStyle w:val="NormalWeb"/>
      </w:pPr>
      <w:r w:rsidRPr="003A339E">
        <w:rPr>
          <w:color w:val="222222"/>
          <w:shd w:val="clear" w:color="auto" w:fill="FFFFFF"/>
        </w:rPr>
        <w:t>Shree, S., &amp; Kumar, M. (2023). Assessment of the impact of land use and land cover change on hydrological components of the upper watershed of Subarnarekha River Basin, Jharkhand, India using SWAT model. </w:t>
      </w:r>
      <w:r w:rsidRPr="003A339E">
        <w:rPr>
          <w:i/>
          <w:iCs/>
          <w:color w:val="222222"/>
          <w:shd w:val="clear" w:color="auto" w:fill="FFFFFF"/>
        </w:rPr>
        <w:t>Water Conservation Science and Engineering</w:t>
      </w:r>
      <w:r w:rsidRPr="003A339E">
        <w:rPr>
          <w:color w:val="222222"/>
          <w:shd w:val="clear" w:color="auto" w:fill="FFFFFF"/>
        </w:rPr>
        <w:t>, </w:t>
      </w:r>
      <w:r w:rsidRPr="003A339E">
        <w:rPr>
          <w:i/>
          <w:iCs/>
          <w:color w:val="222222"/>
          <w:shd w:val="clear" w:color="auto" w:fill="FFFFFF"/>
        </w:rPr>
        <w:t>8</w:t>
      </w:r>
      <w:r w:rsidRPr="003A339E">
        <w:rPr>
          <w:color w:val="222222"/>
          <w:shd w:val="clear" w:color="auto" w:fill="FFFFFF"/>
        </w:rPr>
        <w:t xml:space="preserve">(1), 50. </w:t>
      </w:r>
      <w:hyperlink r:id="rId57" w:history="1">
        <w:r w:rsidRPr="003A339E">
          <w:rPr>
            <w:rStyle w:val="Hyperlink"/>
          </w:rPr>
          <w:t>https://doi.org/10.1007/s41101-023-00224-w</w:t>
        </w:r>
      </w:hyperlink>
      <w:r w:rsidRPr="003A339E">
        <w:t xml:space="preserve"> </w:t>
      </w:r>
    </w:p>
    <w:p w:rsidR="003A339E" w:rsidRPr="003A339E" w:rsidRDefault="003A339E" w:rsidP="003A339E">
      <w:pPr>
        <w:pStyle w:val="NormalWeb"/>
        <w:rPr>
          <w:color w:val="212121"/>
          <w:shd w:val="clear" w:color="auto" w:fill="FFFFFF"/>
        </w:rPr>
      </w:pPr>
      <w:r w:rsidRPr="003A339E">
        <w:rPr>
          <w:color w:val="212121"/>
          <w:shd w:val="clear" w:color="auto" w:fill="FFFFFF"/>
        </w:rPr>
        <w:t xml:space="preserve">Tickner, D., Opperman, J. J., Abell, R., Acreman, M., Arthington, A. H., Bunn, S. E., Cooke, S. J., Dalton, J., </w:t>
      </w:r>
      <w:proofErr w:type="spellStart"/>
      <w:r w:rsidRPr="003A339E">
        <w:rPr>
          <w:color w:val="212121"/>
          <w:shd w:val="clear" w:color="auto" w:fill="FFFFFF"/>
        </w:rPr>
        <w:t>Darwall</w:t>
      </w:r>
      <w:proofErr w:type="spellEnd"/>
      <w:r w:rsidRPr="003A339E">
        <w:rPr>
          <w:color w:val="212121"/>
          <w:shd w:val="clear" w:color="auto" w:fill="FFFFFF"/>
        </w:rPr>
        <w:t xml:space="preserve">, W., Edwards, G., Harrison, I., Hughes, K., Jones, T., </w:t>
      </w:r>
      <w:proofErr w:type="spellStart"/>
      <w:r w:rsidRPr="003A339E">
        <w:rPr>
          <w:color w:val="212121"/>
          <w:shd w:val="clear" w:color="auto" w:fill="FFFFFF"/>
        </w:rPr>
        <w:t>Leclère</w:t>
      </w:r>
      <w:proofErr w:type="spellEnd"/>
      <w:r w:rsidRPr="003A339E">
        <w:rPr>
          <w:color w:val="212121"/>
          <w:shd w:val="clear" w:color="auto" w:fill="FFFFFF"/>
        </w:rPr>
        <w:t xml:space="preserve">, D., Lynch, A. J., Leonard, P., McClain, M. E., </w:t>
      </w:r>
      <w:proofErr w:type="spellStart"/>
      <w:r w:rsidRPr="003A339E">
        <w:rPr>
          <w:color w:val="212121"/>
          <w:shd w:val="clear" w:color="auto" w:fill="FFFFFF"/>
        </w:rPr>
        <w:t>Muruven</w:t>
      </w:r>
      <w:proofErr w:type="spellEnd"/>
      <w:r w:rsidRPr="003A339E">
        <w:rPr>
          <w:color w:val="212121"/>
          <w:shd w:val="clear" w:color="auto" w:fill="FFFFFF"/>
        </w:rPr>
        <w:t>, D., Olden, J. D., Ormerod, S. J., … Young, L. (2020). Bending the Curve of Global Freshwater Biodiversity Loss: An Emergency Recovery Plan. </w:t>
      </w:r>
      <w:r w:rsidRPr="003A339E">
        <w:rPr>
          <w:i/>
          <w:iCs/>
          <w:color w:val="212121"/>
          <w:shd w:val="clear" w:color="auto" w:fill="FFFFFF"/>
        </w:rPr>
        <w:t>Bioscience</w:t>
      </w:r>
      <w:r w:rsidRPr="003A339E">
        <w:rPr>
          <w:color w:val="212121"/>
          <w:shd w:val="clear" w:color="auto" w:fill="FFFFFF"/>
        </w:rPr>
        <w:t>, </w:t>
      </w:r>
      <w:r w:rsidRPr="003A339E">
        <w:rPr>
          <w:i/>
          <w:iCs/>
          <w:color w:val="212121"/>
          <w:shd w:val="clear" w:color="auto" w:fill="FFFFFF"/>
        </w:rPr>
        <w:t>70</w:t>
      </w:r>
      <w:r w:rsidRPr="003A339E">
        <w:rPr>
          <w:color w:val="212121"/>
          <w:shd w:val="clear" w:color="auto" w:fill="FFFFFF"/>
        </w:rPr>
        <w:t xml:space="preserve">(4), 330–342. </w:t>
      </w:r>
      <w:hyperlink r:id="rId58" w:history="1">
        <w:r w:rsidRPr="003A339E">
          <w:rPr>
            <w:rStyle w:val="Hyperlink"/>
            <w:shd w:val="clear" w:color="auto" w:fill="FFFFFF"/>
          </w:rPr>
          <w:t>https://doi.org/10.1093/biosci/biaa002</w:t>
        </w:r>
      </w:hyperlink>
      <w:r w:rsidRPr="003A339E">
        <w:rPr>
          <w:color w:val="212121"/>
          <w:shd w:val="clear" w:color="auto" w:fill="FFFFFF"/>
        </w:rPr>
        <w:t xml:space="preserve"> </w:t>
      </w:r>
    </w:p>
    <w:p w:rsidR="003A339E" w:rsidRPr="003A339E" w:rsidRDefault="003A339E" w:rsidP="003A339E">
      <w:pPr>
        <w:pStyle w:val="NormalWeb"/>
      </w:pPr>
      <w:r w:rsidRPr="003A339E">
        <w:rPr>
          <w:color w:val="222222"/>
          <w:shd w:val="clear" w:color="auto" w:fill="FFFFFF"/>
        </w:rPr>
        <w:t xml:space="preserve">Till, A., </w:t>
      </w:r>
      <w:proofErr w:type="spellStart"/>
      <w:r w:rsidRPr="003A339E">
        <w:rPr>
          <w:color w:val="222222"/>
          <w:shd w:val="clear" w:color="auto" w:fill="FFFFFF"/>
        </w:rPr>
        <w:t>Rypel</w:t>
      </w:r>
      <w:proofErr w:type="spellEnd"/>
      <w:r w:rsidRPr="003A339E">
        <w:rPr>
          <w:color w:val="222222"/>
          <w:shd w:val="clear" w:color="auto" w:fill="FFFFFF"/>
        </w:rPr>
        <w:t>, A. L., Bray, A., &amp; Fey, S. B. (2019). Fish die-offs are concurrent with thermal extremes in north temperate lakes. </w:t>
      </w:r>
      <w:r w:rsidRPr="003A339E">
        <w:rPr>
          <w:i/>
          <w:iCs/>
          <w:color w:val="222222"/>
          <w:shd w:val="clear" w:color="auto" w:fill="FFFFFF"/>
        </w:rPr>
        <w:t>Nature Climate Change</w:t>
      </w:r>
      <w:r w:rsidRPr="003A339E">
        <w:rPr>
          <w:color w:val="222222"/>
          <w:shd w:val="clear" w:color="auto" w:fill="FFFFFF"/>
        </w:rPr>
        <w:t>, </w:t>
      </w:r>
      <w:r w:rsidRPr="003A339E">
        <w:rPr>
          <w:i/>
          <w:iCs/>
          <w:color w:val="222222"/>
          <w:shd w:val="clear" w:color="auto" w:fill="FFFFFF"/>
        </w:rPr>
        <w:t>9</w:t>
      </w:r>
      <w:r w:rsidRPr="003A339E">
        <w:rPr>
          <w:color w:val="222222"/>
          <w:shd w:val="clear" w:color="auto" w:fill="FFFFFF"/>
        </w:rPr>
        <w:t xml:space="preserve">(8), 637-641. </w:t>
      </w:r>
      <w:hyperlink r:id="rId59" w:history="1">
        <w:r w:rsidRPr="003A339E">
          <w:rPr>
            <w:rStyle w:val="Hyperlink"/>
          </w:rPr>
          <w:t>https://doi.org/10.1038/s41558-019-0520-y</w:t>
        </w:r>
      </w:hyperlink>
      <w:r w:rsidRPr="003A339E">
        <w:t xml:space="preserve"> </w:t>
      </w:r>
    </w:p>
    <w:p w:rsidR="003A339E" w:rsidRPr="003A339E" w:rsidRDefault="003A339E" w:rsidP="003A339E">
      <w:pPr>
        <w:pStyle w:val="NormalWeb"/>
      </w:pPr>
      <w:r w:rsidRPr="003A339E">
        <w:rPr>
          <w:color w:val="222222"/>
          <w:shd w:val="clear" w:color="auto" w:fill="FFFFFF"/>
        </w:rPr>
        <w:t xml:space="preserve">Van Vliet, M. T., </w:t>
      </w:r>
      <w:proofErr w:type="spellStart"/>
      <w:r w:rsidRPr="003A339E">
        <w:rPr>
          <w:color w:val="222222"/>
          <w:shd w:val="clear" w:color="auto" w:fill="FFFFFF"/>
        </w:rPr>
        <w:t>Thorslund</w:t>
      </w:r>
      <w:proofErr w:type="spellEnd"/>
      <w:r w:rsidRPr="003A339E">
        <w:rPr>
          <w:color w:val="222222"/>
          <w:shd w:val="clear" w:color="auto" w:fill="FFFFFF"/>
        </w:rPr>
        <w:t xml:space="preserve">, J., </w:t>
      </w:r>
      <w:proofErr w:type="spellStart"/>
      <w:r w:rsidRPr="003A339E">
        <w:rPr>
          <w:color w:val="222222"/>
          <w:shd w:val="clear" w:color="auto" w:fill="FFFFFF"/>
        </w:rPr>
        <w:t>Strokal</w:t>
      </w:r>
      <w:proofErr w:type="spellEnd"/>
      <w:r w:rsidRPr="003A339E">
        <w:rPr>
          <w:color w:val="222222"/>
          <w:shd w:val="clear" w:color="auto" w:fill="FFFFFF"/>
        </w:rPr>
        <w:t xml:space="preserve">, M., Hofstra, N., </w:t>
      </w:r>
      <w:proofErr w:type="spellStart"/>
      <w:r w:rsidRPr="003A339E">
        <w:rPr>
          <w:color w:val="222222"/>
          <w:shd w:val="clear" w:color="auto" w:fill="FFFFFF"/>
        </w:rPr>
        <w:t>Flörke</w:t>
      </w:r>
      <w:proofErr w:type="spellEnd"/>
      <w:r w:rsidRPr="003A339E">
        <w:rPr>
          <w:color w:val="222222"/>
          <w:shd w:val="clear" w:color="auto" w:fill="FFFFFF"/>
        </w:rPr>
        <w:t xml:space="preserve">, M., </w:t>
      </w:r>
      <w:proofErr w:type="spellStart"/>
      <w:r w:rsidRPr="003A339E">
        <w:rPr>
          <w:color w:val="222222"/>
          <w:shd w:val="clear" w:color="auto" w:fill="FFFFFF"/>
        </w:rPr>
        <w:t>Ehalt</w:t>
      </w:r>
      <w:proofErr w:type="spellEnd"/>
      <w:r w:rsidRPr="003A339E">
        <w:rPr>
          <w:color w:val="222222"/>
          <w:shd w:val="clear" w:color="auto" w:fill="FFFFFF"/>
        </w:rPr>
        <w:t xml:space="preserve"> Macedo, H., ... &amp; Mosley, L. M. (2023). Global river water quality under climate change and hydroclimatic extremes. </w:t>
      </w:r>
      <w:r w:rsidRPr="003A339E">
        <w:rPr>
          <w:i/>
          <w:iCs/>
          <w:color w:val="222222"/>
          <w:shd w:val="clear" w:color="auto" w:fill="FFFFFF"/>
        </w:rPr>
        <w:t>Nature Reviews Earth &amp; Environment</w:t>
      </w:r>
      <w:r w:rsidRPr="003A339E">
        <w:rPr>
          <w:color w:val="222222"/>
          <w:shd w:val="clear" w:color="auto" w:fill="FFFFFF"/>
        </w:rPr>
        <w:t>, </w:t>
      </w:r>
      <w:r w:rsidRPr="003A339E">
        <w:rPr>
          <w:i/>
          <w:iCs/>
          <w:color w:val="222222"/>
          <w:shd w:val="clear" w:color="auto" w:fill="FFFFFF"/>
        </w:rPr>
        <w:t>4</w:t>
      </w:r>
      <w:r w:rsidRPr="003A339E">
        <w:rPr>
          <w:color w:val="222222"/>
          <w:shd w:val="clear" w:color="auto" w:fill="FFFFFF"/>
        </w:rPr>
        <w:t xml:space="preserve">(10), 687-702. </w:t>
      </w:r>
      <w:hyperlink r:id="rId60" w:history="1">
        <w:r w:rsidRPr="003A339E">
          <w:rPr>
            <w:rStyle w:val="Hyperlink"/>
          </w:rPr>
          <w:t>https://doi.org/10.1038/s43017-023-00472-3</w:t>
        </w:r>
      </w:hyperlink>
      <w:r w:rsidRPr="003A339E">
        <w:t xml:space="preserve"> </w:t>
      </w:r>
    </w:p>
    <w:p w:rsidR="003A339E" w:rsidRPr="003A339E" w:rsidRDefault="003A339E" w:rsidP="003A339E">
      <w:pPr>
        <w:pStyle w:val="NormalWeb"/>
      </w:pPr>
      <w:proofErr w:type="spellStart"/>
      <w:r w:rsidRPr="003A339E">
        <w:rPr>
          <w:color w:val="222222"/>
          <w:shd w:val="clear" w:color="auto" w:fill="FFFFFF"/>
        </w:rPr>
        <w:t>Vörösmarty</w:t>
      </w:r>
      <w:proofErr w:type="spellEnd"/>
      <w:r w:rsidRPr="003A339E">
        <w:rPr>
          <w:color w:val="222222"/>
          <w:shd w:val="clear" w:color="auto" w:fill="FFFFFF"/>
        </w:rPr>
        <w:t xml:space="preserve">, C. J., McIntyre, P. B., Gessner, M. O., Dudgeon, D., </w:t>
      </w:r>
      <w:proofErr w:type="spellStart"/>
      <w:r w:rsidRPr="003A339E">
        <w:rPr>
          <w:color w:val="222222"/>
          <w:shd w:val="clear" w:color="auto" w:fill="FFFFFF"/>
        </w:rPr>
        <w:t>Prusevich</w:t>
      </w:r>
      <w:proofErr w:type="spellEnd"/>
      <w:r w:rsidRPr="003A339E">
        <w:rPr>
          <w:color w:val="222222"/>
          <w:shd w:val="clear" w:color="auto" w:fill="FFFFFF"/>
        </w:rPr>
        <w:t>, A., Green, P., ... &amp; Davies, P. (2010). Global threats to human water security and river biodiversity. </w:t>
      </w:r>
      <w:r w:rsidRPr="003A339E">
        <w:rPr>
          <w:i/>
          <w:iCs/>
          <w:color w:val="222222"/>
          <w:shd w:val="clear" w:color="auto" w:fill="FFFFFF"/>
        </w:rPr>
        <w:t>nature</w:t>
      </w:r>
      <w:r w:rsidRPr="003A339E">
        <w:rPr>
          <w:color w:val="222222"/>
          <w:shd w:val="clear" w:color="auto" w:fill="FFFFFF"/>
        </w:rPr>
        <w:t>, </w:t>
      </w:r>
      <w:r w:rsidRPr="003A339E">
        <w:rPr>
          <w:i/>
          <w:iCs/>
          <w:color w:val="222222"/>
          <w:shd w:val="clear" w:color="auto" w:fill="FFFFFF"/>
        </w:rPr>
        <w:t>467</w:t>
      </w:r>
      <w:r w:rsidRPr="003A339E">
        <w:rPr>
          <w:color w:val="222222"/>
          <w:shd w:val="clear" w:color="auto" w:fill="FFFFFF"/>
        </w:rPr>
        <w:t xml:space="preserve">(7315), 555-561. </w:t>
      </w:r>
      <w:hyperlink r:id="rId61" w:history="1">
        <w:r w:rsidRPr="003A339E">
          <w:rPr>
            <w:rStyle w:val="Hyperlink"/>
          </w:rPr>
          <w:t>https://doi.org/10.1038/nature09440</w:t>
        </w:r>
      </w:hyperlink>
      <w:r w:rsidRPr="003A339E">
        <w:t xml:space="preserve"> </w:t>
      </w:r>
    </w:p>
    <w:p w:rsidR="003A339E" w:rsidRPr="003A339E" w:rsidRDefault="003A339E" w:rsidP="003A339E">
      <w:pPr>
        <w:pStyle w:val="NormalWeb"/>
      </w:pPr>
      <w:r w:rsidRPr="003A339E">
        <w:rPr>
          <w:color w:val="222222"/>
          <w:shd w:val="clear" w:color="auto" w:fill="FFFFFF"/>
        </w:rPr>
        <w:t>Woodward, G., Perkins, D. M., &amp; Brown, L. E. (2010). Climate change and freshwater ecosystems: impacts across multiple levels of organization. </w:t>
      </w:r>
      <w:r w:rsidRPr="003A339E">
        <w:rPr>
          <w:i/>
          <w:iCs/>
          <w:color w:val="222222"/>
          <w:shd w:val="clear" w:color="auto" w:fill="FFFFFF"/>
        </w:rPr>
        <w:t>Philosophical Transactions of the Royal Society B: Biological Sciences</w:t>
      </w:r>
      <w:r w:rsidRPr="003A339E">
        <w:rPr>
          <w:color w:val="222222"/>
          <w:shd w:val="clear" w:color="auto" w:fill="FFFFFF"/>
        </w:rPr>
        <w:t>, </w:t>
      </w:r>
      <w:r w:rsidRPr="003A339E">
        <w:rPr>
          <w:i/>
          <w:iCs/>
          <w:color w:val="222222"/>
          <w:shd w:val="clear" w:color="auto" w:fill="FFFFFF"/>
        </w:rPr>
        <w:t>365</w:t>
      </w:r>
      <w:r w:rsidRPr="003A339E">
        <w:rPr>
          <w:color w:val="222222"/>
          <w:shd w:val="clear" w:color="auto" w:fill="FFFFFF"/>
        </w:rPr>
        <w:t xml:space="preserve">(1549), 2093-2106. </w:t>
      </w:r>
      <w:hyperlink r:id="rId62" w:tgtFrame="_new" w:history="1">
        <w:r w:rsidRPr="003A339E">
          <w:rPr>
            <w:rStyle w:val="Hyperlink"/>
          </w:rPr>
          <w:t>https://doi.org/10.1098/rstb.2010.0055</w:t>
        </w:r>
      </w:hyperlink>
      <w:r w:rsidRPr="003A339E">
        <w:t xml:space="preserve"> </w:t>
      </w:r>
    </w:p>
    <w:p w:rsidR="003A339E" w:rsidRPr="003A339E" w:rsidRDefault="003A339E" w:rsidP="003A339E">
      <w:pPr>
        <w:pStyle w:val="NormalWeb"/>
      </w:pPr>
      <w:proofErr w:type="spellStart"/>
      <w:r w:rsidRPr="003A339E">
        <w:rPr>
          <w:color w:val="222222"/>
          <w:shd w:val="clear" w:color="auto" w:fill="FFFFFF"/>
        </w:rPr>
        <w:t>Zhi</w:t>
      </w:r>
      <w:proofErr w:type="spellEnd"/>
      <w:r w:rsidRPr="003A339E">
        <w:rPr>
          <w:color w:val="222222"/>
          <w:shd w:val="clear" w:color="auto" w:fill="FFFFFF"/>
        </w:rPr>
        <w:t>, W., Klingler, C., Liu, J., &amp; Li, L. (2023). Widespread deoxygenation in warming rivers. </w:t>
      </w:r>
      <w:r w:rsidRPr="003A339E">
        <w:rPr>
          <w:i/>
          <w:iCs/>
          <w:color w:val="222222"/>
          <w:shd w:val="clear" w:color="auto" w:fill="FFFFFF"/>
        </w:rPr>
        <w:t>Nature Climate Change</w:t>
      </w:r>
      <w:r w:rsidRPr="003A339E">
        <w:rPr>
          <w:color w:val="222222"/>
          <w:shd w:val="clear" w:color="auto" w:fill="FFFFFF"/>
        </w:rPr>
        <w:t>, </w:t>
      </w:r>
      <w:r w:rsidRPr="003A339E">
        <w:rPr>
          <w:i/>
          <w:iCs/>
          <w:color w:val="222222"/>
          <w:shd w:val="clear" w:color="auto" w:fill="FFFFFF"/>
        </w:rPr>
        <w:t>13</w:t>
      </w:r>
      <w:r w:rsidRPr="003A339E">
        <w:rPr>
          <w:color w:val="222222"/>
          <w:shd w:val="clear" w:color="auto" w:fill="FFFFFF"/>
        </w:rPr>
        <w:t xml:space="preserve">(10), 1105-1113. </w:t>
      </w:r>
      <w:hyperlink r:id="rId63" w:history="1">
        <w:r w:rsidRPr="003A339E">
          <w:rPr>
            <w:rStyle w:val="Hyperlink"/>
          </w:rPr>
          <w:t>https://doi.org/10.1038/s41558-023-01793-3</w:t>
        </w:r>
      </w:hyperlink>
      <w:r w:rsidRPr="003A339E">
        <w:t xml:space="preserve"> </w:t>
      </w:r>
    </w:p>
    <w:p w:rsidR="0046191D" w:rsidRDefault="003A339E" w:rsidP="003A20E8">
      <w:pPr>
        <w:pStyle w:val="NormalWeb"/>
      </w:pPr>
      <w:proofErr w:type="spellStart"/>
      <w:r w:rsidRPr="003A339E">
        <w:rPr>
          <w:color w:val="222222"/>
          <w:shd w:val="clear" w:color="auto" w:fill="FFFFFF"/>
        </w:rPr>
        <w:t>Zhi</w:t>
      </w:r>
      <w:proofErr w:type="spellEnd"/>
      <w:r w:rsidRPr="003A339E">
        <w:rPr>
          <w:color w:val="222222"/>
          <w:shd w:val="clear" w:color="auto" w:fill="FFFFFF"/>
        </w:rPr>
        <w:t>, W., Ouyang, W., Shen, C., &amp; Li, L. (2023). Temperature outweighs light and flow as the predominant driver of dissolved oxygen in US rivers. </w:t>
      </w:r>
      <w:r w:rsidRPr="003A339E">
        <w:rPr>
          <w:i/>
          <w:iCs/>
          <w:color w:val="222222"/>
          <w:shd w:val="clear" w:color="auto" w:fill="FFFFFF"/>
        </w:rPr>
        <w:t>Nature Water</w:t>
      </w:r>
      <w:r w:rsidRPr="003A339E">
        <w:rPr>
          <w:color w:val="222222"/>
          <w:shd w:val="clear" w:color="auto" w:fill="FFFFFF"/>
        </w:rPr>
        <w:t>, </w:t>
      </w:r>
      <w:r w:rsidRPr="003A339E">
        <w:rPr>
          <w:i/>
          <w:iCs/>
          <w:color w:val="222222"/>
          <w:shd w:val="clear" w:color="auto" w:fill="FFFFFF"/>
        </w:rPr>
        <w:t>1</w:t>
      </w:r>
      <w:r w:rsidRPr="003A339E">
        <w:rPr>
          <w:color w:val="222222"/>
          <w:shd w:val="clear" w:color="auto" w:fill="FFFFFF"/>
        </w:rPr>
        <w:t xml:space="preserve">(3), 249-260. </w:t>
      </w:r>
      <w:hyperlink r:id="rId64" w:history="1">
        <w:r w:rsidRPr="003A339E">
          <w:rPr>
            <w:rStyle w:val="Hyperlink"/>
          </w:rPr>
          <w:t>https://doi.org/10.1038/s44221-023-00038-z</w:t>
        </w:r>
      </w:hyperlink>
      <w:r w:rsidRPr="003A339E">
        <w:t xml:space="preserve"> </w:t>
      </w:r>
    </w:p>
    <w:sectPr w:rsidR="0046191D" w:rsidSect="00CB6EB6">
      <w:headerReference w:type="even" r:id="rId65"/>
      <w:headerReference w:type="default" r:id="rId66"/>
      <w:footerReference w:type="even" r:id="rId67"/>
      <w:footerReference w:type="default" r:id="rId68"/>
      <w:headerReference w:type="first" r:id="rId69"/>
      <w:footerReference w:type="first" r:id="rId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5FF" w:rsidRDefault="00A225FF" w:rsidP="00FC2A43">
      <w:pPr>
        <w:spacing w:after="0" w:line="240" w:lineRule="auto"/>
      </w:pPr>
      <w:r>
        <w:separator/>
      </w:r>
    </w:p>
  </w:endnote>
  <w:endnote w:type="continuationSeparator" w:id="0">
    <w:p w:rsidR="00A225FF" w:rsidRDefault="00A225FF" w:rsidP="00FC2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A43" w:rsidRDefault="00FC2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A43" w:rsidRDefault="00FC2A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A43" w:rsidRDefault="00FC2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5FF" w:rsidRDefault="00A225FF" w:rsidP="00FC2A43">
      <w:pPr>
        <w:spacing w:after="0" w:line="240" w:lineRule="auto"/>
      </w:pPr>
      <w:r>
        <w:separator/>
      </w:r>
    </w:p>
  </w:footnote>
  <w:footnote w:type="continuationSeparator" w:id="0">
    <w:p w:rsidR="00A225FF" w:rsidRDefault="00A225FF" w:rsidP="00FC2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A43" w:rsidRDefault="00FC2A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695532"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A43" w:rsidRDefault="00FC2A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695533"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A43" w:rsidRDefault="00FC2A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695531"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66CE0"/>
    <w:multiLevelType w:val="hybridMultilevel"/>
    <w:tmpl w:val="1E86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B498D"/>
    <w:multiLevelType w:val="hybridMultilevel"/>
    <w:tmpl w:val="C8E48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B91531"/>
    <w:multiLevelType w:val="hybridMultilevel"/>
    <w:tmpl w:val="C2CC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23"/>
  </w:num>
  <w:num w:numId="4">
    <w:abstractNumId w:val="7"/>
  </w:num>
  <w:num w:numId="5">
    <w:abstractNumId w:val="22"/>
  </w:num>
  <w:num w:numId="6">
    <w:abstractNumId w:val="10"/>
  </w:num>
  <w:num w:numId="7">
    <w:abstractNumId w:val="2"/>
  </w:num>
  <w:num w:numId="8">
    <w:abstractNumId w:val="35"/>
  </w:num>
  <w:num w:numId="9">
    <w:abstractNumId w:val="11"/>
  </w:num>
  <w:num w:numId="10">
    <w:abstractNumId w:val="12"/>
  </w:num>
  <w:num w:numId="11">
    <w:abstractNumId w:val="18"/>
  </w:num>
  <w:num w:numId="12">
    <w:abstractNumId w:val="17"/>
  </w:num>
  <w:num w:numId="13">
    <w:abstractNumId w:val="19"/>
  </w:num>
  <w:num w:numId="14">
    <w:abstractNumId w:val="8"/>
  </w:num>
  <w:num w:numId="15">
    <w:abstractNumId w:val="1"/>
  </w:num>
  <w:num w:numId="16">
    <w:abstractNumId w:val="20"/>
  </w:num>
  <w:num w:numId="17">
    <w:abstractNumId w:val="31"/>
  </w:num>
  <w:num w:numId="18">
    <w:abstractNumId w:val="29"/>
  </w:num>
  <w:num w:numId="19">
    <w:abstractNumId w:val="28"/>
  </w:num>
  <w:num w:numId="20">
    <w:abstractNumId w:val="15"/>
  </w:num>
  <w:num w:numId="21">
    <w:abstractNumId w:val="24"/>
  </w:num>
  <w:num w:numId="22">
    <w:abstractNumId w:val="26"/>
  </w:num>
  <w:num w:numId="23">
    <w:abstractNumId w:val="0"/>
  </w:num>
  <w:num w:numId="24">
    <w:abstractNumId w:val="34"/>
  </w:num>
  <w:num w:numId="25">
    <w:abstractNumId w:val="5"/>
  </w:num>
  <w:num w:numId="26">
    <w:abstractNumId w:val="21"/>
  </w:num>
  <w:num w:numId="27">
    <w:abstractNumId w:val="27"/>
  </w:num>
  <w:num w:numId="28">
    <w:abstractNumId w:val="25"/>
  </w:num>
  <w:num w:numId="29">
    <w:abstractNumId w:val="16"/>
  </w:num>
  <w:num w:numId="30">
    <w:abstractNumId w:val="33"/>
  </w:num>
  <w:num w:numId="31">
    <w:abstractNumId w:val="14"/>
  </w:num>
  <w:num w:numId="32">
    <w:abstractNumId w:val="30"/>
  </w:num>
  <w:num w:numId="33">
    <w:abstractNumId w:val="3"/>
  </w:num>
  <w:num w:numId="34">
    <w:abstractNumId w:val="4"/>
  </w:num>
  <w:num w:numId="35">
    <w:abstractNumId w:val="9"/>
  </w:num>
  <w:num w:numId="36">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115D1"/>
    <w:rsid w:val="000425DD"/>
    <w:rsid w:val="00053D7A"/>
    <w:rsid w:val="0005616C"/>
    <w:rsid w:val="0006037D"/>
    <w:rsid w:val="0006413B"/>
    <w:rsid w:val="000643E7"/>
    <w:rsid w:val="0006527C"/>
    <w:rsid w:val="000652AA"/>
    <w:rsid w:val="00086EDD"/>
    <w:rsid w:val="000A0EB4"/>
    <w:rsid w:val="000A79B2"/>
    <w:rsid w:val="000C4F0E"/>
    <w:rsid w:val="000D461E"/>
    <w:rsid w:val="000D6AAA"/>
    <w:rsid w:val="000E67D1"/>
    <w:rsid w:val="000E709D"/>
    <w:rsid w:val="000F27AA"/>
    <w:rsid w:val="0011088B"/>
    <w:rsid w:val="00114147"/>
    <w:rsid w:val="001261CC"/>
    <w:rsid w:val="00126ADF"/>
    <w:rsid w:val="00131E50"/>
    <w:rsid w:val="001328B9"/>
    <w:rsid w:val="00135191"/>
    <w:rsid w:val="00142919"/>
    <w:rsid w:val="001514E1"/>
    <w:rsid w:val="001560E3"/>
    <w:rsid w:val="00166050"/>
    <w:rsid w:val="00186E2A"/>
    <w:rsid w:val="0019059D"/>
    <w:rsid w:val="0019667B"/>
    <w:rsid w:val="001A165A"/>
    <w:rsid w:val="001A3703"/>
    <w:rsid w:val="001A7A4E"/>
    <w:rsid w:val="001B2FA4"/>
    <w:rsid w:val="001B5753"/>
    <w:rsid w:val="001E2B2E"/>
    <w:rsid w:val="001E6EC5"/>
    <w:rsid w:val="00202F35"/>
    <w:rsid w:val="00207DA8"/>
    <w:rsid w:val="0022042D"/>
    <w:rsid w:val="002312EA"/>
    <w:rsid w:val="002331C1"/>
    <w:rsid w:val="0024324D"/>
    <w:rsid w:val="0025339C"/>
    <w:rsid w:val="00257AC1"/>
    <w:rsid w:val="00260455"/>
    <w:rsid w:val="00260B1D"/>
    <w:rsid w:val="00267B17"/>
    <w:rsid w:val="00271A26"/>
    <w:rsid w:val="002773A5"/>
    <w:rsid w:val="002778DD"/>
    <w:rsid w:val="00284F1F"/>
    <w:rsid w:val="002A01F2"/>
    <w:rsid w:val="002A4C47"/>
    <w:rsid w:val="002B76E6"/>
    <w:rsid w:val="002C0DF9"/>
    <w:rsid w:val="002C48BB"/>
    <w:rsid w:val="002D6FFA"/>
    <w:rsid w:val="002E0776"/>
    <w:rsid w:val="002E4CAE"/>
    <w:rsid w:val="002F0434"/>
    <w:rsid w:val="002F4C0C"/>
    <w:rsid w:val="00307595"/>
    <w:rsid w:val="0031286E"/>
    <w:rsid w:val="00332243"/>
    <w:rsid w:val="00345946"/>
    <w:rsid w:val="0035701C"/>
    <w:rsid w:val="003664CE"/>
    <w:rsid w:val="003740DE"/>
    <w:rsid w:val="00391BB6"/>
    <w:rsid w:val="00395340"/>
    <w:rsid w:val="003975AE"/>
    <w:rsid w:val="003A104D"/>
    <w:rsid w:val="003A20E8"/>
    <w:rsid w:val="003A339E"/>
    <w:rsid w:val="003A4787"/>
    <w:rsid w:val="003B035B"/>
    <w:rsid w:val="003B09B4"/>
    <w:rsid w:val="003B3553"/>
    <w:rsid w:val="003B400E"/>
    <w:rsid w:val="003B6CCD"/>
    <w:rsid w:val="003C31E9"/>
    <w:rsid w:val="003C4000"/>
    <w:rsid w:val="003E35A3"/>
    <w:rsid w:val="003E61B2"/>
    <w:rsid w:val="003F02C5"/>
    <w:rsid w:val="003F036F"/>
    <w:rsid w:val="003F6E91"/>
    <w:rsid w:val="00400005"/>
    <w:rsid w:val="00405181"/>
    <w:rsid w:val="004132B1"/>
    <w:rsid w:val="004148C1"/>
    <w:rsid w:val="004148F5"/>
    <w:rsid w:val="00416C8C"/>
    <w:rsid w:val="00456E20"/>
    <w:rsid w:val="004615AF"/>
    <w:rsid w:val="0046191D"/>
    <w:rsid w:val="004711B7"/>
    <w:rsid w:val="004A16BD"/>
    <w:rsid w:val="004A508F"/>
    <w:rsid w:val="004A5427"/>
    <w:rsid w:val="004A586B"/>
    <w:rsid w:val="004B02DF"/>
    <w:rsid w:val="004C1A63"/>
    <w:rsid w:val="004C6306"/>
    <w:rsid w:val="004C7547"/>
    <w:rsid w:val="004E1999"/>
    <w:rsid w:val="004E7311"/>
    <w:rsid w:val="004F2BB5"/>
    <w:rsid w:val="004F5E1D"/>
    <w:rsid w:val="00516AA1"/>
    <w:rsid w:val="00523936"/>
    <w:rsid w:val="0052448D"/>
    <w:rsid w:val="0054487D"/>
    <w:rsid w:val="00554C7D"/>
    <w:rsid w:val="005577C6"/>
    <w:rsid w:val="0056389E"/>
    <w:rsid w:val="00564FB4"/>
    <w:rsid w:val="00571246"/>
    <w:rsid w:val="005A2AA6"/>
    <w:rsid w:val="005A5DEC"/>
    <w:rsid w:val="005B22C5"/>
    <w:rsid w:val="005B4ADB"/>
    <w:rsid w:val="005D2267"/>
    <w:rsid w:val="005F1FE6"/>
    <w:rsid w:val="006009AA"/>
    <w:rsid w:val="00605701"/>
    <w:rsid w:val="0061521F"/>
    <w:rsid w:val="00622C65"/>
    <w:rsid w:val="00626F6E"/>
    <w:rsid w:val="00632906"/>
    <w:rsid w:val="0064677F"/>
    <w:rsid w:val="006500A6"/>
    <w:rsid w:val="00650475"/>
    <w:rsid w:val="00653524"/>
    <w:rsid w:val="00655F10"/>
    <w:rsid w:val="00657005"/>
    <w:rsid w:val="00661483"/>
    <w:rsid w:val="006618F5"/>
    <w:rsid w:val="0067007E"/>
    <w:rsid w:val="00671CE7"/>
    <w:rsid w:val="00676549"/>
    <w:rsid w:val="0067685B"/>
    <w:rsid w:val="00683EC3"/>
    <w:rsid w:val="006907D2"/>
    <w:rsid w:val="00690AC7"/>
    <w:rsid w:val="00692471"/>
    <w:rsid w:val="0069332F"/>
    <w:rsid w:val="00693DFE"/>
    <w:rsid w:val="00695D59"/>
    <w:rsid w:val="006A2C8B"/>
    <w:rsid w:val="006A39B3"/>
    <w:rsid w:val="006B66BC"/>
    <w:rsid w:val="006D2558"/>
    <w:rsid w:val="006D455D"/>
    <w:rsid w:val="006E13D4"/>
    <w:rsid w:val="006E4B0A"/>
    <w:rsid w:val="006F708E"/>
    <w:rsid w:val="00711B14"/>
    <w:rsid w:val="00713825"/>
    <w:rsid w:val="00720F41"/>
    <w:rsid w:val="00721966"/>
    <w:rsid w:val="00737A32"/>
    <w:rsid w:val="007521D0"/>
    <w:rsid w:val="00755BDC"/>
    <w:rsid w:val="00761CB6"/>
    <w:rsid w:val="00773599"/>
    <w:rsid w:val="00774395"/>
    <w:rsid w:val="0078275D"/>
    <w:rsid w:val="00783E9E"/>
    <w:rsid w:val="00786C67"/>
    <w:rsid w:val="007A6C1C"/>
    <w:rsid w:val="007B0E74"/>
    <w:rsid w:val="007B437D"/>
    <w:rsid w:val="007B7786"/>
    <w:rsid w:val="007C5F8A"/>
    <w:rsid w:val="007C7951"/>
    <w:rsid w:val="007D03BC"/>
    <w:rsid w:val="007D38FC"/>
    <w:rsid w:val="007E249F"/>
    <w:rsid w:val="007E7420"/>
    <w:rsid w:val="007F1928"/>
    <w:rsid w:val="008017C0"/>
    <w:rsid w:val="00804929"/>
    <w:rsid w:val="008107F6"/>
    <w:rsid w:val="00812006"/>
    <w:rsid w:val="00820C75"/>
    <w:rsid w:val="00831623"/>
    <w:rsid w:val="0083179B"/>
    <w:rsid w:val="008374C4"/>
    <w:rsid w:val="00855A4C"/>
    <w:rsid w:val="00856AFD"/>
    <w:rsid w:val="0087023A"/>
    <w:rsid w:val="00870945"/>
    <w:rsid w:val="00876190"/>
    <w:rsid w:val="008811F8"/>
    <w:rsid w:val="00881487"/>
    <w:rsid w:val="00883166"/>
    <w:rsid w:val="008A2470"/>
    <w:rsid w:val="008A4BFC"/>
    <w:rsid w:val="008A7416"/>
    <w:rsid w:val="008C2A6A"/>
    <w:rsid w:val="008E71C6"/>
    <w:rsid w:val="008F3850"/>
    <w:rsid w:val="00916DED"/>
    <w:rsid w:val="00921557"/>
    <w:rsid w:val="00925CAF"/>
    <w:rsid w:val="00935182"/>
    <w:rsid w:val="00951A3D"/>
    <w:rsid w:val="009536DC"/>
    <w:rsid w:val="00974554"/>
    <w:rsid w:val="009851F5"/>
    <w:rsid w:val="009855F2"/>
    <w:rsid w:val="009929A7"/>
    <w:rsid w:val="00992B92"/>
    <w:rsid w:val="00994A4A"/>
    <w:rsid w:val="009B3A8A"/>
    <w:rsid w:val="009B55DE"/>
    <w:rsid w:val="009D05A9"/>
    <w:rsid w:val="009D0B9D"/>
    <w:rsid w:val="009D13F6"/>
    <w:rsid w:val="009D5BA5"/>
    <w:rsid w:val="009E5244"/>
    <w:rsid w:val="009F0120"/>
    <w:rsid w:val="00A00B22"/>
    <w:rsid w:val="00A029C3"/>
    <w:rsid w:val="00A225FF"/>
    <w:rsid w:val="00A2270F"/>
    <w:rsid w:val="00A24B38"/>
    <w:rsid w:val="00A27BF4"/>
    <w:rsid w:val="00A33B3D"/>
    <w:rsid w:val="00A478B2"/>
    <w:rsid w:val="00A50845"/>
    <w:rsid w:val="00A5299F"/>
    <w:rsid w:val="00A54719"/>
    <w:rsid w:val="00A57A87"/>
    <w:rsid w:val="00A62C46"/>
    <w:rsid w:val="00A64590"/>
    <w:rsid w:val="00A7055A"/>
    <w:rsid w:val="00A8506E"/>
    <w:rsid w:val="00A97AEF"/>
    <w:rsid w:val="00AA2B64"/>
    <w:rsid w:val="00AA4644"/>
    <w:rsid w:val="00AA4B35"/>
    <w:rsid w:val="00AB0C7A"/>
    <w:rsid w:val="00AB1103"/>
    <w:rsid w:val="00AD7B8B"/>
    <w:rsid w:val="00AE651D"/>
    <w:rsid w:val="00AE79C2"/>
    <w:rsid w:val="00AF7425"/>
    <w:rsid w:val="00B06888"/>
    <w:rsid w:val="00B1065D"/>
    <w:rsid w:val="00B451DB"/>
    <w:rsid w:val="00B6043D"/>
    <w:rsid w:val="00B84C19"/>
    <w:rsid w:val="00B96BA2"/>
    <w:rsid w:val="00BA4AB8"/>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BA6"/>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9293B"/>
    <w:rsid w:val="00D95D20"/>
    <w:rsid w:val="00DA3203"/>
    <w:rsid w:val="00DC5FB9"/>
    <w:rsid w:val="00DC6BC2"/>
    <w:rsid w:val="00DC74C9"/>
    <w:rsid w:val="00DD02B6"/>
    <w:rsid w:val="00DD62DF"/>
    <w:rsid w:val="00DE0A9F"/>
    <w:rsid w:val="00DE544F"/>
    <w:rsid w:val="00DF20BB"/>
    <w:rsid w:val="00DF5AB4"/>
    <w:rsid w:val="00E125DA"/>
    <w:rsid w:val="00E20962"/>
    <w:rsid w:val="00E22310"/>
    <w:rsid w:val="00E40B47"/>
    <w:rsid w:val="00E52157"/>
    <w:rsid w:val="00E54101"/>
    <w:rsid w:val="00E643E8"/>
    <w:rsid w:val="00E6564A"/>
    <w:rsid w:val="00E7044C"/>
    <w:rsid w:val="00E742DA"/>
    <w:rsid w:val="00E76785"/>
    <w:rsid w:val="00E8435E"/>
    <w:rsid w:val="00E93BAE"/>
    <w:rsid w:val="00E97F4E"/>
    <w:rsid w:val="00EA3994"/>
    <w:rsid w:val="00EA45FD"/>
    <w:rsid w:val="00EC266D"/>
    <w:rsid w:val="00EC4D6C"/>
    <w:rsid w:val="00EE2E7D"/>
    <w:rsid w:val="00EF4D40"/>
    <w:rsid w:val="00EF4D87"/>
    <w:rsid w:val="00F121D0"/>
    <w:rsid w:val="00F13040"/>
    <w:rsid w:val="00F133C3"/>
    <w:rsid w:val="00F278AB"/>
    <w:rsid w:val="00F36C5B"/>
    <w:rsid w:val="00F43CC2"/>
    <w:rsid w:val="00F45317"/>
    <w:rsid w:val="00F4728A"/>
    <w:rsid w:val="00F6047F"/>
    <w:rsid w:val="00F754E8"/>
    <w:rsid w:val="00FA03AB"/>
    <w:rsid w:val="00FA5C8B"/>
    <w:rsid w:val="00FA7321"/>
    <w:rsid w:val="00FB1450"/>
    <w:rsid w:val="00FB6475"/>
    <w:rsid w:val="00FC1A30"/>
    <w:rsid w:val="00FC2A43"/>
    <w:rsid w:val="00FC3FB3"/>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958AAF9-BEE1-4D31-A5BF-D2AF4A69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table" w:styleId="TableGrid">
    <w:name w:val="Table Grid"/>
    <w:basedOn w:val="TableNormal"/>
    <w:uiPriority w:val="39"/>
    <w:rsid w:val="003A3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2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A43"/>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FC2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A43"/>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52332971">
      <w:bodyDiv w:val="1"/>
      <w:marLeft w:val="0"/>
      <w:marRight w:val="0"/>
      <w:marTop w:val="0"/>
      <w:marBottom w:val="0"/>
      <w:divBdr>
        <w:top w:val="none" w:sz="0" w:space="0" w:color="auto"/>
        <w:left w:val="none" w:sz="0" w:space="0" w:color="auto"/>
        <w:bottom w:val="none" w:sz="0" w:space="0" w:color="auto"/>
        <w:right w:val="none" w:sz="0" w:space="0" w:color="auto"/>
      </w:divBdr>
    </w:div>
    <w:div w:id="183785657">
      <w:bodyDiv w:val="1"/>
      <w:marLeft w:val="0"/>
      <w:marRight w:val="0"/>
      <w:marTop w:val="0"/>
      <w:marBottom w:val="0"/>
      <w:divBdr>
        <w:top w:val="none" w:sz="0" w:space="0" w:color="auto"/>
        <w:left w:val="none" w:sz="0" w:space="0" w:color="auto"/>
        <w:bottom w:val="none" w:sz="0" w:space="0" w:color="auto"/>
        <w:right w:val="none" w:sz="0" w:space="0" w:color="auto"/>
      </w:divBdr>
      <w:divsChild>
        <w:div w:id="60443677">
          <w:marLeft w:val="0"/>
          <w:marRight w:val="0"/>
          <w:marTop w:val="0"/>
          <w:marBottom w:val="0"/>
          <w:divBdr>
            <w:top w:val="none" w:sz="0" w:space="0" w:color="auto"/>
            <w:left w:val="none" w:sz="0" w:space="0" w:color="auto"/>
            <w:bottom w:val="none" w:sz="0" w:space="0" w:color="auto"/>
            <w:right w:val="none" w:sz="0" w:space="0" w:color="auto"/>
          </w:divBdr>
          <w:divsChild>
            <w:div w:id="1663964959">
              <w:marLeft w:val="0"/>
              <w:marRight w:val="0"/>
              <w:marTop w:val="0"/>
              <w:marBottom w:val="0"/>
              <w:divBdr>
                <w:top w:val="none" w:sz="0" w:space="0" w:color="auto"/>
                <w:left w:val="none" w:sz="0" w:space="0" w:color="auto"/>
                <w:bottom w:val="none" w:sz="0" w:space="0" w:color="auto"/>
                <w:right w:val="none" w:sz="0" w:space="0" w:color="auto"/>
              </w:divBdr>
              <w:divsChild>
                <w:div w:id="457988979">
                  <w:marLeft w:val="0"/>
                  <w:marRight w:val="0"/>
                  <w:marTop w:val="0"/>
                  <w:marBottom w:val="0"/>
                  <w:divBdr>
                    <w:top w:val="none" w:sz="0" w:space="0" w:color="auto"/>
                    <w:left w:val="none" w:sz="0" w:space="0" w:color="auto"/>
                    <w:bottom w:val="none" w:sz="0" w:space="0" w:color="auto"/>
                    <w:right w:val="none" w:sz="0" w:space="0" w:color="auto"/>
                  </w:divBdr>
                  <w:divsChild>
                    <w:div w:id="950936959">
                      <w:marLeft w:val="0"/>
                      <w:marRight w:val="0"/>
                      <w:marTop w:val="0"/>
                      <w:marBottom w:val="0"/>
                      <w:divBdr>
                        <w:top w:val="none" w:sz="0" w:space="0" w:color="auto"/>
                        <w:left w:val="none" w:sz="0" w:space="0" w:color="auto"/>
                        <w:bottom w:val="none" w:sz="0" w:space="0" w:color="auto"/>
                        <w:right w:val="none" w:sz="0" w:space="0" w:color="auto"/>
                      </w:divBdr>
                      <w:divsChild>
                        <w:div w:id="409427072">
                          <w:marLeft w:val="0"/>
                          <w:marRight w:val="0"/>
                          <w:marTop w:val="0"/>
                          <w:marBottom w:val="0"/>
                          <w:divBdr>
                            <w:top w:val="none" w:sz="0" w:space="0" w:color="auto"/>
                            <w:left w:val="none" w:sz="0" w:space="0" w:color="auto"/>
                            <w:bottom w:val="none" w:sz="0" w:space="0" w:color="auto"/>
                            <w:right w:val="none" w:sz="0" w:space="0" w:color="auto"/>
                          </w:divBdr>
                          <w:divsChild>
                            <w:div w:id="383719883">
                              <w:marLeft w:val="0"/>
                              <w:marRight w:val="0"/>
                              <w:marTop w:val="0"/>
                              <w:marBottom w:val="0"/>
                              <w:divBdr>
                                <w:top w:val="none" w:sz="0" w:space="0" w:color="auto"/>
                                <w:left w:val="none" w:sz="0" w:space="0" w:color="auto"/>
                                <w:bottom w:val="none" w:sz="0" w:space="0" w:color="auto"/>
                                <w:right w:val="none" w:sz="0" w:space="0" w:color="auto"/>
                              </w:divBdr>
                              <w:divsChild>
                                <w:div w:id="19893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0066414">
      <w:bodyDiv w:val="1"/>
      <w:marLeft w:val="0"/>
      <w:marRight w:val="0"/>
      <w:marTop w:val="0"/>
      <w:marBottom w:val="0"/>
      <w:divBdr>
        <w:top w:val="none" w:sz="0" w:space="0" w:color="auto"/>
        <w:left w:val="none" w:sz="0" w:space="0" w:color="auto"/>
        <w:bottom w:val="none" w:sz="0" w:space="0" w:color="auto"/>
        <w:right w:val="none" w:sz="0" w:space="0" w:color="auto"/>
      </w:divBdr>
      <w:divsChild>
        <w:div w:id="468321904">
          <w:marLeft w:val="0"/>
          <w:marRight w:val="0"/>
          <w:marTop w:val="0"/>
          <w:marBottom w:val="0"/>
          <w:divBdr>
            <w:top w:val="none" w:sz="0" w:space="0" w:color="auto"/>
            <w:left w:val="none" w:sz="0" w:space="0" w:color="auto"/>
            <w:bottom w:val="none" w:sz="0" w:space="0" w:color="auto"/>
            <w:right w:val="none" w:sz="0" w:space="0" w:color="auto"/>
          </w:divBdr>
          <w:divsChild>
            <w:div w:id="14976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58840857">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0761328">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5771741">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59523">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830679">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51326139">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02703">
      <w:bodyDiv w:val="1"/>
      <w:marLeft w:val="0"/>
      <w:marRight w:val="0"/>
      <w:marTop w:val="0"/>
      <w:marBottom w:val="0"/>
      <w:divBdr>
        <w:top w:val="none" w:sz="0" w:space="0" w:color="auto"/>
        <w:left w:val="none" w:sz="0" w:space="0" w:color="auto"/>
        <w:bottom w:val="none" w:sz="0" w:space="0" w:color="auto"/>
        <w:right w:val="none" w:sz="0" w:space="0" w:color="auto"/>
      </w:divBdr>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10704566">
      <w:bodyDiv w:val="1"/>
      <w:marLeft w:val="0"/>
      <w:marRight w:val="0"/>
      <w:marTop w:val="0"/>
      <w:marBottom w:val="0"/>
      <w:divBdr>
        <w:top w:val="none" w:sz="0" w:space="0" w:color="auto"/>
        <w:left w:val="none" w:sz="0" w:space="0" w:color="auto"/>
        <w:bottom w:val="none" w:sz="0" w:space="0" w:color="auto"/>
        <w:right w:val="none" w:sz="0" w:space="0" w:color="auto"/>
      </w:divBdr>
      <w:divsChild>
        <w:div w:id="1419018100">
          <w:marLeft w:val="0"/>
          <w:marRight w:val="0"/>
          <w:marTop w:val="0"/>
          <w:marBottom w:val="0"/>
          <w:divBdr>
            <w:top w:val="none" w:sz="0" w:space="0" w:color="auto"/>
            <w:left w:val="none" w:sz="0" w:space="0" w:color="auto"/>
            <w:bottom w:val="none" w:sz="0" w:space="0" w:color="auto"/>
            <w:right w:val="none" w:sz="0" w:space="0" w:color="auto"/>
          </w:divBdr>
          <w:divsChild>
            <w:div w:id="3723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107614">
      <w:bodyDiv w:val="1"/>
      <w:marLeft w:val="0"/>
      <w:marRight w:val="0"/>
      <w:marTop w:val="0"/>
      <w:marBottom w:val="0"/>
      <w:divBdr>
        <w:top w:val="none" w:sz="0" w:space="0" w:color="auto"/>
        <w:left w:val="none" w:sz="0" w:space="0" w:color="auto"/>
        <w:bottom w:val="none" w:sz="0" w:space="0" w:color="auto"/>
        <w:right w:val="none" w:sz="0" w:space="0" w:color="auto"/>
      </w:divBdr>
      <w:divsChild>
        <w:div w:id="728571504">
          <w:marLeft w:val="0"/>
          <w:marRight w:val="0"/>
          <w:marTop w:val="0"/>
          <w:marBottom w:val="0"/>
          <w:divBdr>
            <w:top w:val="none" w:sz="0" w:space="0" w:color="auto"/>
            <w:left w:val="none" w:sz="0" w:space="0" w:color="auto"/>
            <w:bottom w:val="none" w:sz="0" w:space="0" w:color="auto"/>
            <w:right w:val="none" w:sz="0" w:space="0" w:color="auto"/>
          </w:divBdr>
          <w:divsChild>
            <w:div w:id="176660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216203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492017127">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5370898">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680485">
      <w:bodyDiv w:val="1"/>
      <w:marLeft w:val="0"/>
      <w:marRight w:val="0"/>
      <w:marTop w:val="0"/>
      <w:marBottom w:val="0"/>
      <w:divBdr>
        <w:top w:val="none" w:sz="0" w:space="0" w:color="auto"/>
        <w:left w:val="none" w:sz="0" w:space="0" w:color="auto"/>
        <w:bottom w:val="none" w:sz="0" w:space="0" w:color="auto"/>
        <w:right w:val="none" w:sz="0" w:space="0" w:color="auto"/>
      </w:divBdr>
      <w:divsChild>
        <w:div w:id="548803415">
          <w:marLeft w:val="0"/>
          <w:marRight w:val="0"/>
          <w:marTop w:val="0"/>
          <w:marBottom w:val="0"/>
          <w:divBdr>
            <w:top w:val="none" w:sz="0" w:space="0" w:color="auto"/>
            <w:left w:val="none" w:sz="0" w:space="0" w:color="auto"/>
            <w:bottom w:val="none" w:sz="0" w:space="0" w:color="auto"/>
            <w:right w:val="none" w:sz="0" w:space="0" w:color="auto"/>
          </w:divBdr>
          <w:divsChild>
            <w:div w:id="145944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47780/jifsi.43.1.2011.121281" TargetMode="External"/><Relationship Id="rId21" Type="http://schemas.openxmlformats.org/officeDocument/2006/relationships/hyperlink" Target="https://doi.org/10.1016/j.gsf.2021.101206" TargetMode="External"/><Relationship Id="rId42" Type="http://schemas.openxmlformats.org/officeDocument/2006/relationships/hyperlink" Target="https://doi.org/10.1080/14634988.2017.1300041" TargetMode="External"/><Relationship Id="rId47" Type="http://schemas.openxmlformats.org/officeDocument/2006/relationships/hyperlink" Target="https://doi.org/10.1111/j.1365-2427.2009.02272.x" TargetMode="External"/><Relationship Id="rId63" Type="http://schemas.openxmlformats.org/officeDocument/2006/relationships/hyperlink" Target="https://doi.org/10.1038/s41558-023-01793-3"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371/journal.pone.0173752" TargetMode="External"/><Relationship Id="rId29" Type="http://schemas.openxmlformats.org/officeDocument/2006/relationships/hyperlink" Target="https://doi.org/10.1007/s00128-015-1573-x" TargetMode="External"/><Relationship Id="rId11" Type="http://schemas.openxmlformats.org/officeDocument/2006/relationships/hyperlink" Target="https://doi.org/10.1111/wej.12108" TargetMode="External"/><Relationship Id="rId24" Type="http://schemas.openxmlformats.org/officeDocument/2006/relationships/hyperlink" Target="https://doi.org/10.5281/zenodo.2538959" TargetMode="External"/><Relationship Id="rId32" Type="http://schemas.openxmlformats.org/officeDocument/2006/relationships/hyperlink" Target="https://doi.org/10.1007/s12665-013-2404-1" TargetMode="External"/><Relationship Id="rId37" Type="http://schemas.openxmlformats.org/officeDocument/2006/relationships/hyperlink" Target="https://doi.org/10.1007/s11356-020-10023-8" TargetMode="External"/><Relationship Id="rId40" Type="http://schemas.openxmlformats.org/officeDocument/2006/relationships/hyperlink" Target="https://doi.org/10.1111/1365-2664.12236" TargetMode="External"/><Relationship Id="rId45" Type="http://schemas.openxmlformats.org/officeDocument/2006/relationships/hyperlink" Target="https://doi.org/10.1007/s12594-023-2288-y" TargetMode="External"/><Relationship Id="rId53" Type="http://schemas.openxmlformats.org/officeDocument/2006/relationships/hyperlink" Target="https://doi.org/10.1016/j.chemosphere.2022.134519" TargetMode="External"/><Relationship Id="rId58" Type="http://schemas.openxmlformats.org/officeDocument/2006/relationships/hyperlink" Target="https://doi.org/10.1093/biosci/biaa002"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doi.org/10.1038/nature09440" TargetMode="External"/><Relationship Id="rId19" Type="http://schemas.openxmlformats.org/officeDocument/2006/relationships/hyperlink" Target="https://dx.doi.org/10.9734/ijecc/2024/v14i104469" TargetMode="External"/><Relationship Id="rId14" Type="http://schemas.openxmlformats.org/officeDocument/2006/relationships/hyperlink" Target="https://doi.org/10.1007/978-3-030-79634-1_17" TargetMode="External"/><Relationship Id="rId22" Type="http://schemas.openxmlformats.org/officeDocument/2006/relationships/hyperlink" Target="https://doi.org/10.1017/S1464793105006950" TargetMode="External"/><Relationship Id="rId27" Type="http://schemas.openxmlformats.org/officeDocument/2006/relationships/hyperlink" Target="https://doi.org/10.1007/s12403-013-0106-2" TargetMode="External"/><Relationship Id="rId30" Type="http://schemas.openxmlformats.org/officeDocument/2006/relationships/hyperlink" Target="https://doi.org/10.1007/s13762-014-0600-5" TargetMode="External"/><Relationship Id="rId35" Type="http://schemas.openxmlformats.org/officeDocument/2006/relationships/hyperlink" Target="https://doi.org/10.1007/s11356-023-30979-7" TargetMode="External"/><Relationship Id="rId43" Type="http://schemas.openxmlformats.org/officeDocument/2006/relationships/hyperlink" Target="https://doi.org/10.1016/j.envint.2009.02.006" TargetMode="External"/><Relationship Id="rId48" Type="http://schemas.openxmlformats.org/officeDocument/2006/relationships/hyperlink" Target="https://doi.org/10.2307/1313099" TargetMode="External"/><Relationship Id="rId56" Type="http://schemas.openxmlformats.org/officeDocument/2006/relationships/hyperlink" Target="http://dx.doi.org/10.2139/ssrn.5231270" TargetMode="External"/><Relationship Id="rId64" Type="http://schemas.openxmlformats.org/officeDocument/2006/relationships/hyperlink" Target="https://doi.org/10.1038/s44221-023-00038-z" TargetMode="External"/><Relationship Id="rId69" Type="http://schemas.openxmlformats.org/officeDocument/2006/relationships/header" Target="header3.xml"/><Relationship Id="rId8" Type="http://schemas.openxmlformats.org/officeDocument/2006/relationships/hyperlink" Target="https://doi.org/10.1007/s40808-021-01231-3" TargetMode="External"/><Relationship Id="rId51" Type="http://schemas.openxmlformats.org/officeDocument/2006/relationships/hyperlink" Target="https://doi.org/10.1007/s10661-018-7030-7"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038/s41467-021-21655-w?utm_source=chatgpt.com" TargetMode="External"/><Relationship Id="rId17" Type="http://schemas.openxmlformats.org/officeDocument/2006/relationships/hyperlink" Target="https://doi.org/10.1016/j.watres.2020.116307" TargetMode="External"/><Relationship Id="rId25" Type="http://schemas.openxmlformats.org/officeDocument/2006/relationships/hyperlink" Target="https://doi.org/10.1016/B978-0-323-95282-8.00034-1" TargetMode="External"/><Relationship Id="rId33" Type="http://schemas.openxmlformats.org/officeDocument/2006/relationships/hyperlink" Target="https://doi.org/10.1038/s41558-025-02483-y" TargetMode="External"/><Relationship Id="rId38" Type="http://schemas.openxmlformats.org/officeDocument/2006/relationships/hyperlink" Target="https://doi.org/10.1080/10807039.2017.1415131" TargetMode="External"/><Relationship Id="rId46" Type="http://schemas.openxmlformats.org/officeDocument/2006/relationships/hyperlink" Target="https://doi.org/10.70558/IJST.2024.v1.i1.241039" TargetMode="External"/><Relationship Id="rId59" Type="http://schemas.openxmlformats.org/officeDocument/2006/relationships/hyperlink" Target="https://doi.org/10.1038/s41558-019-0520-y" TargetMode="External"/><Relationship Id="rId67" Type="http://schemas.openxmlformats.org/officeDocument/2006/relationships/footer" Target="footer1.xml"/><Relationship Id="rId20" Type="http://schemas.openxmlformats.org/officeDocument/2006/relationships/hyperlink" Target="https://doi.org/10.1111/fwb.13976" TargetMode="External"/><Relationship Id="rId41" Type="http://schemas.openxmlformats.org/officeDocument/2006/relationships/hyperlink" Target="https://doi.org/10.1111/ele.14108" TargetMode="External"/><Relationship Id="rId54" Type="http://schemas.openxmlformats.org/officeDocument/2006/relationships/hyperlink" Target="https://doi.org/10.9734/jgeesi/2024/v28i10827" TargetMode="External"/><Relationship Id="rId62" Type="http://schemas.openxmlformats.org/officeDocument/2006/relationships/hyperlink" Target="https://doi.org/10.1098/rstb.2010.0055"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00267-002-2737-0" TargetMode="External"/><Relationship Id="rId23" Type="http://schemas.openxmlformats.org/officeDocument/2006/relationships/hyperlink" Target="https://doi.org/10.1016/j.marpolbul.2007.02.003" TargetMode="External"/><Relationship Id="rId28" Type="http://schemas.openxmlformats.org/officeDocument/2006/relationships/hyperlink" Target="https://doi.org/10.1016/j.jhazmat.2013.09.067" TargetMode="External"/><Relationship Id="rId36" Type="http://schemas.openxmlformats.org/officeDocument/2006/relationships/hyperlink" Target="https://doi.org/10.9734/ajee/2023/v21i4467?utm_source=chatgpt.com" TargetMode="External"/><Relationship Id="rId49" Type="http://schemas.openxmlformats.org/officeDocument/2006/relationships/hyperlink" Target="https://doi.org/10.1007/s10653-023-01815-1" TargetMode="External"/><Relationship Id="rId57" Type="http://schemas.openxmlformats.org/officeDocument/2006/relationships/hyperlink" Target="https://doi.org/10.1007/s41101-023-00224-w" TargetMode="External"/><Relationship Id="rId10" Type="http://schemas.openxmlformats.org/officeDocument/2006/relationships/hyperlink" Target="https://doi.org/10.1007/s12665-015-4990-6" TargetMode="External"/><Relationship Id="rId31" Type="http://schemas.openxmlformats.org/officeDocument/2006/relationships/hyperlink" Target="https://doi.org/10.1007/s12517-015-2090-2" TargetMode="External"/><Relationship Id="rId44" Type="http://schemas.openxmlformats.org/officeDocument/2006/relationships/hyperlink" Target="https://doi.org/10.1111/j.1365-2427.2009.02395.x" TargetMode="External"/><Relationship Id="rId52" Type="http://schemas.openxmlformats.org/officeDocument/2006/relationships/hyperlink" Target="https://doi.org/10.1111/gcb.16723" TargetMode="External"/><Relationship Id="rId60" Type="http://schemas.openxmlformats.org/officeDocument/2006/relationships/hyperlink" Target="https://doi.org/10.1038/s43017-023-00472-3"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934/geosci.2017.3.375" TargetMode="External"/><Relationship Id="rId13" Type="http://schemas.openxmlformats.org/officeDocument/2006/relationships/hyperlink" Target="https://doi.org/10.1073/pnas.1912776117" TargetMode="External"/><Relationship Id="rId18" Type="http://schemas.openxmlformats.org/officeDocument/2006/relationships/hyperlink" Target="https://doi.org/10.1111/fwb.12081" TargetMode="External"/><Relationship Id="rId39" Type="http://schemas.openxmlformats.org/officeDocument/2006/relationships/hyperlink" Target="https://doi.org/10.1007/s11053-024-10356-y" TargetMode="External"/><Relationship Id="rId34" Type="http://schemas.openxmlformats.org/officeDocument/2006/relationships/hyperlink" Target="https://doi.org/10.1111/gcb.13028" TargetMode="External"/><Relationship Id="rId50" Type="http://schemas.openxmlformats.org/officeDocument/2006/relationships/hyperlink" Target="https://doi.org/10.1111/brv.12480" TargetMode="External"/><Relationship Id="rId55" Type="http://schemas.openxmlformats.org/officeDocument/2006/relationships/hyperlink" Target="https://doi.org/10.33451/florafauna.v31i1pp160-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AD56A5-327A-477C-B27A-23BA9C4D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7105</TotalTime>
  <Pages>28</Pages>
  <Words>14513</Words>
  <Characters>82728</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86</cp:revision>
  <cp:lastPrinted>2025-12-13T07:14:00Z</cp:lastPrinted>
  <dcterms:created xsi:type="dcterms:W3CDTF">2025-09-24T12:44:00Z</dcterms:created>
  <dcterms:modified xsi:type="dcterms:W3CDTF">2026-01-24T12:20:00Z</dcterms:modified>
</cp:coreProperties>
</file>