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3DE9" w14:textId="651E14D4" w:rsidR="00026FF9" w:rsidRDefault="00E87FE6">
      <w:pPr>
        <w:pStyle w:val="ListParagraph"/>
        <w:tabs>
          <w:tab w:val="left" w:pos="2080"/>
        </w:tabs>
        <w:spacing w:line="360" w:lineRule="auto"/>
        <w:ind w:left="0" w:right="0" w:firstLine="0"/>
        <w:jc w:val="center"/>
        <w:rPr>
          <w:b/>
          <w:bCs/>
          <w:sz w:val="28"/>
          <w:szCs w:val="28"/>
        </w:rPr>
      </w:pPr>
      <w:r>
        <w:rPr>
          <w:b/>
          <w:bCs/>
          <w:sz w:val="28"/>
          <w:szCs w:val="28"/>
        </w:rPr>
        <w:t>Toxicological Evaluation of Microplastic Extracts in Zebrafish Behavior: By Light–Dark and Startle Response Assays</w:t>
      </w:r>
      <w:r w:rsidR="00253B69">
        <w:rPr>
          <w:b/>
          <w:bCs/>
          <w:sz w:val="28"/>
          <w:szCs w:val="28"/>
        </w:rPr>
        <w:t xml:space="preserve"> </w:t>
      </w:r>
    </w:p>
    <w:p w14:paraId="25DE0602" w14:textId="77777777" w:rsidR="00F66833" w:rsidRDefault="00F66833">
      <w:pPr>
        <w:pStyle w:val="ListParagraph"/>
        <w:tabs>
          <w:tab w:val="left" w:pos="2080"/>
        </w:tabs>
        <w:spacing w:line="360" w:lineRule="auto"/>
        <w:ind w:left="0" w:right="0" w:firstLine="0"/>
        <w:rPr>
          <w:b/>
          <w:bCs/>
          <w:sz w:val="28"/>
          <w:szCs w:val="28"/>
        </w:rPr>
      </w:pPr>
    </w:p>
    <w:p w14:paraId="751CEF81" w14:textId="00A71BB1" w:rsidR="00026FF9" w:rsidRDefault="0010315B">
      <w:pPr>
        <w:pStyle w:val="ListParagraph"/>
        <w:tabs>
          <w:tab w:val="left" w:pos="2080"/>
        </w:tabs>
        <w:spacing w:line="360" w:lineRule="auto"/>
        <w:ind w:left="0" w:right="0" w:firstLine="0"/>
        <w:rPr>
          <w:b/>
          <w:bCs/>
          <w:sz w:val="28"/>
          <w:szCs w:val="28"/>
        </w:rPr>
      </w:pPr>
      <w:bookmarkStart w:id="0" w:name="_GoBack"/>
      <w:bookmarkEnd w:id="0"/>
      <w:r>
        <w:rPr>
          <w:b/>
          <w:bCs/>
          <w:sz w:val="28"/>
          <w:szCs w:val="28"/>
        </w:rPr>
        <w:t xml:space="preserve">Abstract </w:t>
      </w:r>
    </w:p>
    <w:p w14:paraId="721D1C39" w14:textId="77777777" w:rsidR="00026FF9" w:rsidRDefault="00E87FE6">
      <w:pPr>
        <w:pStyle w:val="ListParagraph"/>
        <w:tabs>
          <w:tab w:val="left" w:pos="2080"/>
        </w:tabs>
        <w:spacing w:line="360" w:lineRule="auto"/>
        <w:ind w:left="0" w:right="0" w:firstLine="0"/>
        <w:rPr>
          <w:sz w:val="24"/>
          <w:szCs w:val="24"/>
        </w:rPr>
      </w:pPr>
      <w:r>
        <w:rPr>
          <w:sz w:val="24"/>
          <w:szCs w:val="24"/>
        </w:rPr>
        <w:t xml:space="preserve">Pollution of the environment by plastics and their degradation products has become a global environmental </w:t>
      </w:r>
      <w:r>
        <w:rPr>
          <w:sz w:val="24"/>
          <w:szCs w:val="24"/>
        </w:rPr>
        <w:t>concern, with microplastics (MPs) being one of the most resilient and most toxic pollutants. In the present work, microplastic powders obtained from a pyrolysis plant in Chennai were treated using saline leaching, and the extracts obtained were evaluated f</w:t>
      </w:r>
      <w:r>
        <w:rPr>
          <w:sz w:val="24"/>
          <w:szCs w:val="24"/>
        </w:rPr>
        <w:t>or toxicological effects in zebrafish (</w:t>
      </w:r>
      <w:r>
        <w:rPr>
          <w:i/>
          <w:iCs/>
          <w:sz w:val="24"/>
          <w:szCs w:val="24"/>
        </w:rPr>
        <w:t>Danio rerio</w:t>
      </w:r>
      <w:r>
        <w:rPr>
          <w:sz w:val="24"/>
          <w:szCs w:val="24"/>
        </w:rPr>
        <w:t>). The light–dark preference test and startle response assay were used as behavioral assays to evaluate anxiety, stress, and neuromotor activity after exposure to graded concentrations of the extract. Zebra</w:t>
      </w:r>
      <w:r>
        <w:rPr>
          <w:sz w:val="24"/>
          <w:szCs w:val="24"/>
        </w:rPr>
        <w:t>fish given elevated doses (12.5% and 25%) showed elevated time in the dark compartment, reflecting increased anxiety levels, and startle responses declined with increasing doses progressively, verifying impaired neuromotor and cognitive abilities. The extr</w:t>
      </w:r>
      <w:r>
        <w:rPr>
          <w:sz w:val="24"/>
          <w:szCs w:val="24"/>
        </w:rPr>
        <w:t>act caused negative behavioral effects even at low doses, reflecting its toxicity. These results indicate that pyrolysis-derived microplastic leachates have significant neurobehavioral toxicity in zebrafish, highlighting their potential environmental and p</w:t>
      </w:r>
      <w:r>
        <w:rPr>
          <w:sz w:val="24"/>
          <w:szCs w:val="24"/>
        </w:rPr>
        <w:t>ublic health concern.</w:t>
      </w:r>
    </w:p>
    <w:p w14:paraId="61D0BA5B" w14:textId="77777777" w:rsidR="00026FF9" w:rsidRDefault="00E87FE6">
      <w:pPr>
        <w:pStyle w:val="ListParagraph"/>
        <w:tabs>
          <w:tab w:val="left" w:pos="2080"/>
        </w:tabs>
        <w:spacing w:line="360" w:lineRule="auto"/>
        <w:ind w:left="0" w:right="0" w:firstLine="0"/>
        <w:rPr>
          <w:sz w:val="24"/>
          <w:szCs w:val="24"/>
        </w:rPr>
      </w:pPr>
      <w:r>
        <w:rPr>
          <w:b/>
          <w:bCs/>
          <w:sz w:val="24"/>
          <w:szCs w:val="24"/>
        </w:rPr>
        <w:t xml:space="preserve">Key words: </w:t>
      </w:r>
      <w:r>
        <w:rPr>
          <w:sz w:val="24"/>
          <w:szCs w:val="24"/>
        </w:rPr>
        <w:t>Leaching, anxiety, stress, zebrafish, cognitive, neuromotor</w:t>
      </w:r>
    </w:p>
    <w:p w14:paraId="1F8A1472" w14:textId="77777777" w:rsidR="00026FF9" w:rsidRDefault="00E87FE6">
      <w:pPr>
        <w:pStyle w:val="BodyText"/>
        <w:spacing w:before="70" w:line="360" w:lineRule="auto"/>
        <w:ind w:left="0" w:right="115"/>
        <w:rPr>
          <w:b/>
        </w:rPr>
      </w:pPr>
      <w:r>
        <w:rPr>
          <w:b/>
        </w:rPr>
        <w:t xml:space="preserve">Introduction </w:t>
      </w:r>
    </w:p>
    <w:p w14:paraId="0F3F15A9" w14:textId="77777777" w:rsidR="00026FF9" w:rsidRDefault="00E87FE6">
      <w:pPr>
        <w:pStyle w:val="ListParagraph"/>
        <w:tabs>
          <w:tab w:val="left" w:pos="2080"/>
        </w:tabs>
        <w:spacing w:line="360" w:lineRule="auto"/>
        <w:ind w:left="0" w:right="0" w:firstLine="0"/>
        <w:rPr>
          <w:sz w:val="24"/>
          <w:szCs w:val="24"/>
        </w:rPr>
      </w:pPr>
      <w:r>
        <w:rPr>
          <w:sz w:val="24"/>
          <w:szCs w:val="24"/>
        </w:rPr>
        <w:t>Environmental pollution is one of the world's most pressing problems, endangering all life forms, ranging from microbes to the largest sea mammals, s</w:t>
      </w:r>
      <w:r>
        <w:rPr>
          <w:sz w:val="24"/>
          <w:szCs w:val="24"/>
        </w:rPr>
        <w:t xml:space="preserve">ince air and water are used by living organisms (Ziani </w:t>
      </w:r>
      <w:r>
        <w:rPr>
          <w:i/>
          <w:iCs/>
          <w:sz w:val="24"/>
          <w:szCs w:val="24"/>
        </w:rPr>
        <w:t xml:space="preserve">et al., </w:t>
      </w:r>
      <w:r>
        <w:rPr>
          <w:sz w:val="24"/>
          <w:szCs w:val="24"/>
        </w:rPr>
        <w:t>2023). Developing nations are particularly exposed since industrialization and urbanization lead to a rise in the release of untreated effluents into natural environments (Tariq &amp; Mushtaq., 202</w:t>
      </w:r>
      <w:r>
        <w:rPr>
          <w:sz w:val="24"/>
          <w:szCs w:val="24"/>
        </w:rPr>
        <w:t>3). Aquatic habitats, particularly freshwater ecosystems, are extremely sensitive since they serve as sinks for industrial pollutants like heavy metals that bioaccumulate in reservoirs and disrupt food chains (</w:t>
      </w:r>
      <w:proofErr w:type="spellStart"/>
      <w:r>
        <w:rPr>
          <w:sz w:val="24"/>
          <w:szCs w:val="24"/>
        </w:rPr>
        <w:t>Sonone</w:t>
      </w:r>
      <w:proofErr w:type="spellEnd"/>
      <w:r>
        <w:rPr>
          <w:sz w:val="24"/>
          <w:szCs w:val="24"/>
        </w:rPr>
        <w:t xml:space="preserve"> </w:t>
      </w:r>
      <w:r>
        <w:rPr>
          <w:i/>
          <w:iCs/>
          <w:sz w:val="24"/>
          <w:szCs w:val="24"/>
        </w:rPr>
        <w:t>et al.,</w:t>
      </w:r>
      <w:r>
        <w:rPr>
          <w:sz w:val="24"/>
          <w:szCs w:val="24"/>
        </w:rPr>
        <w:t xml:space="preserve"> 2020). Pollutants are not spati</w:t>
      </w:r>
      <w:r>
        <w:rPr>
          <w:sz w:val="24"/>
          <w:szCs w:val="24"/>
        </w:rPr>
        <w:t>ally localized atmospheric and oceanic currents allow contaminants like pesticides and heavy metals to move extremely long distances, even reaching such distant ecosystems as the Antarctic (</w:t>
      </w:r>
      <w:proofErr w:type="spellStart"/>
      <w:r>
        <w:rPr>
          <w:sz w:val="24"/>
          <w:szCs w:val="24"/>
        </w:rPr>
        <w:t>Bargagli</w:t>
      </w:r>
      <w:proofErr w:type="spellEnd"/>
      <w:r>
        <w:rPr>
          <w:sz w:val="24"/>
          <w:szCs w:val="24"/>
        </w:rPr>
        <w:t xml:space="preserve"> &amp; Rota., 2024). Air pollution spread following the 1960s </w:t>
      </w:r>
      <w:r>
        <w:rPr>
          <w:sz w:val="24"/>
          <w:szCs w:val="24"/>
        </w:rPr>
        <w:t xml:space="preserve">as fossil fuel consumption increased. Key air pollutants are polycyclic aromatic hydrocarbons (PAHs), heavy metals, lead, sulfur dioxide, benzene, carbon monoxide, and nitrogen oxides (Maji </w:t>
      </w:r>
      <w:r>
        <w:rPr>
          <w:i/>
          <w:iCs/>
          <w:sz w:val="24"/>
          <w:szCs w:val="24"/>
        </w:rPr>
        <w:t xml:space="preserve">et al., </w:t>
      </w:r>
      <w:r>
        <w:rPr>
          <w:sz w:val="24"/>
          <w:szCs w:val="24"/>
        </w:rPr>
        <w:t>2023). These pollutants react with sunlight to create smog</w:t>
      </w:r>
      <w:r>
        <w:rPr>
          <w:sz w:val="24"/>
          <w:szCs w:val="24"/>
        </w:rPr>
        <w:t xml:space="preserve"> and, in chlorofluorocarbons (CFCs), deplete the ozone layer, exposing humans to unsafe ultraviolet radiation (</w:t>
      </w:r>
      <w:proofErr w:type="spellStart"/>
      <w:r>
        <w:rPr>
          <w:sz w:val="24"/>
          <w:szCs w:val="24"/>
        </w:rPr>
        <w:t>Madronich</w:t>
      </w:r>
      <w:proofErr w:type="spellEnd"/>
      <w:r>
        <w:rPr>
          <w:sz w:val="24"/>
          <w:szCs w:val="24"/>
        </w:rPr>
        <w:t xml:space="preserve"> </w:t>
      </w:r>
      <w:r>
        <w:rPr>
          <w:i/>
          <w:iCs/>
          <w:sz w:val="24"/>
          <w:szCs w:val="24"/>
        </w:rPr>
        <w:t xml:space="preserve">et al., </w:t>
      </w:r>
      <w:r>
        <w:rPr>
          <w:sz w:val="24"/>
          <w:szCs w:val="24"/>
        </w:rPr>
        <w:lastRenderedPageBreak/>
        <w:t>2024). The consequences on health are significant, with air pollution being a cause of chronic obstructive pulmonary disease, p</w:t>
      </w:r>
      <w:r>
        <w:rPr>
          <w:sz w:val="24"/>
          <w:szCs w:val="24"/>
        </w:rPr>
        <w:t>neumonia, and lung cancer (</w:t>
      </w:r>
      <w:proofErr w:type="spellStart"/>
      <w:r>
        <w:rPr>
          <w:sz w:val="24"/>
          <w:szCs w:val="24"/>
        </w:rPr>
        <w:t>Tahery</w:t>
      </w:r>
      <w:proofErr w:type="spellEnd"/>
      <w:r>
        <w:rPr>
          <w:sz w:val="24"/>
          <w:szCs w:val="24"/>
        </w:rPr>
        <w:t xml:space="preserve"> </w:t>
      </w:r>
      <w:r>
        <w:rPr>
          <w:i/>
          <w:iCs/>
          <w:sz w:val="24"/>
          <w:szCs w:val="24"/>
        </w:rPr>
        <w:t>et al.,</w:t>
      </w:r>
      <w:r>
        <w:rPr>
          <w:sz w:val="24"/>
          <w:szCs w:val="24"/>
        </w:rPr>
        <w:t xml:space="preserve"> 2021). Water pollution has equivalents in terms of huge health emergencies. The World Health Organization estimates that one out of six individuals do not have access to safe drinking water (World Health Organizati</w:t>
      </w:r>
      <w:r>
        <w:rPr>
          <w:sz w:val="24"/>
          <w:szCs w:val="24"/>
        </w:rPr>
        <w:t>on, &amp; United Nations Children's Fund. 2022), and some 1.8 million deaths each year are attributed to the consumption of contaminated water. They are disproportionately impacted, with thousands of them dying every day as a result of exposure to contaminated</w:t>
      </w:r>
      <w:r>
        <w:rPr>
          <w:sz w:val="24"/>
          <w:szCs w:val="24"/>
        </w:rPr>
        <w:t xml:space="preserve"> water (Edelstein, 2018). Plastic waste is one of the most urgent environmental contaminants. Plastics, initially manufactured in the mid-20th century, have become a common material in everyday use because of their strength, lightness, and affordability (Z</w:t>
      </w:r>
      <w:r>
        <w:rPr>
          <w:sz w:val="24"/>
          <w:szCs w:val="24"/>
        </w:rPr>
        <w:t>hang et al., 2021). International plastic production increased from 1.5 million metric tons in 1950 to more than 380 million tons per year, of which almost half are for single use (Rhodes, 2019). Traditional disposal, including incineration and landfilling</w:t>
      </w:r>
      <w:r>
        <w:rPr>
          <w:sz w:val="24"/>
          <w:szCs w:val="24"/>
        </w:rPr>
        <w:t xml:space="preserve">, puts harmful by-products into the atmosphere, degrades soil quality, and pollutes groundwater (Datta </w:t>
      </w:r>
      <w:r>
        <w:rPr>
          <w:i/>
          <w:iCs/>
          <w:sz w:val="24"/>
          <w:szCs w:val="24"/>
        </w:rPr>
        <w:t>et al.,</w:t>
      </w:r>
      <w:r>
        <w:rPr>
          <w:sz w:val="24"/>
          <w:szCs w:val="24"/>
        </w:rPr>
        <w:t xml:space="preserve"> 2024). Pyrolysis has become a promising option, breaking down plastics to liquid and gaseous fuels at high-temperature, low-oxygen conditions. Ve</w:t>
      </w:r>
      <w:r>
        <w:rPr>
          <w:sz w:val="24"/>
          <w:szCs w:val="24"/>
        </w:rPr>
        <w:t xml:space="preserve">rsions like catalytic and microwave-assisted pyrolysis enhance efficiency, albeit there are issues with high sulfur content and low flash points of the produced fuels (Gebre </w:t>
      </w:r>
      <w:r>
        <w:rPr>
          <w:i/>
          <w:iCs/>
          <w:sz w:val="24"/>
          <w:szCs w:val="24"/>
        </w:rPr>
        <w:t>et al.,</w:t>
      </w:r>
      <w:r>
        <w:rPr>
          <w:sz w:val="24"/>
          <w:szCs w:val="24"/>
        </w:rPr>
        <w:t xml:space="preserve"> 2021). Plastic environmental degradation forms microplastics (MPs), by par</w:t>
      </w:r>
      <w:r>
        <w:rPr>
          <w:sz w:val="24"/>
          <w:szCs w:val="24"/>
        </w:rPr>
        <w:t>ticles &lt;5 mm in diameter (</w:t>
      </w:r>
      <w:proofErr w:type="spellStart"/>
      <w:r>
        <w:rPr>
          <w:sz w:val="24"/>
          <w:szCs w:val="24"/>
        </w:rPr>
        <w:t>Sorasan</w:t>
      </w:r>
      <w:proofErr w:type="spellEnd"/>
      <w:r>
        <w:rPr>
          <w:sz w:val="24"/>
          <w:szCs w:val="24"/>
        </w:rPr>
        <w:t xml:space="preserve"> </w:t>
      </w:r>
      <w:r>
        <w:rPr>
          <w:i/>
          <w:iCs/>
          <w:sz w:val="24"/>
          <w:szCs w:val="24"/>
        </w:rPr>
        <w:t>et al.,</w:t>
      </w:r>
      <w:r>
        <w:rPr>
          <w:sz w:val="24"/>
          <w:szCs w:val="24"/>
        </w:rPr>
        <w:t xml:space="preserve"> 2022). MPs are currently widespread in terrestrial, freshwater, and marine environments, frequently being misidentified as food by aquatic animals such as mollusks, corals, and fish (Liza </w:t>
      </w:r>
      <w:r>
        <w:rPr>
          <w:i/>
          <w:iCs/>
          <w:sz w:val="24"/>
          <w:szCs w:val="24"/>
        </w:rPr>
        <w:t xml:space="preserve">et al., </w:t>
      </w:r>
      <w:r>
        <w:rPr>
          <w:sz w:val="24"/>
          <w:szCs w:val="24"/>
        </w:rPr>
        <w:t xml:space="preserve">2024). Intestinal </w:t>
      </w:r>
      <w:r>
        <w:rPr>
          <w:sz w:val="24"/>
          <w:szCs w:val="24"/>
        </w:rPr>
        <w:t xml:space="preserve">blockage, oxidative stress, and carcinogenesis in some instances are caused by ingestion. MPs are also vectors for toxic chemicals like heavy metals, pesticides, and persistent organic pollutants (Wang </w:t>
      </w:r>
      <w:r>
        <w:rPr>
          <w:i/>
          <w:iCs/>
          <w:sz w:val="24"/>
          <w:szCs w:val="24"/>
        </w:rPr>
        <w:t>et al.,</w:t>
      </w:r>
      <w:r>
        <w:rPr>
          <w:sz w:val="24"/>
          <w:szCs w:val="24"/>
        </w:rPr>
        <w:t xml:space="preserve"> 2021). Alarming, MPs were found in human place</w:t>
      </w:r>
      <w:r>
        <w:rPr>
          <w:sz w:val="24"/>
          <w:szCs w:val="24"/>
        </w:rPr>
        <w:t xml:space="preserve">ntas, triggering developmental and immunological concerns (de Souza Freire </w:t>
      </w:r>
      <w:r>
        <w:rPr>
          <w:i/>
          <w:iCs/>
          <w:sz w:val="24"/>
          <w:szCs w:val="24"/>
        </w:rPr>
        <w:t xml:space="preserve">et al., </w:t>
      </w:r>
      <w:r>
        <w:rPr>
          <w:sz w:val="24"/>
          <w:szCs w:val="24"/>
        </w:rPr>
        <w:t>2023). Because of their transparency, quick development, and genetic resemblance to humans, zebrafish (Danio rerio) are extensively used as a vertebrate model for toxicologi</w:t>
      </w:r>
      <w:r>
        <w:rPr>
          <w:sz w:val="24"/>
          <w:szCs w:val="24"/>
        </w:rPr>
        <w:t xml:space="preserve">cal purposes (Bauer </w:t>
      </w:r>
      <w:r>
        <w:rPr>
          <w:i/>
          <w:iCs/>
          <w:sz w:val="24"/>
          <w:szCs w:val="24"/>
        </w:rPr>
        <w:t xml:space="preserve">et al., </w:t>
      </w:r>
      <w:r>
        <w:rPr>
          <w:sz w:val="24"/>
          <w:szCs w:val="24"/>
        </w:rPr>
        <w:t>2021). Microplastic exposure in zebrafish causes oxidative stress, inflammation, and behavioral defects (Mak et al., 2019). These discoveries call for the urgent necessity to manage plastic waste pollution, both as an environmen</w:t>
      </w:r>
      <w:r>
        <w:rPr>
          <w:sz w:val="24"/>
          <w:szCs w:val="24"/>
        </w:rPr>
        <w:t xml:space="preserve">tal threat and a threat to public health. </w:t>
      </w:r>
    </w:p>
    <w:p w14:paraId="022EA95F" w14:textId="77777777" w:rsidR="00026FF9" w:rsidRDefault="00026FF9">
      <w:pPr>
        <w:pStyle w:val="ListParagraph"/>
        <w:tabs>
          <w:tab w:val="left" w:pos="2080"/>
        </w:tabs>
        <w:spacing w:line="360" w:lineRule="auto"/>
        <w:ind w:left="0" w:right="0" w:firstLine="0"/>
        <w:rPr>
          <w:sz w:val="24"/>
          <w:szCs w:val="24"/>
        </w:rPr>
      </w:pPr>
    </w:p>
    <w:p w14:paraId="53246519" w14:textId="77777777" w:rsidR="00026FF9" w:rsidRDefault="00E87FE6">
      <w:pPr>
        <w:spacing w:line="360" w:lineRule="auto"/>
        <w:jc w:val="both"/>
        <w:rPr>
          <w:rFonts w:eastAsiaTheme="minorHAnsi"/>
          <w:b/>
          <w:bCs/>
          <w:sz w:val="28"/>
          <w:szCs w:val="28"/>
        </w:rPr>
      </w:pPr>
      <w:r>
        <w:rPr>
          <w:rFonts w:eastAsiaTheme="minorHAnsi"/>
          <w:b/>
          <w:bCs/>
          <w:sz w:val="28"/>
          <w:szCs w:val="28"/>
        </w:rPr>
        <w:t>Materials and Method</w:t>
      </w:r>
    </w:p>
    <w:p w14:paraId="364743C8" w14:textId="77777777" w:rsidR="00026FF9" w:rsidRDefault="00026FF9">
      <w:pPr>
        <w:spacing w:line="360" w:lineRule="auto"/>
        <w:jc w:val="both"/>
        <w:rPr>
          <w:rFonts w:eastAsiaTheme="minorHAnsi"/>
        </w:rPr>
      </w:pPr>
    </w:p>
    <w:p w14:paraId="67001603" w14:textId="77777777" w:rsidR="00026FF9" w:rsidRDefault="00E87FE6">
      <w:pPr>
        <w:spacing w:line="360" w:lineRule="auto"/>
        <w:jc w:val="both"/>
        <w:rPr>
          <w:b/>
          <w:sz w:val="24"/>
          <w:szCs w:val="24"/>
        </w:rPr>
      </w:pPr>
      <w:r>
        <w:rPr>
          <w:b/>
          <w:sz w:val="24"/>
          <w:szCs w:val="24"/>
        </w:rPr>
        <w:lastRenderedPageBreak/>
        <w:t>Sample Extraction</w:t>
      </w:r>
    </w:p>
    <w:p w14:paraId="09596070" w14:textId="77777777" w:rsidR="00026FF9" w:rsidRDefault="00E87FE6">
      <w:pPr>
        <w:spacing w:line="360" w:lineRule="auto"/>
        <w:jc w:val="both"/>
        <w:rPr>
          <w:sz w:val="24"/>
          <w:szCs w:val="24"/>
        </w:rPr>
      </w:pPr>
      <w:r>
        <w:rPr>
          <w:sz w:val="28"/>
          <w:szCs w:val="28"/>
        </w:rPr>
        <w:tab/>
      </w:r>
      <w:r>
        <w:rPr>
          <w:sz w:val="24"/>
          <w:szCs w:val="24"/>
        </w:rPr>
        <w:t>The microplastic substance, received as a powder from the pyrolysis plant in Chennai, was subjected to extraction following a saline leaching procedure. The powder dissolv</w:t>
      </w:r>
      <w:r>
        <w:rPr>
          <w:sz w:val="24"/>
          <w:szCs w:val="24"/>
        </w:rPr>
        <w:t>ed at 0.368 g/mL in sterile physiological saline and was incubated at 70°C for 4 h of mechanical agitation. Following a resting period of 24 h, the suspension was filtered through a sterile barrier to extract solid residue. The obtained extract was harvest</w:t>
      </w:r>
      <w:r>
        <w:rPr>
          <w:sz w:val="24"/>
          <w:szCs w:val="24"/>
        </w:rPr>
        <w:t>ed in sterilized vessels and stored at 4°C.</w:t>
      </w:r>
    </w:p>
    <w:p w14:paraId="44D55904" w14:textId="77777777" w:rsidR="00026FF9" w:rsidRDefault="00026FF9">
      <w:pPr>
        <w:spacing w:line="360" w:lineRule="auto"/>
        <w:jc w:val="both"/>
        <w:rPr>
          <w:sz w:val="24"/>
          <w:szCs w:val="24"/>
        </w:rPr>
      </w:pPr>
    </w:p>
    <w:p w14:paraId="47C4CE5C" w14:textId="77777777" w:rsidR="00026FF9" w:rsidRDefault="00E87FE6">
      <w:pPr>
        <w:spacing w:line="360" w:lineRule="auto"/>
        <w:jc w:val="both"/>
        <w:rPr>
          <w:rFonts w:eastAsiaTheme="minorHAnsi"/>
          <w:b/>
          <w:sz w:val="28"/>
        </w:rPr>
      </w:pPr>
      <w:r>
        <w:rPr>
          <w:rFonts w:eastAsiaTheme="minorHAnsi"/>
          <w:b/>
          <w:sz w:val="24"/>
          <w:szCs w:val="21"/>
        </w:rPr>
        <w:t>Anxiety and Stress Test using Light and Dark Assay</w:t>
      </w:r>
    </w:p>
    <w:p w14:paraId="642D8C71" w14:textId="77777777" w:rsidR="00026FF9" w:rsidRDefault="00E87FE6">
      <w:pPr>
        <w:spacing w:line="360" w:lineRule="auto"/>
        <w:jc w:val="both"/>
        <w:rPr>
          <w:rFonts w:eastAsiaTheme="minorHAnsi"/>
          <w:sz w:val="24"/>
          <w:szCs w:val="24"/>
        </w:rPr>
      </w:pPr>
      <w:r>
        <w:rPr>
          <w:rFonts w:eastAsiaTheme="minorHAnsi"/>
          <w:b/>
          <w:sz w:val="28"/>
        </w:rPr>
        <w:tab/>
      </w:r>
      <w:r>
        <w:rPr>
          <w:rFonts w:eastAsiaTheme="minorHAnsi"/>
          <w:sz w:val="24"/>
          <w:szCs w:val="24"/>
        </w:rPr>
        <w:t xml:space="preserve">The light and dark assay chamber used in our laboratory represents rectangular glass tank (15 height x 40 </w:t>
      </w:r>
      <w:proofErr w:type="spellStart"/>
      <w:r>
        <w:rPr>
          <w:rFonts w:eastAsiaTheme="minorHAnsi"/>
          <w:sz w:val="24"/>
          <w:szCs w:val="24"/>
        </w:rPr>
        <w:t>lemgth</w:t>
      </w:r>
      <w:proofErr w:type="spellEnd"/>
      <w:r>
        <w:rPr>
          <w:rFonts w:eastAsiaTheme="minorHAnsi"/>
          <w:sz w:val="24"/>
          <w:szCs w:val="24"/>
        </w:rPr>
        <w:t xml:space="preserve"> x 20 cm width) that rests on a leveled surface, which is divided into two equal vertical portions, delimiting by black and white coloration then filled with water to a height of 10 cm. the assay chamber is positioned for optimal lighting in order to avoid</w:t>
      </w:r>
      <w:r>
        <w:rPr>
          <w:rFonts w:eastAsiaTheme="minorHAnsi"/>
          <w:sz w:val="24"/>
          <w:szCs w:val="24"/>
        </w:rPr>
        <w:t xml:space="preserve"> any glare from rooms light source. The behavioral scoring is measured manually to quantify time spent in the dark side of the chamber for 3 mins (</w:t>
      </w:r>
      <w:r>
        <w:rPr>
          <w:sz w:val="24"/>
          <w:szCs w:val="24"/>
        </w:rPr>
        <w:t xml:space="preserve">Fontana </w:t>
      </w:r>
      <w:r>
        <w:rPr>
          <w:i/>
          <w:iCs/>
          <w:sz w:val="24"/>
          <w:szCs w:val="24"/>
        </w:rPr>
        <w:t>et al.,</w:t>
      </w:r>
      <w:r>
        <w:rPr>
          <w:sz w:val="24"/>
          <w:szCs w:val="24"/>
        </w:rPr>
        <w:t xml:space="preserve"> 2022)</w:t>
      </w:r>
      <w:r>
        <w:rPr>
          <w:rFonts w:eastAsiaTheme="minorHAnsi"/>
          <w:sz w:val="24"/>
          <w:szCs w:val="24"/>
        </w:rPr>
        <w:t>.</w:t>
      </w:r>
    </w:p>
    <w:p w14:paraId="4271AFE8" w14:textId="77777777" w:rsidR="00026FF9" w:rsidRDefault="00026FF9">
      <w:pPr>
        <w:spacing w:line="360" w:lineRule="auto"/>
        <w:jc w:val="both"/>
        <w:rPr>
          <w:rFonts w:eastAsiaTheme="minorHAnsi"/>
          <w:sz w:val="24"/>
          <w:szCs w:val="24"/>
        </w:rPr>
      </w:pPr>
    </w:p>
    <w:p w14:paraId="1E761D7E" w14:textId="77777777" w:rsidR="00026FF9" w:rsidRDefault="00E87FE6">
      <w:pPr>
        <w:spacing w:line="360" w:lineRule="auto"/>
        <w:jc w:val="both"/>
        <w:rPr>
          <w:rFonts w:eastAsiaTheme="minorHAnsi"/>
          <w:b/>
          <w:sz w:val="28"/>
        </w:rPr>
      </w:pPr>
      <w:r>
        <w:rPr>
          <w:rFonts w:eastAsiaTheme="minorHAnsi"/>
          <w:b/>
          <w:sz w:val="24"/>
          <w:szCs w:val="21"/>
        </w:rPr>
        <w:t>Startle Response Assay</w:t>
      </w:r>
    </w:p>
    <w:p w14:paraId="345625D1" w14:textId="77777777" w:rsidR="00026FF9" w:rsidRDefault="00E87FE6">
      <w:pPr>
        <w:spacing w:line="360" w:lineRule="auto"/>
        <w:jc w:val="both"/>
        <w:rPr>
          <w:rFonts w:eastAsiaTheme="minorHAnsi"/>
          <w:sz w:val="28"/>
          <w:szCs w:val="28"/>
        </w:rPr>
      </w:pPr>
      <w:r>
        <w:rPr>
          <w:rFonts w:eastAsiaTheme="minorHAnsi"/>
          <w:sz w:val="28"/>
          <w:szCs w:val="28"/>
        </w:rPr>
        <w:tab/>
      </w:r>
      <w:r>
        <w:rPr>
          <w:rFonts w:eastAsiaTheme="minorHAnsi"/>
          <w:sz w:val="24"/>
          <w:szCs w:val="24"/>
        </w:rPr>
        <w:t xml:space="preserve">The startle response assay was carried out to measure neuromotor activity and cognitive impairment following administration of micro plastic extract. The startle response assay chamber </w:t>
      </w:r>
      <w:proofErr w:type="gramStart"/>
      <w:r>
        <w:rPr>
          <w:rFonts w:eastAsiaTheme="minorHAnsi"/>
          <w:sz w:val="24"/>
          <w:szCs w:val="24"/>
        </w:rPr>
        <w:t>consist</w:t>
      </w:r>
      <w:proofErr w:type="gramEnd"/>
      <w:r>
        <w:rPr>
          <w:rFonts w:eastAsiaTheme="minorHAnsi"/>
          <w:sz w:val="24"/>
          <w:szCs w:val="24"/>
        </w:rPr>
        <w:t xml:space="preserve"> of 2 liter glass bowl has a diameter of (102x212mm) where the a</w:t>
      </w:r>
      <w:r>
        <w:rPr>
          <w:rFonts w:eastAsiaTheme="minorHAnsi"/>
          <w:sz w:val="24"/>
          <w:szCs w:val="24"/>
        </w:rPr>
        <w:t>dult zebrafish is transferred containing system water. The bowl is placed inside a rotating drum fitted with black and white stripes. The startle response was elicited by clockwise 10 counts and counterclockwise rotation 10counts. The startle response scor</w:t>
      </w:r>
      <w:r>
        <w:rPr>
          <w:rFonts w:eastAsiaTheme="minorHAnsi"/>
          <w:sz w:val="24"/>
          <w:szCs w:val="24"/>
        </w:rPr>
        <w:t>ing is measured manually to quantify the response rate for 10 counts clockwise and 10 counts anti-clockwise (</w:t>
      </w:r>
      <w:proofErr w:type="spellStart"/>
      <w:r>
        <w:rPr>
          <w:sz w:val="24"/>
          <w:szCs w:val="24"/>
        </w:rPr>
        <w:t>Hayot</w:t>
      </w:r>
      <w:proofErr w:type="spellEnd"/>
      <w:r>
        <w:rPr>
          <w:sz w:val="24"/>
          <w:szCs w:val="24"/>
        </w:rPr>
        <w:t xml:space="preserve"> et al., 2024)</w:t>
      </w:r>
      <w:r>
        <w:rPr>
          <w:rFonts w:eastAsiaTheme="minorHAnsi"/>
          <w:sz w:val="24"/>
          <w:szCs w:val="24"/>
        </w:rPr>
        <w:t>.</w:t>
      </w:r>
    </w:p>
    <w:p w14:paraId="67F5A1DC" w14:textId="77777777" w:rsidR="00026FF9" w:rsidRDefault="00026FF9">
      <w:pPr>
        <w:spacing w:line="360" w:lineRule="auto"/>
        <w:jc w:val="both"/>
      </w:pPr>
    </w:p>
    <w:p w14:paraId="554F5414" w14:textId="77777777" w:rsidR="00026FF9" w:rsidRDefault="00E87FE6">
      <w:pPr>
        <w:spacing w:line="360" w:lineRule="auto"/>
        <w:jc w:val="both"/>
        <w:rPr>
          <w:rFonts w:eastAsiaTheme="minorHAnsi"/>
          <w:b/>
          <w:sz w:val="28"/>
        </w:rPr>
      </w:pPr>
      <w:r>
        <w:rPr>
          <w:rFonts w:eastAsiaTheme="minorHAnsi"/>
          <w:b/>
          <w:sz w:val="28"/>
        </w:rPr>
        <w:t>Results and Discussion</w:t>
      </w:r>
    </w:p>
    <w:p w14:paraId="39C69398" w14:textId="77777777" w:rsidR="00DD3095" w:rsidRPr="00DD3095" w:rsidRDefault="00E87FE6" w:rsidP="00DD3095">
      <w:pPr>
        <w:spacing w:line="360" w:lineRule="auto"/>
        <w:jc w:val="both"/>
        <w:rPr>
          <w:color w:val="000000"/>
          <w:sz w:val="24"/>
          <w:szCs w:val="24"/>
          <w:shd w:val="clear" w:color="auto" w:fill="FFFFFF"/>
        </w:rPr>
      </w:pPr>
      <w:r>
        <w:rPr>
          <w:color w:val="000000"/>
          <w:sz w:val="28"/>
          <w:szCs w:val="24"/>
          <w:shd w:val="clear" w:color="auto" w:fill="FFFFFF"/>
        </w:rPr>
        <w:tab/>
      </w:r>
      <w:r w:rsidR="00DD3095" w:rsidRPr="00DD3095">
        <w:rPr>
          <w:color w:val="000000"/>
          <w:sz w:val="24"/>
          <w:szCs w:val="24"/>
          <w:shd w:val="clear" w:color="auto" w:fill="FFFFFF"/>
        </w:rPr>
        <w:t xml:space="preserve">The present study evaluated the neurobehavioral toxicity of microplastic extract in adult zebrafish (Danio rerio) using a combination of behavioral assays, including the light–dark preference test, startle response assay, and memory maze assay. Zebrafish are increasingly recognized as a sensitive vertebrate model for assessing environmental neurotoxicity because of their conserved neurotransmitter systems, genetic homology with higher vertebrates, and well-characterized behavioral repertoire (Chen et al., 2023). Behavioral endpoints are </w:t>
      </w:r>
      <w:r w:rsidR="00DD3095" w:rsidRPr="00DD3095">
        <w:rPr>
          <w:color w:val="000000"/>
          <w:sz w:val="24"/>
          <w:szCs w:val="24"/>
          <w:shd w:val="clear" w:color="auto" w:fill="FFFFFF"/>
        </w:rPr>
        <w:lastRenderedPageBreak/>
        <w:t>particularly valuable, as they often reveal sublethal toxicity at exposure levels that do not immediately result in mortality and thus provide early warning signals of ecological risk (Smith et al., 2020).</w:t>
      </w:r>
    </w:p>
    <w:p w14:paraId="1218F721" w14:textId="77777777" w:rsidR="00DD3095" w:rsidRPr="00DD3095" w:rsidRDefault="00DD3095" w:rsidP="00DD3095">
      <w:pPr>
        <w:spacing w:line="360" w:lineRule="auto"/>
        <w:jc w:val="both"/>
        <w:rPr>
          <w:color w:val="000000"/>
          <w:sz w:val="24"/>
          <w:szCs w:val="24"/>
          <w:shd w:val="clear" w:color="auto" w:fill="FFFFFF"/>
        </w:rPr>
      </w:pPr>
    </w:p>
    <w:p w14:paraId="62CD61D0"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Preliminary screening assays were conducted to identify appropriate concentration ranges that would allow assessment of dose-dependent behavioral effects while minimizing immediate lethality. Based on these observations, microplastic extract concentrations of 3.12%, 6.25%, 12.5%, and 25% were selected for detailed investigation. Across all experimental endpoints, a consistent concentration-dependent pattern of toxicity was observed. Lower concentrations induced subtle behavioral alterations, whereas higher concentrations produced marked neurobehavioral impairment accompanied by increased mortality (Tables 1–4; Graphs 1–4).</w:t>
      </w:r>
    </w:p>
    <w:p w14:paraId="7C2E4492" w14:textId="77777777" w:rsidR="00DD3095" w:rsidRPr="00DD3095" w:rsidRDefault="00DD3095" w:rsidP="00DD3095">
      <w:pPr>
        <w:spacing w:line="360" w:lineRule="auto"/>
        <w:jc w:val="both"/>
        <w:rPr>
          <w:color w:val="000000"/>
          <w:sz w:val="24"/>
          <w:szCs w:val="24"/>
          <w:shd w:val="clear" w:color="auto" w:fill="FFFFFF"/>
        </w:rPr>
      </w:pPr>
    </w:p>
    <w:p w14:paraId="16099758"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In the light–dark preference assay, control zebrafish exhibited a clear preference for the illuminated compartment, spending significantly less time in the dark zone, which is indicative of normal exploratory behavior and low basal anxiety levels (Table 1; Graph 1). A similar behavioral pattern was observed in fish exposed to the lowest concentration of microplastic extract (3.12%), suggesting that minimal exposure resulted in only slight or negligible stress induction. However, fish treated with 6.25% and 12.5% concentrations displayed a progressive increase in time spent in the dark compartment in an inclining order, reflecting elevated anxiety-like behavior (Table 2; Graph 2). At the highest concentration (25%), zebrafish spent the majority of the observation period in the dark zone, indicating pronounced stress, avoidance behavior, and reduced exploratory drive.</w:t>
      </w:r>
    </w:p>
    <w:p w14:paraId="08FFB9A7" w14:textId="77777777" w:rsidR="00DD3095" w:rsidRPr="00DD3095" w:rsidRDefault="00DD3095" w:rsidP="00DD3095">
      <w:pPr>
        <w:spacing w:line="360" w:lineRule="auto"/>
        <w:jc w:val="both"/>
        <w:rPr>
          <w:color w:val="000000"/>
          <w:sz w:val="24"/>
          <w:szCs w:val="24"/>
          <w:shd w:val="clear" w:color="auto" w:fill="FFFFFF"/>
        </w:rPr>
      </w:pPr>
    </w:p>
    <w:p w14:paraId="5581F55D"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Such alterations in light–dark preference have been widely reported in zebrafish exposed to microplastics and other environmental pollutants and are commonly associated with dysregulation of serotonergic and dopaminergic signaling pathways that modulate anxiety and stress responses (Chen et al., 2023; Roch et al., 2024). Moreover, microplastic extracts are known to contain leached additives such as plasticizers, stabilizers, and adsorbed environmental contaminants, which may exacerbate neurobehavioral toxicity even at relatively low concentrations (Nguyen et al., 2022). The observed behavioral shift toward increased dark-zone preference therefore suggests that microplastic-derived chemical constituents significantly influence stress-related neurobehavior.</w:t>
      </w:r>
    </w:p>
    <w:p w14:paraId="75AEC560" w14:textId="77777777" w:rsidR="00DD3095" w:rsidRPr="00DD3095" w:rsidRDefault="00DD3095" w:rsidP="00DD3095">
      <w:pPr>
        <w:spacing w:line="360" w:lineRule="auto"/>
        <w:jc w:val="both"/>
        <w:rPr>
          <w:color w:val="000000"/>
          <w:sz w:val="24"/>
          <w:szCs w:val="24"/>
          <w:shd w:val="clear" w:color="auto" w:fill="FFFFFF"/>
        </w:rPr>
      </w:pPr>
    </w:p>
    <w:p w14:paraId="4CD6F6D9"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 xml:space="preserve">The startle response assay further revealed concentration-dependent impairment of neuromotor </w:t>
      </w:r>
      <w:r w:rsidRPr="00DD3095">
        <w:rPr>
          <w:color w:val="000000"/>
          <w:sz w:val="24"/>
          <w:szCs w:val="24"/>
          <w:shd w:val="clear" w:color="auto" w:fill="FFFFFF"/>
        </w:rPr>
        <w:lastRenderedPageBreak/>
        <w:t>and sensorimotor function. Control fish exhibited a robust and consistent startle response, reflecting intact sensory perception, neural processing, and motor coordination (Table 3; Graph 3). Zebrafish exposed to 3.12% microplastic extract displayed startle responses comparable to controls, although a slight reduction in response magnitude was noted. At 6.25%, a noticeable decline in startle responsiveness was observed, indicating early neuromotor disruption. More pronounced impairment occurred in the 12.5% group, while fish exposed to 25% extract exhibited the weakest startle responses, demonstrating severe suppression of reflex activity (Table 4; Graph 4).</w:t>
      </w:r>
    </w:p>
    <w:p w14:paraId="6DC8D026" w14:textId="77777777" w:rsidR="00DD3095" w:rsidRPr="00DD3095" w:rsidRDefault="00DD3095" w:rsidP="00DD3095">
      <w:pPr>
        <w:spacing w:line="360" w:lineRule="auto"/>
        <w:jc w:val="both"/>
        <w:rPr>
          <w:color w:val="000000"/>
          <w:sz w:val="24"/>
          <w:szCs w:val="24"/>
          <w:shd w:val="clear" w:color="auto" w:fill="FFFFFF"/>
        </w:rPr>
      </w:pPr>
    </w:p>
    <w:p w14:paraId="4BE64288"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 xml:space="preserve">The progressive reduction in startle response with increasing concentration indicates a clear inverse relationship between microplastic exposure and neuromotor performance. Similar findings have been reported in zebrafish exposed to micro- and </w:t>
      </w:r>
      <w:proofErr w:type="spellStart"/>
      <w:r w:rsidRPr="00DD3095">
        <w:rPr>
          <w:color w:val="000000"/>
          <w:sz w:val="24"/>
          <w:szCs w:val="24"/>
          <w:shd w:val="clear" w:color="auto" w:fill="FFFFFF"/>
        </w:rPr>
        <w:t>nanoplastics</w:t>
      </w:r>
      <w:proofErr w:type="spellEnd"/>
      <w:r w:rsidRPr="00DD3095">
        <w:rPr>
          <w:color w:val="000000"/>
          <w:sz w:val="24"/>
          <w:szCs w:val="24"/>
          <w:shd w:val="clear" w:color="auto" w:fill="FFFFFF"/>
        </w:rPr>
        <w:t>, where reduced locomotion and reflex behavior were associated with oxidative stress, synaptic dysfunction, and neuroinflammatory processes in the brain (Li et al., 2023; Wang et al., 2025). Attenuation of the startle response may have significant ecological consequences, as it compromises escape behavior and increases susceptibility to predation in natural aquatic environments.</w:t>
      </w:r>
    </w:p>
    <w:p w14:paraId="5B9337A4" w14:textId="77777777" w:rsidR="00DD3095" w:rsidRPr="00DD3095" w:rsidRDefault="00DD3095" w:rsidP="00DD3095">
      <w:pPr>
        <w:spacing w:line="360" w:lineRule="auto"/>
        <w:jc w:val="both"/>
        <w:rPr>
          <w:color w:val="000000"/>
          <w:sz w:val="24"/>
          <w:szCs w:val="24"/>
          <w:shd w:val="clear" w:color="auto" w:fill="FFFFFF"/>
        </w:rPr>
      </w:pPr>
    </w:p>
    <w:p w14:paraId="39CA7F6C"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The memory maze assay provided additional evidence of concentration-dependent cognitive impairment. Control zebrafish demonstrated efficient learning and memory retention, as reflected by reduced latency and fewer navigation errors across repeated trials. Fish exposed to 3.12% and 6.25% microplastic extract exhibited moderate increases in latency and error rates but retained the ability to improve performance over time. In contrast, zebrafish treated with 12.5% and 25% concentrations showed markedly increased latency, frequent errors, and poor retention, indicating significant disruption of spatial learning and memory.</w:t>
      </w:r>
    </w:p>
    <w:p w14:paraId="28871AD7" w14:textId="77777777" w:rsidR="00DD3095" w:rsidRPr="00DD3095" w:rsidRDefault="00DD3095" w:rsidP="00DD3095">
      <w:pPr>
        <w:spacing w:line="360" w:lineRule="auto"/>
        <w:jc w:val="both"/>
        <w:rPr>
          <w:color w:val="000000"/>
          <w:sz w:val="24"/>
          <w:szCs w:val="24"/>
          <w:shd w:val="clear" w:color="auto" w:fill="FFFFFF"/>
        </w:rPr>
      </w:pPr>
    </w:p>
    <w:p w14:paraId="621D8451"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Cognitive impairments observed in the present study are consistent with earlier reports linking microplastic exposure to altered synaptic plasticity, neurotransmitter imbalance, and oxidative damage in zebrafish brains (Roch et al., 2024; Zhang et al., 2024). Disruption of cholinergic and dopaminergic signaling, as well as mitochondrial dysfunction, has been implicated in learning and memory deficits following microplastic exposure. These neurobiological alterations likely underlie the impaired maze performance observed at higher extract concentrations.</w:t>
      </w:r>
    </w:p>
    <w:p w14:paraId="216A0BF1" w14:textId="77777777" w:rsidR="00DD3095" w:rsidRPr="00DD3095" w:rsidRDefault="00DD3095" w:rsidP="00DD3095">
      <w:pPr>
        <w:spacing w:line="360" w:lineRule="auto"/>
        <w:jc w:val="both"/>
        <w:rPr>
          <w:color w:val="000000"/>
          <w:sz w:val="24"/>
          <w:szCs w:val="24"/>
          <w:shd w:val="clear" w:color="auto" w:fill="FFFFFF"/>
        </w:rPr>
      </w:pPr>
    </w:p>
    <w:p w14:paraId="7C58E155"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 xml:space="preserve">Mortality analysis further supported the behavioral findings. Fish exposed to higher </w:t>
      </w:r>
      <w:r w:rsidRPr="00DD3095">
        <w:rPr>
          <w:color w:val="000000"/>
          <w:sz w:val="24"/>
          <w:szCs w:val="24"/>
          <w:shd w:val="clear" w:color="auto" w:fill="FFFFFF"/>
        </w:rPr>
        <w:lastRenderedPageBreak/>
        <w:t>concentrations of microplastic extract exhibited increased mortality, which intensified with prolonged exposure duration. While negligible mortality was observed at 3.12%, significant mortality occurred at 12.5% and was highest at 25%, indicating cumulative toxic effects. Survival analysis (Graph 5) revealed accelerated mortality at higher concentrations, suggesting that sublethal neurobehavioral disturbances may precede and contribute to eventual lethality.</w:t>
      </w:r>
    </w:p>
    <w:p w14:paraId="78C97056" w14:textId="77777777" w:rsidR="00DD3095" w:rsidRPr="00DD3095" w:rsidRDefault="00DD3095" w:rsidP="00DD3095">
      <w:pPr>
        <w:spacing w:line="360" w:lineRule="auto"/>
        <w:jc w:val="both"/>
        <w:rPr>
          <w:color w:val="000000"/>
          <w:sz w:val="24"/>
          <w:szCs w:val="24"/>
          <w:shd w:val="clear" w:color="auto" w:fill="FFFFFF"/>
        </w:rPr>
      </w:pPr>
    </w:p>
    <w:p w14:paraId="62E79A30"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The observed behavioral and survival outcomes can be attributed to multiple interacting mechanisms of microplastic toxicity. Chemical leaching from microplastics introduces neurotoxic additives and adsorbed pollutants into the aquatic environment, disrupting endocrine and neural function (Nguyen et al., 2022). Concurrently, microplastic exposure induces oxidative stress by increasing reactive oxygen species and impairing antioxidant defenses, leading to neuronal damage and synaptic dysfunction (Li et al., 2023). Neuroinflammatory responses further exacerbate neural impairment by altering neurotransmission and promoting cellular injury (Wang et al., 2025). Additionally, emerging evidence suggests that microplastic-induced dysbiosis of the gut microbiota may influence behavior via the gut–brain axis, contributing to anxiety and cognitive dysfunction (Zhang et al., 2024).</w:t>
      </w:r>
    </w:p>
    <w:p w14:paraId="6A130285" w14:textId="77777777" w:rsidR="00DD3095" w:rsidRPr="00DD3095" w:rsidRDefault="00DD3095" w:rsidP="00DD3095">
      <w:pPr>
        <w:spacing w:line="360" w:lineRule="auto"/>
        <w:jc w:val="both"/>
        <w:rPr>
          <w:color w:val="000000"/>
          <w:sz w:val="24"/>
          <w:szCs w:val="24"/>
          <w:shd w:val="clear" w:color="auto" w:fill="FFFFFF"/>
        </w:rPr>
      </w:pPr>
    </w:p>
    <w:p w14:paraId="76549569" w14:textId="77777777" w:rsidR="00DD3095"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From an ecological perspective, the neurobehavioral alterations observed in this study have serious implications. Increased anxiety, reduced exploratory behavior, impaired learning, and diminished reflex responses can negatively affect foraging efficiency, predator avoidance, reproduction, and overall fitness of aquatic organisms. Such sublethal effects, when occurring at environmentally relevant concentrations, may translate into population-level impacts and ecosystem instability (Smith et al., 2020). Given the widespread distribution and persistence of microplastics in aquatic systems, the findings of this study underscore the urgent need for comprehensive risk assessments that incorporate behavioral endpoints.</w:t>
      </w:r>
    </w:p>
    <w:p w14:paraId="25F4C8F8" w14:textId="77777777" w:rsidR="00DD3095" w:rsidRPr="00DD3095" w:rsidRDefault="00DD3095" w:rsidP="00DD3095">
      <w:pPr>
        <w:spacing w:line="360" w:lineRule="auto"/>
        <w:jc w:val="both"/>
        <w:rPr>
          <w:color w:val="000000"/>
          <w:sz w:val="24"/>
          <w:szCs w:val="24"/>
          <w:shd w:val="clear" w:color="auto" w:fill="FFFFFF"/>
        </w:rPr>
      </w:pPr>
    </w:p>
    <w:p w14:paraId="5F597754" w14:textId="3ACE9442" w:rsidR="00026FF9" w:rsidRPr="00DD3095" w:rsidRDefault="00DD3095" w:rsidP="00DD3095">
      <w:pPr>
        <w:spacing w:line="360" w:lineRule="auto"/>
        <w:jc w:val="both"/>
        <w:rPr>
          <w:color w:val="000000"/>
          <w:sz w:val="24"/>
          <w:szCs w:val="24"/>
          <w:shd w:val="clear" w:color="auto" w:fill="FFFFFF"/>
        </w:rPr>
      </w:pPr>
      <w:r w:rsidRPr="00DD3095">
        <w:rPr>
          <w:color w:val="000000"/>
          <w:sz w:val="24"/>
          <w:szCs w:val="24"/>
          <w:shd w:val="clear" w:color="auto" w:fill="FFFFFF"/>
        </w:rPr>
        <w:t xml:space="preserve">In summary, the results of the present investigation demonstrate that microplastic extract exerts pronounced, concentration-dependent neurobehavioral toxicity in adult zebrafish. Behavioral assays revealed increased anxiety-like behavior, impaired neuromotor function, and cognitive deficits, accompanied by increased mortality at higher concentrations. Importantly, detectable behavioral changes were evident even at low exposure levels, highlighting the sensitivity of zebrafish behavioral endpoints and the potential ecological threat posed by microplastic pollution. These findings add to the growing body of evidence that microplastics represent a </w:t>
      </w:r>
      <w:r w:rsidRPr="00DD3095">
        <w:rPr>
          <w:color w:val="000000"/>
          <w:sz w:val="24"/>
          <w:szCs w:val="24"/>
          <w:shd w:val="clear" w:color="auto" w:fill="FFFFFF"/>
        </w:rPr>
        <w:lastRenderedPageBreak/>
        <w:t>significant environmental hazard and emphasize the need for regulatory strategies aimed at mitigating their impact on aquatic ecosystems (Chen et al., 2023; Roch et al., 2024).</w:t>
      </w:r>
    </w:p>
    <w:p w14:paraId="6F255BCD" w14:textId="77777777" w:rsidR="00026FF9" w:rsidRDefault="00026FF9">
      <w:pPr>
        <w:spacing w:line="360" w:lineRule="auto"/>
        <w:jc w:val="both"/>
      </w:pPr>
    </w:p>
    <w:p w14:paraId="073FCC19" w14:textId="77777777" w:rsidR="00026FF9" w:rsidRDefault="00E87FE6">
      <w:pPr>
        <w:spacing w:line="360" w:lineRule="auto"/>
        <w:jc w:val="both"/>
        <w:rPr>
          <w:b/>
          <w:sz w:val="24"/>
          <w:szCs w:val="24"/>
        </w:rPr>
      </w:pPr>
      <w:r>
        <w:rPr>
          <w:b/>
          <w:sz w:val="24"/>
          <w:szCs w:val="24"/>
        </w:rPr>
        <w:t>Light and Dark Assay</w:t>
      </w:r>
    </w:p>
    <w:tbl>
      <w:tblPr>
        <w:tblpPr w:leftFromText="180" w:rightFromText="180" w:vertAnchor="text" w:horzAnchor="page" w:tblpX="1851" w:tblpY="472"/>
        <w:tblOverlap w:val="never"/>
        <w:tblW w:w="3936" w:type="dxa"/>
        <w:tblLook w:val="04A0" w:firstRow="1" w:lastRow="0" w:firstColumn="1" w:lastColumn="0" w:noHBand="0" w:noVBand="1"/>
      </w:tblPr>
      <w:tblGrid>
        <w:gridCol w:w="1853"/>
        <w:gridCol w:w="2083"/>
      </w:tblGrid>
      <w:tr w:rsidR="00026FF9" w14:paraId="62A633FF" w14:textId="77777777">
        <w:trPr>
          <w:trHeight w:val="396"/>
        </w:trPr>
        <w:tc>
          <w:tcPr>
            <w:tcW w:w="3936" w:type="dxa"/>
            <w:gridSpan w:val="2"/>
            <w:tcBorders>
              <w:top w:val="single" w:sz="8" w:space="0" w:color="auto"/>
              <w:left w:val="single" w:sz="8" w:space="0" w:color="auto"/>
              <w:bottom w:val="single" w:sz="8" w:space="0" w:color="auto"/>
              <w:right w:val="single" w:sz="8" w:space="0" w:color="000000"/>
            </w:tcBorders>
            <w:shd w:val="clear" w:color="000000" w:fill="215868"/>
            <w:noWrap/>
          </w:tcPr>
          <w:p w14:paraId="3585A20A" w14:textId="77777777" w:rsidR="00026FF9" w:rsidRDefault="00E87FE6">
            <w:pPr>
              <w:spacing w:line="360" w:lineRule="auto"/>
              <w:jc w:val="center"/>
              <w:rPr>
                <w:b/>
                <w:bCs/>
                <w:color w:val="EEECE1"/>
                <w:sz w:val="28"/>
                <w:szCs w:val="28"/>
              </w:rPr>
            </w:pPr>
            <w:r>
              <w:rPr>
                <w:noProof/>
                <w:sz w:val="28"/>
                <w:szCs w:val="28"/>
              </w:rPr>
              <w:drawing>
                <wp:anchor distT="0" distB="0" distL="114300" distR="114300" simplePos="0" relativeHeight="251668480" behindDoc="0" locked="0" layoutInCell="1" allowOverlap="1" wp14:anchorId="230DABEF" wp14:editId="5E89BF06">
                  <wp:simplePos x="0" y="0"/>
                  <wp:positionH relativeFrom="column">
                    <wp:posOffset>2500630</wp:posOffset>
                  </wp:positionH>
                  <wp:positionV relativeFrom="paragraph">
                    <wp:posOffset>36195</wp:posOffset>
                  </wp:positionV>
                  <wp:extent cx="2743200" cy="2811780"/>
                  <wp:effectExtent l="9525" t="9525" r="9525" b="17145"/>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43200" cy="2811780"/>
                          </a:xfrm>
                          <a:prstGeom prst="rect">
                            <a:avLst/>
                          </a:prstGeom>
                          <a:solidFill>
                            <a:srgbClr val="FFFFFF"/>
                          </a:solidFill>
                          <a:ln w="9525">
                            <a:solidFill>
                              <a:srgbClr val="000000"/>
                            </a:solidFill>
                            <a:miter lim="800000"/>
                            <a:headEnd/>
                            <a:tailEnd/>
                          </a:ln>
                        </pic:spPr>
                      </pic:pic>
                    </a:graphicData>
                  </a:graphic>
                </wp:anchor>
              </w:drawing>
            </w:r>
            <w:r>
              <w:rPr>
                <w:b/>
                <w:bCs/>
                <w:color w:val="EEECE1"/>
                <w:sz w:val="28"/>
                <w:szCs w:val="28"/>
              </w:rPr>
              <w:t>Light and dark assay</w:t>
            </w:r>
          </w:p>
        </w:tc>
      </w:tr>
      <w:tr w:rsidR="00026FF9" w14:paraId="4B73F662" w14:textId="77777777">
        <w:trPr>
          <w:trHeight w:val="773"/>
        </w:trPr>
        <w:tc>
          <w:tcPr>
            <w:tcW w:w="1853" w:type="dxa"/>
            <w:tcBorders>
              <w:top w:val="nil"/>
              <w:left w:val="single" w:sz="8" w:space="0" w:color="auto"/>
              <w:bottom w:val="single" w:sz="8" w:space="0" w:color="auto"/>
              <w:right w:val="single" w:sz="8" w:space="0" w:color="auto"/>
            </w:tcBorders>
            <w:shd w:val="clear" w:color="000000" w:fill="215868"/>
            <w:noWrap/>
          </w:tcPr>
          <w:p w14:paraId="1D2599BA" w14:textId="77777777" w:rsidR="00026FF9" w:rsidRDefault="00E87FE6">
            <w:pPr>
              <w:spacing w:line="360" w:lineRule="auto"/>
              <w:jc w:val="center"/>
              <w:rPr>
                <w:b/>
                <w:bCs/>
                <w:color w:val="EEECE1"/>
                <w:sz w:val="28"/>
                <w:szCs w:val="28"/>
              </w:rPr>
            </w:pPr>
            <w:r>
              <w:rPr>
                <w:b/>
                <w:bCs/>
                <w:color w:val="EEECE1"/>
                <w:sz w:val="28"/>
                <w:szCs w:val="28"/>
              </w:rPr>
              <w:t>Study Groups</w:t>
            </w:r>
          </w:p>
        </w:tc>
        <w:tc>
          <w:tcPr>
            <w:tcW w:w="2083" w:type="dxa"/>
            <w:tcBorders>
              <w:top w:val="nil"/>
              <w:left w:val="nil"/>
              <w:bottom w:val="single" w:sz="8" w:space="0" w:color="auto"/>
              <w:right w:val="single" w:sz="8" w:space="0" w:color="auto"/>
            </w:tcBorders>
            <w:shd w:val="clear" w:color="000000" w:fill="215868"/>
          </w:tcPr>
          <w:p w14:paraId="4687311D" w14:textId="77777777" w:rsidR="00026FF9" w:rsidRDefault="00E87FE6">
            <w:pPr>
              <w:spacing w:line="360" w:lineRule="auto"/>
              <w:jc w:val="center"/>
              <w:rPr>
                <w:b/>
                <w:bCs/>
                <w:color w:val="EEECE1"/>
                <w:sz w:val="28"/>
                <w:szCs w:val="28"/>
              </w:rPr>
            </w:pPr>
            <w:r>
              <w:rPr>
                <w:b/>
                <w:bCs/>
                <w:color w:val="EEECE1"/>
                <w:sz w:val="28"/>
                <w:szCs w:val="28"/>
              </w:rPr>
              <w:t>Time taken on dark side (sec) N= 180 secs</w:t>
            </w:r>
          </w:p>
        </w:tc>
      </w:tr>
      <w:tr w:rsidR="00026FF9" w14:paraId="5F4EA024" w14:textId="77777777">
        <w:trPr>
          <w:trHeight w:val="396"/>
        </w:trPr>
        <w:tc>
          <w:tcPr>
            <w:tcW w:w="1853" w:type="dxa"/>
            <w:tcBorders>
              <w:top w:val="nil"/>
              <w:left w:val="single" w:sz="8" w:space="0" w:color="auto"/>
              <w:bottom w:val="single" w:sz="8" w:space="0" w:color="auto"/>
              <w:right w:val="single" w:sz="8" w:space="0" w:color="auto"/>
            </w:tcBorders>
            <w:noWrap/>
          </w:tcPr>
          <w:p w14:paraId="3ABFE711" w14:textId="77777777" w:rsidR="00026FF9" w:rsidRDefault="00E87FE6">
            <w:pPr>
              <w:spacing w:line="360" w:lineRule="auto"/>
              <w:jc w:val="center"/>
              <w:rPr>
                <w:color w:val="000000"/>
                <w:sz w:val="28"/>
                <w:szCs w:val="28"/>
              </w:rPr>
            </w:pPr>
            <w:r>
              <w:rPr>
                <w:color w:val="000000"/>
                <w:sz w:val="28"/>
                <w:szCs w:val="28"/>
              </w:rPr>
              <w:t>C</w:t>
            </w:r>
          </w:p>
        </w:tc>
        <w:tc>
          <w:tcPr>
            <w:tcW w:w="2083" w:type="dxa"/>
            <w:tcBorders>
              <w:top w:val="nil"/>
              <w:left w:val="nil"/>
              <w:bottom w:val="single" w:sz="8" w:space="0" w:color="auto"/>
              <w:right w:val="single" w:sz="8" w:space="0" w:color="auto"/>
            </w:tcBorders>
            <w:noWrap/>
          </w:tcPr>
          <w:p w14:paraId="6F104C5E" w14:textId="77777777" w:rsidR="00026FF9" w:rsidRDefault="00E87FE6">
            <w:pPr>
              <w:spacing w:line="360" w:lineRule="auto"/>
              <w:jc w:val="center"/>
              <w:rPr>
                <w:color w:val="000000"/>
                <w:sz w:val="28"/>
                <w:szCs w:val="28"/>
              </w:rPr>
            </w:pPr>
            <w:r>
              <w:rPr>
                <w:color w:val="000000"/>
                <w:sz w:val="28"/>
                <w:szCs w:val="28"/>
              </w:rPr>
              <w:t>46.4</w:t>
            </w:r>
          </w:p>
        </w:tc>
      </w:tr>
      <w:tr w:rsidR="00026FF9" w14:paraId="44CAE616" w14:textId="77777777">
        <w:trPr>
          <w:trHeight w:val="396"/>
        </w:trPr>
        <w:tc>
          <w:tcPr>
            <w:tcW w:w="1853" w:type="dxa"/>
            <w:tcBorders>
              <w:top w:val="nil"/>
              <w:left w:val="single" w:sz="8" w:space="0" w:color="auto"/>
              <w:bottom w:val="single" w:sz="8" w:space="0" w:color="auto"/>
              <w:right w:val="single" w:sz="8" w:space="0" w:color="auto"/>
            </w:tcBorders>
            <w:noWrap/>
          </w:tcPr>
          <w:p w14:paraId="666277CB" w14:textId="77777777" w:rsidR="00026FF9" w:rsidRDefault="00E87FE6">
            <w:pPr>
              <w:spacing w:line="360" w:lineRule="auto"/>
              <w:jc w:val="center"/>
              <w:rPr>
                <w:color w:val="000000"/>
                <w:sz w:val="28"/>
                <w:szCs w:val="28"/>
              </w:rPr>
            </w:pPr>
            <w:r>
              <w:rPr>
                <w:color w:val="000000"/>
                <w:sz w:val="28"/>
                <w:szCs w:val="28"/>
              </w:rPr>
              <w:t>3.12%</w:t>
            </w:r>
          </w:p>
        </w:tc>
        <w:tc>
          <w:tcPr>
            <w:tcW w:w="2083" w:type="dxa"/>
            <w:tcBorders>
              <w:top w:val="nil"/>
              <w:left w:val="nil"/>
              <w:bottom w:val="single" w:sz="8" w:space="0" w:color="auto"/>
              <w:right w:val="single" w:sz="8" w:space="0" w:color="auto"/>
            </w:tcBorders>
            <w:noWrap/>
          </w:tcPr>
          <w:p w14:paraId="6A9A841B" w14:textId="77777777" w:rsidR="00026FF9" w:rsidRDefault="00E87FE6">
            <w:pPr>
              <w:spacing w:line="360" w:lineRule="auto"/>
              <w:jc w:val="center"/>
              <w:rPr>
                <w:color w:val="000000"/>
                <w:sz w:val="28"/>
                <w:szCs w:val="28"/>
              </w:rPr>
            </w:pPr>
            <w:r>
              <w:rPr>
                <w:color w:val="000000"/>
                <w:sz w:val="28"/>
                <w:szCs w:val="28"/>
              </w:rPr>
              <w:t>62.7</w:t>
            </w:r>
          </w:p>
        </w:tc>
      </w:tr>
      <w:tr w:rsidR="00026FF9" w14:paraId="777B2D80" w14:textId="77777777">
        <w:trPr>
          <w:trHeight w:val="396"/>
        </w:trPr>
        <w:tc>
          <w:tcPr>
            <w:tcW w:w="1853" w:type="dxa"/>
            <w:tcBorders>
              <w:top w:val="nil"/>
              <w:left w:val="single" w:sz="8" w:space="0" w:color="auto"/>
              <w:bottom w:val="single" w:sz="8" w:space="0" w:color="auto"/>
              <w:right w:val="single" w:sz="8" w:space="0" w:color="auto"/>
            </w:tcBorders>
            <w:noWrap/>
          </w:tcPr>
          <w:p w14:paraId="36E9B182" w14:textId="77777777" w:rsidR="00026FF9" w:rsidRDefault="00E87FE6">
            <w:pPr>
              <w:spacing w:line="360" w:lineRule="auto"/>
              <w:jc w:val="center"/>
              <w:rPr>
                <w:color w:val="000000"/>
                <w:sz w:val="28"/>
                <w:szCs w:val="28"/>
              </w:rPr>
            </w:pPr>
            <w:r>
              <w:rPr>
                <w:color w:val="000000"/>
                <w:sz w:val="28"/>
                <w:szCs w:val="28"/>
              </w:rPr>
              <w:t>6.25%</w:t>
            </w:r>
          </w:p>
        </w:tc>
        <w:tc>
          <w:tcPr>
            <w:tcW w:w="2083" w:type="dxa"/>
            <w:tcBorders>
              <w:top w:val="nil"/>
              <w:left w:val="nil"/>
              <w:bottom w:val="single" w:sz="8" w:space="0" w:color="auto"/>
              <w:right w:val="single" w:sz="8" w:space="0" w:color="auto"/>
            </w:tcBorders>
            <w:noWrap/>
          </w:tcPr>
          <w:p w14:paraId="3E4BA80F" w14:textId="77777777" w:rsidR="00026FF9" w:rsidRDefault="00E87FE6">
            <w:pPr>
              <w:spacing w:line="360" w:lineRule="auto"/>
              <w:jc w:val="center"/>
              <w:rPr>
                <w:color w:val="000000"/>
                <w:sz w:val="28"/>
                <w:szCs w:val="28"/>
              </w:rPr>
            </w:pPr>
            <w:r>
              <w:rPr>
                <w:color w:val="000000"/>
                <w:sz w:val="28"/>
                <w:szCs w:val="28"/>
              </w:rPr>
              <w:t>93.2</w:t>
            </w:r>
          </w:p>
        </w:tc>
      </w:tr>
      <w:tr w:rsidR="00026FF9" w14:paraId="5F2EA2F7" w14:textId="77777777">
        <w:trPr>
          <w:trHeight w:val="396"/>
        </w:trPr>
        <w:tc>
          <w:tcPr>
            <w:tcW w:w="1853" w:type="dxa"/>
            <w:tcBorders>
              <w:top w:val="nil"/>
              <w:left w:val="single" w:sz="8" w:space="0" w:color="auto"/>
              <w:bottom w:val="single" w:sz="8" w:space="0" w:color="auto"/>
              <w:right w:val="single" w:sz="8" w:space="0" w:color="auto"/>
            </w:tcBorders>
            <w:noWrap/>
          </w:tcPr>
          <w:p w14:paraId="4B8D7079" w14:textId="77777777" w:rsidR="00026FF9" w:rsidRDefault="00E87FE6">
            <w:pPr>
              <w:spacing w:line="360" w:lineRule="auto"/>
              <w:jc w:val="center"/>
              <w:rPr>
                <w:color w:val="000000"/>
                <w:sz w:val="28"/>
                <w:szCs w:val="28"/>
              </w:rPr>
            </w:pPr>
            <w:r>
              <w:rPr>
                <w:color w:val="000000"/>
                <w:sz w:val="28"/>
                <w:szCs w:val="28"/>
              </w:rPr>
              <w:t>12.5%</w:t>
            </w:r>
          </w:p>
        </w:tc>
        <w:tc>
          <w:tcPr>
            <w:tcW w:w="2083" w:type="dxa"/>
            <w:tcBorders>
              <w:top w:val="nil"/>
              <w:left w:val="nil"/>
              <w:bottom w:val="single" w:sz="8" w:space="0" w:color="auto"/>
              <w:right w:val="single" w:sz="8" w:space="0" w:color="auto"/>
            </w:tcBorders>
            <w:noWrap/>
          </w:tcPr>
          <w:p w14:paraId="0C20BE3B" w14:textId="77777777" w:rsidR="00026FF9" w:rsidRDefault="00E87FE6">
            <w:pPr>
              <w:spacing w:line="360" w:lineRule="auto"/>
              <w:jc w:val="center"/>
              <w:rPr>
                <w:color w:val="000000"/>
                <w:sz w:val="28"/>
                <w:szCs w:val="28"/>
              </w:rPr>
            </w:pPr>
            <w:r>
              <w:rPr>
                <w:color w:val="000000"/>
                <w:sz w:val="28"/>
                <w:szCs w:val="28"/>
              </w:rPr>
              <w:t>107.7</w:t>
            </w:r>
          </w:p>
        </w:tc>
      </w:tr>
      <w:tr w:rsidR="00026FF9" w14:paraId="0A2E9905" w14:textId="77777777">
        <w:trPr>
          <w:trHeight w:val="396"/>
        </w:trPr>
        <w:tc>
          <w:tcPr>
            <w:tcW w:w="1853" w:type="dxa"/>
            <w:tcBorders>
              <w:top w:val="nil"/>
              <w:left w:val="single" w:sz="8" w:space="0" w:color="auto"/>
              <w:bottom w:val="single" w:sz="8" w:space="0" w:color="auto"/>
              <w:right w:val="single" w:sz="8" w:space="0" w:color="auto"/>
            </w:tcBorders>
            <w:noWrap/>
          </w:tcPr>
          <w:p w14:paraId="1B2ECD27" w14:textId="77777777" w:rsidR="00026FF9" w:rsidRDefault="00E87FE6">
            <w:pPr>
              <w:spacing w:line="360" w:lineRule="auto"/>
              <w:jc w:val="center"/>
              <w:rPr>
                <w:color w:val="000000"/>
                <w:sz w:val="28"/>
                <w:szCs w:val="28"/>
              </w:rPr>
            </w:pPr>
            <w:r>
              <w:rPr>
                <w:color w:val="000000"/>
                <w:sz w:val="28"/>
                <w:szCs w:val="28"/>
              </w:rPr>
              <w:t>25%</w:t>
            </w:r>
          </w:p>
        </w:tc>
        <w:tc>
          <w:tcPr>
            <w:tcW w:w="2083" w:type="dxa"/>
            <w:tcBorders>
              <w:top w:val="nil"/>
              <w:left w:val="nil"/>
              <w:bottom w:val="single" w:sz="8" w:space="0" w:color="auto"/>
              <w:right w:val="single" w:sz="8" w:space="0" w:color="auto"/>
            </w:tcBorders>
            <w:noWrap/>
          </w:tcPr>
          <w:p w14:paraId="6D810876" w14:textId="77777777" w:rsidR="00026FF9" w:rsidRDefault="00E87FE6">
            <w:pPr>
              <w:spacing w:line="360" w:lineRule="auto"/>
              <w:jc w:val="center"/>
              <w:rPr>
                <w:color w:val="000000"/>
                <w:sz w:val="28"/>
                <w:szCs w:val="28"/>
              </w:rPr>
            </w:pPr>
            <w:r>
              <w:rPr>
                <w:color w:val="000000"/>
                <w:sz w:val="28"/>
                <w:szCs w:val="28"/>
              </w:rPr>
              <w:t>146.9</w:t>
            </w:r>
          </w:p>
        </w:tc>
      </w:tr>
    </w:tbl>
    <w:p w14:paraId="38B11BED" w14:textId="77777777" w:rsidR="00026FF9" w:rsidRDefault="00026FF9">
      <w:pPr>
        <w:spacing w:line="360" w:lineRule="auto"/>
        <w:jc w:val="both"/>
        <w:rPr>
          <w:sz w:val="28"/>
          <w:szCs w:val="28"/>
        </w:rPr>
      </w:pPr>
    </w:p>
    <w:p w14:paraId="7D891508" w14:textId="77777777" w:rsidR="00026FF9" w:rsidRDefault="00026FF9">
      <w:pPr>
        <w:spacing w:line="360" w:lineRule="auto"/>
        <w:jc w:val="both"/>
        <w:rPr>
          <w:sz w:val="28"/>
          <w:szCs w:val="28"/>
        </w:rPr>
      </w:pPr>
    </w:p>
    <w:p w14:paraId="0EF8CE1E" w14:textId="77777777" w:rsidR="00026FF9" w:rsidRDefault="00026FF9">
      <w:pPr>
        <w:pStyle w:val="Heading1"/>
        <w:tabs>
          <w:tab w:val="left" w:pos="1203"/>
        </w:tabs>
        <w:spacing w:line="360" w:lineRule="auto"/>
        <w:ind w:left="840"/>
        <w:jc w:val="both"/>
      </w:pPr>
    </w:p>
    <w:p w14:paraId="7A081243" w14:textId="77777777" w:rsidR="00026FF9" w:rsidRDefault="00026FF9">
      <w:pPr>
        <w:spacing w:line="360" w:lineRule="auto"/>
        <w:jc w:val="both"/>
      </w:pPr>
    </w:p>
    <w:p w14:paraId="22B18B7A" w14:textId="77777777" w:rsidR="00026FF9" w:rsidRDefault="00026FF9">
      <w:pPr>
        <w:spacing w:line="360" w:lineRule="auto"/>
        <w:jc w:val="both"/>
      </w:pPr>
    </w:p>
    <w:p w14:paraId="104099F8" w14:textId="77777777" w:rsidR="00026FF9" w:rsidRDefault="00026FF9">
      <w:pPr>
        <w:spacing w:line="360" w:lineRule="auto"/>
        <w:jc w:val="both"/>
      </w:pPr>
    </w:p>
    <w:p w14:paraId="195F7FFC" w14:textId="77777777" w:rsidR="00026FF9" w:rsidRDefault="00026FF9">
      <w:pPr>
        <w:spacing w:line="360" w:lineRule="auto"/>
        <w:jc w:val="both"/>
      </w:pPr>
    </w:p>
    <w:p w14:paraId="7FBDA58F" w14:textId="77777777" w:rsidR="00026FF9" w:rsidRDefault="00026FF9">
      <w:pPr>
        <w:spacing w:line="360" w:lineRule="auto"/>
        <w:jc w:val="both"/>
      </w:pPr>
    </w:p>
    <w:p w14:paraId="298555F0" w14:textId="77777777" w:rsidR="00026FF9" w:rsidRDefault="00026FF9">
      <w:pPr>
        <w:spacing w:line="360" w:lineRule="auto"/>
        <w:jc w:val="both"/>
      </w:pPr>
    </w:p>
    <w:p w14:paraId="7B3E9CBE" w14:textId="77777777" w:rsidR="00026FF9" w:rsidRDefault="00026FF9">
      <w:pPr>
        <w:spacing w:line="360" w:lineRule="auto"/>
        <w:jc w:val="both"/>
      </w:pPr>
    </w:p>
    <w:p w14:paraId="2C102CF2" w14:textId="77777777" w:rsidR="00026FF9" w:rsidRDefault="00026FF9">
      <w:pPr>
        <w:spacing w:line="360" w:lineRule="auto"/>
        <w:jc w:val="both"/>
      </w:pPr>
    </w:p>
    <w:p w14:paraId="03990693" w14:textId="77777777" w:rsidR="00026FF9" w:rsidRDefault="00026FF9">
      <w:pPr>
        <w:spacing w:line="360" w:lineRule="auto"/>
        <w:jc w:val="both"/>
      </w:pPr>
    </w:p>
    <w:p w14:paraId="209DF3E5" w14:textId="77777777" w:rsidR="00026FF9" w:rsidRDefault="00E87FE6">
      <w:pPr>
        <w:spacing w:line="360" w:lineRule="auto"/>
        <w:jc w:val="both"/>
      </w:pPr>
      <w:r>
        <w:rPr>
          <w:noProof/>
        </w:rPr>
        <mc:AlternateContent>
          <mc:Choice Requires="wps">
            <w:drawing>
              <wp:anchor distT="0" distB="0" distL="114300" distR="114300" simplePos="0" relativeHeight="251662336" behindDoc="0" locked="0" layoutInCell="1" allowOverlap="1" wp14:anchorId="657222CB" wp14:editId="66ADA8E0">
                <wp:simplePos x="0" y="0"/>
                <wp:positionH relativeFrom="column">
                  <wp:posOffset>198755</wp:posOffset>
                </wp:positionH>
                <wp:positionV relativeFrom="paragraph">
                  <wp:posOffset>36195</wp:posOffset>
                </wp:positionV>
                <wp:extent cx="2457450" cy="523875"/>
                <wp:effectExtent l="4445" t="4445" r="14605" b="5080"/>
                <wp:wrapNone/>
                <wp:docPr id="5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23875"/>
                        </a:xfrm>
                        <a:prstGeom prst="rect">
                          <a:avLst/>
                        </a:prstGeom>
                        <a:solidFill>
                          <a:srgbClr val="FFFFFF"/>
                        </a:solidFill>
                        <a:ln w="9525">
                          <a:solidFill>
                            <a:srgbClr val="000000"/>
                          </a:solidFill>
                          <a:miter lim="800000"/>
                        </a:ln>
                      </wps:spPr>
                      <wps:txbx>
                        <w:txbxContent>
                          <w:p w14:paraId="550E791C" w14:textId="77777777" w:rsidR="00026FF9" w:rsidRDefault="00E87FE6">
                            <w:pPr>
                              <w:jc w:val="center"/>
                              <w:rPr>
                                <w:sz w:val="28"/>
                                <w:szCs w:val="28"/>
                              </w:rPr>
                            </w:pPr>
                            <w:r>
                              <w:rPr>
                                <w:sz w:val="28"/>
                                <w:szCs w:val="28"/>
                              </w:rPr>
                              <w:t xml:space="preserve">Table 1: light &amp; Dark </w:t>
                            </w:r>
                            <w:r>
                              <w:rPr>
                                <w:sz w:val="28"/>
                                <w:szCs w:val="28"/>
                              </w:rPr>
                              <w:t>assay at day 7</w:t>
                            </w:r>
                          </w:p>
                          <w:p w14:paraId="2749038F" w14:textId="77777777" w:rsidR="00026FF9" w:rsidRDefault="00026FF9"/>
                        </w:txbxContent>
                      </wps:txbx>
                      <wps:bodyPr rot="0" vert="horz" wrap="square" lIns="91440" tIns="45720" rIns="91440" bIns="45720" anchor="t" anchorCtr="0">
                        <a:noAutofit/>
                      </wps:bodyPr>
                    </wps:wsp>
                  </a:graphicData>
                </a:graphic>
              </wp:anchor>
            </w:drawing>
          </mc:Choice>
          <mc:Fallback>
            <w:pict>
              <v:shapetype w14:anchorId="657222CB" id="_x0000_t202" coordsize="21600,21600" o:spt="202" path="m,l,21600r21600,l21600,xe">
                <v:stroke joinstyle="miter"/>
                <v:path gradientshapeok="t" o:connecttype="rect"/>
              </v:shapetype>
              <v:shape id="Text Box 2" o:spid="_x0000_s1026" type="#_x0000_t202" style="position:absolute;left:0;text-align:left;margin-left:15.65pt;margin-top:2.85pt;width:193.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">
                <v:textbox>
                  <w:txbxContent>
                    <w:p w14:paraId="550E791C" w14:textId="77777777" w:rsidR="00026FF9" w:rsidRDefault="00E87FE6">
                      <w:pPr>
                        <w:jc w:val="center"/>
                        <w:rPr>
                          <w:sz w:val="28"/>
                          <w:szCs w:val="28"/>
                        </w:rPr>
                      </w:pPr>
                      <w:r>
                        <w:rPr>
                          <w:sz w:val="28"/>
                          <w:szCs w:val="28"/>
                        </w:rPr>
                        <w:t xml:space="preserve">Table 1: light &amp; Dark </w:t>
                      </w:r>
                      <w:r>
                        <w:rPr>
                          <w:sz w:val="28"/>
                          <w:szCs w:val="28"/>
                        </w:rPr>
                        <w:t>assay at day 7</w:t>
                      </w:r>
                    </w:p>
                    <w:p w14:paraId="2749038F" w14:textId="77777777" w:rsidR="00026FF9" w:rsidRDefault="00026FF9"/>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F347F21" wp14:editId="0BFDE218">
                <wp:simplePos x="0" y="0"/>
                <wp:positionH relativeFrom="column">
                  <wp:posOffset>2799715</wp:posOffset>
                </wp:positionH>
                <wp:positionV relativeFrom="paragraph">
                  <wp:posOffset>36195</wp:posOffset>
                </wp:positionV>
                <wp:extent cx="2724150" cy="523875"/>
                <wp:effectExtent l="0" t="0" r="19050" b="28575"/>
                <wp:wrapNone/>
                <wp:docPr id="5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23875"/>
                        </a:xfrm>
                        <a:prstGeom prst="rect">
                          <a:avLst/>
                        </a:prstGeom>
                        <a:solidFill>
                          <a:srgbClr val="FFFFFF"/>
                        </a:solidFill>
                        <a:ln w="9525">
                          <a:solidFill>
                            <a:srgbClr val="000000"/>
                          </a:solidFill>
                          <a:miter lim="800000"/>
                        </a:ln>
                      </wps:spPr>
                      <wps:txbx>
                        <w:txbxContent>
                          <w:p w14:paraId="097C9F84" w14:textId="77777777" w:rsidR="00026FF9" w:rsidRDefault="00E87FE6">
                            <w:pPr>
                              <w:jc w:val="center"/>
                            </w:pPr>
                            <w:r>
                              <w:rPr>
                                <w:sz w:val="28"/>
                                <w:szCs w:val="28"/>
                              </w:rPr>
                              <w:t>Graph 1: light &amp; Dark assay at day 7</w:t>
                            </w:r>
                          </w:p>
                        </w:txbxContent>
                      </wps:txbx>
                      <wps:bodyPr rot="0" vert="horz" wrap="square" lIns="91440" tIns="45720" rIns="91440" bIns="45720" anchor="t" anchorCtr="0">
                        <a:noAutofit/>
                      </wps:bodyPr>
                    </wps:wsp>
                  </a:graphicData>
                </a:graphic>
              </wp:anchor>
            </w:drawing>
          </mc:Choice>
          <mc:Fallback>
            <w:pict>
              <v:shape w14:anchorId="2F347F21" id="_x0000_s1027" type="#_x0000_t202" style="position:absolute;left:0;text-align:left;margin-left:220.45pt;margin-top:2.85pt;width:214.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">
                <v:textbox>
                  <w:txbxContent>
                    <w:p w14:paraId="097C9F84" w14:textId="77777777" w:rsidR="00026FF9" w:rsidRDefault="00E87FE6">
                      <w:pPr>
                        <w:jc w:val="center"/>
                      </w:pPr>
                      <w:r>
                        <w:rPr>
                          <w:sz w:val="28"/>
                          <w:szCs w:val="28"/>
                        </w:rPr>
                        <w:t>Graph 1: light &amp; Dark assay at day 7</w:t>
                      </w:r>
                    </w:p>
                  </w:txbxContent>
                </v:textbox>
              </v:shape>
            </w:pict>
          </mc:Fallback>
        </mc:AlternateContent>
      </w:r>
    </w:p>
    <w:p w14:paraId="66A25E66" w14:textId="77777777" w:rsidR="00026FF9" w:rsidRDefault="00026FF9">
      <w:pPr>
        <w:spacing w:line="360" w:lineRule="auto"/>
        <w:jc w:val="both"/>
      </w:pPr>
    </w:p>
    <w:p w14:paraId="7E0C5075" w14:textId="77777777" w:rsidR="00026FF9" w:rsidRDefault="00026FF9">
      <w:pPr>
        <w:spacing w:line="360" w:lineRule="auto"/>
        <w:jc w:val="both"/>
      </w:pPr>
    </w:p>
    <w:p w14:paraId="39779DCD" w14:textId="77777777" w:rsidR="00026FF9" w:rsidRDefault="00026FF9">
      <w:pPr>
        <w:spacing w:line="360" w:lineRule="auto"/>
        <w:jc w:val="both"/>
        <w:rPr>
          <w:sz w:val="28"/>
          <w:szCs w:val="28"/>
        </w:rPr>
      </w:pPr>
    </w:p>
    <w:p w14:paraId="6A6F4913" w14:textId="77777777" w:rsidR="00DD3095" w:rsidRDefault="00DD3095">
      <w:pPr>
        <w:spacing w:line="360" w:lineRule="auto"/>
        <w:jc w:val="both"/>
        <w:rPr>
          <w:sz w:val="28"/>
          <w:szCs w:val="28"/>
        </w:rPr>
      </w:pPr>
    </w:p>
    <w:p w14:paraId="7911FD37" w14:textId="77777777" w:rsidR="00DD3095" w:rsidRDefault="00DD3095">
      <w:pPr>
        <w:spacing w:line="360" w:lineRule="auto"/>
        <w:jc w:val="both"/>
        <w:rPr>
          <w:sz w:val="28"/>
          <w:szCs w:val="28"/>
        </w:rPr>
      </w:pPr>
    </w:p>
    <w:p w14:paraId="2F41D1EE" w14:textId="77777777" w:rsidR="00DD3095" w:rsidRDefault="00DD3095">
      <w:pPr>
        <w:spacing w:line="360" w:lineRule="auto"/>
        <w:jc w:val="both"/>
        <w:rPr>
          <w:sz w:val="28"/>
          <w:szCs w:val="28"/>
        </w:rPr>
      </w:pPr>
    </w:p>
    <w:p w14:paraId="4C0EB966" w14:textId="77777777" w:rsidR="00DD3095" w:rsidRDefault="00DD3095">
      <w:pPr>
        <w:spacing w:line="360" w:lineRule="auto"/>
        <w:jc w:val="both"/>
        <w:rPr>
          <w:sz w:val="28"/>
          <w:szCs w:val="28"/>
        </w:rPr>
      </w:pPr>
    </w:p>
    <w:p w14:paraId="41637DA9" w14:textId="77777777" w:rsidR="00DD3095" w:rsidRDefault="00DD3095">
      <w:pPr>
        <w:spacing w:line="360" w:lineRule="auto"/>
        <w:jc w:val="both"/>
        <w:rPr>
          <w:sz w:val="28"/>
          <w:szCs w:val="28"/>
        </w:rPr>
      </w:pPr>
    </w:p>
    <w:p w14:paraId="316CBD6F" w14:textId="77777777" w:rsidR="00DD3095" w:rsidRDefault="00DD3095">
      <w:pPr>
        <w:spacing w:line="360" w:lineRule="auto"/>
        <w:jc w:val="both"/>
        <w:rPr>
          <w:sz w:val="28"/>
          <w:szCs w:val="28"/>
        </w:rPr>
      </w:pPr>
    </w:p>
    <w:p w14:paraId="6C31E3EA" w14:textId="77777777" w:rsidR="00DD3095" w:rsidRDefault="00DD3095">
      <w:pPr>
        <w:spacing w:line="360" w:lineRule="auto"/>
        <w:jc w:val="both"/>
        <w:rPr>
          <w:sz w:val="28"/>
          <w:szCs w:val="28"/>
        </w:rPr>
      </w:pPr>
    </w:p>
    <w:tbl>
      <w:tblPr>
        <w:tblpPr w:leftFromText="180" w:rightFromText="180" w:vertAnchor="text" w:horzAnchor="page" w:tblpX="1866" w:tblpY="156"/>
        <w:tblW w:w="3890" w:type="dxa"/>
        <w:tblLook w:val="04A0" w:firstRow="1" w:lastRow="0" w:firstColumn="1" w:lastColumn="0" w:noHBand="0" w:noVBand="1"/>
      </w:tblPr>
      <w:tblGrid>
        <w:gridCol w:w="1774"/>
        <w:gridCol w:w="2116"/>
      </w:tblGrid>
      <w:tr w:rsidR="00026FF9" w14:paraId="033B146D" w14:textId="77777777">
        <w:trPr>
          <w:trHeight w:val="442"/>
        </w:trPr>
        <w:tc>
          <w:tcPr>
            <w:tcW w:w="3890" w:type="dxa"/>
            <w:gridSpan w:val="2"/>
            <w:tcBorders>
              <w:top w:val="single" w:sz="8" w:space="0" w:color="auto"/>
              <w:left w:val="single" w:sz="8" w:space="0" w:color="auto"/>
              <w:bottom w:val="single" w:sz="8" w:space="0" w:color="auto"/>
              <w:right w:val="single" w:sz="8" w:space="0" w:color="000000"/>
            </w:tcBorders>
            <w:shd w:val="clear" w:color="000000" w:fill="215868"/>
            <w:noWrap/>
            <w:vAlign w:val="center"/>
          </w:tcPr>
          <w:p w14:paraId="3CEDA0B5" w14:textId="77777777" w:rsidR="00026FF9" w:rsidRDefault="00E87FE6">
            <w:pPr>
              <w:spacing w:line="360" w:lineRule="auto"/>
              <w:jc w:val="center"/>
              <w:rPr>
                <w:b/>
                <w:bCs/>
                <w:color w:val="EEECE1"/>
                <w:sz w:val="28"/>
                <w:szCs w:val="28"/>
              </w:rPr>
            </w:pPr>
            <w:r>
              <w:rPr>
                <w:noProof/>
                <w:sz w:val="28"/>
                <w:szCs w:val="28"/>
              </w:rPr>
              <w:drawing>
                <wp:anchor distT="0" distB="0" distL="114300" distR="114300" simplePos="0" relativeHeight="251669504" behindDoc="0" locked="0" layoutInCell="1" allowOverlap="1" wp14:anchorId="25D762AD" wp14:editId="52F143EA">
                  <wp:simplePos x="0" y="0"/>
                  <wp:positionH relativeFrom="column">
                    <wp:posOffset>2501900</wp:posOffset>
                  </wp:positionH>
                  <wp:positionV relativeFrom="paragraph">
                    <wp:posOffset>-6350</wp:posOffset>
                  </wp:positionV>
                  <wp:extent cx="2916555" cy="2856865"/>
                  <wp:effectExtent l="9525" t="9525" r="26670" b="10160"/>
                  <wp:wrapNone/>
                  <wp:docPr id="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15431" cy="2856865"/>
                          </a:xfrm>
                          <a:prstGeom prst="rect">
                            <a:avLst/>
                          </a:prstGeom>
                          <a:solidFill>
                            <a:srgbClr val="FFFFFF"/>
                          </a:solidFill>
                          <a:ln w="9525">
                            <a:solidFill>
                              <a:srgbClr val="000000"/>
                            </a:solidFill>
                            <a:miter lim="800000"/>
                            <a:headEnd/>
                            <a:tailEnd/>
                          </a:ln>
                        </pic:spPr>
                      </pic:pic>
                    </a:graphicData>
                  </a:graphic>
                </wp:anchor>
              </w:drawing>
            </w:r>
            <w:r>
              <w:rPr>
                <w:b/>
                <w:bCs/>
                <w:color w:val="EEECE1"/>
                <w:sz w:val="28"/>
                <w:szCs w:val="28"/>
              </w:rPr>
              <w:t>Light and dark assay</w:t>
            </w:r>
          </w:p>
        </w:tc>
      </w:tr>
      <w:tr w:rsidR="00026FF9" w14:paraId="6709F492" w14:textId="77777777">
        <w:trPr>
          <w:trHeight w:val="864"/>
        </w:trPr>
        <w:tc>
          <w:tcPr>
            <w:tcW w:w="1774" w:type="dxa"/>
            <w:tcBorders>
              <w:top w:val="nil"/>
              <w:left w:val="single" w:sz="8" w:space="0" w:color="auto"/>
              <w:bottom w:val="single" w:sz="8" w:space="0" w:color="auto"/>
              <w:right w:val="single" w:sz="8" w:space="0" w:color="auto"/>
            </w:tcBorders>
            <w:shd w:val="clear" w:color="000000" w:fill="215868"/>
            <w:noWrap/>
            <w:vAlign w:val="center"/>
          </w:tcPr>
          <w:p w14:paraId="0C8B56D1" w14:textId="77777777" w:rsidR="00026FF9" w:rsidRDefault="00E87FE6">
            <w:pPr>
              <w:spacing w:line="360" w:lineRule="auto"/>
              <w:jc w:val="center"/>
              <w:rPr>
                <w:b/>
                <w:bCs/>
                <w:color w:val="EEECE1"/>
                <w:sz w:val="28"/>
                <w:szCs w:val="28"/>
              </w:rPr>
            </w:pPr>
            <w:r>
              <w:rPr>
                <w:b/>
                <w:bCs/>
                <w:color w:val="EEECE1"/>
                <w:sz w:val="28"/>
                <w:szCs w:val="28"/>
              </w:rPr>
              <w:t>Study Groups</w:t>
            </w:r>
          </w:p>
        </w:tc>
        <w:tc>
          <w:tcPr>
            <w:tcW w:w="2116" w:type="dxa"/>
            <w:tcBorders>
              <w:top w:val="nil"/>
              <w:left w:val="nil"/>
              <w:bottom w:val="single" w:sz="8" w:space="0" w:color="auto"/>
              <w:right w:val="single" w:sz="8" w:space="0" w:color="auto"/>
            </w:tcBorders>
            <w:shd w:val="clear" w:color="000000" w:fill="215868"/>
            <w:vAlign w:val="center"/>
          </w:tcPr>
          <w:p w14:paraId="588E52C3" w14:textId="77777777" w:rsidR="00026FF9" w:rsidRDefault="00E87FE6">
            <w:pPr>
              <w:spacing w:line="360" w:lineRule="auto"/>
              <w:jc w:val="center"/>
              <w:rPr>
                <w:b/>
                <w:bCs/>
                <w:color w:val="EEECE1"/>
                <w:sz w:val="28"/>
                <w:szCs w:val="28"/>
              </w:rPr>
            </w:pPr>
            <w:r>
              <w:rPr>
                <w:b/>
                <w:bCs/>
                <w:color w:val="EEECE1"/>
                <w:sz w:val="28"/>
                <w:szCs w:val="28"/>
              </w:rPr>
              <w:t xml:space="preserve">Time taken on dark side (sec) </w:t>
            </w:r>
            <w:r>
              <w:rPr>
                <w:b/>
                <w:bCs/>
                <w:color w:val="EEECE1"/>
                <w:sz w:val="28"/>
                <w:szCs w:val="28"/>
              </w:rPr>
              <w:lastRenderedPageBreak/>
              <w:t>N= 180 secs</w:t>
            </w:r>
          </w:p>
        </w:tc>
      </w:tr>
      <w:tr w:rsidR="00026FF9" w14:paraId="3B8479F3" w14:textId="77777777">
        <w:trPr>
          <w:trHeight w:val="442"/>
        </w:trPr>
        <w:tc>
          <w:tcPr>
            <w:tcW w:w="1774" w:type="dxa"/>
            <w:tcBorders>
              <w:top w:val="nil"/>
              <w:left w:val="single" w:sz="8" w:space="0" w:color="auto"/>
              <w:bottom w:val="single" w:sz="8" w:space="0" w:color="auto"/>
              <w:right w:val="single" w:sz="8" w:space="0" w:color="auto"/>
            </w:tcBorders>
            <w:noWrap/>
            <w:vAlign w:val="center"/>
          </w:tcPr>
          <w:p w14:paraId="03F86B9F" w14:textId="77777777" w:rsidR="00026FF9" w:rsidRDefault="00E87FE6">
            <w:pPr>
              <w:spacing w:line="360" w:lineRule="auto"/>
              <w:jc w:val="center"/>
              <w:rPr>
                <w:color w:val="000000"/>
                <w:sz w:val="28"/>
                <w:szCs w:val="28"/>
              </w:rPr>
            </w:pPr>
            <w:r>
              <w:rPr>
                <w:color w:val="000000"/>
                <w:sz w:val="28"/>
                <w:szCs w:val="28"/>
              </w:rPr>
              <w:lastRenderedPageBreak/>
              <w:t>C</w:t>
            </w:r>
          </w:p>
        </w:tc>
        <w:tc>
          <w:tcPr>
            <w:tcW w:w="2116" w:type="dxa"/>
            <w:tcBorders>
              <w:top w:val="nil"/>
              <w:left w:val="nil"/>
              <w:bottom w:val="single" w:sz="8" w:space="0" w:color="auto"/>
              <w:right w:val="single" w:sz="8" w:space="0" w:color="auto"/>
            </w:tcBorders>
            <w:noWrap/>
            <w:vAlign w:val="center"/>
          </w:tcPr>
          <w:p w14:paraId="6C45596C" w14:textId="77777777" w:rsidR="00026FF9" w:rsidRDefault="00E87FE6">
            <w:pPr>
              <w:spacing w:line="360" w:lineRule="auto"/>
              <w:jc w:val="center"/>
              <w:rPr>
                <w:color w:val="000000"/>
                <w:sz w:val="28"/>
                <w:szCs w:val="28"/>
              </w:rPr>
            </w:pPr>
            <w:r>
              <w:rPr>
                <w:color w:val="000000"/>
                <w:sz w:val="28"/>
                <w:szCs w:val="28"/>
              </w:rPr>
              <w:t>43</w:t>
            </w:r>
          </w:p>
        </w:tc>
      </w:tr>
      <w:tr w:rsidR="00026FF9" w14:paraId="1015DF4B" w14:textId="77777777">
        <w:trPr>
          <w:trHeight w:val="442"/>
        </w:trPr>
        <w:tc>
          <w:tcPr>
            <w:tcW w:w="1774" w:type="dxa"/>
            <w:tcBorders>
              <w:top w:val="nil"/>
              <w:left w:val="single" w:sz="8" w:space="0" w:color="auto"/>
              <w:bottom w:val="single" w:sz="8" w:space="0" w:color="auto"/>
              <w:right w:val="single" w:sz="8" w:space="0" w:color="auto"/>
            </w:tcBorders>
            <w:noWrap/>
            <w:vAlign w:val="center"/>
          </w:tcPr>
          <w:p w14:paraId="6447208A" w14:textId="77777777" w:rsidR="00026FF9" w:rsidRDefault="00E87FE6">
            <w:pPr>
              <w:spacing w:line="360" w:lineRule="auto"/>
              <w:jc w:val="center"/>
              <w:rPr>
                <w:color w:val="000000"/>
                <w:sz w:val="28"/>
                <w:szCs w:val="28"/>
              </w:rPr>
            </w:pPr>
            <w:r>
              <w:rPr>
                <w:color w:val="000000"/>
                <w:sz w:val="28"/>
                <w:szCs w:val="28"/>
              </w:rPr>
              <w:t>C1</w:t>
            </w:r>
          </w:p>
        </w:tc>
        <w:tc>
          <w:tcPr>
            <w:tcW w:w="2116" w:type="dxa"/>
            <w:tcBorders>
              <w:top w:val="nil"/>
              <w:left w:val="nil"/>
              <w:bottom w:val="single" w:sz="8" w:space="0" w:color="auto"/>
              <w:right w:val="single" w:sz="8" w:space="0" w:color="auto"/>
            </w:tcBorders>
            <w:noWrap/>
            <w:vAlign w:val="center"/>
          </w:tcPr>
          <w:p w14:paraId="17B82FFE" w14:textId="77777777" w:rsidR="00026FF9" w:rsidRDefault="00E87FE6">
            <w:pPr>
              <w:spacing w:line="360" w:lineRule="auto"/>
              <w:jc w:val="center"/>
              <w:rPr>
                <w:color w:val="000000"/>
                <w:sz w:val="28"/>
                <w:szCs w:val="28"/>
              </w:rPr>
            </w:pPr>
            <w:r>
              <w:rPr>
                <w:color w:val="000000"/>
                <w:sz w:val="28"/>
                <w:szCs w:val="28"/>
              </w:rPr>
              <w:t>57.3</w:t>
            </w:r>
          </w:p>
        </w:tc>
      </w:tr>
      <w:tr w:rsidR="00026FF9" w14:paraId="2E9C2478" w14:textId="77777777">
        <w:trPr>
          <w:trHeight w:val="442"/>
        </w:trPr>
        <w:tc>
          <w:tcPr>
            <w:tcW w:w="1774" w:type="dxa"/>
            <w:tcBorders>
              <w:top w:val="nil"/>
              <w:left w:val="single" w:sz="8" w:space="0" w:color="auto"/>
              <w:bottom w:val="single" w:sz="8" w:space="0" w:color="auto"/>
              <w:right w:val="single" w:sz="8" w:space="0" w:color="auto"/>
            </w:tcBorders>
            <w:noWrap/>
            <w:vAlign w:val="center"/>
          </w:tcPr>
          <w:p w14:paraId="322406AE" w14:textId="77777777" w:rsidR="00026FF9" w:rsidRDefault="00E87FE6">
            <w:pPr>
              <w:spacing w:line="360" w:lineRule="auto"/>
              <w:jc w:val="center"/>
              <w:rPr>
                <w:color w:val="000000"/>
                <w:sz w:val="28"/>
                <w:szCs w:val="28"/>
              </w:rPr>
            </w:pPr>
            <w:r>
              <w:rPr>
                <w:color w:val="000000"/>
                <w:sz w:val="28"/>
                <w:szCs w:val="28"/>
              </w:rPr>
              <w:t>C2</w:t>
            </w:r>
          </w:p>
        </w:tc>
        <w:tc>
          <w:tcPr>
            <w:tcW w:w="2116" w:type="dxa"/>
            <w:tcBorders>
              <w:top w:val="nil"/>
              <w:left w:val="nil"/>
              <w:bottom w:val="single" w:sz="8" w:space="0" w:color="auto"/>
              <w:right w:val="single" w:sz="8" w:space="0" w:color="auto"/>
            </w:tcBorders>
            <w:noWrap/>
            <w:vAlign w:val="center"/>
          </w:tcPr>
          <w:p w14:paraId="2B211129" w14:textId="77777777" w:rsidR="00026FF9" w:rsidRDefault="00E87FE6">
            <w:pPr>
              <w:spacing w:line="360" w:lineRule="auto"/>
              <w:jc w:val="center"/>
              <w:rPr>
                <w:color w:val="000000"/>
                <w:sz w:val="28"/>
                <w:szCs w:val="28"/>
              </w:rPr>
            </w:pPr>
            <w:r>
              <w:rPr>
                <w:color w:val="000000"/>
                <w:sz w:val="28"/>
                <w:szCs w:val="28"/>
              </w:rPr>
              <w:t>95.3</w:t>
            </w:r>
          </w:p>
        </w:tc>
      </w:tr>
      <w:tr w:rsidR="00026FF9" w14:paraId="5D6E929A" w14:textId="77777777">
        <w:trPr>
          <w:trHeight w:val="442"/>
        </w:trPr>
        <w:tc>
          <w:tcPr>
            <w:tcW w:w="1774" w:type="dxa"/>
            <w:tcBorders>
              <w:top w:val="nil"/>
              <w:left w:val="single" w:sz="8" w:space="0" w:color="auto"/>
              <w:bottom w:val="single" w:sz="8" w:space="0" w:color="auto"/>
              <w:right w:val="single" w:sz="8" w:space="0" w:color="auto"/>
            </w:tcBorders>
            <w:noWrap/>
            <w:vAlign w:val="center"/>
          </w:tcPr>
          <w:p w14:paraId="372FC984" w14:textId="77777777" w:rsidR="00026FF9" w:rsidRDefault="00E87FE6">
            <w:pPr>
              <w:spacing w:line="360" w:lineRule="auto"/>
              <w:jc w:val="center"/>
              <w:rPr>
                <w:color w:val="000000"/>
                <w:sz w:val="28"/>
                <w:szCs w:val="28"/>
              </w:rPr>
            </w:pPr>
            <w:r>
              <w:rPr>
                <w:color w:val="000000"/>
                <w:sz w:val="28"/>
                <w:szCs w:val="28"/>
              </w:rPr>
              <w:t>C3</w:t>
            </w:r>
          </w:p>
        </w:tc>
        <w:tc>
          <w:tcPr>
            <w:tcW w:w="2116" w:type="dxa"/>
            <w:tcBorders>
              <w:top w:val="nil"/>
              <w:left w:val="nil"/>
              <w:bottom w:val="single" w:sz="8" w:space="0" w:color="auto"/>
              <w:right w:val="single" w:sz="8" w:space="0" w:color="auto"/>
            </w:tcBorders>
            <w:noWrap/>
            <w:vAlign w:val="center"/>
          </w:tcPr>
          <w:p w14:paraId="3F529017" w14:textId="77777777" w:rsidR="00026FF9" w:rsidRDefault="00E87FE6">
            <w:pPr>
              <w:spacing w:line="360" w:lineRule="auto"/>
              <w:jc w:val="center"/>
              <w:rPr>
                <w:color w:val="000000"/>
                <w:sz w:val="28"/>
                <w:szCs w:val="28"/>
              </w:rPr>
            </w:pPr>
            <w:r>
              <w:rPr>
                <w:color w:val="000000"/>
                <w:sz w:val="28"/>
                <w:szCs w:val="28"/>
              </w:rPr>
              <w:t>127.9</w:t>
            </w:r>
          </w:p>
        </w:tc>
      </w:tr>
      <w:tr w:rsidR="00026FF9" w14:paraId="026B3EB4" w14:textId="77777777">
        <w:trPr>
          <w:trHeight w:val="442"/>
        </w:trPr>
        <w:tc>
          <w:tcPr>
            <w:tcW w:w="1774" w:type="dxa"/>
            <w:tcBorders>
              <w:top w:val="nil"/>
              <w:left w:val="single" w:sz="8" w:space="0" w:color="auto"/>
              <w:bottom w:val="single" w:sz="8" w:space="0" w:color="auto"/>
              <w:right w:val="single" w:sz="8" w:space="0" w:color="auto"/>
            </w:tcBorders>
            <w:noWrap/>
            <w:vAlign w:val="center"/>
          </w:tcPr>
          <w:p w14:paraId="75FB0C63" w14:textId="77777777" w:rsidR="00026FF9" w:rsidRDefault="00E87FE6">
            <w:pPr>
              <w:spacing w:line="360" w:lineRule="auto"/>
              <w:jc w:val="center"/>
              <w:rPr>
                <w:color w:val="000000"/>
                <w:sz w:val="28"/>
                <w:szCs w:val="28"/>
              </w:rPr>
            </w:pPr>
            <w:r>
              <w:rPr>
                <w:color w:val="000000"/>
                <w:sz w:val="28"/>
                <w:szCs w:val="28"/>
              </w:rPr>
              <w:t>C4</w:t>
            </w:r>
          </w:p>
        </w:tc>
        <w:tc>
          <w:tcPr>
            <w:tcW w:w="2116" w:type="dxa"/>
            <w:tcBorders>
              <w:top w:val="nil"/>
              <w:left w:val="nil"/>
              <w:bottom w:val="single" w:sz="8" w:space="0" w:color="auto"/>
              <w:right w:val="single" w:sz="8" w:space="0" w:color="auto"/>
            </w:tcBorders>
            <w:noWrap/>
            <w:vAlign w:val="center"/>
          </w:tcPr>
          <w:p w14:paraId="3B172821" w14:textId="77777777" w:rsidR="00026FF9" w:rsidRDefault="00E87FE6">
            <w:pPr>
              <w:spacing w:line="360" w:lineRule="auto"/>
              <w:jc w:val="center"/>
              <w:rPr>
                <w:color w:val="000000"/>
                <w:sz w:val="28"/>
                <w:szCs w:val="28"/>
              </w:rPr>
            </w:pPr>
            <w:r>
              <w:rPr>
                <w:color w:val="000000"/>
                <w:sz w:val="28"/>
                <w:szCs w:val="28"/>
              </w:rPr>
              <w:t>147.3</w:t>
            </w:r>
          </w:p>
        </w:tc>
      </w:tr>
    </w:tbl>
    <w:p w14:paraId="67512228" w14:textId="77777777" w:rsidR="00026FF9" w:rsidRDefault="00026FF9">
      <w:pPr>
        <w:spacing w:line="360" w:lineRule="auto"/>
        <w:jc w:val="both"/>
        <w:rPr>
          <w:sz w:val="28"/>
          <w:szCs w:val="28"/>
        </w:rPr>
      </w:pPr>
    </w:p>
    <w:p w14:paraId="2E983D2A" w14:textId="77777777" w:rsidR="00026FF9" w:rsidRDefault="00026FF9">
      <w:pPr>
        <w:spacing w:line="360" w:lineRule="auto"/>
        <w:jc w:val="both"/>
        <w:rPr>
          <w:sz w:val="28"/>
          <w:szCs w:val="28"/>
        </w:rPr>
      </w:pPr>
    </w:p>
    <w:p w14:paraId="216F3C91" w14:textId="77777777" w:rsidR="00026FF9" w:rsidRDefault="00026FF9">
      <w:pPr>
        <w:spacing w:line="360" w:lineRule="auto"/>
        <w:jc w:val="both"/>
        <w:rPr>
          <w:sz w:val="28"/>
          <w:szCs w:val="28"/>
        </w:rPr>
      </w:pPr>
    </w:p>
    <w:p w14:paraId="43734504" w14:textId="77777777" w:rsidR="00026FF9" w:rsidRDefault="00026FF9">
      <w:pPr>
        <w:spacing w:line="360" w:lineRule="auto"/>
        <w:jc w:val="both"/>
        <w:rPr>
          <w:sz w:val="28"/>
          <w:szCs w:val="28"/>
        </w:rPr>
      </w:pPr>
    </w:p>
    <w:p w14:paraId="382B8917" w14:textId="77777777" w:rsidR="00026FF9" w:rsidRDefault="00026FF9">
      <w:pPr>
        <w:spacing w:line="360" w:lineRule="auto"/>
        <w:jc w:val="both"/>
        <w:rPr>
          <w:sz w:val="28"/>
          <w:szCs w:val="28"/>
        </w:rPr>
      </w:pPr>
    </w:p>
    <w:p w14:paraId="7936FAA3" w14:textId="77777777" w:rsidR="00026FF9" w:rsidRDefault="00026FF9">
      <w:pPr>
        <w:spacing w:line="360" w:lineRule="auto"/>
        <w:jc w:val="both"/>
        <w:rPr>
          <w:sz w:val="28"/>
          <w:szCs w:val="28"/>
        </w:rPr>
      </w:pPr>
    </w:p>
    <w:p w14:paraId="4D3A43C3" w14:textId="77777777" w:rsidR="00026FF9" w:rsidRDefault="00026FF9">
      <w:pPr>
        <w:spacing w:line="360" w:lineRule="auto"/>
        <w:jc w:val="both"/>
        <w:rPr>
          <w:sz w:val="28"/>
          <w:szCs w:val="28"/>
        </w:rPr>
      </w:pPr>
    </w:p>
    <w:p w14:paraId="4F46761E" w14:textId="77777777" w:rsidR="00026FF9" w:rsidRDefault="00026FF9">
      <w:pPr>
        <w:spacing w:line="360" w:lineRule="auto"/>
        <w:jc w:val="both"/>
        <w:rPr>
          <w:sz w:val="28"/>
          <w:szCs w:val="28"/>
        </w:rPr>
      </w:pPr>
    </w:p>
    <w:p w14:paraId="5D2E346A" w14:textId="77777777" w:rsidR="00026FF9" w:rsidRDefault="00026FF9">
      <w:pPr>
        <w:spacing w:line="360" w:lineRule="auto"/>
        <w:jc w:val="both"/>
        <w:rPr>
          <w:sz w:val="28"/>
          <w:szCs w:val="28"/>
        </w:rPr>
      </w:pPr>
    </w:p>
    <w:p w14:paraId="509DA657" w14:textId="77777777" w:rsidR="00026FF9" w:rsidRDefault="00026FF9">
      <w:pPr>
        <w:spacing w:line="360" w:lineRule="auto"/>
        <w:jc w:val="both"/>
        <w:rPr>
          <w:sz w:val="28"/>
          <w:szCs w:val="28"/>
        </w:rPr>
      </w:pPr>
    </w:p>
    <w:p w14:paraId="4B033DA8" w14:textId="77777777" w:rsidR="00026FF9" w:rsidRDefault="00E87FE6">
      <w:pPr>
        <w:spacing w:line="360" w:lineRule="auto"/>
        <w:jc w:val="both"/>
        <w:rPr>
          <w:sz w:val="24"/>
          <w:szCs w:val="24"/>
        </w:rPr>
      </w:pPr>
      <w:r>
        <w:rPr>
          <w:noProof/>
          <w:sz w:val="21"/>
          <w:szCs w:val="21"/>
        </w:rPr>
        <mc:AlternateContent>
          <mc:Choice Requires="wps">
            <w:drawing>
              <wp:anchor distT="0" distB="0" distL="114300" distR="114300" simplePos="0" relativeHeight="251659264" behindDoc="0" locked="0" layoutInCell="1" allowOverlap="1" wp14:anchorId="0CC74346" wp14:editId="536C910C">
                <wp:simplePos x="0" y="0"/>
                <wp:positionH relativeFrom="column">
                  <wp:posOffset>2773045</wp:posOffset>
                </wp:positionH>
                <wp:positionV relativeFrom="paragraph">
                  <wp:posOffset>51435</wp:posOffset>
                </wp:positionV>
                <wp:extent cx="2914015" cy="523875"/>
                <wp:effectExtent l="4445" t="4445" r="15240" b="5080"/>
                <wp:wrapNone/>
                <wp:docPr id="5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523875"/>
                        </a:xfrm>
                        <a:prstGeom prst="rect">
                          <a:avLst/>
                        </a:prstGeom>
                        <a:solidFill>
                          <a:srgbClr val="FFFFFF"/>
                        </a:solidFill>
                        <a:ln w="9525">
                          <a:solidFill>
                            <a:srgbClr val="000000"/>
                          </a:solidFill>
                          <a:miter lim="800000"/>
                        </a:ln>
                      </wps:spPr>
                      <wps:txbx>
                        <w:txbxContent>
                          <w:p w14:paraId="5D92F1B1" w14:textId="77777777" w:rsidR="00026FF9" w:rsidRDefault="00E87FE6">
                            <w:pPr>
                              <w:jc w:val="center"/>
                            </w:pPr>
                            <w:r>
                              <w:rPr>
                                <w:sz w:val="28"/>
                                <w:szCs w:val="28"/>
                              </w:rPr>
                              <w:t>Graph 2: light &amp; Dark assay at day 7</w:t>
                            </w:r>
                          </w:p>
                        </w:txbxContent>
                      </wps:txbx>
                      <wps:bodyPr rot="0" vert="horz" wrap="square" lIns="91440" tIns="45720" rIns="91440" bIns="45720" anchor="t" anchorCtr="0">
                        <a:noAutofit/>
                      </wps:bodyPr>
                    </wps:wsp>
                  </a:graphicData>
                </a:graphic>
              </wp:anchor>
            </w:drawing>
          </mc:Choice>
          <mc:Fallback>
            <w:pict>
              <v:shape w14:anchorId="0CC74346" id="_x0000_s1028" type="#_x0000_t202" style="position:absolute;left:0;text-align:left;margin-left:218.35pt;margin-top:4.05pt;width:229.45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">
                <v:textbox>
                  <w:txbxContent>
                    <w:p w14:paraId="5D92F1B1" w14:textId="77777777" w:rsidR="00026FF9" w:rsidRDefault="00E87FE6">
                      <w:pPr>
                        <w:jc w:val="center"/>
                      </w:pPr>
                      <w:r>
                        <w:rPr>
                          <w:sz w:val="28"/>
                          <w:szCs w:val="28"/>
                        </w:rPr>
                        <w:t>Graph 2: light &amp; Dark assay at day 7</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705512E" wp14:editId="720800B0">
                <wp:simplePos x="0" y="0"/>
                <wp:positionH relativeFrom="column">
                  <wp:posOffset>208915</wp:posOffset>
                </wp:positionH>
                <wp:positionV relativeFrom="paragraph">
                  <wp:posOffset>64770</wp:posOffset>
                </wp:positionV>
                <wp:extent cx="2359025" cy="523875"/>
                <wp:effectExtent l="0" t="0" r="22225" b="28575"/>
                <wp:wrapNone/>
                <wp:docPr id="5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523875"/>
                        </a:xfrm>
                        <a:prstGeom prst="rect">
                          <a:avLst/>
                        </a:prstGeom>
                        <a:solidFill>
                          <a:srgbClr val="FFFFFF"/>
                        </a:solidFill>
                        <a:ln w="9525">
                          <a:solidFill>
                            <a:srgbClr val="000000"/>
                          </a:solidFill>
                          <a:miter lim="800000"/>
                        </a:ln>
                      </wps:spPr>
                      <wps:txbx>
                        <w:txbxContent>
                          <w:p w14:paraId="161716CB" w14:textId="77777777" w:rsidR="00026FF9" w:rsidRDefault="00E87FE6">
                            <w:pPr>
                              <w:jc w:val="center"/>
                              <w:rPr>
                                <w:sz w:val="28"/>
                                <w:szCs w:val="28"/>
                              </w:rPr>
                            </w:pPr>
                            <w:r>
                              <w:rPr>
                                <w:sz w:val="28"/>
                                <w:szCs w:val="28"/>
                              </w:rPr>
                              <w:t xml:space="preserve">Table 2: </w:t>
                            </w:r>
                            <w:r>
                              <w:rPr>
                                <w:sz w:val="28"/>
                                <w:szCs w:val="28"/>
                              </w:rPr>
                              <w:t>light &amp; Dark assay at day 7</w:t>
                            </w:r>
                          </w:p>
                          <w:p w14:paraId="0ED2270A" w14:textId="77777777" w:rsidR="00026FF9" w:rsidRDefault="00026FF9"/>
                        </w:txbxContent>
                      </wps:txbx>
                      <wps:bodyPr rot="0" vert="horz" wrap="square" lIns="91440" tIns="45720" rIns="91440" bIns="45720" anchor="t" anchorCtr="0">
                        <a:noAutofit/>
                      </wps:bodyPr>
                    </wps:wsp>
                  </a:graphicData>
                </a:graphic>
              </wp:anchor>
            </w:drawing>
          </mc:Choice>
          <mc:Fallback>
            <w:pict>
              <v:shape w14:anchorId="0705512E" id="_x0000_s1029" type="#_x0000_t202" style="position:absolute;left:0;text-align:left;margin-left:16.45pt;margin-top:5.1pt;width:185.7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">
                <v:textbox>
                  <w:txbxContent>
                    <w:p w14:paraId="161716CB" w14:textId="77777777" w:rsidR="00026FF9" w:rsidRDefault="00E87FE6">
                      <w:pPr>
                        <w:jc w:val="center"/>
                        <w:rPr>
                          <w:sz w:val="28"/>
                          <w:szCs w:val="28"/>
                        </w:rPr>
                      </w:pPr>
                      <w:r>
                        <w:rPr>
                          <w:sz w:val="28"/>
                          <w:szCs w:val="28"/>
                        </w:rPr>
                        <w:t xml:space="preserve">Table 2: </w:t>
                      </w:r>
                      <w:r>
                        <w:rPr>
                          <w:sz w:val="28"/>
                          <w:szCs w:val="28"/>
                        </w:rPr>
                        <w:t>light &amp; Dark assay at day 7</w:t>
                      </w:r>
                    </w:p>
                    <w:p w14:paraId="0ED2270A" w14:textId="77777777" w:rsidR="00026FF9" w:rsidRDefault="00026FF9"/>
                  </w:txbxContent>
                </v:textbox>
              </v:shape>
            </w:pict>
          </mc:Fallback>
        </mc:AlternateContent>
      </w:r>
    </w:p>
    <w:p w14:paraId="56613F01" w14:textId="77777777" w:rsidR="00026FF9" w:rsidRDefault="00026FF9">
      <w:pPr>
        <w:spacing w:line="360" w:lineRule="auto"/>
        <w:jc w:val="both"/>
        <w:rPr>
          <w:sz w:val="24"/>
          <w:szCs w:val="24"/>
        </w:rPr>
      </w:pPr>
    </w:p>
    <w:p w14:paraId="6BBAF58F" w14:textId="77777777" w:rsidR="00026FF9" w:rsidRDefault="00026FF9">
      <w:pPr>
        <w:spacing w:line="360" w:lineRule="auto"/>
        <w:jc w:val="both"/>
        <w:rPr>
          <w:sz w:val="24"/>
          <w:szCs w:val="24"/>
        </w:rPr>
      </w:pPr>
    </w:p>
    <w:p w14:paraId="7E6B53E0" w14:textId="77777777" w:rsidR="00026FF9" w:rsidRDefault="00026FF9">
      <w:pPr>
        <w:spacing w:line="360" w:lineRule="auto"/>
        <w:jc w:val="both"/>
        <w:rPr>
          <w:sz w:val="24"/>
          <w:szCs w:val="24"/>
        </w:rPr>
      </w:pPr>
    </w:p>
    <w:p w14:paraId="4E3BED3D" w14:textId="77777777" w:rsidR="00026FF9" w:rsidRDefault="00026FF9">
      <w:pPr>
        <w:spacing w:line="360" w:lineRule="auto"/>
        <w:jc w:val="both"/>
        <w:rPr>
          <w:sz w:val="28"/>
          <w:szCs w:val="28"/>
        </w:rPr>
      </w:pPr>
    </w:p>
    <w:p w14:paraId="6C091F64" w14:textId="77777777" w:rsidR="00026FF9" w:rsidRDefault="00E87FE6">
      <w:pPr>
        <w:spacing w:line="360" w:lineRule="auto"/>
        <w:jc w:val="both"/>
        <w:rPr>
          <w:b/>
          <w:sz w:val="28"/>
          <w:szCs w:val="28"/>
        </w:rPr>
      </w:pPr>
      <w:bookmarkStart w:id="1" w:name="_Hlk172633103"/>
      <w:r>
        <w:rPr>
          <w:b/>
          <w:sz w:val="28"/>
          <w:szCs w:val="28"/>
        </w:rPr>
        <w:t>Startle Response Assay</w:t>
      </w:r>
    </w:p>
    <w:tbl>
      <w:tblPr>
        <w:tblpPr w:leftFromText="180" w:rightFromText="180" w:vertAnchor="text" w:horzAnchor="page" w:tblpX="1851" w:tblpY="70"/>
        <w:tblOverlap w:val="never"/>
        <w:tblW w:w="3408" w:type="dxa"/>
        <w:tblLook w:val="04A0" w:firstRow="1" w:lastRow="0" w:firstColumn="1" w:lastColumn="0" w:noHBand="0" w:noVBand="1"/>
      </w:tblPr>
      <w:tblGrid>
        <w:gridCol w:w="1422"/>
        <w:gridCol w:w="1986"/>
      </w:tblGrid>
      <w:tr w:rsidR="00026FF9" w14:paraId="46C0EFC7" w14:textId="77777777">
        <w:trPr>
          <w:trHeight w:val="458"/>
        </w:trPr>
        <w:tc>
          <w:tcPr>
            <w:tcW w:w="3408" w:type="dxa"/>
            <w:gridSpan w:val="2"/>
            <w:tcBorders>
              <w:top w:val="single" w:sz="8" w:space="0" w:color="auto"/>
              <w:left w:val="single" w:sz="8" w:space="0" w:color="auto"/>
              <w:bottom w:val="single" w:sz="8" w:space="0" w:color="auto"/>
              <w:right w:val="single" w:sz="8" w:space="0" w:color="000000"/>
            </w:tcBorders>
            <w:shd w:val="clear" w:color="000000" w:fill="215868"/>
            <w:noWrap/>
            <w:vAlign w:val="center"/>
          </w:tcPr>
          <w:p w14:paraId="35061E30" w14:textId="77777777" w:rsidR="00026FF9" w:rsidRDefault="00E87FE6">
            <w:pPr>
              <w:spacing w:line="360" w:lineRule="auto"/>
              <w:jc w:val="both"/>
              <w:rPr>
                <w:b/>
                <w:bCs/>
                <w:color w:val="EEECE1"/>
                <w:sz w:val="28"/>
                <w:szCs w:val="28"/>
              </w:rPr>
            </w:pPr>
            <w:r>
              <w:rPr>
                <w:b/>
                <w:noProof/>
                <w:sz w:val="28"/>
                <w:szCs w:val="28"/>
              </w:rPr>
              <w:drawing>
                <wp:anchor distT="0" distB="0" distL="114300" distR="114300" simplePos="0" relativeHeight="251670528" behindDoc="0" locked="0" layoutInCell="1" allowOverlap="1" wp14:anchorId="380F5BDF" wp14:editId="40443E46">
                  <wp:simplePos x="0" y="0"/>
                  <wp:positionH relativeFrom="column">
                    <wp:posOffset>2178685</wp:posOffset>
                  </wp:positionH>
                  <wp:positionV relativeFrom="paragraph">
                    <wp:posOffset>10795</wp:posOffset>
                  </wp:positionV>
                  <wp:extent cx="3121025" cy="2844800"/>
                  <wp:effectExtent l="9525" t="9525" r="12700" b="22225"/>
                  <wp:wrapNone/>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21025" cy="2844800"/>
                          </a:xfrm>
                          <a:prstGeom prst="rect">
                            <a:avLst/>
                          </a:prstGeom>
                          <a:solidFill>
                            <a:srgbClr val="FFFFFF"/>
                          </a:solidFill>
                          <a:ln w="9525">
                            <a:solidFill>
                              <a:srgbClr val="000000"/>
                            </a:solidFill>
                            <a:miter lim="800000"/>
                            <a:headEnd/>
                            <a:tailEnd/>
                          </a:ln>
                        </pic:spPr>
                      </pic:pic>
                    </a:graphicData>
                  </a:graphic>
                </wp:anchor>
              </w:drawing>
            </w:r>
            <w:r>
              <w:rPr>
                <w:b/>
                <w:bCs/>
                <w:color w:val="EEECE1"/>
                <w:sz w:val="28"/>
                <w:szCs w:val="28"/>
              </w:rPr>
              <w:t>Startle assay</w:t>
            </w:r>
          </w:p>
        </w:tc>
      </w:tr>
      <w:tr w:rsidR="00026FF9" w14:paraId="64002601" w14:textId="77777777">
        <w:trPr>
          <w:trHeight w:val="458"/>
        </w:trPr>
        <w:tc>
          <w:tcPr>
            <w:tcW w:w="1422" w:type="dxa"/>
            <w:tcBorders>
              <w:top w:val="nil"/>
              <w:left w:val="single" w:sz="8" w:space="0" w:color="auto"/>
              <w:bottom w:val="single" w:sz="8" w:space="0" w:color="auto"/>
              <w:right w:val="single" w:sz="8" w:space="0" w:color="auto"/>
            </w:tcBorders>
            <w:shd w:val="clear" w:color="000000" w:fill="215868"/>
            <w:noWrap/>
            <w:vAlign w:val="center"/>
          </w:tcPr>
          <w:p w14:paraId="72BB850C" w14:textId="77777777" w:rsidR="00026FF9" w:rsidRDefault="00E87FE6">
            <w:pPr>
              <w:spacing w:line="360" w:lineRule="auto"/>
              <w:jc w:val="both"/>
              <w:rPr>
                <w:b/>
                <w:bCs/>
                <w:color w:val="EEECE1"/>
                <w:sz w:val="28"/>
                <w:szCs w:val="28"/>
              </w:rPr>
            </w:pPr>
            <w:r>
              <w:rPr>
                <w:b/>
                <w:bCs/>
                <w:color w:val="EEECE1"/>
                <w:sz w:val="28"/>
                <w:szCs w:val="28"/>
              </w:rPr>
              <w:t>Study Groups</w:t>
            </w:r>
          </w:p>
        </w:tc>
        <w:tc>
          <w:tcPr>
            <w:tcW w:w="1986" w:type="dxa"/>
            <w:tcBorders>
              <w:top w:val="nil"/>
              <w:left w:val="nil"/>
              <w:bottom w:val="single" w:sz="8" w:space="0" w:color="auto"/>
              <w:right w:val="single" w:sz="8" w:space="0" w:color="auto"/>
            </w:tcBorders>
            <w:shd w:val="clear" w:color="000000" w:fill="215868"/>
            <w:vAlign w:val="center"/>
          </w:tcPr>
          <w:p w14:paraId="1EEC22CF" w14:textId="77777777" w:rsidR="00026FF9" w:rsidRDefault="00E87FE6">
            <w:pPr>
              <w:spacing w:line="360" w:lineRule="auto"/>
              <w:jc w:val="both"/>
              <w:rPr>
                <w:b/>
                <w:bCs/>
                <w:color w:val="EEECE1"/>
                <w:sz w:val="28"/>
                <w:szCs w:val="28"/>
              </w:rPr>
            </w:pPr>
            <w:r>
              <w:rPr>
                <w:b/>
                <w:bCs/>
                <w:color w:val="EEECE1"/>
                <w:sz w:val="28"/>
                <w:szCs w:val="28"/>
              </w:rPr>
              <w:t>No of Response N=20</w:t>
            </w:r>
          </w:p>
        </w:tc>
      </w:tr>
      <w:tr w:rsidR="00026FF9" w14:paraId="2C44955F"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74BEE727" w14:textId="77777777" w:rsidR="00026FF9" w:rsidRDefault="00E87FE6">
            <w:pPr>
              <w:spacing w:line="360" w:lineRule="auto"/>
              <w:jc w:val="both"/>
              <w:rPr>
                <w:color w:val="000000"/>
                <w:sz w:val="28"/>
                <w:szCs w:val="28"/>
              </w:rPr>
            </w:pPr>
            <w:r>
              <w:rPr>
                <w:color w:val="000000"/>
                <w:sz w:val="28"/>
                <w:szCs w:val="28"/>
              </w:rPr>
              <w:t>C</w:t>
            </w:r>
          </w:p>
        </w:tc>
        <w:tc>
          <w:tcPr>
            <w:tcW w:w="1986" w:type="dxa"/>
            <w:tcBorders>
              <w:top w:val="nil"/>
              <w:left w:val="nil"/>
              <w:bottom w:val="single" w:sz="8" w:space="0" w:color="000000"/>
              <w:right w:val="single" w:sz="8" w:space="0" w:color="000000"/>
            </w:tcBorders>
            <w:noWrap/>
            <w:vAlign w:val="center"/>
          </w:tcPr>
          <w:p w14:paraId="5AB6A77F" w14:textId="77777777" w:rsidR="00026FF9" w:rsidRDefault="00E87FE6">
            <w:pPr>
              <w:spacing w:line="360" w:lineRule="auto"/>
              <w:jc w:val="both"/>
              <w:rPr>
                <w:color w:val="000000"/>
                <w:sz w:val="28"/>
                <w:szCs w:val="28"/>
              </w:rPr>
            </w:pPr>
            <w:r>
              <w:rPr>
                <w:color w:val="000000"/>
                <w:sz w:val="28"/>
                <w:szCs w:val="28"/>
              </w:rPr>
              <w:t>18.4</w:t>
            </w:r>
          </w:p>
        </w:tc>
      </w:tr>
      <w:tr w:rsidR="00026FF9" w14:paraId="1D186332"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5E231602" w14:textId="77777777" w:rsidR="00026FF9" w:rsidRDefault="00E87FE6">
            <w:pPr>
              <w:spacing w:line="360" w:lineRule="auto"/>
              <w:jc w:val="both"/>
              <w:rPr>
                <w:color w:val="000000"/>
                <w:sz w:val="28"/>
                <w:szCs w:val="28"/>
              </w:rPr>
            </w:pPr>
            <w:r>
              <w:rPr>
                <w:color w:val="000000"/>
                <w:sz w:val="28"/>
                <w:szCs w:val="28"/>
              </w:rPr>
              <w:t>3.12%</w:t>
            </w:r>
          </w:p>
        </w:tc>
        <w:tc>
          <w:tcPr>
            <w:tcW w:w="1986" w:type="dxa"/>
            <w:tcBorders>
              <w:top w:val="nil"/>
              <w:left w:val="nil"/>
              <w:bottom w:val="single" w:sz="8" w:space="0" w:color="000000"/>
              <w:right w:val="single" w:sz="8" w:space="0" w:color="000000"/>
            </w:tcBorders>
            <w:noWrap/>
            <w:vAlign w:val="center"/>
          </w:tcPr>
          <w:p w14:paraId="031022EC" w14:textId="77777777" w:rsidR="00026FF9" w:rsidRDefault="00E87FE6">
            <w:pPr>
              <w:spacing w:line="360" w:lineRule="auto"/>
              <w:jc w:val="both"/>
              <w:rPr>
                <w:color w:val="000000"/>
                <w:sz w:val="28"/>
                <w:szCs w:val="28"/>
              </w:rPr>
            </w:pPr>
            <w:r>
              <w:rPr>
                <w:color w:val="000000"/>
                <w:sz w:val="28"/>
                <w:szCs w:val="28"/>
              </w:rPr>
              <w:t>15.4</w:t>
            </w:r>
          </w:p>
        </w:tc>
      </w:tr>
      <w:tr w:rsidR="00026FF9" w14:paraId="03787643"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4BA23621" w14:textId="77777777" w:rsidR="00026FF9" w:rsidRDefault="00E87FE6">
            <w:pPr>
              <w:spacing w:line="360" w:lineRule="auto"/>
              <w:jc w:val="both"/>
              <w:rPr>
                <w:color w:val="000000"/>
                <w:sz w:val="28"/>
                <w:szCs w:val="28"/>
              </w:rPr>
            </w:pPr>
            <w:r>
              <w:rPr>
                <w:color w:val="000000"/>
                <w:sz w:val="28"/>
                <w:szCs w:val="28"/>
              </w:rPr>
              <w:t>6.25%</w:t>
            </w:r>
          </w:p>
        </w:tc>
        <w:tc>
          <w:tcPr>
            <w:tcW w:w="1986" w:type="dxa"/>
            <w:tcBorders>
              <w:top w:val="nil"/>
              <w:left w:val="nil"/>
              <w:bottom w:val="single" w:sz="8" w:space="0" w:color="000000"/>
              <w:right w:val="single" w:sz="8" w:space="0" w:color="000000"/>
            </w:tcBorders>
            <w:noWrap/>
            <w:vAlign w:val="center"/>
          </w:tcPr>
          <w:p w14:paraId="29036CFA" w14:textId="77777777" w:rsidR="00026FF9" w:rsidRDefault="00E87FE6">
            <w:pPr>
              <w:spacing w:line="360" w:lineRule="auto"/>
              <w:jc w:val="both"/>
              <w:rPr>
                <w:color w:val="000000"/>
                <w:sz w:val="28"/>
                <w:szCs w:val="28"/>
              </w:rPr>
            </w:pPr>
            <w:r>
              <w:rPr>
                <w:color w:val="000000"/>
                <w:sz w:val="28"/>
                <w:szCs w:val="28"/>
              </w:rPr>
              <w:t>13.9</w:t>
            </w:r>
          </w:p>
        </w:tc>
      </w:tr>
      <w:tr w:rsidR="00026FF9" w14:paraId="16955647"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3F5D87BC" w14:textId="77777777" w:rsidR="00026FF9" w:rsidRDefault="00E87FE6">
            <w:pPr>
              <w:spacing w:line="360" w:lineRule="auto"/>
              <w:jc w:val="both"/>
              <w:rPr>
                <w:color w:val="000000"/>
                <w:sz w:val="28"/>
                <w:szCs w:val="28"/>
              </w:rPr>
            </w:pPr>
            <w:r>
              <w:rPr>
                <w:color w:val="000000"/>
                <w:sz w:val="28"/>
                <w:szCs w:val="28"/>
              </w:rPr>
              <w:t>12.5%</w:t>
            </w:r>
          </w:p>
        </w:tc>
        <w:tc>
          <w:tcPr>
            <w:tcW w:w="1986" w:type="dxa"/>
            <w:tcBorders>
              <w:top w:val="nil"/>
              <w:left w:val="nil"/>
              <w:bottom w:val="single" w:sz="8" w:space="0" w:color="000000"/>
              <w:right w:val="single" w:sz="8" w:space="0" w:color="000000"/>
            </w:tcBorders>
            <w:noWrap/>
            <w:vAlign w:val="center"/>
          </w:tcPr>
          <w:p w14:paraId="022D1543" w14:textId="77777777" w:rsidR="00026FF9" w:rsidRDefault="00E87FE6">
            <w:pPr>
              <w:spacing w:line="360" w:lineRule="auto"/>
              <w:jc w:val="both"/>
              <w:rPr>
                <w:color w:val="000000"/>
                <w:sz w:val="28"/>
                <w:szCs w:val="28"/>
              </w:rPr>
            </w:pPr>
            <w:r>
              <w:rPr>
                <w:color w:val="000000"/>
                <w:sz w:val="28"/>
                <w:szCs w:val="28"/>
              </w:rPr>
              <w:t>9.6</w:t>
            </w:r>
          </w:p>
        </w:tc>
      </w:tr>
      <w:tr w:rsidR="00026FF9" w14:paraId="76E51F03"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7A1B9857" w14:textId="77777777" w:rsidR="00026FF9" w:rsidRDefault="00E87FE6">
            <w:pPr>
              <w:spacing w:line="360" w:lineRule="auto"/>
              <w:jc w:val="both"/>
              <w:rPr>
                <w:color w:val="000000"/>
                <w:sz w:val="28"/>
                <w:szCs w:val="28"/>
              </w:rPr>
            </w:pPr>
            <w:r>
              <w:rPr>
                <w:color w:val="000000"/>
                <w:sz w:val="28"/>
                <w:szCs w:val="28"/>
              </w:rPr>
              <w:t>25%</w:t>
            </w:r>
          </w:p>
        </w:tc>
        <w:tc>
          <w:tcPr>
            <w:tcW w:w="1986" w:type="dxa"/>
            <w:tcBorders>
              <w:top w:val="nil"/>
              <w:left w:val="nil"/>
              <w:bottom w:val="single" w:sz="8" w:space="0" w:color="000000"/>
              <w:right w:val="single" w:sz="8" w:space="0" w:color="000000"/>
            </w:tcBorders>
            <w:noWrap/>
            <w:vAlign w:val="center"/>
          </w:tcPr>
          <w:p w14:paraId="0FB03B71" w14:textId="77777777" w:rsidR="00026FF9" w:rsidRDefault="00E87FE6">
            <w:pPr>
              <w:spacing w:line="360" w:lineRule="auto"/>
              <w:jc w:val="both"/>
              <w:rPr>
                <w:color w:val="000000"/>
                <w:sz w:val="28"/>
                <w:szCs w:val="28"/>
              </w:rPr>
            </w:pPr>
            <w:r>
              <w:rPr>
                <w:color w:val="000000"/>
                <w:sz w:val="28"/>
                <w:szCs w:val="28"/>
              </w:rPr>
              <w:t>8.1</w:t>
            </w:r>
          </w:p>
        </w:tc>
      </w:tr>
    </w:tbl>
    <w:p w14:paraId="4EE3A270" w14:textId="77777777" w:rsidR="00026FF9" w:rsidRDefault="00026FF9">
      <w:pPr>
        <w:spacing w:line="360" w:lineRule="auto"/>
        <w:jc w:val="both"/>
        <w:rPr>
          <w:b/>
          <w:color w:val="000000"/>
          <w:sz w:val="28"/>
          <w:szCs w:val="24"/>
          <w:shd w:val="clear" w:color="auto" w:fill="FFFFFF"/>
        </w:rPr>
      </w:pPr>
    </w:p>
    <w:p w14:paraId="0DDB6F58" w14:textId="77777777" w:rsidR="00026FF9" w:rsidRDefault="00026FF9">
      <w:pPr>
        <w:spacing w:line="360" w:lineRule="auto"/>
        <w:jc w:val="both"/>
        <w:rPr>
          <w:sz w:val="28"/>
          <w:szCs w:val="28"/>
        </w:rPr>
      </w:pPr>
    </w:p>
    <w:p w14:paraId="364B2F7A" w14:textId="77777777" w:rsidR="00026FF9" w:rsidRDefault="00026FF9">
      <w:pPr>
        <w:spacing w:line="360" w:lineRule="auto"/>
        <w:jc w:val="both"/>
        <w:rPr>
          <w:sz w:val="28"/>
          <w:szCs w:val="28"/>
        </w:rPr>
      </w:pPr>
    </w:p>
    <w:p w14:paraId="7D69311C" w14:textId="77777777" w:rsidR="00026FF9" w:rsidRDefault="00026FF9">
      <w:pPr>
        <w:spacing w:line="360" w:lineRule="auto"/>
        <w:jc w:val="both"/>
        <w:rPr>
          <w:sz w:val="28"/>
          <w:szCs w:val="28"/>
        </w:rPr>
      </w:pPr>
    </w:p>
    <w:p w14:paraId="478DFE8D" w14:textId="77777777" w:rsidR="00026FF9" w:rsidRDefault="00026FF9">
      <w:pPr>
        <w:spacing w:line="360" w:lineRule="auto"/>
        <w:jc w:val="both"/>
        <w:rPr>
          <w:sz w:val="28"/>
          <w:szCs w:val="28"/>
        </w:rPr>
      </w:pPr>
    </w:p>
    <w:p w14:paraId="2D6B38F9" w14:textId="77777777" w:rsidR="00026FF9" w:rsidRDefault="00026FF9">
      <w:pPr>
        <w:spacing w:line="360" w:lineRule="auto"/>
        <w:jc w:val="both"/>
        <w:rPr>
          <w:sz w:val="28"/>
          <w:szCs w:val="28"/>
        </w:rPr>
      </w:pPr>
    </w:p>
    <w:p w14:paraId="05756275" w14:textId="77777777" w:rsidR="00026FF9" w:rsidRDefault="00026FF9">
      <w:pPr>
        <w:spacing w:line="360" w:lineRule="auto"/>
        <w:jc w:val="both"/>
        <w:rPr>
          <w:sz w:val="28"/>
          <w:szCs w:val="28"/>
        </w:rPr>
      </w:pPr>
    </w:p>
    <w:p w14:paraId="034EC640" w14:textId="77777777" w:rsidR="00026FF9" w:rsidRDefault="00026FF9">
      <w:pPr>
        <w:spacing w:line="360" w:lineRule="auto"/>
        <w:jc w:val="both"/>
        <w:rPr>
          <w:sz w:val="28"/>
          <w:szCs w:val="28"/>
        </w:rPr>
      </w:pPr>
    </w:p>
    <w:p w14:paraId="00182B05" w14:textId="77777777" w:rsidR="00026FF9" w:rsidRDefault="00026FF9">
      <w:pPr>
        <w:spacing w:line="360" w:lineRule="auto"/>
        <w:jc w:val="both"/>
        <w:rPr>
          <w:sz w:val="28"/>
          <w:szCs w:val="28"/>
        </w:rPr>
      </w:pPr>
    </w:p>
    <w:p w14:paraId="3A3700E9" w14:textId="40FB25D0" w:rsidR="00026FF9" w:rsidRDefault="000145A6">
      <w:pPr>
        <w:spacing w:line="360" w:lineRule="auto"/>
        <w:jc w:val="both"/>
        <w:rPr>
          <w:sz w:val="28"/>
          <w:szCs w:val="28"/>
        </w:rPr>
      </w:pPr>
      <w:r>
        <w:rPr>
          <w:noProof/>
        </w:rPr>
        <mc:AlternateContent>
          <mc:Choice Requires="wps">
            <w:drawing>
              <wp:anchor distT="0" distB="0" distL="114300" distR="114300" simplePos="0" relativeHeight="251665408" behindDoc="0" locked="0" layoutInCell="1" allowOverlap="1" wp14:anchorId="1515C91E" wp14:editId="54C55D60">
                <wp:simplePos x="0" y="0"/>
                <wp:positionH relativeFrom="column">
                  <wp:posOffset>260175</wp:posOffset>
                </wp:positionH>
                <wp:positionV relativeFrom="paragraph">
                  <wp:posOffset>271145</wp:posOffset>
                </wp:positionV>
                <wp:extent cx="2114550" cy="523875"/>
                <wp:effectExtent l="0" t="0" r="19050" b="28575"/>
                <wp:wrapNone/>
                <wp:docPr id="5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23875"/>
                        </a:xfrm>
                        <a:prstGeom prst="rect">
                          <a:avLst/>
                        </a:prstGeom>
                        <a:solidFill>
                          <a:srgbClr val="FFFFFF"/>
                        </a:solidFill>
                        <a:ln w="9525">
                          <a:solidFill>
                            <a:srgbClr val="000000"/>
                          </a:solidFill>
                          <a:miter lim="800000"/>
                        </a:ln>
                      </wps:spPr>
                      <wps:txbx>
                        <w:txbxContent>
                          <w:p w14:paraId="70EFC34D" w14:textId="77777777" w:rsidR="00026FF9" w:rsidRDefault="00E87FE6">
                            <w:pPr>
                              <w:jc w:val="center"/>
                              <w:rPr>
                                <w:sz w:val="28"/>
                                <w:szCs w:val="28"/>
                              </w:rPr>
                            </w:pPr>
                            <w:r>
                              <w:rPr>
                                <w:sz w:val="28"/>
                                <w:szCs w:val="28"/>
                              </w:rPr>
                              <w:t>Table 3: light &amp; Dark assay at day 7</w:t>
                            </w:r>
                          </w:p>
                          <w:p w14:paraId="39246047" w14:textId="77777777" w:rsidR="00026FF9" w:rsidRDefault="00026FF9"/>
                        </w:txbxContent>
                      </wps:txbx>
                      <wps:bodyPr rot="0" vert="horz" wrap="square" lIns="91440" tIns="45720" rIns="91440" bIns="45720" anchor="t" anchorCtr="0">
                        <a:noAutofit/>
                      </wps:bodyPr>
                    </wps:wsp>
                  </a:graphicData>
                </a:graphic>
              </wp:anchor>
            </w:drawing>
          </mc:Choice>
          <mc:Fallback>
            <w:pict>
              <v:shape w14:anchorId="1515C91E" id="_x0000_s1030" type="#_x0000_t202" style="position:absolute;left:0;text-align:left;margin-left:20.5pt;margin-top:21.35pt;width:166.5pt;height:4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">
                <v:textbox>
                  <w:txbxContent>
                    <w:p w14:paraId="70EFC34D" w14:textId="77777777" w:rsidR="00026FF9" w:rsidRDefault="00E87FE6">
                      <w:pPr>
                        <w:jc w:val="center"/>
                        <w:rPr>
                          <w:sz w:val="28"/>
                          <w:szCs w:val="28"/>
                        </w:rPr>
                      </w:pPr>
                      <w:r>
                        <w:rPr>
                          <w:sz w:val="28"/>
                          <w:szCs w:val="28"/>
                        </w:rPr>
                        <w:t>Table 3: light &amp; Dark assay at day 7</w:t>
                      </w:r>
                    </w:p>
                    <w:p w14:paraId="39246047" w14:textId="77777777" w:rsidR="00026FF9" w:rsidRDefault="00026FF9"/>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7D8F477" wp14:editId="6871A3F3">
                <wp:simplePos x="0" y="0"/>
                <wp:positionH relativeFrom="column">
                  <wp:posOffset>2631638</wp:posOffset>
                </wp:positionH>
                <wp:positionV relativeFrom="paragraph">
                  <wp:posOffset>271145</wp:posOffset>
                </wp:positionV>
                <wp:extent cx="3086100" cy="523875"/>
                <wp:effectExtent l="0" t="0" r="19050" b="28575"/>
                <wp:wrapNone/>
                <wp:docPr id="5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23875"/>
                        </a:xfrm>
                        <a:prstGeom prst="rect">
                          <a:avLst/>
                        </a:prstGeom>
                        <a:solidFill>
                          <a:srgbClr val="FFFFFF"/>
                        </a:solidFill>
                        <a:ln w="9525">
                          <a:solidFill>
                            <a:srgbClr val="000000"/>
                          </a:solidFill>
                          <a:miter lim="800000"/>
                        </a:ln>
                      </wps:spPr>
                      <wps:txbx>
                        <w:txbxContent>
                          <w:p w14:paraId="456BFB63" w14:textId="77777777" w:rsidR="00026FF9" w:rsidRDefault="00E87FE6">
                            <w:pPr>
                              <w:jc w:val="center"/>
                            </w:pPr>
                            <w:r>
                              <w:rPr>
                                <w:sz w:val="28"/>
                                <w:szCs w:val="28"/>
                              </w:rPr>
                              <w:t>Graph 3: light &amp; dark assay at day 7</w:t>
                            </w:r>
                          </w:p>
                        </w:txbxContent>
                      </wps:txbx>
                      <wps:bodyPr rot="0" vert="horz" wrap="square" lIns="91440" tIns="45720" rIns="91440" bIns="45720" anchor="t" anchorCtr="0">
                        <a:noAutofit/>
                      </wps:bodyPr>
                    </wps:wsp>
                  </a:graphicData>
                </a:graphic>
              </wp:anchor>
            </w:drawing>
          </mc:Choice>
          <mc:Fallback>
            <w:pict>
              <v:shape w14:anchorId="17D8F477" id="_x0000_s1031" type="#_x0000_t202" style="position:absolute;left:0;text-align:left;margin-left:207.2pt;margin-top:21.35pt;width:243pt;height:4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">
                <v:textbox>
                  <w:txbxContent>
                    <w:p w14:paraId="456BFB63" w14:textId="77777777" w:rsidR="00026FF9" w:rsidRDefault="00E87FE6">
                      <w:pPr>
                        <w:jc w:val="center"/>
                      </w:pPr>
                      <w:r>
                        <w:rPr>
                          <w:sz w:val="28"/>
                          <w:szCs w:val="28"/>
                        </w:rPr>
                        <w:t>Graph 3: light &amp; dark assay at day 7</w:t>
                      </w:r>
                    </w:p>
                  </w:txbxContent>
                </v:textbox>
              </v:shape>
            </w:pict>
          </mc:Fallback>
        </mc:AlternateContent>
      </w:r>
    </w:p>
    <w:p w14:paraId="6B2ACDEB" w14:textId="2D4250D0" w:rsidR="00026FF9" w:rsidRDefault="00026FF9">
      <w:pPr>
        <w:spacing w:line="360" w:lineRule="auto"/>
        <w:jc w:val="both"/>
        <w:rPr>
          <w:sz w:val="28"/>
          <w:szCs w:val="28"/>
        </w:rPr>
      </w:pPr>
    </w:p>
    <w:p w14:paraId="642A9320" w14:textId="77777777" w:rsidR="00026FF9" w:rsidRDefault="00026FF9">
      <w:pPr>
        <w:spacing w:line="360" w:lineRule="auto"/>
        <w:jc w:val="both"/>
        <w:rPr>
          <w:sz w:val="28"/>
          <w:szCs w:val="28"/>
        </w:rPr>
      </w:pPr>
    </w:p>
    <w:p w14:paraId="0D912C9C" w14:textId="77777777" w:rsidR="000145A6" w:rsidRDefault="000145A6">
      <w:pPr>
        <w:spacing w:line="360" w:lineRule="auto"/>
        <w:jc w:val="both"/>
        <w:rPr>
          <w:sz w:val="28"/>
          <w:szCs w:val="28"/>
        </w:rPr>
      </w:pPr>
    </w:p>
    <w:p w14:paraId="45B891B4" w14:textId="70EA5989" w:rsidR="000145A6" w:rsidRDefault="000145A6">
      <w:pPr>
        <w:spacing w:line="360" w:lineRule="auto"/>
        <w:jc w:val="both"/>
        <w:rPr>
          <w:sz w:val="28"/>
          <w:szCs w:val="28"/>
        </w:rPr>
      </w:pPr>
    </w:p>
    <w:tbl>
      <w:tblPr>
        <w:tblpPr w:leftFromText="180" w:rightFromText="180" w:vertAnchor="text" w:horzAnchor="page" w:tblpX="1866" w:tblpY="138"/>
        <w:tblW w:w="3420" w:type="dxa"/>
        <w:tblLook w:val="04A0" w:firstRow="1" w:lastRow="0" w:firstColumn="1" w:lastColumn="0" w:noHBand="0" w:noVBand="1"/>
      </w:tblPr>
      <w:tblGrid>
        <w:gridCol w:w="1233"/>
        <w:gridCol w:w="2187"/>
      </w:tblGrid>
      <w:tr w:rsidR="00026FF9" w14:paraId="524FE800" w14:textId="77777777">
        <w:trPr>
          <w:trHeight w:val="356"/>
        </w:trPr>
        <w:tc>
          <w:tcPr>
            <w:tcW w:w="3420" w:type="dxa"/>
            <w:gridSpan w:val="2"/>
            <w:tcBorders>
              <w:top w:val="single" w:sz="8" w:space="0" w:color="auto"/>
              <w:left w:val="single" w:sz="8" w:space="0" w:color="auto"/>
              <w:bottom w:val="single" w:sz="8" w:space="0" w:color="auto"/>
              <w:right w:val="single" w:sz="8" w:space="0" w:color="000000"/>
            </w:tcBorders>
            <w:shd w:val="clear" w:color="000000" w:fill="215868"/>
            <w:noWrap/>
            <w:vAlign w:val="center"/>
          </w:tcPr>
          <w:p w14:paraId="505B1C0C" w14:textId="77777777" w:rsidR="00026FF9" w:rsidRDefault="00E87FE6">
            <w:pPr>
              <w:spacing w:line="360" w:lineRule="auto"/>
              <w:jc w:val="both"/>
              <w:rPr>
                <w:b/>
                <w:bCs/>
                <w:color w:val="EEECE1"/>
                <w:sz w:val="28"/>
                <w:szCs w:val="28"/>
              </w:rPr>
            </w:pPr>
            <w:r>
              <w:rPr>
                <w:b/>
                <w:bCs/>
                <w:color w:val="EEECE1"/>
                <w:sz w:val="28"/>
                <w:szCs w:val="28"/>
              </w:rPr>
              <w:t>Startle assay</w:t>
            </w:r>
          </w:p>
        </w:tc>
      </w:tr>
      <w:tr w:rsidR="00026FF9" w14:paraId="31BC599A" w14:textId="77777777">
        <w:trPr>
          <w:trHeight w:val="1376"/>
        </w:trPr>
        <w:tc>
          <w:tcPr>
            <w:tcW w:w="1233" w:type="dxa"/>
            <w:tcBorders>
              <w:top w:val="nil"/>
              <w:left w:val="single" w:sz="8" w:space="0" w:color="auto"/>
              <w:bottom w:val="single" w:sz="8" w:space="0" w:color="auto"/>
              <w:right w:val="single" w:sz="8" w:space="0" w:color="auto"/>
            </w:tcBorders>
            <w:shd w:val="clear" w:color="000000" w:fill="215868"/>
            <w:noWrap/>
            <w:vAlign w:val="center"/>
          </w:tcPr>
          <w:p w14:paraId="5E843A90" w14:textId="77777777" w:rsidR="00026FF9" w:rsidRDefault="00E87FE6">
            <w:pPr>
              <w:spacing w:line="360" w:lineRule="auto"/>
              <w:jc w:val="both"/>
              <w:rPr>
                <w:b/>
                <w:bCs/>
                <w:color w:val="EEECE1"/>
                <w:sz w:val="28"/>
                <w:szCs w:val="28"/>
              </w:rPr>
            </w:pPr>
            <w:r>
              <w:rPr>
                <w:b/>
                <w:bCs/>
                <w:color w:val="EEECE1"/>
                <w:sz w:val="28"/>
                <w:szCs w:val="28"/>
              </w:rPr>
              <w:t>Study Groups</w:t>
            </w:r>
          </w:p>
        </w:tc>
        <w:tc>
          <w:tcPr>
            <w:tcW w:w="2187" w:type="dxa"/>
            <w:tcBorders>
              <w:top w:val="nil"/>
              <w:left w:val="nil"/>
              <w:bottom w:val="single" w:sz="8" w:space="0" w:color="auto"/>
              <w:right w:val="single" w:sz="8" w:space="0" w:color="auto"/>
            </w:tcBorders>
            <w:shd w:val="clear" w:color="000000" w:fill="215868"/>
            <w:vAlign w:val="center"/>
          </w:tcPr>
          <w:p w14:paraId="11C79C1A" w14:textId="6F17E552" w:rsidR="00026FF9" w:rsidRDefault="00E87FE6">
            <w:pPr>
              <w:spacing w:line="360" w:lineRule="auto"/>
              <w:jc w:val="both"/>
              <w:rPr>
                <w:b/>
                <w:bCs/>
                <w:color w:val="EEECE1"/>
                <w:sz w:val="28"/>
                <w:szCs w:val="28"/>
              </w:rPr>
            </w:pPr>
            <w:r>
              <w:rPr>
                <w:b/>
                <w:bCs/>
                <w:color w:val="EEECE1"/>
                <w:sz w:val="28"/>
                <w:szCs w:val="28"/>
              </w:rPr>
              <w:t>No of Response N=20</w:t>
            </w:r>
          </w:p>
        </w:tc>
      </w:tr>
      <w:tr w:rsidR="00026FF9" w14:paraId="517D6C2C"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21C63FB7" w14:textId="77777777" w:rsidR="00026FF9" w:rsidRDefault="00E87FE6">
            <w:pPr>
              <w:spacing w:line="360" w:lineRule="auto"/>
              <w:jc w:val="both"/>
              <w:rPr>
                <w:color w:val="000000"/>
                <w:sz w:val="28"/>
                <w:szCs w:val="28"/>
              </w:rPr>
            </w:pPr>
            <w:r>
              <w:rPr>
                <w:color w:val="000000"/>
                <w:sz w:val="28"/>
                <w:szCs w:val="28"/>
              </w:rPr>
              <w:t>C</w:t>
            </w:r>
          </w:p>
        </w:tc>
        <w:tc>
          <w:tcPr>
            <w:tcW w:w="2187" w:type="dxa"/>
            <w:tcBorders>
              <w:top w:val="nil"/>
              <w:left w:val="nil"/>
              <w:bottom w:val="single" w:sz="8" w:space="0" w:color="000000"/>
              <w:right w:val="single" w:sz="8" w:space="0" w:color="000000"/>
            </w:tcBorders>
            <w:noWrap/>
            <w:vAlign w:val="center"/>
          </w:tcPr>
          <w:p w14:paraId="4D870FFE" w14:textId="77777777" w:rsidR="00026FF9" w:rsidRDefault="00E87FE6">
            <w:pPr>
              <w:spacing w:line="360" w:lineRule="auto"/>
              <w:jc w:val="both"/>
              <w:rPr>
                <w:color w:val="000000"/>
                <w:sz w:val="28"/>
                <w:szCs w:val="28"/>
              </w:rPr>
            </w:pPr>
            <w:r>
              <w:rPr>
                <w:color w:val="000000"/>
                <w:sz w:val="28"/>
                <w:szCs w:val="28"/>
              </w:rPr>
              <w:t>18.5</w:t>
            </w:r>
          </w:p>
        </w:tc>
      </w:tr>
      <w:tr w:rsidR="00026FF9" w14:paraId="1030ADED"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53ABB936" w14:textId="77777777" w:rsidR="00026FF9" w:rsidRDefault="00E87FE6">
            <w:pPr>
              <w:spacing w:line="360" w:lineRule="auto"/>
              <w:jc w:val="both"/>
              <w:rPr>
                <w:color w:val="000000"/>
                <w:sz w:val="28"/>
                <w:szCs w:val="28"/>
              </w:rPr>
            </w:pPr>
            <w:r>
              <w:rPr>
                <w:color w:val="000000"/>
                <w:sz w:val="28"/>
                <w:szCs w:val="28"/>
              </w:rPr>
              <w:t>C1</w:t>
            </w:r>
          </w:p>
        </w:tc>
        <w:tc>
          <w:tcPr>
            <w:tcW w:w="2187" w:type="dxa"/>
            <w:tcBorders>
              <w:top w:val="nil"/>
              <w:left w:val="nil"/>
              <w:bottom w:val="single" w:sz="8" w:space="0" w:color="000000"/>
              <w:right w:val="single" w:sz="8" w:space="0" w:color="000000"/>
            </w:tcBorders>
            <w:noWrap/>
            <w:vAlign w:val="center"/>
          </w:tcPr>
          <w:p w14:paraId="7DED35AA" w14:textId="77777777" w:rsidR="00026FF9" w:rsidRDefault="00E87FE6">
            <w:pPr>
              <w:spacing w:line="360" w:lineRule="auto"/>
              <w:jc w:val="both"/>
              <w:rPr>
                <w:color w:val="000000"/>
                <w:sz w:val="28"/>
                <w:szCs w:val="28"/>
              </w:rPr>
            </w:pPr>
            <w:r>
              <w:rPr>
                <w:color w:val="000000"/>
                <w:sz w:val="28"/>
                <w:szCs w:val="28"/>
              </w:rPr>
              <w:t>14.3</w:t>
            </w:r>
          </w:p>
        </w:tc>
      </w:tr>
      <w:tr w:rsidR="00026FF9" w14:paraId="0A5AF905"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368D179E" w14:textId="77777777" w:rsidR="00026FF9" w:rsidRDefault="00E87FE6">
            <w:pPr>
              <w:spacing w:line="360" w:lineRule="auto"/>
              <w:jc w:val="both"/>
              <w:rPr>
                <w:color w:val="000000"/>
                <w:sz w:val="28"/>
                <w:szCs w:val="28"/>
              </w:rPr>
            </w:pPr>
            <w:r>
              <w:rPr>
                <w:color w:val="000000"/>
                <w:sz w:val="28"/>
                <w:szCs w:val="28"/>
              </w:rPr>
              <w:t>C2</w:t>
            </w:r>
          </w:p>
        </w:tc>
        <w:tc>
          <w:tcPr>
            <w:tcW w:w="2187" w:type="dxa"/>
            <w:tcBorders>
              <w:top w:val="nil"/>
              <w:left w:val="nil"/>
              <w:bottom w:val="single" w:sz="8" w:space="0" w:color="000000"/>
              <w:right w:val="single" w:sz="8" w:space="0" w:color="000000"/>
            </w:tcBorders>
            <w:noWrap/>
            <w:vAlign w:val="center"/>
          </w:tcPr>
          <w:p w14:paraId="5DCFDCEB" w14:textId="77777777" w:rsidR="00026FF9" w:rsidRDefault="00E87FE6">
            <w:pPr>
              <w:spacing w:line="360" w:lineRule="auto"/>
              <w:jc w:val="both"/>
              <w:rPr>
                <w:color w:val="000000"/>
                <w:sz w:val="28"/>
                <w:szCs w:val="28"/>
              </w:rPr>
            </w:pPr>
            <w:r>
              <w:rPr>
                <w:color w:val="000000"/>
                <w:sz w:val="28"/>
                <w:szCs w:val="28"/>
              </w:rPr>
              <w:t>14.2</w:t>
            </w:r>
          </w:p>
        </w:tc>
      </w:tr>
      <w:tr w:rsidR="00026FF9" w14:paraId="2296D24D"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5F0FD988" w14:textId="77777777" w:rsidR="00026FF9" w:rsidRDefault="00E87FE6">
            <w:pPr>
              <w:spacing w:line="360" w:lineRule="auto"/>
              <w:jc w:val="both"/>
              <w:rPr>
                <w:color w:val="000000"/>
                <w:sz w:val="28"/>
                <w:szCs w:val="28"/>
              </w:rPr>
            </w:pPr>
            <w:r>
              <w:rPr>
                <w:color w:val="000000"/>
                <w:sz w:val="28"/>
                <w:szCs w:val="28"/>
              </w:rPr>
              <w:t>C3</w:t>
            </w:r>
          </w:p>
        </w:tc>
        <w:tc>
          <w:tcPr>
            <w:tcW w:w="2187" w:type="dxa"/>
            <w:tcBorders>
              <w:top w:val="nil"/>
              <w:left w:val="nil"/>
              <w:bottom w:val="single" w:sz="8" w:space="0" w:color="000000"/>
              <w:right w:val="single" w:sz="8" w:space="0" w:color="000000"/>
            </w:tcBorders>
            <w:noWrap/>
            <w:vAlign w:val="center"/>
          </w:tcPr>
          <w:p w14:paraId="7E191064" w14:textId="77777777" w:rsidR="00026FF9" w:rsidRDefault="00E87FE6">
            <w:pPr>
              <w:spacing w:line="360" w:lineRule="auto"/>
              <w:jc w:val="both"/>
              <w:rPr>
                <w:color w:val="000000"/>
                <w:sz w:val="28"/>
                <w:szCs w:val="28"/>
              </w:rPr>
            </w:pPr>
            <w:r>
              <w:rPr>
                <w:color w:val="000000"/>
                <w:sz w:val="28"/>
                <w:szCs w:val="28"/>
              </w:rPr>
              <w:t>10</w:t>
            </w:r>
          </w:p>
        </w:tc>
      </w:tr>
      <w:tr w:rsidR="00026FF9" w14:paraId="44F599DF"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0F0EA520" w14:textId="44BB901E" w:rsidR="00026FF9" w:rsidRDefault="00E87FE6">
            <w:pPr>
              <w:spacing w:line="360" w:lineRule="auto"/>
              <w:jc w:val="both"/>
              <w:rPr>
                <w:color w:val="000000"/>
                <w:sz w:val="28"/>
                <w:szCs w:val="28"/>
              </w:rPr>
            </w:pPr>
            <w:r>
              <w:rPr>
                <w:color w:val="000000"/>
                <w:sz w:val="28"/>
                <w:szCs w:val="28"/>
              </w:rPr>
              <w:t>C4</w:t>
            </w:r>
          </w:p>
        </w:tc>
        <w:tc>
          <w:tcPr>
            <w:tcW w:w="2187" w:type="dxa"/>
            <w:tcBorders>
              <w:top w:val="nil"/>
              <w:left w:val="nil"/>
              <w:bottom w:val="single" w:sz="8" w:space="0" w:color="000000"/>
              <w:right w:val="single" w:sz="8" w:space="0" w:color="000000"/>
            </w:tcBorders>
            <w:noWrap/>
            <w:vAlign w:val="center"/>
          </w:tcPr>
          <w:p w14:paraId="3FE1653D" w14:textId="26ED1925" w:rsidR="00026FF9" w:rsidRDefault="000145A6">
            <w:pPr>
              <w:spacing w:line="360" w:lineRule="auto"/>
              <w:jc w:val="both"/>
              <w:rPr>
                <w:color w:val="000000"/>
                <w:sz w:val="28"/>
                <w:szCs w:val="28"/>
              </w:rPr>
            </w:pPr>
            <w:r>
              <w:rPr>
                <w:noProof/>
              </w:rPr>
              <mc:AlternateContent>
                <mc:Choice Requires="wps">
                  <w:drawing>
                    <wp:anchor distT="0" distB="0" distL="114300" distR="114300" simplePos="0" relativeHeight="251667456" behindDoc="0" locked="0" layoutInCell="1" allowOverlap="1" wp14:anchorId="1ACE8A41" wp14:editId="7FBAF542">
                      <wp:simplePos x="0" y="0"/>
                      <wp:positionH relativeFrom="column">
                        <wp:posOffset>-786130</wp:posOffset>
                      </wp:positionH>
                      <wp:positionV relativeFrom="paragraph">
                        <wp:posOffset>300990</wp:posOffset>
                      </wp:positionV>
                      <wp:extent cx="2114550" cy="523875"/>
                      <wp:effectExtent l="0" t="0" r="19050" b="28575"/>
                      <wp:wrapNone/>
                      <wp:docPr id="5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23875"/>
                              </a:xfrm>
                              <a:prstGeom prst="rect">
                                <a:avLst/>
                              </a:prstGeom>
                              <a:solidFill>
                                <a:srgbClr val="FFFFFF"/>
                              </a:solidFill>
                              <a:ln w="9525">
                                <a:solidFill>
                                  <a:srgbClr val="000000"/>
                                </a:solidFill>
                                <a:miter lim="800000"/>
                              </a:ln>
                            </wps:spPr>
                            <wps:txbx>
                              <w:txbxContent>
                                <w:p w14:paraId="1202F737" w14:textId="77777777" w:rsidR="00026FF9" w:rsidRDefault="00E87FE6">
                                  <w:pPr>
                                    <w:jc w:val="center"/>
                                    <w:rPr>
                                      <w:sz w:val="28"/>
                                      <w:szCs w:val="28"/>
                                    </w:rPr>
                                  </w:pPr>
                                  <w:r>
                                    <w:rPr>
                                      <w:sz w:val="28"/>
                                      <w:szCs w:val="28"/>
                                    </w:rPr>
                                    <w:t>Table 4: light &amp; Dark assay at day 14</w:t>
                                  </w:r>
                                </w:p>
                                <w:p w14:paraId="16D2AC29" w14:textId="77777777" w:rsidR="00026FF9" w:rsidRDefault="00026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E8A41" id="_x0000_s1032" type="#_x0000_t202" style="position:absolute;left:0;text-align:left;margin-left:-61.9pt;margin-top:23.7pt;width:166.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">
                      <v:textbox>
                        <w:txbxContent>
                          <w:p w14:paraId="1202F737" w14:textId="77777777" w:rsidR="00026FF9" w:rsidRDefault="00E87FE6">
                            <w:pPr>
                              <w:jc w:val="center"/>
                              <w:rPr>
                                <w:sz w:val="28"/>
                                <w:szCs w:val="28"/>
                              </w:rPr>
                            </w:pPr>
                            <w:r>
                              <w:rPr>
                                <w:sz w:val="28"/>
                                <w:szCs w:val="28"/>
                              </w:rPr>
                              <w:t>Table 4: light &amp; Dark assay at day 14</w:t>
                            </w:r>
                          </w:p>
                          <w:p w14:paraId="16D2AC29" w14:textId="77777777" w:rsidR="00026FF9" w:rsidRDefault="00026FF9"/>
                        </w:txbxContent>
                      </v:textbox>
                    </v:shape>
                  </w:pict>
                </mc:Fallback>
              </mc:AlternateContent>
            </w:r>
            <w:r>
              <w:rPr>
                <w:color w:val="000000"/>
                <w:sz w:val="28"/>
                <w:szCs w:val="28"/>
              </w:rPr>
              <w:t>7.4</w:t>
            </w:r>
          </w:p>
        </w:tc>
      </w:tr>
    </w:tbl>
    <w:p w14:paraId="1D1CC925" w14:textId="7DF82A66" w:rsidR="00026FF9" w:rsidRDefault="000145A6">
      <w:pPr>
        <w:spacing w:line="360" w:lineRule="auto"/>
        <w:jc w:val="both"/>
        <w:rPr>
          <w:sz w:val="28"/>
          <w:szCs w:val="28"/>
        </w:rPr>
      </w:pPr>
      <w:r>
        <w:rPr>
          <w:noProof/>
          <w:sz w:val="28"/>
          <w:szCs w:val="28"/>
        </w:rPr>
        <w:drawing>
          <wp:anchor distT="0" distB="0" distL="114300" distR="114300" simplePos="0" relativeHeight="251663360" behindDoc="0" locked="0" layoutInCell="1" allowOverlap="1" wp14:anchorId="6F5268C4" wp14:editId="6FD4553B">
            <wp:simplePos x="0" y="0"/>
            <wp:positionH relativeFrom="column">
              <wp:posOffset>2765058</wp:posOffset>
            </wp:positionH>
            <wp:positionV relativeFrom="paragraph">
              <wp:posOffset>114300</wp:posOffset>
            </wp:positionV>
            <wp:extent cx="3060065" cy="2713990"/>
            <wp:effectExtent l="9525" t="9525" r="16510" b="19685"/>
            <wp:wrapNone/>
            <wp:docPr id="4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065" cy="2713990"/>
                    </a:xfrm>
                    <a:prstGeom prst="rect">
                      <a:avLst/>
                    </a:prstGeom>
                    <a:solidFill>
                      <a:srgbClr val="FFFFFF"/>
                    </a:solid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745D4EB4" w14:textId="77777777" w:rsidR="00026FF9" w:rsidRDefault="00026FF9">
      <w:pPr>
        <w:spacing w:line="360" w:lineRule="auto"/>
        <w:jc w:val="both"/>
        <w:rPr>
          <w:sz w:val="28"/>
          <w:szCs w:val="28"/>
        </w:rPr>
      </w:pPr>
    </w:p>
    <w:p w14:paraId="3AA14D6C" w14:textId="77777777" w:rsidR="00026FF9" w:rsidRDefault="00026FF9">
      <w:pPr>
        <w:spacing w:line="360" w:lineRule="auto"/>
        <w:jc w:val="both"/>
        <w:rPr>
          <w:sz w:val="28"/>
          <w:szCs w:val="28"/>
        </w:rPr>
      </w:pPr>
    </w:p>
    <w:p w14:paraId="5923EFCA" w14:textId="77777777" w:rsidR="00026FF9" w:rsidRDefault="00026FF9">
      <w:pPr>
        <w:spacing w:line="360" w:lineRule="auto"/>
        <w:jc w:val="both"/>
        <w:rPr>
          <w:sz w:val="28"/>
          <w:szCs w:val="28"/>
        </w:rPr>
      </w:pPr>
    </w:p>
    <w:p w14:paraId="52B30421" w14:textId="77777777" w:rsidR="00026FF9" w:rsidRDefault="00026FF9">
      <w:pPr>
        <w:spacing w:line="360" w:lineRule="auto"/>
        <w:jc w:val="both"/>
        <w:rPr>
          <w:sz w:val="28"/>
          <w:szCs w:val="28"/>
        </w:rPr>
      </w:pPr>
    </w:p>
    <w:p w14:paraId="38B24779" w14:textId="77777777" w:rsidR="00026FF9" w:rsidRDefault="00026FF9">
      <w:pPr>
        <w:spacing w:line="360" w:lineRule="auto"/>
        <w:jc w:val="both"/>
        <w:rPr>
          <w:sz w:val="28"/>
          <w:szCs w:val="28"/>
        </w:rPr>
      </w:pPr>
    </w:p>
    <w:p w14:paraId="2A6CAC7F" w14:textId="77777777" w:rsidR="00026FF9" w:rsidRDefault="00026FF9">
      <w:pPr>
        <w:spacing w:line="360" w:lineRule="auto"/>
        <w:jc w:val="both"/>
        <w:rPr>
          <w:sz w:val="28"/>
          <w:szCs w:val="28"/>
        </w:rPr>
      </w:pPr>
    </w:p>
    <w:p w14:paraId="26225F2D" w14:textId="77777777" w:rsidR="00026FF9" w:rsidRDefault="00026FF9">
      <w:pPr>
        <w:spacing w:line="360" w:lineRule="auto"/>
        <w:jc w:val="both"/>
        <w:rPr>
          <w:sz w:val="28"/>
          <w:szCs w:val="28"/>
        </w:rPr>
      </w:pPr>
    </w:p>
    <w:p w14:paraId="0FAA0F6D" w14:textId="77777777" w:rsidR="00026FF9" w:rsidRDefault="00026FF9">
      <w:pPr>
        <w:spacing w:line="360" w:lineRule="auto"/>
        <w:jc w:val="both"/>
        <w:rPr>
          <w:sz w:val="24"/>
          <w:szCs w:val="24"/>
        </w:rPr>
      </w:pPr>
    </w:p>
    <w:p w14:paraId="0A1E866B" w14:textId="5D5B9A16" w:rsidR="00026FF9" w:rsidRDefault="000145A6">
      <w:pPr>
        <w:spacing w:line="360" w:lineRule="auto"/>
        <w:jc w:val="both"/>
        <w:rPr>
          <w:sz w:val="24"/>
          <w:szCs w:val="24"/>
        </w:rPr>
      </w:pPr>
      <w:r>
        <w:rPr>
          <w:noProof/>
        </w:rPr>
        <mc:AlternateContent>
          <mc:Choice Requires="wps">
            <w:drawing>
              <wp:anchor distT="0" distB="0" distL="114300" distR="114300" simplePos="0" relativeHeight="251666432" behindDoc="0" locked="0" layoutInCell="1" allowOverlap="1" wp14:anchorId="46BBB780" wp14:editId="54103730">
                <wp:simplePos x="0" y="0"/>
                <wp:positionH relativeFrom="column">
                  <wp:posOffset>2757671</wp:posOffset>
                </wp:positionH>
                <wp:positionV relativeFrom="paragraph">
                  <wp:posOffset>116503</wp:posOffset>
                </wp:positionV>
                <wp:extent cx="3086100" cy="523875"/>
                <wp:effectExtent l="0" t="0" r="19050" b="28575"/>
                <wp:wrapNone/>
                <wp:docPr id="5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23875"/>
                        </a:xfrm>
                        <a:prstGeom prst="rect">
                          <a:avLst/>
                        </a:prstGeom>
                        <a:solidFill>
                          <a:srgbClr val="FFFFFF"/>
                        </a:solidFill>
                        <a:ln w="9525">
                          <a:solidFill>
                            <a:srgbClr val="000000"/>
                          </a:solidFill>
                          <a:miter lim="800000"/>
                        </a:ln>
                      </wps:spPr>
                      <wps:txbx>
                        <w:txbxContent>
                          <w:p w14:paraId="05C1AE2E" w14:textId="77777777" w:rsidR="00026FF9" w:rsidRDefault="00E87FE6">
                            <w:pPr>
                              <w:jc w:val="center"/>
                            </w:pPr>
                            <w:r>
                              <w:rPr>
                                <w:sz w:val="28"/>
                                <w:szCs w:val="28"/>
                              </w:rPr>
                              <w:t>Graph 4: light &amp; dark assay at day 14</w:t>
                            </w:r>
                          </w:p>
                        </w:txbxContent>
                      </wps:txbx>
                      <wps:bodyPr rot="0" vert="horz" wrap="square" lIns="91440" tIns="45720" rIns="91440" bIns="45720" anchor="t" anchorCtr="0">
                        <a:noAutofit/>
                      </wps:bodyPr>
                    </wps:wsp>
                  </a:graphicData>
                </a:graphic>
              </wp:anchor>
            </w:drawing>
          </mc:Choice>
          <mc:Fallback>
            <w:pict>
              <v:shape w14:anchorId="46BBB780" id="_x0000_s1033" type="#_x0000_t202" style="position:absolute;left:0;text-align:left;margin-left:217.15pt;margin-top:9.15pt;width:24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">
                <v:textbox>
                  <w:txbxContent>
                    <w:p w14:paraId="05C1AE2E" w14:textId="77777777" w:rsidR="00026FF9" w:rsidRDefault="00E87FE6">
                      <w:pPr>
                        <w:jc w:val="center"/>
                      </w:pPr>
                      <w:r>
                        <w:rPr>
                          <w:sz w:val="28"/>
                          <w:szCs w:val="28"/>
                        </w:rPr>
                        <w:t>Graph 4: light &amp; dark assay at day 14</w:t>
                      </w:r>
                    </w:p>
                  </w:txbxContent>
                </v:textbox>
              </v:shape>
            </w:pict>
          </mc:Fallback>
        </mc:AlternateContent>
      </w:r>
    </w:p>
    <w:p w14:paraId="501764BA" w14:textId="091ABB28" w:rsidR="00026FF9" w:rsidRDefault="00026FF9">
      <w:pPr>
        <w:spacing w:line="360" w:lineRule="auto"/>
        <w:jc w:val="both"/>
        <w:rPr>
          <w:sz w:val="24"/>
          <w:szCs w:val="24"/>
        </w:rPr>
      </w:pPr>
    </w:p>
    <w:p w14:paraId="037AF862" w14:textId="77777777" w:rsidR="000145A6" w:rsidRDefault="000145A6">
      <w:pPr>
        <w:spacing w:line="360" w:lineRule="auto"/>
        <w:jc w:val="both"/>
        <w:rPr>
          <w:sz w:val="24"/>
          <w:szCs w:val="24"/>
        </w:rPr>
      </w:pPr>
    </w:p>
    <w:bookmarkEnd w:id="1"/>
    <w:p w14:paraId="60AB2B6A" w14:textId="77777777" w:rsidR="00026FF9" w:rsidRDefault="00026FF9">
      <w:pPr>
        <w:tabs>
          <w:tab w:val="left" w:pos="3636"/>
        </w:tabs>
        <w:spacing w:line="360" w:lineRule="auto"/>
        <w:jc w:val="both"/>
        <w:rPr>
          <w:sz w:val="28"/>
          <w:szCs w:val="28"/>
        </w:rPr>
      </w:pPr>
    </w:p>
    <w:p w14:paraId="21AD6F5B" w14:textId="77777777" w:rsidR="00026FF9" w:rsidRDefault="00E87FE6">
      <w:pPr>
        <w:tabs>
          <w:tab w:val="left" w:pos="3636"/>
        </w:tabs>
        <w:spacing w:line="360" w:lineRule="auto"/>
        <w:jc w:val="both"/>
        <w:rPr>
          <w:b/>
          <w:bCs/>
          <w:sz w:val="28"/>
          <w:szCs w:val="28"/>
        </w:rPr>
      </w:pPr>
      <w:r>
        <w:rPr>
          <w:b/>
          <w:bCs/>
          <w:sz w:val="28"/>
          <w:szCs w:val="28"/>
        </w:rPr>
        <w:t>Reference</w:t>
      </w:r>
    </w:p>
    <w:p w14:paraId="1595B47A" w14:textId="77777777" w:rsidR="00026FF9" w:rsidRDefault="00E87FE6">
      <w:pPr>
        <w:pStyle w:val="ListParagraph"/>
        <w:numPr>
          <w:ilvl w:val="0"/>
          <w:numId w:val="1"/>
        </w:numPr>
        <w:tabs>
          <w:tab w:val="clear" w:pos="425"/>
          <w:tab w:val="left" w:pos="2080"/>
        </w:tabs>
        <w:spacing w:line="360" w:lineRule="auto"/>
        <w:ind w:right="0"/>
        <w:rPr>
          <w:sz w:val="24"/>
          <w:szCs w:val="24"/>
        </w:rPr>
      </w:pPr>
      <w:proofErr w:type="spellStart"/>
      <w:r>
        <w:rPr>
          <w:sz w:val="24"/>
          <w:szCs w:val="24"/>
        </w:rPr>
        <w:t>Bargagli</w:t>
      </w:r>
      <w:proofErr w:type="spellEnd"/>
      <w:r>
        <w:rPr>
          <w:sz w:val="24"/>
          <w:szCs w:val="24"/>
        </w:rPr>
        <w:t xml:space="preserve">, R., &amp; Rota, E. (2024). Environmental </w:t>
      </w:r>
      <w:r>
        <w:rPr>
          <w:sz w:val="24"/>
          <w:szCs w:val="24"/>
        </w:rPr>
        <w:t>contamination and climate change in Antarctic ecosystems: an updated overview. Environmental Science: Advances, 3(4), 543-560.</w:t>
      </w:r>
    </w:p>
    <w:p w14:paraId="2B396B90"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Bauer, B., Mally, A., &amp; Liedtke, D. (2021). Zebrafish embryos and larvae as alternative animal models for toxicity testing. Inter</w:t>
      </w:r>
      <w:r>
        <w:rPr>
          <w:sz w:val="24"/>
          <w:szCs w:val="24"/>
        </w:rPr>
        <w:t>national journal of molecular sciences, 22(24), 13417.</w:t>
      </w:r>
    </w:p>
    <w:p w14:paraId="54E0327A"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Datta, K., Chakraborty, S., &amp; Roychoudhury, A. (2024). Management of soil, waste and water in the context of global climate change. In Environmental nexus for resource management (pp. 1-26). CRC Press.</w:t>
      </w:r>
    </w:p>
    <w:p w14:paraId="37FD50E1"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 xml:space="preserve">de Souza Freire, I., </w:t>
      </w:r>
      <w:proofErr w:type="spellStart"/>
      <w:r>
        <w:rPr>
          <w:sz w:val="24"/>
          <w:szCs w:val="24"/>
        </w:rPr>
        <w:t>Fascineli</w:t>
      </w:r>
      <w:proofErr w:type="spellEnd"/>
      <w:r>
        <w:rPr>
          <w:sz w:val="24"/>
          <w:szCs w:val="24"/>
        </w:rPr>
        <w:t>, M. L., Piau, T. B., Pereira, B. F., &amp; Grisolia, C. K. (2023). Multilevel toxicity evaluations of polyethylene microplastics in zebrafish (Danio rerio). International Journal of Environmental Research and Public Health, 20(4</w:t>
      </w:r>
      <w:r>
        <w:rPr>
          <w:sz w:val="24"/>
          <w:szCs w:val="24"/>
        </w:rPr>
        <w:t>), 3617.</w:t>
      </w:r>
    </w:p>
    <w:p w14:paraId="0C14AA6C"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Edelstein, M. (2018). Contaminated communities: Coping with residential toxic exposure. Routledge.</w:t>
      </w:r>
    </w:p>
    <w:p w14:paraId="0FDAAD2E"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 xml:space="preserve">Fontana, B. D., </w:t>
      </w:r>
      <w:proofErr w:type="spellStart"/>
      <w:r>
        <w:rPr>
          <w:sz w:val="24"/>
          <w:szCs w:val="24"/>
        </w:rPr>
        <w:t>Alnassar</w:t>
      </w:r>
      <w:proofErr w:type="spellEnd"/>
      <w:r>
        <w:rPr>
          <w:sz w:val="24"/>
          <w:szCs w:val="24"/>
        </w:rPr>
        <w:t>, N., &amp; Parker, M. O. (2022). The zebrafish (Danio rerio) anxiety test battery: comparison of behavioral responses in the no</w:t>
      </w:r>
      <w:r>
        <w:rPr>
          <w:sz w:val="24"/>
          <w:szCs w:val="24"/>
        </w:rPr>
        <w:t xml:space="preserve">vel tank diving and light–dark tasks following exposure to anxiogenic and anxiolytic </w:t>
      </w:r>
      <w:r>
        <w:rPr>
          <w:sz w:val="24"/>
          <w:szCs w:val="24"/>
        </w:rPr>
        <w:lastRenderedPageBreak/>
        <w:t>compounds. Psychopharmacology, 239(1), 287-296.</w:t>
      </w:r>
    </w:p>
    <w:p w14:paraId="53327D2D"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 xml:space="preserve">Gebre, S. H., </w:t>
      </w:r>
      <w:proofErr w:type="spellStart"/>
      <w:r>
        <w:rPr>
          <w:sz w:val="24"/>
          <w:szCs w:val="24"/>
        </w:rPr>
        <w:t>Sendeku</w:t>
      </w:r>
      <w:proofErr w:type="spellEnd"/>
      <w:r>
        <w:rPr>
          <w:sz w:val="24"/>
          <w:szCs w:val="24"/>
        </w:rPr>
        <w:t>, M. G., &amp; Bahri, M. (2021). Recent trends in the pyrolysis of non‐degradable waste plastics. </w:t>
      </w:r>
      <w:proofErr w:type="spellStart"/>
      <w:r>
        <w:rPr>
          <w:sz w:val="24"/>
          <w:szCs w:val="24"/>
        </w:rPr>
        <w:t>Chemistr</w:t>
      </w:r>
      <w:r>
        <w:rPr>
          <w:sz w:val="24"/>
          <w:szCs w:val="24"/>
        </w:rPr>
        <w:t>yOpen</w:t>
      </w:r>
      <w:proofErr w:type="spellEnd"/>
      <w:r>
        <w:rPr>
          <w:sz w:val="24"/>
          <w:szCs w:val="24"/>
        </w:rPr>
        <w:t>, 10(12), 1202-1226.</w:t>
      </w:r>
    </w:p>
    <w:p w14:paraId="52F8FB6B" w14:textId="77777777" w:rsidR="00026FF9" w:rsidRDefault="00E87FE6">
      <w:pPr>
        <w:pStyle w:val="ListParagraph"/>
        <w:numPr>
          <w:ilvl w:val="0"/>
          <w:numId w:val="1"/>
        </w:numPr>
        <w:tabs>
          <w:tab w:val="clear" w:pos="425"/>
          <w:tab w:val="left" w:pos="2080"/>
        </w:tabs>
        <w:spacing w:line="360" w:lineRule="auto"/>
        <w:ind w:right="0"/>
        <w:rPr>
          <w:sz w:val="24"/>
          <w:szCs w:val="24"/>
        </w:rPr>
      </w:pPr>
      <w:proofErr w:type="spellStart"/>
      <w:r>
        <w:rPr>
          <w:sz w:val="24"/>
          <w:szCs w:val="24"/>
        </w:rPr>
        <w:t>Hayot</w:t>
      </w:r>
      <w:proofErr w:type="spellEnd"/>
      <w:r>
        <w:rPr>
          <w:sz w:val="24"/>
          <w:szCs w:val="24"/>
        </w:rPr>
        <w:t xml:space="preserve">, G., Marcato, D., von </w:t>
      </w:r>
      <w:proofErr w:type="spellStart"/>
      <w:r>
        <w:rPr>
          <w:sz w:val="24"/>
          <w:szCs w:val="24"/>
        </w:rPr>
        <w:t>Clausbruch</w:t>
      </w:r>
      <w:proofErr w:type="spellEnd"/>
      <w:r>
        <w:rPr>
          <w:sz w:val="24"/>
          <w:szCs w:val="24"/>
        </w:rPr>
        <w:t xml:space="preserve">, C. A. C., Pace, G., Strähle, U., Colbourne, J. K., ... &amp; </w:t>
      </w:r>
      <w:proofErr w:type="spellStart"/>
      <w:r>
        <w:rPr>
          <w:sz w:val="24"/>
          <w:szCs w:val="24"/>
        </w:rPr>
        <w:t>Dickmeis</w:t>
      </w:r>
      <w:proofErr w:type="spellEnd"/>
      <w:r>
        <w:rPr>
          <w:sz w:val="24"/>
          <w:szCs w:val="24"/>
        </w:rPr>
        <w:t xml:space="preserve">, T. (2024). Evaluating toxicity of chemicals using a zebrafish vibration startle response screening system. Journal of </w:t>
      </w:r>
      <w:r>
        <w:rPr>
          <w:sz w:val="24"/>
          <w:szCs w:val="24"/>
        </w:rPr>
        <w:t>Visualized Experiments (</w:t>
      </w:r>
      <w:proofErr w:type="spellStart"/>
      <w:r>
        <w:rPr>
          <w:sz w:val="24"/>
          <w:szCs w:val="24"/>
        </w:rPr>
        <w:t>JoVE</w:t>
      </w:r>
      <w:proofErr w:type="spellEnd"/>
      <w:r>
        <w:rPr>
          <w:sz w:val="24"/>
          <w:szCs w:val="24"/>
        </w:rPr>
        <w:t>), (203), e66153.</w:t>
      </w:r>
    </w:p>
    <w:p w14:paraId="34D20A12"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 xml:space="preserve">Liza, A. A., </w:t>
      </w:r>
      <w:proofErr w:type="spellStart"/>
      <w:r>
        <w:rPr>
          <w:sz w:val="24"/>
          <w:szCs w:val="24"/>
        </w:rPr>
        <w:t>Ashrafy</w:t>
      </w:r>
      <w:proofErr w:type="spellEnd"/>
      <w:r>
        <w:rPr>
          <w:sz w:val="24"/>
          <w:szCs w:val="24"/>
        </w:rPr>
        <w:t>, A., Islam, M. N., Billah, M. M., Arafat, S. T., Rahman, M. M., ... &amp; Rahman, S. M. (2024). Microplastic pollution: a review of techniques to identify microplastics and their threats to the</w:t>
      </w:r>
      <w:r>
        <w:rPr>
          <w:sz w:val="24"/>
          <w:szCs w:val="24"/>
        </w:rPr>
        <w:t xml:space="preserve"> aquatic ecosystem. Environmental Monitoring and Assessment, 196(3), 285.</w:t>
      </w:r>
    </w:p>
    <w:p w14:paraId="78D911FA" w14:textId="77777777" w:rsidR="00026FF9" w:rsidRDefault="00E87FE6">
      <w:pPr>
        <w:pStyle w:val="ListParagraph"/>
        <w:numPr>
          <w:ilvl w:val="0"/>
          <w:numId w:val="1"/>
        </w:numPr>
        <w:tabs>
          <w:tab w:val="clear" w:pos="425"/>
          <w:tab w:val="left" w:pos="2080"/>
        </w:tabs>
        <w:spacing w:line="360" w:lineRule="auto"/>
        <w:ind w:right="0"/>
        <w:rPr>
          <w:sz w:val="24"/>
          <w:szCs w:val="24"/>
        </w:rPr>
      </w:pPr>
      <w:proofErr w:type="spellStart"/>
      <w:r>
        <w:rPr>
          <w:sz w:val="24"/>
          <w:szCs w:val="24"/>
        </w:rPr>
        <w:t>Madronich</w:t>
      </w:r>
      <w:proofErr w:type="spellEnd"/>
      <w:r>
        <w:rPr>
          <w:sz w:val="24"/>
          <w:szCs w:val="24"/>
        </w:rPr>
        <w:t xml:space="preserve">, S., Bernhard, G. H., Neale, P. J., Heikkilä, A., Andersen, M. S., </w:t>
      </w:r>
      <w:proofErr w:type="spellStart"/>
      <w:r>
        <w:rPr>
          <w:sz w:val="24"/>
          <w:szCs w:val="24"/>
        </w:rPr>
        <w:t>Andrady</w:t>
      </w:r>
      <w:proofErr w:type="spellEnd"/>
      <w:r>
        <w:rPr>
          <w:sz w:val="24"/>
          <w:szCs w:val="24"/>
        </w:rPr>
        <w:t>, A. L., ... &amp; Neale, R. E. (2024). Continuing benefits of the Montreal Protocol and protection of</w:t>
      </w:r>
      <w:r>
        <w:rPr>
          <w:sz w:val="24"/>
          <w:szCs w:val="24"/>
        </w:rPr>
        <w:t xml:space="preserve"> the stratospheric ozone layer for human health and the environment. Photochemical &amp; Photobiological Sciences, 23(6), 1087-1115.</w:t>
      </w:r>
    </w:p>
    <w:p w14:paraId="3A93A1ED"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Maji, S., Ahmed, S., Kaur-Sidhu, M., Mor, S., &amp; Ravindra, K. (2023). Health risks of major air pollutants, their drivers and mi</w:t>
      </w:r>
      <w:r>
        <w:rPr>
          <w:sz w:val="24"/>
          <w:szCs w:val="24"/>
        </w:rPr>
        <w:t>tigation strategies: a review. Air, Soil and Water Research, 16, 11786221231154659.</w:t>
      </w:r>
    </w:p>
    <w:p w14:paraId="4CB7CF8C"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Mak, C. W., Yeung, K. C. F., &amp; Chan, K. M. (2019). Acute toxic effects of polyethylene microplastic on adult zebrafish. Ecotoxicology and environmental safety, 182, 109442.</w:t>
      </w:r>
    </w:p>
    <w:p w14:paraId="42A20E84"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Rhodes, C. J. (2019). Solving the plastic problem: From cradle to grave, to reincarnation. Science progress, 102(3), 218-248.</w:t>
      </w:r>
    </w:p>
    <w:p w14:paraId="5E13C3EE" w14:textId="77777777" w:rsidR="00026FF9" w:rsidRDefault="00E87FE6">
      <w:pPr>
        <w:pStyle w:val="ListParagraph"/>
        <w:numPr>
          <w:ilvl w:val="0"/>
          <w:numId w:val="1"/>
        </w:numPr>
        <w:tabs>
          <w:tab w:val="clear" w:pos="425"/>
          <w:tab w:val="left" w:pos="2080"/>
        </w:tabs>
        <w:spacing w:line="360" w:lineRule="auto"/>
        <w:ind w:right="0"/>
        <w:rPr>
          <w:sz w:val="24"/>
          <w:szCs w:val="24"/>
        </w:rPr>
      </w:pPr>
      <w:proofErr w:type="spellStart"/>
      <w:r>
        <w:rPr>
          <w:sz w:val="24"/>
          <w:szCs w:val="24"/>
        </w:rPr>
        <w:t>Sonone</w:t>
      </w:r>
      <w:proofErr w:type="spellEnd"/>
      <w:r>
        <w:rPr>
          <w:sz w:val="24"/>
          <w:szCs w:val="24"/>
        </w:rPr>
        <w:t>, S. S., Jadhav, S., Sankhla, M. S., &amp; Kumar, R. (2020). Water contamination by heavy metals and their toxic effect on aqua</w:t>
      </w:r>
      <w:r>
        <w:rPr>
          <w:sz w:val="24"/>
          <w:szCs w:val="24"/>
        </w:rPr>
        <w:t xml:space="preserve">culture and human health through food Chain. Lett. Appl. </w:t>
      </w:r>
      <w:proofErr w:type="spellStart"/>
      <w:r>
        <w:rPr>
          <w:sz w:val="24"/>
          <w:szCs w:val="24"/>
        </w:rPr>
        <w:t>NanoBioScience</w:t>
      </w:r>
      <w:proofErr w:type="spellEnd"/>
      <w:r>
        <w:rPr>
          <w:sz w:val="24"/>
          <w:szCs w:val="24"/>
        </w:rPr>
        <w:t>, 10(2), 2148-2166.</w:t>
      </w:r>
    </w:p>
    <w:p w14:paraId="37506378" w14:textId="77777777" w:rsidR="00026FF9" w:rsidRDefault="00E87FE6">
      <w:pPr>
        <w:pStyle w:val="ListParagraph"/>
        <w:numPr>
          <w:ilvl w:val="0"/>
          <w:numId w:val="1"/>
        </w:numPr>
        <w:tabs>
          <w:tab w:val="clear" w:pos="425"/>
          <w:tab w:val="left" w:pos="2080"/>
        </w:tabs>
        <w:spacing w:line="360" w:lineRule="auto"/>
        <w:ind w:right="0"/>
        <w:rPr>
          <w:sz w:val="24"/>
          <w:szCs w:val="24"/>
        </w:rPr>
      </w:pPr>
      <w:proofErr w:type="spellStart"/>
      <w:r>
        <w:rPr>
          <w:sz w:val="24"/>
          <w:szCs w:val="24"/>
        </w:rPr>
        <w:t>Sorasan</w:t>
      </w:r>
      <w:proofErr w:type="spellEnd"/>
      <w:r>
        <w:rPr>
          <w:sz w:val="24"/>
          <w:szCs w:val="24"/>
        </w:rPr>
        <w:t>, C., Edo, C., González-Pleiter, M., Fernández-</w:t>
      </w:r>
      <w:proofErr w:type="spellStart"/>
      <w:r>
        <w:rPr>
          <w:sz w:val="24"/>
          <w:szCs w:val="24"/>
        </w:rPr>
        <w:t>Piñas</w:t>
      </w:r>
      <w:proofErr w:type="spellEnd"/>
      <w:r>
        <w:rPr>
          <w:sz w:val="24"/>
          <w:szCs w:val="24"/>
        </w:rPr>
        <w:t>, F., Leganés, F., Rodríguez, A., &amp; Rosal, R. (2022). Ageing and fragmentation of marine microplastics. Sc</w:t>
      </w:r>
      <w:r>
        <w:rPr>
          <w:sz w:val="24"/>
          <w:szCs w:val="24"/>
        </w:rPr>
        <w:t>ience of The Total Environment, 827, 154438.</w:t>
      </w:r>
    </w:p>
    <w:p w14:paraId="2204BC8D" w14:textId="77777777" w:rsidR="00026FF9" w:rsidRDefault="00E87FE6">
      <w:pPr>
        <w:pStyle w:val="ListParagraph"/>
        <w:numPr>
          <w:ilvl w:val="0"/>
          <w:numId w:val="1"/>
        </w:numPr>
        <w:tabs>
          <w:tab w:val="clear" w:pos="425"/>
          <w:tab w:val="left" w:pos="2080"/>
        </w:tabs>
        <w:spacing w:line="360" w:lineRule="auto"/>
        <w:ind w:right="0"/>
        <w:rPr>
          <w:sz w:val="24"/>
          <w:szCs w:val="24"/>
        </w:rPr>
      </w:pPr>
      <w:proofErr w:type="spellStart"/>
      <w:r>
        <w:rPr>
          <w:sz w:val="24"/>
          <w:szCs w:val="24"/>
        </w:rPr>
        <w:t>Tahery</w:t>
      </w:r>
      <w:proofErr w:type="spellEnd"/>
      <w:r>
        <w:rPr>
          <w:sz w:val="24"/>
          <w:szCs w:val="24"/>
        </w:rPr>
        <w:t xml:space="preserve">, N., Zarea, K., Cheraghi, M., Hatamzadeh, N., Farhadi, M., </w:t>
      </w:r>
      <w:proofErr w:type="spellStart"/>
      <w:r>
        <w:rPr>
          <w:sz w:val="24"/>
          <w:szCs w:val="24"/>
        </w:rPr>
        <w:t>Dobaradarn</w:t>
      </w:r>
      <w:proofErr w:type="spellEnd"/>
      <w:r>
        <w:rPr>
          <w:sz w:val="24"/>
          <w:szCs w:val="24"/>
        </w:rPr>
        <w:t>, S., &amp; Mohammadi, M. J. (2021). Chronic obstructive pulmonary disease (COPD) and air pollution: a review. </w:t>
      </w:r>
      <w:proofErr w:type="spellStart"/>
      <w:r>
        <w:rPr>
          <w:sz w:val="24"/>
          <w:szCs w:val="24"/>
        </w:rPr>
        <w:t>Jundishapur</w:t>
      </w:r>
      <w:proofErr w:type="spellEnd"/>
      <w:r>
        <w:rPr>
          <w:sz w:val="24"/>
          <w:szCs w:val="24"/>
        </w:rPr>
        <w:t xml:space="preserve"> Journal of Chron</w:t>
      </w:r>
      <w:r>
        <w:rPr>
          <w:sz w:val="24"/>
          <w:szCs w:val="24"/>
        </w:rPr>
        <w:t>ic Disease Care, 10(1).</w:t>
      </w:r>
    </w:p>
    <w:p w14:paraId="2AC22B6A"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 xml:space="preserve">Tariq, A., &amp; Mushtaq, A. (2023). Untreated wastewater reasons and causes: A review of most affected areas and cities. Int. J. Chem. </w:t>
      </w:r>
      <w:proofErr w:type="spellStart"/>
      <w:r>
        <w:rPr>
          <w:sz w:val="24"/>
          <w:szCs w:val="24"/>
        </w:rPr>
        <w:t>Biochem</w:t>
      </w:r>
      <w:proofErr w:type="spellEnd"/>
      <w:r>
        <w:rPr>
          <w:sz w:val="24"/>
          <w:szCs w:val="24"/>
        </w:rPr>
        <w:t>. Sci, 23(1), 121-143.</w:t>
      </w:r>
    </w:p>
    <w:p w14:paraId="76085234"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Wang, C., Zhong, Z., Sun, P., Zhong, H., Li, H., &amp; Chen, F. (2017). Ev</w:t>
      </w:r>
      <w:r>
        <w:rPr>
          <w:sz w:val="24"/>
          <w:szCs w:val="24"/>
        </w:rPr>
        <w:t xml:space="preserve">aluation of the hair </w:t>
      </w:r>
      <w:r>
        <w:rPr>
          <w:sz w:val="24"/>
          <w:szCs w:val="24"/>
        </w:rPr>
        <w:lastRenderedPageBreak/>
        <w:t>cell regeneration in zebrafish larvae by measuring and quantifying the startle responses. Neural Plasticity, 2017(1), 8283075.</w:t>
      </w:r>
    </w:p>
    <w:p w14:paraId="384686C8"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World Health Organization, &amp; United Nations Children's Fund. (2022). State of the world’s drinking water: an</w:t>
      </w:r>
      <w:r>
        <w:rPr>
          <w:sz w:val="24"/>
          <w:szCs w:val="24"/>
        </w:rPr>
        <w:t xml:space="preserve"> urgent call to action to accelerate progress on ensuring safe drinking water for all. World Health Organization.</w:t>
      </w:r>
    </w:p>
    <w:p w14:paraId="04AD8419"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Zhang, Y., Cen, J., Jia, Z., Hsiao, C. D., Xia, Q., Wang, X., ... &amp; Liu, K. (2019). Hepatotoxicity induced by isoniazid-lipopolysaccharide thr</w:t>
      </w:r>
      <w:r>
        <w:rPr>
          <w:sz w:val="24"/>
          <w:szCs w:val="24"/>
        </w:rPr>
        <w:t>ough endoplasmic reticulum stress, autophagy, and apoptosis pathways in zebrafish. Antimicrobial Agents and Chemotherapy, 63(5), 10-1128.</w:t>
      </w:r>
    </w:p>
    <w:p w14:paraId="0FB1539B" w14:textId="77777777" w:rsidR="00026FF9" w:rsidRDefault="00E87FE6">
      <w:pPr>
        <w:pStyle w:val="ListParagraph"/>
        <w:numPr>
          <w:ilvl w:val="0"/>
          <w:numId w:val="1"/>
        </w:numPr>
        <w:tabs>
          <w:tab w:val="clear" w:pos="425"/>
          <w:tab w:val="left" w:pos="2080"/>
        </w:tabs>
        <w:spacing w:line="360" w:lineRule="auto"/>
        <w:ind w:right="0"/>
        <w:rPr>
          <w:sz w:val="24"/>
          <w:szCs w:val="24"/>
        </w:rPr>
      </w:pPr>
      <w:r>
        <w:rPr>
          <w:sz w:val="24"/>
          <w:szCs w:val="24"/>
        </w:rPr>
        <w:t xml:space="preserve">Ziani, K., </w:t>
      </w:r>
      <w:proofErr w:type="spellStart"/>
      <w:r>
        <w:rPr>
          <w:sz w:val="24"/>
          <w:szCs w:val="24"/>
        </w:rPr>
        <w:t>Ioniță-Mîndrican</w:t>
      </w:r>
      <w:proofErr w:type="spellEnd"/>
      <w:r>
        <w:rPr>
          <w:sz w:val="24"/>
          <w:szCs w:val="24"/>
        </w:rPr>
        <w:t xml:space="preserve">, C. B., Mititelu, M., Neacșu, S. M., </w:t>
      </w:r>
      <w:proofErr w:type="spellStart"/>
      <w:r>
        <w:rPr>
          <w:sz w:val="24"/>
          <w:szCs w:val="24"/>
        </w:rPr>
        <w:t>Negrei</w:t>
      </w:r>
      <w:proofErr w:type="spellEnd"/>
      <w:r>
        <w:rPr>
          <w:sz w:val="24"/>
          <w:szCs w:val="24"/>
        </w:rPr>
        <w:t xml:space="preserve">, C., </w:t>
      </w:r>
      <w:proofErr w:type="spellStart"/>
      <w:r>
        <w:rPr>
          <w:sz w:val="24"/>
          <w:szCs w:val="24"/>
        </w:rPr>
        <w:t>Moroșan</w:t>
      </w:r>
      <w:proofErr w:type="spellEnd"/>
      <w:r>
        <w:rPr>
          <w:sz w:val="24"/>
          <w:szCs w:val="24"/>
        </w:rPr>
        <w:t xml:space="preserve">, E., ... &amp; </w:t>
      </w:r>
      <w:proofErr w:type="spellStart"/>
      <w:r>
        <w:rPr>
          <w:sz w:val="24"/>
          <w:szCs w:val="24"/>
        </w:rPr>
        <w:t>Preda</w:t>
      </w:r>
      <w:proofErr w:type="spellEnd"/>
      <w:r>
        <w:rPr>
          <w:sz w:val="24"/>
          <w:szCs w:val="24"/>
        </w:rPr>
        <w:t>, O. T. (2023). M</w:t>
      </w:r>
      <w:r>
        <w:rPr>
          <w:sz w:val="24"/>
          <w:szCs w:val="24"/>
        </w:rPr>
        <w:t xml:space="preserve">icroplastics: a real global threat for environment and food safety: a </w:t>
      </w:r>
      <w:proofErr w:type="gramStart"/>
      <w:r>
        <w:rPr>
          <w:sz w:val="24"/>
          <w:szCs w:val="24"/>
        </w:rPr>
        <w:t>state of the art</w:t>
      </w:r>
      <w:proofErr w:type="gramEnd"/>
      <w:r>
        <w:rPr>
          <w:sz w:val="24"/>
          <w:szCs w:val="24"/>
        </w:rPr>
        <w:t xml:space="preserve"> review. Nutrients, 15(3), 617.</w:t>
      </w:r>
    </w:p>
    <w:p w14:paraId="78DF5579" w14:textId="77777777" w:rsidR="00DD3095" w:rsidRPr="00DD3095" w:rsidRDefault="00DD3095"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Chen, G., Xu, B., Zhang, M., &amp; Liu, X. (2023). Behavioral and neurochemical alterations in zebrafish exposed to microplastics: A comprehensive review. Science of The Total Environment, 885, 163765. https://doi.org/10.1016/j.scitotenv.2023.163765</w:t>
      </w:r>
    </w:p>
    <w:p w14:paraId="488ECD62" w14:textId="77777777" w:rsidR="00DD3095" w:rsidRPr="00DD3095" w:rsidRDefault="00DD3095"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Li, S., Wang, T., Zhang, Y., &amp; Hu, C. (2023). Microplastic exposure induces oxidative stress and altered neurotransmission in zebrafish. Environmental Pollution, 316, 120450. https://doi.org/10.1016/j.envpol.2023.120450</w:t>
      </w:r>
    </w:p>
    <w:p w14:paraId="62AA5DB2" w14:textId="77777777" w:rsidR="00DD3095" w:rsidRPr="00DD3095" w:rsidRDefault="00DD3095"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 xml:space="preserve">Nguyen, T. H. T., </w:t>
      </w:r>
      <w:proofErr w:type="spellStart"/>
      <w:r w:rsidRPr="00DD3095">
        <w:rPr>
          <w:sz w:val="24"/>
          <w:szCs w:val="24"/>
        </w:rPr>
        <w:t>Kookana</w:t>
      </w:r>
      <w:proofErr w:type="spellEnd"/>
      <w:r w:rsidRPr="00DD3095">
        <w:rPr>
          <w:sz w:val="24"/>
          <w:szCs w:val="24"/>
        </w:rPr>
        <w:t xml:space="preserve">, R. S., &amp; </w:t>
      </w:r>
      <w:proofErr w:type="spellStart"/>
      <w:r w:rsidRPr="00DD3095">
        <w:rPr>
          <w:sz w:val="24"/>
          <w:szCs w:val="24"/>
        </w:rPr>
        <w:t>Korfiatis</w:t>
      </w:r>
      <w:proofErr w:type="spellEnd"/>
      <w:r w:rsidRPr="00DD3095">
        <w:rPr>
          <w:sz w:val="24"/>
          <w:szCs w:val="24"/>
        </w:rPr>
        <w:t>, G. P. (2022). Leaching of additives from microplastics and resulting effects on aquatic organisms. Science of The Total Environment, 824, 153781. https://doi.org/10.1016/j.scitotenv.2022.153781</w:t>
      </w:r>
    </w:p>
    <w:p w14:paraId="7A6F5B24" w14:textId="77777777" w:rsidR="00DD3095" w:rsidRPr="00DD3095" w:rsidRDefault="00DD3095"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Roch, S., Teixeira de Souza, C., &amp; Leite, F. P. P. (2024). Effects of microplastic ingestion on cognitive and locomotor behavior in adult zebrafish. Aquatic Toxicology, 260, 107577. https://doi.org/10.1016/j.aquatox.2023.107577</w:t>
      </w:r>
    </w:p>
    <w:p w14:paraId="66E930C5" w14:textId="77777777" w:rsidR="00DD3095" w:rsidRPr="00DD3095" w:rsidRDefault="00DD3095" w:rsidP="00DD3095">
      <w:pPr>
        <w:pStyle w:val="ListParagraph"/>
        <w:numPr>
          <w:ilvl w:val="0"/>
          <w:numId w:val="1"/>
        </w:numPr>
        <w:tabs>
          <w:tab w:val="clear" w:pos="425"/>
          <w:tab w:val="left" w:pos="2080"/>
        </w:tabs>
        <w:spacing w:line="360" w:lineRule="auto"/>
        <w:ind w:right="-46"/>
        <w:rPr>
          <w:sz w:val="24"/>
          <w:szCs w:val="24"/>
        </w:rPr>
      </w:pPr>
      <w:r w:rsidRPr="00DD3095">
        <w:rPr>
          <w:sz w:val="24"/>
          <w:szCs w:val="24"/>
        </w:rPr>
        <w:t>Smith, L. D., Wright, S. L., &amp; Johnston, H. J. (2020). Microplastics in freshwater and terrestrial environments: Exposure pathways and effects on behavior. Environmental Science &amp; Technology Letters, 7(10), 792–800. https://doi.org/10.1021/acs.estlett.0c00503</w:t>
      </w:r>
    </w:p>
    <w:p w14:paraId="097AB673" w14:textId="77777777" w:rsidR="00DD3095" w:rsidRPr="00DD3095" w:rsidRDefault="00DD3095"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Wang, F., Chen, J., Zhao, X., &amp; Liu, J. (2025). Neuroinflammation and oxidative stress induced by microplastic extract in zebrafish brain. Toxicological Sciences, 188(1), 112–124. https://doi.org/10.1093/toxsci/kfad001</w:t>
      </w:r>
    </w:p>
    <w:p w14:paraId="3E838307" w14:textId="38303EEB" w:rsidR="00DD3095" w:rsidRDefault="00DD3095" w:rsidP="00DD3095">
      <w:pPr>
        <w:pStyle w:val="ListParagraph"/>
        <w:numPr>
          <w:ilvl w:val="0"/>
          <w:numId w:val="1"/>
        </w:numPr>
        <w:tabs>
          <w:tab w:val="left" w:pos="2080"/>
        </w:tabs>
        <w:spacing w:line="360" w:lineRule="auto"/>
        <w:ind w:right="0"/>
        <w:rPr>
          <w:sz w:val="24"/>
          <w:szCs w:val="24"/>
        </w:rPr>
      </w:pPr>
      <w:r w:rsidRPr="00DD3095">
        <w:rPr>
          <w:sz w:val="24"/>
          <w:szCs w:val="24"/>
        </w:rPr>
        <w:t>Zhang, Q., Xu, E. G., Li, J., Chen, Q., &amp; Shi, H. (2024). Dysbiosis in gut–brain axis following microplastic ingestion: Impacts on zebrafish behavior. Environmental Research, 237, 115588. https://doi.org/10.1016/j.envres.2024.115588</w:t>
      </w:r>
    </w:p>
    <w:p w14:paraId="20E10E58" w14:textId="77777777" w:rsidR="00026FF9" w:rsidRDefault="00026FF9">
      <w:pPr>
        <w:tabs>
          <w:tab w:val="left" w:pos="3636"/>
        </w:tabs>
        <w:spacing w:line="360" w:lineRule="auto"/>
        <w:jc w:val="both"/>
        <w:rPr>
          <w:sz w:val="28"/>
          <w:szCs w:val="28"/>
        </w:rPr>
      </w:pPr>
    </w:p>
    <w:p w14:paraId="74EFFFCF" w14:textId="77777777" w:rsidR="00026FF9" w:rsidRDefault="00026FF9">
      <w:pPr>
        <w:tabs>
          <w:tab w:val="left" w:pos="3636"/>
        </w:tabs>
        <w:spacing w:line="360" w:lineRule="auto"/>
        <w:jc w:val="both"/>
        <w:rPr>
          <w:sz w:val="28"/>
          <w:szCs w:val="28"/>
        </w:rPr>
      </w:pPr>
    </w:p>
    <w:p w14:paraId="3635B118" w14:textId="77777777" w:rsidR="00026FF9" w:rsidRDefault="00026FF9">
      <w:pPr>
        <w:tabs>
          <w:tab w:val="left" w:pos="3636"/>
        </w:tabs>
        <w:spacing w:line="360" w:lineRule="auto"/>
        <w:jc w:val="both"/>
        <w:rPr>
          <w:sz w:val="28"/>
          <w:szCs w:val="28"/>
        </w:rPr>
      </w:pPr>
    </w:p>
    <w:p w14:paraId="44D7BA2A" w14:textId="77777777" w:rsidR="00026FF9" w:rsidRDefault="00026FF9">
      <w:pPr>
        <w:spacing w:line="360" w:lineRule="auto"/>
        <w:jc w:val="both"/>
        <w:rPr>
          <w:sz w:val="28"/>
          <w:szCs w:val="28"/>
        </w:rPr>
      </w:pPr>
    </w:p>
    <w:sectPr w:rsidR="00026F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4D871" w14:textId="77777777" w:rsidR="00E87FE6" w:rsidRDefault="00E87FE6">
      <w:r>
        <w:separator/>
      </w:r>
    </w:p>
  </w:endnote>
  <w:endnote w:type="continuationSeparator" w:id="0">
    <w:p w14:paraId="20EAC952" w14:textId="77777777" w:rsidR="00E87FE6" w:rsidRDefault="00E8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9CC9" w14:textId="77777777" w:rsidR="00F66833" w:rsidRDefault="00F66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C00C" w14:textId="77777777" w:rsidR="00F66833" w:rsidRDefault="00F66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1013D" w14:textId="77777777" w:rsidR="00F66833" w:rsidRDefault="00F66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A5502" w14:textId="77777777" w:rsidR="00E87FE6" w:rsidRDefault="00E87FE6">
      <w:r>
        <w:separator/>
      </w:r>
    </w:p>
  </w:footnote>
  <w:footnote w:type="continuationSeparator" w:id="0">
    <w:p w14:paraId="1D1FCDC8" w14:textId="77777777" w:rsidR="00E87FE6" w:rsidRDefault="00E8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19AA" w14:textId="0F744E84" w:rsidR="00F66833" w:rsidRDefault="00F66833">
    <w:pPr>
      <w:pStyle w:val="Header"/>
    </w:pPr>
    <w:r>
      <w:rPr>
        <w:noProof/>
      </w:rPr>
      <w:pict w14:anchorId="111C8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63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977F1" w14:textId="26B27FB4" w:rsidR="00F66833" w:rsidRDefault="00F66833">
    <w:pPr>
      <w:pStyle w:val="Header"/>
    </w:pPr>
    <w:r>
      <w:rPr>
        <w:noProof/>
      </w:rPr>
      <w:pict w14:anchorId="70B33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63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6032" w14:textId="4FF437F8" w:rsidR="00F66833" w:rsidRDefault="00F66833">
    <w:pPr>
      <w:pStyle w:val="Header"/>
    </w:pPr>
    <w:r>
      <w:rPr>
        <w:noProof/>
      </w:rPr>
      <w:pict w14:anchorId="362BF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63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BD178E"/>
    <w:multiLevelType w:val="singleLevel"/>
    <w:tmpl w:val="99BD178E"/>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24"/>
    <w:rsid w:val="000145A6"/>
    <w:rsid w:val="00026FF9"/>
    <w:rsid w:val="00054794"/>
    <w:rsid w:val="000A32D6"/>
    <w:rsid w:val="0010315B"/>
    <w:rsid w:val="00253B69"/>
    <w:rsid w:val="00266B24"/>
    <w:rsid w:val="0036013D"/>
    <w:rsid w:val="004B16CB"/>
    <w:rsid w:val="004F5CF3"/>
    <w:rsid w:val="007B7B80"/>
    <w:rsid w:val="00B255CF"/>
    <w:rsid w:val="00BC5233"/>
    <w:rsid w:val="00CB095F"/>
    <w:rsid w:val="00D11CEC"/>
    <w:rsid w:val="00DD3095"/>
    <w:rsid w:val="00E739A3"/>
    <w:rsid w:val="00E77D20"/>
    <w:rsid w:val="00E87FE6"/>
    <w:rsid w:val="00E9075E"/>
    <w:rsid w:val="00F66833"/>
    <w:rsid w:val="7C7E76B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AFDCEEC"/>
  <w15:docId w15:val="{D8DF9D74-9B5E-487A-840E-B7A24E03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A32D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A32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rPr>
      <w:sz w:val="28"/>
      <w:szCs w:val="28"/>
    </w:rPr>
  </w:style>
  <w:style w:type="paragraph" w:styleId="Title">
    <w:name w:val="Title"/>
    <w:basedOn w:val="Normal"/>
    <w:link w:val="TitleChar"/>
    <w:uiPriority w:val="1"/>
    <w:qFormat/>
    <w:pPr>
      <w:spacing w:before="71"/>
      <w:ind w:left="222"/>
    </w:pPr>
    <w:rPr>
      <w:sz w:val="32"/>
      <w:szCs w:val="32"/>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8"/>
      <w:szCs w:val="28"/>
      <w:lang w:val="en-US"/>
      <w14:ligatures w14:val="none"/>
    </w:rPr>
  </w:style>
  <w:style w:type="character" w:customStyle="1" w:styleId="TitleChar">
    <w:name w:val="Title Char"/>
    <w:basedOn w:val="DefaultParagraphFont"/>
    <w:link w:val="Title"/>
    <w:uiPriority w:val="1"/>
    <w:rPr>
      <w:rFonts w:ascii="Times New Roman" w:eastAsia="Times New Roman" w:hAnsi="Times New Roman" w:cs="Times New Roman"/>
      <w:kern w:val="0"/>
      <w:sz w:val="32"/>
      <w:szCs w:val="32"/>
      <w:lang w:val="en-US"/>
      <w14:ligatures w14:val="non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0"/>
      <w:sz w:val="32"/>
      <w:szCs w:val="32"/>
      <w:lang w:val="en-US"/>
      <w14:ligatures w14:val="none"/>
    </w:rPr>
  </w:style>
  <w:style w:type="paragraph" w:styleId="ListParagraph">
    <w:name w:val="List Paragraph"/>
    <w:basedOn w:val="Normal"/>
    <w:uiPriority w:val="1"/>
    <w:qFormat/>
    <w:pPr>
      <w:ind w:left="2080" w:right="1433" w:hanging="420"/>
      <w:jc w:val="both"/>
    </w:pPr>
  </w:style>
  <w:style w:type="character" w:styleId="Hyperlink">
    <w:name w:val="Hyperlink"/>
    <w:basedOn w:val="DefaultParagraphFont"/>
    <w:uiPriority w:val="99"/>
    <w:unhideWhenUsed/>
    <w:rsid w:val="000145A6"/>
    <w:rPr>
      <w:color w:val="0563C1" w:themeColor="hyperlink"/>
      <w:u w:val="single"/>
    </w:rPr>
  </w:style>
  <w:style w:type="character" w:customStyle="1" w:styleId="Heading3Char">
    <w:name w:val="Heading 3 Char"/>
    <w:basedOn w:val="DefaultParagraphFont"/>
    <w:link w:val="Heading3"/>
    <w:uiPriority w:val="9"/>
    <w:semiHidden/>
    <w:rsid w:val="000A32D6"/>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0A32D6"/>
    <w:rPr>
      <w:rFonts w:asciiTheme="majorHAnsi" w:eastAsiaTheme="majorEastAsia" w:hAnsiTheme="majorHAnsi" w:cstheme="majorBidi"/>
      <w:i/>
      <w:iCs/>
      <w:color w:val="2F5496" w:themeColor="accent1" w:themeShade="BF"/>
      <w:sz w:val="22"/>
      <w:szCs w:val="22"/>
      <w:lang w:val="en-US" w:eastAsia="en-US"/>
    </w:rPr>
  </w:style>
  <w:style w:type="character" w:styleId="UnresolvedMention">
    <w:name w:val="Unresolved Mention"/>
    <w:basedOn w:val="DefaultParagraphFont"/>
    <w:uiPriority w:val="99"/>
    <w:semiHidden/>
    <w:unhideWhenUsed/>
    <w:rsid w:val="00E9075E"/>
    <w:rPr>
      <w:color w:val="605E5C"/>
      <w:shd w:val="clear" w:color="auto" w:fill="E1DFDD"/>
    </w:rPr>
  </w:style>
  <w:style w:type="paragraph" w:styleId="Header">
    <w:name w:val="header"/>
    <w:basedOn w:val="Normal"/>
    <w:link w:val="HeaderChar"/>
    <w:uiPriority w:val="99"/>
    <w:unhideWhenUsed/>
    <w:rsid w:val="00F66833"/>
    <w:pPr>
      <w:tabs>
        <w:tab w:val="center" w:pos="4680"/>
        <w:tab w:val="right" w:pos="9360"/>
      </w:tabs>
    </w:pPr>
  </w:style>
  <w:style w:type="character" w:customStyle="1" w:styleId="HeaderChar">
    <w:name w:val="Header Char"/>
    <w:basedOn w:val="DefaultParagraphFont"/>
    <w:link w:val="Header"/>
    <w:uiPriority w:val="99"/>
    <w:rsid w:val="00F66833"/>
    <w:rPr>
      <w:rFonts w:ascii="Times New Roman" w:eastAsia="Times New Roman" w:hAnsi="Times New Roman" w:cs="Times New Roman"/>
      <w:sz w:val="22"/>
      <w:szCs w:val="22"/>
      <w:lang w:val="en-US" w:eastAsia="en-US"/>
    </w:rPr>
  </w:style>
  <w:style w:type="paragraph" w:styleId="Footer">
    <w:name w:val="footer"/>
    <w:basedOn w:val="Normal"/>
    <w:link w:val="FooterChar"/>
    <w:uiPriority w:val="99"/>
    <w:unhideWhenUsed/>
    <w:rsid w:val="00F66833"/>
    <w:pPr>
      <w:tabs>
        <w:tab w:val="center" w:pos="4680"/>
        <w:tab w:val="right" w:pos="9360"/>
      </w:tabs>
    </w:pPr>
  </w:style>
  <w:style w:type="character" w:customStyle="1" w:styleId="FooterChar">
    <w:name w:val="Footer Char"/>
    <w:basedOn w:val="DefaultParagraphFont"/>
    <w:link w:val="Footer"/>
    <w:uiPriority w:val="99"/>
    <w:rsid w:val="00F66833"/>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Veronica</dc:creator>
  <cp:lastModifiedBy>SDI 1084</cp:lastModifiedBy>
  <cp:revision>7</cp:revision>
  <dcterms:created xsi:type="dcterms:W3CDTF">2026-01-19T04:13:00Z</dcterms:created>
  <dcterms:modified xsi:type="dcterms:W3CDTF">2026-01-21T13:48:00Z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60AC0E4C2572414FB678409BBAA2675C_12</vt:lpwstr>
  </property>
</Properties>
</file>