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8845D" w14:textId="77777777" w:rsidR="00FE2F93" w:rsidRDefault="00BA0D49">
      <w:pPr>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Microbial Assessment and Antibiotic Resistance Profiling of Bacterial Isolates from Surface Water of </w:t>
      </w:r>
      <w:proofErr w:type="spellStart"/>
      <w:r>
        <w:rPr>
          <w:rFonts w:ascii="Times New Roman" w:eastAsia="Times New Roman" w:hAnsi="Times New Roman" w:cs="Times New Roman"/>
          <w:b/>
          <w:bCs/>
          <w:color w:val="000000"/>
          <w:sz w:val="28"/>
          <w:szCs w:val="28"/>
        </w:rPr>
        <w:t>Poondi</w:t>
      </w:r>
      <w:proofErr w:type="spellEnd"/>
      <w:r>
        <w:rPr>
          <w:rFonts w:ascii="Times New Roman" w:eastAsia="Times New Roman" w:hAnsi="Times New Roman" w:cs="Times New Roman"/>
          <w:b/>
          <w:bCs/>
          <w:color w:val="000000"/>
          <w:sz w:val="28"/>
          <w:szCs w:val="28"/>
        </w:rPr>
        <w:t xml:space="preserve"> Lake, Tamil Nadu</w:t>
      </w:r>
    </w:p>
    <w:p w14:paraId="345E2A5D" w14:textId="39A116FC" w:rsidR="00FE2F93" w:rsidRDefault="00FE2F93">
      <w:pPr>
        <w:jc w:val="both"/>
        <w:rPr>
          <w:rFonts w:ascii="Times New Roman" w:eastAsia="Helvetica" w:hAnsi="Times New Roman" w:cs="Times New Roman"/>
          <w:i/>
          <w:iCs/>
          <w:color w:val="00B0F0"/>
          <w:sz w:val="24"/>
          <w:szCs w:val="24"/>
          <w:u w:val="single"/>
          <w:shd w:val="clear" w:color="auto" w:fill="FFFFFF"/>
          <w:lang w:val="en-IN"/>
        </w:rPr>
      </w:pPr>
    </w:p>
    <w:p w14:paraId="73FB8F9F" w14:textId="77777777" w:rsidR="00FA0375" w:rsidRDefault="00FA0375">
      <w:pPr>
        <w:jc w:val="both"/>
        <w:rPr>
          <w:rFonts w:ascii="Times New Roman" w:eastAsia="Helvetica" w:hAnsi="Times New Roman" w:cs="Times New Roman"/>
          <w:i/>
          <w:iCs/>
          <w:color w:val="00B0F0"/>
          <w:sz w:val="24"/>
          <w:szCs w:val="24"/>
          <w:u w:val="single"/>
          <w:shd w:val="clear" w:color="auto" w:fill="FFFFFF"/>
          <w:lang w:val="en-IN"/>
        </w:rPr>
      </w:pPr>
    </w:p>
    <w:p w14:paraId="1B8C0063" w14:textId="77777777" w:rsidR="00FE2F93" w:rsidRDefault="00BA0D49">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ABSTRACT </w:t>
      </w:r>
    </w:p>
    <w:p w14:paraId="64F79E32" w14:textId="77777777" w:rsidR="00FE2F93" w:rsidRDefault="00BA0D49">
      <w:pPr>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The present study aims to assess the antibiotic resistance of bacterial isolates from the </w:t>
      </w:r>
      <w:proofErr w:type="spellStart"/>
      <w:r>
        <w:rPr>
          <w:rFonts w:ascii="Times New Roman" w:eastAsia="Times New Roman" w:hAnsi="Times New Roman" w:cs="Times New Roman"/>
          <w:bCs/>
          <w:color w:val="000000"/>
          <w:sz w:val="24"/>
          <w:szCs w:val="24"/>
        </w:rPr>
        <w:t>Poondi</w:t>
      </w:r>
      <w:proofErr w:type="spellEnd"/>
      <w:r>
        <w:rPr>
          <w:rFonts w:ascii="Times New Roman" w:eastAsia="Times New Roman" w:hAnsi="Times New Roman" w:cs="Times New Roman"/>
          <w:bCs/>
          <w:color w:val="000000"/>
          <w:sz w:val="24"/>
          <w:szCs w:val="24"/>
        </w:rPr>
        <w:t xml:space="preserve"> Lake, Tamil Nadu. The collected surface water samples were subjected to enumeration of Total Viable Count (TVC) on nutrient agar medium. The bacterial load ranged from </w:t>
      </w:r>
      <w:r>
        <w:rPr>
          <w:rFonts w:ascii="Times New Roman" w:hAnsi="Times New Roman" w:cs="Times New Roman"/>
          <w:color w:val="000000"/>
          <w:sz w:val="24"/>
          <w:szCs w:val="24"/>
        </w:rPr>
        <w:t>3.66</w:t>
      </w:r>
      <w:r>
        <w:rPr>
          <w:rFonts w:ascii="Times New Roman" w:eastAsiaTheme="minorEastAsia" w:hAnsi="Times New Roman" w:cs="Times New Roman"/>
          <w:color w:val="000000"/>
          <w:sz w:val="24"/>
          <w:szCs w:val="24"/>
        </w:rPr>
        <w:t xml:space="preserve"> to 4.01</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w:t>
      </w:r>
      <w:r>
        <w:rPr>
          <w:rFonts w:ascii="Times New Roman" w:eastAsia="Times New Roman" w:hAnsi="Times New Roman" w:cs="Times New Roman"/>
          <w:bCs/>
          <w:color w:val="000000"/>
          <w:sz w:val="24"/>
          <w:szCs w:val="24"/>
        </w:rPr>
        <w:t>Further, four dominant and morphologically distinct colonies w</w:t>
      </w:r>
      <w:r>
        <w:rPr>
          <w:rFonts w:ascii="Times New Roman" w:eastAsia="Times New Roman" w:hAnsi="Times New Roman" w:cs="Times New Roman"/>
          <w:bCs/>
          <w:color w:val="000000"/>
          <w:sz w:val="24"/>
          <w:szCs w:val="24"/>
        </w:rPr>
        <w:t xml:space="preserve">ere purified by quadrant streaking and biochemically analyzed to identify the bacteria. On analysis, </w:t>
      </w:r>
      <w:r>
        <w:rPr>
          <w:rFonts w:ascii="Times New Roman" w:eastAsia="Times New Roman" w:hAnsi="Times New Roman" w:cs="Times New Roman"/>
          <w:bCs/>
          <w:i/>
          <w:color w:val="000000"/>
          <w:sz w:val="24"/>
          <w:szCs w:val="24"/>
        </w:rPr>
        <w:t xml:space="preserve">Klebsiella </w:t>
      </w:r>
      <w:r>
        <w:rPr>
          <w:rFonts w:ascii="Times New Roman" w:eastAsia="Times New Roman" w:hAnsi="Times New Roman" w:cs="Times New Roman"/>
          <w:bCs/>
          <w:color w:val="000000"/>
          <w:sz w:val="24"/>
          <w:szCs w:val="24"/>
        </w:rPr>
        <w:t xml:space="preserve">spp., </w:t>
      </w:r>
      <w:r>
        <w:rPr>
          <w:rFonts w:ascii="Times New Roman" w:eastAsia="Times New Roman" w:hAnsi="Times New Roman" w:cs="Times New Roman"/>
          <w:bCs/>
          <w:i/>
          <w:color w:val="000000"/>
          <w:sz w:val="24"/>
          <w:szCs w:val="24"/>
        </w:rPr>
        <w:t xml:space="preserve">Pseudomonas </w:t>
      </w:r>
      <w:r>
        <w:rPr>
          <w:rFonts w:ascii="Times New Roman" w:eastAsia="Times New Roman" w:hAnsi="Times New Roman" w:cs="Times New Roman"/>
          <w:bCs/>
          <w:color w:val="000000"/>
          <w:sz w:val="24"/>
          <w:szCs w:val="24"/>
        </w:rPr>
        <w:t xml:space="preserve">spp., </w:t>
      </w:r>
      <w:r>
        <w:rPr>
          <w:rFonts w:ascii="Times New Roman" w:eastAsia="Times New Roman" w:hAnsi="Times New Roman" w:cs="Times New Roman"/>
          <w:bCs/>
          <w:i/>
          <w:color w:val="000000"/>
          <w:sz w:val="24"/>
          <w:szCs w:val="24"/>
        </w:rPr>
        <w:t xml:space="preserve">Escherichia </w:t>
      </w:r>
      <w:r>
        <w:rPr>
          <w:rFonts w:ascii="Times New Roman" w:eastAsia="Times New Roman" w:hAnsi="Times New Roman" w:cs="Times New Roman"/>
          <w:bCs/>
          <w:color w:val="000000"/>
          <w:sz w:val="24"/>
          <w:szCs w:val="24"/>
        </w:rPr>
        <w:t xml:space="preserve">spp., and </w:t>
      </w:r>
      <w:r>
        <w:rPr>
          <w:rFonts w:ascii="Times New Roman" w:eastAsia="Times New Roman" w:hAnsi="Times New Roman" w:cs="Times New Roman"/>
          <w:bCs/>
          <w:i/>
          <w:color w:val="000000"/>
          <w:sz w:val="24"/>
          <w:szCs w:val="24"/>
        </w:rPr>
        <w:t xml:space="preserve">Staphylococcus </w:t>
      </w:r>
      <w:r>
        <w:rPr>
          <w:rFonts w:ascii="Times New Roman" w:eastAsia="Times New Roman" w:hAnsi="Times New Roman" w:cs="Times New Roman"/>
          <w:bCs/>
          <w:color w:val="000000"/>
          <w:sz w:val="24"/>
          <w:szCs w:val="24"/>
        </w:rPr>
        <w:t xml:space="preserve">spp. were detected to be more prevalent. Then, </w:t>
      </w:r>
      <w:r>
        <w:rPr>
          <w:rFonts w:ascii="Times New Roman" w:eastAsia="Times New Roman" w:hAnsi="Times New Roman" w:cs="Times New Roman"/>
          <w:bCs/>
          <w:color w:val="000000"/>
          <w:sz w:val="24"/>
          <w:szCs w:val="24"/>
          <w:lang w:val="en-IN"/>
        </w:rPr>
        <w:t xml:space="preserve">an </w:t>
      </w:r>
      <w:r>
        <w:rPr>
          <w:rFonts w:ascii="Times New Roman" w:eastAsia="Times New Roman" w:hAnsi="Times New Roman" w:cs="Times New Roman"/>
          <w:bCs/>
          <w:color w:val="000000"/>
          <w:sz w:val="24"/>
          <w:szCs w:val="24"/>
        </w:rPr>
        <w:t>Antimicrobial Susceptibility Test</w:t>
      </w:r>
      <w:r>
        <w:rPr>
          <w:rFonts w:ascii="Times New Roman" w:eastAsia="Times New Roman" w:hAnsi="Times New Roman" w:cs="Times New Roman"/>
          <w:bCs/>
          <w:color w:val="000000"/>
          <w:sz w:val="24"/>
          <w:szCs w:val="24"/>
        </w:rPr>
        <w:t xml:space="preserve"> (AST) was performed on bacterial isolates using the Kirby-Bauer disc diffusion method with ten commonly used antibiotics across Tamil Nadu. Among the tested isolates, </w:t>
      </w:r>
      <w:r>
        <w:rPr>
          <w:rFonts w:ascii="Times New Roman" w:eastAsia="Times New Roman" w:hAnsi="Times New Roman" w:cs="Times New Roman"/>
          <w:bCs/>
          <w:i/>
          <w:color w:val="000000"/>
          <w:sz w:val="24"/>
          <w:szCs w:val="24"/>
        </w:rPr>
        <w:t xml:space="preserve">Klebsiella, Escherichia, </w:t>
      </w:r>
      <w:r>
        <w:rPr>
          <w:rFonts w:ascii="Times New Roman" w:eastAsia="Times New Roman" w:hAnsi="Times New Roman" w:cs="Times New Roman"/>
          <w:bCs/>
          <w:color w:val="000000"/>
          <w:sz w:val="24"/>
          <w:szCs w:val="24"/>
        </w:rPr>
        <w:t xml:space="preserve">and </w:t>
      </w:r>
      <w:r>
        <w:rPr>
          <w:rFonts w:ascii="Times New Roman" w:eastAsia="Times New Roman" w:hAnsi="Times New Roman" w:cs="Times New Roman"/>
          <w:bCs/>
          <w:i/>
          <w:color w:val="000000"/>
          <w:sz w:val="24"/>
          <w:szCs w:val="24"/>
        </w:rPr>
        <w:t xml:space="preserve">Staphylococcus </w:t>
      </w:r>
      <w:r>
        <w:rPr>
          <w:rFonts w:ascii="Times New Roman" w:eastAsia="Times New Roman" w:hAnsi="Times New Roman" w:cs="Times New Roman"/>
          <w:bCs/>
          <w:color w:val="000000"/>
          <w:sz w:val="24"/>
          <w:szCs w:val="24"/>
        </w:rPr>
        <w:t>were found to be superbugs showing Multi-Dru</w:t>
      </w:r>
      <w:r>
        <w:rPr>
          <w:rFonts w:ascii="Times New Roman" w:eastAsia="Times New Roman" w:hAnsi="Times New Roman" w:cs="Times New Roman"/>
          <w:bCs/>
          <w:color w:val="000000"/>
          <w:sz w:val="24"/>
          <w:szCs w:val="24"/>
        </w:rPr>
        <w:t xml:space="preserve">g Resistance (MDR). Increased resistance was observed towards </w:t>
      </w:r>
      <w:r>
        <w:rPr>
          <w:rFonts w:ascii="Times New Roman" w:hAnsi="Times New Roman" w:cs="Times New Roman"/>
          <w:sz w:val="24"/>
          <w:szCs w:val="24"/>
        </w:rPr>
        <w:t>β-lactams, fluoroquinolones, and tetracyclines, while aminoglycosides showed powerful effects against bacteria. Resistance towards old as well as last-resort antibiotics leads to accumulation an</w:t>
      </w:r>
      <w:r>
        <w:rPr>
          <w:rFonts w:ascii="Times New Roman" w:hAnsi="Times New Roman" w:cs="Times New Roman"/>
          <w:sz w:val="24"/>
          <w:szCs w:val="24"/>
        </w:rPr>
        <w:t xml:space="preserve">d emergence of MDR microorganisms in the environment. Thus, the findings highlight the presence of antibiotic-resistant bacteria, emphasizing the need for pollution prevention and continuous monitoring of inland water bodies. </w:t>
      </w:r>
    </w:p>
    <w:p w14:paraId="0A7CC1E7"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Antibiotic resistance bacteria, Biochemical assay, Antimicrobial Susceptibility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bCs/>
          <w:color w:val="000000"/>
          <w:sz w:val="24"/>
          <w:szCs w:val="24"/>
        </w:rPr>
        <w:t>Kirby-Bauer method, multidrug resistance.</w:t>
      </w:r>
    </w:p>
    <w:p w14:paraId="6F27774F"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1. INTRODUCTION</w:t>
      </w:r>
    </w:p>
    <w:p w14:paraId="5818FAF9" w14:textId="77777777" w:rsidR="00FE2F93" w:rsidRDefault="00BA0D49">
      <w:pPr>
        <w:pStyle w:val="NormalWeb"/>
        <w:spacing w:before="240" w:beforeAutospacing="0" w:after="240" w:afterAutospacing="0" w:line="360" w:lineRule="auto"/>
        <w:jc w:val="both"/>
        <w:rPr>
          <w:rFonts w:ascii="Arial" w:hAnsi="Arial" w:cs="Arial"/>
          <w:color w:val="222222"/>
          <w:shd w:val="clear" w:color="auto" w:fill="FFFFFF"/>
        </w:rPr>
      </w:pPr>
      <w:r>
        <w:rPr>
          <w:color w:val="000000"/>
        </w:rPr>
        <w:t xml:space="preserve">Water bodies are increasingly polluted by human activities, including the dumping of plastic waste, untreated </w:t>
      </w:r>
      <w:r>
        <w:rPr>
          <w:color w:val="000000"/>
        </w:rPr>
        <w:t>sewage discharge, industrial effluents, and urbanization. This results in the accumulation of toxic substances, including microplastics, heavy metals, nutrients, and the emergence of harmful pathogens (Kumar et al., 2025). The release of antibiotics into t</w:t>
      </w:r>
      <w:r>
        <w:rPr>
          <w:color w:val="000000"/>
        </w:rPr>
        <w:t xml:space="preserve">he water </w:t>
      </w:r>
      <w:r>
        <w:rPr>
          <w:color w:val="000000"/>
        </w:rPr>
        <w:lastRenderedPageBreak/>
        <w:t xml:space="preserve">bodies through hospitals, domestic, and agricultural waste leads to the piling up of antibiotic residuals </w:t>
      </w:r>
      <w:r>
        <w:t>(</w:t>
      </w:r>
      <w:r>
        <w:rPr>
          <w:shd w:val="clear" w:color="auto" w:fill="FFFFFF"/>
        </w:rPr>
        <w:t>Larsson, 2014).</w:t>
      </w:r>
      <w:r>
        <w:rPr>
          <w:color w:val="000000"/>
        </w:rPr>
        <w:t xml:space="preserve"> The long-term exposure to antibiotics causes the emergence of Antibiotic-Resistant Bacteria (ARB) </w:t>
      </w:r>
      <w:r>
        <w:t>(</w:t>
      </w:r>
      <w:r>
        <w:rPr>
          <w:shd w:val="clear" w:color="auto" w:fill="FFFFFF"/>
        </w:rPr>
        <w:t>Leonard et al., 2022)</w:t>
      </w:r>
      <w:r>
        <w:t>.</w:t>
      </w:r>
      <w:r>
        <w:rPr>
          <w:color w:val="000000"/>
        </w:rPr>
        <w:t xml:space="preserve"> Ho</w:t>
      </w:r>
      <w:r>
        <w:rPr>
          <w:color w:val="000000"/>
        </w:rPr>
        <w:t xml:space="preserve">rizontal transfer of these resistance genes results in gradual dominance of virulent forms, thus raising an alarming concern over public health (Fu et al., 2022). It is reported that the same infection caused by a resistant strain causes double the impact </w:t>
      </w:r>
      <w:r>
        <w:rPr>
          <w:color w:val="000000"/>
        </w:rPr>
        <w:t>of a sensitive strain (</w:t>
      </w:r>
      <w:proofErr w:type="spellStart"/>
      <w:r>
        <w:rPr>
          <w:shd w:val="clear" w:color="auto" w:fill="FFFFFF"/>
        </w:rPr>
        <w:t>Amarasiri</w:t>
      </w:r>
      <w:proofErr w:type="spellEnd"/>
      <w:r>
        <w:rPr>
          <w:shd w:val="clear" w:color="auto" w:fill="FFFFFF"/>
        </w:rPr>
        <w:t xml:space="preserve"> M et al., 2020)</w:t>
      </w:r>
      <w:r>
        <w:rPr>
          <w:color w:val="000000"/>
        </w:rPr>
        <w:t>. These increased severities of diseases bring about delays in treatments, an enhanced death rate, etc. (</w:t>
      </w:r>
      <w:proofErr w:type="spellStart"/>
      <w:r>
        <w:rPr>
          <w:shd w:val="clear" w:color="auto" w:fill="FFFFFF"/>
        </w:rPr>
        <w:t>Serwecińska</w:t>
      </w:r>
      <w:proofErr w:type="spellEnd"/>
      <w:r>
        <w:rPr>
          <w:shd w:val="clear" w:color="auto" w:fill="FFFFFF"/>
        </w:rPr>
        <w:t>, 2020)</w:t>
      </w:r>
      <w:r>
        <w:rPr>
          <w:color w:val="000000"/>
        </w:rPr>
        <w:t>. It is reported that ARB</w:t>
      </w:r>
      <w:r>
        <w:rPr>
          <w:color w:val="000000"/>
          <w:lang w:val="en-IN"/>
        </w:rPr>
        <w:t>s</w:t>
      </w:r>
      <w:r>
        <w:rPr>
          <w:color w:val="000000"/>
        </w:rPr>
        <w:t xml:space="preserve"> are prevalent in countries like Africa, the United States,</w:t>
      </w:r>
      <w:r>
        <w:rPr>
          <w:color w:val="000000"/>
        </w:rPr>
        <w:t xml:space="preserve"> France, Italy, and China (</w:t>
      </w:r>
      <w:proofErr w:type="spellStart"/>
      <w:r>
        <w:rPr>
          <w:shd w:val="clear" w:color="auto" w:fill="FFFFFF"/>
        </w:rPr>
        <w:t>Talebi</w:t>
      </w:r>
      <w:proofErr w:type="spellEnd"/>
      <w:r>
        <w:rPr>
          <w:shd w:val="clear" w:color="auto" w:fill="FFFFFF"/>
        </w:rPr>
        <w:t xml:space="preserve"> </w:t>
      </w:r>
      <w:proofErr w:type="spellStart"/>
      <w:r>
        <w:rPr>
          <w:shd w:val="clear" w:color="auto" w:fill="FFFFFF"/>
        </w:rPr>
        <w:t>Bezmin</w:t>
      </w:r>
      <w:proofErr w:type="spellEnd"/>
      <w:r>
        <w:rPr>
          <w:shd w:val="clear" w:color="auto" w:fill="FFFFFF"/>
        </w:rPr>
        <w:t xml:space="preserve"> Abadi et al., 2019)</w:t>
      </w:r>
      <w:r>
        <w:rPr>
          <w:color w:val="000000"/>
        </w:rPr>
        <w:t>. WHO also states that poor sanitation and widespread utilization of antibiotics in highly populated South Asian countries such as India, Pakistan, Bangladesh, and Nepal are rising sharply (</w:t>
      </w:r>
      <w:r>
        <w:rPr>
          <w:color w:val="222222"/>
          <w:shd w:val="clear" w:color="auto" w:fill="FFFFFF"/>
        </w:rPr>
        <w:t>Fletch</w:t>
      </w:r>
      <w:r>
        <w:rPr>
          <w:color w:val="222222"/>
          <w:shd w:val="clear" w:color="auto" w:fill="FFFFFF"/>
        </w:rPr>
        <w:t>er, 2015).</w:t>
      </w:r>
    </w:p>
    <w:p w14:paraId="5161043D" w14:textId="77777777" w:rsidR="00FE2F93" w:rsidRDefault="00BA0D49">
      <w:pPr>
        <w:pStyle w:val="NormalWeb"/>
        <w:spacing w:before="240" w:beforeAutospacing="0" w:after="240" w:afterAutospacing="0" w:line="360" w:lineRule="auto"/>
        <w:jc w:val="both"/>
        <w:rPr>
          <w:color w:val="000000"/>
        </w:rPr>
      </w:pPr>
      <w:r>
        <w:rPr>
          <w:color w:val="000000"/>
        </w:rPr>
        <w:t>In India, nearly 37.7 million water-borne diseases were reported yearly, including diarrhea, cholera, jaundice, typhoid, and hepatitis (Kumar et al., 2022). Approximately 1.3 million children below the age of 12 have died annually due to diarrhe</w:t>
      </w:r>
      <w:r>
        <w:rPr>
          <w:color w:val="000000"/>
        </w:rPr>
        <w:t xml:space="preserve">a </w:t>
      </w:r>
      <w:r>
        <w:t>(</w:t>
      </w:r>
      <w:proofErr w:type="spellStart"/>
      <w:r>
        <w:rPr>
          <w:shd w:val="clear" w:color="auto" w:fill="FFFFFF"/>
        </w:rPr>
        <w:t>Karambizi</w:t>
      </w:r>
      <w:proofErr w:type="spellEnd"/>
      <w:r>
        <w:rPr>
          <w:shd w:val="clear" w:color="auto" w:fill="FFFFFF"/>
        </w:rPr>
        <w:t xml:space="preserve"> et al., 2021</w:t>
      </w:r>
      <w:proofErr w:type="gramStart"/>
      <w:r>
        <w:rPr>
          <w:shd w:val="clear" w:color="auto" w:fill="FFFFFF"/>
        </w:rPr>
        <w:t>).</w:t>
      </w:r>
      <w:r>
        <w:rPr>
          <w:color w:val="000000"/>
        </w:rPr>
        <w:t>Several</w:t>
      </w:r>
      <w:proofErr w:type="gramEnd"/>
      <w:r>
        <w:rPr>
          <w:color w:val="000000"/>
        </w:rPr>
        <w:t xml:space="preserve"> classes of antibiotics, such as </w:t>
      </w:r>
      <w:proofErr w:type="spellStart"/>
      <w:r>
        <w:rPr>
          <w:color w:val="000000"/>
        </w:rPr>
        <w:t>penicillins</w:t>
      </w:r>
      <w:proofErr w:type="spellEnd"/>
      <w:r>
        <w:rPr>
          <w:color w:val="000000"/>
        </w:rPr>
        <w:t xml:space="preserve">, fluoroquinolones, cephalosporins, and tetracyclines, are commonly used as first-line therapy in India </w:t>
      </w:r>
      <w:r>
        <w:t>(</w:t>
      </w:r>
      <w:r>
        <w:rPr>
          <w:shd w:val="clear" w:color="auto" w:fill="FFFFFF"/>
        </w:rPr>
        <w:t>Kant and Tripathi, 2023)</w:t>
      </w:r>
      <w:r>
        <w:t>.</w:t>
      </w:r>
      <w:r>
        <w:rPr>
          <w:color w:val="000000"/>
        </w:rPr>
        <w:t xml:space="preserve"> Thus, </w:t>
      </w:r>
      <w:proofErr w:type="spellStart"/>
      <w:r>
        <w:rPr>
          <w:color w:val="000000"/>
        </w:rPr>
        <w:t>overusage</w:t>
      </w:r>
      <w:proofErr w:type="spellEnd"/>
      <w:r>
        <w:rPr>
          <w:color w:val="000000"/>
        </w:rPr>
        <w:t xml:space="preserve"> and unregulated sales of antibi</w:t>
      </w:r>
      <w:r>
        <w:rPr>
          <w:color w:val="000000"/>
        </w:rPr>
        <w:t xml:space="preserve">otics in developing countries cause the emergence of ARB like </w:t>
      </w:r>
      <w:r>
        <w:rPr>
          <w:i/>
          <w:iCs/>
          <w:color w:val="000000"/>
        </w:rPr>
        <w:t>Escherichia coli</w:t>
      </w:r>
      <w:r>
        <w:rPr>
          <w:color w:val="000000"/>
        </w:rPr>
        <w:t xml:space="preserve">, </w:t>
      </w:r>
      <w:r>
        <w:rPr>
          <w:i/>
          <w:iCs/>
          <w:color w:val="000000"/>
        </w:rPr>
        <w:t xml:space="preserve">Klebsiella </w:t>
      </w:r>
      <w:r>
        <w:rPr>
          <w:iCs/>
          <w:color w:val="000000"/>
        </w:rPr>
        <w:t>spp.</w:t>
      </w:r>
      <w:r>
        <w:rPr>
          <w:color w:val="000000"/>
        </w:rPr>
        <w:t xml:space="preserve">, and </w:t>
      </w:r>
      <w:r>
        <w:rPr>
          <w:i/>
          <w:iCs/>
          <w:color w:val="000000"/>
        </w:rPr>
        <w:t xml:space="preserve">Pseudomonas </w:t>
      </w:r>
      <w:r>
        <w:rPr>
          <w:iCs/>
          <w:color w:val="000000"/>
        </w:rPr>
        <w:t>spp</w:t>
      </w:r>
      <w:r>
        <w:rPr>
          <w:color w:val="000000"/>
        </w:rPr>
        <w:t xml:space="preserve">. </w:t>
      </w:r>
      <w:r>
        <w:t>(</w:t>
      </w:r>
      <w:r>
        <w:rPr>
          <w:shd w:val="clear" w:color="auto" w:fill="FFFFFF"/>
        </w:rPr>
        <w:t>Otia and Dubey, 2024)</w:t>
      </w:r>
      <w:r>
        <w:rPr>
          <w:color w:val="000000"/>
        </w:rPr>
        <w:t>. Recent studies on surface water of lakes and reservoirs revealed the existence of similar ARB found in hospital an</w:t>
      </w:r>
      <w:r>
        <w:rPr>
          <w:color w:val="000000"/>
        </w:rPr>
        <w:t>d industrial effluents, indicating the environmental transmission of harmful pathogens (</w:t>
      </w:r>
      <w:r>
        <w:rPr>
          <w:shd w:val="clear" w:color="auto" w:fill="FFFFFF"/>
        </w:rPr>
        <w:t>Stanton et al., 2022)</w:t>
      </w:r>
      <w:r>
        <w:rPr>
          <w:color w:val="000000"/>
        </w:rPr>
        <w:t>. In Tamil Nadu, the studies on antibiotic resistance profiling of water reservoirs remain limited. Thus, this study investigates the presence of A</w:t>
      </w:r>
      <w:r>
        <w:rPr>
          <w:color w:val="000000"/>
        </w:rPr>
        <w:t xml:space="preserve">RB in </w:t>
      </w:r>
      <w:proofErr w:type="spellStart"/>
      <w:r>
        <w:rPr>
          <w:color w:val="000000"/>
        </w:rPr>
        <w:t>Poondi</w:t>
      </w:r>
      <w:proofErr w:type="spellEnd"/>
      <w:r>
        <w:rPr>
          <w:color w:val="000000"/>
        </w:rPr>
        <w:t xml:space="preserve"> Lake, one of the major drinking water suppliers of Tamil Nadu. The study aims to identify resistance patterns, assess potential public health risks, and provide data to guide future water quality monitoring and management strategies.</w:t>
      </w:r>
    </w:p>
    <w:p w14:paraId="11EC7393" w14:textId="77777777" w:rsidR="00FE2F93" w:rsidRDefault="00BA0D49">
      <w:pPr>
        <w:pStyle w:val="NormalWeb"/>
        <w:spacing w:before="240" w:beforeAutospacing="0" w:after="240" w:afterAutospacing="0" w:line="360" w:lineRule="auto"/>
        <w:jc w:val="both"/>
      </w:pPr>
      <w:r>
        <w:rPr>
          <w:b/>
        </w:rPr>
        <w:t xml:space="preserve">2. </w:t>
      </w:r>
      <w:r>
        <w:rPr>
          <w:b/>
        </w:rPr>
        <w:t>MATERIALS AND METHODS</w:t>
      </w:r>
    </w:p>
    <w:p w14:paraId="371A98F5"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2.1. Sample Collection</w:t>
      </w:r>
    </w:p>
    <w:p w14:paraId="126ABE95" w14:textId="77777777" w:rsidR="00FE2F93" w:rsidRDefault="00BA0D49">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In this study, water samples were collected from the </w:t>
      </w:r>
      <w:proofErr w:type="spellStart"/>
      <w:r>
        <w:rPr>
          <w:rFonts w:ascii="Times New Roman" w:hAnsi="Times New Roman" w:cs="Times New Roman"/>
          <w:sz w:val="24"/>
          <w:szCs w:val="24"/>
        </w:rPr>
        <w:t>Poondi</w:t>
      </w:r>
      <w:proofErr w:type="spellEnd"/>
      <w:r>
        <w:rPr>
          <w:rFonts w:ascii="Times New Roman" w:hAnsi="Times New Roman" w:cs="Times New Roman"/>
          <w:sz w:val="24"/>
          <w:szCs w:val="24"/>
        </w:rPr>
        <w:t xml:space="preserve"> Lake, Tamil Nadu, for microbial analysis and their resistance against commonly used antibiotics. This water body serves as one of </w:t>
      </w:r>
      <w:r>
        <w:rPr>
          <w:rFonts w:ascii="Times New Roman" w:hAnsi="Times New Roman" w:cs="Times New Roman"/>
          <w:sz w:val="24"/>
          <w:szCs w:val="24"/>
        </w:rPr>
        <w:lastRenderedPageBreak/>
        <w:t>the important drinking water sources of Tamil Nadu. Water samples were collected from four sampling sites across the reservoi</w:t>
      </w:r>
      <w:r>
        <w:rPr>
          <w:rFonts w:ascii="Times New Roman" w:hAnsi="Times New Roman" w:cs="Times New Roman"/>
          <w:sz w:val="24"/>
          <w:szCs w:val="24"/>
        </w:rPr>
        <w:t xml:space="preserve">r. The geographical coordinates of the sampling site </w:t>
      </w:r>
      <w:proofErr w:type="gramStart"/>
      <w:r>
        <w:rPr>
          <w:rFonts w:ascii="Times New Roman" w:hAnsi="Times New Roman" w:cs="Times New Roman"/>
          <w:sz w:val="24"/>
          <w:szCs w:val="24"/>
        </w:rPr>
        <w:t>includes</w:t>
      </w:r>
      <w:proofErr w:type="gramEnd"/>
      <w:r>
        <w:rPr>
          <w:rFonts w:ascii="Times New Roman" w:hAnsi="Times New Roman" w:cs="Times New Roman"/>
          <w:sz w:val="24"/>
          <w:szCs w:val="24"/>
        </w:rPr>
        <w:t xml:space="preserve"> 13.211195⁰ N, 79.872580⁰ E (S1), 13.195209⁰ N, 79.890385⁰ E (S2), 13.185394⁰ N, 79.889707⁰ E (S3), and 13.168186⁰ N, 79.883364⁰ E (S4). All analyses were </w:t>
      </w:r>
      <w:r>
        <w:rPr>
          <w:rFonts w:ascii="Times New Roman" w:hAnsi="Times New Roman" w:cs="Times New Roman"/>
          <w:sz w:val="24"/>
          <w:szCs w:val="24"/>
          <w:lang w:val="en-IN"/>
        </w:rPr>
        <w:t>performed</w:t>
      </w:r>
      <w:r>
        <w:rPr>
          <w:rFonts w:ascii="Times New Roman" w:hAnsi="Times New Roman" w:cs="Times New Roman"/>
          <w:sz w:val="24"/>
          <w:szCs w:val="24"/>
        </w:rPr>
        <w:t xml:space="preserve"> in triplicate.</w:t>
      </w:r>
    </w:p>
    <w:p w14:paraId="241E09DC"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 xml:space="preserve">2.2. Microbial </w:t>
      </w:r>
      <w:r>
        <w:rPr>
          <w:rFonts w:ascii="Times New Roman" w:hAnsi="Times New Roman" w:cs="Times New Roman"/>
          <w:b/>
          <w:sz w:val="24"/>
          <w:szCs w:val="24"/>
        </w:rPr>
        <w:t>Analysis</w:t>
      </w:r>
    </w:p>
    <w:p w14:paraId="2F6D0B73"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 xml:space="preserve">2.2.1. Processing of water samples </w:t>
      </w:r>
    </w:p>
    <w:p w14:paraId="055CFC0B" w14:textId="77777777" w:rsidR="00FE2F93" w:rsidRDefault="00BA0D49">
      <w:pPr>
        <w:jc w:val="both"/>
        <w:rPr>
          <w:rFonts w:ascii="Times New Roman" w:hAnsi="Times New Roman" w:cs="Times New Roman"/>
          <w:sz w:val="24"/>
          <w:szCs w:val="24"/>
        </w:rPr>
      </w:pPr>
      <w:r>
        <w:rPr>
          <w:rFonts w:ascii="Times New Roman" w:hAnsi="Times New Roman" w:cs="Times New Roman"/>
          <w:sz w:val="24"/>
          <w:szCs w:val="24"/>
        </w:rPr>
        <w:t xml:space="preserve">1 ml of water was taken from each </w:t>
      </w:r>
      <w:r>
        <w:rPr>
          <w:rFonts w:ascii="Times New Roman" w:hAnsi="Times New Roman" w:cs="Times New Roman"/>
          <w:sz w:val="24"/>
          <w:szCs w:val="24"/>
          <w:lang w:val="en-IN"/>
        </w:rPr>
        <w:t xml:space="preserve">of the </w:t>
      </w:r>
      <w:r>
        <w:rPr>
          <w:rFonts w:ascii="Times New Roman" w:hAnsi="Times New Roman" w:cs="Times New Roman"/>
          <w:sz w:val="24"/>
          <w:szCs w:val="24"/>
        </w:rPr>
        <w:t>collected samples and transferred to sterile test tubes containing 9 ml of ultrapure Milli-Q water. The test tubes were gently shaken to mix the samples. In such a way, t</w:t>
      </w:r>
      <w:r>
        <w:rPr>
          <w:rFonts w:ascii="Times New Roman" w:hAnsi="Times New Roman" w:cs="Times New Roman"/>
          <w:sz w:val="24"/>
          <w:szCs w:val="24"/>
        </w:rPr>
        <w:t>he samples were serially diluted up to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to obtain countable bacterial colonies. For control, distilled water was inoculated and the plates showed no bacterial growth.</w:t>
      </w:r>
    </w:p>
    <w:p w14:paraId="5B3DED7D"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2.2.2. Preparation of Agar medium</w:t>
      </w:r>
    </w:p>
    <w:p w14:paraId="71CCB6CA" w14:textId="77777777" w:rsidR="00FE2F93" w:rsidRDefault="00BA0D49">
      <w:pPr>
        <w:jc w:val="both"/>
        <w:rPr>
          <w:rFonts w:ascii="Times New Roman" w:hAnsi="Times New Roman" w:cs="Times New Roman"/>
          <w:sz w:val="24"/>
          <w:szCs w:val="24"/>
        </w:rPr>
      </w:pPr>
      <w:r>
        <w:rPr>
          <w:rFonts w:ascii="Times New Roman" w:hAnsi="Times New Roman" w:cs="Times New Roman"/>
          <w:sz w:val="24"/>
          <w:szCs w:val="24"/>
        </w:rPr>
        <w:t>To prepare the nutrient agar medium, 28g of nutrien</w:t>
      </w:r>
      <w:r>
        <w:rPr>
          <w:rFonts w:ascii="Times New Roman" w:hAnsi="Times New Roman" w:cs="Times New Roman"/>
          <w:sz w:val="24"/>
          <w:szCs w:val="24"/>
        </w:rPr>
        <w:t>t agar powder was weighed and mixed with 1000 ml of distilled water in a pre-sterilized conical flask. The mixture was heated by gently shaking the medium until the agar was properly dissolved and sterilized by autoclaving at 120 ⁰C and 15 psi for 15 minut</w:t>
      </w:r>
      <w:r>
        <w:rPr>
          <w:rFonts w:ascii="Times New Roman" w:hAnsi="Times New Roman" w:cs="Times New Roman"/>
          <w:sz w:val="24"/>
          <w:szCs w:val="24"/>
        </w:rPr>
        <w:t xml:space="preserve">es. The prepared medium is then allowed to cool to about 45 ⁰C. </w:t>
      </w:r>
    </w:p>
    <w:p w14:paraId="558D502D"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 xml:space="preserve">2.2.3. Sample Inoculation and Total </w:t>
      </w:r>
      <w:r>
        <w:rPr>
          <w:rFonts w:ascii="Times New Roman" w:hAnsi="Times New Roman" w:cs="Times New Roman"/>
          <w:b/>
          <w:sz w:val="24"/>
          <w:szCs w:val="24"/>
          <w:lang w:val="en-IN"/>
        </w:rPr>
        <w:t>V</w:t>
      </w:r>
      <w:proofErr w:type="spellStart"/>
      <w:r>
        <w:rPr>
          <w:rFonts w:ascii="Times New Roman" w:hAnsi="Times New Roman" w:cs="Times New Roman"/>
          <w:b/>
          <w:sz w:val="24"/>
          <w:szCs w:val="24"/>
        </w:rPr>
        <w:t>iable</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en-IN"/>
        </w:rPr>
        <w:t>C</w:t>
      </w:r>
      <w:proofErr w:type="spellStart"/>
      <w:r>
        <w:rPr>
          <w:rFonts w:ascii="Times New Roman" w:hAnsi="Times New Roman" w:cs="Times New Roman"/>
          <w:b/>
          <w:sz w:val="24"/>
          <w:szCs w:val="24"/>
        </w:rPr>
        <w:t>ount</w:t>
      </w:r>
      <w:proofErr w:type="spellEnd"/>
    </w:p>
    <w:p w14:paraId="2949C4A9" w14:textId="77777777" w:rsidR="00FE2F93" w:rsidRDefault="00BA0D49">
      <w:pPr>
        <w:jc w:val="both"/>
        <w:rPr>
          <w:rFonts w:ascii="Times New Roman" w:hAnsi="Times New Roman" w:cs="Times New Roman"/>
          <w:sz w:val="24"/>
          <w:szCs w:val="24"/>
        </w:rPr>
      </w:pPr>
      <w:r>
        <w:rPr>
          <w:rFonts w:ascii="Times New Roman" w:hAnsi="Times New Roman" w:cs="Times New Roman"/>
          <w:sz w:val="24"/>
          <w:szCs w:val="24"/>
        </w:rPr>
        <w:t xml:space="preserve">1 ml of </w:t>
      </w:r>
      <w:r>
        <w:rPr>
          <w:rFonts w:ascii="Times New Roman" w:hAnsi="Times New Roman" w:cs="Times New Roman"/>
          <w:sz w:val="24"/>
          <w:szCs w:val="24"/>
          <w:lang w:val="en-IN"/>
        </w:rPr>
        <w:t xml:space="preserve">the </w:t>
      </w:r>
      <w:r>
        <w:rPr>
          <w:rFonts w:ascii="Times New Roman" w:hAnsi="Times New Roman" w:cs="Times New Roman"/>
          <w:sz w:val="24"/>
          <w:szCs w:val="24"/>
        </w:rPr>
        <w:t xml:space="preserve">serially diluted sample was poured onto the pre-sterilized labeled </w:t>
      </w:r>
      <w:r>
        <w:rPr>
          <w:rFonts w:ascii="Times New Roman" w:hAnsi="Times New Roman" w:cs="Times New Roman"/>
          <w:sz w:val="24"/>
          <w:szCs w:val="24"/>
          <w:lang w:val="en-IN"/>
        </w:rPr>
        <w:t>petri dish</w:t>
      </w:r>
      <w:r>
        <w:rPr>
          <w:rFonts w:ascii="Times New Roman" w:hAnsi="Times New Roman" w:cs="Times New Roman"/>
          <w:sz w:val="24"/>
          <w:szCs w:val="24"/>
        </w:rPr>
        <w:t>. To this, 15 ml of molten agar was poured, and after</w:t>
      </w:r>
      <w:r>
        <w:rPr>
          <w:rFonts w:ascii="Times New Roman" w:hAnsi="Times New Roman" w:cs="Times New Roman"/>
          <w:sz w:val="24"/>
          <w:szCs w:val="24"/>
        </w:rPr>
        <w:t xml:space="preserve"> covering with </w:t>
      </w:r>
      <w:r>
        <w:rPr>
          <w:rFonts w:ascii="Times New Roman" w:hAnsi="Times New Roman" w:cs="Times New Roman"/>
          <w:sz w:val="24"/>
          <w:szCs w:val="24"/>
          <w:lang w:val="en-IN"/>
        </w:rPr>
        <w:t xml:space="preserve">a </w:t>
      </w:r>
      <w:r>
        <w:rPr>
          <w:rFonts w:ascii="Times New Roman" w:hAnsi="Times New Roman" w:cs="Times New Roman"/>
          <w:sz w:val="24"/>
          <w:szCs w:val="24"/>
        </w:rPr>
        <w:t xml:space="preserve">lid, the </w:t>
      </w:r>
      <w:r>
        <w:rPr>
          <w:rFonts w:ascii="Times New Roman" w:hAnsi="Times New Roman" w:cs="Times New Roman"/>
          <w:sz w:val="24"/>
          <w:szCs w:val="24"/>
          <w:lang w:val="en-IN"/>
        </w:rPr>
        <w:t>petri dish</w:t>
      </w:r>
      <w:r>
        <w:rPr>
          <w:rFonts w:ascii="Times New Roman" w:hAnsi="Times New Roman" w:cs="Times New Roman"/>
          <w:sz w:val="24"/>
          <w:szCs w:val="24"/>
        </w:rPr>
        <w:t xml:space="preserve"> was gently rotated to mix the sample with </w:t>
      </w:r>
      <w:r>
        <w:rPr>
          <w:rFonts w:ascii="Times New Roman" w:hAnsi="Times New Roman" w:cs="Times New Roman"/>
          <w:sz w:val="24"/>
          <w:szCs w:val="24"/>
          <w:lang w:val="en-IN"/>
        </w:rPr>
        <w:t xml:space="preserve">the </w:t>
      </w:r>
      <w:r>
        <w:rPr>
          <w:rFonts w:ascii="Times New Roman" w:hAnsi="Times New Roman" w:cs="Times New Roman"/>
          <w:sz w:val="24"/>
          <w:szCs w:val="24"/>
        </w:rPr>
        <w:t>media. After solidification, the inverted plates were incubated at 37 ⁰C for 24 hours to allow the bacterial growth. After 24 hours, the plates were taken out to count the t</w:t>
      </w:r>
      <w:r>
        <w:rPr>
          <w:rFonts w:ascii="Times New Roman" w:hAnsi="Times New Roman" w:cs="Times New Roman"/>
          <w:sz w:val="24"/>
          <w:szCs w:val="24"/>
        </w:rPr>
        <w:t xml:space="preserve">otal viable bacterial colonies. </w:t>
      </w:r>
    </w:p>
    <w:p w14:paraId="0E0A59F8"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2.2.4. Preparation of pure culture</w:t>
      </w:r>
    </w:p>
    <w:p w14:paraId="3E2A3904" w14:textId="77777777" w:rsidR="00FE2F93" w:rsidRDefault="00BA0D49">
      <w:pPr>
        <w:jc w:val="both"/>
        <w:rPr>
          <w:rFonts w:ascii="Times New Roman" w:hAnsi="Times New Roman" w:cs="Times New Roman"/>
          <w:sz w:val="24"/>
          <w:szCs w:val="24"/>
        </w:rPr>
      </w:pPr>
      <w:r>
        <w:rPr>
          <w:rFonts w:ascii="Times New Roman" w:hAnsi="Times New Roman" w:cs="Times New Roman"/>
          <w:sz w:val="24"/>
          <w:szCs w:val="24"/>
        </w:rPr>
        <w:t xml:space="preserve">Four morphologically distinct surface bacterial colonies were chosen and purified by quadrant streaking on nutrient agar medium. Each bacterial colony was scraped gently with the help of </w:t>
      </w:r>
      <w:r>
        <w:rPr>
          <w:rFonts w:ascii="Times New Roman" w:hAnsi="Times New Roman" w:cs="Times New Roman"/>
          <w:sz w:val="24"/>
          <w:szCs w:val="24"/>
          <w:lang w:val="en-IN"/>
        </w:rPr>
        <w:t>a</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sterilized loop and streaked onto the fresh autoclaved agar plates using quadrant streaking techniques. The cultured </w:t>
      </w:r>
      <w:proofErr w:type="spellStart"/>
      <w:r>
        <w:rPr>
          <w:rFonts w:ascii="Times New Roman" w:hAnsi="Times New Roman" w:cs="Times New Roman"/>
          <w:sz w:val="24"/>
          <w:szCs w:val="24"/>
        </w:rPr>
        <w:t>petriplates</w:t>
      </w:r>
      <w:proofErr w:type="spellEnd"/>
      <w:r>
        <w:rPr>
          <w:rFonts w:ascii="Times New Roman" w:hAnsi="Times New Roman" w:cs="Times New Roman"/>
          <w:sz w:val="24"/>
          <w:szCs w:val="24"/>
        </w:rPr>
        <w:t xml:space="preserve"> were incubated at 37 ⁰C for </w:t>
      </w:r>
      <w:r>
        <w:rPr>
          <w:rFonts w:ascii="Times New Roman" w:hAnsi="Times New Roman" w:cs="Times New Roman"/>
          <w:sz w:val="24"/>
          <w:szCs w:val="24"/>
          <w:lang w:val="en-IN"/>
        </w:rPr>
        <w:t xml:space="preserve">the </w:t>
      </w:r>
      <w:r>
        <w:rPr>
          <w:rFonts w:ascii="Times New Roman" w:hAnsi="Times New Roman" w:cs="Times New Roman"/>
          <w:sz w:val="24"/>
          <w:szCs w:val="24"/>
        </w:rPr>
        <w:t>next 24 hours.</w:t>
      </w:r>
    </w:p>
    <w:p w14:paraId="74DA1196"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lastRenderedPageBreak/>
        <w:t>2.3. Biochemical evaluation</w:t>
      </w:r>
    </w:p>
    <w:p w14:paraId="6CE19E1A" w14:textId="77777777" w:rsidR="00FE2F93" w:rsidRDefault="00BA0D49">
      <w:pPr>
        <w:jc w:val="both"/>
        <w:rPr>
          <w:rFonts w:ascii="Times New Roman" w:hAnsi="Times New Roman" w:cs="Times New Roman"/>
          <w:sz w:val="24"/>
          <w:szCs w:val="24"/>
        </w:rPr>
      </w:pPr>
      <w:r>
        <w:rPr>
          <w:rFonts w:ascii="Times New Roman" w:hAnsi="Times New Roman" w:cs="Times New Roman"/>
          <w:sz w:val="24"/>
          <w:szCs w:val="24"/>
        </w:rPr>
        <w:t>Bacteria from the pure culture underwent Gram stain</w:t>
      </w:r>
      <w:r>
        <w:rPr>
          <w:rFonts w:ascii="Times New Roman" w:hAnsi="Times New Roman" w:cs="Times New Roman"/>
          <w:sz w:val="24"/>
          <w:szCs w:val="24"/>
        </w:rPr>
        <w:t xml:space="preserve">ing and different biochemical analyses to identify the microorganisms. It includes </w:t>
      </w:r>
      <w:r>
        <w:rPr>
          <w:rFonts w:ascii="Times New Roman" w:hAnsi="Times New Roman" w:cs="Times New Roman"/>
          <w:sz w:val="24"/>
          <w:szCs w:val="24"/>
          <w:lang w:val="en-IN"/>
        </w:rPr>
        <w:t xml:space="preserve">the </w:t>
      </w:r>
      <w:r>
        <w:rPr>
          <w:rFonts w:ascii="Times New Roman" w:hAnsi="Times New Roman" w:cs="Times New Roman"/>
          <w:sz w:val="24"/>
          <w:szCs w:val="24"/>
        </w:rPr>
        <w:t xml:space="preserve">Methyl Red (MR) test, Voges-Proskauer (VP) test, Triple Sugar Iron (TSI) test, </w:t>
      </w:r>
      <w:r>
        <w:rPr>
          <w:rFonts w:ascii="Times New Roman" w:hAnsi="Times New Roman" w:cs="Times New Roman"/>
          <w:sz w:val="24"/>
          <w:szCs w:val="24"/>
          <w:lang w:val="en-IN"/>
        </w:rPr>
        <w:t>I</w:t>
      </w:r>
      <w:proofErr w:type="spellStart"/>
      <w:r>
        <w:rPr>
          <w:rFonts w:ascii="Times New Roman" w:hAnsi="Times New Roman" w:cs="Times New Roman"/>
          <w:sz w:val="24"/>
          <w:szCs w:val="24"/>
        </w:rPr>
        <w:t>ndole</w:t>
      </w:r>
      <w:proofErr w:type="spellEnd"/>
      <w:r>
        <w:rPr>
          <w:rFonts w:ascii="Times New Roman" w:hAnsi="Times New Roman" w:cs="Times New Roman"/>
          <w:sz w:val="24"/>
          <w:szCs w:val="24"/>
        </w:rPr>
        <w:t xml:space="preserve"> test, </w:t>
      </w:r>
      <w:r>
        <w:rPr>
          <w:rFonts w:ascii="Times New Roman" w:hAnsi="Times New Roman" w:cs="Times New Roman"/>
          <w:sz w:val="24"/>
          <w:szCs w:val="24"/>
          <w:lang w:val="en-IN"/>
        </w:rPr>
        <w:t>C</w:t>
      </w:r>
      <w:proofErr w:type="spellStart"/>
      <w:r>
        <w:rPr>
          <w:rFonts w:ascii="Times New Roman" w:hAnsi="Times New Roman" w:cs="Times New Roman"/>
          <w:sz w:val="24"/>
          <w:szCs w:val="24"/>
        </w:rPr>
        <w:t>itrate</w:t>
      </w:r>
      <w:proofErr w:type="spellEnd"/>
      <w:r>
        <w:rPr>
          <w:rFonts w:ascii="Times New Roman" w:hAnsi="Times New Roman" w:cs="Times New Roman"/>
          <w:sz w:val="24"/>
          <w:szCs w:val="24"/>
        </w:rPr>
        <w:t xml:space="preserve"> test, </w:t>
      </w:r>
      <w:r>
        <w:rPr>
          <w:rFonts w:ascii="Times New Roman" w:hAnsi="Times New Roman" w:cs="Times New Roman"/>
          <w:sz w:val="24"/>
          <w:szCs w:val="24"/>
          <w:lang w:val="en-IN"/>
        </w:rPr>
        <w:t>C</w:t>
      </w:r>
      <w:proofErr w:type="spellStart"/>
      <w:r>
        <w:rPr>
          <w:rFonts w:ascii="Times New Roman" w:hAnsi="Times New Roman" w:cs="Times New Roman"/>
          <w:sz w:val="24"/>
          <w:szCs w:val="24"/>
        </w:rPr>
        <w:t>atalase</w:t>
      </w:r>
      <w:proofErr w:type="spellEnd"/>
      <w:r>
        <w:rPr>
          <w:rFonts w:ascii="Times New Roman" w:hAnsi="Times New Roman" w:cs="Times New Roman"/>
          <w:sz w:val="24"/>
          <w:szCs w:val="24"/>
        </w:rPr>
        <w:t xml:space="preserve"> test, </w:t>
      </w:r>
      <w:r>
        <w:rPr>
          <w:rFonts w:ascii="Times New Roman" w:hAnsi="Times New Roman" w:cs="Times New Roman"/>
          <w:sz w:val="24"/>
          <w:szCs w:val="24"/>
          <w:lang w:val="en-IN"/>
        </w:rPr>
        <w:t>O</w:t>
      </w:r>
      <w:proofErr w:type="spellStart"/>
      <w:r>
        <w:rPr>
          <w:rFonts w:ascii="Times New Roman" w:hAnsi="Times New Roman" w:cs="Times New Roman"/>
          <w:sz w:val="24"/>
          <w:szCs w:val="24"/>
        </w:rPr>
        <w:t>xidase</w:t>
      </w:r>
      <w:proofErr w:type="spellEnd"/>
      <w:r>
        <w:rPr>
          <w:rFonts w:ascii="Times New Roman" w:hAnsi="Times New Roman" w:cs="Times New Roman"/>
          <w:sz w:val="24"/>
          <w:szCs w:val="24"/>
        </w:rPr>
        <w:t xml:space="preserve"> test</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andM</w:t>
      </w:r>
      <w:r>
        <w:rPr>
          <w:rFonts w:ascii="Times New Roman" w:hAnsi="Times New Roman" w:cs="Times New Roman"/>
          <w:sz w:val="24"/>
          <w:szCs w:val="24"/>
        </w:rPr>
        <w:t>annitol</w:t>
      </w:r>
      <w:proofErr w:type="spellEnd"/>
      <w:r>
        <w:rPr>
          <w:rFonts w:ascii="Times New Roman" w:hAnsi="Times New Roman" w:cs="Times New Roman"/>
          <w:sz w:val="24"/>
          <w:szCs w:val="24"/>
        </w:rPr>
        <w:t xml:space="preserve"> motility test. Based on the results obtained, the bacterial genus was confirmed following Bergey’s manual of systematic bacteriology. </w:t>
      </w:r>
    </w:p>
    <w:p w14:paraId="267B39F7"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2.4. Antibiotic susceptibility testing</w:t>
      </w:r>
    </w:p>
    <w:p w14:paraId="606B8F92"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color w:val="000000"/>
          <w:sz w:val="24"/>
          <w:szCs w:val="24"/>
        </w:rPr>
        <w:t>The isolated bacteria were exposed to antibiotic susceptibility testing to determ</w:t>
      </w:r>
      <w:r>
        <w:rPr>
          <w:rFonts w:ascii="Times New Roman" w:hAnsi="Times New Roman" w:cs="Times New Roman"/>
          <w:color w:val="000000"/>
          <w:sz w:val="24"/>
          <w:szCs w:val="24"/>
        </w:rPr>
        <w:t xml:space="preserve">ine the level of </w:t>
      </w:r>
      <w:r>
        <w:rPr>
          <w:rFonts w:ascii="Times New Roman" w:hAnsi="Times New Roman" w:cs="Times New Roman"/>
          <w:color w:val="000000"/>
          <w:sz w:val="24"/>
          <w:szCs w:val="24"/>
          <w:lang w:val="en-IN"/>
        </w:rPr>
        <w:t>resistance</w:t>
      </w:r>
      <w:r>
        <w:rPr>
          <w:rFonts w:ascii="Times New Roman" w:hAnsi="Times New Roman" w:cs="Times New Roman"/>
          <w:color w:val="000000"/>
          <w:sz w:val="24"/>
          <w:szCs w:val="24"/>
        </w:rPr>
        <w:t xml:space="preserve"> and to assess </w:t>
      </w:r>
      <w:r>
        <w:rPr>
          <w:rFonts w:ascii="Times New Roman" w:hAnsi="Times New Roman" w:cs="Times New Roman"/>
          <w:color w:val="000000"/>
          <w:sz w:val="24"/>
          <w:szCs w:val="24"/>
          <w:lang w:val="en-IN"/>
        </w:rPr>
        <w:t>their</w:t>
      </w:r>
      <w:r>
        <w:rPr>
          <w:rFonts w:ascii="Times New Roman" w:hAnsi="Times New Roman" w:cs="Times New Roman"/>
          <w:color w:val="000000"/>
          <w:sz w:val="24"/>
          <w:szCs w:val="24"/>
        </w:rPr>
        <w:t xml:space="preserve"> adverse effects on living beings. Ten common antibiotic discs were employed, including Ampicillin (AMP), Tetracycline (TE), Vancomycin (VA), Norfloxacin (NX), Cefepime (CPM), Chloramphenicol (C), </w:t>
      </w:r>
      <w:proofErr w:type="spellStart"/>
      <w:r>
        <w:rPr>
          <w:rFonts w:ascii="Times New Roman" w:hAnsi="Times New Roman" w:cs="Times New Roman"/>
          <w:color w:val="000000"/>
          <w:sz w:val="24"/>
          <w:szCs w:val="24"/>
        </w:rPr>
        <w:t>Gatifloxacin</w:t>
      </w:r>
      <w:proofErr w:type="spellEnd"/>
      <w:r>
        <w:rPr>
          <w:rFonts w:ascii="Times New Roman" w:hAnsi="Times New Roman" w:cs="Times New Roman"/>
          <w:color w:val="000000"/>
          <w:sz w:val="24"/>
          <w:szCs w:val="24"/>
        </w:rPr>
        <w:t xml:space="preserve"> (GAT), Gentamicin (GEN), Imipenem (IPM), and Tobramycin (TOB).</w:t>
      </w:r>
    </w:p>
    <w:p w14:paraId="196FC1E3" w14:textId="77777777" w:rsidR="00FE2F93" w:rsidRDefault="00BA0D4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3. RESULTS AND DISCUSSION</w:t>
      </w:r>
    </w:p>
    <w:p w14:paraId="6F6DDFE1"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current research evaluated the presence of cultivable ARB from the water samples of </w:t>
      </w:r>
      <w:proofErr w:type="spellStart"/>
      <w:r>
        <w:rPr>
          <w:rFonts w:ascii="Times New Roman" w:hAnsi="Times New Roman" w:cs="Times New Roman"/>
          <w:color w:val="000000"/>
          <w:sz w:val="24"/>
          <w:szCs w:val="24"/>
        </w:rPr>
        <w:t>Poondi</w:t>
      </w:r>
      <w:proofErr w:type="spellEnd"/>
      <w:r>
        <w:rPr>
          <w:rFonts w:ascii="Times New Roman" w:hAnsi="Times New Roman" w:cs="Times New Roman"/>
          <w:color w:val="000000"/>
          <w:sz w:val="24"/>
          <w:szCs w:val="24"/>
        </w:rPr>
        <w:t xml:space="preserve"> Lake through serial dilution, enumeration, isolation, biochemical ident</w:t>
      </w:r>
      <w:r>
        <w:rPr>
          <w:rFonts w:ascii="Times New Roman" w:hAnsi="Times New Roman" w:cs="Times New Roman"/>
          <w:color w:val="000000"/>
          <w:sz w:val="24"/>
          <w:szCs w:val="24"/>
        </w:rPr>
        <w:t>ification, and antibiotic susceptibility testing. The analysis revealed the presence of viable and morphologically diverse bacterial colonies. Total Viable Count of bacterial colonies determined using the pour plate technique, estimated to be 3.75</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w:t>
      </w:r>
      <w:r>
        <w:rPr>
          <w:rFonts w:ascii="Times New Roman" w:hAnsi="Times New Roman" w:cs="Times New Roman"/>
          <w:color w:val="000000"/>
          <w:sz w:val="24"/>
          <w:szCs w:val="24"/>
        </w:rPr>
        <w:t>ml at S1, 4.01</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at S2, 3.66</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at S3, and 3.72</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at S4</w:t>
      </w:r>
      <w:r>
        <w:rPr>
          <w:rFonts w:ascii="Times New Roman" w:hAnsi="Times New Roman" w:cs="Times New Roman"/>
          <w:color w:val="000000"/>
          <w:sz w:val="24"/>
          <w:szCs w:val="24"/>
          <w:lang w:val="en-IN"/>
        </w:rPr>
        <w:t>,</w:t>
      </w:r>
      <w:r>
        <w:rPr>
          <w:rFonts w:ascii="Times New Roman" w:hAnsi="Times New Roman" w:cs="Times New Roman"/>
          <w:color w:val="000000"/>
          <w:sz w:val="24"/>
          <w:szCs w:val="24"/>
        </w:rPr>
        <w:t xml:space="preserve"> respectively. The increased microbial load was observed at S2, where domestic sewage water mixes with the water body. The enrichment of organic matter and nutrients such as </w:t>
      </w:r>
      <w:r>
        <w:rPr>
          <w:rFonts w:ascii="Times New Roman" w:hAnsi="Times New Roman" w:cs="Times New Roman"/>
          <w:color w:val="000000"/>
          <w:sz w:val="24"/>
          <w:szCs w:val="24"/>
        </w:rPr>
        <w:t xml:space="preserve">phosphorus and nitrogen in wastewater </w:t>
      </w:r>
      <w:proofErr w:type="spellStart"/>
      <w:r>
        <w:rPr>
          <w:rFonts w:ascii="Times New Roman" w:hAnsi="Times New Roman" w:cs="Times New Roman"/>
          <w:color w:val="000000"/>
          <w:sz w:val="24"/>
          <w:szCs w:val="24"/>
        </w:rPr>
        <w:t>favours</w:t>
      </w:r>
      <w:proofErr w:type="spellEnd"/>
      <w:r>
        <w:rPr>
          <w:rFonts w:ascii="Times New Roman" w:hAnsi="Times New Roman" w:cs="Times New Roman"/>
          <w:color w:val="000000"/>
          <w:sz w:val="24"/>
          <w:szCs w:val="24"/>
        </w:rPr>
        <w:t xml:space="preserve"> the growth and reproduction of bacterial communities, supporting our results (</w:t>
      </w:r>
      <w:r>
        <w:rPr>
          <w:rFonts w:ascii="Times New Roman" w:hAnsi="Times New Roman" w:cs="Times New Roman"/>
          <w:color w:val="222222"/>
          <w:sz w:val="24"/>
          <w:szCs w:val="24"/>
          <w:shd w:val="clear" w:color="auto" w:fill="FFFFFF"/>
        </w:rPr>
        <w:t>Xie et al., 2022)</w:t>
      </w:r>
      <w:r>
        <w:rPr>
          <w:rFonts w:ascii="Times New Roman" w:hAnsi="Times New Roman" w:cs="Times New Roman"/>
          <w:color w:val="000000"/>
          <w:sz w:val="24"/>
          <w:szCs w:val="24"/>
        </w:rPr>
        <w:t xml:space="preserve">. Among the colonies observed, one dominant and morphologically different colony from each plate was selected as a representative. Thus, four distinctive colonies were </w:t>
      </w:r>
      <w:proofErr w:type="spellStart"/>
      <w:r>
        <w:rPr>
          <w:rFonts w:ascii="Times New Roman" w:hAnsi="Times New Roman" w:cs="Times New Roman"/>
          <w:color w:val="000000"/>
          <w:sz w:val="24"/>
          <w:szCs w:val="24"/>
        </w:rPr>
        <w:t>subcultured</w:t>
      </w:r>
      <w:proofErr w:type="spellEnd"/>
      <w:r>
        <w:rPr>
          <w:rFonts w:ascii="Times New Roman" w:hAnsi="Times New Roman" w:cs="Times New Roman"/>
          <w:color w:val="000000"/>
          <w:sz w:val="24"/>
          <w:szCs w:val="24"/>
        </w:rPr>
        <w:t xml:space="preserve"> to obtain pure isolates for further biochemical analysis (Fig. 1). </w:t>
      </w:r>
    </w:p>
    <w:p w14:paraId="6532A057" w14:textId="77777777" w:rsidR="00FE2F93" w:rsidRDefault="00BA0D49">
      <w:pPr>
        <w:pStyle w:val="NormalWeb"/>
        <w:spacing w:line="360" w:lineRule="auto"/>
        <w:jc w:val="center"/>
        <w:rPr>
          <w:rStyle w:val="Emphasis"/>
          <w:i w:val="0"/>
        </w:rPr>
      </w:pPr>
      <w:r>
        <w:rPr>
          <w:iCs/>
          <w:noProof/>
        </w:rPr>
        <w:lastRenderedPageBreak/>
        <w:drawing>
          <wp:inline distT="0" distB="0" distL="0" distR="0" wp14:anchorId="4FC2C850" wp14:editId="7E8B7FB9">
            <wp:extent cx="3639185" cy="3335655"/>
            <wp:effectExtent l="19050" t="0" r="0" b="0"/>
            <wp:docPr id="2" name="Picture 4" descr="C:\Users\Janani\Downloads\036c3a5e-7fe3-4202-8d72-7b35f33a0a4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Users\Janani\Downloads\036c3a5e-7fe3-4202-8d72-7b35f33a0a41.jfif"/>
                    <pic:cNvPicPr>
                      <a:picLocks noChangeAspect="1" noChangeArrowheads="1"/>
                    </pic:cNvPicPr>
                  </pic:nvPicPr>
                  <pic:blipFill>
                    <a:blip r:embed="rId8"/>
                    <a:srcRect l="20267" r="35045"/>
                    <a:stretch>
                      <a:fillRect/>
                    </a:stretch>
                  </pic:blipFill>
                  <pic:spPr>
                    <a:xfrm>
                      <a:off x="0" y="0"/>
                      <a:ext cx="3641665" cy="3337759"/>
                    </a:xfrm>
                    <a:prstGeom prst="rect">
                      <a:avLst/>
                    </a:prstGeom>
                    <a:noFill/>
                    <a:ln w="9525">
                      <a:noFill/>
                      <a:miter lim="800000"/>
                      <a:headEnd/>
                      <a:tailEnd/>
                    </a:ln>
                  </pic:spPr>
                </pic:pic>
              </a:graphicData>
            </a:graphic>
          </wp:inline>
        </w:drawing>
      </w:r>
    </w:p>
    <w:p w14:paraId="623E0F22" w14:textId="77777777" w:rsidR="00FE2F93" w:rsidRDefault="00BA0D49">
      <w:pPr>
        <w:pStyle w:val="NormalWeb"/>
        <w:spacing w:line="360" w:lineRule="auto"/>
        <w:jc w:val="both"/>
        <w:rPr>
          <w:b/>
        </w:rPr>
      </w:pPr>
      <w:r>
        <w:rPr>
          <w:rStyle w:val="Emphasis"/>
          <w:b/>
          <w:i w:val="0"/>
        </w:rPr>
        <w:t>Fig. 1</w:t>
      </w:r>
      <w:r>
        <w:rPr>
          <w:rStyle w:val="Emphasis"/>
          <w:b/>
          <w:i w:val="0"/>
        </w:rPr>
        <w:t xml:space="preserve">. </w:t>
      </w:r>
      <w:r>
        <w:rPr>
          <w:b/>
        </w:rPr>
        <w:t>Representative nutrient agar plates showing quadrant streaking used to obtain pure cultures of bacterial isolates (1-</w:t>
      </w:r>
      <w:r>
        <w:rPr>
          <w:b/>
          <w:bCs/>
          <w:i/>
          <w:color w:val="000000"/>
        </w:rPr>
        <w:t>Klebsiella</w:t>
      </w:r>
      <w:r>
        <w:rPr>
          <w:b/>
          <w:i/>
          <w:iCs/>
          <w:color w:val="000000"/>
        </w:rPr>
        <w:t xml:space="preserve"> </w:t>
      </w:r>
      <w:r>
        <w:rPr>
          <w:b/>
          <w:iCs/>
          <w:color w:val="000000"/>
        </w:rPr>
        <w:t>spp.</w:t>
      </w:r>
      <w:r>
        <w:rPr>
          <w:b/>
          <w:bCs/>
          <w:color w:val="000000"/>
        </w:rPr>
        <w:t>, 2-</w:t>
      </w:r>
      <w:r>
        <w:rPr>
          <w:b/>
          <w:bCs/>
          <w:i/>
          <w:color w:val="000000"/>
        </w:rPr>
        <w:t xml:space="preserve">Pseudomonas </w:t>
      </w:r>
      <w:r>
        <w:rPr>
          <w:b/>
          <w:iCs/>
          <w:color w:val="000000"/>
        </w:rPr>
        <w:t>spp.</w:t>
      </w:r>
      <w:r>
        <w:rPr>
          <w:b/>
          <w:bCs/>
          <w:color w:val="000000"/>
        </w:rPr>
        <w:t>, 3-</w:t>
      </w:r>
      <w:r>
        <w:rPr>
          <w:b/>
          <w:bCs/>
          <w:i/>
          <w:color w:val="000000"/>
        </w:rPr>
        <w:t xml:space="preserve">Escherichia </w:t>
      </w:r>
      <w:r>
        <w:rPr>
          <w:b/>
          <w:iCs/>
          <w:color w:val="000000"/>
        </w:rPr>
        <w:t>spp.</w:t>
      </w:r>
      <w:r>
        <w:rPr>
          <w:b/>
          <w:bCs/>
          <w:color w:val="000000"/>
        </w:rPr>
        <w:t>, and 4-</w:t>
      </w:r>
      <w:r>
        <w:rPr>
          <w:b/>
          <w:bCs/>
          <w:i/>
          <w:color w:val="000000"/>
        </w:rPr>
        <w:t xml:space="preserve">Staphylococcus </w:t>
      </w:r>
      <w:r>
        <w:rPr>
          <w:b/>
          <w:iCs/>
          <w:color w:val="000000"/>
        </w:rPr>
        <w:t>spp.</w:t>
      </w:r>
      <w:r>
        <w:rPr>
          <w:b/>
          <w:bCs/>
          <w:color w:val="000000"/>
        </w:rPr>
        <w:t>)</w:t>
      </w:r>
      <w:r>
        <w:rPr>
          <w:b/>
        </w:rPr>
        <w:t xml:space="preserve"> from the water sample.</w:t>
      </w:r>
    </w:p>
    <w:p w14:paraId="01D769EA" w14:textId="77777777" w:rsidR="00FE2F93" w:rsidRDefault="00BA0D4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3.1. Biochemical confirmation </w:t>
      </w:r>
      <w:r>
        <w:rPr>
          <w:rFonts w:ascii="Times New Roman" w:hAnsi="Times New Roman" w:cs="Times New Roman"/>
          <w:b/>
          <w:color w:val="000000"/>
          <w:sz w:val="24"/>
          <w:szCs w:val="24"/>
        </w:rPr>
        <w:t>of water isolates</w:t>
      </w:r>
    </w:p>
    <w:p w14:paraId="4006F253"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series of biochemical evaluations of purified isolates was carried out to identify the species. Based on Gram staining, carbohydrate fermentation, and several other enzymatic activities, the species were interpreted as follows: Species </w:t>
      </w:r>
      <w:r>
        <w:rPr>
          <w:rFonts w:ascii="Times New Roman" w:hAnsi="Times New Roman" w:cs="Times New Roman"/>
          <w:color w:val="000000"/>
          <w:sz w:val="24"/>
          <w:szCs w:val="24"/>
        </w:rPr>
        <w:t>1 was identified to be rod-shaped and gram-negative in nature. It exhibited negative results for the MR test, indole test, oxidase and motility test, while positive results for the VP test, citrate test, catalase and mannitol test supported the identificat</w:t>
      </w:r>
      <w:r>
        <w:rPr>
          <w:rFonts w:ascii="Times New Roman" w:hAnsi="Times New Roman" w:cs="Times New Roman"/>
          <w:color w:val="000000"/>
          <w:sz w:val="24"/>
          <w:szCs w:val="24"/>
        </w:rPr>
        <w:t xml:space="preserve">ion of this species. Further, the production of hydrogen sulfide gas by the breakdown of sulfur-containing compounds confirmed the identification of </w:t>
      </w:r>
      <w:r>
        <w:rPr>
          <w:rFonts w:ascii="Times New Roman" w:hAnsi="Times New Roman" w:cs="Times New Roman"/>
          <w:i/>
          <w:color w:val="000000"/>
          <w:sz w:val="24"/>
          <w:szCs w:val="24"/>
        </w:rPr>
        <w:t xml:space="preserve">Klebsiella </w:t>
      </w:r>
      <w:r>
        <w:rPr>
          <w:rFonts w:ascii="Times New Roman" w:hAnsi="Times New Roman" w:cs="Times New Roman"/>
          <w:color w:val="000000"/>
          <w:sz w:val="24"/>
          <w:szCs w:val="24"/>
        </w:rPr>
        <w:t>spp. The second species isolated exerted a negative result for the indole, MR, and VP test, whil</w:t>
      </w:r>
      <w:r>
        <w:rPr>
          <w:rFonts w:ascii="Times New Roman" w:hAnsi="Times New Roman" w:cs="Times New Roman"/>
          <w:color w:val="000000"/>
          <w:sz w:val="24"/>
          <w:szCs w:val="24"/>
        </w:rPr>
        <w:t>e positive for other biochemical tests performed. The non-fermenting nature of the TSI test and a positive result in the oxidase test confirmed it to be an aerobic bacterium. Along with its gram-negative, rod-shaped, and characteristic greenish mucoid colo</w:t>
      </w:r>
      <w:r>
        <w:rPr>
          <w:rFonts w:ascii="Times New Roman" w:hAnsi="Times New Roman" w:cs="Times New Roman"/>
          <w:color w:val="000000"/>
          <w:sz w:val="24"/>
          <w:szCs w:val="24"/>
        </w:rPr>
        <w:t xml:space="preserve">nies, the next isolate was identified as </w:t>
      </w:r>
      <w:r>
        <w:rPr>
          <w:rFonts w:ascii="Times New Roman" w:hAnsi="Times New Roman" w:cs="Times New Roman"/>
          <w:i/>
          <w:color w:val="000000"/>
          <w:sz w:val="24"/>
          <w:szCs w:val="24"/>
        </w:rPr>
        <w:t xml:space="preserve">Pseudomonas </w:t>
      </w:r>
      <w:r>
        <w:rPr>
          <w:rFonts w:ascii="Times New Roman" w:hAnsi="Times New Roman" w:cs="Times New Roman"/>
          <w:color w:val="000000"/>
          <w:sz w:val="24"/>
          <w:szCs w:val="24"/>
        </w:rPr>
        <w:t>spp.</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The Gram-negative, rod-shaped</w:t>
      </w:r>
      <w:r>
        <w:rPr>
          <w:rFonts w:ascii="Times New Roman" w:hAnsi="Times New Roman" w:cs="Times New Roman"/>
          <w:i/>
          <w:color w:val="000000"/>
          <w:sz w:val="24"/>
          <w:szCs w:val="24"/>
        </w:rPr>
        <w:t xml:space="preserve"> Escherichia </w:t>
      </w:r>
      <w:r>
        <w:rPr>
          <w:rFonts w:ascii="Times New Roman" w:hAnsi="Times New Roman" w:cs="Times New Roman"/>
          <w:color w:val="000000"/>
          <w:sz w:val="24"/>
          <w:szCs w:val="24"/>
        </w:rPr>
        <w:t>spp.</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with a marked positive </w:t>
      </w:r>
      <w:r>
        <w:rPr>
          <w:rFonts w:ascii="Times New Roman" w:hAnsi="Times New Roman" w:cs="Times New Roman"/>
          <w:color w:val="000000"/>
          <w:sz w:val="24"/>
          <w:szCs w:val="24"/>
        </w:rPr>
        <w:lastRenderedPageBreak/>
        <w:t xml:space="preserve">result for MR, indole, and catalase test were confirmed to be species 3. It showed a yellow slant/ yellow butt reaction on the </w:t>
      </w:r>
      <w:r>
        <w:rPr>
          <w:rFonts w:ascii="Times New Roman" w:hAnsi="Times New Roman" w:cs="Times New Roman"/>
          <w:color w:val="000000"/>
          <w:sz w:val="24"/>
          <w:szCs w:val="24"/>
        </w:rPr>
        <w:t>triple sugar iron test with gas production and no 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S production. The detection of smooth, round colonies on nutrient agar with a distinctive shiny yellow shade due to the presence of carotenoids supported the identification of species 4 as </w:t>
      </w:r>
      <w:r>
        <w:rPr>
          <w:rFonts w:ascii="Times New Roman" w:hAnsi="Times New Roman" w:cs="Times New Roman"/>
          <w:i/>
          <w:color w:val="000000"/>
          <w:sz w:val="24"/>
          <w:szCs w:val="24"/>
        </w:rPr>
        <w:t xml:space="preserve">Staphylococcus </w:t>
      </w:r>
      <w:r>
        <w:rPr>
          <w:rFonts w:ascii="Times New Roman" w:hAnsi="Times New Roman" w:cs="Times New Roman"/>
          <w:color w:val="000000"/>
          <w:sz w:val="24"/>
          <w:szCs w:val="24"/>
        </w:rPr>
        <w:t>spp.</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These gram-positive cocci clusters showed catalase, citrate, mannitol, and VP test with no motility. The detailed results of all biochemical analyses of dominant bacterial colonies were tabulated in Table 1.</w:t>
      </w:r>
    </w:p>
    <w:p w14:paraId="658B3C75" w14:textId="77777777" w:rsidR="00FE2F93" w:rsidRDefault="00BA0D49">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1. </w:t>
      </w:r>
      <w:r>
        <w:rPr>
          <w:rFonts w:ascii="Times New Roman" w:hAnsi="Times New Roman" w:cs="Times New Roman"/>
          <w:b/>
          <w:sz w:val="24"/>
          <w:szCs w:val="24"/>
        </w:rPr>
        <w:t>Biochemical characterization and i</w:t>
      </w:r>
      <w:r>
        <w:rPr>
          <w:rFonts w:ascii="Times New Roman" w:hAnsi="Times New Roman" w:cs="Times New Roman"/>
          <w:b/>
          <w:sz w:val="24"/>
          <w:szCs w:val="24"/>
        </w:rPr>
        <w:t>dentification of bacterial isolates from the surface water samples</w:t>
      </w:r>
    </w:p>
    <w:tbl>
      <w:tblPr>
        <w:tblW w:w="10112" w:type="dxa"/>
        <w:tblInd w:w="93" w:type="dxa"/>
        <w:tblLook w:val="04A0" w:firstRow="1" w:lastRow="0" w:firstColumn="1" w:lastColumn="0" w:noHBand="0" w:noVBand="1"/>
      </w:tblPr>
      <w:tblGrid>
        <w:gridCol w:w="1279"/>
        <w:gridCol w:w="1908"/>
        <w:gridCol w:w="2318"/>
        <w:gridCol w:w="2105"/>
        <w:gridCol w:w="2502"/>
      </w:tblGrid>
      <w:tr w:rsidR="00FE2F93" w14:paraId="426A89C8" w14:textId="77777777">
        <w:trPr>
          <w:trHeight w:val="524"/>
        </w:trPr>
        <w:tc>
          <w:tcPr>
            <w:tcW w:w="1279" w:type="dxa"/>
            <w:tcBorders>
              <w:top w:val="single" w:sz="8" w:space="0" w:color="auto"/>
              <w:left w:val="nil"/>
              <w:bottom w:val="single" w:sz="8" w:space="0" w:color="auto"/>
              <w:right w:val="nil"/>
            </w:tcBorders>
            <w:vAlign w:val="center"/>
          </w:tcPr>
          <w:p w14:paraId="299B5156"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Test</w:t>
            </w:r>
          </w:p>
        </w:tc>
        <w:tc>
          <w:tcPr>
            <w:tcW w:w="1908" w:type="dxa"/>
            <w:tcBorders>
              <w:top w:val="single" w:sz="8" w:space="0" w:color="auto"/>
              <w:left w:val="nil"/>
              <w:bottom w:val="single" w:sz="8" w:space="0" w:color="auto"/>
              <w:right w:val="nil"/>
            </w:tcBorders>
            <w:vAlign w:val="center"/>
          </w:tcPr>
          <w:p w14:paraId="468C1B3F"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1</w:t>
            </w:r>
          </w:p>
        </w:tc>
        <w:tc>
          <w:tcPr>
            <w:tcW w:w="2318" w:type="dxa"/>
            <w:tcBorders>
              <w:top w:val="single" w:sz="8" w:space="0" w:color="auto"/>
              <w:left w:val="nil"/>
              <w:bottom w:val="single" w:sz="8" w:space="0" w:color="auto"/>
              <w:right w:val="nil"/>
            </w:tcBorders>
            <w:vAlign w:val="center"/>
          </w:tcPr>
          <w:p w14:paraId="07FE12E9"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2</w:t>
            </w:r>
          </w:p>
        </w:tc>
        <w:tc>
          <w:tcPr>
            <w:tcW w:w="2105" w:type="dxa"/>
            <w:tcBorders>
              <w:top w:val="single" w:sz="8" w:space="0" w:color="auto"/>
              <w:left w:val="nil"/>
              <w:bottom w:val="single" w:sz="8" w:space="0" w:color="auto"/>
              <w:right w:val="nil"/>
            </w:tcBorders>
            <w:vAlign w:val="center"/>
          </w:tcPr>
          <w:p w14:paraId="39283203"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3</w:t>
            </w:r>
          </w:p>
        </w:tc>
        <w:tc>
          <w:tcPr>
            <w:tcW w:w="2502" w:type="dxa"/>
            <w:tcBorders>
              <w:top w:val="single" w:sz="8" w:space="0" w:color="auto"/>
              <w:left w:val="nil"/>
              <w:bottom w:val="single" w:sz="8" w:space="0" w:color="auto"/>
              <w:right w:val="nil"/>
            </w:tcBorders>
            <w:vAlign w:val="center"/>
          </w:tcPr>
          <w:p w14:paraId="56136DDD"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4</w:t>
            </w:r>
          </w:p>
        </w:tc>
      </w:tr>
      <w:tr w:rsidR="00FE2F93" w14:paraId="05D3A53D" w14:textId="77777777">
        <w:trPr>
          <w:trHeight w:val="515"/>
        </w:trPr>
        <w:tc>
          <w:tcPr>
            <w:tcW w:w="1279" w:type="dxa"/>
            <w:tcBorders>
              <w:top w:val="nil"/>
              <w:left w:val="nil"/>
              <w:bottom w:val="nil"/>
              <w:right w:val="nil"/>
            </w:tcBorders>
            <w:vAlign w:val="center"/>
          </w:tcPr>
          <w:p w14:paraId="0C3496F9"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Gram staining</w:t>
            </w:r>
          </w:p>
        </w:tc>
        <w:tc>
          <w:tcPr>
            <w:tcW w:w="1908" w:type="dxa"/>
            <w:tcBorders>
              <w:top w:val="nil"/>
              <w:left w:val="nil"/>
              <w:bottom w:val="nil"/>
              <w:right w:val="nil"/>
            </w:tcBorders>
            <w:vAlign w:val="center"/>
          </w:tcPr>
          <w:p w14:paraId="589095B6"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Gram negative</w:t>
            </w:r>
          </w:p>
        </w:tc>
        <w:tc>
          <w:tcPr>
            <w:tcW w:w="2318" w:type="dxa"/>
            <w:tcBorders>
              <w:top w:val="nil"/>
              <w:left w:val="nil"/>
              <w:bottom w:val="nil"/>
              <w:right w:val="nil"/>
            </w:tcBorders>
            <w:vAlign w:val="center"/>
          </w:tcPr>
          <w:p w14:paraId="3DCC5D5B"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Gram negative</w:t>
            </w:r>
          </w:p>
        </w:tc>
        <w:tc>
          <w:tcPr>
            <w:tcW w:w="2105" w:type="dxa"/>
            <w:tcBorders>
              <w:top w:val="nil"/>
              <w:left w:val="nil"/>
              <w:bottom w:val="nil"/>
              <w:right w:val="nil"/>
            </w:tcBorders>
            <w:vAlign w:val="center"/>
          </w:tcPr>
          <w:p w14:paraId="642637A9"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Gram negative</w:t>
            </w:r>
          </w:p>
        </w:tc>
        <w:tc>
          <w:tcPr>
            <w:tcW w:w="2502" w:type="dxa"/>
            <w:tcBorders>
              <w:top w:val="nil"/>
              <w:left w:val="nil"/>
              <w:bottom w:val="nil"/>
              <w:right w:val="nil"/>
            </w:tcBorders>
            <w:vAlign w:val="center"/>
          </w:tcPr>
          <w:p w14:paraId="293232CD"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Gram positive</w:t>
            </w:r>
          </w:p>
        </w:tc>
      </w:tr>
      <w:tr w:rsidR="00FE2F93" w14:paraId="471A3C7C" w14:textId="77777777">
        <w:trPr>
          <w:trHeight w:val="303"/>
        </w:trPr>
        <w:tc>
          <w:tcPr>
            <w:tcW w:w="1279" w:type="dxa"/>
            <w:tcBorders>
              <w:top w:val="nil"/>
              <w:left w:val="nil"/>
              <w:bottom w:val="nil"/>
              <w:right w:val="nil"/>
            </w:tcBorders>
            <w:vAlign w:val="center"/>
          </w:tcPr>
          <w:p w14:paraId="2376C292"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Shape</w:t>
            </w:r>
          </w:p>
        </w:tc>
        <w:tc>
          <w:tcPr>
            <w:tcW w:w="1908" w:type="dxa"/>
            <w:tcBorders>
              <w:top w:val="nil"/>
              <w:left w:val="nil"/>
              <w:bottom w:val="nil"/>
              <w:right w:val="nil"/>
            </w:tcBorders>
            <w:vAlign w:val="center"/>
          </w:tcPr>
          <w:p w14:paraId="1E13115D"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2318" w:type="dxa"/>
            <w:tcBorders>
              <w:top w:val="nil"/>
              <w:left w:val="nil"/>
              <w:bottom w:val="nil"/>
              <w:right w:val="nil"/>
            </w:tcBorders>
            <w:vAlign w:val="center"/>
          </w:tcPr>
          <w:p w14:paraId="5C8DEAB6"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2105" w:type="dxa"/>
            <w:tcBorders>
              <w:top w:val="nil"/>
              <w:left w:val="nil"/>
              <w:bottom w:val="nil"/>
              <w:right w:val="nil"/>
            </w:tcBorders>
            <w:vAlign w:val="center"/>
          </w:tcPr>
          <w:p w14:paraId="4B721E5C"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2502" w:type="dxa"/>
            <w:tcBorders>
              <w:top w:val="nil"/>
              <w:left w:val="nil"/>
              <w:bottom w:val="nil"/>
              <w:right w:val="nil"/>
            </w:tcBorders>
            <w:vAlign w:val="center"/>
          </w:tcPr>
          <w:p w14:paraId="74038BE1"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Cocci</w:t>
            </w:r>
          </w:p>
        </w:tc>
      </w:tr>
      <w:tr w:rsidR="00FE2F93" w14:paraId="5DA1041E" w14:textId="77777777">
        <w:trPr>
          <w:trHeight w:val="303"/>
        </w:trPr>
        <w:tc>
          <w:tcPr>
            <w:tcW w:w="1279" w:type="dxa"/>
            <w:tcBorders>
              <w:top w:val="nil"/>
              <w:left w:val="nil"/>
              <w:bottom w:val="nil"/>
              <w:right w:val="nil"/>
            </w:tcBorders>
            <w:vAlign w:val="center"/>
          </w:tcPr>
          <w:p w14:paraId="548F43BA"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MR Test</w:t>
            </w:r>
          </w:p>
        </w:tc>
        <w:tc>
          <w:tcPr>
            <w:tcW w:w="1908" w:type="dxa"/>
            <w:tcBorders>
              <w:top w:val="nil"/>
              <w:left w:val="nil"/>
              <w:bottom w:val="nil"/>
              <w:right w:val="nil"/>
            </w:tcBorders>
            <w:vAlign w:val="center"/>
          </w:tcPr>
          <w:p w14:paraId="172618E1"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2B952F34"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1540B1F7"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6DF7FC90"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17D5FA9A" w14:textId="77777777">
        <w:trPr>
          <w:trHeight w:val="303"/>
        </w:trPr>
        <w:tc>
          <w:tcPr>
            <w:tcW w:w="1279" w:type="dxa"/>
            <w:tcBorders>
              <w:top w:val="nil"/>
              <w:left w:val="nil"/>
              <w:bottom w:val="nil"/>
              <w:right w:val="nil"/>
            </w:tcBorders>
            <w:vAlign w:val="center"/>
          </w:tcPr>
          <w:p w14:paraId="0527CAA5"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VP Test</w:t>
            </w:r>
          </w:p>
        </w:tc>
        <w:tc>
          <w:tcPr>
            <w:tcW w:w="1908" w:type="dxa"/>
            <w:tcBorders>
              <w:top w:val="nil"/>
              <w:left w:val="nil"/>
              <w:bottom w:val="nil"/>
              <w:right w:val="nil"/>
            </w:tcBorders>
            <w:vAlign w:val="center"/>
          </w:tcPr>
          <w:p w14:paraId="6295C3F4"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268B4155"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47561D9D"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4DBAF1AB"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251626AD" w14:textId="77777777">
        <w:trPr>
          <w:trHeight w:val="563"/>
        </w:trPr>
        <w:tc>
          <w:tcPr>
            <w:tcW w:w="1279" w:type="dxa"/>
            <w:tcBorders>
              <w:top w:val="nil"/>
              <w:left w:val="nil"/>
              <w:bottom w:val="nil"/>
              <w:right w:val="nil"/>
            </w:tcBorders>
            <w:vAlign w:val="center"/>
          </w:tcPr>
          <w:p w14:paraId="06FB9262"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TSI Test</w:t>
            </w:r>
          </w:p>
        </w:tc>
        <w:tc>
          <w:tcPr>
            <w:tcW w:w="1908" w:type="dxa"/>
            <w:tcBorders>
              <w:top w:val="nil"/>
              <w:left w:val="nil"/>
              <w:bottom w:val="nil"/>
              <w:right w:val="nil"/>
            </w:tcBorders>
            <w:vAlign w:val="center"/>
          </w:tcPr>
          <w:p w14:paraId="7C2B620F" w14:textId="77777777" w:rsidR="00FE2F93" w:rsidRDefault="00BA0D49">
            <w:pPr>
              <w:spacing w:after="0" w:line="240" w:lineRule="auto"/>
              <w:jc w:val="center"/>
              <w:rPr>
                <w:rFonts w:ascii="Times New Roman" w:eastAsia="Times New Roman" w:hAnsi="Times New Roman" w:cs="Times New Roman"/>
                <w:bCs/>
                <w:color w:val="000000"/>
                <w:sz w:val="20"/>
                <w:szCs w:val="20"/>
                <w:highlight w:val="yellow"/>
              </w:rPr>
            </w:pPr>
            <w:r>
              <w:rPr>
                <w:rFonts w:ascii="Times New Roman" w:eastAsia="Times New Roman" w:hAnsi="Times New Roman" w:cs="Times New Roman"/>
                <w:bCs/>
                <w:color w:val="000000"/>
                <w:sz w:val="20"/>
                <w:szCs w:val="20"/>
              </w:rPr>
              <w:t>H</w:t>
            </w:r>
            <w:r>
              <w:rPr>
                <w:rFonts w:ascii="Times New Roman" w:eastAsia="Times New Roman" w:hAnsi="Times New Roman" w:cs="Times New Roman"/>
                <w:bCs/>
                <w:color w:val="000000"/>
                <w:sz w:val="20"/>
                <w:szCs w:val="20"/>
                <w:vertAlign w:val="subscript"/>
              </w:rPr>
              <w:t>2</w:t>
            </w:r>
            <w:r>
              <w:rPr>
                <w:rFonts w:ascii="Times New Roman" w:eastAsia="Times New Roman" w:hAnsi="Times New Roman" w:cs="Times New Roman"/>
                <w:bCs/>
                <w:color w:val="000000"/>
                <w:sz w:val="20"/>
                <w:szCs w:val="20"/>
              </w:rPr>
              <w:t xml:space="preserve">S </w:t>
            </w:r>
            <w:r>
              <w:rPr>
                <w:rFonts w:ascii="Times New Roman" w:eastAsia="Times New Roman" w:hAnsi="Times New Roman" w:cs="Times New Roman"/>
                <w:bCs/>
                <w:color w:val="000000"/>
                <w:sz w:val="20"/>
                <w:szCs w:val="20"/>
              </w:rPr>
              <w:t>production</w:t>
            </w:r>
          </w:p>
        </w:tc>
        <w:tc>
          <w:tcPr>
            <w:tcW w:w="2318" w:type="dxa"/>
            <w:tcBorders>
              <w:top w:val="nil"/>
              <w:left w:val="nil"/>
              <w:bottom w:val="nil"/>
              <w:right w:val="nil"/>
            </w:tcBorders>
            <w:vAlign w:val="center"/>
          </w:tcPr>
          <w:p w14:paraId="275DDCF3" w14:textId="77777777" w:rsidR="00FE2F93" w:rsidRDefault="00BA0D49">
            <w:pPr>
              <w:spacing w:after="0" w:line="240" w:lineRule="auto"/>
              <w:jc w:val="center"/>
              <w:rPr>
                <w:rFonts w:ascii="Times New Roman" w:eastAsia="Times New Roman" w:hAnsi="Times New Roman" w:cs="Times New Roman"/>
                <w:bCs/>
                <w:color w:val="000000"/>
                <w:sz w:val="20"/>
                <w:szCs w:val="20"/>
                <w:highlight w:val="yellow"/>
              </w:rPr>
            </w:pPr>
            <w:r>
              <w:rPr>
                <w:rFonts w:ascii="Times New Roman" w:eastAsia="Times New Roman" w:hAnsi="Times New Roman" w:cs="Times New Roman"/>
                <w:bCs/>
                <w:color w:val="000000"/>
                <w:sz w:val="20"/>
                <w:szCs w:val="20"/>
              </w:rPr>
              <w:t>No Gas production</w:t>
            </w:r>
          </w:p>
        </w:tc>
        <w:tc>
          <w:tcPr>
            <w:tcW w:w="2105" w:type="dxa"/>
            <w:tcBorders>
              <w:top w:val="nil"/>
              <w:left w:val="nil"/>
              <w:bottom w:val="nil"/>
              <w:right w:val="nil"/>
            </w:tcBorders>
            <w:vAlign w:val="center"/>
          </w:tcPr>
          <w:p w14:paraId="56F227B9" w14:textId="77777777" w:rsidR="00FE2F93" w:rsidRDefault="00BA0D49">
            <w:pPr>
              <w:spacing w:after="0" w:line="240" w:lineRule="auto"/>
              <w:jc w:val="center"/>
              <w:rPr>
                <w:rFonts w:ascii="Times New Roman" w:eastAsia="Times New Roman" w:hAnsi="Times New Roman" w:cs="Times New Roman"/>
                <w:bCs/>
                <w:color w:val="000000"/>
                <w:sz w:val="20"/>
                <w:szCs w:val="20"/>
                <w:highlight w:val="yellow"/>
              </w:rPr>
            </w:pPr>
            <w:r>
              <w:rPr>
                <w:rFonts w:ascii="Times New Roman" w:eastAsia="Times New Roman" w:hAnsi="Times New Roman" w:cs="Times New Roman"/>
                <w:bCs/>
                <w:color w:val="000000"/>
                <w:sz w:val="20"/>
                <w:szCs w:val="20"/>
              </w:rPr>
              <w:t>Gas production</w:t>
            </w:r>
          </w:p>
        </w:tc>
        <w:tc>
          <w:tcPr>
            <w:tcW w:w="2502" w:type="dxa"/>
            <w:tcBorders>
              <w:top w:val="nil"/>
              <w:left w:val="nil"/>
              <w:bottom w:val="nil"/>
              <w:right w:val="nil"/>
            </w:tcBorders>
            <w:vAlign w:val="center"/>
          </w:tcPr>
          <w:p w14:paraId="22EACF0F" w14:textId="77777777" w:rsidR="00FE2F93" w:rsidRDefault="00BA0D49">
            <w:pPr>
              <w:spacing w:after="0" w:line="240" w:lineRule="auto"/>
              <w:jc w:val="center"/>
              <w:rPr>
                <w:rFonts w:ascii="Times New Roman" w:eastAsia="Times New Roman" w:hAnsi="Times New Roman" w:cs="Times New Roman"/>
                <w:bCs/>
                <w:color w:val="000000"/>
                <w:sz w:val="20"/>
                <w:szCs w:val="20"/>
                <w:highlight w:val="yellow"/>
              </w:rPr>
            </w:pPr>
            <w:r>
              <w:rPr>
                <w:rFonts w:ascii="Times New Roman" w:eastAsia="Times New Roman" w:hAnsi="Times New Roman" w:cs="Times New Roman"/>
                <w:bCs/>
                <w:color w:val="000000"/>
                <w:sz w:val="20"/>
                <w:szCs w:val="20"/>
              </w:rPr>
              <w:t>No Gas production</w:t>
            </w:r>
          </w:p>
        </w:tc>
      </w:tr>
      <w:tr w:rsidR="00FE2F93" w14:paraId="28BDCDF0" w14:textId="77777777">
        <w:trPr>
          <w:trHeight w:val="515"/>
        </w:trPr>
        <w:tc>
          <w:tcPr>
            <w:tcW w:w="1279" w:type="dxa"/>
            <w:tcBorders>
              <w:top w:val="nil"/>
              <w:left w:val="nil"/>
              <w:bottom w:val="nil"/>
              <w:right w:val="nil"/>
            </w:tcBorders>
            <w:vAlign w:val="center"/>
          </w:tcPr>
          <w:p w14:paraId="5DD6857A"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Indole Test</w:t>
            </w:r>
          </w:p>
        </w:tc>
        <w:tc>
          <w:tcPr>
            <w:tcW w:w="1908" w:type="dxa"/>
            <w:tcBorders>
              <w:top w:val="nil"/>
              <w:left w:val="nil"/>
              <w:bottom w:val="nil"/>
              <w:right w:val="nil"/>
            </w:tcBorders>
            <w:vAlign w:val="center"/>
          </w:tcPr>
          <w:p w14:paraId="09CB6FDE"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5C8F4341"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7F1409DF"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3ECBBA7B"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71EA2561" w14:textId="77777777">
        <w:trPr>
          <w:trHeight w:val="515"/>
        </w:trPr>
        <w:tc>
          <w:tcPr>
            <w:tcW w:w="1279" w:type="dxa"/>
            <w:tcBorders>
              <w:top w:val="nil"/>
              <w:left w:val="nil"/>
              <w:bottom w:val="nil"/>
              <w:right w:val="nil"/>
            </w:tcBorders>
            <w:vAlign w:val="center"/>
          </w:tcPr>
          <w:p w14:paraId="14922E15"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Citrate Test</w:t>
            </w:r>
          </w:p>
        </w:tc>
        <w:tc>
          <w:tcPr>
            <w:tcW w:w="1908" w:type="dxa"/>
            <w:tcBorders>
              <w:top w:val="nil"/>
              <w:left w:val="nil"/>
              <w:bottom w:val="nil"/>
              <w:right w:val="nil"/>
            </w:tcBorders>
            <w:vAlign w:val="center"/>
          </w:tcPr>
          <w:p w14:paraId="46FE9074"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2EF88E27"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10724A1C"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0B91C2C8"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0013B3CF" w14:textId="77777777">
        <w:trPr>
          <w:trHeight w:val="515"/>
        </w:trPr>
        <w:tc>
          <w:tcPr>
            <w:tcW w:w="1279" w:type="dxa"/>
            <w:tcBorders>
              <w:top w:val="nil"/>
              <w:left w:val="nil"/>
              <w:bottom w:val="nil"/>
              <w:right w:val="nil"/>
            </w:tcBorders>
            <w:vAlign w:val="center"/>
          </w:tcPr>
          <w:p w14:paraId="3EA8F951"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Catalase Test</w:t>
            </w:r>
          </w:p>
        </w:tc>
        <w:tc>
          <w:tcPr>
            <w:tcW w:w="1908" w:type="dxa"/>
            <w:tcBorders>
              <w:top w:val="nil"/>
              <w:left w:val="nil"/>
              <w:bottom w:val="nil"/>
              <w:right w:val="nil"/>
            </w:tcBorders>
            <w:vAlign w:val="center"/>
          </w:tcPr>
          <w:p w14:paraId="737174A9"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6295683C"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18CCB4EB"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00455D2A"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0CD1C843" w14:textId="77777777">
        <w:trPr>
          <w:trHeight w:val="515"/>
        </w:trPr>
        <w:tc>
          <w:tcPr>
            <w:tcW w:w="1279" w:type="dxa"/>
            <w:tcBorders>
              <w:top w:val="nil"/>
              <w:left w:val="nil"/>
              <w:bottom w:val="nil"/>
              <w:right w:val="nil"/>
            </w:tcBorders>
            <w:vAlign w:val="center"/>
          </w:tcPr>
          <w:p w14:paraId="0EE5AB60"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Oxidase Test</w:t>
            </w:r>
          </w:p>
        </w:tc>
        <w:tc>
          <w:tcPr>
            <w:tcW w:w="1908" w:type="dxa"/>
            <w:tcBorders>
              <w:top w:val="nil"/>
              <w:left w:val="nil"/>
              <w:bottom w:val="nil"/>
              <w:right w:val="nil"/>
            </w:tcBorders>
            <w:vAlign w:val="center"/>
          </w:tcPr>
          <w:p w14:paraId="1BEC32F1"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4F6B1A11"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5AD3CF9F"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0AD0F19D"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14D5495E" w14:textId="77777777">
        <w:trPr>
          <w:trHeight w:val="787"/>
        </w:trPr>
        <w:tc>
          <w:tcPr>
            <w:tcW w:w="1279" w:type="dxa"/>
            <w:tcBorders>
              <w:top w:val="nil"/>
              <w:left w:val="nil"/>
              <w:bottom w:val="single" w:sz="4" w:space="0" w:color="auto"/>
              <w:right w:val="nil"/>
            </w:tcBorders>
            <w:vAlign w:val="center"/>
          </w:tcPr>
          <w:p w14:paraId="66FC7CF7"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Mannitol motility Test</w:t>
            </w:r>
          </w:p>
        </w:tc>
        <w:tc>
          <w:tcPr>
            <w:tcW w:w="1908" w:type="dxa"/>
            <w:tcBorders>
              <w:top w:val="nil"/>
              <w:left w:val="nil"/>
              <w:bottom w:val="single" w:sz="4" w:space="0" w:color="auto"/>
              <w:right w:val="nil"/>
            </w:tcBorders>
            <w:vAlign w:val="center"/>
          </w:tcPr>
          <w:p w14:paraId="7F530CA2"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single" w:sz="4" w:space="0" w:color="auto"/>
              <w:right w:val="nil"/>
            </w:tcBorders>
            <w:vAlign w:val="center"/>
          </w:tcPr>
          <w:p w14:paraId="30189B30"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single" w:sz="4" w:space="0" w:color="auto"/>
              <w:right w:val="nil"/>
            </w:tcBorders>
            <w:vAlign w:val="center"/>
          </w:tcPr>
          <w:p w14:paraId="3B064F7D"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single" w:sz="4" w:space="0" w:color="auto"/>
              <w:right w:val="nil"/>
            </w:tcBorders>
            <w:vAlign w:val="center"/>
          </w:tcPr>
          <w:p w14:paraId="7C243A16"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33455313" w14:textId="77777777">
        <w:trPr>
          <w:trHeight w:val="787"/>
        </w:trPr>
        <w:tc>
          <w:tcPr>
            <w:tcW w:w="1279" w:type="dxa"/>
            <w:tcBorders>
              <w:top w:val="single" w:sz="4" w:space="0" w:color="auto"/>
              <w:left w:val="nil"/>
              <w:bottom w:val="single" w:sz="8" w:space="0" w:color="auto"/>
              <w:right w:val="nil"/>
            </w:tcBorders>
            <w:vAlign w:val="center"/>
          </w:tcPr>
          <w:p w14:paraId="556C59DD"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Bacteria identified</w:t>
            </w:r>
          </w:p>
        </w:tc>
        <w:tc>
          <w:tcPr>
            <w:tcW w:w="1908" w:type="dxa"/>
            <w:tcBorders>
              <w:top w:val="single" w:sz="4" w:space="0" w:color="auto"/>
              <w:left w:val="nil"/>
              <w:bottom w:val="single" w:sz="8" w:space="0" w:color="auto"/>
              <w:right w:val="nil"/>
            </w:tcBorders>
            <w:vAlign w:val="center"/>
          </w:tcPr>
          <w:p w14:paraId="38C04E66" w14:textId="77777777" w:rsidR="00FE2F93" w:rsidRDefault="00BA0D49">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Klebsiella </w:t>
            </w:r>
            <w:r>
              <w:rPr>
                <w:rFonts w:ascii="Times New Roman" w:eastAsia="Times New Roman" w:hAnsi="Times New Roman" w:cs="Times New Roman"/>
                <w:iCs/>
                <w:color w:val="000000"/>
                <w:sz w:val="20"/>
                <w:szCs w:val="20"/>
              </w:rPr>
              <w:t>spp.</w:t>
            </w:r>
          </w:p>
        </w:tc>
        <w:tc>
          <w:tcPr>
            <w:tcW w:w="2318" w:type="dxa"/>
            <w:tcBorders>
              <w:top w:val="single" w:sz="4" w:space="0" w:color="auto"/>
              <w:left w:val="nil"/>
              <w:bottom w:val="single" w:sz="8" w:space="0" w:color="auto"/>
              <w:right w:val="nil"/>
            </w:tcBorders>
            <w:vAlign w:val="center"/>
          </w:tcPr>
          <w:p w14:paraId="448C7419" w14:textId="77777777" w:rsidR="00FE2F93" w:rsidRDefault="00BA0D49">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Pseudomonas </w:t>
            </w:r>
            <w:r>
              <w:rPr>
                <w:rFonts w:ascii="Times New Roman" w:eastAsia="Times New Roman" w:hAnsi="Times New Roman" w:cs="Times New Roman"/>
                <w:iCs/>
                <w:color w:val="000000"/>
                <w:sz w:val="20"/>
                <w:szCs w:val="20"/>
              </w:rPr>
              <w:t>spp.</w:t>
            </w:r>
          </w:p>
        </w:tc>
        <w:tc>
          <w:tcPr>
            <w:tcW w:w="2105" w:type="dxa"/>
            <w:tcBorders>
              <w:top w:val="single" w:sz="4" w:space="0" w:color="auto"/>
              <w:left w:val="nil"/>
              <w:bottom w:val="single" w:sz="8" w:space="0" w:color="auto"/>
              <w:right w:val="nil"/>
            </w:tcBorders>
            <w:vAlign w:val="center"/>
          </w:tcPr>
          <w:p w14:paraId="5B4EC324" w14:textId="77777777" w:rsidR="00FE2F93" w:rsidRDefault="00BA0D49">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Escherichia</w:t>
            </w:r>
          </w:p>
          <w:p w14:paraId="77A110AB" w14:textId="77777777" w:rsidR="00FE2F93" w:rsidRDefault="00BA0D49">
            <w:pPr>
              <w:spacing w:after="0"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spp.</w:t>
            </w:r>
          </w:p>
        </w:tc>
        <w:tc>
          <w:tcPr>
            <w:tcW w:w="2502" w:type="dxa"/>
            <w:tcBorders>
              <w:top w:val="single" w:sz="4" w:space="0" w:color="auto"/>
              <w:left w:val="nil"/>
              <w:bottom w:val="single" w:sz="8" w:space="0" w:color="auto"/>
              <w:right w:val="nil"/>
            </w:tcBorders>
            <w:vAlign w:val="center"/>
          </w:tcPr>
          <w:p w14:paraId="79097318" w14:textId="77777777" w:rsidR="00FE2F93" w:rsidRDefault="00BA0D49">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Staphylococcus</w:t>
            </w:r>
          </w:p>
          <w:p w14:paraId="7A914D09" w14:textId="77777777" w:rsidR="00FE2F93" w:rsidRDefault="00BA0D49">
            <w:pPr>
              <w:spacing w:after="0"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spp.</w:t>
            </w:r>
          </w:p>
        </w:tc>
      </w:tr>
    </w:tbl>
    <w:p w14:paraId="0590BCAC" w14:textId="77777777" w:rsidR="00FE2F93" w:rsidRDefault="00FE2F93">
      <w:pPr>
        <w:jc w:val="both"/>
        <w:rPr>
          <w:rFonts w:ascii="Times New Roman" w:hAnsi="Times New Roman" w:cs="Times New Roman"/>
          <w:color w:val="000000"/>
          <w:sz w:val="24"/>
          <w:szCs w:val="24"/>
        </w:rPr>
      </w:pPr>
    </w:p>
    <w:p w14:paraId="1CA2D1E0" w14:textId="77777777" w:rsidR="00FE2F93" w:rsidRDefault="00BA0D49">
      <w:pPr>
        <w:rPr>
          <w:rFonts w:ascii="Times New Roman" w:hAnsi="Times New Roman" w:cs="Times New Roman"/>
          <w:b/>
          <w:sz w:val="24"/>
          <w:szCs w:val="24"/>
        </w:rPr>
      </w:pPr>
      <w:r>
        <w:rPr>
          <w:rFonts w:ascii="Times New Roman" w:hAnsi="Times New Roman" w:cs="Times New Roman"/>
          <w:b/>
          <w:sz w:val="24"/>
          <w:szCs w:val="24"/>
        </w:rPr>
        <w:t>3.2. Antibiotic Susceptibility Testing (AST) pattern of isolates</w:t>
      </w:r>
    </w:p>
    <w:p w14:paraId="2D5A4B7A" w14:textId="77777777" w:rsidR="00FE2F93" w:rsidRDefault="00BA0D49">
      <w:pPr>
        <w:jc w:val="both"/>
        <w:rPr>
          <w:rFonts w:ascii="Times New Roman" w:hAnsi="Times New Roman" w:cs="Times New Roman"/>
          <w:sz w:val="24"/>
          <w:szCs w:val="24"/>
        </w:rPr>
      </w:pPr>
      <w:r>
        <w:rPr>
          <w:rFonts w:ascii="Times New Roman" w:hAnsi="Times New Roman" w:cs="Times New Roman"/>
          <w:sz w:val="24"/>
          <w:szCs w:val="24"/>
        </w:rPr>
        <w:t>Disc diffusion method was used to evaluate the antibiotic susceptibility pattern of bacterial isolates obtained from the water samples following the Clinical and Laboratory Standards Institute (CLSI) interpretation criteria. The susceptibility behavior var</w:t>
      </w:r>
      <w:r>
        <w:rPr>
          <w:rFonts w:ascii="Times New Roman" w:hAnsi="Times New Roman" w:cs="Times New Roman"/>
          <w:sz w:val="24"/>
          <w:szCs w:val="24"/>
        </w:rPr>
        <w:t xml:space="preserve">ied among the isolated </w:t>
      </w:r>
      <w:r>
        <w:rPr>
          <w:rFonts w:ascii="Times New Roman" w:hAnsi="Times New Roman" w:cs="Times New Roman"/>
          <w:sz w:val="24"/>
          <w:szCs w:val="24"/>
        </w:rPr>
        <w:lastRenderedPageBreak/>
        <w:t xml:space="preserve">species, thus indicating distinctive responses of gram-positive and gram-negative bacteria towards the tested antibiotics (Fig. 2). </w:t>
      </w:r>
    </w:p>
    <w:p w14:paraId="7C0E5DA2" w14:textId="77777777" w:rsidR="00FE2F93" w:rsidRDefault="00BA0D49">
      <w:pPr>
        <w:pStyle w:val="NormalWeb"/>
        <w:spacing w:line="360" w:lineRule="auto"/>
        <w:jc w:val="center"/>
        <w:rPr>
          <w:rStyle w:val="Emphasis"/>
          <w:i w:val="0"/>
        </w:rPr>
      </w:pPr>
      <w:r>
        <w:rPr>
          <w:iCs/>
          <w:noProof/>
        </w:rPr>
        <w:drawing>
          <wp:inline distT="0" distB="0" distL="0" distR="0" wp14:anchorId="48AFD42B" wp14:editId="1C6B481F">
            <wp:extent cx="6231255" cy="3049905"/>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9"/>
                    <a:srcRect/>
                    <a:stretch>
                      <a:fillRect/>
                    </a:stretch>
                  </pic:blipFill>
                  <pic:spPr>
                    <a:xfrm>
                      <a:off x="0" y="0"/>
                      <a:ext cx="6231008" cy="3049625"/>
                    </a:xfrm>
                    <a:prstGeom prst="rect">
                      <a:avLst/>
                    </a:prstGeom>
                    <a:noFill/>
                  </pic:spPr>
                </pic:pic>
              </a:graphicData>
            </a:graphic>
          </wp:inline>
        </w:drawing>
      </w:r>
    </w:p>
    <w:p w14:paraId="4E2B19A5" w14:textId="77777777" w:rsidR="00FE2F93" w:rsidRDefault="00BA0D49">
      <w:pPr>
        <w:pStyle w:val="NormalWeb"/>
        <w:spacing w:line="360" w:lineRule="auto"/>
        <w:jc w:val="both"/>
        <w:rPr>
          <w:b/>
          <w:iCs/>
        </w:rPr>
      </w:pPr>
      <w:r>
        <w:rPr>
          <w:b/>
        </w:rPr>
        <w:t>Fig. 2. Antibiotic susceptibility testing of bacterial isolates (W1-</w:t>
      </w:r>
      <w:r>
        <w:rPr>
          <w:b/>
          <w:bCs/>
          <w:i/>
          <w:color w:val="000000"/>
        </w:rPr>
        <w:t xml:space="preserve"> Klebsiella</w:t>
      </w:r>
      <w:r>
        <w:rPr>
          <w:b/>
          <w:i/>
          <w:iCs/>
          <w:color w:val="000000"/>
          <w:sz w:val="20"/>
          <w:szCs w:val="20"/>
        </w:rPr>
        <w:t xml:space="preserve"> </w:t>
      </w:r>
      <w:r>
        <w:rPr>
          <w:b/>
          <w:iCs/>
          <w:color w:val="000000"/>
          <w:sz w:val="20"/>
          <w:szCs w:val="20"/>
        </w:rPr>
        <w:t>spp.</w:t>
      </w:r>
      <w:r>
        <w:rPr>
          <w:b/>
          <w:bCs/>
          <w:color w:val="000000"/>
        </w:rPr>
        <w:t>, W2-</w:t>
      </w:r>
      <w:r>
        <w:rPr>
          <w:b/>
          <w:bCs/>
          <w:i/>
          <w:color w:val="000000"/>
        </w:rPr>
        <w:t>Pseudomonas</w:t>
      </w:r>
      <w:r>
        <w:rPr>
          <w:b/>
          <w:i/>
          <w:iCs/>
          <w:color w:val="000000"/>
          <w:sz w:val="20"/>
          <w:szCs w:val="20"/>
        </w:rPr>
        <w:t xml:space="preserve"> </w:t>
      </w:r>
      <w:r>
        <w:rPr>
          <w:b/>
          <w:iCs/>
          <w:color w:val="000000"/>
          <w:sz w:val="20"/>
          <w:szCs w:val="20"/>
        </w:rPr>
        <w:t>spp.</w:t>
      </w:r>
      <w:r>
        <w:rPr>
          <w:b/>
          <w:bCs/>
          <w:color w:val="000000"/>
        </w:rPr>
        <w:t>, W3-</w:t>
      </w:r>
      <w:r>
        <w:rPr>
          <w:b/>
          <w:bCs/>
          <w:i/>
          <w:color w:val="000000"/>
        </w:rPr>
        <w:t>Escherichia</w:t>
      </w:r>
      <w:r>
        <w:rPr>
          <w:b/>
          <w:i/>
          <w:iCs/>
          <w:color w:val="000000"/>
          <w:sz w:val="20"/>
          <w:szCs w:val="20"/>
        </w:rPr>
        <w:t xml:space="preserve"> </w:t>
      </w:r>
      <w:r>
        <w:rPr>
          <w:b/>
          <w:iCs/>
          <w:color w:val="000000"/>
          <w:sz w:val="20"/>
          <w:szCs w:val="20"/>
        </w:rPr>
        <w:t>spp.</w:t>
      </w:r>
      <w:r>
        <w:rPr>
          <w:b/>
          <w:bCs/>
          <w:color w:val="000000"/>
        </w:rPr>
        <w:t>, and W4-</w:t>
      </w:r>
      <w:r>
        <w:rPr>
          <w:b/>
          <w:bCs/>
          <w:i/>
          <w:color w:val="000000"/>
        </w:rPr>
        <w:t xml:space="preserve">Staphylococcus </w:t>
      </w:r>
      <w:r>
        <w:rPr>
          <w:b/>
          <w:iCs/>
          <w:color w:val="000000"/>
          <w:sz w:val="20"/>
          <w:szCs w:val="20"/>
        </w:rPr>
        <w:t>spp.)</w:t>
      </w:r>
      <w:r>
        <w:rPr>
          <w:b/>
          <w:i/>
          <w:iCs/>
          <w:color w:val="000000"/>
          <w:sz w:val="20"/>
          <w:szCs w:val="20"/>
        </w:rPr>
        <w:t xml:space="preserve"> </w:t>
      </w:r>
      <w:r>
        <w:rPr>
          <w:b/>
        </w:rPr>
        <w:t>using the disc diffusion method showing zones of inhibition around antibiotic discs.</w:t>
      </w:r>
    </w:p>
    <w:p w14:paraId="6683AA47"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i/>
          <w:sz w:val="24"/>
          <w:szCs w:val="24"/>
        </w:rPr>
        <w:t xml:space="preserve">Klebsiella </w:t>
      </w:r>
      <w:r>
        <w:rPr>
          <w:rFonts w:ascii="Times New Roman" w:hAnsi="Times New Roman" w:cs="Times New Roman"/>
          <w:sz w:val="24"/>
          <w:szCs w:val="24"/>
        </w:rPr>
        <w:t>showed strong resistance against many commonly used antibiotics, including ampicillin, tetrac</w:t>
      </w:r>
      <w:r>
        <w:rPr>
          <w:rFonts w:ascii="Times New Roman" w:hAnsi="Times New Roman" w:cs="Times New Roman"/>
          <w:sz w:val="24"/>
          <w:szCs w:val="24"/>
        </w:rPr>
        <w:t xml:space="preserve">ycline, vancomycin, norfloxacin, </w:t>
      </w:r>
      <w:proofErr w:type="spellStart"/>
      <w:r>
        <w:rPr>
          <w:rFonts w:ascii="Times New Roman" w:hAnsi="Times New Roman" w:cs="Times New Roman"/>
          <w:sz w:val="24"/>
          <w:szCs w:val="24"/>
        </w:rPr>
        <w:t>gatifloxacin</w:t>
      </w:r>
      <w:proofErr w:type="spellEnd"/>
      <w:r>
        <w:rPr>
          <w:rFonts w:ascii="Times New Roman" w:hAnsi="Times New Roman" w:cs="Times New Roman"/>
          <w:sz w:val="24"/>
          <w:szCs w:val="24"/>
        </w:rPr>
        <w:t>, and imipenem (Table 2). This multi-resistance pattern suggests the presence of intrinsic and acquired resistance mechanisms such as efflux pump activity and ß-lactamase production (</w:t>
      </w:r>
      <w:proofErr w:type="spellStart"/>
      <w:r>
        <w:rPr>
          <w:rFonts w:ascii="Times New Roman" w:hAnsi="Times New Roman" w:cs="Times New Roman"/>
          <w:sz w:val="24"/>
          <w:szCs w:val="24"/>
          <w:shd w:val="clear" w:color="auto" w:fill="FFFFFF"/>
        </w:rPr>
        <w:t>Suay</w:t>
      </w:r>
      <w:proofErr w:type="spellEnd"/>
      <w:r>
        <w:rPr>
          <w:rFonts w:ascii="Times New Roman" w:hAnsi="Times New Roman" w:cs="Times New Roman"/>
          <w:sz w:val="24"/>
          <w:szCs w:val="24"/>
          <w:shd w:val="clear" w:color="auto" w:fill="FFFFFF"/>
        </w:rPr>
        <w:t>-García and Pérez-</w:t>
      </w:r>
      <w:proofErr w:type="spellStart"/>
      <w:r>
        <w:rPr>
          <w:rFonts w:ascii="Times New Roman" w:hAnsi="Times New Roman" w:cs="Times New Roman"/>
          <w:sz w:val="24"/>
          <w:szCs w:val="24"/>
          <w:shd w:val="clear" w:color="auto" w:fill="FFFFFF"/>
        </w:rPr>
        <w:t>Gracia</w:t>
      </w:r>
      <w:proofErr w:type="spellEnd"/>
      <w:r>
        <w:rPr>
          <w:rFonts w:ascii="Times New Roman" w:hAnsi="Times New Roman" w:cs="Times New Roman"/>
          <w:sz w:val="24"/>
          <w:szCs w:val="24"/>
          <w:shd w:val="clear" w:color="auto" w:fill="FFFFFF"/>
        </w:rPr>
        <w:t>, 2021</w:t>
      </w:r>
      <w:proofErr w:type="gramStart"/>
      <w:r>
        <w:rPr>
          <w:rFonts w:ascii="Times New Roman" w:hAnsi="Times New Roman" w:cs="Times New Roman"/>
          <w:sz w:val="24"/>
          <w:szCs w:val="24"/>
          <w:shd w:val="clear" w:color="auto" w:fill="FFFFFF"/>
        </w:rPr>
        <w:t>).</w:t>
      </w:r>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observed resistance to IPM is particularly appalling, as carbapenems are considered last-resort antibiotics (</w:t>
      </w:r>
      <w:r>
        <w:rPr>
          <w:rFonts w:ascii="Times New Roman" w:hAnsi="Times New Roman" w:cs="Times New Roman"/>
          <w:color w:val="222222"/>
          <w:sz w:val="24"/>
          <w:szCs w:val="24"/>
          <w:shd w:val="clear" w:color="auto" w:fill="FFFFFF"/>
        </w:rPr>
        <w:t>Osei Sekyere et al., 2024)</w:t>
      </w:r>
      <w:r>
        <w:rPr>
          <w:rFonts w:ascii="Times New Roman" w:hAnsi="Times New Roman" w:cs="Times New Roman"/>
          <w:color w:val="000000"/>
          <w:sz w:val="24"/>
          <w:szCs w:val="24"/>
        </w:rPr>
        <w:t xml:space="preserve">. In recent decades, such multi-drug resistance </w:t>
      </w:r>
      <w:r>
        <w:rPr>
          <w:rFonts w:ascii="Times New Roman" w:hAnsi="Times New Roman" w:cs="Times New Roman"/>
          <w:i/>
          <w:color w:val="000000"/>
          <w:sz w:val="24"/>
          <w:szCs w:val="24"/>
        </w:rPr>
        <w:t>Klebsiella</w:t>
      </w:r>
      <w:r>
        <w:rPr>
          <w:rFonts w:ascii="Times New Roman" w:hAnsi="Times New Roman" w:cs="Times New Roman"/>
          <w:color w:val="000000"/>
          <w:sz w:val="24"/>
          <w:szCs w:val="24"/>
        </w:rPr>
        <w:t xml:space="preserve"> species were identified as super </w:t>
      </w:r>
      <w:proofErr w:type="spellStart"/>
      <w:r>
        <w:rPr>
          <w:rFonts w:ascii="Times New Roman" w:hAnsi="Times New Roman" w:cs="Times New Roman"/>
          <w:color w:val="000000"/>
          <w:sz w:val="24"/>
          <w:szCs w:val="24"/>
        </w:rPr>
        <w:t>resistome</w:t>
      </w:r>
      <w:proofErr w:type="spellEnd"/>
      <w:r>
        <w:rPr>
          <w:rFonts w:ascii="Times New Roman" w:hAnsi="Times New Roman" w:cs="Times New Roman"/>
          <w:color w:val="000000"/>
          <w:sz w:val="24"/>
          <w:szCs w:val="24"/>
        </w:rPr>
        <w:t xml:space="preserve"> resulting in infections with increased mortality rate due to constrained treatments </w:t>
      </w:r>
      <w:r>
        <w:rPr>
          <w:rFonts w:ascii="Times New Roman" w:hAnsi="Times New Roman" w:cs="Times New Roman"/>
          <w:sz w:val="24"/>
          <w:szCs w:val="24"/>
        </w:rPr>
        <w:t>(</w:t>
      </w:r>
      <w:r>
        <w:rPr>
          <w:rFonts w:ascii="Times New Roman" w:hAnsi="Times New Roman" w:cs="Times New Roman"/>
          <w:sz w:val="24"/>
          <w:szCs w:val="24"/>
          <w:shd w:val="clear" w:color="auto" w:fill="FFFFFF"/>
        </w:rPr>
        <w:t>Navon-Venezia et al., 2017)</w:t>
      </w:r>
      <w:r>
        <w:rPr>
          <w:rFonts w:ascii="Times New Roman" w:hAnsi="Times New Roman" w:cs="Times New Roman"/>
          <w:sz w:val="24"/>
          <w:szCs w:val="24"/>
        </w:rPr>
        <w:t>.</w:t>
      </w:r>
      <w:r>
        <w:rPr>
          <w:rFonts w:ascii="Times New Roman" w:hAnsi="Times New Roman" w:cs="Times New Roman"/>
          <w:color w:val="000000"/>
          <w:sz w:val="24"/>
          <w:szCs w:val="24"/>
        </w:rPr>
        <w:t xml:space="preserve"> However, the species remained sensitive to cefepime, chloramphenicol, and gentamicin, suggesting that higher-generation cephalosporins and am</w:t>
      </w:r>
      <w:r>
        <w:rPr>
          <w:rFonts w:ascii="Times New Roman" w:hAnsi="Times New Roman" w:cs="Times New Roman"/>
          <w:color w:val="000000"/>
          <w:sz w:val="24"/>
          <w:szCs w:val="24"/>
        </w:rPr>
        <w:t>inoglycosides may still be effective.</w:t>
      </w:r>
    </w:p>
    <w:p w14:paraId="64284FBD" w14:textId="77777777" w:rsidR="00FE2F93" w:rsidRDefault="00BA0D49">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2. </w:t>
      </w:r>
      <w:r>
        <w:rPr>
          <w:rFonts w:ascii="Times New Roman" w:hAnsi="Times New Roman" w:cs="Times New Roman"/>
          <w:b/>
          <w:sz w:val="24"/>
          <w:szCs w:val="24"/>
        </w:rPr>
        <w:t>Disc Diffusion</w:t>
      </w:r>
      <w:r>
        <w:rPr>
          <w:rFonts w:ascii="Times New Roman" w:hAnsi="Times New Roman" w:cs="Times New Roman"/>
          <w:b/>
          <w:sz w:val="24"/>
          <w:szCs w:val="24"/>
          <w:lang w:val="en-IN"/>
        </w:rPr>
        <w:t>-</w:t>
      </w:r>
      <w:r>
        <w:rPr>
          <w:rFonts w:ascii="Times New Roman" w:hAnsi="Times New Roman" w:cs="Times New Roman"/>
          <w:b/>
          <w:sz w:val="24"/>
          <w:szCs w:val="24"/>
        </w:rPr>
        <w:t xml:space="preserve">based Antibiotic Susceptibility Profile of </w:t>
      </w:r>
      <w:r>
        <w:rPr>
          <w:rStyle w:val="Emphasis"/>
          <w:rFonts w:ascii="Times New Roman" w:hAnsi="Times New Roman" w:cs="Times New Roman"/>
          <w:b/>
          <w:sz w:val="24"/>
          <w:szCs w:val="24"/>
        </w:rPr>
        <w:t xml:space="preserve">Klebsiella </w:t>
      </w:r>
      <w:r>
        <w:rPr>
          <w:rFonts w:ascii="Times New Roman" w:eastAsia="Times New Roman" w:hAnsi="Times New Roman" w:cs="Times New Roman"/>
          <w:b/>
          <w:iCs/>
          <w:color w:val="000000"/>
          <w:sz w:val="24"/>
          <w:szCs w:val="24"/>
        </w:rPr>
        <w:t>spp.</w:t>
      </w:r>
      <w:r>
        <w:rPr>
          <w:rFonts w:ascii="Times New Roman" w:eastAsia="Times New Roman" w:hAnsi="Times New Roman" w:cs="Times New Roman"/>
          <w:b/>
          <w:i/>
          <w:iCs/>
          <w:color w:val="000000"/>
          <w:sz w:val="24"/>
          <w:szCs w:val="24"/>
        </w:rPr>
        <w:t xml:space="preserve"> </w:t>
      </w:r>
      <w:r>
        <w:rPr>
          <w:rFonts w:ascii="Times New Roman" w:hAnsi="Times New Roman" w:cs="Times New Roman"/>
          <w:b/>
          <w:sz w:val="24"/>
          <w:szCs w:val="24"/>
        </w:rPr>
        <w:t>isolated from water samples</w:t>
      </w:r>
    </w:p>
    <w:tbl>
      <w:tblPr>
        <w:tblW w:w="9293" w:type="dxa"/>
        <w:jc w:val="center"/>
        <w:tblLook w:val="04A0" w:firstRow="1" w:lastRow="0" w:firstColumn="1" w:lastColumn="0" w:noHBand="0" w:noVBand="1"/>
      </w:tblPr>
      <w:tblGrid>
        <w:gridCol w:w="1705"/>
        <w:gridCol w:w="950"/>
        <w:gridCol w:w="1450"/>
        <w:gridCol w:w="927"/>
        <w:gridCol w:w="924"/>
        <w:gridCol w:w="927"/>
        <w:gridCol w:w="972"/>
        <w:gridCol w:w="1438"/>
      </w:tblGrid>
      <w:tr w:rsidR="00FE2F93" w14:paraId="1B034F36" w14:textId="77777777">
        <w:trPr>
          <w:trHeight w:val="430"/>
          <w:jc w:val="center"/>
        </w:trPr>
        <w:tc>
          <w:tcPr>
            <w:tcW w:w="1705" w:type="dxa"/>
            <w:vMerge w:val="restart"/>
            <w:tcBorders>
              <w:top w:val="single" w:sz="4" w:space="0" w:color="auto"/>
              <w:bottom w:val="nil"/>
            </w:tcBorders>
            <w:vAlign w:val="center"/>
          </w:tcPr>
          <w:p w14:paraId="7987FFB7"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Antibiotics</w:t>
            </w:r>
          </w:p>
        </w:tc>
        <w:tc>
          <w:tcPr>
            <w:tcW w:w="950" w:type="dxa"/>
            <w:vMerge w:val="restart"/>
            <w:tcBorders>
              <w:top w:val="single" w:sz="4" w:space="0" w:color="auto"/>
              <w:bottom w:val="nil"/>
            </w:tcBorders>
            <w:vAlign w:val="center"/>
          </w:tcPr>
          <w:p w14:paraId="716A0B8F"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0" w:type="dxa"/>
            <w:vMerge w:val="restart"/>
            <w:tcBorders>
              <w:top w:val="single" w:sz="4" w:space="0" w:color="auto"/>
            </w:tcBorders>
            <w:vAlign w:val="center"/>
          </w:tcPr>
          <w:p w14:paraId="0C4A655D"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1D1F505E"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778" w:type="dxa"/>
            <w:gridSpan w:val="3"/>
            <w:tcBorders>
              <w:top w:val="single" w:sz="4" w:space="0" w:color="auto"/>
              <w:bottom w:val="single" w:sz="4" w:space="0" w:color="auto"/>
            </w:tcBorders>
            <w:vAlign w:val="center"/>
          </w:tcPr>
          <w:p w14:paraId="555AE6BC"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72" w:type="dxa"/>
            <w:vMerge w:val="restart"/>
            <w:tcBorders>
              <w:top w:val="single" w:sz="4" w:space="0" w:color="auto"/>
              <w:bottom w:val="single" w:sz="4" w:space="0" w:color="auto"/>
            </w:tcBorders>
            <w:vAlign w:val="center"/>
          </w:tcPr>
          <w:p w14:paraId="1B52AA2B"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38" w:type="dxa"/>
            <w:vMerge w:val="restart"/>
            <w:tcBorders>
              <w:top w:val="single" w:sz="4" w:space="0" w:color="auto"/>
              <w:bottom w:val="single" w:sz="4" w:space="0" w:color="auto"/>
            </w:tcBorders>
            <w:vAlign w:val="center"/>
          </w:tcPr>
          <w:p w14:paraId="4D56EE5D"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FE2F93" w14:paraId="713809A7" w14:textId="77777777">
        <w:trPr>
          <w:trHeight w:val="258"/>
          <w:jc w:val="center"/>
        </w:trPr>
        <w:tc>
          <w:tcPr>
            <w:tcW w:w="1705" w:type="dxa"/>
            <w:vMerge/>
            <w:tcBorders>
              <w:top w:val="nil"/>
              <w:bottom w:val="single" w:sz="4" w:space="0" w:color="auto"/>
            </w:tcBorders>
            <w:vAlign w:val="center"/>
          </w:tcPr>
          <w:p w14:paraId="690293E5"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950" w:type="dxa"/>
            <w:vMerge/>
            <w:tcBorders>
              <w:top w:val="nil"/>
              <w:bottom w:val="single" w:sz="4" w:space="0" w:color="auto"/>
            </w:tcBorders>
            <w:vAlign w:val="center"/>
          </w:tcPr>
          <w:p w14:paraId="22F0AAC2"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1450" w:type="dxa"/>
            <w:vMerge/>
            <w:tcBorders>
              <w:bottom w:val="single" w:sz="4" w:space="0" w:color="auto"/>
            </w:tcBorders>
          </w:tcPr>
          <w:p w14:paraId="05D3A3E8"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927" w:type="dxa"/>
            <w:tcBorders>
              <w:top w:val="single" w:sz="4" w:space="0" w:color="auto"/>
              <w:bottom w:val="single" w:sz="4" w:space="0" w:color="auto"/>
            </w:tcBorders>
          </w:tcPr>
          <w:p w14:paraId="23439D13"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924" w:type="dxa"/>
            <w:tcBorders>
              <w:top w:val="single" w:sz="4" w:space="0" w:color="auto"/>
              <w:bottom w:val="single" w:sz="4" w:space="0" w:color="auto"/>
            </w:tcBorders>
          </w:tcPr>
          <w:p w14:paraId="73EDB8AB"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927" w:type="dxa"/>
            <w:tcBorders>
              <w:top w:val="single" w:sz="4" w:space="0" w:color="auto"/>
              <w:bottom w:val="single" w:sz="4" w:space="0" w:color="auto"/>
            </w:tcBorders>
          </w:tcPr>
          <w:p w14:paraId="01D25F00"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72" w:type="dxa"/>
            <w:vMerge/>
            <w:tcBorders>
              <w:top w:val="single" w:sz="4" w:space="0" w:color="auto"/>
              <w:bottom w:val="single" w:sz="4" w:space="0" w:color="auto"/>
            </w:tcBorders>
            <w:vAlign w:val="center"/>
          </w:tcPr>
          <w:p w14:paraId="7E93459C"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1438" w:type="dxa"/>
            <w:vMerge/>
            <w:tcBorders>
              <w:top w:val="single" w:sz="4" w:space="0" w:color="auto"/>
              <w:bottom w:val="single" w:sz="4" w:space="0" w:color="auto"/>
            </w:tcBorders>
            <w:vAlign w:val="center"/>
          </w:tcPr>
          <w:p w14:paraId="72E25DDE"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r>
      <w:tr w:rsidR="00FE2F93" w14:paraId="4FEC6038" w14:textId="77777777">
        <w:trPr>
          <w:trHeight w:val="270"/>
          <w:jc w:val="center"/>
        </w:trPr>
        <w:tc>
          <w:tcPr>
            <w:tcW w:w="1705" w:type="dxa"/>
            <w:tcBorders>
              <w:top w:val="single" w:sz="4" w:space="0" w:color="auto"/>
            </w:tcBorders>
            <w:vAlign w:val="center"/>
          </w:tcPr>
          <w:p w14:paraId="0DD73D30"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Ampicillin</w:t>
            </w:r>
          </w:p>
        </w:tc>
        <w:tc>
          <w:tcPr>
            <w:tcW w:w="950" w:type="dxa"/>
            <w:tcBorders>
              <w:top w:val="single" w:sz="4" w:space="0" w:color="auto"/>
            </w:tcBorders>
            <w:vAlign w:val="center"/>
          </w:tcPr>
          <w:p w14:paraId="1553151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0" w:type="dxa"/>
            <w:tcBorders>
              <w:top w:val="single" w:sz="4" w:space="0" w:color="auto"/>
            </w:tcBorders>
            <w:vAlign w:val="center"/>
          </w:tcPr>
          <w:p w14:paraId="2F5D8F4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7" w:type="dxa"/>
            <w:tcBorders>
              <w:top w:val="single" w:sz="4" w:space="0" w:color="auto"/>
            </w:tcBorders>
            <w:vAlign w:val="center"/>
          </w:tcPr>
          <w:p w14:paraId="334DF11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4" w:type="dxa"/>
            <w:tcBorders>
              <w:top w:val="single" w:sz="4" w:space="0" w:color="auto"/>
            </w:tcBorders>
            <w:vAlign w:val="center"/>
          </w:tcPr>
          <w:p w14:paraId="502764A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927" w:type="dxa"/>
            <w:tcBorders>
              <w:top w:val="single" w:sz="4" w:space="0" w:color="auto"/>
            </w:tcBorders>
            <w:vAlign w:val="center"/>
          </w:tcPr>
          <w:p w14:paraId="124C942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tcBorders>
              <w:top w:val="single" w:sz="4" w:space="0" w:color="auto"/>
            </w:tcBorders>
            <w:vAlign w:val="center"/>
          </w:tcPr>
          <w:p w14:paraId="1EDCC5A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438" w:type="dxa"/>
            <w:tcBorders>
              <w:top w:val="single" w:sz="4" w:space="0" w:color="auto"/>
            </w:tcBorders>
            <w:vAlign w:val="center"/>
          </w:tcPr>
          <w:p w14:paraId="169792E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36D0FCB2" w14:textId="77777777">
        <w:trPr>
          <w:trHeight w:val="430"/>
          <w:jc w:val="center"/>
        </w:trPr>
        <w:tc>
          <w:tcPr>
            <w:tcW w:w="1705" w:type="dxa"/>
            <w:vAlign w:val="center"/>
          </w:tcPr>
          <w:p w14:paraId="3A34212E"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Tetracycline</w:t>
            </w:r>
          </w:p>
        </w:tc>
        <w:tc>
          <w:tcPr>
            <w:tcW w:w="950" w:type="dxa"/>
            <w:vAlign w:val="center"/>
          </w:tcPr>
          <w:p w14:paraId="7CE9BD9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0" w:type="dxa"/>
            <w:vAlign w:val="center"/>
          </w:tcPr>
          <w:p w14:paraId="2E1A7E6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7" w:type="dxa"/>
            <w:vAlign w:val="center"/>
          </w:tcPr>
          <w:p w14:paraId="497012B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24" w:type="dxa"/>
            <w:vAlign w:val="center"/>
          </w:tcPr>
          <w:p w14:paraId="6B8A62B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927" w:type="dxa"/>
            <w:vAlign w:val="center"/>
          </w:tcPr>
          <w:p w14:paraId="36F948A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1465814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438" w:type="dxa"/>
            <w:vAlign w:val="center"/>
          </w:tcPr>
          <w:p w14:paraId="151DE46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09080979" w14:textId="77777777">
        <w:trPr>
          <w:trHeight w:val="430"/>
          <w:jc w:val="center"/>
        </w:trPr>
        <w:tc>
          <w:tcPr>
            <w:tcW w:w="1705" w:type="dxa"/>
            <w:vAlign w:val="center"/>
          </w:tcPr>
          <w:p w14:paraId="0A7AFD01"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Vancomycin</w:t>
            </w:r>
          </w:p>
        </w:tc>
        <w:tc>
          <w:tcPr>
            <w:tcW w:w="950" w:type="dxa"/>
            <w:vAlign w:val="center"/>
          </w:tcPr>
          <w:p w14:paraId="2B48B5A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0" w:type="dxa"/>
            <w:vAlign w:val="center"/>
          </w:tcPr>
          <w:p w14:paraId="1F6D9A8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7" w:type="dxa"/>
            <w:vAlign w:val="center"/>
          </w:tcPr>
          <w:p w14:paraId="4ACE75E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4" w:type="dxa"/>
            <w:vAlign w:val="center"/>
          </w:tcPr>
          <w:p w14:paraId="6D8EDE1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927" w:type="dxa"/>
            <w:vAlign w:val="center"/>
          </w:tcPr>
          <w:p w14:paraId="1CEBD04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1DA23A9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438" w:type="dxa"/>
            <w:vAlign w:val="center"/>
          </w:tcPr>
          <w:p w14:paraId="73AE83E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76166A08" w14:textId="77777777">
        <w:trPr>
          <w:trHeight w:val="430"/>
          <w:jc w:val="center"/>
        </w:trPr>
        <w:tc>
          <w:tcPr>
            <w:tcW w:w="1705" w:type="dxa"/>
            <w:vAlign w:val="center"/>
          </w:tcPr>
          <w:p w14:paraId="14600981"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Norfloxacin</w:t>
            </w:r>
          </w:p>
        </w:tc>
        <w:tc>
          <w:tcPr>
            <w:tcW w:w="950" w:type="dxa"/>
            <w:vAlign w:val="center"/>
          </w:tcPr>
          <w:p w14:paraId="4359433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0" w:type="dxa"/>
            <w:vAlign w:val="center"/>
          </w:tcPr>
          <w:p w14:paraId="5274C5B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7" w:type="dxa"/>
            <w:vAlign w:val="center"/>
          </w:tcPr>
          <w:p w14:paraId="64D2A9F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4" w:type="dxa"/>
            <w:vAlign w:val="center"/>
          </w:tcPr>
          <w:p w14:paraId="00CE6AE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927" w:type="dxa"/>
            <w:vAlign w:val="center"/>
          </w:tcPr>
          <w:p w14:paraId="09E8E0E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46092A2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438" w:type="dxa"/>
            <w:vAlign w:val="center"/>
          </w:tcPr>
          <w:p w14:paraId="68A3FC6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7AEBC08D" w14:textId="77777777">
        <w:trPr>
          <w:trHeight w:val="270"/>
          <w:jc w:val="center"/>
        </w:trPr>
        <w:tc>
          <w:tcPr>
            <w:tcW w:w="1705" w:type="dxa"/>
            <w:vAlign w:val="center"/>
          </w:tcPr>
          <w:p w14:paraId="54EEAFB6"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Cefepime</w:t>
            </w:r>
          </w:p>
        </w:tc>
        <w:tc>
          <w:tcPr>
            <w:tcW w:w="950" w:type="dxa"/>
            <w:vAlign w:val="center"/>
          </w:tcPr>
          <w:p w14:paraId="63D7CE3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0" w:type="dxa"/>
            <w:vAlign w:val="center"/>
          </w:tcPr>
          <w:p w14:paraId="690F839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7" w:type="dxa"/>
            <w:vAlign w:val="center"/>
          </w:tcPr>
          <w:p w14:paraId="1338807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24" w:type="dxa"/>
            <w:vAlign w:val="center"/>
          </w:tcPr>
          <w:p w14:paraId="79A42C3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927" w:type="dxa"/>
            <w:vAlign w:val="center"/>
          </w:tcPr>
          <w:p w14:paraId="2A40360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7C65AFD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438" w:type="dxa"/>
            <w:vAlign w:val="center"/>
          </w:tcPr>
          <w:p w14:paraId="6417AA4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7EE2BBA8" w14:textId="77777777">
        <w:trPr>
          <w:trHeight w:val="430"/>
          <w:jc w:val="center"/>
        </w:trPr>
        <w:tc>
          <w:tcPr>
            <w:tcW w:w="1705" w:type="dxa"/>
            <w:vAlign w:val="center"/>
          </w:tcPr>
          <w:p w14:paraId="4146D6DC"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Chloramphenicol</w:t>
            </w:r>
          </w:p>
        </w:tc>
        <w:tc>
          <w:tcPr>
            <w:tcW w:w="950" w:type="dxa"/>
            <w:vAlign w:val="center"/>
          </w:tcPr>
          <w:p w14:paraId="55AD96A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0" w:type="dxa"/>
            <w:vAlign w:val="center"/>
          </w:tcPr>
          <w:p w14:paraId="7F79719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7" w:type="dxa"/>
            <w:vAlign w:val="center"/>
          </w:tcPr>
          <w:p w14:paraId="710871E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24" w:type="dxa"/>
            <w:vAlign w:val="center"/>
          </w:tcPr>
          <w:p w14:paraId="6C07352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927" w:type="dxa"/>
            <w:vAlign w:val="center"/>
          </w:tcPr>
          <w:p w14:paraId="6B8E67C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513095C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438" w:type="dxa"/>
            <w:vAlign w:val="center"/>
          </w:tcPr>
          <w:p w14:paraId="4FEE2A8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6E4BE960" w14:textId="77777777">
        <w:trPr>
          <w:trHeight w:val="430"/>
          <w:jc w:val="center"/>
        </w:trPr>
        <w:tc>
          <w:tcPr>
            <w:tcW w:w="1705" w:type="dxa"/>
            <w:vAlign w:val="center"/>
          </w:tcPr>
          <w:p w14:paraId="5B461FD4" w14:textId="77777777" w:rsidR="00FE2F93" w:rsidRDefault="00BA0D49">
            <w:pPr>
              <w:spacing w:after="0" w:line="240" w:lineRule="auto"/>
              <w:jc w:val="both"/>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Gatifloxacin</w:t>
            </w:r>
            <w:proofErr w:type="spellEnd"/>
          </w:p>
        </w:tc>
        <w:tc>
          <w:tcPr>
            <w:tcW w:w="950" w:type="dxa"/>
            <w:vAlign w:val="center"/>
          </w:tcPr>
          <w:p w14:paraId="2C3FF55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0" w:type="dxa"/>
            <w:vAlign w:val="center"/>
          </w:tcPr>
          <w:p w14:paraId="2CB3BE9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27" w:type="dxa"/>
            <w:vAlign w:val="center"/>
          </w:tcPr>
          <w:p w14:paraId="06A41C6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4" w:type="dxa"/>
            <w:vAlign w:val="center"/>
          </w:tcPr>
          <w:p w14:paraId="60E2319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927" w:type="dxa"/>
            <w:vAlign w:val="center"/>
          </w:tcPr>
          <w:p w14:paraId="60958B6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6412D46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438" w:type="dxa"/>
            <w:vAlign w:val="center"/>
          </w:tcPr>
          <w:p w14:paraId="416C2EC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1172D561" w14:textId="77777777">
        <w:trPr>
          <w:trHeight w:val="430"/>
          <w:jc w:val="center"/>
        </w:trPr>
        <w:tc>
          <w:tcPr>
            <w:tcW w:w="1705" w:type="dxa"/>
            <w:vAlign w:val="center"/>
          </w:tcPr>
          <w:p w14:paraId="7144FA96"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Gentamicin</w:t>
            </w:r>
          </w:p>
        </w:tc>
        <w:tc>
          <w:tcPr>
            <w:tcW w:w="950" w:type="dxa"/>
            <w:vAlign w:val="center"/>
          </w:tcPr>
          <w:p w14:paraId="7E4E504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0" w:type="dxa"/>
            <w:vAlign w:val="center"/>
          </w:tcPr>
          <w:p w14:paraId="1D6B143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7" w:type="dxa"/>
            <w:vAlign w:val="center"/>
          </w:tcPr>
          <w:p w14:paraId="2FF2E95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4" w:type="dxa"/>
            <w:vAlign w:val="center"/>
          </w:tcPr>
          <w:p w14:paraId="14EE1E9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927" w:type="dxa"/>
            <w:vAlign w:val="center"/>
          </w:tcPr>
          <w:p w14:paraId="0E17A5D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72" w:type="dxa"/>
            <w:vAlign w:val="center"/>
          </w:tcPr>
          <w:p w14:paraId="3C4160E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438" w:type="dxa"/>
            <w:vAlign w:val="center"/>
          </w:tcPr>
          <w:p w14:paraId="332E475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4F3F5094" w14:textId="77777777">
        <w:trPr>
          <w:trHeight w:val="270"/>
          <w:jc w:val="center"/>
        </w:trPr>
        <w:tc>
          <w:tcPr>
            <w:tcW w:w="1705" w:type="dxa"/>
            <w:vAlign w:val="center"/>
          </w:tcPr>
          <w:p w14:paraId="7D70B3BD"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Imipenem</w:t>
            </w:r>
          </w:p>
        </w:tc>
        <w:tc>
          <w:tcPr>
            <w:tcW w:w="950" w:type="dxa"/>
            <w:vAlign w:val="center"/>
          </w:tcPr>
          <w:p w14:paraId="67AC612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0" w:type="dxa"/>
            <w:vAlign w:val="center"/>
          </w:tcPr>
          <w:p w14:paraId="5B17186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7" w:type="dxa"/>
            <w:vAlign w:val="center"/>
          </w:tcPr>
          <w:p w14:paraId="201063C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24" w:type="dxa"/>
            <w:vAlign w:val="center"/>
          </w:tcPr>
          <w:p w14:paraId="2FD1089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927" w:type="dxa"/>
            <w:vAlign w:val="center"/>
          </w:tcPr>
          <w:p w14:paraId="014331E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72" w:type="dxa"/>
            <w:vAlign w:val="center"/>
          </w:tcPr>
          <w:p w14:paraId="09DECC8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438" w:type="dxa"/>
            <w:vAlign w:val="center"/>
          </w:tcPr>
          <w:p w14:paraId="43592DD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2D5873FE" w14:textId="77777777">
        <w:trPr>
          <w:trHeight w:val="430"/>
          <w:jc w:val="center"/>
        </w:trPr>
        <w:tc>
          <w:tcPr>
            <w:tcW w:w="1705" w:type="dxa"/>
            <w:tcBorders>
              <w:bottom w:val="single" w:sz="4" w:space="0" w:color="auto"/>
            </w:tcBorders>
            <w:vAlign w:val="center"/>
          </w:tcPr>
          <w:p w14:paraId="4B030EFD"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Tobramycin</w:t>
            </w:r>
          </w:p>
        </w:tc>
        <w:tc>
          <w:tcPr>
            <w:tcW w:w="950" w:type="dxa"/>
            <w:tcBorders>
              <w:bottom w:val="single" w:sz="4" w:space="0" w:color="auto"/>
            </w:tcBorders>
            <w:vAlign w:val="center"/>
          </w:tcPr>
          <w:p w14:paraId="4F62D5D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0" w:type="dxa"/>
            <w:tcBorders>
              <w:bottom w:val="single" w:sz="4" w:space="0" w:color="auto"/>
            </w:tcBorders>
            <w:vAlign w:val="center"/>
          </w:tcPr>
          <w:p w14:paraId="1DB2F32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7" w:type="dxa"/>
            <w:tcBorders>
              <w:bottom w:val="single" w:sz="4" w:space="0" w:color="auto"/>
            </w:tcBorders>
            <w:vAlign w:val="center"/>
          </w:tcPr>
          <w:p w14:paraId="7526C24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4" w:type="dxa"/>
            <w:tcBorders>
              <w:bottom w:val="single" w:sz="4" w:space="0" w:color="auto"/>
            </w:tcBorders>
            <w:vAlign w:val="center"/>
          </w:tcPr>
          <w:p w14:paraId="6AF931C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927" w:type="dxa"/>
            <w:tcBorders>
              <w:bottom w:val="single" w:sz="4" w:space="0" w:color="auto"/>
            </w:tcBorders>
            <w:vAlign w:val="center"/>
          </w:tcPr>
          <w:p w14:paraId="74F8954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tcBorders>
              <w:bottom w:val="single" w:sz="4" w:space="0" w:color="auto"/>
            </w:tcBorders>
            <w:vAlign w:val="center"/>
          </w:tcPr>
          <w:p w14:paraId="7F82F4B1"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14</w:t>
            </w:r>
          </w:p>
        </w:tc>
        <w:tc>
          <w:tcPr>
            <w:tcW w:w="1438" w:type="dxa"/>
            <w:tcBorders>
              <w:bottom w:val="single" w:sz="4" w:space="0" w:color="auto"/>
            </w:tcBorders>
            <w:vAlign w:val="center"/>
          </w:tcPr>
          <w:p w14:paraId="5DF223E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bl>
    <w:p w14:paraId="3566A2A7" w14:textId="77777777" w:rsidR="00FE2F93" w:rsidRDefault="00BA0D49">
      <w:pPr>
        <w:pStyle w:val="NormalWeb"/>
        <w:spacing w:line="360" w:lineRule="auto"/>
        <w:jc w:val="both"/>
        <w:rPr>
          <w:iCs/>
        </w:rPr>
      </w:pPr>
      <w:r>
        <w:rPr>
          <w:rStyle w:val="Emphasis"/>
          <w:i w:val="0"/>
        </w:rPr>
        <w:t xml:space="preserve">Zone diameter interpretative criteria (S – Sensitive, I – Intermediate, R – Resistant) were interpreted according to CLSI guidelines. Zone of inhibition values are expressed in </w:t>
      </w:r>
      <w:proofErr w:type="spellStart"/>
      <w:r>
        <w:rPr>
          <w:rStyle w:val="Emphasis"/>
          <w:i w:val="0"/>
        </w:rPr>
        <w:t>millimetres</w:t>
      </w:r>
      <w:proofErr w:type="spellEnd"/>
      <w:r>
        <w:rPr>
          <w:rStyle w:val="Emphasis"/>
          <w:i w:val="0"/>
        </w:rPr>
        <w:t xml:space="preserve"> (mm).</w:t>
      </w:r>
    </w:p>
    <w:p w14:paraId="3D7AB02B" w14:textId="77777777" w:rsidR="00FE2F93" w:rsidRDefault="00BA0D49">
      <w:pPr>
        <w:pStyle w:val="NormalWeb"/>
        <w:spacing w:before="240" w:beforeAutospacing="0" w:after="240" w:afterAutospacing="0" w:line="360" w:lineRule="auto"/>
        <w:jc w:val="both"/>
        <w:rPr>
          <w:color w:val="000000"/>
        </w:rPr>
      </w:pPr>
      <w:r>
        <w:rPr>
          <w:i/>
          <w:iCs/>
          <w:color w:val="000000"/>
        </w:rPr>
        <w:t xml:space="preserve">Pseudomonas </w:t>
      </w:r>
      <w:r>
        <w:rPr>
          <w:color w:val="000000"/>
        </w:rPr>
        <w:t xml:space="preserve">exhibited resistance against </w:t>
      </w:r>
      <w:proofErr w:type="spellStart"/>
      <w:r>
        <w:rPr>
          <w:color w:val="000000"/>
        </w:rPr>
        <w:t>gatifloxacin</w:t>
      </w:r>
      <w:proofErr w:type="spellEnd"/>
      <w:r>
        <w:rPr>
          <w:color w:val="000000"/>
        </w:rPr>
        <w:t>, norflo</w:t>
      </w:r>
      <w:r>
        <w:rPr>
          <w:color w:val="000000"/>
        </w:rPr>
        <w:t>xacin, and imipenem, in line with the previous findings of resistance behavior (Farhan et al., 2021). In contrast, it was highly sensitive to cefepime, a fourth-generation cephalosporin, chloramphenicol, and gentamicin (Table 3). Though many studies report</w:t>
      </w:r>
      <w:r>
        <w:rPr>
          <w:color w:val="000000"/>
        </w:rPr>
        <w:t xml:space="preserve">ed Multi-Drug Resistant (MDR) </w:t>
      </w:r>
      <w:r>
        <w:rPr>
          <w:i/>
          <w:iCs/>
          <w:color w:val="000000"/>
        </w:rPr>
        <w:t>Pseudomonas</w:t>
      </w:r>
      <w:r>
        <w:rPr>
          <w:color w:val="000000"/>
        </w:rPr>
        <w:t xml:space="preserve"> strains, the presence of many efflux pumps and low outer membrane permeability would form a barrier to antibiotics, thus limiting their entry into the cell (</w:t>
      </w:r>
      <w:r>
        <w:rPr>
          <w:color w:val="222222"/>
          <w:shd w:val="clear" w:color="auto" w:fill="FFFFFF"/>
        </w:rPr>
        <w:t>Ghai, 2023)</w:t>
      </w:r>
      <w:r>
        <w:rPr>
          <w:color w:val="000000"/>
        </w:rPr>
        <w:t>. This supports our study results of reduced M</w:t>
      </w:r>
      <w:r>
        <w:rPr>
          <w:color w:val="000000"/>
        </w:rPr>
        <w:t xml:space="preserve">DR </w:t>
      </w:r>
      <w:r>
        <w:rPr>
          <w:i/>
          <w:iCs/>
          <w:color w:val="000000"/>
        </w:rPr>
        <w:t>Pseudomonas</w:t>
      </w:r>
      <w:r>
        <w:rPr>
          <w:color w:val="000000"/>
        </w:rPr>
        <w:t xml:space="preserve"> species. The emergence of potential alternative options such as quorum sensing suppressors, antimicrobial nanoparticles and peptides also reduces the spread of MDR </w:t>
      </w:r>
      <w:r>
        <w:rPr>
          <w:i/>
          <w:color w:val="000000"/>
        </w:rPr>
        <w:t xml:space="preserve">Pseudomonas </w:t>
      </w:r>
      <w:r>
        <w:t>(</w:t>
      </w:r>
      <w:r>
        <w:rPr>
          <w:shd w:val="clear" w:color="auto" w:fill="FFFFFF"/>
        </w:rPr>
        <w:t>Chatterjee et al., 2016)</w:t>
      </w:r>
      <w:r>
        <w:t>.</w:t>
      </w:r>
      <w:r>
        <w:rPr>
          <w:color w:val="000000"/>
        </w:rPr>
        <w:t xml:space="preserve"> </w:t>
      </w:r>
    </w:p>
    <w:p w14:paraId="26C530BF" w14:textId="77777777" w:rsidR="00FE2F93" w:rsidRDefault="00BA0D49">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3. </w:t>
      </w:r>
      <w:r>
        <w:rPr>
          <w:rFonts w:ascii="Times New Roman" w:hAnsi="Times New Roman" w:cs="Times New Roman"/>
          <w:b/>
          <w:sz w:val="24"/>
          <w:szCs w:val="24"/>
        </w:rPr>
        <w:t>Disc Diffusion</w:t>
      </w:r>
      <w:r>
        <w:rPr>
          <w:rFonts w:ascii="Times New Roman" w:hAnsi="Times New Roman" w:cs="Times New Roman"/>
          <w:b/>
          <w:sz w:val="24"/>
          <w:szCs w:val="24"/>
          <w:lang w:val="en-IN"/>
        </w:rPr>
        <w:t>-</w:t>
      </w:r>
      <w:r>
        <w:rPr>
          <w:rFonts w:ascii="Times New Roman" w:hAnsi="Times New Roman" w:cs="Times New Roman"/>
          <w:b/>
          <w:sz w:val="24"/>
          <w:szCs w:val="24"/>
        </w:rPr>
        <w:t>based Antibio</w:t>
      </w:r>
      <w:r>
        <w:rPr>
          <w:rFonts w:ascii="Times New Roman" w:hAnsi="Times New Roman" w:cs="Times New Roman"/>
          <w:b/>
          <w:sz w:val="24"/>
          <w:szCs w:val="24"/>
        </w:rPr>
        <w:t xml:space="preserve">tic Susceptibility Profile of </w:t>
      </w:r>
      <w:r>
        <w:rPr>
          <w:rFonts w:ascii="Times New Roman" w:hAnsi="Times New Roman" w:cs="Times New Roman"/>
          <w:b/>
          <w:i/>
          <w:color w:val="000000"/>
          <w:sz w:val="24"/>
          <w:szCs w:val="24"/>
        </w:rPr>
        <w:t xml:space="preserve">Pseudomonas </w:t>
      </w:r>
      <w:r>
        <w:rPr>
          <w:rFonts w:ascii="Times New Roman" w:eastAsia="Times New Roman" w:hAnsi="Times New Roman" w:cs="Times New Roman"/>
          <w:b/>
          <w:iCs/>
          <w:color w:val="000000"/>
          <w:sz w:val="24"/>
          <w:szCs w:val="24"/>
        </w:rPr>
        <w:t>spp.</w:t>
      </w:r>
      <w:r>
        <w:rPr>
          <w:rFonts w:ascii="Times New Roman" w:eastAsia="Times New Roman" w:hAnsi="Times New Roman" w:cs="Times New Roman"/>
          <w:b/>
          <w:i/>
          <w:iCs/>
          <w:color w:val="000000"/>
          <w:sz w:val="20"/>
          <w:szCs w:val="20"/>
        </w:rPr>
        <w:t xml:space="preserve"> </w:t>
      </w:r>
      <w:r>
        <w:rPr>
          <w:rFonts w:ascii="Times New Roman" w:hAnsi="Times New Roman" w:cs="Times New Roman"/>
          <w:b/>
          <w:sz w:val="24"/>
          <w:szCs w:val="24"/>
        </w:rPr>
        <w:t>isolated from water samples</w:t>
      </w:r>
      <w:r>
        <w:rPr>
          <w:rFonts w:ascii="Times New Roman" w:hAnsi="Times New Roman" w:cs="Times New Roman"/>
          <w:b/>
          <w:color w:val="000000"/>
          <w:sz w:val="24"/>
          <w:szCs w:val="24"/>
        </w:rPr>
        <w:t>.</w:t>
      </w:r>
    </w:p>
    <w:tbl>
      <w:tblPr>
        <w:tblW w:w="8925" w:type="dxa"/>
        <w:tblInd w:w="96" w:type="dxa"/>
        <w:tblLook w:val="04A0" w:firstRow="1" w:lastRow="0" w:firstColumn="1" w:lastColumn="0" w:noHBand="0" w:noVBand="1"/>
      </w:tblPr>
      <w:tblGrid>
        <w:gridCol w:w="1705"/>
        <w:gridCol w:w="908"/>
        <w:gridCol w:w="1468"/>
        <w:gridCol w:w="806"/>
        <w:gridCol w:w="792"/>
        <w:gridCol w:w="806"/>
        <w:gridCol w:w="984"/>
        <w:gridCol w:w="1456"/>
      </w:tblGrid>
      <w:tr w:rsidR="00FE2F93" w14:paraId="2BCFB9BB" w14:textId="77777777">
        <w:trPr>
          <w:trHeight w:val="449"/>
        </w:trPr>
        <w:tc>
          <w:tcPr>
            <w:tcW w:w="1705" w:type="dxa"/>
            <w:vMerge w:val="restart"/>
            <w:tcBorders>
              <w:top w:val="single" w:sz="4" w:space="0" w:color="auto"/>
            </w:tcBorders>
            <w:vAlign w:val="center"/>
          </w:tcPr>
          <w:p w14:paraId="75EBE208"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908" w:type="dxa"/>
            <w:vMerge w:val="restart"/>
            <w:tcBorders>
              <w:top w:val="single" w:sz="4" w:space="0" w:color="auto"/>
            </w:tcBorders>
            <w:vAlign w:val="center"/>
          </w:tcPr>
          <w:p w14:paraId="754B3428"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68" w:type="dxa"/>
            <w:vMerge w:val="restart"/>
            <w:tcBorders>
              <w:top w:val="single" w:sz="4" w:space="0" w:color="auto"/>
            </w:tcBorders>
            <w:vAlign w:val="center"/>
          </w:tcPr>
          <w:p w14:paraId="611CC80F"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2833C616"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404" w:type="dxa"/>
            <w:gridSpan w:val="3"/>
            <w:tcBorders>
              <w:top w:val="single" w:sz="4" w:space="0" w:color="auto"/>
              <w:bottom w:val="single" w:sz="4" w:space="0" w:color="auto"/>
            </w:tcBorders>
            <w:vAlign w:val="center"/>
          </w:tcPr>
          <w:p w14:paraId="6542FD47"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84" w:type="dxa"/>
            <w:vMerge w:val="restart"/>
            <w:tcBorders>
              <w:top w:val="single" w:sz="4" w:space="0" w:color="auto"/>
            </w:tcBorders>
            <w:vAlign w:val="center"/>
          </w:tcPr>
          <w:p w14:paraId="55FB6AFA"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56" w:type="dxa"/>
            <w:vMerge w:val="restart"/>
            <w:tcBorders>
              <w:top w:val="single" w:sz="4" w:space="0" w:color="auto"/>
            </w:tcBorders>
            <w:vAlign w:val="center"/>
          </w:tcPr>
          <w:p w14:paraId="2943DF06"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FE2F93" w14:paraId="51DB7B2B" w14:textId="77777777">
        <w:trPr>
          <w:trHeight w:val="270"/>
        </w:trPr>
        <w:tc>
          <w:tcPr>
            <w:tcW w:w="1705" w:type="dxa"/>
            <w:vMerge/>
            <w:tcBorders>
              <w:bottom w:val="single" w:sz="4" w:space="0" w:color="auto"/>
            </w:tcBorders>
            <w:vAlign w:val="center"/>
          </w:tcPr>
          <w:p w14:paraId="5B14F886"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908" w:type="dxa"/>
            <w:vMerge/>
            <w:tcBorders>
              <w:bottom w:val="single" w:sz="4" w:space="0" w:color="auto"/>
            </w:tcBorders>
            <w:vAlign w:val="center"/>
          </w:tcPr>
          <w:p w14:paraId="4E8F125B"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468" w:type="dxa"/>
            <w:vMerge/>
            <w:tcBorders>
              <w:bottom w:val="single" w:sz="4" w:space="0" w:color="auto"/>
            </w:tcBorders>
            <w:vAlign w:val="center"/>
          </w:tcPr>
          <w:p w14:paraId="61C0198E"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806" w:type="dxa"/>
            <w:tcBorders>
              <w:top w:val="single" w:sz="4" w:space="0" w:color="auto"/>
              <w:bottom w:val="single" w:sz="4" w:space="0" w:color="auto"/>
            </w:tcBorders>
            <w:vAlign w:val="center"/>
          </w:tcPr>
          <w:p w14:paraId="21A13707"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792" w:type="dxa"/>
            <w:tcBorders>
              <w:top w:val="single" w:sz="4" w:space="0" w:color="auto"/>
              <w:bottom w:val="single" w:sz="4" w:space="0" w:color="auto"/>
            </w:tcBorders>
            <w:vAlign w:val="center"/>
          </w:tcPr>
          <w:p w14:paraId="40C8C43C"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806" w:type="dxa"/>
            <w:tcBorders>
              <w:top w:val="single" w:sz="4" w:space="0" w:color="auto"/>
              <w:bottom w:val="single" w:sz="4" w:space="0" w:color="auto"/>
            </w:tcBorders>
            <w:vAlign w:val="center"/>
          </w:tcPr>
          <w:p w14:paraId="711D1094"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84" w:type="dxa"/>
            <w:vMerge/>
            <w:tcBorders>
              <w:bottom w:val="single" w:sz="4" w:space="0" w:color="auto"/>
            </w:tcBorders>
            <w:vAlign w:val="center"/>
          </w:tcPr>
          <w:p w14:paraId="0311F55B"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456" w:type="dxa"/>
            <w:vMerge/>
            <w:tcBorders>
              <w:bottom w:val="single" w:sz="4" w:space="0" w:color="auto"/>
            </w:tcBorders>
            <w:vAlign w:val="center"/>
          </w:tcPr>
          <w:p w14:paraId="62FE53A3" w14:textId="77777777" w:rsidR="00FE2F93" w:rsidRDefault="00FE2F93">
            <w:pPr>
              <w:spacing w:after="0" w:line="240" w:lineRule="auto"/>
              <w:rPr>
                <w:rFonts w:ascii="Times New Roman" w:eastAsia="Times New Roman" w:hAnsi="Times New Roman" w:cs="Times New Roman"/>
                <w:b/>
                <w:bCs/>
                <w:color w:val="000000"/>
                <w:sz w:val="20"/>
                <w:szCs w:val="20"/>
              </w:rPr>
            </w:pPr>
          </w:p>
        </w:tc>
      </w:tr>
      <w:tr w:rsidR="00FE2F93" w14:paraId="08727CF3" w14:textId="77777777">
        <w:trPr>
          <w:trHeight w:val="282"/>
        </w:trPr>
        <w:tc>
          <w:tcPr>
            <w:tcW w:w="1705" w:type="dxa"/>
            <w:tcBorders>
              <w:top w:val="single" w:sz="4" w:space="0" w:color="auto"/>
            </w:tcBorders>
            <w:vAlign w:val="center"/>
          </w:tcPr>
          <w:p w14:paraId="6C110120"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Ampicillin</w:t>
            </w:r>
          </w:p>
        </w:tc>
        <w:tc>
          <w:tcPr>
            <w:tcW w:w="908" w:type="dxa"/>
            <w:tcBorders>
              <w:top w:val="single" w:sz="4" w:space="0" w:color="auto"/>
            </w:tcBorders>
            <w:vAlign w:val="center"/>
          </w:tcPr>
          <w:p w14:paraId="6365270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68" w:type="dxa"/>
            <w:tcBorders>
              <w:top w:val="single" w:sz="4" w:space="0" w:color="auto"/>
            </w:tcBorders>
            <w:vAlign w:val="center"/>
          </w:tcPr>
          <w:p w14:paraId="3A9721D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06" w:type="dxa"/>
            <w:tcBorders>
              <w:top w:val="single" w:sz="4" w:space="0" w:color="auto"/>
            </w:tcBorders>
            <w:vAlign w:val="center"/>
          </w:tcPr>
          <w:p w14:paraId="52FB11D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92" w:type="dxa"/>
            <w:tcBorders>
              <w:top w:val="single" w:sz="4" w:space="0" w:color="auto"/>
            </w:tcBorders>
            <w:vAlign w:val="center"/>
          </w:tcPr>
          <w:p w14:paraId="04E78CC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06" w:type="dxa"/>
            <w:tcBorders>
              <w:top w:val="single" w:sz="4" w:space="0" w:color="auto"/>
            </w:tcBorders>
            <w:vAlign w:val="center"/>
          </w:tcPr>
          <w:p w14:paraId="42100F1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4" w:type="dxa"/>
            <w:tcBorders>
              <w:top w:val="single" w:sz="4" w:space="0" w:color="auto"/>
            </w:tcBorders>
            <w:vAlign w:val="center"/>
          </w:tcPr>
          <w:p w14:paraId="7D2102E2"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456" w:type="dxa"/>
            <w:tcBorders>
              <w:top w:val="single" w:sz="4" w:space="0" w:color="auto"/>
            </w:tcBorders>
            <w:vAlign w:val="center"/>
          </w:tcPr>
          <w:p w14:paraId="7678842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Intrinsic R</w:t>
            </w:r>
          </w:p>
        </w:tc>
      </w:tr>
      <w:tr w:rsidR="00FE2F93" w14:paraId="148207D6" w14:textId="77777777">
        <w:trPr>
          <w:trHeight w:val="449"/>
        </w:trPr>
        <w:tc>
          <w:tcPr>
            <w:tcW w:w="1705" w:type="dxa"/>
            <w:vAlign w:val="center"/>
          </w:tcPr>
          <w:p w14:paraId="2B303358"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Tetracycline</w:t>
            </w:r>
          </w:p>
        </w:tc>
        <w:tc>
          <w:tcPr>
            <w:tcW w:w="908" w:type="dxa"/>
            <w:vAlign w:val="center"/>
          </w:tcPr>
          <w:p w14:paraId="732E923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68" w:type="dxa"/>
            <w:vAlign w:val="center"/>
          </w:tcPr>
          <w:p w14:paraId="5CACC46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06" w:type="dxa"/>
            <w:vAlign w:val="center"/>
          </w:tcPr>
          <w:p w14:paraId="6AF7EE6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92" w:type="dxa"/>
            <w:vAlign w:val="center"/>
          </w:tcPr>
          <w:p w14:paraId="44819B5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06" w:type="dxa"/>
            <w:vAlign w:val="center"/>
          </w:tcPr>
          <w:p w14:paraId="3B32369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4" w:type="dxa"/>
            <w:vAlign w:val="center"/>
          </w:tcPr>
          <w:p w14:paraId="10655012"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456" w:type="dxa"/>
            <w:vAlign w:val="center"/>
          </w:tcPr>
          <w:p w14:paraId="19BD76C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Intrinsic R</w:t>
            </w:r>
          </w:p>
        </w:tc>
      </w:tr>
      <w:tr w:rsidR="00FE2F93" w14:paraId="6F6F8547" w14:textId="77777777">
        <w:trPr>
          <w:trHeight w:val="449"/>
        </w:trPr>
        <w:tc>
          <w:tcPr>
            <w:tcW w:w="1705" w:type="dxa"/>
            <w:vAlign w:val="center"/>
          </w:tcPr>
          <w:p w14:paraId="5B734CEB"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Vancomycin</w:t>
            </w:r>
          </w:p>
        </w:tc>
        <w:tc>
          <w:tcPr>
            <w:tcW w:w="908" w:type="dxa"/>
            <w:vAlign w:val="center"/>
          </w:tcPr>
          <w:p w14:paraId="715ACBB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68" w:type="dxa"/>
            <w:vAlign w:val="center"/>
          </w:tcPr>
          <w:p w14:paraId="4345ADA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06" w:type="dxa"/>
            <w:vAlign w:val="center"/>
          </w:tcPr>
          <w:p w14:paraId="6323C3D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92" w:type="dxa"/>
            <w:vAlign w:val="center"/>
          </w:tcPr>
          <w:p w14:paraId="6E1D300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11-14</w:t>
            </w:r>
          </w:p>
        </w:tc>
        <w:tc>
          <w:tcPr>
            <w:tcW w:w="806" w:type="dxa"/>
            <w:vAlign w:val="center"/>
          </w:tcPr>
          <w:p w14:paraId="70C942D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84" w:type="dxa"/>
            <w:vAlign w:val="center"/>
          </w:tcPr>
          <w:p w14:paraId="7416A731"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1456" w:type="dxa"/>
            <w:vAlign w:val="center"/>
          </w:tcPr>
          <w:p w14:paraId="241908B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4591230A" w14:textId="77777777">
        <w:trPr>
          <w:trHeight w:val="449"/>
        </w:trPr>
        <w:tc>
          <w:tcPr>
            <w:tcW w:w="1705" w:type="dxa"/>
            <w:vAlign w:val="center"/>
          </w:tcPr>
          <w:p w14:paraId="2458F539"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Norfloxacin</w:t>
            </w:r>
          </w:p>
        </w:tc>
        <w:tc>
          <w:tcPr>
            <w:tcW w:w="908" w:type="dxa"/>
            <w:vAlign w:val="center"/>
          </w:tcPr>
          <w:p w14:paraId="03C44C1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68" w:type="dxa"/>
            <w:vAlign w:val="center"/>
          </w:tcPr>
          <w:p w14:paraId="1CA7298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06" w:type="dxa"/>
            <w:vAlign w:val="center"/>
          </w:tcPr>
          <w:p w14:paraId="53F000F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2" w:type="dxa"/>
            <w:vAlign w:val="center"/>
          </w:tcPr>
          <w:p w14:paraId="3962126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806" w:type="dxa"/>
            <w:vAlign w:val="center"/>
          </w:tcPr>
          <w:p w14:paraId="0268808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84" w:type="dxa"/>
            <w:vAlign w:val="center"/>
          </w:tcPr>
          <w:p w14:paraId="7E17EB6C"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1456" w:type="dxa"/>
            <w:vAlign w:val="center"/>
          </w:tcPr>
          <w:p w14:paraId="76AF7E6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5235E850" w14:textId="77777777">
        <w:trPr>
          <w:trHeight w:val="282"/>
        </w:trPr>
        <w:tc>
          <w:tcPr>
            <w:tcW w:w="1705" w:type="dxa"/>
            <w:vAlign w:val="center"/>
          </w:tcPr>
          <w:p w14:paraId="6BFA0694"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Cefepime</w:t>
            </w:r>
          </w:p>
        </w:tc>
        <w:tc>
          <w:tcPr>
            <w:tcW w:w="908" w:type="dxa"/>
            <w:vAlign w:val="center"/>
          </w:tcPr>
          <w:p w14:paraId="71DB54B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68" w:type="dxa"/>
            <w:vAlign w:val="center"/>
          </w:tcPr>
          <w:p w14:paraId="064D377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06" w:type="dxa"/>
            <w:vAlign w:val="center"/>
          </w:tcPr>
          <w:p w14:paraId="5B557B0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92" w:type="dxa"/>
            <w:vAlign w:val="center"/>
          </w:tcPr>
          <w:p w14:paraId="795D176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806" w:type="dxa"/>
            <w:vAlign w:val="center"/>
          </w:tcPr>
          <w:p w14:paraId="03589BA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84" w:type="dxa"/>
            <w:vAlign w:val="center"/>
          </w:tcPr>
          <w:p w14:paraId="7958DEB0"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27</w:t>
            </w:r>
          </w:p>
        </w:tc>
        <w:tc>
          <w:tcPr>
            <w:tcW w:w="1456" w:type="dxa"/>
            <w:vAlign w:val="center"/>
          </w:tcPr>
          <w:p w14:paraId="6163F18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00CCFF04" w14:textId="77777777">
        <w:trPr>
          <w:trHeight w:val="449"/>
        </w:trPr>
        <w:tc>
          <w:tcPr>
            <w:tcW w:w="1705" w:type="dxa"/>
            <w:vAlign w:val="center"/>
          </w:tcPr>
          <w:p w14:paraId="791E3334"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Chloramphenicol</w:t>
            </w:r>
          </w:p>
        </w:tc>
        <w:tc>
          <w:tcPr>
            <w:tcW w:w="908" w:type="dxa"/>
            <w:vAlign w:val="center"/>
          </w:tcPr>
          <w:p w14:paraId="169F528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68" w:type="dxa"/>
            <w:vAlign w:val="center"/>
          </w:tcPr>
          <w:p w14:paraId="792E73B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06" w:type="dxa"/>
            <w:vAlign w:val="center"/>
          </w:tcPr>
          <w:p w14:paraId="061914F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92" w:type="dxa"/>
            <w:vAlign w:val="center"/>
          </w:tcPr>
          <w:p w14:paraId="0B44E12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806" w:type="dxa"/>
            <w:vAlign w:val="center"/>
          </w:tcPr>
          <w:p w14:paraId="6C7F58B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84" w:type="dxa"/>
            <w:vAlign w:val="center"/>
          </w:tcPr>
          <w:p w14:paraId="6C7AFE07"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28</w:t>
            </w:r>
          </w:p>
        </w:tc>
        <w:tc>
          <w:tcPr>
            <w:tcW w:w="1456" w:type="dxa"/>
            <w:vAlign w:val="center"/>
          </w:tcPr>
          <w:p w14:paraId="4570507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3F330E4D" w14:textId="77777777">
        <w:trPr>
          <w:trHeight w:val="449"/>
        </w:trPr>
        <w:tc>
          <w:tcPr>
            <w:tcW w:w="1705" w:type="dxa"/>
            <w:vAlign w:val="center"/>
          </w:tcPr>
          <w:p w14:paraId="535FFEFD" w14:textId="77777777" w:rsidR="00FE2F93" w:rsidRDefault="00BA0D49">
            <w:pPr>
              <w:spacing w:after="0" w:line="240" w:lineRule="auto"/>
              <w:jc w:val="both"/>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Gatifloxacin</w:t>
            </w:r>
            <w:proofErr w:type="spellEnd"/>
          </w:p>
        </w:tc>
        <w:tc>
          <w:tcPr>
            <w:tcW w:w="908" w:type="dxa"/>
            <w:vAlign w:val="center"/>
          </w:tcPr>
          <w:p w14:paraId="24C6152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68" w:type="dxa"/>
            <w:vAlign w:val="center"/>
          </w:tcPr>
          <w:p w14:paraId="5E25D43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806" w:type="dxa"/>
            <w:vAlign w:val="center"/>
          </w:tcPr>
          <w:p w14:paraId="6C4BA03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2" w:type="dxa"/>
            <w:vAlign w:val="center"/>
          </w:tcPr>
          <w:p w14:paraId="2C4E547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806" w:type="dxa"/>
            <w:vAlign w:val="center"/>
          </w:tcPr>
          <w:p w14:paraId="540A53A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84" w:type="dxa"/>
            <w:vAlign w:val="center"/>
          </w:tcPr>
          <w:p w14:paraId="2B374CDD"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c>
          <w:tcPr>
            <w:tcW w:w="1456" w:type="dxa"/>
            <w:vAlign w:val="center"/>
          </w:tcPr>
          <w:p w14:paraId="038C7A0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4B196DD3" w14:textId="77777777">
        <w:trPr>
          <w:trHeight w:val="449"/>
        </w:trPr>
        <w:tc>
          <w:tcPr>
            <w:tcW w:w="1705" w:type="dxa"/>
            <w:vAlign w:val="center"/>
          </w:tcPr>
          <w:p w14:paraId="24B8880D"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Gentamicin</w:t>
            </w:r>
          </w:p>
        </w:tc>
        <w:tc>
          <w:tcPr>
            <w:tcW w:w="908" w:type="dxa"/>
            <w:vAlign w:val="center"/>
          </w:tcPr>
          <w:p w14:paraId="564819A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68" w:type="dxa"/>
            <w:vAlign w:val="center"/>
          </w:tcPr>
          <w:p w14:paraId="270D586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06" w:type="dxa"/>
            <w:vAlign w:val="center"/>
          </w:tcPr>
          <w:p w14:paraId="4605A33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92" w:type="dxa"/>
            <w:vAlign w:val="center"/>
          </w:tcPr>
          <w:p w14:paraId="6152499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806" w:type="dxa"/>
            <w:vAlign w:val="center"/>
          </w:tcPr>
          <w:p w14:paraId="2CDF22C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84" w:type="dxa"/>
            <w:vAlign w:val="center"/>
          </w:tcPr>
          <w:p w14:paraId="07468AE9"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456" w:type="dxa"/>
            <w:vAlign w:val="center"/>
          </w:tcPr>
          <w:p w14:paraId="384BB2D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41118E02" w14:textId="77777777">
        <w:trPr>
          <w:trHeight w:val="282"/>
        </w:trPr>
        <w:tc>
          <w:tcPr>
            <w:tcW w:w="1705" w:type="dxa"/>
            <w:vAlign w:val="center"/>
          </w:tcPr>
          <w:p w14:paraId="29971191"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Imipenem</w:t>
            </w:r>
          </w:p>
        </w:tc>
        <w:tc>
          <w:tcPr>
            <w:tcW w:w="908" w:type="dxa"/>
            <w:vAlign w:val="center"/>
          </w:tcPr>
          <w:p w14:paraId="2389C05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68" w:type="dxa"/>
            <w:vAlign w:val="center"/>
          </w:tcPr>
          <w:p w14:paraId="76A3B8B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06" w:type="dxa"/>
            <w:vAlign w:val="center"/>
          </w:tcPr>
          <w:p w14:paraId="01F1534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92" w:type="dxa"/>
            <w:vAlign w:val="center"/>
          </w:tcPr>
          <w:p w14:paraId="2214200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806" w:type="dxa"/>
            <w:vAlign w:val="center"/>
          </w:tcPr>
          <w:p w14:paraId="791CD16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84" w:type="dxa"/>
            <w:vAlign w:val="center"/>
          </w:tcPr>
          <w:p w14:paraId="619B5E99"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16</w:t>
            </w:r>
          </w:p>
        </w:tc>
        <w:tc>
          <w:tcPr>
            <w:tcW w:w="1456" w:type="dxa"/>
            <w:vAlign w:val="center"/>
          </w:tcPr>
          <w:p w14:paraId="2088F45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70BE2CB2" w14:textId="77777777">
        <w:trPr>
          <w:trHeight w:val="449"/>
        </w:trPr>
        <w:tc>
          <w:tcPr>
            <w:tcW w:w="1705" w:type="dxa"/>
            <w:tcBorders>
              <w:bottom w:val="single" w:sz="4" w:space="0" w:color="auto"/>
            </w:tcBorders>
            <w:vAlign w:val="center"/>
          </w:tcPr>
          <w:p w14:paraId="5981C09C"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Tobramycin</w:t>
            </w:r>
          </w:p>
        </w:tc>
        <w:tc>
          <w:tcPr>
            <w:tcW w:w="908" w:type="dxa"/>
            <w:tcBorders>
              <w:bottom w:val="single" w:sz="4" w:space="0" w:color="auto"/>
            </w:tcBorders>
            <w:vAlign w:val="center"/>
          </w:tcPr>
          <w:p w14:paraId="61C7115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68" w:type="dxa"/>
            <w:tcBorders>
              <w:bottom w:val="single" w:sz="4" w:space="0" w:color="auto"/>
            </w:tcBorders>
            <w:vAlign w:val="center"/>
          </w:tcPr>
          <w:p w14:paraId="2CF1FDD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06" w:type="dxa"/>
            <w:tcBorders>
              <w:bottom w:val="single" w:sz="4" w:space="0" w:color="auto"/>
            </w:tcBorders>
            <w:vAlign w:val="center"/>
          </w:tcPr>
          <w:p w14:paraId="5AA31D6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92" w:type="dxa"/>
            <w:tcBorders>
              <w:bottom w:val="single" w:sz="4" w:space="0" w:color="auto"/>
            </w:tcBorders>
            <w:vAlign w:val="center"/>
          </w:tcPr>
          <w:p w14:paraId="3EAB060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806" w:type="dxa"/>
            <w:tcBorders>
              <w:bottom w:val="single" w:sz="4" w:space="0" w:color="auto"/>
            </w:tcBorders>
            <w:vAlign w:val="center"/>
          </w:tcPr>
          <w:p w14:paraId="4212203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84" w:type="dxa"/>
            <w:tcBorders>
              <w:bottom w:val="single" w:sz="4" w:space="0" w:color="auto"/>
            </w:tcBorders>
            <w:vAlign w:val="center"/>
          </w:tcPr>
          <w:p w14:paraId="4C69CABF"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456" w:type="dxa"/>
            <w:tcBorders>
              <w:bottom w:val="single" w:sz="4" w:space="0" w:color="auto"/>
            </w:tcBorders>
            <w:vAlign w:val="center"/>
          </w:tcPr>
          <w:p w14:paraId="1193DE2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bl>
    <w:p w14:paraId="4AC5A126" w14:textId="77777777" w:rsidR="00FE2F93" w:rsidRDefault="00BA0D49">
      <w:pPr>
        <w:pStyle w:val="NormalWeb"/>
        <w:spacing w:line="360" w:lineRule="auto"/>
        <w:jc w:val="both"/>
        <w:rPr>
          <w:iCs/>
        </w:rPr>
      </w:pPr>
      <w:r>
        <w:rPr>
          <w:rStyle w:val="Emphasis"/>
          <w:i w:val="0"/>
        </w:rPr>
        <w:t xml:space="preserve">Zone diameter interpretative criteria (S – Sensitive, I – Intermediate, R – Resistant) were interpreted according to CLSI guidelines. Zone of inhibition values are expressed in </w:t>
      </w:r>
      <w:proofErr w:type="spellStart"/>
      <w:r>
        <w:rPr>
          <w:rStyle w:val="Emphasis"/>
          <w:i w:val="0"/>
        </w:rPr>
        <w:t>millimetres</w:t>
      </w:r>
      <w:proofErr w:type="spellEnd"/>
      <w:r>
        <w:rPr>
          <w:rStyle w:val="Emphasis"/>
          <w:i w:val="0"/>
        </w:rPr>
        <w:t xml:space="preserve"> (mm).</w:t>
      </w:r>
    </w:p>
    <w:p w14:paraId="1AC40BA5"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Pr>
          <w:rFonts w:ascii="Times New Roman" w:hAnsi="Times New Roman" w:cs="Times New Roman"/>
          <w:i/>
          <w:iCs/>
          <w:color w:val="000000"/>
          <w:sz w:val="24"/>
          <w:szCs w:val="24"/>
        </w:rPr>
        <w:t xml:space="preserve">Escherichia </w:t>
      </w:r>
      <w:r>
        <w:rPr>
          <w:rFonts w:ascii="Times New Roman" w:hAnsi="Times New Roman" w:cs="Times New Roman"/>
          <w:color w:val="000000"/>
          <w:sz w:val="24"/>
          <w:szCs w:val="24"/>
        </w:rPr>
        <w:t>demonstrated increased resistance to widely p</w:t>
      </w:r>
      <w:r>
        <w:rPr>
          <w:rFonts w:ascii="Times New Roman" w:hAnsi="Times New Roman" w:cs="Times New Roman"/>
          <w:color w:val="000000"/>
          <w:sz w:val="24"/>
          <w:szCs w:val="24"/>
        </w:rPr>
        <w:t>rescribed antibiotics, namely ampicillin, tetracycline, and gentamicin (Table 4). Such resistance development in one of the common gut bacteria causes serious disruption of gut health and leads to conditions like pyelonephritis and severe urinary tract inf</w:t>
      </w:r>
      <w:r>
        <w:rPr>
          <w:rFonts w:ascii="Times New Roman" w:hAnsi="Times New Roman" w:cs="Times New Roman"/>
          <w:color w:val="000000"/>
          <w:sz w:val="24"/>
          <w:szCs w:val="24"/>
        </w:rPr>
        <w:t>ections (</w:t>
      </w:r>
      <w:r>
        <w:rPr>
          <w:rFonts w:ascii="Times New Roman" w:hAnsi="Times New Roman" w:cs="Times New Roman"/>
          <w:color w:val="222222"/>
          <w:sz w:val="24"/>
          <w:szCs w:val="24"/>
          <w:shd w:val="clear" w:color="auto" w:fill="FFFFFF"/>
        </w:rPr>
        <w:t xml:space="preserve">Arbab et al., 2022). </w:t>
      </w:r>
      <w:r>
        <w:rPr>
          <w:rFonts w:ascii="Times New Roman" w:hAnsi="Times New Roman" w:cs="Times New Roman"/>
          <w:color w:val="000000"/>
          <w:sz w:val="24"/>
          <w:szCs w:val="24"/>
        </w:rPr>
        <w:t xml:space="preserve">Notably, </w:t>
      </w:r>
      <w:r>
        <w:rPr>
          <w:rFonts w:ascii="Times New Roman" w:hAnsi="Times New Roman" w:cs="Times New Roman"/>
          <w:i/>
          <w:iCs/>
          <w:color w:val="000000"/>
          <w:sz w:val="24"/>
          <w:szCs w:val="24"/>
        </w:rPr>
        <w:t>Escherichia</w:t>
      </w:r>
      <w:r>
        <w:rPr>
          <w:rFonts w:ascii="Times New Roman" w:hAnsi="Times New Roman" w:cs="Times New Roman"/>
          <w:color w:val="000000"/>
          <w:sz w:val="24"/>
          <w:szCs w:val="24"/>
        </w:rPr>
        <w:t xml:space="preserve"> was susceptible to many tested antibiotics. The sensitivity towards drugs belonging to carbapenems indicates the absence of </w:t>
      </w:r>
      <w:proofErr w:type="spellStart"/>
      <w:r>
        <w:rPr>
          <w:rFonts w:ascii="Times New Roman" w:hAnsi="Times New Roman" w:cs="Times New Roman"/>
          <w:color w:val="000000"/>
          <w:sz w:val="24"/>
          <w:szCs w:val="24"/>
        </w:rPr>
        <w:t>carbapenemase</w:t>
      </w:r>
      <w:proofErr w:type="spellEnd"/>
      <w:r>
        <w:rPr>
          <w:rFonts w:ascii="Times New Roman" w:hAnsi="Times New Roman" w:cs="Times New Roman"/>
          <w:color w:val="000000"/>
          <w:sz w:val="24"/>
          <w:szCs w:val="24"/>
        </w:rPr>
        <w:t>-producing genes (</w:t>
      </w:r>
      <w:r>
        <w:rPr>
          <w:rFonts w:ascii="Times New Roman" w:hAnsi="Times New Roman" w:cs="Times New Roman"/>
          <w:color w:val="222222"/>
          <w:sz w:val="24"/>
          <w:szCs w:val="24"/>
          <w:shd w:val="clear" w:color="auto" w:fill="FFFFFF"/>
        </w:rPr>
        <w:t>Haji et al., 2021)</w:t>
      </w:r>
      <w:r>
        <w:rPr>
          <w:rFonts w:ascii="Times New Roman" w:hAnsi="Times New Roman" w:cs="Times New Roman"/>
          <w:color w:val="000000"/>
          <w:sz w:val="24"/>
          <w:szCs w:val="24"/>
        </w:rPr>
        <w:t>. The presence of multi-drug res</w:t>
      </w:r>
      <w:r>
        <w:rPr>
          <w:rFonts w:ascii="Times New Roman" w:hAnsi="Times New Roman" w:cs="Times New Roman"/>
          <w:color w:val="000000"/>
          <w:sz w:val="24"/>
          <w:szCs w:val="24"/>
        </w:rPr>
        <w:t xml:space="preserve">istant </w:t>
      </w:r>
      <w:r>
        <w:rPr>
          <w:rFonts w:ascii="Times New Roman" w:hAnsi="Times New Roman" w:cs="Times New Roman"/>
          <w:i/>
          <w:iCs/>
          <w:color w:val="000000"/>
          <w:sz w:val="24"/>
          <w:szCs w:val="24"/>
        </w:rPr>
        <w:t xml:space="preserve">Escherichia </w:t>
      </w:r>
      <w:r>
        <w:rPr>
          <w:rFonts w:ascii="Times New Roman" w:hAnsi="Times New Roman" w:cs="Times New Roman"/>
          <w:iCs/>
          <w:color w:val="000000"/>
          <w:sz w:val="24"/>
          <w:szCs w:val="24"/>
        </w:rPr>
        <w:t xml:space="preserve">indicates the mixing of untreated sewage and hospital effluents into the lake system. Alonso et al. (2017) have reported that the meat and other food products imported from foreign countries for consumption also facilitates the entry of </w:t>
      </w:r>
      <w:r>
        <w:rPr>
          <w:rFonts w:ascii="Times New Roman" w:hAnsi="Times New Roman" w:cs="Times New Roman"/>
          <w:iCs/>
          <w:color w:val="000000"/>
          <w:sz w:val="24"/>
          <w:szCs w:val="24"/>
        </w:rPr>
        <w:t xml:space="preserve">resistant strains into the freshwater bodies through improper disposal. </w:t>
      </w:r>
    </w:p>
    <w:p w14:paraId="6DFF6E70" w14:textId="77777777" w:rsidR="00FE2F93" w:rsidRDefault="00BA0D49">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 </w:t>
      </w:r>
      <w:r>
        <w:rPr>
          <w:rFonts w:ascii="Times New Roman" w:hAnsi="Times New Roman" w:cs="Times New Roman"/>
          <w:b/>
          <w:sz w:val="24"/>
          <w:szCs w:val="24"/>
        </w:rPr>
        <w:t>Disc Diffusion</w:t>
      </w:r>
      <w:r>
        <w:rPr>
          <w:rFonts w:ascii="Times New Roman" w:hAnsi="Times New Roman" w:cs="Times New Roman"/>
          <w:b/>
          <w:sz w:val="24"/>
          <w:szCs w:val="24"/>
          <w:lang w:val="en-IN"/>
        </w:rPr>
        <w:t>-</w:t>
      </w:r>
      <w:r>
        <w:rPr>
          <w:rFonts w:ascii="Times New Roman" w:hAnsi="Times New Roman" w:cs="Times New Roman"/>
          <w:b/>
          <w:sz w:val="24"/>
          <w:szCs w:val="24"/>
        </w:rPr>
        <w:t xml:space="preserve">based Antibiotic Susceptibility Profile of </w:t>
      </w:r>
      <w:r>
        <w:rPr>
          <w:rFonts w:ascii="Times New Roman" w:hAnsi="Times New Roman" w:cs="Times New Roman"/>
          <w:b/>
          <w:i/>
          <w:color w:val="000000"/>
          <w:sz w:val="24"/>
          <w:szCs w:val="24"/>
        </w:rPr>
        <w:t xml:space="preserve">Escherichia </w:t>
      </w:r>
      <w:r>
        <w:rPr>
          <w:rFonts w:ascii="Times New Roman" w:eastAsia="Times New Roman" w:hAnsi="Times New Roman" w:cs="Times New Roman"/>
          <w:b/>
          <w:iCs/>
          <w:color w:val="000000"/>
          <w:sz w:val="24"/>
          <w:szCs w:val="24"/>
        </w:rPr>
        <w:t>spp</w:t>
      </w:r>
      <w:r>
        <w:rPr>
          <w:rFonts w:ascii="Times New Roman" w:eastAsia="Times New Roman" w:hAnsi="Times New Roman" w:cs="Times New Roman"/>
          <w:b/>
          <w:i/>
          <w:iCs/>
          <w:color w:val="000000"/>
          <w:sz w:val="24"/>
          <w:szCs w:val="24"/>
        </w:rPr>
        <w:t>.</w:t>
      </w:r>
      <w:r>
        <w:rPr>
          <w:rFonts w:ascii="Times New Roman" w:eastAsia="Times New Roman" w:hAnsi="Times New Roman" w:cs="Times New Roman"/>
          <w:b/>
          <w:i/>
          <w:iCs/>
          <w:color w:val="000000"/>
          <w:sz w:val="20"/>
          <w:szCs w:val="20"/>
        </w:rPr>
        <w:t xml:space="preserve"> </w:t>
      </w:r>
      <w:r>
        <w:rPr>
          <w:rFonts w:ascii="Times New Roman" w:hAnsi="Times New Roman" w:cs="Times New Roman"/>
          <w:b/>
          <w:sz w:val="24"/>
          <w:szCs w:val="24"/>
        </w:rPr>
        <w:t>isolated from water samples</w:t>
      </w:r>
    </w:p>
    <w:tbl>
      <w:tblPr>
        <w:tblW w:w="9457" w:type="dxa"/>
        <w:jc w:val="center"/>
        <w:tblLook w:val="04A0" w:firstRow="1" w:lastRow="0" w:firstColumn="1" w:lastColumn="0" w:noHBand="0" w:noVBand="1"/>
      </w:tblPr>
      <w:tblGrid>
        <w:gridCol w:w="1705"/>
        <w:gridCol w:w="970"/>
        <w:gridCol w:w="1472"/>
        <w:gridCol w:w="955"/>
        <w:gridCol w:w="953"/>
        <w:gridCol w:w="955"/>
        <w:gridCol w:w="987"/>
        <w:gridCol w:w="1460"/>
      </w:tblGrid>
      <w:tr w:rsidR="00FE2F93" w14:paraId="1AA27B52" w14:textId="77777777">
        <w:trPr>
          <w:trHeight w:val="421"/>
          <w:jc w:val="center"/>
        </w:trPr>
        <w:tc>
          <w:tcPr>
            <w:tcW w:w="1705" w:type="dxa"/>
            <w:vMerge w:val="restart"/>
            <w:tcBorders>
              <w:top w:val="single" w:sz="4" w:space="0" w:color="auto"/>
            </w:tcBorders>
            <w:vAlign w:val="center"/>
          </w:tcPr>
          <w:p w14:paraId="7B3CB30C"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970" w:type="dxa"/>
            <w:vMerge w:val="restart"/>
            <w:tcBorders>
              <w:top w:val="single" w:sz="4" w:space="0" w:color="auto"/>
            </w:tcBorders>
            <w:vAlign w:val="center"/>
          </w:tcPr>
          <w:p w14:paraId="62ADD702"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72" w:type="dxa"/>
            <w:vMerge w:val="restart"/>
            <w:tcBorders>
              <w:top w:val="single" w:sz="4" w:space="0" w:color="auto"/>
            </w:tcBorders>
            <w:vAlign w:val="center"/>
          </w:tcPr>
          <w:p w14:paraId="421E471C"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1E9ADFC8"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863" w:type="dxa"/>
            <w:gridSpan w:val="3"/>
            <w:tcBorders>
              <w:top w:val="single" w:sz="4" w:space="0" w:color="auto"/>
              <w:bottom w:val="single" w:sz="4" w:space="0" w:color="auto"/>
            </w:tcBorders>
            <w:vAlign w:val="center"/>
          </w:tcPr>
          <w:p w14:paraId="3687B0A2"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Zone diameter interpretative </w:t>
            </w:r>
            <w:r>
              <w:rPr>
                <w:rFonts w:ascii="Times New Roman" w:eastAsia="Times New Roman" w:hAnsi="Times New Roman" w:cs="Times New Roman"/>
                <w:b/>
                <w:bCs/>
                <w:color w:val="000000"/>
                <w:sz w:val="20"/>
                <w:szCs w:val="20"/>
              </w:rPr>
              <w:t>criteria (mm)</w:t>
            </w:r>
          </w:p>
        </w:tc>
        <w:tc>
          <w:tcPr>
            <w:tcW w:w="987" w:type="dxa"/>
            <w:vMerge w:val="restart"/>
            <w:tcBorders>
              <w:top w:val="single" w:sz="4" w:space="0" w:color="auto"/>
            </w:tcBorders>
            <w:vAlign w:val="center"/>
          </w:tcPr>
          <w:p w14:paraId="0E8FFA71"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60" w:type="dxa"/>
            <w:vMerge w:val="restart"/>
            <w:tcBorders>
              <w:top w:val="single" w:sz="4" w:space="0" w:color="auto"/>
            </w:tcBorders>
            <w:vAlign w:val="center"/>
          </w:tcPr>
          <w:p w14:paraId="44876E62"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FE2F93" w14:paraId="2E83B8B5" w14:textId="77777777">
        <w:trPr>
          <w:trHeight w:val="252"/>
          <w:jc w:val="center"/>
        </w:trPr>
        <w:tc>
          <w:tcPr>
            <w:tcW w:w="1705" w:type="dxa"/>
            <w:vMerge/>
            <w:tcBorders>
              <w:bottom w:val="single" w:sz="4" w:space="0" w:color="auto"/>
            </w:tcBorders>
            <w:vAlign w:val="center"/>
          </w:tcPr>
          <w:p w14:paraId="6661CAD5"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970" w:type="dxa"/>
            <w:vMerge/>
            <w:tcBorders>
              <w:bottom w:val="single" w:sz="4" w:space="0" w:color="auto"/>
            </w:tcBorders>
            <w:vAlign w:val="center"/>
          </w:tcPr>
          <w:p w14:paraId="50AF499C"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472" w:type="dxa"/>
            <w:vMerge/>
            <w:tcBorders>
              <w:bottom w:val="single" w:sz="4" w:space="0" w:color="auto"/>
            </w:tcBorders>
            <w:vAlign w:val="center"/>
          </w:tcPr>
          <w:p w14:paraId="6FA7C5A7"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955" w:type="dxa"/>
            <w:tcBorders>
              <w:top w:val="single" w:sz="4" w:space="0" w:color="auto"/>
              <w:bottom w:val="single" w:sz="4" w:space="0" w:color="auto"/>
            </w:tcBorders>
            <w:vAlign w:val="center"/>
          </w:tcPr>
          <w:p w14:paraId="12568BA9"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953" w:type="dxa"/>
            <w:tcBorders>
              <w:top w:val="single" w:sz="4" w:space="0" w:color="auto"/>
              <w:bottom w:val="single" w:sz="4" w:space="0" w:color="auto"/>
            </w:tcBorders>
            <w:vAlign w:val="center"/>
          </w:tcPr>
          <w:p w14:paraId="1D388CC4"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955" w:type="dxa"/>
            <w:tcBorders>
              <w:top w:val="single" w:sz="4" w:space="0" w:color="auto"/>
              <w:bottom w:val="single" w:sz="4" w:space="0" w:color="auto"/>
            </w:tcBorders>
            <w:vAlign w:val="center"/>
          </w:tcPr>
          <w:p w14:paraId="1D7D01CA"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87" w:type="dxa"/>
            <w:vMerge/>
            <w:tcBorders>
              <w:bottom w:val="single" w:sz="4" w:space="0" w:color="auto"/>
            </w:tcBorders>
            <w:vAlign w:val="center"/>
          </w:tcPr>
          <w:p w14:paraId="5FBA59E7"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460" w:type="dxa"/>
            <w:vMerge/>
            <w:tcBorders>
              <w:bottom w:val="single" w:sz="4" w:space="0" w:color="auto"/>
            </w:tcBorders>
            <w:vAlign w:val="center"/>
          </w:tcPr>
          <w:p w14:paraId="0B17E39D" w14:textId="77777777" w:rsidR="00FE2F93" w:rsidRDefault="00FE2F93">
            <w:pPr>
              <w:spacing w:after="0" w:line="240" w:lineRule="auto"/>
              <w:rPr>
                <w:rFonts w:ascii="Times New Roman" w:eastAsia="Times New Roman" w:hAnsi="Times New Roman" w:cs="Times New Roman"/>
                <w:b/>
                <w:bCs/>
                <w:color w:val="000000"/>
                <w:sz w:val="20"/>
                <w:szCs w:val="20"/>
              </w:rPr>
            </w:pPr>
          </w:p>
        </w:tc>
      </w:tr>
      <w:tr w:rsidR="00FE2F93" w14:paraId="761F7747" w14:textId="77777777">
        <w:trPr>
          <w:trHeight w:val="264"/>
          <w:jc w:val="center"/>
        </w:trPr>
        <w:tc>
          <w:tcPr>
            <w:tcW w:w="1705" w:type="dxa"/>
            <w:tcBorders>
              <w:top w:val="single" w:sz="4" w:space="0" w:color="auto"/>
            </w:tcBorders>
            <w:vAlign w:val="center"/>
          </w:tcPr>
          <w:p w14:paraId="0E51B3DA"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Ampicillin</w:t>
            </w:r>
          </w:p>
        </w:tc>
        <w:tc>
          <w:tcPr>
            <w:tcW w:w="970" w:type="dxa"/>
            <w:tcBorders>
              <w:top w:val="single" w:sz="4" w:space="0" w:color="auto"/>
            </w:tcBorders>
            <w:vAlign w:val="center"/>
          </w:tcPr>
          <w:p w14:paraId="6F6D593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72" w:type="dxa"/>
            <w:tcBorders>
              <w:top w:val="single" w:sz="4" w:space="0" w:color="auto"/>
            </w:tcBorders>
            <w:vAlign w:val="center"/>
          </w:tcPr>
          <w:p w14:paraId="51051EA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55" w:type="dxa"/>
            <w:tcBorders>
              <w:top w:val="single" w:sz="4" w:space="0" w:color="auto"/>
            </w:tcBorders>
            <w:vAlign w:val="center"/>
          </w:tcPr>
          <w:p w14:paraId="4C74B31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53" w:type="dxa"/>
            <w:tcBorders>
              <w:top w:val="single" w:sz="4" w:space="0" w:color="auto"/>
            </w:tcBorders>
            <w:vAlign w:val="center"/>
          </w:tcPr>
          <w:p w14:paraId="3406964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955" w:type="dxa"/>
            <w:tcBorders>
              <w:top w:val="single" w:sz="4" w:space="0" w:color="auto"/>
            </w:tcBorders>
            <w:vAlign w:val="center"/>
          </w:tcPr>
          <w:p w14:paraId="7BC0DCD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87" w:type="dxa"/>
            <w:tcBorders>
              <w:top w:val="single" w:sz="4" w:space="0" w:color="auto"/>
            </w:tcBorders>
            <w:vAlign w:val="center"/>
          </w:tcPr>
          <w:p w14:paraId="30E602C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460" w:type="dxa"/>
            <w:tcBorders>
              <w:top w:val="single" w:sz="4" w:space="0" w:color="auto"/>
            </w:tcBorders>
            <w:vAlign w:val="center"/>
          </w:tcPr>
          <w:p w14:paraId="03051C6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026AB623" w14:textId="77777777">
        <w:trPr>
          <w:trHeight w:val="421"/>
          <w:jc w:val="center"/>
        </w:trPr>
        <w:tc>
          <w:tcPr>
            <w:tcW w:w="1705" w:type="dxa"/>
            <w:vAlign w:val="center"/>
          </w:tcPr>
          <w:p w14:paraId="302FD329"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Tetracycline</w:t>
            </w:r>
          </w:p>
        </w:tc>
        <w:tc>
          <w:tcPr>
            <w:tcW w:w="970" w:type="dxa"/>
            <w:vAlign w:val="center"/>
          </w:tcPr>
          <w:p w14:paraId="35C499B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72" w:type="dxa"/>
            <w:vAlign w:val="center"/>
          </w:tcPr>
          <w:p w14:paraId="524B03A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55" w:type="dxa"/>
            <w:vAlign w:val="center"/>
          </w:tcPr>
          <w:p w14:paraId="22D84AF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53" w:type="dxa"/>
            <w:vAlign w:val="center"/>
          </w:tcPr>
          <w:p w14:paraId="5EC137D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955" w:type="dxa"/>
            <w:vAlign w:val="center"/>
          </w:tcPr>
          <w:p w14:paraId="3587A62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87" w:type="dxa"/>
            <w:vAlign w:val="center"/>
          </w:tcPr>
          <w:p w14:paraId="2FFDA30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460" w:type="dxa"/>
            <w:vAlign w:val="center"/>
          </w:tcPr>
          <w:p w14:paraId="3063DEE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2261D668" w14:textId="77777777">
        <w:trPr>
          <w:trHeight w:val="421"/>
          <w:jc w:val="center"/>
        </w:trPr>
        <w:tc>
          <w:tcPr>
            <w:tcW w:w="1705" w:type="dxa"/>
            <w:vAlign w:val="center"/>
          </w:tcPr>
          <w:p w14:paraId="52DA0001"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Vancomycin</w:t>
            </w:r>
          </w:p>
        </w:tc>
        <w:tc>
          <w:tcPr>
            <w:tcW w:w="970" w:type="dxa"/>
            <w:vAlign w:val="center"/>
          </w:tcPr>
          <w:p w14:paraId="103F156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72" w:type="dxa"/>
            <w:vAlign w:val="center"/>
          </w:tcPr>
          <w:p w14:paraId="5F252EF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55" w:type="dxa"/>
            <w:vAlign w:val="center"/>
          </w:tcPr>
          <w:p w14:paraId="3087A10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53" w:type="dxa"/>
            <w:vAlign w:val="center"/>
          </w:tcPr>
          <w:p w14:paraId="5E3A826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955" w:type="dxa"/>
            <w:vAlign w:val="center"/>
          </w:tcPr>
          <w:p w14:paraId="05AAA8D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8</w:t>
            </w:r>
          </w:p>
        </w:tc>
        <w:tc>
          <w:tcPr>
            <w:tcW w:w="987" w:type="dxa"/>
            <w:vAlign w:val="center"/>
          </w:tcPr>
          <w:p w14:paraId="7F1B91F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460" w:type="dxa"/>
            <w:vAlign w:val="center"/>
          </w:tcPr>
          <w:p w14:paraId="5FBAF55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6CB7C654" w14:textId="77777777">
        <w:trPr>
          <w:trHeight w:val="421"/>
          <w:jc w:val="center"/>
        </w:trPr>
        <w:tc>
          <w:tcPr>
            <w:tcW w:w="1705" w:type="dxa"/>
            <w:vAlign w:val="center"/>
          </w:tcPr>
          <w:p w14:paraId="1E6B0D2E"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Norfloxacin</w:t>
            </w:r>
          </w:p>
        </w:tc>
        <w:tc>
          <w:tcPr>
            <w:tcW w:w="970" w:type="dxa"/>
            <w:vAlign w:val="center"/>
          </w:tcPr>
          <w:p w14:paraId="0BE5566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72" w:type="dxa"/>
            <w:vAlign w:val="center"/>
          </w:tcPr>
          <w:p w14:paraId="7831A70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55" w:type="dxa"/>
            <w:vAlign w:val="center"/>
          </w:tcPr>
          <w:p w14:paraId="23E2AFE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53" w:type="dxa"/>
            <w:vAlign w:val="center"/>
          </w:tcPr>
          <w:p w14:paraId="4A833FC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12-16</w:t>
            </w:r>
          </w:p>
        </w:tc>
        <w:tc>
          <w:tcPr>
            <w:tcW w:w="955" w:type="dxa"/>
            <w:vAlign w:val="center"/>
          </w:tcPr>
          <w:p w14:paraId="2833AA9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87" w:type="dxa"/>
            <w:vAlign w:val="center"/>
          </w:tcPr>
          <w:p w14:paraId="612413C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460" w:type="dxa"/>
            <w:vAlign w:val="center"/>
          </w:tcPr>
          <w:p w14:paraId="4017D0F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332E76E1" w14:textId="77777777">
        <w:trPr>
          <w:trHeight w:val="264"/>
          <w:jc w:val="center"/>
        </w:trPr>
        <w:tc>
          <w:tcPr>
            <w:tcW w:w="1705" w:type="dxa"/>
            <w:vAlign w:val="center"/>
          </w:tcPr>
          <w:p w14:paraId="61406C5D"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Cefepime</w:t>
            </w:r>
          </w:p>
        </w:tc>
        <w:tc>
          <w:tcPr>
            <w:tcW w:w="970" w:type="dxa"/>
            <w:vAlign w:val="center"/>
          </w:tcPr>
          <w:p w14:paraId="7F8A22B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72" w:type="dxa"/>
            <w:vAlign w:val="center"/>
          </w:tcPr>
          <w:p w14:paraId="7161EA9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55" w:type="dxa"/>
            <w:vAlign w:val="center"/>
          </w:tcPr>
          <w:p w14:paraId="5472953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53" w:type="dxa"/>
            <w:vAlign w:val="center"/>
          </w:tcPr>
          <w:p w14:paraId="4AD3A63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955" w:type="dxa"/>
            <w:vAlign w:val="center"/>
          </w:tcPr>
          <w:p w14:paraId="349C652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87" w:type="dxa"/>
            <w:vAlign w:val="center"/>
          </w:tcPr>
          <w:p w14:paraId="6EE11C1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460" w:type="dxa"/>
            <w:vAlign w:val="center"/>
          </w:tcPr>
          <w:p w14:paraId="4D00CFB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11217445" w14:textId="77777777">
        <w:trPr>
          <w:trHeight w:val="421"/>
          <w:jc w:val="center"/>
        </w:trPr>
        <w:tc>
          <w:tcPr>
            <w:tcW w:w="1705" w:type="dxa"/>
            <w:vAlign w:val="center"/>
          </w:tcPr>
          <w:p w14:paraId="18935AD3"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Chloramphenicol</w:t>
            </w:r>
          </w:p>
        </w:tc>
        <w:tc>
          <w:tcPr>
            <w:tcW w:w="970" w:type="dxa"/>
            <w:vAlign w:val="center"/>
          </w:tcPr>
          <w:p w14:paraId="6810164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72" w:type="dxa"/>
            <w:vAlign w:val="center"/>
          </w:tcPr>
          <w:p w14:paraId="4C32D85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55" w:type="dxa"/>
            <w:vAlign w:val="center"/>
          </w:tcPr>
          <w:p w14:paraId="55A3415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53" w:type="dxa"/>
            <w:vAlign w:val="center"/>
          </w:tcPr>
          <w:p w14:paraId="730DE95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955" w:type="dxa"/>
            <w:vAlign w:val="center"/>
          </w:tcPr>
          <w:p w14:paraId="77BC8BE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87" w:type="dxa"/>
            <w:vAlign w:val="center"/>
          </w:tcPr>
          <w:p w14:paraId="175142F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460" w:type="dxa"/>
            <w:vAlign w:val="center"/>
          </w:tcPr>
          <w:p w14:paraId="2383C4C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2630E0F2" w14:textId="77777777">
        <w:trPr>
          <w:trHeight w:val="421"/>
          <w:jc w:val="center"/>
        </w:trPr>
        <w:tc>
          <w:tcPr>
            <w:tcW w:w="1705" w:type="dxa"/>
            <w:vAlign w:val="center"/>
          </w:tcPr>
          <w:p w14:paraId="4B762A59" w14:textId="77777777" w:rsidR="00FE2F93" w:rsidRDefault="00BA0D49">
            <w:pPr>
              <w:spacing w:after="0" w:line="240" w:lineRule="auto"/>
              <w:jc w:val="both"/>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Gatifloxacin</w:t>
            </w:r>
            <w:proofErr w:type="spellEnd"/>
          </w:p>
        </w:tc>
        <w:tc>
          <w:tcPr>
            <w:tcW w:w="970" w:type="dxa"/>
            <w:vAlign w:val="center"/>
          </w:tcPr>
          <w:p w14:paraId="0F43636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72" w:type="dxa"/>
            <w:vAlign w:val="center"/>
          </w:tcPr>
          <w:p w14:paraId="27498D2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55" w:type="dxa"/>
            <w:vAlign w:val="center"/>
          </w:tcPr>
          <w:p w14:paraId="4BB830F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53" w:type="dxa"/>
            <w:vAlign w:val="center"/>
          </w:tcPr>
          <w:p w14:paraId="743B1E8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955" w:type="dxa"/>
            <w:vAlign w:val="center"/>
          </w:tcPr>
          <w:p w14:paraId="1B0E7CE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8</w:t>
            </w:r>
          </w:p>
        </w:tc>
        <w:tc>
          <w:tcPr>
            <w:tcW w:w="987" w:type="dxa"/>
            <w:vAlign w:val="center"/>
          </w:tcPr>
          <w:p w14:paraId="15DB7B5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460" w:type="dxa"/>
            <w:vAlign w:val="center"/>
          </w:tcPr>
          <w:p w14:paraId="2016CFD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3CE72A75" w14:textId="77777777">
        <w:trPr>
          <w:trHeight w:val="421"/>
          <w:jc w:val="center"/>
        </w:trPr>
        <w:tc>
          <w:tcPr>
            <w:tcW w:w="1705" w:type="dxa"/>
            <w:vAlign w:val="center"/>
          </w:tcPr>
          <w:p w14:paraId="3C327C54"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Gentamicin</w:t>
            </w:r>
          </w:p>
        </w:tc>
        <w:tc>
          <w:tcPr>
            <w:tcW w:w="970" w:type="dxa"/>
            <w:vAlign w:val="center"/>
          </w:tcPr>
          <w:p w14:paraId="77D8893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72" w:type="dxa"/>
            <w:vAlign w:val="center"/>
          </w:tcPr>
          <w:p w14:paraId="4915EA7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55" w:type="dxa"/>
            <w:vAlign w:val="center"/>
          </w:tcPr>
          <w:p w14:paraId="68D184A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53" w:type="dxa"/>
            <w:vAlign w:val="center"/>
          </w:tcPr>
          <w:p w14:paraId="48DB63F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955" w:type="dxa"/>
            <w:vAlign w:val="center"/>
          </w:tcPr>
          <w:p w14:paraId="2397F93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87" w:type="dxa"/>
            <w:vAlign w:val="center"/>
          </w:tcPr>
          <w:p w14:paraId="18417D9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460" w:type="dxa"/>
            <w:vAlign w:val="center"/>
          </w:tcPr>
          <w:p w14:paraId="237AE67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6E942AD2" w14:textId="77777777">
        <w:trPr>
          <w:trHeight w:val="264"/>
          <w:jc w:val="center"/>
        </w:trPr>
        <w:tc>
          <w:tcPr>
            <w:tcW w:w="1705" w:type="dxa"/>
            <w:vAlign w:val="center"/>
          </w:tcPr>
          <w:p w14:paraId="0B54A732"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Imipenem</w:t>
            </w:r>
          </w:p>
        </w:tc>
        <w:tc>
          <w:tcPr>
            <w:tcW w:w="970" w:type="dxa"/>
            <w:vAlign w:val="center"/>
          </w:tcPr>
          <w:p w14:paraId="499ED0B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72" w:type="dxa"/>
            <w:vAlign w:val="center"/>
          </w:tcPr>
          <w:p w14:paraId="6CBA45C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55" w:type="dxa"/>
            <w:vAlign w:val="center"/>
          </w:tcPr>
          <w:p w14:paraId="4115190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53" w:type="dxa"/>
            <w:vAlign w:val="center"/>
          </w:tcPr>
          <w:p w14:paraId="616DDAB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10-11</w:t>
            </w:r>
          </w:p>
        </w:tc>
        <w:tc>
          <w:tcPr>
            <w:tcW w:w="955" w:type="dxa"/>
            <w:vAlign w:val="center"/>
          </w:tcPr>
          <w:p w14:paraId="4E6C68A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9</w:t>
            </w:r>
          </w:p>
        </w:tc>
        <w:tc>
          <w:tcPr>
            <w:tcW w:w="987" w:type="dxa"/>
            <w:vAlign w:val="center"/>
          </w:tcPr>
          <w:p w14:paraId="2FF7EE7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460" w:type="dxa"/>
            <w:vAlign w:val="center"/>
          </w:tcPr>
          <w:p w14:paraId="55851C1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32233C51" w14:textId="77777777">
        <w:trPr>
          <w:trHeight w:val="421"/>
          <w:jc w:val="center"/>
        </w:trPr>
        <w:tc>
          <w:tcPr>
            <w:tcW w:w="1705" w:type="dxa"/>
            <w:tcBorders>
              <w:bottom w:val="single" w:sz="4" w:space="0" w:color="auto"/>
            </w:tcBorders>
            <w:vAlign w:val="center"/>
          </w:tcPr>
          <w:p w14:paraId="453BB386"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Tobramycin</w:t>
            </w:r>
          </w:p>
        </w:tc>
        <w:tc>
          <w:tcPr>
            <w:tcW w:w="970" w:type="dxa"/>
            <w:tcBorders>
              <w:bottom w:val="single" w:sz="4" w:space="0" w:color="auto"/>
            </w:tcBorders>
            <w:vAlign w:val="center"/>
          </w:tcPr>
          <w:p w14:paraId="1E62F1A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72" w:type="dxa"/>
            <w:tcBorders>
              <w:bottom w:val="single" w:sz="4" w:space="0" w:color="auto"/>
            </w:tcBorders>
            <w:vAlign w:val="center"/>
          </w:tcPr>
          <w:p w14:paraId="54DC47B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55" w:type="dxa"/>
            <w:tcBorders>
              <w:bottom w:val="single" w:sz="4" w:space="0" w:color="auto"/>
            </w:tcBorders>
            <w:vAlign w:val="center"/>
          </w:tcPr>
          <w:p w14:paraId="21B800F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53" w:type="dxa"/>
            <w:tcBorders>
              <w:bottom w:val="single" w:sz="4" w:space="0" w:color="auto"/>
            </w:tcBorders>
            <w:vAlign w:val="center"/>
          </w:tcPr>
          <w:p w14:paraId="2B0AA4A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955" w:type="dxa"/>
            <w:tcBorders>
              <w:bottom w:val="single" w:sz="4" w:space="0" w:color="auto"/>
            </w:tcBorders>
            <w:vAlign w:val="center"/>
          </w:tcPr>
          <w:p w14:paraId="525B841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87" w:type="dxa"/>
            <w:tcBorders>
              <w:bottom w:val="single" w:sz="4" w:space="0" w:color="auto"/>
            </w:tcBorders>
            <w:vAlign w:val="center"/>
          </w:tcPr>
          <w:p w14:paraId="1BE7560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460" w:type="dxa"/>
            <w:tcBorders>
              <w:bottom w:val="single" w:sz="4" w:space="0" w:color="auto"/>
            </w:tcBorders>
            <w:vAlign w:val="center"/>
          </w:tcPr>
          <w:p w14:paraId="14DB0A3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bl>
    <w:p w14:paraId="0CCDB796" w14:textId="77777777" w:rsidR="00FE2F93" w:rsidRDefault="00BA0D49">
      <w:pPr>
        <w:pStyle w:val="NormalWeb"/>
        <w:spacing w:line="360" w:lineRule="auto"/>
        <w:jc w:val="both"/>
        <w:rPr>
          <w:iCs/>
        </w:rPr>
      </w:pPr>
      <w:r>
        <w:rPr>
          <w:rStyle w:val="Emphasis"/>
          <w:i w:val="0"/>
        </w:rPr>
        <w:t xml:space="preserve">Zone diameter interpretative criteria (S – Sensitive, I – Intermediate, R – Resistant) were interpreted according to CLSI guidelines. Zone of inhibition values are expressed in </w:t>
      </w:r>
      <w:proofErr w:type="spellStart"/>
      <w:r>
        <w:rPr>
          <w:rStyle w:val="Emphasis"/>
          <w:i w:val="0"/>
        </w:rPr>
        <w:t>millimetres</w:t>
      </w:r>
      <w:proofErr w:type="spellEnd"/>
      <w:r>
        <w:rPr>
          <w:rStyle w:val="Emphasis"/>
          <w:i w:val="0"/>
        </w:rPr>
        <w:t xml:space="preserve"> (mm).</w:t>
      </w:r>
    </w:p>
    <w:p w14:paraId="4B08A5E5" w14:textId="77777777" w:rsidR="00FE2F93" w:rsidRDefault="00BA0D49">
      <w:pPr>
        <w:jc w:val="both"/>
        <w:rPr>
          <w:rFonts w:ascii="Times New Roman" w:hAnsi="Times New Roman" w:cs="Times New Roman"/>
          <w:sz w:val="24"/>
          <w:szCs w:val="24"/>
        </w:rPr>
      </w:pPr>
      <w:r>
        <w:rPr>
          <w:rFonts w:ascii="Times New Roman" w:hAnsi="Times New Roman" w:cs="Times New Roman"/>
          <w:color w:val="000000"/>
          <w:sz w:val="24"/>
          <w:szCs w:val="24"/>
        </w:rPr>
        <w:t xml:space="preserve">The multi-resistant behavior of </w:t>
      </w:r>
      <w:r>
        <w:rPr>
          <w:rFonts w:ascii="Times New Roman" w:hAnsi="Times New Roman" w:cs="Times New Roman"/>
          <w:i/>
          <w:color w:val="000000"/>
          <w:sz w:val="24"/>
          <w:szCs w:val="24"/>
        </w:rPr>
        <w:t>Staphylococcus</w:t>
      </w:r>
      <w:r>
        <w:rPr>
          <w:rFonts w:ascii="Times New Roman" w:hAnsi="Times New Roman" w:cs="Times New Roman"/>
          <w:color w:val="000000"/>
          <w:sz w:val="24"/>
          <w:szCs w:val="24"/>
        </w:rPr>
        <w:t xml:space="preserve">, including </w:t>
      </w:r>
      <w:r>
        <w:rPr>
          <w:rFonts w:ascii="Times New Roman" w:hAnsi="Times New Roman" w:cs="Times New Roman"/>
          <w:color w:val="000000"/>
          <w:sz w:val="24"/>
          <w:szCs w:val="24"/>
        </w:rPr>
        <w:t>ampicillin, cefepime, gentamicin, and tetracycline (Table 5), showed increasing gene transfer among environmental microorganisms. The beta lactamase enzymes found in resistant strains destroys the ß-lactam rings making the drug ineffective. Resistance towa</w:t>
      </w:r>
      <w:r>
        <w:rPr>
          <w:rFonts w:ascii="Times New Roman" w:hAnsi="Times New Roman" w:cs="Times New Roman"/>
          <w:color w:val="000000"/>
          <w:sz w:val="24"/>
          <w:szCs w:val="24"/>
        </w:rPr>
        <w:t>rds these beta-lactam antibiotics was also reported due to alteration in the penicillin-binding proteins (</w:t>
      </w:r>
      <w:r>
        <w:rPr>
          <w:rFonts w:ascii="Times New Roman" w:hAnsi="Times New Roman" w:cs="Times New Roman"/>
          <w:color w:val="222222"/>
          <w:sz w:val="24"/>
          <w:szCs w:val="24"/>
          <w:shd w:val="clear" w:color="auto" w:fill="FFFFFF"/>
        </w:rPr>
        <w:t>Dabhi et al., 2024)</w:t>
      </w:r>
      <w:r>
        <w:rPr>
          <w:rFonts w:ascii="Times New Roman" w:hAnsi="Times New Roman" w:cs="Times New Roman"/>
          <w:color w:val="000000"/>
          <w:sz w:val="24"/>
          <w:szCs w:val="24"/>
        </w:rPr>
        <w:t xml:space="preserve">. The presence of multiple transposons assists in increased rate of horizontal transfer of resistance genes in </w:t>
      </w:r>
      <w:r>
        <w:rPr>
          <w:rFonts w:ascii="Times New Roman" w:hAnsi="Times New Roman" w:cs="Times New Roman"/>
          <w:i/>
          <w:color w:val="000000"/>
          <w:sz w:val="24"/>
          <w:szCs w:val="24"/>
        </w:rPr>
        <w:t xml:space="preserve">Staphylococcus </w:t>
      </w:r>
      <w:r>
        <w:rPr>
          <w:rFonts w:ascii="Times New Roman" w:hAnsi="Times New Roman" w:cs="Times New Roman"/>
          <w:color w:val="000000"/>
          <w:sz w:val="24"/>
          <w:szCs w:val="24"/>
        </w:rPr>
        <w:t>speci</w:t>
      </w:r>
      <w:r>
        <w:rPr>
          <w:rFonts w:ascii="Times New Roman" w:hAnsi="Times New Roman" w:cs="Times New Roman"/>
          <w:color w:val="000000"/>
          <w:sz w:val="24"/>
          <w:szCs w:val="24"/>
        </w:rPr>
        <w:t>es. Mobile genetic elements such as Tn552 helps in transferring the Intermediate susceptibility against norfloxacin, chloramphenicol, and tobramycin proved partial permeability in the membranes of the cell (</w:t>
      </w:r>
      <w:r>
        <w:rPr>
          <w:rFonts w:ascii="Times New Roman" w:hAnsi="Times New Roman" w:cs="Times New Roman"/>
          <w:color w:val="222222"/>
          <w:sz w:val="24"/>
          <w:szCs w:val="24"/>
          <w:shd w:val="clear" w:color="auto" w:fill="FFFFFF"/>
        </w:rPr>
        <w:t>Manrique et al., 2023)</w:t>
      </w:r>
      <w:r>
        <w:rPr>
          <w:rFonts w:ascii="Times New Roman" w:hAnsi="Times New Roman" w:cs="Times New Roman"/>
          <w:color w:val="000000"/>
          <w:sz w:val="24"/>
          <w:szCs w:val="24"/>
        </w:rPr>
        <w:t>. Enhanced sensitivity towa</w:t>
      </w:r>
      <w:r>
        <w:rPr>
          <w:rFonts w:ascii="Times New Roman" w:hAnsi="Times New Roman" w:cs="Times New Roman"/>
          <w:color w:val="000000"/>
          <w:sz w:val="24"/>
          <w:szCs w:val="24"/>
        </w:rPr>
        <w:t xml:space="preserve">rds aminoglycosides was reported because of preserving ribosomal binding efficiency </w:t>
      </w:r>
      <w:r>
        <w:rPr>
          <w:rFonts w:ascii="Times New Roman" w:hAnsi="Times New Roman" w:cs="Times New Roman"/>
          <w:sz w:val="24"/>
          <w:szCs w:val="24"/>
        </w:rPr>
        <w:t>(</w:t>
      </w:r>
      <w:proofErr w:type="spellStart"/>
      <w:r>
        <w:rPr>
          <w:rFonts w:ascii="Times New Roman" w:hAnsi="Times New Roman" w:cs="Times New Roman"/>
          <w:sz w:val="24"/>
          <w:szCs w:val="24"/>
          <w:shd w:val="clear" w:color="auto" w:fill="FFFFFF"/>
        </w:rPr>
        <w:t>Ekemezie</w:t>
      </w:r>
      <w:proofErr w:type="spellEnd"/>
      <w:r>
        <w:rPr>
          <w:rFonts w:ascii="Times New Roman" w:hAnsi="Times New Roman" w:cs="Times New Roman"/>
          <w:sz w:val="24"/>
          <w:szCs w:val="24"/>
          <w:shd w:val="clear" w:color="auto" w:fill="FFFFFF"/>
        </w:rPr>
        <w:t xml:space="preserve"> et al., 2025)</w:t>
      </w:r>
      <w:r>
        <w:rPr>
          <w:rFonts w:ascii="Times New Roman" w:hAnsi="Times New Roman" w:cs="Times New Roman"/>
          <w:sz w:val="24"/>
          <w:szCs w:val="24"/>
        </w:rPr>
        <w:t xml:space="preserve">. </w:t>
      </w:r>
    </w:p>
    <w:p w14:paraId="25D12912" w14:textId="77777777" w:rsidR="00FE2F93" w:rsidRDefault="00BA0D49">
      <w:pPr>
        <w:rPr>
          <w:rFonts w:ascii="Times New Roman" w:hAnsi="Times New Roman" w:cs="Times New Roman"/>
          <w:b/>
          <w:color w:val="000000"/>
          <w:sz w:val="24"/>
          <w:szCs w:val="24"/>
          <w:lang w:val="en-IN"/>
        </w:rPr>
      </w:pPr>
      <w:r>
        <w:rPr>
          <w:rFonts w:ascii="Times New Roman" w:hAnsi="Times New Roman" w:cs="Times New Roman"/>
          <w:b/>
          <w:color w:val="000000"/>
          <w:sz w:val="24"/>
          <w:szCs w:val="24"/>
        </w:rPr>
        <w:t xml:space="preserve">Table </w:t>
      </w:r>
      <w:r>
        <w:rPr>
          <w:rFonts w:ascii="Times New Roman" w:hAnsi="Times New Roman" w:cs="Times New Roman"/>
          <w:b/>
          <w:color w:val="000000"/>
          <w:sz w:val="24"/>
          <w:szCs w:val="24"/>
          <w:lang w:val="en-IN"/>
        </w:rPr>
        <w:t xml:space="preserve">5. </w:t>
      </w:r>
      <w:r>
        <w:rPr>
          <w:rFonts w:ascii="Times New Roman" w:hAnsi="Times New Roman" w:cs="Times New Roman"/>
          <w:b/>
          <w:sz w:val="24"/>
          <w:szCs w:val="24"/>
        </w:rPr>
        <w:t>Disc Diffusion</w:t>
      </w:r>
      <w:r>
        <w:rPr>
          <w:rFonts w:ascii="Times New Roman" w:hAnsi="Times New Roman" w:cs="Times New Roman"/>
          <w:b/>
          <w:sz w:val="24"/>
          <w:szCs w:val="24"/>
          <w:lang w:val="en-IN"/>
        </w:rPr>
        <w:t>-</w:t>
      </w:r>
      <w:r>
        <w:rPr>
          <w:rFonts w:ascii="Times New Roman" w:hAnsi="Times New Roman" w:cs="Times New Roman"/>
          <w:b/>
          <w:sz w:val="24"/>
          <w:szCs w:val="24"/>
        </w:rPr>
        <w:t xml:space="preserve">based Antibiotic Susceptibility Profile of </w:t>
      </w:r>
      <w:r>
        <w:rPr>
          <w:rFonts w:ascii="Times New Roman" w:hAnsi="Times New Roman" w:cs="Times New Roman"/>
          <w:b/>
          <w:i/>
          <w:color w:val="000000"/>
          <w:sz w:val="24"/>
          <w:szCs w:val="24"/>
        </w:rPr>
        <w:t xml:space="preserve">Staphylococcus </w:t>
      </w:r>
      <w:r>
        <w:rPr>
          <w:rFonts w:ascii="Times New Roman" w:eastAsia="Times New Roman" w:hAnsi="Times New Roman" w:cs="Times New Roman"/>
          <w:b/>
          <w:iCs/>
          <w:color w:val="000000"/>
          <w:sz w:val="24"/>
          <w:szCs w:val="24"/>
        </w:rPr>
        <w:t>spp</w:t>
      </w:r>
      <w:r>
        <w:rPr>
          <w:rFonts w:ascii="Times New Roman" w:eastAsia="Times New Roman" w:hAnsi="Times New Roman" w:cs="Times New Roman"/>
          <w:b/>
          <w:i/>
          <w:iCs/>
          <w:color w:val="000000"/>
          <w:sz w:val="20"/>
          <w:szCs w:val="20"/>
        </w:rPr>
        <w:t xml:space="preserve">. </w:t>
      </w:r>
      <w:r>
        <w:rPr>
          <w:rFonts w:ascii="Times New Roman" w:hAnsi="Times New Roman" w:cs="Times New Roman"/>
          <w:b/>
          <w:sz w:val="24"/>
          <w:szCs w:val="24"/>
        </w:rPr>
        <w:t>isolated from water samples</w:t>
      </w:r>
    </w:p>
    <w:tbl>
      <w:tblPr>
        <w:tblW w:w="9387" w:type="dxa"/>
        <w:tblInd w:w="93" w:type="dxa"/>
        <w:tblLook w:val="04A0" w:firstRow="1" w:lastRow="0" w:firstColumn="1" w:lastColumn="0" w:noHBand="0" w:noVBand="1"/>
      </w:tblPr>
      <w:tblGrid>
        <w:gridCol w:w="1705"/>
        <w:gridCol w:w="913"/>
        <w:gridCol w:w="1454"/>
        <w:gridCol w:w="892"/>
        <w:gridCol w:w="890"/>
        <w:gridCol w:w="892"/>
        <w:gridCol w:w="975"/>
        <w:gridCol w:w="1666"/>
      </w:tblGrid>
      <w:tr w:rsidR="00FE2F93" w14:paraId="79620503" w14:textId="77777777">
        <w:trPr>
          <w:trHeight w:val="396"/>
        </w:trPr>
        <w:tc>
          <w:tcPr>
            <w:tcW w:w="1705" w:type="dxa"/>
            <w:vMerge w:val="restart"/>
            <w:tcBorders>
              <w:top w:val="single" w:sz="4" w:space="0" w:color="auto"/>
            </w:tcBorders>
            <w:vAlign w:val="center"/>
          </w:tcPr>
          <w:p w14:paraId="64215A13"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913" w:type="dxa"/>
            <w:vMerge w:val="restart"/>
            <w:tcBorders>
              <w:top w:val="single" w:sz="4" w:space="0" w:color="auto"/>
            </w:tcBorders>
            <w:vAlign w:val="center"/>
          </w:tcPr>
          <w:p w14:paraId="6E897021"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4" w:type="dxa"/>
            <w:vMerge w:val="restart"/>
            <w:tcBorders>
              <w:top w:val="single" w:sz="4" w:space="0" w:color="auto"/>
            </w:tcBorders>
            <w:vAlign w:val="center"/>
          </w:tcPr>
          <w:p w14:paraId="299F8B0A"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68A5CB95"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674" w:type="dxa"/>
            <w:gridSpan w:val="3"/>
            <w:tcBorders>
              <w:top w:val="single" w:sz="4" w:space="0" w:color="auto"/>
              <w:bottom w:val="single" w:sz="4" w:space="0" w:color="auto"/>
            </w:tcBorders>
            <w:vAlign w:val="center"/>
          </w:tcPr>
          <w:p w14:paraId="3B8001E0"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75" w:type="dxa"/>
            <w:vMerge w:val="restart"/>
            <w:tcBorders>
              <w:top w:val="single" w:sz="4" w:space="0" w:color="auto"/>
            </w:tcBorders>
            <w:vAlign w:val="center"/>
          </w:tcPr>
          <w:p w14:paraId="38D4B3AF"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666" w:type="dxa"/>
            <w:vMerge w:val="restart"/>
            <w:tcBorders>
              <w:top w:val="single" w:sz="4" w:space="0" w:color="auto"/>
            </w:tcBorders>
            <w:vAlign w:val="center"/>
          </w:tcPr>
          <w:p w14:paraId="52FE1B16"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FE2F93" w14:paraId="05D1F909" w14:textId="77777777">
        <w:trPr>
          <w:trHeight w:val="238"/>
        </w:trPr>
        <w:tc>
          <w:tcPr>
            <w:tcW w:w="1705" w:type="dxa"/>
            <w:vMerge/>
            <w:tcBorders>
              <w:bottom w:val="single" w:sz="4" w:space="0" w:color="auto"/>
            </w:tcBorders>
            <w:vAlign w:val="center"/>
          </w:tcPr>
          <w:p w14:paraId="4067451E"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913" w:type="dxa"/>
            <w:vMerge/>
            <w:tcBorders>
              <w:bottom w:val="single" w:sz="4" w:space="0" w:color="auto"/>
            </w:tcBorders>
            <w:vAlign w:val="center"/>
          </w:tcPr>
          <w:p w14:paraId="54D361A5"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454" w:type="dxa"/>
            <w:vMerge/>
            <w:tcBorders>
              <w:bottom w:val="single" w:sz="4" w:space="0" w:color="auto"/>
            </w:tcBorders>
            <w:vAlign w:val="center"/>
          </w:tcPr>
          <w:p w14:paraId="4C55D74C"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892" w:type="dxa"/>
            <w:tcBorders>
              <w:top w:val="single" w:sz="4" w:space="0" w:color="auto"/>
              <w:bottom w:val="single" w:sz="4" w:space="0" w:color="auto"/>
            </w:tcBorders>
            <w:vAlign w:val="center"/>
          </w:tcPr>
          <w:p w14:paraId="14316F14"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890" w:type="dxa"/>
            <w:tcBorders>
              <w:top w:val="single" w:sz="4" w:space="0" w:color="auto"/>
              <w:bottom w:val="single" w:sz="4" w:space="0" w:color="auto"/>
            </w:tcBorders>
            <w:vAlign w:val="center"/>
          </w:tcPr>
          <w:p w14:paraId="477F1E65"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892" w:type="dxa"/>
            <w:tcBorders>
              <w:top w:val="single" w:sz="4" w:space="0" w:color="auto"/>
              <w:bottom w:val="single" w:sz="4" w:space="0" w:color="auto"/>
            </w:tcBorders>
            <w:vAlign w:val="center"/>
          </w:tcPr>
          <w:p w14:paraId="72BDD125"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75" w:type="dxa"/>
            <w:vMerge/>
            <w:tcBorders>
              <w:bottom w:val="single" w:sz="4" w:space="0" w:color="auto"/>
            </w:tcBorders>
            <w:vAlign w:val="center"/>
          </w:tcPr>
          <w:p w14:paraId="770D6B14"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666" w:type="dxa"/>
            <w:vMerge/>
            <w:tcBorders>
              <w:bottom w:val="single" w:sz="4" w:space="0" w:color="auto"/>
            </w:tcBorders>
            <w:vAlign w:val="center"/>
          </w:tcPr>
          <w:p w14:paraId="58D1DB2B" w14:textId="77777777" w:rsidR="00FE2F93" w:rsidRDefault="00FE2F93">
            <w:pPr>
              <w:spacing w:after="0" w:line="240" w:lineRule="auto"/>
              <w:rPr>
                <w:rFonts w:ascii="Times New Roman" w:eastAsia="Times New Roman" w:hAnsi="Times New Roman" w:cs="Times New Roman"/>
                <w:b/>
                <w:bCs/>
                <w:color w:val="000000"/>
                <w:sz w:val="20"/>
                <w:szCs w:val="20"/>
              </w:rPr>
            </w:pPr>
          </w:p>
        </w:tc>
      </w:tr>
      <w:tr w:rsidR="00FE2F93" w14:paraId="4DCA5268" w14:textId="77777777">
        <w:trPr>
          <w:trHeight w:val="249"/>
        </w:trPr>
        <w:tc>
          <w:tcPr>
            <w:tcW w:w="1705" w:type="dxa"/>
            <w:tcBorders>
              <w:top w:val="single" w:sz="4" w:space="0" w:color="auto"/>
            </w:tcBorders>
            <w:vAlign w:val="center"/>
          </w:tcPr>
          <w:p w14:paraId="634B7DC6"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Ampicillin</w:t>
            </w:r>
          </w:p>
        </w:tc>
        <w:tc>
          <w:tcPr>
            <w:tcW w:w="913" w:type="dxa"/>
            <w:tcBorders>
              <w:top w:val="single" w:sz="4" w:space="0" w:color="auto"/>
            </w:tcBorders>
            <w:vAlign w:val="center"/>
          </w:tcPr>
          <w:p w14:paraId="6224F4E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4" w:type="dxa"/>
            <w:tcBorders>
              <w:top w:val="single" w:sz="4" w:space="0" w:color="auto"/>
            </w:tcBorders>
            <w:vAlign w:val="center"/>
          </w:tcPr>
          <w:p w14:paraId="3ED482A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92" w:type="dxa"/>
            <w:tcBorders>
              <w:top w:val="single" w:sz="4" w:space="0" w:color="auto"/>
            </w:tcBorders>
            <w:vAlign w:val="center"/>
          </w:tcPr>
          <w:p w14:paraId="79A4619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890" w:type="dxa"/>
            <w:tcBorders>
              <w:top w:val="single" w:sz="4" w:space="0" w:color="auto"/>
            </w:tcBorders>
            <w:vAlign w:val="center"/>
          </w:tcPr>
          <w:p w14:paraId="32407E1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28-17</w:t>
            </w:r>
          </w:p>
        </w:tc>
        <w:tc>
          <w:tcPr>
            <w:tcW w:w="892" w:type="dxa"/>
            <w:tcBorders>
              <w:top w:val="single" w:sz="4" w:space="0" w:color="auto"/>
            </w:tcBorders>
            <w:vAlign w:val="center"/>
          </w:tcPr>
          <w:p w14:paraId="6F317CE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75" w:type="dxa"/>
            <w:tcBorders>
              <w:top w:val="single" w:sz="4" w:space="0" w:color="auto"/>
            </w:tcBorders>
            <w:vAlign w:val="center"/>
          </w:tcPr>
          <w:p w14:paraId="5892DB7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66" w:type="dxa"/>
            <w:tcBorders>
              <w:top w:val="single" w:sz="4" w:space="0" w:color="auto"/>
            </w:tcBorders>
            <w:vAlign w:val="center"/>
          </w:tcPr>
          <w:p w14:paraId="14F9CA1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2E63A0B7" w14:textId="77777777">
        <w:trPr>
          <w:trHeight w:val="396"/>
        </w:trPr>
        <w:tc>
          <w:tcPr>
            <w:tcW w:w="1705" w:type="dxa"/>
            <w:vAlign w:val="center"/>
          </w:tcPr>
          <w:p w14:paraId="65C84442"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Tetracycline</w:t>
            </w:r>
          </w:p>
        </w:tc>
        <w:tc>
          <w:tcPr>
            <w:tcW w:w="913" w:type="dxa"/>
            <w:vAlign w:val="center"/>
          </w:tcPr>
          <w:p w14:paraId="4EEF881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4" w:type="dxa"/>
            <w:vAlign w:val="center"/>
          </w:tcPr>
          <w:p w14:paraId="5643EA3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92" w:type="dxa"/>
            <w:vAlign w:val="center"/>
          </w:tcPr>
          <w:p w14:paraId="067C108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890" w:type="dxa"/>
            <w:vAlign w:val="center"/>
          </w:tcPr>
          <w:p w14:paraId="6091C8E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892" w:type="dxa"/>
            <w:vAlign w:val="center"/>
          </w:tcPr>
          <w:p w14:paraId="53D52DE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5" w:type="dxa"/>
            <w:vAlign w:val="center"/>
          </w:tcPr>
          <w:p w14:paraId="344F6EB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666" w:type="dxa"/>
            <w:vAlign w:val="center"/>
          </w:tcPr>
          <w:p w14:paraId="6656E38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254ECCA4" w14:textId="77777777">
        <w:trPr>
          <w:trHeight w:val="396"/>
        </w:trPr>
        <w:tc>
          <w:tcPr>
            <w:tcW w:w="1705" w:type="dxa"/>
            <w:vAlign w:val="center"/>
          </w:tcPr>
          <w:p w14:paraId="3F194AD2"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Vancomycin</w:t>
            </w:r>
          </w:p>
        </w:tc>
        <w:tc>
          <w:tcPr>
            <w:tcW w:w="913" w:type="dxa"/>
            <w:vAlign w:val="center"/>
          </w:tcPr>
          <w:p w14:paraId="485838E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4" w:type="dxa"/>
            <w:vAlign w:val="center"/>
          </w:tcPr>
          <w:p w14:paraId="7B8C9F6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92" w:type="dxa"/>
            <w:vAlign w:val="center"/>
          </w:tcPr>
          <w:p w14:paraId="5CCB50C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890" w:type="dxa"/>
            <w:vAlign w:val="center"/>
          </w:tcPr>
          <w:p w14:paraId="7EE7154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11-14</w:t>
            </w:r>
          </w:p>
        </w:tc>
        <w:tc>
          <w:tcPr>
            <w:tcW w:w="892" w:type="dxa"/>
            <w:vAlign w:val="center"/>
          </w:tcPr>
          <w:p w14:paraId="0228DC2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75" w:type="dxa"/>
            <w:vAlign w:val="center"/>
          </w:tcPr>
          <w:p w14:paraId="7491977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66" w:type="dxa"/>
            <w:vAlign w:val="center"/>
          </w:tcPr>
          <w:p w14:paraId="106C499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45A6AA5C" w14:textId="77777777">
        <w:trPr>
          <w:trHeight w:val="396"/>
        </w:trPr>
        <w:tc>
          <w:tcPr>
            <w:tcW w:w="1705" w:type="dxa"/>
            <w:vAlign w:val="center"/>
          </w:tcPr>
          <w:p w14:paraId="5B0D7350"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Norfloxacin</w:t>
            </w:r>
          </w:p>
        </w:tc>
        <w:tc>
          <w:tcPr>
            <w:tcW w:w="913" w:type="dxa"/>
            <w:vAlign w:val="center"/>
          </w:tcPr>
          <w:p w14:paraId="2E0DA5B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4" w:type="dxa"/>
            <w:vAlign w:val="center"/>
          </w:tcPr>
          <w:p w14:paraId="5C9A6B2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92" w:type="dxa"/>
            <w:vAlign w:val="center"/>
          </w:tcPr>
          <w:p w14:paraId="2B0D16E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890" w:type="dxa"/>
            <w:vAlign w:val="center"/>
          </w:tcPr>
          <w:p w14:paraId="30335E3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892" w:type="dxa"/>
            <w:vAlign w:val="center"/>
          </w:tcPr>
          <w:p w14:paraId="3DB1A7A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5" w:type="dxa"/>
            <w:vAlign w:val="center"/>
          </w:tcPr>
          <w:p w14:paraId="6379F62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666" w:type="dxa"/>
            <w:vAlign w:val="center"/>
          </w:tcPr>
          <w:p w14:paraId="58E433D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1BB45FE4" w14:textId="77777777">
        <w:trPr>
          <w:trHeight w:val="249"/>
        </w:trPr>
        <w:tc>
          <w:tcPr>
            <w:tcW w:w="1705" w:type="dxa"/>
            <w:vAlign w:val="center"/>
          </w:tcPr>
          <w:p w14:paraId="25E255AD"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Cefepime</w:t>
            </w:r>
          </w:p>
        </w:tc>
        <w:tc>
          <w:tcPr>
            <w:tcW w:w="913" w:type="dxa"/>
            <w:vAlign w:val="center"/>
          </w:tcPr>
          <w:p w14:paraId="76FDA7E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4" w:type="dxa"/>
            <w:vAlign w:val="center"/>
          </w:tcPr>
          <w:p w14:paraId="7C1F7C3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92" w:type="dxa"/>
            <w:vAlign w:val="center"/>
          </w:tcPr>
          <w:p w14:paraId="5EED63C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890" w:type="dxa"/>
            <w:vAlign w:val="center"/>
          </w:tcPr>
          <w:p w14:paraId="541AD29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892" w:type="dxa"/>
            <w:vAlign w:val="center"/>
          </w:tcPr>
          <w:p w14:paraId="240DD54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5" w:type="dxa"/>
            <w:vAlign w:val="center"/>
          </w:tcPr>
          <w:p w14:paraId="41BAF5C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666" w:type="dxa"/>
            <w:vAlign w:val="center"/>
          </w:tcPr>
          <w:p w14:paraId="3C72D07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14FE68DA" w14:textId="77777777">
        <w:trPr>
          <w:trHeight w:val="396"/>
        </w:trPr>
        <w:tc>
          <w:tcPr>
            <w:tcW w:w="1705" w:type="dxa"/>
            <w:vAlign w:val="center"/>
          </w:tcPr>
          <w:p w14:paraId="71CF6E90"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Chloramphenicol</w:t>
            </w:r>
          </w:p>
        </w:tc>
        <w:tc>
          <w:tcPr>
            <w:tcW w:w="913" w:type="dxa"/>
            <w:vAlign w:val="center"/>
          </w:tcPr>
          <w:p w14:paraId="3DD1881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4" w:type="dxa"/>
            <w:vAlign w:val="center"/>
          </w:tcPr>
          <w:p w14:paraId="2A5FBFD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92" w:type="dxa"/>
            <w:vAlign w:val="center"/>
          </w:tcPr>
          <w:p w14:paraId="364F65E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890" w:type="dxa"/>
            <w:vAlign w:val="center"/>
          </w:tcPr>
          <w:p w14:paraId="1F04739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892" w:type="dxa"/>
            <w:vAlign w:val="center"/>
          </w:tcPr>
          <w:p w14:paraId="08D2E4D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5" w:type="dxa"/>
            <w:vAlign w:val="center"/>
          </w:tcPr>
          <w:p w14:paraId="1DA29B9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666" w:type="dxa"/>
            <w:vAlign w:val="center"/>
          </w:tcPr>
          <w:p w14:paraId="02370D1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55066CD3" w14:textId="77777777">
        <w:trPr>
          <w:trHeight w:val="396"/>
        </w:trPr>
        <w:tc>
          <w:tcPr>
            <w:tcW w:w="1705" w:type="dxa"/>
            <w:vAlign w:val="center"/>
          </w:tcPr>
          <w:p w14:paraId="7F0934D5" w14:textId="77777777" w:rsidR="00FE2F93" w:rsidRDefault="00BA0D49">
            <w:pPr>
              <w:spacing w:after="0" w:line="240" w:lineRule="auto"/>
              <w:jc w:val="both"/>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Gatifloxacin</w:t>
            </w:r>
            <w:proofErr w:type="spellEnd"/>
          </w:p>
        </w:tc>
        <w:tc>
          <w:tcPr>
            <w:tcW w:w="913" w:type="dxa"/>
            <w:vAlign w:val="center"/>
          </w:tcPr>
          <w:p w14:paraId="1F3CC4B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4" w:type="dxa"/>
            <w:vAlign w:val="center"/>
          </w:tcPr>
          <w:p w14:paraId="79538BB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892" w:type="dxa"/>
            <w:vAlign w:val="center"/>
          </w:tcPr>
          <w:p w14:paraId="15234F7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890" w:type="dxa"/>
            <w:vAlign w:val="center"/>
          </w:tcPr>
          <w:p w14:paraId="06AC180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892" w:type="dxa"/>
            <w:vAlign w:val="center"/>
          </w:tcPr>
          <w:p w14:paraId="13231DF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5" w:type="dxa"/>
            <w:vAlign w:val="center"/>
          </w:tcPr>
          <w:p w14:paraId="45422B0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66" w:type="dxa"/>
            <w:vAlign w:val="center"/>
          </w:tcPr>
          <w:p w14:paraId="1679AD9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64117A7C" w14:textId="77777777">
        <w:trPr>
          <w:trHeight w:val="396"/>
        </w:trPr>
        <w:tc>
          <w:tcPr>
            <w:tcW w:w="1705" w:type="dxa"/>
            <w:vAlign w:val="center"/>
          </w:tcPr>
          <w:p w14:paraId="7289C01A"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Gentamicin</w:t>
            </w:r>
          </w:p>
        </w:tc>
        <w:tc>
          <w:tcPr>
            <w:tcW w:w="913" w:type="dxa"/>
            <w:vAlign w:val="center"/>
          </w:tcPr>
          <w:p w14:paraId="299BA36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4" w:type="dxa"/>
            <w:vAlign w:val="center"/>
          </w:tcPr>
          <w:p w14:paraId="52D866E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92" w:type="dxa"/>
            <w:vAlign w:val="center"/>
          </w:tcPr>
          <w:p w14:paraId="52F1A15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890" w:type="dxa"/>
            <w:vAlign w:val="center"/>
          </w:tcPr>
          <w:p w14:paraId="1AC82BA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892" w:type="dxa"/>
            <w:vAlign w:val="center"/>
          </w:tcPr>
          <w:p w14:paraId="0C3F685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5" w:type="dxa"/>
            <w:vAlign w:val="center"/>
          </w:tcPr>
          <w:p w14:paraId="779337D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66" w:type="dxa"/>
            <w:vAlign w:val="center"/>
          </w:tcPr>
          <w:p w14:paraId="65D2D3B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757E55DE" w14:textId="77777777">
        <w:trPr>
          <w:trHeight w:val="249"/>
        </w:trPr>
        <w:tc>
          <w:tcPr>
            <w:tcW w:w="1705" w:type="dxa"/>
            <w:vAlign w:val="center"/>
          </w:tcPr>
          <w:p w14:paraId="0D94C0D0"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Imipenem</w:t>
            </w:r>
          </w:p>
        </w:tc>
        <w:tc>
          <w:tcPr>
            <w:tcW w:w="913" w:type="dxa"/>
            <w:vAlign w:val="center"/>
          </w:tcPr>
          <w:p w14:paraId="1EB5B64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4" w:type="dxa"/>
            <w:vAlign w:val="center"/>
          </w:tcPr>
          <w:p w14:paraId="3C1E2C3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92" w:type="dxa"/>
            <w:vAlign w:val="center"/>
          </w:tcPr>
          <w:p w14:paraId="6C9307D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890" w:type="dxa"/>
            <w:vAlign w:val="center"/>
          </w:tcPr>
          <w:p w14:paraId="5FA045A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892" w:type="dxa"/>
            <w:vAlign w:val="center"/>
          </w:tcPr>
          <w:p w14:paraId="229CF86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75" w:type="dxa"/>
            <w:vAlign w:val="center"/>
          </w:tcPr>
          <w:p w14:paraId="7AF24DF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666" w:type="dxa"/>
            <w:vAlign w:val="center"/>
          </w:tcPr>
          <w:p w14:paraId="3CA733E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70F791D3" w14:textId="77777777">
        <w:trPr>
          <w:trHeight w:val="396"/>
        </w:trPr>
        <w:tc>
          <w:tcPr>
            <w:tcW w:w="1705" w:type="dxa"/>
            <w:vAlign w:val="center"/>
          </w:tcPr>
          <w:p w14:paraId="0AB10DA7"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Tobramycin</w:t>
            </w:r>
          </w:p>
        </w:tc>
        <w:tc>
          <w:tcPr>
            <w:tcW w:w="913" w:type="dxa"/>
            <w:vAlign w:val="center"/>
          </w:tcPr>
          <w:p w14:paraId="456577A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4" w:type="dxa"/>
            <w:vAlign w:val="center"/>
          </w:tcPr>
          <w:p w14:paraId="60AB9C5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92" w:type="dxa"/>
            <w:vAlign w:val="center"/>
          </w:tcPr>
          <w:p w14:paraId="329A175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890" w:type="dxa"/>
            <w:vAlign w:val="center"/>
          </w:tcPr>
          <w:p w14:paraId="5C7F2F7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892" w:type="dxa"/>
            <w:vAlign w:val="center"/>
          </w:tcPr>
          <w:p w14:paraId="164DAD0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5" w:type="dxa"/>
            <w:vAlign w:val="center"/>
          </w:tcPr>
          <w:p w14:paraId="3CF468A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666" w:type="dxa"/>
            <w:vAlign w:val="center"/>
          </w:tcPr>
          <w:p w14:paraId="075F602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bl>
    <w:p w14:paraId="64A24290" w14:textId="77777777" w:rsidR="00FE2F93" w:rsidRDefault="00BA0D49">
      <w:pPr>
        <w:pStyle w:val="NormalWeb"/>
        <w:spacing w:line="360" w:lineRule="auto"/>
        <w:jc w:val="both"/>
        <w:rPr>
          <w:iCs/>
        </w:rPr>
      </w:pPr>
      <w:r>
        <w:rPr>
          <w:rStyle w:val="Emphasis"/>
          <w:i w:val="0"/>
        </w:rPr>
        <w:t xml:space="preserve">Zone diameter interpretative criteria (S – Sensitive, I – Intermediate, R – Resistant) were interpreted according to CLSI guidelines. Zone of inhibition values are expressed in </w:t>
      </w:r>
      <w:proofErr w:type="spellStart"/>
      <w:r>
        <w:rPr>
          <w:rStyle w:val="Emphasis"/>
          <w:i w:val="0"/>
        </w:rPr>
        <w:t>millimetres</w:t>
      </w:r>
      <w:proofErr w:type="spellEnd"/>
      <w:r>
        <w:rPr>
          <w:rStyle w:val="Emphasis"/>
          <w:i w:val="0"/>
        </w:rPr>
        <w:t xml:space="preserve"> (mm).</w:t>
      </w:r>
    </w:p>
    <w:p w14:paraId="3FE07258"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color w:val="000000"/>
          <w:sz w:val="24"/>
          <w:szCs w:val="24"/>
        </w:rPr>
        <w:t>Across all the observed microbial isolates, the carbapenem cl</w:t>
      </w:r>
      <w:r>
        <w:rPr>
          <w:rFonts w:ascii="Times New Roman" w:hAnsi="Times New Roman" w:cs="Times New Roman"/>
          <w:color w:val="000000"/>
          <w:sz w:val="24"/>
          <w:szCs w:val="24"/>
        </w:rPr>
        <w:t xml:space="preserve">ass of antibiotics has emerged </w:t>
      </w:r>
      <w:r>
        <w:rPr>
          <w:rFonts w:ascii="Times New Roman" w:hAnsi="Times New Roman" w:cs="Times New Roman"/>
          <w:color w:val="000000"/>
          <w:sz w:val="24"/>
          <w:szCs w:val="24"/>
          <w:lang w:val="en-IN"/>
        </w:rPr>
        <w:t>as</w:t>
      </w:r>
      <w:r>
        <w:rPr>
          <w:rFonts w:ascii="Times New Roman" w:hAnsi="Times New Roman" w:cs="Times New Roman"/>
          <w:color w:val="000000"/>
          <w:sz w:val="24"/>
          <w:szCs w:val="24"/>
        </w:rPr>
        <w:t xml:space="preserve"> highly resistant. With the results of our study, Gram-negative bacteria exhibited a broader spectrum of antibiotic resistance than Gram-positive isolates. Such antibiotic resistance bacteria present in freshwater ecosystem</w:t>
      </w:r>
      <w:r>
        <w:rPr>
          <w:rFonts w:ascii="Times New Roman" w:hAnsi="Times New Roman" w:cs="Times New Roman"/>
          <w:color w:val="000000"/>
          <w:sz w:val="24"/>
          <w:szCs w:val="24"/>
        </w:rPr>
        <w:t xml:space="preserve"> comes into continuous contact with the gills and skin surface of the aquatic organisms, which increases the risk of opportunistic infections </w:t>
      </w:r>
      <w:r>
        <w:rPr>
          <w:rFonts w:ascii="Times New Roman" w:hAnsi="Times New Roman" w:cs="Times New Roman"/>
          <w:sz w:val="24"/>
          <w:szCs w:val="24"/>
        </w:rPr>
        <w:t>(</w:t>
      </w:r>
      <w:proofErr w:type="spellStart"/>
      <w:r>
        <w:rPr>
          <w:rFonts w:ascii="Times New Roman" w:hAnsi="Times New Roman" w:cs="Times New Roman"/>
          <w:sz w:val="24"/>
          <w:szCs w:val="24"/>
          <w:shd w:val="clear" w:color="auto" w:fill="FFFFFF"/>
        </w:rPr>
        <w:t>Benhamed</w:t>
      </w:r>
      <w:proofErr w:type="spellEnd"/>
      <w:r>
        <w:rPr>
          <w:rFonts w:ascii="Times New Roman" w:hAnsi="Times New Roman" w:cs="Times New Roman"/>
          <w:sz w:val="24"/>
          <w:szCs w:val="24"/>
          <w:shd w:val="clear" w:color="auto" w:fill="FFFFFF"/>
        </w:rPr>
        <w:t xml:space="preserve"> et al., 2014).</w:t>
      </w:r>
      <w:r>
        <w:rPr>
          <w:rFonts w:ascii="Times New Roman" w:hAnsi="Times New Roman" w:cs="Times New Roman"/>
          <w:color w:val="000000"/>
          <w:sz w:val="24"/>
          <w:szCs w:val="24"/>
        </w:rPr>
        <w:t xml:space="preserve"> On reaching the gut, the proliferation of ARB will eventually alter the </w:t>
      </w:r>
      <w:r>
        <w:rPr>
          <w:rFonts w:ascii="Times New Roman" w:hAnsi="Times New Roman" w:cs="Times New Roman"/>
          <w:sz w:val="24"/>
          <w:szCs w:val="24"/>
        </w:rPr>
        <w:t>fish gut microbio</w:t>
      </w:r>
      <w:r>
        <w:rPr>
          <w:rFonts w:ascii="Times New Roman" w:hAnsi="Times New Roman" w:cs="Times New Roman"/>
          <w:sz w:val="24"/>
          <w:szCs w:val="24"/>
        </w:rPr>
        <w:t>me resulting in enhanced disease susceptibility (</w:t>
      </w:r>
      <w:r>
        <w:rPr>
          <w:rFonts w:ascii="Times New Roman" w:hAnsi="Times New Roman" w:cs="Times New Roman"/>
          <w:sz w:val="24"/>
          <w:szCs w:val="24"/>
          <w:shd w:val="clear" w:color="auto" w:fill="FFFFFF"/>
        </w:rPr>
        <w:t>Yuan et al., 2019)</w:t>
      </w:r>
      <w:r>
        <w:rPr>
          <w:rFonts w:ascii="Times New Roman" w:hAnsi="Times New Roman" w:cs="Times New Roman"/>
          <w:sz w:val="24"/>
          <w:szCs w:val="24"/>
        </w:rPr>
        <w:t xml:space="preserve">. In several previous studies, </w:t>
      </w:r>
      <w:r>
        <w:rPr>
          <w:rFonts w:ascii="Times New Roman" w:hAnsi="Times New Roman" w:cs="Times New Roman"/>
          <w:i/>
          <w:sz w:val="24"/>
          <w:szCs w:val="24"/>
        </w:rPr>
        <w:t>Escherichia</w:t>
      </w:r>
      <w:r>
        <w:rPr>
          <w:rFonts w:ascii="Times New Roman" w:hAnsi="Times New Roman" w:cs="Times New Roman"/>
          <w:sz w:val="24"/>
          <w:szCs w:val="24"/>
        </w:rPr>
        <w:t xml:space="preserve"> </w:t>
      </w:r>
      <w:r>
        <w:rPr>
          <w:rFonts w:ascii="Times New Roman" w:hAnsi="Times New Roman" w:cs="Times New Roman"/>
          <w:i/>
          <w:sz w:val="24"/>
          <w:szCs w:val="24"/>
        </w:rPr>
        <w:t>coli</w:t>
      </w:r>
      <w:r>
        <w:rPr>
          <w:rFonts w:ascii="Times New Roman" w:hAnsi="Times New Roman" w:cs="Times New Roman"/>
          <w:sz w:val="24"/>
          <w:szCs w:val="24"/>
        </w:rPr>
        <w:t xml:space="preserve"> have been reported to serve as a vector in transferring plasmids of fish pathogens (</w:t>
      </w:r>
      <w:r>
        <w:rPr>
          <w:rFonts w:ascii="Times New Roman" w:hAnsi="Times New Roman" w:cs="Times New Roman"/>
          <w:sz w:val="24"/>
          <w:szCs w:val="24"/>
          <w:shd w:val="clear" w:color="auto" w:fill="FFFFFF"/>
        </w:rPr>
        <w:t>Sørum, 2005). The rapid multiplication and dominance of M</w:t>
      </w:r>
      <w:r>
        <w:rPr>
          <w:rFonts w:ascii="Times New Roman" w:hAnsi="Times New Roman" w:cs="Times New Roman"/>
          <w:sz w:val="24"/>
          <w:szCs w:val="24"/>
          <w:shd w:val="clear" w:color="auto" w:fill="FFFFFF"/>
        </w:rPr>
        <w:t xml:space="preserve">DR bacterial species reduces the diversity of microbial community in the aquatic ecosystem. The bioaccumulation of these pathogens in aquatic species will enter food chain and pose potential effects on human health. </w:t>
      </w:r>
      <w:r>
        <w:rPr>
          <w:rFonts w:ascii="Times New Roman" w:hAnsi="Times New Roman" w:cs="Times New Roman"/>
          <w:color w:val="000000"/>
          <w:sz w:val="24"/>
          <w:szCs w:val="24"/>
        </w:rPr>
        <w:t>Dreadful infections such as pneumonia, u</w:t>
      </w:r>
      <w:r>
        <w:rPr>
          <w:rFonts w:ascii="Times New Roman" w:hAnsi="Times New Roman" w:cs="Times New Roman"/>
          <w:color w:val="000000"/>
          <w:sz w:val="24"/>
          <w:szCs w:val="24"/>
        </w:rPr>
        <w:t xml:space="preserve">rinary tract infections, many diarrheal illnesses, skin outbreaks, meningitis, and potential systemic problems are caused by </w:t>
      </w:r>
      <w:r>
        <w:rPr>
          <w:rFonts w:ascii="Times New Roman" w:hAnsi="Times New Roman" w:cs="Times New Roman"/>
          <w:iCs/>
          <w:color w:val="000000"/>
          <w:sz w:val="24"/>
          <w:szCs w:val="24"/>
        </w:rPr>
        <w:t>detected microorganisms</w:t>
      </w:r>
      <w:r>
        <w:rPr>
          <w:rFonts w:ascii="Times New Roman" w:hAnsi="Times New Roman" w:cs="Times New Roman"/>
          <w:iCs/>
          <w:sz w:val="24"/>
          <w:szCs w:val="24"/>
        </w:rPr>
        <w:t xml:space="preserve"> (</w:t>
      </w:r>
      <w:r>
        <w:rPr>
          <w:rFonts w:ascii="Times New Roman" w:hAnsi="Times New Roman" w:cs="Times New Roman"/>
          <w:sz w:val="24"/>
          <w:szCs w:val="24"/>
          <w:shd w:val="clear" w:color="auto" w:fill="FFFFFF"/>
        </w:rPr>
        <w:t xml:space="preserve">Reynolds and </w:t>
      </w:r>
      <w:proofErr w:type="spellStart"/>
      <w:r>
        <w:rPr>
          <w:rFonts w:ascii="Times New Roman" w:hAnsi="Times New Roman" w:cs="Times New Roman"/>
          <w:sz w:val="24"/>
          <w:szCs w:val="24"/>
          <w:shd w:val="clear" w:color="auto" w:fill="FFFFFF"/>
        </w:rPr>
        <w:t>Kollef</w:t>
      </w:r>
      <w:proofErr w:type="spellEnd"/>
      <w:r>
        <w:rPr>
          <w:rFonts w:ascii="Times New Roman" w:hAnsi="Times New Roman" w:cs="Times New Roman"/>
          <w:sz w:val="24"/>
          <w:szCs w:val="24"/>
          <w:shd w:val="clear" w:color="auto" w:fill="FFFFFF"/>
        </w:rPr>
        <w:t xml:space="preserve">, 2021; </w:t>
      </w:r>
      <w:r>
        <w:rPr>
          <w:rFonts w:ascii="Times New Roman" w:hAnsi="Times New Roman" w:cs="Times New Roman"/>
          <w:color w:val="222222"/>
          <w:sz w:val="24"/>
          <w:szCs w:val="24"/>
          <w:shd w:val="clear" w:color="auto" w:fill="FFFFFF"/>
        </w:rPr>
        <w:t>Chen</w:t>
      </w:r>
      <w:r>
        <w:rPr>
          <w:rFonts w:ascii="Times New Roman" w:hAnsi="Times New Roman" w:cs="Times New Roman"/>
          <w:sz w:val="24"/>
          <w:szCs w:val="24"/>
          <w:shd w:val="clear" w:color="auto" w:fill="FFFFFF"/>
        </w:rPr>
        <w:t xml:space="preserve"> et al., 2022; </w:t>
      </w:r>
      <w:proofErr w:type="spellStart"/>
      <w:r>
        <w:rPr>
          <w:rFonts w:ascii="Times New Roman" w:hAnsi="Times New Roman" w:cs="Times New Roman"/>
          <w:sz w:val="24"/>
          <w:szCs w:val="24"/>
          <w:shd w:val="clear" w:color="auto" w:fill="FFFFFF"/>
        </w:rPr>
        <w:t>Riwu</w:t>
      </w:r>
      <w:proofErr w:type="spellEnd"/>
      <w:r>
        <w:rPr>
          <w:rFonts w:ascii="Times New Roman" w:hAnsi="Times New Roman" w:cs="Times New Roman"/>
          <w:sz w:val="24"/>
          <w:szCs w:val="24"/>
          <w:shd w:val="clear" w:color="auto" w:fill="FFFFFF"/>
        </w:rPr>
        <w:t xml:space="preserve"> et al., 2022). </w:t>
      </w:r>
      <w:r>
        <w:rPr>
          <w:rFonts w:ascii="Times New Roman" w:hAnsi="Times New Roman" w:cs="Times New Roman"/>
          <w:color w:val="000000"/>
          <w:sz w:val="24"/>
          <w:szCs w:val="24"/>
        </w:rPr>
        <w:t xml:space="preserve">The emergence of resistant strains worsens the treatment, thereby resulting in a deadly impact. </w:t>
      </w:r>
      <w:r>
        <w:rPr>
          <w:rFonts w:ascii="Times New Roman" w:hAnsi="Times New Roman" w:cs="Times New Roman"/>
          <w:sz w:val="24"/>
          <w:szCs w:val="24"/>
        </w:rPr>
        <w:t>These findings</w:t>
      </w:r>
      <w:r>
        <w:rPr>
          <w:rFonts w:ascii="Times New Roman" w:hAnsi="Times New Roman" w:cs="Times New Roman"/>
          <w:color w:val="000000"/>
          <w:sz w:val="24"/>
          <w:szCs w:val="24"/>
        </w:rPr>
        <w:t xml:space="preserve"> reinforce the importance of surveillance of antimicrobial resistance in aquatic ecosystems.</w:t>
      </w:r>
    </w:p>
    <w:p w14:paraId="208F6041" w14:textId="77777777" w:rsidR="00FE2F93" w:rsidRDefault="00BA0D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CONCLUSION</w:t>
      </w:r>
    </w:p>
    <w:p w14:paraId="376C5FA0" w14:textId="77777777" w:rsidR="00FE2F93" w:rsidRDefault="00BA0D49">
      <w:pPr>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The present investigation explores the </w:t>
      </w:r>
      <w:r>
        <w:rPr>
          <w:rFonts w:ascii="Times New Roman" w:eastAsia="Times New Roman" w:hAnsi="Times New Roman" w:cs="Times New Roman"/>
          <w:bCs/>
          <w:color w:val="000000"/>
          <w:sz w:val="24"/>
          <w:szCs w:val="24"/>
        </w:rPr>
        <w:t xml:space="preserve">enumeration of cultivable bacteria and provides </w:t>
      </w:r>
      <w:r>
        <w:rPr>
          <w:rFonts w:ascii="Times New Roman" w:hAnsi="Times New Roman" w:cs="Times New Roman"/>
          <w:color w:val="000000"/>
          <w:sz w:val="24"/>
          <w:szCs w:val="24"/>
        </w:rPr>
        <w:t xml:space="preserve">insights into the antibiotic resistance profiling of dominant species found in a major drinking water source. The detection of opportunistic pathogens, including </w:t>
      </w:r>
      <w:r>
        <w:rPr>
          <w:rFonts w:ascii="Times New Roman" w:eastAsia="Times New Roman" w:hAnsi="Times New Roman" w:cs="Times New Roman"/>
          <w:bCs/>
          <w:i/>
          <w:color w:val="000000"/>
          <w:sz w:val="24"/>
          <w:szCs w:val="24"/>
        </w:rPr>
        <w:t xml:space="preserve">Klebsiella </w:t>
      </w:r>
      <w:r>
        <w:rPr>
          <w:rFonts w:ascii="Times New Roman" w:eastAsia="Times New Roman" w:hAnsi="Times New Roman" w:cs="Times New Roman"/>
          <w:bCs/>
          <w:color w:val="000000"/>
          <w:sz w:val="24"/>
          <w:szCs w:val="24"/>
        </w:rPr>
        <w:t xml:space="preserve">spp., </w:t>
      </w:r>
      <w:r>
        <w:rPr>
          <w:rFonts w:ascii="Times New Roman" w:eastAsia="Times New Roman" w:hAnsi="Times New Roman" w:cs="Times New Roman"/>
          <w:bCs/>
          <w:i/>
          <w:color w:val="000000"/>
          <w:sz w:val="24"/>
          <w:szCs w:val="24"/>
        </w:rPr>
        <w:t xml:space="preserve">Pseudomonas </w:t>
      </w:r>
      <w:r>
        <w:rPr>
          <w:rFonts w:ascii="Times New Roman" w:eastAsia="Times New Roman" w:hAnsi="Times New Roman" w:cs="Times New Roman"/>
          <w:bCs/>
          <w:color w:val="000000"/>
          <w:sz w:val="24"/>
          <w:szCs w:val="24"/>
        </w:rPr>
        <w:t xml:space="preserve">spp., </w:t>
      </w:r>
      <w:r>
        <w:rPr>
          <w:rFonts w:ascii="Times New Roman" w:eastAsia="Times New Roman" w:hAnsi="Times New Roman" w:cs="Times New Roman"/>
          <w:bCs/>
          <w:i/>
          <w:color w:val="000000"/>
          <w:sz w:val="24"/>
          <w:szCs w:val="24"/>
        </w:rPr>
        <w:lastRenderedPageBreak/>
        <w:t>Escherichia</w:t>
      </w:r>
      <w:r>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color w:val="000000"/>
          <w:sz w:val="24"/>
          <w:szCs w:val="24"/>
        </w:rPr>
        <w:t xml:space="preserve">spp., and </w:t>
      </w:r>
      <w:r>
        <w:rPr>
          <w:rFonts w:ascii="Times New Roman" w:eastAsia="Times New Roman" w:hAnsi="Times New Roman" w:cs="Times New Roman"/>
          <w:bCs/>
          <w:i/>
          <w:color w:val="000000"/>
          <w:sz w:val="24"/>
          <w:szCs w:val="24"/>
        </w:rPr>
        <w:t xml:space="preserve">Staphylococcus </w:t>
      </w:r>
      <w:r>
        <w:rPr>
          <w:rFonts w:ascii="Times New Roman" w:eastAsia="Times New Roman" w:hAnsi="Times New Roman" w:cs="Times New Roman"/>
          <w:bCs/>
          <w:color w:val="000000"/>
          <w:sz w:val="24"/>
          <w:szCs w:val="24"/>
        </w:rPr>
        <w:t xml:space="preserve">spp. </w:t>
      </w:r>
      <w:r>
        <w:rPr>
          <w:rFonts w:ascii="Times New Roman" w:hAnsi="Times New Roman" w:cs="Times New Roman"/>
          <w:color w:val="000000"/>
          <w:sz w:val="24"/>
          <w:szCs w:val="24"/>
        </w:rPr>
        <w:t xml:space="preserve">in potable water raises public health concerns. In addition, the consistent detection of resistance towards commonly used tetracyclines, ampicillin, norfloxacin, </w:t>
      </w:r>
      <w:proofErr w:type="spellStart"/>
      <w:r>
        <w:rPr>
          <w:rFonts w:ascii="Times New Roman" w:hAnsi="Times New Roman" w:cs="Times New Roman"/>
          <w:color w:val="000000"/>
          <w:sz w:val="24"/>
          <w:szCs w:val="24"/>
        </w:rPr>
        <w:t>gatifloxacin</w:t>
      </w:r>
      <w:proofErr w:type="spellEnd"/>
      <w:r>
        <w:rPr>
          <w:rFonts w:ascii="Times New Roman" w:hAnsi="Times New Roman" w:cs="Times New Roman"/>
          <w:color w:val="000000"/>
          <w:sz w:val="24"/>
          <w:szCs w:val="24"/>
        </w:rPr>
        <w:t>, and gentamicin among all isolated bacteria highli</w:t>
      </w:r>
      <w:r>
        <w:rPr>
          <w:rFonts w:ascii="Times New Roman" w:hAnsi="Times New Roman" w:cs="Times New Roman"/>
          <w:color w:val="000000"/>
          <w:sz w:val="24"/>
          <w:szCs w:val="24"/>
        </w:rPr>
        <w:t>ghts the emergence of various multidrug-</w:t>
      </w:r>
      <w:proofErr w:type="spellStart"/>
      <w:r>
        <w:rPr>
          <w:rFonts w:ascii="Times New Roman" w:hAnsi="Times New Roman" w:cs="Times New Roman"/>
          <w:color w:val="000000"/>
          <w:sz w:val="24"/>
          <w:szCs w:val="24"/>
        </w:rPr>
        <w:t>resistan</w:t>
      </w:r>
      <w:proofErr w:type="spellEnd"/>
      <w:r>
        <w:rPr>
          <w:rFonts w:ascii="Times New Roman" w:hAnsi="Times New Roman" w:cs="Times New Roman"/>
          <w:color w:val="000000"/>
          <w:sz w:val="24"/>
          <w:szCs w:val="24"/>
          <w:lang w:val="en-IN"/>
        </w:rPr>
        <w:t>t</w:t>
      </w:r>
      <w:r>
        <w:rPr>
          <w:rFonts w:ascii="Times New Roman" w:hAnsi="Times New Roman" w:cs="Times New Roman"/>
          <w:color w:val="000000"/>
          <w:sz w:val="24"/>
          <w:szCs w:val="24"/>
        </w:rPr>
        <w:t xml:space="preserve"> microorganisms. This raises concern regarding the transmission of antibiotic-resistant bacteria through drinking water. </w:t>
      </w:r>
      <w:r>
        <w:rPr>
          <w:rFonts w:ascii="Times New Roman" w:hAnsi="Times New Roman" w:cs="Times New Roman"/>
          <w:sz w:val="24"/>
          <w:szCs w:val="24"/>
        </w:rPr>
        <w:t>These findings underline the importance of routine microbiological surveillance and an</w:t>
      </w:r>
      <w:r>
        <w:rPr>
          <w:rFonts w:ascii="Times New Roman" w:hAnsi="Times New Roman" w:cs="Times New Roman"/>
          <w:sz w:val="24"/>
          <w:szCs w:val="24"/>
        </w:rPr>
        <w:t>tibiotic resistance monitoring of water bodies to safeguard public health.</w:t>
      </w:r>
    </w:p>
    <w:p w14:paraId="64C7B3D8" w14:textId="77777777" w:rsidR="00FA0375" w:rsidRDefault="00FA0375">
      <w:pPr>
        <w:rPr>
          <w:rFonts w:ascii="Times New Roman" w:hAnsi="Times New Roman" w:cs="Times New Roman"/>
          <w:b/>
          <w:color w:val="000000"/>
          <w:sz w:val="24"/>
          <w:szCs w:val="24"/>
        </w:rPr>
      </w:pPr>
    </w:p>
    <w:p w14:paraId="0A509F3A" w14:textId="14C1AAF2" w:rsidR="00FE2F93" w:rsidRDefault="00BA0D49">
      <w:pPr>
        <w:rPr>
          <w:rFonts w:ascii="Times New Roman" w:hAnsi="Times New Roman" w:cs="Times New Roman"/>
          <w:b/>
          <w:color w:val="000000"/>
          <w:sz w:val="24"/>
          <w:szCs w:val="24"/>
        </w:rPr>
      </w:pPr>
      <w:bookmarkStart w:id="0" w:name="_GoBack"/>
      <w:bookmarkEnd w:id="0"/>
      <w:r>
        <w:rPr>
          <w:rFonts w:ascii="Times New Roman" w:hAnsi="Times New Roman" w:cs="Times New Roman"/>
          <w:b/>
          <w:color w:val="000000"/>
          <w:sz w:val="24"/>
          <w:szCs w:val="24"/>
        </w:rPr>
        <w:t>REFERENCES</w:t>
      </w:r>
    </w:p>
    <w:p w14:paraId="42A7AD94" w14:textId="20F3A771" w:rsidR="00B6610D" w:rsidRPr="00B969DA" w:rsidRDefault="00B6610D" w:rsidP="00B969DA">
      <w:pPr>
        <w:jc w:val="both"/>
        <w:rPr>
          <w:shd w:val="clear" w:color="auto" w:fill="FFFFFF"/>
        </w:rPr>
      </w:pPr>
      <w:proofErr w:type="spellStart"/>
      <w:r w:rsidRPr="00B969DA">
        <w:rPr>
          <w:shd w:val="clear" w:color="auto" w:fill="FFFFFF"/>
        </w:rPr>
        <w:t>Amarasiri</w:t>
      </w:r>
      <w:proofErr w:type="spellEnd"/>
      <w:r w:rsidRPr="00B969DA">
        <w:rPr>
          <w:shd w:val="clear" w:color="auto" w:fill="FFFFFF"/>
        </w:rPr>
        <w:t xml:space="preserve">, M., Sano, D., &amp; Suzuki, S. (2020). Understanding human health risks caused by antibiotic resistant bacteria (ARB) and antibiotic resistance genes (ARG) in water environments: Current knowledge and questions to be answered. Critical Reviews in Environmental Science and Technology, 50(19), 2016-2059. </w:t>
      </w:r>
      <w:hyperlink r:id="rId10" w:history="1">
        <w:r w:rsidRPr="00B969DA">
          <w:rPr>
            <w:rStyle w:val="Hyperlink"/>
            <w:shd w:val="clear" w:color="auto" w:fill="FFFFFF"/>
          </w:rPr>
          <w:t>https://doi.org/10.1080/10643389.2019.1692611</w:t>
        </w:r>
      </w:hyperlink>
    </w:p>
    <w:p w14:paraId="38FE244F" w14:textId="1B99FF21" w:rsidR="00B6610D" w:rsidRPr="00B969DA" w:rsidRDefault="00B6610D" w:rsidP="00B969DA">
      <w:pPr>
        <w:jc w:val="both"/>
        <w:rPr>
          <w:shd w:val="clear" w:color="auto" w:fill="FFFFFF"/>
        </w:rPr>
      </w:pPr>
      <w:r w:rsidRPr="00B969DA">
        <w:rPr>
          <w:shd w:val="clear" w:color="auto" w:fill="FFFFFF"/>
        </w:rPr>
        <w:t xml:space="preserve">Alonso, C. A., </w:t>
      </w:r>
      <w:proofErr w:type="spellStart"/>
      <w:r w:rsidRPr="00B969DA">
        <w:rPr>
          <w:shd w:val="clear" w:color="auto" w:fill="FFFFFF"/>
        </w:rPr>
        <w:t>Zarazaga</w:t>
      </w:r>
      <w:proofErr w:type="spellEnd"/>
      <w:r w:rsidRPr="00B969DA">
        <w:rPr>
          <w:shd w:val="clear" w:color="auto" w:fill="FFFFFF"/>
        </w:rPr>
        <w:t xml:space="preserve">, M., Ben Sallem, R., Jouini, A., Ben Slama, K., &amp; Torres, C. (2017). Antibiotic resistance in Escherichia coli in husbandry animals: the African perspective. Letters in Applied Microbiology, 64(5), 318-334. </w:t>
      </w:r>
      <w:hyperlink r:id="rId11" w:history="1">
        <w:r w:rsidRPr="00B969DA">
          <w:rPr>
            <w:rStyle w:val="Hyperlink"/>
            <w:shd w:val="clear" w:color="auto" w:fill="FFFFFF"/>
          </w:rPr>
          <w:t>https://doi.org/10.1111/lam.12724</w:t>
        </w:r>
      </w:hyperlink>
    </w:p>
    <w:p w14:paraId="10036C94" w14:textId="48A8F0F5" w:rsidR="00B6610D" w:rsidRPr="00B969DA" w:rsidRDefault="00B6610D" w:rsidP="00B969DA">
      <w:pPr>
        <w:jc w:val="both"/>
        <w:rPr>
          <w:shd w:val="clear" w:color="auto" w:fill="FFFFFF"/>
        </w:rPr>
      </w:pPr>
      <w:r w:rsidRPr="00B969DA">
        <w:rPr>
          <w:shd w:val="clear" w:color="auto" w:fill="FFFFFF"/>
        </w:rPr>
        <w:t xml:space="preserve">Arbab, S., Ullah, H., Wang, W., &amp; Zhang, J. (2022). Antimicrobial drug resistance against Escherichia coli and its harmful effect on animal health. Veterinary Medicine and Science, 8(4), 1780-1786. </w:t>
      </w:r>
      <w:hyperlink r:id="rId12" w:history="1">
        <w:r w:rsidRPr="00B969DA">
          <w:rPr>
            <w:rStyle w:val="Hyperlink"/>
            <w:shd w:val="clear" w:color="auto" w:fill="FFFFFF"/>
          </w:rPr>
          <w:t>https://doi.org/10.1002/vms3.825</w:t>
        </w:r>
      </w:hyperlink>
    </w:p>
    <w:p w14:paraId="7795CC6A" w14:textId="74F105B4" w:rsidR="00B6610D" w:rsidRPr="00B969DA" w:rsidRDefault="00B6610D" w:rsidP="00B969DA">
      <w:pPr>
        <w:jc w:val="both"/>
        <w:rPr>
          <w:shd w:val="clear" w:color="auto" w:fill="FFFFFF"/>
        </w:rPr>
      </w:pPr>
      <w:proofErr w:type="spellStart"/>
      <w:r w:rsidRPr="00B969DA">
        <w:rPr>
          <w:shd w:val="clear" w:color="auto" w:fill="FFFFFF"/>
        </w:rPr>
        <w:t>Benhamed</w:t>
      </w:r>
      <w:proofErr w:type="spellEnd"/>
      <w:r w:rsidRPr="00B969DA">
        <w:rPr>
          <w:shd w:val="clear" w:color="auto" w:fill="FFFFFF"/>
        </w:rPr>
        <w:t xml:space="preserve">, S., Guardiola, F. A., Mars, M., &amp; Esteban, M. Á. (2014). Pathogen bacteria adhesion to skin mucus of fishes. Veterinary microbiology, 171(1-2), 1-12. </w:t>
      </w:r>
      <w:hyperlink r:id="rId13" w:history="1">
        <w:r w:rsidRPr="00B969DA">
          <w:rPr>
            <w:rStyle w:val="Hyperlink"/>
            <w:shd w:val="clear" w:color="auto" w:fill="FFFFFF"/>
          </w:rPr>
          <w:t>https://doi.org/10.1016/j.vetmic.2014.03.008</w:t>
        </w:r>
      </w:hyperlink>
    </w:p>
    <w:p w14:paraId="42821C60" w14:textId="4222CAD3" w:rsidR="00B6610D" w:rsidRPr="00B969DA" w:rsidRDefault="00B6610D" w:rsidP="00B969DA">
      <w:pPr>
        <w:jc w:val="both"/>
        <w:rPr>
          <w:shd w:val="clear" w:color="auto" w:fill="FFFFFF"/>
        </w:rPr>
      </w:pPr>
      <w:r w:rsidRPr="00B969DA">
        <w:rPr>
          <w:shd w:val="clear" w:color="auto" w:fill="FFFFFF"/>
        </w:rPr>
        <w:t xml:space="preserve">Chatterjee, M., Anju, C. P., Biswas, L., Kumar, V. A., Mohan, C. G., &amp; Biswas, R. (2016). Antibiotic resistance in Pseudomonas aeruginosa and alternative therapeutic options. International Journal of Medical Microbiology, 306(1), 48-58. </w:t>
      </w:r>
      <w:hyperlink r:id="rId14" w:history="1">
        <w:r w:rsidRPr="00B969DA">
          <w:rPr>
            <w:rStyle w:val="Hyperlink"/>
            <w:shd w:val="clear" w:color="auto" w:fill="FFFFFF"/>
          </w:rPr>
          <w:t>https://doi.org/10.1016/j.ijmm.2015.11.004</w:t>
        </w:r>
      </w:hyperlink>
    </w:p>
    <w:p w14:paraId="08E058CD" w14:textId="0909E0CA" w:rsidR="00B6610D" w:rsidRPr="00B969DA" w:rsidRDefault="00B6610D" w:rsidP="00B969DA">
      <w:pPr>
        <w:jc w:val="both"/>
        <w:rPr>
          <w:color w:val="222222"/>
          <w:shd w:val="clear" w:color="auto" w:fill="FFFFFF"/>
        </w:rPr>
      </w:pPr>
      <w:r w:rsidRPr="00B969DA">
        <w:rPr>
          <w:color w:val="222222"/>
          <w:shd w:val="clear" w:color="auto" w:fill="FFFFFF"/>
        </w:rPr>
        <w:t xml:space="preserve">Chen, H., Zhang, J., He, Y., </w:t>
      </w:r>
      <w:proofErr w:type="spellStart"/>
      <w:r w:rsidRPr="00B969DA">
        <w:rPr>
          <w:color w:val="222222"/>
          <w:shd w:val="clear" w:color="auto" w:fill="FFFFFF"/>
        </w:rPr>
        <w:t>Lv</w:t>
      </w:r>
      <w:proofErr w:type="spellEnd"/>
      <w:r w:rsidRPr="00B969DA">
        <w:rPr>
          <w:color w:val="222222"/>
          <w:shd w:val="clear" w:color="auto" w:fill="FFFFFF"/>
        </w:rPr>
        <w:t xml:space="preserve">, Z., Liang, Z., Chen, J., Li, P., Liu, J., Yang, H., Tao, A., &amp; Liu, X. (2022). Exploring the role of Staphylococcus aureus in inflammatory diseases. Toxins, 14(7), 464. </w:t>
      </w:r>
      <w:hyperlink r:id="rId15" w:history="1">
        <w:r w:rsidRPr="00B969DA">
          <w:rPr>
            <w:rStyle w:val="Hyperlink"/>
            <w:shd w:val="clear" w:color="auto" w:fill="FFFFFF"/>
          </w:rPr>
          <w:t>https://doi.org/10.3390/toxins14070464</w:t>
        </w:r>
      </w:hyperlink>
    </w:p>
    <w:p w14:paraId="0861FD8F" w14:textId="7CF36574" w:rsidR="00B6610D" w:rsidRPr="00B969DA" w:rsidRDefault="00B6610D" w:rsidP="00B969DA">
      <w:pPr>
        <w:jc w:val="both"/>
        <w:rPr>
          <w:shd w:val="clear" w:color="auto" w:fill="FFFFFF"/>
        </w:rPr>
      </w:pPr>
      <w:r w:rsidRPr="00B969DA">
        <w:rPr>
          <w:color w:val="222222"/>
          <w:shd w:val="clear" w:color="auto" w:fill="FFFFFF"/>
        </w:rPr>
        <w:lastRenderedPageBreak/>
        <w:t xml:space="preserve">Dabhi, M., Patel, R., Shah, V., Soni, R., Saraf, M., Rawal, R., &amp; Goswami, D. (2024). Penicillin-binding proteins: the master builders and breakers of bacterial cell walls and its interaction with β-lactam antibiotics. Journal of Proteins and Proteomics, 15(2), 215-232. </w:t>
      </w:r>
      <w:hyperlink r:id="rId16" w:history="1">
        <w:r w:rsidRPr="00B969DA">
          <w:rPr>
            <w:rStyle w:val="Hyperlink"/>
            <w:shd w:val="clear" w:color="auto" w:fill="FFFFFF"/>
          </w:rPr>
          <w:t>https://doi.org/10.1007/s42485-024-00135-x</w:t>
        </w:r>
      </w:hyperlink>
    </w:p>
    <w:p w14:paraId="20D155DB" w14:textId="636376F2" w:rsidR="00B6610D" w:rsidRPr="00B969DA" w:rsidRDefault="00B6610D" w:rsidP="00B969DA">
      <w:pPr>
        <w:jc w:val="both"/>
        <w:rPr>
          <w:shd w:val="clear" w:color="auto" w:fill="FFFFFF"/>
        </w:rPr>
      </w:pPr>
      <w:proofErr w:type="spellStart"/>
      <w:r w:rsidRPr="00B969DA">
        <w:rPr>
          <w:color w:val="222222"/>
          <w:shd w:val="clear" w:color="auto" w:fill="FFFFFF"/>
        </w:rPr>
        <w:t>Ekemezie</w:t>
      </w:r>
      <w:proofErr w:type="spellEnd"/>
      <w:r w:rsidRPr="00B969DA">
        <w:rPr>
          <w:color w:val="222222"/>
          <w:shd w:val="clear" w:color="auto" w:fill="FFFFFF"/>
        </w:rPr>
        <w:t xml:space="preserve">, C. L., Chan, L. I., Brown, C. R., Helena-Bueno, K., Williams, T. A., &amp; Melnikov, S. V. (2025). Extensive natural variation in bacterial ribosomal drug-binding sites. Cell Reports, 44(7). </w:t>
      </w:r>
      <w:hyperlink r:id="rId17" w:history="1">
        <w:r w:rsidRPr="00B969DA">
          <w:rPr>
            <w:rStyle w:val="Hyperlink"/>
            <w:shd w:val="clear" w:color="auto" w:fill="FFFFFF"/>
          </w:rPr>
          <w:t>https://doi.org/10.1016/j.celrep.2025.115878</w:t>
        </w:r>
      </w:hyperlink>
    </w:p>
    <w:p w14:paraId="22CB4FA1" w14:textId="6F228B55" w:rsidR="00B6610D" w:rsidRPr="00B969DA" w:rsidRDefault="00B6610D" w:rsidP="00B969DA">
      <w:pPr>
        <w:jc w:val="both"/>
        <w:rPr>
          <w:b/>
        </w:rPr>
      </w:pPr>
      <w:r w:rsidRPr="00B969DA">
        <w:rPr>
          <w:color w:val="222222"/>
          <w:shd w:val="clear" w:color="auto" w:fill="FFFFFF"/>
        </w:rPr>
        <w:t xml:space="preserve">Farhan, S. M., Raafat, M., </w:t>
      </w:r>
      <w:proofErr w:type="spellStart"/>
      <w:r w:rsidRPr="00B969DA">
        <w:rPr>
          <w:color w:val="222222"/>
          <w:shd w:val="clear" w:color="auto" w:fill="FFFFFF"/>
        </w:rPr>
        <w:t>Abourehab</w:t>
      </w:r>
      <w:proofErr w:type="spellEnd"/>
      <w:r w:rsidRPr="00B969DA">
        <w:rPr>
          <w:color w:val="222222"/>
          <w:shd w:val="clear" w:color="auto" w:fill="FFFFFF"/>
        </w:rPr>
        <w:t xml:space="preserve">, M. A. S., Abd El-Baky, R. M., Abdalla, S., EL-Gendy, A. O., &amp; Azmy, A. F. (2021). Effect of Imipenem and Amikacin Combination against Multi-Drug Resistant Pseudomonas aeruginosa. Antibiotics, 10(11), 1429. </w:t>
      </w:r>
      <w:hyperlink r:id="rId18" w:history="1">
        <w:r w:rsidRPr="00B969DA">
          <w:rPr>
            <w:rStyle w:val="Hyperlink"/>
            <w:shd w:val="clear" w:color="auto" w:fill="FFFFFF"/>
          </w:rPr>
          <w:t>https://doi.org/10.3390/antibiotics10111429</w:t>
        </w:r>
      </w:hyperlink>
    </w:p>
    <w:p w14:paraId="4DD4C2EA" w14:textId="38AAC95A" w:rsidR="00B6610D" w:rsidRPr="00B969DA" w:rsidRDefault="00B6610D" w:rsidP="00B969DA">
      <w:pPr>
        <w:jc w:val="both"/>
        <w:rPr>
          <w:shd w:val="clear" w:color="auto" w:fill="FFFFFF"/>
        </w:rPr>
      </w:pPr>
      <w:r w:rsidRPr="00B969DA">
        <w:rPr>
          <w:shd w:val="clear" w:color="auto" w:fill="FFFFFF"/>
        </w:rPr>
        <w:t xml:space="preserve">Fletcher, S. (2015). Understanding the contribution of environmental factors in the spread of antimicrobial resistance. Environmental Health and Preventive Medicine, 20(4), 243-252. </w:t>
      </w:r>
      <w:hyperlink r:id="rId19" w:history="1">
        <w:r w:rsidRPr="00B969DA">
          <w:rPr>
            <w:rStyle w:val="Hyperlink"/>
            <w:shd w:val="clear" w:color="auto" w:fill="FFFFFF"/>
          </w:rPr>
          <w:t>https://doi.org/10.1007/s12199-015-0468-0</w:t>
        </w:r>
      </w:hyperlink>
    </w:p>
    <w:p w14:paraId="205B3372" w14:textId="7E6EEB54" w:rsidR="00B6610D" w:rsidRPr="00B969DA" w:rsidRDefault="00B6610D" w:rsidP="00B969DA">
      <w:pPr>
        <w:jc w:val="both"/>
        <w:rPr>
          <w:color w:val="222222"/>
          <w:shd w:val="clear" w:color="auto" w:fill="FFFFFF"/>
        </w:rPr>
      </w:pPr>
      <w:r w:rsidRPr="00B969DA">
        <w:rPr>
          <w:shd w:val="clear" w:color="auto" w:fill="FFFFFF"/>
        </w:rPr>
        <w:t xml:space="preserve">Fu, S., Wang, Q., Wang, R., Zhang, Y., Lan, R., He, F., &amp; Yang, Q. (2022). Horizontal transfer of antibiotic resistance genes within the bacterial communities in aquacultural environment. Science of the Total Environment, 820, 153286. </w:t>
      </w:r>
      <w:hyperlink r:id="rId20" w:history="1">
        <w:r w:rsidRPr="00B969DA">
          <w:rPr>
            <w:rStyle w:val="Hyperlink"/>
            <w:shd w:val="clear" w:color="auto" w:fill="FFFFFF"/>
          </w:rPr>
          <w:t>https://doi.org/10.1016/j.scitotenv.2022.153286</w:t>
        </w:r>
      </w:hyperlink>
    </w:p>
    <w:p w14:paraId="5457DF1F" w14:textId="5C93827A" w:rsidR="00B6610D" w:rsidRPr="00B969DA" w:rsidRDefault="00B6610D" w:rsidP="00B969DA">
      <w:pPr>
        <w:jc w:val="both"/>
        <w:rPr>
          <w:shd w:val="clear" w:color="auto" w:fill="FFFFFF"/>
        </w:rPr>
      </w:pPr>
      <w:r w:rsidRPr="00B969DA">
        <w:rPr>
          <w:color w:val="222222"/>
          <w:shd w:val="clear" w:color="auto" w:fill="FFFFFF"/>
        </w:rPr>
        <w:t xml:space="preserve">Ghai, I. (2023). A barrier to entry: examining the bacterial outer membrane and antibiotic resistance. Applied Sciences, 13(7), 4238. </w:t>
      </w:r>
      <w:hyperlink r:id="rId21" w:history="1">
        <w:r w:rsidRPr="00B969DA">
          <w:rPr>
            <w:rStyle w:val="Hyperlink"/>
            <w:shd w:val="clear" w:color="auto" w:fill="FFFFFF"/>
          </w:rPr>
          <w:t>https://doi.org/10.3390/app13074238</w:t>
        </w:r>
      </w:hyperlink>
    </w:p>
    <w:p w14:paraId="78FE02EC" w14:textId="29AFACAB" w:rsidR="00B6610D" w:rsidRPr="00B969DA" w:rsidRDefault="00B6610D" w:rsidP="00B969DA">
      <w:pPr>
        <w:jc w:val="both"/>
        <w:rPr>
          <w:shd w:val="clear" w:color="auto" w:fill="FFFFFF"/>
        </w:rPr>
      </w:pPr>
      <w:r w:rsidRPr="00B969DA">
        <w:rPr>
          <w:color w:val="222222"/>
          <w:shd w:val="clear" w:color="auto" w:fill="FFFFFF"/>
        </w:rPr>
        <w:t xml:space="preserve">Haji, S. H., Aka, S. T. H., &amp; Ali, F. A. (2021). Prevalence and </w:t>
      </w:r>
      <w:proofErr w:type="spellStart"/>
      <w:r w:rsidRPr="00B969DA">
        <w:rPr>
          <w:color w:val="222222"/>
          <w:shd w:val="clear" w:color="auto" w:fill="FFFFFF"/>
        </w:rPr>
        <w:t>characterisation</w:t>
      </w:r>
      <w:proofErr w:type="spellEnd"/>
      <w:r w:rsidRPr="00B969DA">
        <w:rPr>
          <w:color w:val="222222"/>
          <w:shd w:val="clear" w:color="auto" w:fill="FFFFFF"/>
        </w:rPr>
        <w:t xml:space="preserve"> of </w:t>
      </w:r>
      <w:proofErr w:type="spellStart"/>
      <w:r w:rsidRPr="00B969DA">
        <w:rPr>
          <w:color w:val="222222"/>
          <w:shd w:val="clear" w:color="auto" w:fill="FFFFFF"/>
        </w:rPr>
        <w:t>carbapenemase</w:t>
      </w:r>
      <w:proofErr w:type="spellEnd"/>
      <w:r w:rsidRPr="00B969DA">
        <w:rPr>
          <w:color w:val="222222"/>
          <w:shd w:val="clear" w:color="auto" w:fill="FFFFFF"/>
        </w:rPr>
        <w:t xml:space="preserve"> encoding genes in multidrug-resistant Gram-negative bacilli. </w:t>
      </w:r>
      <w:proofErr w:type="spellStart"/>
      <w:r w:rsidRPr="00B969DA">
        <w:rPr>
          <w:color w:val="222222"/>
          <w:shd w:val="clear" w:color="auto" w:fill="FFFFFF"/>
        </w:rPr>
        <w:t>PLoS</w:t>
      </w:r>
      <w:proofErr w:type="spellEnd"/>
      <w:r w:rsidRPr="00B969DA">
        <w:rPr>
          <w:color w:val="222222"/>
          <w:shd w:val="clear" w:color="auto" w:fill="FFFFFF"/>
        </w:rPr>
        <w:t xml:space="preserve"> One, 16(11), e0259005. </w:t>
      </w:r>
      <w:hyperlink r:id="rId22" w:history="1">
        <w:r w:rsidRPr="00B969DA">
          <w:rPr>
            <w:rStyle w:val="Hyperlink"/>
            <w:shd w:val="clear" w:color="auto" w:fill="FFFFFF"/>
          </w:rPr>
          <w:t>https://doi.org/10.1371/journal.pone.0259005</w:t>
        </w:r>
      </w:hyperlink>
    </w:p>
    <w:p w14:paraId="71EB18D1" w14:textId="26C89B64" w:rsidR="00FE2F93" w:rsidRPr="00B969DA" w:rsidRDefault="00BA0D49" w:rsidP="00B969DA">
      <w:pPr>
        <w:jc w:val="both"/>
        <w:rPr>
          <w:shd w:val="clear" w:color="auto" w:fill="FFFFFF"/>
        </w:rPr>
      </w:pPr>
      <w:r w:rsidRPr="00B969DA">
        <w:rPr>
          <w:shd w:val="clear" w:color="auto" w:fill="FFFFFF"/>
        </w:rPr>
        <w:t xml:space="preserve">Kant, S., &amp; Tripathi, P., (2023). A Questionnaire-based Survey on Treatments and Practices of </w:t>
      </w:r>
      <w:r w:rsidRPr="00B969DA">
        <w:rPr>
          <w:shd w:val="clear" w:color="auto" w:fill="FFFFFF"/>
        </w:rPr>
        <w:tab/>
        <w:t xml:space="preserve">Antibiotics in URTI and Fever of Unknown </w:t>
      </w:r>
      <w:r w:rsidRPr="00B969DA">
        <w:rPr>
          <w:shd w:val="clear" w:color="auto" w:fill="FFFFFF"/>
        </w:rPr>
        <w:t>Origin in India. </w:t>
      </w:r>
      <w:r w:rsidRPr="00B969DA">
        <w:rPr>
          <w:i/>
          <w:iCs/>
          <w:shd w:val="clear" w:color="auto" w:fill="FFFFFF"/>
        </w:rPr>
        <w:t xml:space="preserve">Indian Journal of Clinical </w:t>
      </w:r>
      <w:r w:rsidRPr="00B969DA">
        <w:rPr>
          <w:i/>
          <w:iCs/>
          <w:shd w:val="clear" w:color="auto" w:fill="FFFFFF"/>
        </w:rPr>
        <w:tab/>
        <w:t>Practice,</w:t>
      </w:r>
      <w:r w:rsidRPr="00B969DA">
        <w:rPr>
          <w:i/>
          <w:shd w:val="clear" w:color="auto" w:fill="FFFFFF"/>
        </w:rPr>
        <w:t> </w:t>
      </w:r>
      <w:r w:rsidRPr="00B969DA">
        <w:rPr>
          <w:i/>
          <w:iCs/>
          <w:shd w:val="clear" w:color="auto" w:fill="FFFFFF"/>
        </w:rPr>
        <w:t>33</w:t>
      </w:r>
      <w:r w:rsidRPr="00B969DA">
        <w:rPr>
          <w:shd w:val="clear" w:color="auto" w:fill="FFFFFF"/>
        </w:rPr>
        <w:t>(10).</w:t>
      </w:r>
    </w:p>
    <w:p w14:paraId="0886F633" w14:textId="41D9A62B" w:rsidR="00B6610D" w:rsidRPr="00B969DA" w:rsidRDefault="00B6610D" w:rsidP="00B969DA">
      <w:pPr>
        <w:jc w:val="both"/>
        <w:rPr>
          <w:b/>
        </w:rPr>
      </w:pPr>
      <w:proofErr w:type="spellStart"/>
      <w:r w:rsidRPr="00B969DA">
        <w:rPr>
          <w:shd w:val="clear" w:color="auto" w:fill="FFFFFF"/>
        </w:rPr>
        <w:t>Karambizi</w:t>
      </w:r>
      <w:proofErr w:type="spellEnd"/>
      <w:r w:rsidRPr="00B969DA">
        <w:rPr>
          <w:shd w:val="clear" w:color="auto" w:fill="FFFFFF"/>
        </w:rPr>
        <w:t xml:space="preserve">, N. U., McMahan, C. S., Blue, C. N., &amp; </w:t>
      </w:r>
      <w:proofErr w:type="spellStart"/>
      <w:r w:rsidRPr="00B969DA">
        <w:rPr>
          <w:shd w:val="clear" w:color="auto" w:fill="FFFFFF"/>
        </w:rPr>
        <w:t>Temesvari</w:t>
      </w:r>
      <w:proofErr w:type="spellEnd"/>
      <w:r w:rsidRPr="00B969DA">
        <w:rPr>
          <w:shd w:val="clear" w:color="auto" w:fill="FFFFFF"/>
        </w:rPr>
        <w:t xml:space="preserve">, L. A. (2021). Global estimated Disability-Adjusted Life-Years (DALYs) of diarrheal diseases: A systematic analysis of data from 28 years of the global burden of disease study. </w:t>
      </w:r>
      <w:proofErr w:type="spellStart"/>
      <w:r w:rsidRPr="00B969DA">
        <w:rPr>
          <w:shd w:val="clear" w:color="auto" w:fill="FFFFFF"/>
        </w:rPr>
        <w:t>PLoS</w:t>
      </w:r>
      <w:proofErr w:type="spellEnd"/>
      <w:r w:rsidRPr="00B969DA">
        <w:rPr>
          <w:shd w:val="clear" w:color="auto" w:fill="FFFFFF"/>
        </w:rPr>
        <w:t xml:space="preserve"> One, 16(10), e0259077. </w:t>
      </w:r>
      <w:hyperlink r:id="rId23" w:history="1">
        <w:r w:rsidRPr="00B969DA">
          <w:rPr>
            <w:rStyle w:val="Hyperlink"/>
            <w:shd w:val="clear" w:color="auto" w:fill="FFFFFF"/>
          </w:rPr>
          <w:t>https://doi.org/10.1371/journal.pone.0259077</w:t>
        </w:r>
      </w:hyperlink>
    </w:p>
    <w:p w14:paraId="6BD911BD" w14:textId="13AE83D4" w:rsidR="00B6610D" w:rsidRPr="00B969DA" w:rsidRDefault="00B6610D" w:rsidP="00B969DA">
      <w:pPr>
        <w:jc w:val="both"/>
        <w:rPr>
          <w:color w:val="222222"/>
          <w:shd w:val="clear" w:color="auto" w:fill="FFFFFF"/>
        </w:rPr>
      </w:pPr>
      <w:r w:rsidRPr="00B969DA">
        <w:rPr>
          <w:shd w:val="clear" w:color="auto" w:fill="FFFFFF"/>
        </w:rPr>
        <w:lastRenderedPageBreak/>
        <w:t xml:space="preserve">Kumar, P., Srivastava, S., Banerjee, A., &amp; Banerjee, S. (2022). Prevalence and predictors of water-borne diseases among elderly people in India: evidence from Longitudinal Ageing Study in India, 2017–18. BMC public health, 22(1), 993. </w:t>
      </w:r>
      <w:hyperlink r:id="rId24" w:history="1">
        <w:r w:rsidRPr="00B969DA">
          <w:rPr>
            <w:rStyle w:val="Hyperlink"/>
            <w:shd w:val="clear" w:color="auto" w:fill="FFFFFF"/>
          </w:rPr>
          <w:t>https://doi.org/10.1186/s12889-022-13376-6</w:t>
        </w:r>
      </w:hyperlink>
    </w:p>
    <w:p w14:paraId="5C70B8CB" w14:textId="3629FCB6" w:rsidR="00B6610D" w:rsidRPr="00B969DA" w:rsidRDefault="00B6610D" w:rsidP="00B969DA">
      <w:pPr>
        <w:jc w:val="both"/>
        <w:rPr>
          <w:shd w:val="clear" w:color="auto" w:fill="FFFFFF"/>
        </w:rPr>
      </w:pPr>
      <w:r w:rsidRPr="00B969DA">
        <w:rPr>
          <w:color w:val="222222"/>
          <w:shd w:val="clear" w:color="auto" w:fill="FFFFFF"/>
        </w:rPr>
        <w:t xml:space="preserve">Kumar, S., Ajay, K., Behera, D., Yaseen, A., Karthick, B., Prasad, S., Bhat, S. U., Jehangir, A., &amp; Anoop, A. (2025). Co-occurrence of microplastics and heavy metals in a freshwater lake system in Indian Himalaya: Distribution and influencing factors. Emerging Contaminants, 11(1), 100394. </w:t>
      </w:r>
      <w:hyperlink r:id="rId25" w:history="1">
        <w:r w:rsidRPr="00B969DA">
          <w:rPr>
            <w:rStyle w:val="Hyperlink"/>
            <w:shd w:val="clear" w:color="auto" w:fill="FFFFFF"/>
          </w:rPr>
          <w:t>https://doi.org/10.1016/j.emcon.2024.100394</w:t>
        </w:r>
      </w:hyperlink>
    </w:p>
    <w:p w14:paraId="78C9890B" w14:textId="075D41AC" w:rsidR="00B6610D" w:rsidRPr="00B969DA" w:rsidRDefault="00B6610D" w:rsidP="00B969DA">
      <w:pPr>
        <w:jc w:val="both"/>
        <w:rPr>
          <w:shd w:val="clear" w:color="auto" w:fill="FFFFFF"/>
        </w:rPr>
      </w:pPr>
      <w:r w:rsidRPr="00B969DA">
        <w:rPr>
          <w:color w:val="222222"/>
          <w:shd w:val="clear" w:color="auto" w:fill="FFFFFF"/>
        </w:rPr>
        <w:t xml:space="preserve">Larsson, D. G. J. (2014). Antibiotics in the environment. Upsala Journal of Medical Sciences, 119(2), 108–112. </w:t>
      </w:r>
      <w:hyperlink r:id="rId26" w:history="1">
        <w:r w:rsidRPr="00B969DA">
          <w:rPr>
            <w:rStyle w:val="Hyperlink"/>
            <w:shd w:val="clear" w:color="auto" w:fill="FFFFFF"/>
          </w:rPr>
          <w:t>https://doi.org/10.3109/03009734.2014.896438</w:t>
        </w:r>
      </w:hyperlink>
    </w:p>
    <w:p w14:paraId="03EE8E54" w14:textId="53C2F7D1" w:rsidR="00B6610D" w:rsidRPr="00B969DA" w:rsidRDefault="00B6610D" w:rsidP="00B969DA">
      <w:pPr>
        <w:jc w:val="both"/>
        <w:rPr>
          <w:color w:val="222222"/>
          <w:shd w:val="clear" w:color="auto" w:fill="FFFFFF"/>
        </w:rPr>
      </w:pPr>
      <w:r w:rsidRPr="00B969DA">
        <w:rPr>
          <w:shd w:val="clear" w:color="auto" w:fill="FFFFFF"/>
        </w:rPr>
        <w:t xml:space="preserve">Leonard, A. F., Morris, D., Schmitt, H., &amp; Gaze, W. H. (2022). Natural recreational waters and the risk that exposure to antibiotic resistant bacteria poses to human health. Current Opinion in Microbiology, 65, 40-46. </w:t>
      </w:r>
      <w:hyperlink r:id="rId27" w:history="1">
        <w:r w:rsidRPr="00B969DA">
          <w:rPr>
            <w:rStyle w:val="Hyperlink"/>
            <w:shd w:val="clear" w:color="auto" w:fill="FFFFFF"/>
          </w:rPr>
          <w:t>https://doi.org/10.1016/j.mib.2021.10.004</w:t>
        </w:r>
      </w:hyperlink>
    </w:p>
    <w:p w14:paraId="10FC604D" w14:textId="0863DDF0" w:rsidR="00B6610D" w:rsidRPr="00B969DA" w:rsidRDefault="00B6610D" w:rsidP="00B969DA">
      <w:pPr>
        <w:jc w:val="both"/>
        <w:rPr>
          <w:shd w:val="clear" w:color="auto" w:fill="FFFFFF"/>
        </w:rPr>
      </w:pPr>
      <w:r w:rsidRPr="00B969DA">
        <w:rPr>
          <w:color w:val="222222"/>
          <w:shd w:val="clear" w:color="auto" w:fill="FFFFFF"/>
        </w:rPr>
        <w:t xml:space="preserve">Manrique, P. D., López, C. A., </w:t>
      </w:r>
      <w:proofErr w:type="spellStart"/>
      <w:r w:rsidRPr="00B969DA">
        <w:rPr>
          <w:color w:val="222222"/>
          <w:shd w:val="clear" w:color="auto" w:fill="FFFFFF"/>
        </w:rPr>
        <w:t>Gnanakaran</w:t>
      </w:r>
      <w:proofErr w:type="spellEnd"/>
      <w:r w:rsidRPr="00B969DA">
        <w:rPr>
          <w:color w:val="222222"/>
          <w:shd w:val="clear" w:color="auto" w:fill="FFFFFF"/>
        </w:rPr>
        <w:t xml:space="preserve">, S., Rybenkov, V. V., &amp; </w:t>
      </w:r>
      <w:proofErr w:type="spellStart"/>
      <w:r w:rsidRPr="00B969DA">
        <w:rPr>
          <w:color w:val="222222"/>
          <w:shd w:val="clear" w:color="auto" w:fill="FFFFFF"/>
        </w:rPr>
        <w:t>Zgurskaya</w:t>
      </w:r>
      <w:proofErr w:type="spellEnd"/>
      <w:r w:rsidRPr="00B969DA">
        <w:rPr>
          <w:color w:val="222222"/>
          <w:shd w:val="clear" w:color="auto" w:fill="FFFFFF"/>
        </w:rPr>
        <w:t xml:space="preserve">, H. I. (2023). New understanding of multidrug efflux and permeation in antibiotic resistance, persistence, and </w:t>
      </w:r>
      <w:proofErr w:type="spellStart"/>
      <w:r w:rsidRPr="00B969DA">
        <w:rPr>
          <w:color w:val="222222"/>
          <w:shd w:val="clear" w:color="auto" w:fill="FFFFFF"/>
        </w:rPr>
        <w:t>heteroresistance</w:t>
      </w:r>
      <w:proofErr w:type="spellEnd"/>
      <w:r w:rsidRPr="00B969DA">
        <w:rPr>
          <w:color w:val="222222"/>
          <w:shd w:val="clear" w:color="auto" w:fill="FFFFFF"/>
        </w:rPr>
        <w:t xml:space="preserve">. Annals of the New York Academy of Sciences, 1519(1), 46-62. </w:t>
      </w:r>
      <w:hyperlink r:id="rId28" w:history="1">
        <w:r w:rsidRPr="00B969DA">
          <w:rPr>
            <w:rStyle w:val="Hyperlink"/>
            <w:shd w:val="clear" w:color="auto" w:fill="FFFFFF"/>
          </w:rPr>
          <w:t>https://doi.org/10.1111/nyas.14921</w:t>
        </w:r>
      </w:hyperlink>
    </w:p>
    <w:p w14:paraId="475079F9" w14:textId="4E384680" w:rsidR="00B6610D" w:rsidRPr="00B969DA" w:rsidRDefault="00B6610D" w:rsidP="00B969DA">
      <w:pPr>
        <w:jc w:val="both"/>
        <w:rPr>
          <w:shd w:val="clear" w:color="auto" w:fill="FFFFFF"/>
        </w:rPr>
      </w:pPr>
      <w:r w:rsidRPr="00B969DA">
        <w:rPr>
          <w:color w:val="222222"/>
          <w:shd w:val="clear" w:color="auto" w:fill="FFFFFF"/>
        </w:rPr>
        <w:t xml:space="preserve">Navon-Venezia, S., Kondratyeva, K., &amp; </w:t>
      </w:r>
      <w:proofErr w:type="spellStart"/>
      <w:r w:rsidRPr="00B969DA">
        <w:rPr>
          <w:color w:val="222222"/>
          <w:shd w:val="clear" w:color="auto" w:fill="FFFFFF"/>
        </w:rPr>
        <w:t>Carattoli</w:t>
      </w:r>
      <w:proofErr w:type="spellEnd"/>
      <w:r w:rsidRPr="00B969DA">
        <w:rPr>
          <w:color w:val="222222"/>
          <w:shd w:val="clear" w:color="auto" w:fill="FFFFFF"/>
        </w:rPr>
        <w:t xml:space="preserve">, A. (2017). Klebsiella pneumoniae: a major worldwide source and shuttle for antibiotic resistance. FEMS Microbiology Reviews, 41(3), 252-275. </w:t>
      </w:r>
      <w:hyperlink r:id="rId29" w:history="1">
        <w:r w:rsidRPr="00B969DA">
          <w:rPr>
            <w:rStyle w:val="Hyperlink"/>
            <w:shd w:val="clear" w:color="auto" w:fill="FFFFFF"/>
          </w:rPr>
          <w:t>https://doi.org/10.1093/femsre/fux013</w:t>
        </w:r>
      </w:hyperlink>
    </w:p>
    <w:p w14:paraId="67F7FE7E" w14:textId="232455DF" w:rsidR="00B6610D" w:rsidRPr="00B969DA" w:rsidRDefault="00B6610D" w:rsidP="00B969DA">
      <w:pPr>
        <w:jc w:val="both"/>
        <w:rPr>
          <w:shd w:val="clear" w:color="auto" w:fill="FFFFFF"/>
        </w:rPr>
      </w:pPr>
      <w:r w:rsidRPr="00B969DA">
        <w:rPr>
          <w:color w:val="222222"/>
          <w:shd w:val="clear" w:color="auto" w:fill="FFFFFF"/>
        </w:rPr>
        <w:t xml:space="preserve">Osei Sekyere, J., Schneiders, T., &amp; Majewski, P. (2024). Editorial: Molecular mechanisms of resistance to “last resort” antimicrobials in </w:t>
      </w:r>
      <w:proofErr w:type="spellStart"/>
      <w:r w:rsidRPr="00B969DA">
        <w:rPr>
          <w:color w:val="222222"/>
          <w:shd w:val="clear" w:color="auto" w:fill="FFFFFF"/>
        </w:rPr>
        <w:t>Enterobacterales</w:t>
      </w:r>
      <w:proofErr w:type="spellEnd"/>
      <w:r w:rsidRPr="00B969DA">
        <w:rPr>
          <w:color w:val="222222"/>
          <w:shd w:val="clear" w:color="auto" w:fill="FFFFFF"/>
        </w:rPr>
        <w:t xml:space="preserve">. Frontiers in Cellular and Infection Microbiology, 14, 1429200. </w:t>
      </w:r>
      <w:hyperlink r:id="rId30" w:history="1">
        <w:r w:rsidRPr="00B969DA">
          <w:rPr>
            <w:rStyle w:val="Hyperlink"/>
            <w:shd w:val="clear" w:color="auto" w:fill="FFFFFF"/>
          </w:rPr>
          <w:t>https://doi.org/10.3389/fcimb.2024.1429200</w:t>
        </w:r>
      </w:hyperlink>
    </w:p>
    <w:p w14:paraId="030D0655" w14:textId="4DDC980B" w:rsidR="00B6610D" w:rsidRPr="00B969DA" w:rsidRDefault="00B6610D" w:rsidP="00B969DA">
      <w:pPr>
        <w:jc w:val="both"/>
        <w:rPr>
          <w:shd w:val="clear" w:color="auto" w:fill="FFFFFF"/>
        </w:rPr>
      </w:pPr>
      <w:r w:rsidRPr="00B969DA">
        <w:rPr>
          <w:shd w:val="clear" w:color="auto" w:fill="FFFFFF"/>
        </w:rPr>
        <w:t xml:space="preserve">Otia, M., &amp; Dubey, A. (2024). Antibiotics over usage: a vital contributor of antibiotic resistance. International journal of therapeutic innovation. </w:t>
      </w:r>
      <w:hyperlink r:id="rId31" w:history="1">
        <w:r w:rsidRPr="00B969DA">
          <w:rPr>
            <w:rStyle w:val="Hyperlink"/>
            <w:shd w:val="clear" w:color="auto" w:fill="FFFFFF"/>
          </w:rPr>
          <w:t>https://doi.org/10.55522/ijti.V2I2.0030</w:t>
        </w:r>
      </w:hyperlink>
    </w:p>
    <w:p w14:paraId="654329CA" w14:textId="4E47C0C4" w:rsidR="00B6610D" w:rsidRPr="00B969DA" w:rsidRDefault="00B6610D" w:rsidP="00B969DA">
      <w:pPr>
        <w:jc w:val="both"/>
        <w:rPr>
          <w:shd w:val="clear" w:color="auto" w:fill="FFFFFF"/>
        </w:rPr>
      </w:pPr>
      <w:r w:rsidRPr="00B969DA">
        <w:rPr>
          <w:color w:val="222222"/>
          <w:shd w:val="clear" w:color="auto" w:fill="FFFFFF"/>
        </w:rPr>
        <w:t xml:space="preserve">Reynolds, D., &amp; </w:t>
      </w:r>
      <w:proofErr w:type="spellStart"/>
      <w:r w:rsidRPr="00B969DA">
        <w:rPr>
          <w:color w:val="222222"/>
          <w:shd w:val="clear" w:color="auto" w:fill="FFFFFF"/>
        </w:rPr>
        <w:t>Kollef</w:t>
      </w:r>
      <w:proofErr w:type="spellEnd"/>
      <w:r w:rsidRPr="00B969DA">
        <w:rPr>
          <w:color w:val="222222"/>
          <w:shd w:val="clear" w:color="auto" w:fill="FFFFFF"/>
        </w:rPr>
        <w:t xml:space="preserve">, M. (2021). The epidemiology and pathogenesis and treatment of Pseudomonas aeruginosa infections: An update. Drugs, 81(18), 2117-2131. </w:t>
      </w:r>
      <w:hyperlink r:id="rId32" w:history="1">
        <w:r w:rsidRPr="00B969DA">
          <w:rPr>
            <w:rStyle w:val="Hyperlink"/>
            <w:shd w:val="clear" w:color="auto" w:fill="FFFFFF"/>
          </w:rPr>
          <w:t>https://doi.org/10.1007/s40265-021-01635-6</w:t>
        </w:r>
      </w:hyperlink>
    </w:p>
    <w:p w14:paraId="5581DB76" w14:textId="73C6AF6A" w:rsidR="00B6610D" w:rsidRPr="00B969DA" w:rsidRDefault="00B6610D" w:rsidP="00B969DA">
      <w:pPr>
        <w:jc w:val="both"/>
        <w:rPr>
          <w:shd w:val="clear" w:color="auto" w:fill="FFFFFF"/>
        </w:rPr>
      </w:pPr>
      <w:proofErr w:type="spellStart"/>
      <w:r w:rsidRPr="00B969DA">
        <w:rPr>
          <w:color w:val="222222"/>
          <w:shd w:val="clear" w:color="auto" w:fill="FFFFFF"/>
        </w:rPr>
        <w:lastRenderedPageBreak/>
        <w:t>Riwu</w:t>
      </w:r>
      <w:proofErr w:type="spellEnd"/>
      <w:r w:rsidRPr="00B969DA">
        <w:rPr>
          <w:color w:val="222222"/>
          <w:shd w:val="clear" w:color="auto" w:fill="FFFFFF"/>
        </w:rPr>
        <w:t xml:space="preserve">, K. H. P., Effendi, M. H., </w:t>
      </w:r>
      <w:proofErr w:type="spellStart"/>
      <w:r w:rsidRPr="00B969DA">
        <w:rPr>
          <w:color w:val="222222"/>
          <w:shd w:val="clear" w:color="auto" w:fill="FFFFFF"/>
        </w:rPr>
        <w:t>Rantam</w:t>
      </w:r>
      <w:proofErr w:type="spellEnd"/>
      <w:r w:rsidRPr="00B969DA">
        <w:rPr>
          <w:color w:val="222222"/>
          <w:shd w:val="clear" w:color="auto" w:fill="FFFFFF"/>
        </w:rPr>
        <w:t xml:space="preserve">, F. A., Khairullah, A. R., &amp; Widodo, A. (2022). A review: Virulence factors of Klebsiella pneumonia as emerging infection on the food chain. Veterinary World, 15(9), 2172–2179. </w:t>
      </w:r>
      <w:hyperlink r:id="rId33" w:history="1">
        <w:r w:rsidRPr="00B969DA">
          <w:rPr>
            <w:rStyle w:val="Hyperlink"/>
            <w:shd w:val="clear" w:color="auto" w:fill="FFFFFF"/>
          </w:rPr>
          <w:t>https://doi.org/10.14202/vetworld.2022.2172-2179</w:t>
        </w:r>
      </w:hyperlink>
    </w:p>
    <w:p w14:paraId="1847D38E" w14:textId="31408CFF" w:rsidR="00B6610D" w:rsidRPr="00B969DA" w:rsidRDefault="00B6610D" w:rsidP="00B969DA">
      <w:pPr>
        <w:jc w:val="both"/>
        <w:rPr>
          <w:shd w:val="clear" w:color="auto" w:fill="FFFFFF"/>
        </w:rPr>
      </w:pPr>
      <w:proofErr w:type="spellStart"/>
      <w:r w:rsidRPr="00B969DA">
        <w:rPr>
          <w:shd w:val="clear" w:color="auto" w:fill="FFFFFF"/>
        </w:rPr>
        <w:t>Serwecińska</w:t>
      </w:r>
      <w:proofErr w:type="spellEnd"/>
      <w:r w:rsidRPr="00B969DA">
        <w:rPr>
          <w:shd w:val="clear" w:color="auto" w:fill="FFFFFF"/>
        </w:rPr>
        <w:t xml:space="preserve">, L. (2020). Antimicrobials and Antibiotic-Resistant Bacteria: A Risk to the Environment and to Public Health. Water, 12(12), 3313. </w:t>
      </w:r>
      <w:hyperlink r:id="rId34" w:history="1">
        <w:r w:rsidRPr="00B969DA">
          <w:rPr>
            <w:rStyle w:val="Hyperlink"/>
            <w:shd w:val="clear" w:color="auto" w:fill="FFFFFF"/>
          </w:rPr>
          <w:t>https://doi.org/10.3390/w12123313</w:t>
        </w:r>
      </w:hyperlink>
    </w:p>
    <w:p w14:paraId="4C798E5C" w14:textId="07F62375" w:rsidR="00B6610D" w:rsidRPr="00B969DA" w:rsidRDefault="00B6610D" w:rsidP="00B969DA">
      <w:pPr>
        <w:jc w:val="both"/>
        <w:rPr>
          <w:color w:val="222222"/>
          <w:shd w:val="clear" w:color="auto" w:fill="FFFFFF"/>
        </w:rPr>
      </w:pPr>
      <w:r w:rsidRPr="00B969DA">
        <w:rPr>
          <w:color w:val="222222"/>
          <w:shd w:val="clear" w:color="auto" w:fill="FFFFFF"/>
        </w:rPr>
        <w:t xml:space="preserve">Sørum, H. (2005). Antimicrobial drug resistance in fish pathogens. In F. M. Aarestrup (Ed.), *Antimicrobial resistance in bacteria of animal origin* (pp. 213-238). ASM Press. </w:t>
      </w:r>
      <w:hyperlink r:id="rId35" w:history="1">
        <w:r w:rsidRPr="00B969DA">
          <w:rPr>
            <w:rStyle w:val="Hyperlink"/>
            <w:shd w:val="clear" w:color="auto" w:fill="FFFFFF"/>
          </w:rPr>
          <w:t>https://www.abebooks.com/9781555813062/Antimicrobial-Resistance-Bacteria-Animal-Origin-1555813062/plp</w:t>
        </w:r>
      </w:hyperlink>
    </w:p>
    <w:p w14:paraId="7FCBD392" w14:textId="25DADA96" w:rsidR="00B6610D" w:rsidRPr="00B969DA" w:rsidRDefault="00B6610D" w:rsidP="00B969DA">
      <w:pPr>
        <w:jc w:val="both"/>
        <w:rPr>
          <w:color w:val="222222"/>
          <w:shd w:val="clear" w:color="auto" w:fill="FFFFFF"/>
        </w:rPr>
      </w:pPr>
      <w:r w:rsidRPr="00B969DA">
        <w:rPr>
          <w:color w:val="222222"/>
          <w:shd w:val="clear" w:color="auto" w:fill="FFFFFF"/>
        </w:rPr>
        <w:t xml:space="preserve">Stanton, I. C., Bethel, A., Leonard, A. F. C., Gaze, W. H., &amp; Garside, R. (2022). Existing evidence on antibiotic resistance exposure and transmission to humans from the environment: a systematic map. Environmental Evidence, 11(1), 8. </w:t>
      </w:r>
      <w:hyperlink r:id="rId36" w:history="1">
        <w:r w:rsidRPr="00B969DA">
          <w:rPr>
            <w:rStyle w:val="Hyperlink"/>
            <w:shd w:val="clear" w:color="auto" w:fill="FFFFFF"/>
          </w:rPr>
          <w:t>https://doi.org/10.1186/s13750-022-00262-2</w:t>
        </w:r>
      </w:hyperlink>
    </w:p>
    <w:p w14:paraId="038593A9" w14:textId="4374579D" w:rsidR="000770DC" w:rsidRPr="00B969DA" w:rsidRDefault="000770DC" w:rsidP="00B969DA">
      <w:pPr>
        <w:jc w:val="both"/>
        <w:rPr>
          <w:color w:val="222222"/>
          <w:shd w:val="clear" w:color="auto" w:fill="FFFFFF"/>
        </w:rPr>
      </w:pPr>
      <w:r w:rsidRPr="00B969DA">
        <w:rPr>
          <w:color w:val="222222"/>
          <w:shd w:val="clear" w:color="auto" w:fill="FFFFFF"/>
        </w:rPr>
        <w:t xml:space="preserve">Suay-García, B., &amp; Pérez-Gracia, M. T. (2021). Present and future of carbapenem-resistant Enterobacteriaceae infections. In R. Bawa (Ed.), Advances in clinical immunology, medical microbiology, COVID-19, and big data (pp. 435-456). Jenny Stanford Publishing. </w:t>
      </w:r>
      <w:hyperlink r:id="rId37" w:history="1">
        <w:r w:rsidRPr="00B969DA">
          <w:rPr>
            <w:rStyle w:val="Hyperlink"/>
            <w:shd w:val="clear" w:color="auto" w:fill="FFFFFF"/>
          </w:rPr>
          <w:t>https://doi.org/10.1201/9781003180432</w:t>
        </w:r>
      </w:hyperlink>
    </w:p>
    <w:p w14:paraId="72273169" w14:textId="6F6997C8" w:rsidR="000770DC" w:rsidRPr="00B969DA" w:rsidRDefault="000770DC" w:rsidP="00B969DA">
      <w:pPr>
        <w:jc w:val="both"/>
        <w:rPr>
          <w:shd w:val="clear" w:color="auto" w:fill="FFFFFF"/>
        </w:rPr>
      </w:pPr>
      <w:proofErr w:type="spellStart"/>
      <w:r w:rsidRPr="00B969DA">
        <w:rPr>
          <w:color w:val="222222"/>
          <w:shd w:val="clear" w:color="auto" w:fill="FFFFFF"/>
        </w:rPr>
        <w:t>Talebi</w:t>
      </w:r>
      <w:proofErr w:type="spellEnd"/>
      <w:r w:rsidRPr="00B969DA">
        <w:rPr>
          <w:color w:val="222222"/>
          <w:shd w:val="clear" w:color="auto" w:fill="FFFFFF"/>
        </w:rPr>
        <w:t xml:space="preserve"> </w:t>
      </w:r>
      <w:proofErr w:type="spellStart"/>
      <w:r w:rsidRPr="00B969DA">
        <w:rPr>
          <w:color w:val="222222"/>
          <w:shd w:val="clear" w:color="auto" w:fill="FFFFFF"/>
        </w:rPr>
        <w:t>Bezmin</w:t>
      </w:r>
      <w:proofErr w:type="spellEnd"/>
      <w:r w:rsidRPr="00B969DA">
        <w:rPr>
          <w:color w:val="222222"/>
          <w:shd w:val="clear" w:color="auto" w:fill="FFFFFF"/>
        </w:rPr>
        <w:t xml:space="preserve"> Abadi, A., Rizvanov, A. A., </w:t>
      </w:r>
      <w:proofErr w:type="spellStart"/>
      <w:r w:rsidRPr="00B969DA">
        <w:rPr>
          <w:color w:val="222222"/>
          <w:shd w:val="clear" w:color="auto" w:fill="FFFFFF"/>
        </w:rPr>
        <w:t>Haertlé</w:t>
      </w:r>
      <w:proofErr w:type="spellEnd"/>
      <w:r w:rsidRPr="00B969DA">
        <w:rPr>
          <w:color w:val="222222"/>
          <w:shd w:val="clear" w:color="auto" w:fill="FFFFFF"/>
        </w:rPr>
        <w:t xml:space="preserve">, T., &amp; Blatt, N. L. (2019). World Health Organization Report: Current Crisis of Antibiotic Resistance. </w:t>
      </w:r>
      <w:proofErr w:type="spellStart"/>
      <w:r w:rsidRPr="00B969DA">
        <w:rPr>
          <w:color w:val="222222"/>
          <w:shd w:val="clear" w:color="auto" w:fill="FFFFFF"/>
        </w:rPr>
        <w:t>BioNanoScience</w:t>
      </w:r>
      <w:proofErr w:type="spellEnd"/>
      <w:r w:rsidRPr="00B969DA">
        <w:rPr>
          <w:color w:val="222222"/>
          <w:shd w:val="clear" w:color="auto" w:fill="FFFFFF"/>
        </w:rPr>
        <w:t xml:space="preserve">, 9(4), 778-788. </w:t>
      </w:r>
      <w:hyperlink r:id="rId38" w:history="1">
        <w:r w:rsidRPr="00B969DA">
          <w:rPr>
            <w:rStyle w:val="Hyperlink"/>
            <w:shd w:val="clear" w:color="auto" w:fill="FFFFFF"/>
          </w:rPr>
          <w:t>https://doi.org/10.1007/s12668-019-00658-4</w:t>
        </w:r>
      </w:hyperlink>
    </w:p>
    <w:p w14:paraId="69D779CE" w14:textId="05AD3EDF" w:rsidR="000770DC" w:rsidRPr="000770DC" w:rsidRDefault="000770DC" w:rsidP="00B969DA">
      <w:pPr>
        <w:pStyle w:val="NormalWeb"/>
        <w:spacing w:line="360" w:lineRule="auto"/>
        <w:jc w:val="both"/>
        <w:rPr>
          <w:iCs/>
        </w:rPr>
      </w:pPr>
      <w:r w:rsidRPr="000770DC">
        <w:rPr>
          <w:rFonts w:eastAsia="Calibri"/>
          <w:color w:val="222222"/>
          <w:shd w:val="clear" w:color="auto" w:fill="FFFFFF"/>
        </w:rPr>
        <w:t xml:space="preserve">Yuan, L., Wang, L., Li, Z. H., Zhang, M. Q., Shao, W., &amp; Sheng, G. P. (2019). Antibiotic resistance and microbiota in the gut of Chinese four major freshwater carp from retail markets. Environmental Pollution. </w:t>
      </w:r>
      <w:hyperlink r:id="rId39" w:history="1">
        <w:r w:rsidRPr="00BA5D74">
          <w:rPr>
            <w:rStyle w:val="Hyperlink"/>
            <w:rFonts w:eastAsia="Calibri"/>
            <w:shd w:val="clear" w:color="auto" w:fill="FFFFFF"/>
          </w:rPr>
          <w:t>https://doi.org/10.1016/j.envpol.2019.113327</w:t>
        </w:r>
      </w:hyperlink>
    </w:p>
    <w:p w14:paraId="24DA3922" w14:textId="29F4DE81" w:rsidR="00FE2F93" w:rsidRDefault="000770DC" w:rsidP="00B969DA">
      <w:pPr>
        <w:pStyle w:val="NormalWeb"/>
        <w:spacing w:line="360" w:lineRule="auto"/>
        <w:jc w:val="both"/>
        <w:rPr>
          <w:iCs/>
        </w:rPr>
      </w:pPr>
      <w:r w:rsidRPr="000770DC">
        <w:rPr>
          <w:color w:val="222222"/>
          <w:shd w:val="clear" w:color="auto" w:fill="FFFFFF"/>
        </w:rPr>
        <w:t>Xie, Y., Liu, X., Wei, H., Chen, X., Gong, N., Ahmad, S., Lee, T., Ismail, S., &amp; Ni, S. Q. (2022). Insight into impact of sewage discharge on microbial dynamics and pathogenicity in river ecosystem. Scientific Reports, 12(1), 6894. https://doi.org/10.1038/s41598-022-09579-x</w:t>
      </w:r>
      <w:r>
        <w:rPr>
          <w:color w:val="222222"/>
          <w:shd w:val="clear" w:color="auto" w:fill="FFFFFF"/>
        </w:rPr>
        <w:t>.</w:t>
      </w:r>
    </w:p>
    <w:p w14:paraId="62CE95BB" w14:textId="77777777" w:rsidR="00FE2F93" w:rsidRDefault="00FE2F93">
      <w:pPr>
        <w:rPr>
          <w:b/>
        </w:rPr>
      </w:pPr>
    </w:p>
    <w:sectPr w:rsidR="00FE2F9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1DE92" w14:textId="77777777" w:rsidR="00BA0D49" w:rsidRDefault="00BA0D49">
      <w:pPr>
        <w:spacing w:line="240" w:lineRule="auto"/>
      </w:pPr>
      <w:r>
        <w:separator/>
      </w:r>
    </w:p>
  </w:endnote>
  <w:endnote w:type="continuationSeparator" w:id="0">
    <w:p w14:paraId="1B81E6E4" w14:textId="77777777" w:rsidR="00BA0D49" w:rsidRDefault="00BA0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D795" w14:textId="77777777" w:rsidR="00FA0375" w:rsidRDefault="00FA0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C4F46" w14:textId="77777777" w:rsidR="00FA0375" w:rsidRDefault="00FA0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5FED" w14:textId="77777777" w:rsidR="00FA0375" w:rsidRDefault="00FA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DBDED" w14:textId="77777777" w:rsidR="00BA0D49" w:rsidRDefault="00BA0D49">
      <w:pPr>
        <w:spacing w:after="0"/>
      </w:pPr>
      <w:r>
        <w:separator/>
      </w:r>
    </w:p>
  </w:footnote>
  <w:footnote w:type="continuationSeparator" w:id="0">
    <w:p w14:paraId="04110559" w14:textId="77777777" w:rsidR="00BA0D49" w:rsidRDefault="00BA0D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547B" w14:textId="38076665" w:rsidR="00FA0375" w:rsidRDefault="00FA0375">
    <w:pPr>
      <w:pStyle w:val="Header"/>
    </w:pPr>
    <w:r>
      <w:rPr>
        <w:noProof/>
      </w:rPr>
      <w:pict w14:anchorId="0D455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87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BA409" w14:textId="10F5AE41" w:rsidR="00FA0375" w:rsidRDefault="00FA0375">
    <w:pPr>
      <w:pStyle w:val="Header"/>
    </w:pPr>
    <w:r>
      <w:rPr>
        <w:noProof/>
      </w:rPr>
      <w:pict w14:anchorId="2E51B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87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8667" w14:textId="394F9FF8" w:rsidR="00FA0375" w:rsidRDefault="00FA0375">
    <w:pPr>
      <w:pStyle w:val="Header"/>
    </w:pPr>
    <w:r>
      <w:rPr>
        <w:noProof/>
      </w:rPr>
      <w:pict w14:anchorId="6E0E6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87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74E2F"/>
    <w:multiLevelType w:val="hybridMultilevel"/>
    <w:tmpl w:val="35766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991D99"/>
    <w:rsid w:val="0000126E"/>
    <w:rsid w:val="00003C05"/>
    <w:rsid w:val="000259C7"/>
    <w:rsid w:val="0003233E"/>
    <w:rsid w:val="00040E1B"/>
    <w:rsid w:val="0005439F"/>
    <w:rsid w:val="00066CC2"/>
    <w:rsid w:val="000770DC"/>
    <w:rsid w:val="000C5A3F"/>
    <w:rsid w:val="000D0AF9"/>
    <w:rsid w:val="0010698C"/>
    <w:rsid w:val="00123C64"/>
    <w:rsid w:val="00132139"/>
    <w:rsid w:val="001331B7"/>
    <w:rsid w:val="00145B1D"/>
    <w:rsid w:val="00157D5F"/>
    <w:rsid w:val="00163B6D"/>
    <w:rsid w:val="001A158A"/>
    <w:rsid w:val="001A76D6"/>
    <w:rsid w:val="001B1EA2"/>
    <w:rsid w:val="001C5345"/>
    <w:rsid w:val="001E063F"/>
    <w:rsid w:val="00244187"/>
    <w:rsid w:val="00245121"/>
    <w:rsid w:val="002812A3"/>
    <w:rsid w:val="0029226D"/>
    <w:rsid w:val="00296B79"/>
    <w:rsid w:val="002A38DE"/>
    <w:rsid w:val="002B43A4"/>
    <w:rsid w:val="002B7BE1"/>
    <w:rsid w:val="002D1771"/>
    <w:rsid w:val="002E557B"/>
    <w:rsid w:val="002E77D4"/>
    <w:rsid w:val="0030338C"/>
    <w:rsid w:val="00313335"/>
    <w:rsid w:val="003246C1"/>
    <w:rsid w:val="003308E2"/>
    <w:rsid w:val="003420AF"/>
    <w:rsid w:val="00376A22"/>
    <w:rsid w:val="00386129"/>
    <w:rsid w:val="0039030A"/>
    <w:rsid w:val="003B4ED3"/>
    <w:rsid w:val="003D2782"/>
    <w:rsid w:val="003F253E"/>
    <w:rsid w:val="0042221E"/>
    <w:rsid w:val="00443300"/>
    <w:rsid w:val="00473C5E"/>
    <w:rsid w:val="00482412"/>
    <w:rsid w:val="00484D56"/>
    <w:rsid w:val="00486032"/>
    <w:rsid w:val="004B655D"/>
    <w:rsid w:val="004C0106"/>
    <w:rsid w:val="004D0648"/>
    <w:rsid w:val="004D27F9"/>
    <w:rsid w:val="004E1305"/>
    <w:rsid w:val="004E4508"/>
    <w:rsid w:val="004E6929"/>
    <w:rsid w:val="004F7913"/>
    <w:rsid w:val="00502810"/>
    <w:rsid w:val="00502A5B"/>
    <w:rsid w:val="00505177"/>
    <w:rsid w:val="00507735"/>
    <w:rsid w:val="00515648"/>
    <w:rsid w:val="00523BC6"/>
    <w:rsid w:val="00524C29"/>
    <w:rsid w:val="0055377A"/>
    <w:rsid w:val="005544F9"/>
    <w:rsid w:val="00571F3B"/>
    <w:rsid w:val="0057487D"/>
    <w:rsid w:val="005A1DE6"/>
    <w:rsid w:val="005C14DB"/>
    <w:rsid w:val="005C7740"/>
    <w:rsid w:val="005D41CD"/>
    <w:rsid w:val="005D567F"/>
    <w:rsid w:val="00607A49"/>
    <w:rsid w:val="00607FAF"/>
    <w:rsid w:val="00610C03"/>
    <w:rsid w:val="0063522F"/>
    <w:rsid w:val="006358D5"/>
    <w:rsid w:val="0065451B"/>
    <w:rsid w:val="00663837"/>
    <w:rsid w:val="006902F1"/>
    <w:rsid w:val="0069259C"/>
    <w:rsid w:val="006A5915"/>
    <w:rsid w:val="006B4B89"/>
    <w:rsid w:val="006D3252"/>
    <w:rsid w:val="006D36BA"/>
    <w:rsid w:val="006D5F10"/>
    <w:rsid w:val="006F02CD"/>
    <w:rsid w:val="006F1944"/>
    <w:rsid w:val="00714E19"/>
    <w:rsid w:val="00731AAF"/>
    <w:rsid w:val="00745C10"/>
    <w:rsid w:val="00745DBE"/>
    <w:rsid w:val="00751D97"/>
    <w:rsid w:val="00766CC4"/>
    <w:rsid w:val="00783183"/>
    <w:rsid w:val="007C0C00"/>
    <w:rsid w:val="007D72C9"/>
    <w:rsid w:val="007E3127"/>
    <w:rsid w:val="007E4E35"/>
    <w:rsid w:val="007E7559"/>
    <w:rsid w:val="007E7D42"/>
    <w:rsid w:val="007F0FA0"/>
    <w:rsid w:val="007F2CBA"/>
    <w:rsid w:val="007F537D"/>
    <w:rsid w:val="007F593D"/>
    <w:rsid w:val="00803222"/>
    <w:rsid w:val="008061BF"/>
    <w:rsid w:val="0082577B"/>
    <w:rsid w:val="00825D20"/>
    <w:rsid w:val="00853115"/>
    <w:rsid w:val="00873123"/>
    <w:rsid w:val="008804E8"/>
    <w:rsid w:val="00896381"/>
    <w:rsid w:val="008A580E"/>
    <w:rsid w:val="008B7272"/>
    <w:rsid w:val="008C3B4B"/>
    <w:rsid w:val="008F2651"/>
    <w:rsid w:val="009105E1"/>
    <w:rsid w:val="00951EE5"/>
    <w:rsid w:val="009632F6"/>
    <w:rsid w:val="00974D78"/>
    <w:rsid w:val="00991D99"/>
    <w:rsid w:val="009B63E2"/>
    <w:rsid w:val="009C40CE"/>
    <w:rsid w:val="009D1AB0"/>
    <w:rsid w:val="009F3F9D"/>
    <w:rsid w:val="00A00C0C"/>
    <w:rsid w:val="00A2629E"/>
    <w:rsid w:val="00A312CC"/>
    <w:rsid w:val="00A67C1D"/>
    <w:rsid w:val="00A713C6"/>
    <w:rsid w:val="00A7454C"/>
    <w:rsid w:val="00A76787"/>
    <w:rsid w:val="00A773DC"/>
    <w:rsid w:val="00A8348C"/>
    <w:rsid w:val="00A83B40"/>
    <w:rsid w:val="00AA5FCB"/>
    <w:rsid w:val="00AD7846"/>
    <w:rsid w:val="00B06174"/>
    <w:rsid w:val="00B131E6"/>
    <w:rsid w:val="00B27712"/>
    <w:rsid w:val="00B46AEC"/>
    <w:rsid w:val="00B5180E"/>
    <w:rsid w:val="00B6610D"/>
    <w:rsid w:val="00B67351"/>
    <w:rsid w:val="00B738FF"/>
    <w:rsid w:val="00B74416"/>
    <w:rsid w:val="00B81D6C"/>
    <w:rsid w:val="00B86205"/>
    <w:rsid w:val="00B969DA"/>
    <w:rsid w:val="00BA0D49"/>
    <w:rsid w:val="00BE7391"/>
    <w:rsid w:val="00BF193E"/>
    <w:rsid w:val="00BF4D8E"/>
    <w:rsid w:val="00C0173C"/>
    <w:rsid w:val="00C21203"/>
    <w:rsid w:val="00C36735"/>
    <w:rsid w:val="00C41CA8"/>
    <w:rsid w:val="00C471AD"/>
    <w:rsid w:val="00C47E6C"/>
    <w:rsid w:val="00C51ABB"/>
    <w:rsid w:val="00C9158A"/>
    <w:rsid w:val="00CB1698"/>
    <w:rsid w:val="00CE006C"/>
    <w:rsid w:val="00CE3BCA"/>
    <w:rsid w:val="00CE7E31"/>
    <w:rsid w:val="00CF07C4"/>
    <w:rsid w:val="00CF243E"/>
    <w:rsid w:val="00CF7A92"/>
    <w:rsid w:val="00D3729D"/>
    <w:rsid w:val="00D4136F"/>
    <w:rsid w:val="00D70A1C"/>
    <w:rsid w:val="00D76998"/>
    <w:rsid w:val="00D82C7A"/>
    <w:rsid w:val="00D84AA8"/>
    <w:rsid w:val="00DA374C"/>
    <w:rsid w:val="00DF0A35"/>
    <w:rsid w:val="00DF2E31"/>
    <w:rsid w:val="00E0295E"/>
    <w:rsid w:val="00E03096"/>
    <w:rsid w:val="00E12AE0"/>
    <w:rsid w:val="00E41DDC"/>
    <w:rsid w:val="00E42508"/>
    <w:rsid w:val="00E446D6"/>
    <w:rsid w:val="00E47E0F"/>
    <w:rsid w:val="00E54188"/>
    <w:rsid w:val="00E57585"/>
    <w:rsid w:val="00E638B9"/>
    <w:rsid w:val="00E732B7"/>
    <w:rsid w:val="00E74D06"/>
    <w:rsid w:val="00EB4272"/>
    <w:rsid w:val="00EE3D2C"/>
    <w:rsid w:val="00EE7784"/>
    <w:rsid w:val="00EF21BE"/>
    <w:rsid w:val="00F22CB6"/>
    <w:rsid w:val="00F5059D"/>
    <w:rsid w:val="00F53703"/>
    <w:rsid w:val="00F54835"/>
    <w:rsid w:val="00F56A95"/>
    <w:rsid w:val="00F61A46"/>
    <w:rsid w:val="00F6388A"/>
    <w:rsid w:val="00F90DE7"/>
    <w:rsid w:val="00FA0375"/>
    <w:rsid w:val="00FB3FA8"/>
    <w:rsid w:val="00FB70A4"/>
    <w:rsid w:val="00FC7415"/>
    <w:rsid w:val="00FD7BCC"/>
    <w:rsid w:val="00FE2F93"/>
    <w:rsid w:val="056445E4"/>
    <w:rsid w:val="1C082A0F"/>
    <w:rsid w:val="45E94E05"/>
    <w:rsid w:val="5F241A4E"/>
    <w:rsid w:val="6A2B3717"/>
    <w:rsid w:val="6B97244A"/>
    <w:rsid w:val="796824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2C342"/>
  <w15:docId w15:val="{EEEA365C-62CE-4F0C-B94E-1CCD4CAF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360"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UnresolvedMention">
    <w:name w:val="Unresolved Mention"/>
    <w:basedOn w:val="DefaultParagraphFont"/>
    <w:uiPriority w:val="99"/>
    <w:semiHidden/>
    <w:unhideWhenUsed/>
    <w:rsid w:val="00B66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vetmic.2014.03.008" TargetMode="External"/><Relationship Id="rId18" Type="http://schemas.openxmlformats.org/officeDocument/2006/relationships/hyperlink" Target="https://doi.org/10.3390/antibiotics10111429" TargetMode="External"/><Relationship Id="rId26" Type="http://schemas.openxmlformats.org/officeDocument/2006/relationships/hyperlink" Target="https://doi.org/10.3109/03009734.2014.896438" TargetMode="External"/><Relationship Id="rId39" Type="http://schemas.openxmlformats.org/officeDocument/2006/relationships/hyperlink" Target="https://doi.org/10.1016/j.envpol.2019.113327" TargetMode="External"/><Relationship Id="rId21" Type="http://schemas.openxmlformats.org/officeDocument/2006/relationships/hyperlink" Target="https://doi.org/10.3390/app13074238" TargetMode="External"/><Relationship Id="rId34" Type="http://schemas.openxmlformats.org/officeDocument/2006/relationships/hyperlink" Target="https://doi.org/10.3390/w1212331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2485-024-00135-x" TargetMode="External"/><Relationship Id="rId29" Type="http://schemas.openxmlformats.org/officeDocument/2006/relationships/hyperlink" Target="https://doi.org/10.1093/femsre/fux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lam.12724" TargetMode="External"/><Relationship Id="rId24" Type="http://schemas.openxmlformats.org/officeDocument/2006/relationships/hyperlink" Target="https://doi.org/10.1186/s12889-022-13376-6" TargetMode="External"/><Relationship Id="rId32" Type="http://schemas.openxmlformats.org/officeDocument/2006/relationships/hyperlink" Target="https://doi.org/10.1007/s40265-021-01635-6" TargetMode="External"/><Relationship Id="rId37" Type="http://schemas.openxmlformats.org/officeDocument/2006/relationships/hyperlink" Target="https://doi.org/10.1201/9781003180432"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toxins14070464" TargetMode="External"/><Relationship Id="rId23" Type="http://schemas.openxmlformats.org/officeDocument/2006/relationships/hyperlink" Target="https://doi.org/10.1371/journal.pone.0259077" TargetMode="External"/><Relationship Id="rId28" Type="http://schemas.openxmlformats.org/officeDocument/2006/relationships/hyperlink" Target="https://doi.org/10.1111/nyas.14921" TargetMode="External"/><Relationship Id="rId36" Type="http://schemas.openxmlformats.org/officeDocument/2006/relationships/hyperlink" Target="https://doi.org/10.1186/s13750-022-00262-2" TargetMode="External"/><Relationship Id="rId10" Type="http://schemas.openxmlformats.org/officeDocument/2006/relationships/hyperlink" Target="https://doi.org/10.1080/10643389.2019.1692611" TargetMode="External"/><Relationship Id="rId19" Type="http://schemas.openxmlformats.org/officeDocument/2006/relationships/hyperlink" Target="https://doi.org/10.1007/s12199-015-0468-0" TargetMode="External"/><Relationship Id="rId31" Type="http://schemas.openxmlformats.org/officeDocument/2006/relationships/hyperlink" Target="https://doi.org/10.55522/ijti.V2I2.0030"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ijmm.2015.11.004" TargetMode="External"/><Relationship Id="rId22" Type="http://schemas.openxmlformats.org/officeDocument/2006/relationships/hyperlink" Target="https://doi.org/10.1371/journal.pone.0259005" TargetMode="External"/><Relationship Id="rId27" Type="http://schemas.openxmlformats.org/officeDocument/2006/relationships/hyperlink" Target="https://doi.org/10.1016/j.mib.2021.10.004" TargetMode="External"/><Relationship Id="rId30" Type="http://schemas.openxmlformats.org/officeDocument/2006/relationships/hyperlink" Target="https://doi.org/10.3389/fcimb.2024.1429200" TargetMode="External"/><Relationship Id="rId35" Type="http://schemas.openxmlformats.org/officeDocument/2006/relationships/hyperlink" Target="https://www.abebooks.com/9781555813062/Antimicrobial-Resistance-Bacteria-Animal-Origin-1555813062/plp"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02/vms3.825" TargetMode="External"/><Relationship Id="rId17" Type="http://schemas.openxmlformats.org/officeDocument/2006/relationships/hyperlink" Target="https://doi.org/10.1016/j.celrep.2025.115878" TargetMode="External"/><Relationship Id="rId25" Type="http://schemas.openxmlformats.org/officeDocument/2006/relationships/hyperlink" Target="https://doi.org/10.1016/j.emcon.2024.100394" TargetMode="External"/><Relationship Id="rId33" Type="http://schemas.openxmlformats.org/officeDocument/2006/relationships/hyperlink" Target="https://doi.org/10.14202/vetworld.2022.2172-2179" TargetMode="External"/><Relationship Id="rId38" Type="http://schemas.openxmlformats.org/officeDocument/2006/relationships/hyperlink" Target="https://doi.org/10.1007/s12668-019-00658-4" TargetMode="External"/><Relationship Id="rId46" Type="http://schemas.openxmlformats.org/officeDocument/2006/relationships/fontTable" Target="fontTable.xml"/><Relationship Id="rId20" Type="http://schemas.openxmlformats.org/officeDocument/2006/relationships/hyperlink" Target="https://doi.org/10.1016/j.scitotenv.2022.153286"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D6F72980-8BAF-4FAE-B7E7-E663972F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4633</Words>
  <Characters>26413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Janani</dc:creator>
  <cp:lastModifiedBy>SDI 1084</cp:lastModifiedBy>
  <cp:revision>71</cp:revision>
  <dcterms:created xsi:type="dcterms:W3CDTF">2025-12-24T07:46:00Z</dcterms:created>
  <dcterms:modified xsi:type="dcterms:W3CDTF">2026-01-05T13:02:00Z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B06EE1914B784DEE9C2B8BFB2795F5D7_12</vt:lpwstr>
  </property>
</Properties>
</file>