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9472D" w14:textId="77777777" w:rsidR="006E7FA7" w:rsidRPr="004A699A" w:rsidRDefault="006E7FA7" w:rsidP="006E7FA7">
      <w:pPr>
        <w:jc w:val="center"/>
        <w:rPr>
          <w:rFonts w:ascii="Times New Roman" w:hAnsi="Times New Roman" w:cs="Times New Roman"/>
          <w:b/>
          <w:bCs/>
        </w:rPr>
      </w:pPr>
      <w:r w:rsidRPr="004A699A">
        <w:rPr>
          <w:rFonts w:ascii="Times New Roman" w:hAnsi="Times New Roman" w:cs="Times New Roman"/>
          <w:b/>
          <w:bCs/>
        </w:rPr>
        <w:t>Assessing Soil transmitted Helminth infections through clinic-based survey and household survey in Darbhanga Bihar</w:t>
      </w:r>
    </w:p>
    <w:p w14:paraId="684F5301" w14:textId="77777777" w:rsidR="00C84D75" w:rsidRDefault="00C84D75" w:rsidP="004A699A">
      <w:pPr>
        <w:spacing w:line="480" w:lineRule="auto"/>
        <w:jc w:val="both"/>
        <w:rPr>
          <w:rFonts w:ascii="Times New Roman" w:hAnsi="Times New Roman" w:cs="Times New Roman"/>
        </w:rPr>
      </w:pPr>
    </w:p>
    <w:p w14:paraId="2093A84C" w14:textId="50084517" w:rsidR="0056108D" w:rsidRPr="004A699A" w:rsidRDefault="00942E58" w:rsidP="004A699A">
      <w:pPr>
        <w:spacing w:line="480" w:lineRule="auto"/>
        <w:jc w:val="both"/>
        <w:rPr>
          <w:rFonts w:ascii="Times New Roman" w:hAnsi="Times New Roman" w:cs="Times New Roman"/>
        </w:rPr>
      </w:pPr>
      <w:bookmarkStart w:id="0" w:name="_GoBack"/>
      <w:bookmarkEnd w:id="0"/>
      <w:r w:rsidRPr="004A699A">
        <w:rPr>
          <w:rFonts w:ascii="Times New Roman" w:hAnsi="Times New Roman" w:cs="Times New Roman"/>
        </w:rPr>
        <w:br/>
      </w:r>
      <w:r w:rsidR="00457BD9" w:rsidRPr="004A699A">
        <w:rPr>
          <w:rFonts w:ascii="Times New Roman" w:hAnsi="Times New Roman" w:cs="Times New Roman"/>
          <w:b/>
          <w:bCs/>
        </w:rPr>
        <w:t>ABSTRAC</w:t>
      </w:r>
      <w:r w:rsidR="00A6534E" w:rsidRPr="004A699A">
        <w:rPr>
          <w:rFonts w:ascii="Times New Roman" w:hAnsi="Times New Roman" w:cs="Times New Roman"/>
          <w:b/>
          <w:bCs/>
        </w:rPr>
        <w:t>T</w:t>
      </w:r>
      <w:r w:rsidR="0056108D" w:rsidRPr="004A699A">
        <w:rPr>
          <w:rFonts w:ascii="Times New Roman" w:hAnsi="Times New Roman" w:cs="Times New Roman"/>
        </w:rPr>
        <w:br/>
        <w:t>Soil-transmitted helminths (STHs) continue to pose a significant public health concern in Bihar, India, where flooding, poverty, and inadequate sanitation facilitate endemic transmission. Few studies have concurrently evaluated clinical and community groups to asce</w:t>
      </w:r>
      <w:r w:rsidR="00F466E3" w:rsidRPr="004A699A">
        <w:rPr>
          <w:rFonts w:ascii="Times New Roman" w:hAnsi="Times New Roman" w:cs="Times New Roman"/>
        </w:rPr>
        <w:t>rtain the comprehensive burden.</w:t>
      </w:r>
      <w:r w:rsidR="004A699A">
        <w:rPr>
          <w:rFonts w:ascii="Times New Roman" w:hAnsi="Times New Roman" w:cs="Times New Roman"/>
        </w:rPr>
        <w:t xml:space="preserve"> </w:t>
      </w:r>
      <w:r w:rsidR="0056108D" w:rsidRPr="004A699A">
        <w:rPr>
          <w:rFonts w:ascii="Times New Roman" w:hAnsi="Times New Roman" w:cs="Times New Roman"/>
        </w:rPr>
        <w:t xml:space="preserve">A dual-arm cross-sectional investigation was </w:t>
      </w:r>
      <w:r w:rsidR="00A6534E" w:rsidRPr="004A699A">
        <w:rPr>
          <w:rFonts w:ascii="Times New Roman" w:hAnsi="Times New Roman" w:cs="Times New Roman"/>
        </w:rPr>
        <w:t>carried out</w:t>
      </w:r>
      <w:r w:rsidR="0056108D" w:rsidRPr="004A699A">
        <w:rPr>
          <w:rFonts w:ascii="Times New Roman" w:hAnsi="Times New Roman" w:cs="Times New Roman"/>
        </w:rPr>
        <w:t xml:space="preserve"> in the Darbhanga district. The clinical survey</w:t>
      </w:r>
      <w:r w:rsidR="00A6534E" w:rsidRPr="004A699A">
        <w:rPr>
          <w:rFonts w:ascii="Times New Roman" w:hAnsi="Times New Roman" w:cs="Times New Roman"/>
        </w:rPr>
        <w:t xml:space="preserve"> </w:t>
      </w:r>
      <w:r w:rsidR="0056108D" w:rsidRPr="004A699A">
        <w:rPr>
          <w:rFonts w:ascii="Times New Roman" w:hAnsi="Times New Roman" w:cs="Times New Roman"/>
        </w:rPr>
        <w:t>looked at 2,100 stool samples from people who went to a diagnostic lab, and the community survey</w:t>
      </w:r>
      <w:r w:rsidR="00A6534E" w:rsidRPr="004A699A">
        <w:rPr>
          <w:rFonts w:ascii="Times New Roman" w:hAnsi="Times New Roman" w:cs="Times New Roman"/>
        </w:rPr>
        <w:t xml:space="preserve"> </w:t>
      </w:r>
      <w:r w:rsidR="0056108D" w:rsidRPr="004A699A">
        <w:rPr>
          <w:rFonts w:ascii="Times New Roman" w:hAnsi="Times New Roman" w:cs="Times New Roman"/>
        </w:rPr>
        <w:t>looked at 615 samples from randomly chosen rural and urban families. Kato-Katz processed all of the samples, and standardized questionnaires were used to look at demographic, socioeconomic, and hygienic factors. Chi-square and odds ratios (OR) were used to examine statistical connections. In the clinical arm, the prevalence of STH surpassed 80%, with infection rates inversely linked with educational attainment (χ² = 66.4, p &lt; 0.00001). There was a substantial relationship between hookworm and anemia (OR = 3.95, 95% CI: 1.90–8.18).</w:t>
      </w:r>
      <w:r w:rsidR="00FF2147" w:rsidRPr="004A699A">
        <w:rPr>
          <w:rFonts w:ascii="Times New Roman" w:hAnsi="Times New Roman" w:cs="Times New Roman"/>
        </w:rPr>
        <w:t xml:space="preserve"> Effect of education and income on STH prevalence was statistically significant. </w:t>
      </w:r>
      <w:r w:rsidR="0056108D" w:rsidRPr="004A699A">
        <w:rPr>
          <w:rFonts w:ascii="Times New Roman" w:hAnsi="Times New Roman" w:cs="Times New Roman"/>
        </w:rPr>
        <w:t xml:space="preserve">In the community arm, the total prevalence was 55.1%, with roundworm (45.4%) being the most frequent, followed by hookworm (31.0%) and whipworm (23.6%). There were no major changes based on age or sex. Rural residents exhibited a considerably higher prevalence compared to their urban counterparts (61.1% vs. 49.4%; χ² = </w:t>
      </w:r>
      <w:r w:rsidR="00FF2147" w:rsidRPr="004A699A">
        <w:rPr>
          <w:rFonts w:ascii="Times New Roman" w:hAnsi="Times New Roman" w:cs="Times New Roman"/>
        </w:rPr>
        <w:t>8.62</w:t>
      </w:r>
      <w:r w:rsidR="0056108D" w:rsidRPr="004A699A">
        <w:rPr>
          <w:rFonts w:ascii="Times New Roman" w:hAnsi="Times New Roman" w:cs="Times New Roman"/>
        </w:rPr>
        <w:t>, p = 0.00</w:t>
      </w:r>
      <w:r w:rsidR="00FF2147" w:rsidRPr="004A699A">
        <w:rPr>
          <w:rFonts w:ascii="Times New Roman" w:hAnsi="Times New Roman" w:cs="Times New Roman"/>
        </w:rPr>
        <w:t>33</w:t>
      </w:r>
      <w:r w:rsidR="0056108D" w:rsidRPr="004A699A">
        <w:rPr>
          <w:rFonts w:ascii="Times New Roman" w:hAnsi="Times New Roman" w:cs="Times New Roman"/>
        </w:rPr>
        <w:t xml:space="preserve">). Income was substantially linked to infection: low-income </w:t>
      </w:r>
      <w:r w:rsidR="002F2308" w:rsidRPr="004A699A">
        <w:rPr>
          <w:rFonts w:ascii="Times New Roman" w:hAnsi="Times New Roman" w:cs="Times New Roman"/>
        </w:rPr>
        <w:t>households were more vulnerable to STH infection comparison to high income groups.</w:t>
      </w:r>
      <w:r w:rsidR="004A699A">
        <w:rPr>
          <w:rFonts w:ascii="Times New Roman" w:hAnsi="Times New Roman" w:cs="Times New Roman"/>
        </w:rPr>
        <w:t xml:space="preserve"> </w:t>
      </w:r>
      <w:r w:rsidR="0056108D" w:rsidRPr="004A699A">
        <w:rPr>
          <w:rFonts w:ascii="Times New Roman" w:hAnsi="Times New Roman" w:cs="Times New Roman"/>
        </w:rPr>
        <w:t>STH infection continues to be hyperendemic</w:t>
      </w:r>
      <w:r w:rsidR="00A6534E" w:rsidRPr="004A699A">
        <w:rPr>
          <w:rFonts w:ascii="Times New Roman" w:hAnsi="Times New Roman" w:cs="Times New Roman"/>
        </w:rPr>
        <w:t xml:space="preserve"> </w:t>
      </w:r>
      <w:r w:rsidR="0056108D" w:rsidRPr="004A699A">
        <w:rPr>
          <w:rFonts w:ascii="Times New Roman" w:hAnsi="Times New Roman" w:cs="Times New Roman"/>
        </w:rPr>
        <w:t xml:space="preserve">in Darbhanga, with clinical data underscoring its high incidence and anemia load, and community data </w:t>
      </w:r>
      <w:r w:rsidR="0056108D" w:rsidRPr="004A699A">
        <w:rPr>
          <w:rFonts w:ascii="Times New Roman" w:hAnsi="Times New Roman" w:cs="Times New Roman"/>
        </w:rPr>
        <w:lastRenderedPageBreak/>
        <w:t>revealing differences in rural and socioeconomic contexts. We need integrated control efforts right away that include deworming, sanitation, and reducing poverty.</w:t>
      </w:r>
    </w:p>
    <w:p w14:paraId="68A3B576" w14:textId="662E7B60" w:rsidR="00457BD9" w:rsidRPr="00695F3B" w:rsidRDefault="00A6534E" w:rsidP="00695F3B">
      <w:pPr>
        <w:spacing w:after="0" w:line="480" w:lineRule="auto"/>
        <w:jc w:val="both"/>
        <w:rPr>
          <w:rFonts w:ascii="Times New Roman" w:eastAsia="Times New Roman" w:hAnsi="Times New Roman" w:cs="Times New Roman"/>
          <w:bCs/>
          <w:kern w:val="0"/>
          <w14:ligatures w14:val="none"/>
        </w:rPr>
      </w:pPr>
      <w:r w:rsidRPr="004A699A">
        <w:rPr>
          <w:rFonts w:ascii="Times New Roman" w:eastAsia="Times New Roman" w:hAnsi="Times New Roman" w:cs="Times New Roman"/>
          <w:bCs/>
          <w:kern w:val="0"/>
          <w14:ligatures w14:val="none"/>
        </w:rPr>
        <w:t>Key words:</w:t>
      </w:r>
      <w:r w:rsidR="00F60DB8" w:rsidRPr="004A699A">
        <w:rPr>
          <w:rFonts w:ascii="Times New Roman" w:eastAsia="Times New Roman" w:hAnsi="Times New Roman" w:cs="Times New Roman"/>
          <w:bCs/>
          <w:kern w:val="0"/>
          <w14:ligatures w14:val="none"/>
        </w:rPr>
        <w:t xml:space="preserve"> Soi</w:t>
      </w:r>
      <w:r w:rsidR="00F466E3" w:rsidRPr="004A699A">
        <w:rPr>
          <w:rFonts w:ascii="Times New Roman" w:eastAsia="Times New Roman" w:hAnsi="Times New Roman" w:cs="Times New Roman"/>
          <w:bCs/>
          <w:kern w:val="0"/>
          <w14:ligatures w14:val="none"/>
        </w:rPr>
        <w:t>l transmitted helminth, Endemic</w:t>
      </w:r>
      <w:r w:rsidR="000628C6" w:rsidRPr="004A699A">
        <w:rPr>
          <w:rFonts w:ascii="Times New Roman" w:eastAsia="Times New Roman" w:hAnsi="Times New Roman" w:cs="Times New Roman"/>
          <w:bCs/>
          <w:kern w:val="0"/>
          <w14:ligatures w14:val="none"/>
        </w:rPr>
        <w:t xml:space="preserve">, </w:t>
      </w:r>
      <w:r w:rsidR="00F60DB8" w:rsidRPr="004A699A">
        <w:rPr>
          <w:rFonts w:ascii="Times New Roman" w:eastAsia="Times New Roman" w:hAnsi="Times New Roman" w:cs="Times New Roman"/>
          <w:bCs/>
          <w:kern w:val="0"/>
          <w14:ligatures w14:val="none"/>
        </w:rPr>
        <w:t>Sanitation, Clinical survey Community survey</w:t>
      </w:r>
    </w:p>
    <w:p w14:paraId="64D1D917" w14:textId="1FE022FE" w:rsidR="00F466E3" w:rsidRPr="004A699A" w:rsidRDefault="007145D5" w:rsidP="004A699A">
      <w:pPr>
        <w:pStyle w:val="ListParagraph"/>
        <w:numPr>
          <w:ilvl w:val="0"/>
          <w:numId w:val="2"/>
        </w:numPr>
        <w:spacing w:after="0" w:line="480" w:lineRule="auto"/>
        <w:ind w:left="0" w:firstLine="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INTRODUCTION</w:t>
      </w:r>
      <w:r w:rsidR="00942E58" w:rsidRPr="004A699A">
        <w:rPr>
          <w:rFonts w:ascii="Times New Roman" w:eastAsia="Times New Roman" w:hAnsi="Times New Roman" w:cs="Times New Roman"/>
          <w:kern w:val="0"/>
          <w14:ligatures w14:val="none"/>
        </w:rPr>
        <w:t xml:space="preserve"> </w:t>
      </w:r>
      <w:r w:rsidR="00942E58" w:rsidRPr="004A699A">
        <w:rPr>
          <w:rFonts w:ascii="Times New Roman" w:eastAsia="Times New Roman" w:hAnsi="Times New Roman" w:cs="Times New Roman"/>
          <w:kern w:val="0"/>
          <w14:ligatures w14:val="none"/>
        </w:rPr>
        <w:br/>
        <w:t xml:space="preserve">Soil-transmitted helminths (STHs) are still one of the most common neglected tropical diseases (NTDs), impacting more than 1.5 billion people around the world, especially in low- and middle-income countries (Bethony et al., 2006; Pullan et al., 2014; WHO, 2023). The main species are Ascaris lumbricoides, </w:t>
      </w:r>
      <w:r w:rsidR="00942E58" w:rsidRPr="004A699A">
        <w:rPr>
          <w:rFonts w:ascii="Times New Roman" w:eastAsia="Times New Roman" w:hAnsi="Times New Roman" w:cs="Times New Roman"/>
          <w:i/>
          <w:kern w:val="0"/>
          <w14:ligatures w14:val="none"/>
        </w:rPr>
        <w:t xml:space="preserve">Trichuris </w:t>
      </w:r>
      <w:proofErr w:type="spellStart"/>
      <w:r w:rsidR="00942E58" w:rsidRPr="004A699A">
        <w:rPr>
          <w:rFonts w:ascii="Times New Roman" w:eastAsia="Times New Roman" w:hAnsi="Times New Roman" w:cs="Times New Roman"/>
          <w:i/>
          <w:kern w:val="0"/>
          <w14:ligatures w14:val="none"/>
        </w:rPr>
        <w:t>trichiura</w:t>
      </w:r>
      <w:proofErr w:type="spellEnd"/>
      <w:r w:rsidR="00942E58" w:rsidRPr="004A699A">
        <w:rPr>
          <w:rFonts w:ascii="Times New Roman" w:eastAsia="Times New Roman" w:hAnsi="Times New Roman" w:cs="Times New Roman"/>
          <w:kern w:val="0"/>
          <w14:ligatures w14:val="none"/>
        </w:rPr>
        <w:t xml:space="preserve">, and </w:t>
      </w:r>
      <w:proofErr w:type="spellStart"/>
      <w:r w:rsidR="00F60DB8" w:rsidRPr="004A699A">
        <w:rPr>
          <w:rFonts w:ascii="Times New Roman" w:eastAsia="Times New Roman" w:hAnsi="Times New Roman" w:cs="Times New Roman"/>
          <w:i/>
          <w:kern w:val="0"/>
          <w14:ligatures w14:val="none"/>
        </w:rPr>
        <w:t>Ancylostoma</w:t>
      </w:r>
      <w:proofErr w:type="spellEnd"/>
      <w:r w:rsidR="00F60DB8" w:rsidRPr="004A699A">
        <w:rPr>
          <w:rFonts w:ascii="Times New Roman" w:eastAsia="Times New Roman" w:hAnsi="Times New Roman" w:cs="Times New Roman"/>
          <w:i/>
          <w:kern w:val="0"/>
          <w14:ligatures w14:val="none"/>
        </w:rPr>
        <w:t xml:space="preserve"> duodenale</w:t>
      </w:r>
      <w:r w:rsidR="00942E58" w:rsidRPr="004A699A">
        <w:rPr>
          <w:rFonts w:ascii="Times New Roman" w:eastAsia="Times New Roman" w:hAnsi="Times New Roman" w:cs="Times New Roman"/>
          <w:kern w:val="0"/>
          <w14:ligatures w14:val="none"/>
        </w:rPr>
        <w:t xml:space="preserve">. Together, they cause anemia, malnutrition, slow cognitive development, and lower economic production (Hotez et al., 2004; Strunz et al., 2014; Jourdan et al., 2018). </w:t>
      </w:r>
    </w:p>
    <w:p w14:paraId="6B7551A5" w14:textId="1193D91A" w:rsidR="00DD166D" w:rsidRPr="004A699A" w:rsidRDefault="00942E58" w:rsidP="004A699A">
      <w:pPr>
        <w:spacing w:after="0" w:line="480" w:lineRule="auto"/>
        <w:ind w:firstLine="36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India carries an unequal amount of the world's burden, with endemic hotspots in Tamil Nadu, Jharkhand, Uttar Pradesh, and Bihar (Brooker et al., 2006; Sehgal et al., 2010; WHO, 2012). Bihar, in particular, has a high frequency of </w:t>
      </w:r>
      <w:r w:rsidR="007145D5" w:rsidRPr="004A699A">
        <w:rPr>
          <w:rFonts w:ascii="Times New Roman" w:eastAsia="Times New Roman" w:hAnsi="Times New Roman" w:cs="Times New Roman"/>
          <w:kern w:val="0"/>
          <w14:ligatures w14:val="none"/>
        </w:rPr>
        <w:t>disease</w:t>
      </w:r>
      <w:r w:rsidRPr="004A699A">
        <w:rPr>
          <w:rFonts w:ascii="Times New Roman" w:eastAsia="Times New Roman" w:hAnsi="Times New Roman" w:cs="Times New Roman"/>
          <w:kern w:val="0"/>
          <w14:ligatures w14:val="none"/>
        </w:rPr>
        <w:t xml:space="preserve"> because of poverty, overcrowding, bad sanitation, and regular floods that makes it easier for fecal matter to get into the soil and water (Greenland et al., 2015; Office of the Registrar General, 2011). Darbhanga district, located in the Mithila area, is particularly susceptible due to its alluvial soils, frequent waterlogging, and insufficient WASH infrastructure (Choudhary, 2018). Prior research in Darbhanga and adjacent districts indicates that the frequency of soil-transmitted helminths (STH) reaches its zenith during the monsoon season, disproportionately impacting children and socioeconomically disadvantaged households (Pal et al., 2017; Choudhary, 2018; Sehgal et al., 2010). Nonetheless, the majority of accessible data originates from either clinical </w:t>
      </w:r>
      <w:r w:rsidR="00DD166D" w:rsidRPr="004A699A">
        <w:rPr>
          <w:rFonts w:ascii="Times New Roman" w:eastAsia="Times New Roman" w:hAnsi="Times New Roman" w:cs="Times New Roman"/>
          <w:kern w:val="0"/>
          <w14:ligatures w14:val="none"/>
        </w:rPr>
        <w:t>report</w:t>
      </w:r>
      <w:r w:rsidRPr="004A699A">
        <w:rPr>
          <w:rFonts w:ascii="Times New Roman" w:eastAsia="Times New Roman" w:hAnsi="Times New Roman" w:cs="Times New Roman"/>
          <w:kern w:val="0"/>
          <w14:ligatures w14:val="none"/>
        </w:rPr>
        <w:t xml:space="preserve">, which represent symptomatic patients, or community-based surveys, which document asymptomatic illnesses but infrequently evaluate clinical outcomes. This compartmentalized methodology constrains </w:t>
      </w:r>
      <w:r w:rsidRPr="004A699A">
        <w:rPr>
          <w:rFonts w:ascii="Times New Roman" w:eastAsia="Times New Roman" w:hAnsi="Times New Roman" w:cs="Times New Roman"/>
          <w:kern w:val="0"/>
          <w14:ligatures w14:val="none"/>
        </w:rPr>
        <w:lastRenderedPageBreak/>
        <w:t xml:space="preserve">comprehension of the actual burden and transmission dynamics. This study utilized </w:t>
      </w:r>
      <w:r w:rsidR="00DD166D" w:rsidRPr="004A699A">
        <w:rPr>
          <w:rFonts w:ascii="Times New Roman" w:eastAsia="Times New Roman" w:hAnsi="Times New Roman" w:cs="Times New Roman"/>
          <w:kern w:val="0"/>
          <w14:ligatures w14:val="none"/>
        </w:rPr>
        <w:t>dual</w:t>
      </w:r>
      <w:r w:rsidRPr="004A699A">
        <w:rPr>
          <w:rFonts w:ascii="Times New Roman" w:eastAsia="Times New Roman" w:hAnsi="Times New Roman" w:cs="Times New Roman"/>
          <w:kern w:val="0"/>
          <w14:ligatures w14:val="none"/>
        </w:rPr>
        <w:t xml:space="preserve">-approach design, </w:t>
      </w:r>
      <w:r w:rsidR="00DD166D" w:rsidRPr="004A699A">
        <w:rPr>
          <w:rFonts w:ascii="Times New Roman" w:eastAsia="Times New Roman" w:hAnsi="Times New Roman" w:cs="Times New Roman"/>
          <w:kern w:val="0"/>
          <w14:ligatures w14:val="none"/>
        </w:rPr>
        <w:t>amalgamating stool</w:t>
      </w:r>
      <w:r w:rsidRPr="004A699A">
        <w:rPr>
          <w:rFonts w:ascii="Times New Roman" w:eastAsia="Times New Roman" w:hAnsi="Times New Roman" w:cs="Times New Roman"/>
          <w:kern w:val="0"/>
          <w14:ligatures w14:val="none"/>
        </w:rPr>
        <w:t xml:space="preserve"> examination reports</w:t>
      </w:r>
      <w:r w:rsidR="007145D5" w:rsidRPr="004A699A">
        <w:rPr>
          <w:rFonts w:ascii="Times New Roman" w:eastAsia="Times New Roman" w:hAnsi="Times New Roman" w:cs="Times New Roman"/>
          <w:kern w:val="0"/>
          <w14:ligatures w14:val="none"/>
        </w:rPr>
        <w:t xml:space="preserve"> and questionnaires</w:t>
      </w:r>
      <w:r w:rsidRPr="004A699A">
        <w:rPr>
          <w:rFonts w:ascii="Times New Roman" w:eastAsia="Times New Roman" w:hAnsi="Times New Roman" w:cs="Times New Roman"/>
          <w:kern w:val="0"/>
          <w14:ligatures w14:val="none"/>
        </w:rPr>
        <w:t xml:space="preserve"> from a pathology laboratory</w:t>
      </w:r>
      <w:r w:rsidR="00DD166D" w:rsidRPr="004A699A">
        <w:rPr>
          <w:rFonts w:ascii="Times New Roman" w:eastAsia="Times New Roman" w:hAnsi="Times New Roman" w:cs="Times New Roman"/>
          <w:kern w:val="0"/>
          <w14:ligatures w14:val="none"/>
        </w:rPr>
        <w:t xml:space="preserve"> with </w:t>
      </w:r>
      <w:r w:rsidRPr="004A699A">
        <w:rPr>
          <w:rFonts w:ascii="Times New Roman" w:eastAsia="Times New Roman" w:hAnsi="Times New Roman" w:cs="Times New Roman"/>
          <w:kern w:val="0"/>
          <w14:ligatures w14:val="none"/>
        </w:rPr>
        <w:t>community-based household</w:t>
      </w:r>
      <w:r w:rsidR="00DD166D" w:rsidRPr="004A699A">
        <w:rPr>
          <w:rFonts w:ascii="Times New Roman" w:eastAsia="Times New Roman" w:hAnsi="Times New Roman" w:cs="Times New Roman"/>
          <w:kern w:val="0"/>
          <w14:ligatures w14:val="none"/>
        </w:rPr>
        <w:t xml:space="preserve"> stool checkups and </w:t>
      </w:r>
      <w:r w:rsidRPr="004A699A">
        <w:rPr>
          <w:rFonts w:ascii="Times New Roman" w:eastAsia="Times New Roman" w:hAnsi="Times New Roman" w:cs="Times New Roman"/>
          <w:kern w:val="0"/>
          <w14:ligatures w14:val="none"/>
        </w:rPr>
        <w:t xml:space="preserve">questionnaires in the </w:t>
      </w:r>
      <w:r w:rsidR="00F466E3" w:rsidRPr="004A699A">
        <w:rPr>
          <w:rFonts w:ascii="Times New Roman" w:eastAsia="Times New Roman" w:hAnsi="Times New Roman" w:cs="Times New Roman"/>
          <w:kern w:val="0"/>
          <w14:ligatures w14:val="none"/>
        </w:rPr>
        <w:t>D</w:t>
      </w:r>
      <w:r w:rsidRPr="004A699A">
        <w:rPr>
          <w:rFonts w:ascii="Times New Roman" w:eastAsia="Times New Roman" w:hAnsi="Times New Roman" w:cs="Times New Roman"/>
          <w:kern w:val="0"/>
          <w14:ligatures w14:val="none"/>
        </w:rPr>
        <w:t>arbhanga district. By including both symptomatic and asymptomatic infections, the study gives a complete picture of the prevalence, risk factors, and public health effects, which supports the need for integrated STH management efforts in Bihar.</w:t>
      </w:r>
    </w:p>
    <w:p w14:paraId="0ECA28B8" w14:textId="7A2E302F" w:rsidR="00655AAF" w:rsidRPr="004A699A" w:rsidRDefault="004A699A" w:rsidP="004A699A">
      <w:pPr>
        <w:spacing w:line="480" w:lineRule="auto"/>
        <w:ind w:firstLine="36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Cs/>
          <w:kern w:val="0"/>
          <w14:ligatures w14:val="none"/>
        </w:rPr>
        <w:t>The objective of the present work is t</w:t>
      </w:r>
      <w:r w:rsidR="00655AAF" w:rsidRPr="004A699A">
        <w:rPr>
          <w:rFonts w:ascii="Times New Roman" w:eastAsia="Times New Roman" w:hAnsi="Times New Roman" w:cs="Times New Roman"/>
          <w:kern w:val="0"/>
          <w14:ligatures w14:val="none"/>
        </w:rPr>
        <w:t xml:space="preserve">o ascertain the prevalence, species distribution, and risk factors of STH infections in Darbhanga </w:t>
      </w:r>
      <w:r w:rsidR="00F466E3" w:rsidRPr="004A699A">
        <w:rPr>
          <w:rFonts w:ascii="Times New Roman" w:eastAsia="Times New Roman" w:hAnsi="Times New Roman" w:cs="Times New Roman"/>
          <w:kern w:val="0"/>
          <w14:ligatures w14:val="none"/>
        </w:rPr>
        <w:t>district</w:t>
      </w:r>
      <w:r w:rsidR="00655AAF" w:rsidRPr="004A699A">
        <w:rPr>
          <w:rFonts w:ascii="Times New Roman" w:eastAsia="Times New Roman" w:hAnsi="Times New Roman" w:cs="Times New Roman"/>
          <w:kern w:val="0"/>
          <w14:ligatures w14:val="none"/>
        </w:rPr>
        <w:t xml:space="preserve"> and to evaluate the influence of education, socioeconomic level, and hygiene habits.</w:t>
      </w:r>
    </w:p>
    <w:p w14:paraId="45DD5CB2" w14:textId="43F9F5DA" w:rsidR="00F466E3" w:rsidRPr="004A699A" w:rsidRDefault="00DD166D" w:rsidP="004A699A">
      <w:pPr>
        <w:pStyle w:val="ListParagraph"/>
        <w:numPr>
          <w:ilvl w:val="0"/>
          <w:numId w:val="2"/>
        </w:numPr>
        <w:spacing w:after="0" w:line="480" w:lineRule="auto"/>
        <w:ind w:left="450" w:hanging="450"/>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MATERIALS AND</w:t>
      </w:r>
      <w:r w:rsidR="00942E58" w:rsidRPr="004A699A">
        <w:rPr>
          <w:rFonts w:ascii="Times New Roman" w:eastAsia="Times New Roman" w:hAnsi="Times New Roman" w:cs="Times New Roman"/>
          <w:b/>
          <w:bCs/>
          <w:kern w:val="0"/>
          <w14:ligatures w14:val="none"/>
        </w:rPr>
        <w:t xml:space="preserve"> </w:t>
      </w:r>
      <w:r w:rsidRPr="004A699A">
        <w:rPr>
          <w:rFonts w:ascii="Times New Roman" w:eastAsia="Times New Roman" w:hAnsi="Times New Roman" w:cs="Times New Roman"/>
          <w:b/>
          <w:bCs/>
          <w:kern w:val="0"/>
          <w14:ligatures w14:val="none"/>
        </w:rPr>
        <w:t>METHODS</w:t>
      </w:r>
    </w:p>
    <w:p w14:paraId="7C88E565" w14:textId="0AE6BF8C" w:rsidR="00FB1CBF" w:rsidRPr="004A699A" w:rsidRDefault="00942E58" w:rsidP="004A699A">
      <w:pPr>
        <w:spacing w:after="0" w:line="480" w:lineRule="auto"/>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 xml:space="preserve">Area of </w:t>
      </w:r>
      <w:r w:rsidR="00DD166D" w:rsidRPr="004A699A">
        <w:rPr>
          <w:rFonts w:ascii="Times New Roman" w:eastAsia="Times New Roman" w:hAnsi="Times New Roman" w:cs="Times New Roman"/>
          <w:b/>
          <w:bCs/>
          <w:kern w:val="0"/>
          <w14:ligatures w14:val="none"/>
        </w:rPr>
        <w:t xml:space="preserve">Study: </w:t>
      </w:r>
      <w:r w:rsidR="00DD166D" w:rsidRPr="004A699A">
        <w:rPr>
          <w:rFonts w:ascii="Times New Roman" w:eastAsia="Times New Roman" w:hAnsi="Times New Roman" w:cs="Times New Roman"/>
          <w:kern w:val="0"/>
          <w14:ligatures w14:val="none"/>
        </w:rPr>
        <w:t>The</w:t>
      </w:r>
      <w:r w:rsidRPr="004A699A">
        <w:rPr>
          <w:rFonts w:ascii="Times New Roman" w:eastAsia="Times New Roman" w:hAnsi="Times New Roman" w:cs="Times New Roman"/>
          <w:kern w:val="0"/>
          <w14:ligatures w14:val="none"/>
        </w:rPr>
        <w:t xml:space="preserve"> study took place in the Darbhanga district of Bihar, which is part of the Indo-Gangetic plain. This area gets a lot of rain, floods often, and has waterlogging problems. These circumstances foster an atmosphere conducive to STH transmission (B</w:t>
      </w:r>
      <w:r w:rsidR="004A699A">
        <w:rPr>
          <w:rFonts w:ascii="Times New Roman" w:eastAsia="Times New Roman" w:hAnsi="Times New Roman" w:cs="Times New Roman"/>
          <w:kern w:val="0"/>
          <w14:ligatures w14:val="none"/>
        </w:rPr>
        <w:t>rooker &amp; Clements, 2009; Hotez and</w:t>
      </w:r>
      <w:r w:rsidRPr="004A699A">
        <w:rPr>
          <w:rFonts w:ascii="Times New Roman" w:eastAsia="Times New Roman" w:hAnsi="Times New Roman" w:cs="Times New Roman"/>
          <w:kern w:val="0"/>
          <w14:ligatures w14:val="none"/>
        </w:rPr>
        <w:t xml:space="preserve"> Kamath, 2009). National deworming surveys and WHO mapping efforts have shown that Bihar is a STH-endemic area (Sehgal et al., 2010; National</w:t>
      </w:r>
      <w:r w:rsidR="00F466E3" w:rsidRPr="004A699A">
        <w:rPr>
          <w:rFonts w:ascii="Times New Roman" w:eastAsia="Times New Roman" w:hAnsi="Times New Roman" w:cs="Times New Roman"/>
          <w:kern w:val="0"/>
          <w14:ligatures w14:val="none"/>
        </w:rPr>
        <w:t xml:space="preserve"> Deworming Day Report, 2020). </w:t>
      </w:r>
      <w:r w:rsidR="00F466E3" w:rsidRPr="004A699A">
        <w:rPr>
          <w:rFonts w:ascii="Times New Roman" w:eastAsia="Times New Roman" w:hAnsi="Times New Roman" w:cs="Times New Roman"/>
          <w:kern w:val="0"/>
          <w14:ligatures w14:val="none"/>
        </w:rPr>
        <w:br/>
      </w:r>
      <w:r w:rsidRPr="004A699A">
        <w:rPr>
          <w:rFonts w:ascii="Times New Roman" w:eastAsia="Times New Roman" w:hAnsi="Times New Roman" w:cs="Times New Roman"/>
          <w:b/>
          <w:bCs/>
          <w:kern w:val="0"/>
          <w14:ligatures w14:val="none"/>
        </w:rPr>
        <w:t xml:space="preserve">Plan for the </w:t>
      </w:r>
      <w:r w:rsidR="00DD166D" w:rsidRPr="004A699A">
        <w:rPr>
          <w:rFonts w:ascii="Times New Roman" w:eastAsia="Times New Roman" w:hAnsi="Times New Roman" w:cs="Times New Roman"/>
          <w:b/>
          <w:bCs/>
          <w:kern w:val="0"/>
          <w14:ligatures w14:val="none"/>
        </w:rPr>
        <w:t>Study:</w:t>
      </w:r>
      <w:r w:rsidR="004A699A">
        <w:rPr>
          <w:rFonts w:ascii="Times New Roman" w:eastAsia="Times New Roman" w:hAnsi="Times New Roman" w:cs="Times New Roman"/>
          <w:b/>
          <w:bCs/>
          <w:kern w:val="0"/>
          <w14:ligatures w14:val="none"/>
        </w:rPr>
        <w:t xml:space="preserve"> </w:t>
      </w:r>
      <w:r w:rsidRPr="004A699A">
        <w:rPr>
          <w:rFonts w:ascii="Times New Roman" w:eastAsia="Times New Roman" w:hAnsi="Times New Roman" w:cs="Times New Roman"/>
          <w:kern w:val="0"/>
          <w14:ligatures w14:val="none"/>
        </w:rPr>
        <w:t>A cross-sectional, dual-arm epidemiological survey</w:t>
      </w:r>
      <w:r w:rsidR="00F466E3" w:rsidRPr="004A699A">
        <w:rPr>
          <w:rFonts w:ascii="Times New Roman" w:eastAsia="Times New Roman" w:hAnsi="Times New Roman" w:cs="Times New Roman"/>
          <w:kern w:val="0"/>
          <w14:ligatures w14:val="none"/>
        </w:rPr>
        <w:t xml:space="preserve"> was executed, consisting of: </w:t>
      </w:r>
      <w:r w:rsidRPr="004A699A">
        <w:rPr>
          <w:rFonts w:ascii="Times New Roman" w:eastAsia="Times New Roman" w:hAnsi="Times New Roman" w:cs="Times New Roman"/>
          <w:kern w:val="0"/>
          <w14:ligatures w14:val="none"/>
        </w:rPr>
        <w:t>Clinical arm</w:t>
      </w:r>
      <w:r w:rsidR="006C62A6" w:rsidRPr="004A699A">
        <w:rPr>
          <w:rFonts w:ascii="Times New Roman" w:eastAsia="Times New Roman" w:hAnsi="Times New Roman" w:cs="Times New Roman"/>
          <w:kern w:val="0"/>
          <w14:ligatures w14:val="none"/>
        </w:rPr>
        <w:t>-</w:t>
      </w:r>
      <w:r w:rsidRPr="004A699A">
        <w:rPr>
          <w:rFonts w:ascii="Times New Roman" w:eastAsia="Times New Roman" w:hAnsi="Times New Roman" w:cs="Times New Roman"/>
          <w:kern w:val="0"/>
          <w14:ligatures w14:val="none"/>
        </w:rPr>
        <w:t>people who are having their stools checked at</w:t>
      </w:r>
      <w:r w:rsidR="00F466E3" w:rsidRPr="004A699A">
        <w:rPr>
          <w:rFonts w:ascii="Times New Roman" w:eastAsia="Times New Roman" w:hAnsi="Times New Roman" w:cs="Times New Roman"/>
          <w:kern w:val="0"/>
          <w14:ligatures w14:val="none"/>
        </w:rPr>
        <w:t xml:space="preserve"> a pathology lab in Darbhanga. </w:t>
      </w:r>
      <w:r w:rsidRPr="004A699A">
        <w:rPr>
          <w:rFonts w:ascii="Times New Roman" w:eastAsia="Times New Roman" w:hAnsi="Times New Roman" w:cs="Times New Roman"/>
          <w:kern w:val="0"/>
          <w14:ligatures w14:val="none"/>
        </w:rPr>
        <w:t>Community ar</w:t>
      </w:r>
      <w:r w:rsidR="0040405D" w:rsidRPr="004A699A">
        <w:rPr>
          <w:rFonts w:ascii="Times New Roman" w:eastAsia="Times New Roman" w:hAnsi="Times New Roman" w:cs="Times New Roman"/>
          <w:kern w:val="0"/>
          <w14:ligatures w14:val="none"/>
        </w:rPr>
        <w:t>m-</w:t>
      </w:r>
      <w:r w:rsidRPr="004A699A">
        <w:rPr>
          <w:rFonts w:ascii="Times New Roman" w:eastAsia="Times New Roman" w:hAnsi="Times New Roman" w:cs="Times New Roman"/>
          <w:kern w:val="0"/>
          <w14:ligatures w14:val="none"/>
        </w:rPr>
        <w:t>people who lived in randoml</w:t>
      </w:r>
      <w:r w:rsidR="00F466E3" w:rsidRPr="004A699A">
        <w:rPr>
          <w:rFonts w:ascii="Times New Roman" w:eastAsia="Times New Roman" w:hAnsi="Times New Roman" w:cs="Times New Roman"/>
          <w:kern w:val="0"/>
          <w14:ligatures w14:val="none"/>
        </w:rPr>
        <w:t xml:space="preserve">y chosen rural and urban homes. </w:t>
      </w:r>
      <w:r w:rsidRPr="004A699A">
        <w:rPr>
          <w:rFonts w:ascii="Times New Roman" w:eastAsia="Times New Roman" w:hAnsi="Times New Roman" w:cs="Times New Roman"/>
          <w:kern w:val="0"/>
          <w14:ligatures w14:val="none"/>
        </w:rPr>
        <w:t xml:space="preserve">This mixed design facilitated the comparison of symptomatic infections (clinical cases) with asymptomatic (community), a methodology endorsed for thorough parasitological </w:t>
      </w:r>
      <w:r w:rsidR="0040405D" w:rsidRPr="004A699A">
        <w:rPr>
          <w:rFonts w:ascii="Times New Roman" w:eastAsia="Times New Roman" w:hAnsi="Times New Roman" w:cs="Times New Roman"/>
          <w:kern w:val="0"/>
          <w14:ligatures w14:val="none"/>
        </w:rPr>
        <w:t>monitoring (</w:t>
      </w:r>
      <w:r w:rsidR="004A699A">
        <w:rPr>
          <w:rFonts w:ascii="Times New Roman" w:eastAsia="Times New Roman" w:hAnsi="Times New Roman" w:cs="Times New Roman"/>
          <w:kern w:val="0"/>
          <w14:ligatures w14:val="none"/>
        </w:rPr>
        <w:t>Pullan and</w:t>
      </w:r>
      <w:r w:rsidRPr="004A699A">
        <w:rPr>
          <w:rFonts w:ascii="Times New Roman" w:eastAsia="Times New Roman" w:hAnsi="Times New Roman" w:cs="Times New Roman"/>
          <w:kern w:val="0"/>
          <w14:ligatures w14:val="none"/>
        </w:rPr>
        <w:t xml:space="preserve"> Brooker, 2012). </w:t>
      </w:r>
    </w:p>
    <w:p w14:paraId="30C5B193" w14:textId="77777777" w:rsidR="000D2DA2" w:rsidRDefault="00942E58" w:rsidP="004A699A">
      <w:pPr>
        <w:spacing w:after="0"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The Study Population and Sampling</w:t>
      </w:r>
      <w:r w:rsidRPr="004A699A">
        <w:rPr>
          <w:rFonts w:ascii="Times New Roman" w:eastAsia="Times New Roman" w:hAnsi="Times New Roman" w:cs="Times New Roman"/>
          <w:kern w:val="0"/>
          <w14:ligatures w14:val="none"/>
        </w:rPr>
        <w:t xml:space="preserve"> </w:t>
      </w:r>
    </w:p>
    <w:p w14:paraId="2AD549A1" w14:textId="6F6390D8" w:rsidR="00C21483" w:rsidRPr="000D2DA2" w:rsidRDefault="00942E58" w:rsidP="004A699A">
      <w:pPr>
        <w:spacing w:after="0" w:line="480" w:lineRule="auto"/>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lastRenderedPageBreak/>
        <w:t>Clinical Survey</w:t>
      </w:r>
      <w:r w:rsidR="0040405D" w:rsidRPr="004A699A">
        <w:rPr>
          <w:rFonts w:ascii="Times New Roman" w:eastAsia="Times New Roman" w:hAnsi="Times New Roman" w:cs="Times New Roman"/>
          <w:b/>
          <w:bCs/>
          <w:kern w:val="0"/>
          <w14:ligatures w14:val="none"/>
        </w:rPr>
        <w:t>:</w:t>
      </w:r>
      <w:r w:rsidRPr="004A699A">
        <w:rPr>
          <w:rFonts w:ascii="Times New Roman" w:eastAsia="Times New Roman" w:hAnsi="Times New Roman" w:cs="Times New Roman"/>
          <w:b/>
          <w:bCs/>
          <w:kern w:val="0"/>
          <w14:ligatures w14:val="none"/>
        </w:rPr>
        <w:t xml:space="preserve"> </w:t>
      </w:r>
      <w:r w:rsidRPr="004A699A">
        <w:rPr>
          <w:rFonts w:ascii="Times New Roman" w:eastAsia="Times New Roman" w:hAnsi="Times New Roman" w:cs="Times New Roman"/>
          <w:kern w:val="0"/>
          <w14:ligatures w14:val="none"/>
        </w:rPr>
        <w:t>Residents of Darbhanga who underwent stool examination</w:t>
      </w:r>
      <w:r w:rsidR="002B3A3D" w:rsidRPr="004A699A">
        <w:rPr>
          <w:rFonts w:ascii="Times New Roman" w:eastAsia="Times New Roman" w:hAnsi="Times New Roman" w:cs="Times New Roman"/>
          <w:kern w:val="0"/>
          <w14:ligatures w14:val="none"/>
        </w:rPr>
        <w:t xml:space="preserve"> in a pathology lab</w:t>
      </w:r>
      <w:r w:rsidRPr="004A699A">
        <w:rPr>
          <w:rFonts w:ascii="Times New Roman" w:eastAsia="Times New Roman" w:hAnsi="Times New Roman" w:cs="Times New Roman"/>
          <w:kern w:val="0"/>
          <w14:ligatures w14:val="none"/>
        </w:rPr>
        <w:t xml:space="preserve"> from January to December 2022 were included. Consecutive sampling was utilized. Exclusion criteria encompassed previous anti-helminthic treatment or non-residency. We looked at 2100 stool reports and the questionnaires that went with them.</w:t>
      </w:r>
      <w:r w:rsidR="002B3A3D" w:rsidRPr="004A699A">
        <w:rPr>
          <w:rFonts w:ascii="Times New Roman" w:eastAsia="Times New Roman" w:hAnsi="Times New Roman" w:cs="Times New Roman"/>
          <w:kern w:val="0"/>
          <w14:ligatures w14:val="none"/>
        </w:rPr>
        <w:t xml:space="preserve"> Earlier 25</w:t>
      </w:r>
      <w:r w:rsidR="000628C6" w:rsidRPr="004A699A">
        <w:rPr>
          <w:rFonts w:ascii="Times New Roman" w:eastAsia="Times New Roman" w:hAnsi="Times New Roman" w:cs="Times New Roman"/>
          <w:kern w:val="0"/>
          <w14:ligatures w14:val="none"/>
        </w:rPr>
        <w:t>40 individuals were contacted for their participation into clinical survey but only 2100 gave p</w:t>
      </w:r>
      <w:r w:rsidR="00F466E3" w:rsidRPr="004A699A">
        <w:rPr>
          <w:rFonts w:ascii="Times New Roman" w:eastAsia="Times New Roman" w:hAnsi="Times New Roman" w:cs="Times New Roman"/>
          <w:kern w:val="0"/>
          <w14:ligatures w14:val="none"/>
        </w:rPr>
        <w:t>ermission for sample report use</w:t>
      </w:r>
      <w:r w:rsidR="000628C6" w:rsidRPr="004A699A">
        <w:rPr>
          <w:rFonts w:ascii="Times New Roman" w:eastAsia="Times New Roman" w:hAnsi="Times New Roman" w:cs="Times New Roman"/>
          <w:kern w:val="0"/>
          <w14:ligatures w14:val="none"/>
        </w:rPr>
        <w:t>, rest denied.</w:t>
      </w:r>
    </w:p>
    <w:p w14:paraId="53767BBB" w14:textId="77777777" w:rsidR="00C21483" w:rsidRPr="004A699A" w:rsidRDefault="00C21483" w:rsidP="004A699A">
      <w:pPr>
        <w:spacing w:after="0" w:line="360" w:lineRule="auto"/>
        <w:rPr>
          <w:rFonts w:ascii="Times New Roman" w:eastAsia="Times New Roman" w:hAnsi="Times New Roman" w:cs="Times New Roman"/>
          <w:kern w:val="0"/>
          <w14:ligatures w14:val="none"/>
        </w:rPr>
      </w:pPr>
    </w:p>
    <w:p w14:paraId="03759166" w14:textId="77777777" w:rsidR="00C21483" w:rsidRPr="004A699A" w:rsidRDefault="00C21483" w:rsidP="00FB1CBF">
      <w:pPr>
        <w:spacing w:after="0" w:line="240" w:lineRule="auto"/>
        <w:rPr>
          <w:rFonts w:ascii="Times New Roman" w:eastAsia="Times New Roman" w:hAnsi="Times New Roman" w:cs="Times New Roman"/>
          <w:kern w:val="0"/>
          <w14:ligatures w14:val="none"/>
        </w:rPr>
      </w:pPr>
      <w:r w:rsidRPr="004A699A">
        <w:rPr>
          <w:rFonts w:ascii="Times New Roman" w:hAnsi="Times New Roman" w:cs="Times New Roman"/>
          <w:noProof/>
        </w:rPr>
        <w:drawing>
          <wp:inline distT="0" distB="0" distL="0" distR="0" wp14:anchorId="2DD3BD32" wp14:editId="39FDE395">
            <wp:extent cx="3879850" cy="2050415"/>
            <wp:effectExtent l="0" t="0" r="6350" b="6985"/>
            <wp:docPr id="2004196549" name="Picture 1" descr="A map of india with cit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96549" name="Picture 1" descr="A map of india with citi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23589" cy="2073530"/>
                    </a:xfrm>
                    <a:prstGeom prst="rect">
                      <a:avLst/>
                    </a:prstGeom>
                    <a:noFill/>
                    <a:ln>
                      <a:noFill/>
                    </a:ln>
                  </pic:spPr>
                </pic:pic>
              </a:graphicData>
            </a:graphic>
          </wp:inline>
        </w:drawing>
      </w:r>
    </w:p>
    <w:p w14:paraId="5057AF13" w14:textId="77777777" w:rsidR="00C21483" w:rsidRPr="004A699A" w:rsidRDefault="00C21483" w:rsidP="00FB1CBF">
      <w:pPr>
        <w:spacing w:after="0" w:line="240" w:lineRule="auto"/>
        <w:rPr>
          <w:rFonts w:ascii="Times New Roman" w:eastAsia="Times New Roman" w:hAnsi="Times New Roman" w:cs="Times New Roman"/>
          <w:kern w:val="0"/>
          <w14:ligatures w14:val="none"/>
        </w:rPr>
      </w:pPr>
    </w:p>
    <w:p w14:paraId="4EE44E82" w14:textId="71E930B1" w:rsidR="00C21483" w:rsidRPr="004A699A" w:rsidRDefault="00C21483" w:rsidP="00C21483">
      <w:pPr>
        <w:spacing w:after="0" w:line="240" w:lineRule="auto"/>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 xml:space="preserve">                        Map </w:t>
      </w:r>
      <w:proofErr w:type="gramStart"/>
      <w:r w:rsidR="003E3810">
        <w:rPr>
          <w:rFonts w:ascii="Times New Roman" w:eastAsia="Times New Roman" w:hAnsi="Times New Roman" w:cs="Times New Roman"/>
          <w:b/>
          <w:bCs/>
          <w:kern w:val="0"/>
          <w14:ligatures w14:val="none"/>
        </w:rPr>
        <w:t>1 :</w:t>
      </w:r>
      <w:proofErr w:type="gramEnd"/>
      <w:r w:rsidR="003E3810">
        <w:rPr>
          <w:rFonts w:ascii="Times New Roman" w:eastAsia="Times New Roman" w:hAnsi="Times New Roman" w:cs="Times New Roman"/>
          <w:b/>
          <w:bCs/>
          <w:kern w:val="0"/>
          <w14:ligatures w14:val="none"/>
        </w:rPr>
        <w:t xml:space="preserve"> </w:t>
      </w:r>
      <w:r w:rsidRPr="004A699A">
        <w:rPr>
          <w:rFonts w:ascii="Times New Roman" w:eastAsia="Times New Roman" w:hAnsi="Times New Roman" w:cs="Times New Roman"/>
          <w:b/>
          <w:bCs/>
          <w:kern w:val="0"/>
          <w14:ligatures w14:val="none"/>
        </w:rPr>
        <w:t>Darbhanga District</w:t>
      </w:r>
    </w:p>
    <w:p w14:paraId="27A4AC91" w14:textId="77777777" w:rsidR="00C21483" w:rsidRPr="004A699A" w:rsidRDefault="00C21483" w:rsidP="002F787A">
      <w:pPr>
        <w:spacing w:after="0" w:line="480" w:lineRule="auto"/>
        <w:rPr>
          <w:rFonts w:ascii="Times New Roman" w:eastAsia="Times New Roman" w:hAnsi="Times New Roman" w:cs="Times New Roman"/>
          <w:kern w:val="0"/>
          <w14:ligatures w14:val="none"/>
        </w:rPr>
      </w:pPr>
    </w:p>
    <w:p w14:paraId="737CFA42" w14:textId="646BEC72" w:rsidR="00C94D4D" w:rsidRDefault="00C94D4D" w:rsidP="002F787A">
      <w:pPr>
        <w:spacing w:after="0"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 xml:space="preserve">Community </w:t>
      </w:r>
      <w:r w:rsidR="00FB1CBF" w:rsidRPr="004A699A">
        <w:rPr>
          <w:rFonts w:ascii="Times New Roman" w:eastAsia="Times New Roman" w:hAnsi="Times New Roman" w:cs="Times New Roman"/>
          <w:b/>
          <w:bCs/>
          <w:kern w:val="0"/>
          <w14:ligatures w14:val="none"/>
        </w:rPr>
        <w:t>Survey:</w:t>
      </w:r>
      <w:r w:rsidR="00FB1CBF" w:rsidRPr="004A699A">
        <w:rPr>
          <w:rFonts w:ascii="Times New Roman" w:eastAsia="Times New Roman" w:hAnsi="Times New Roman" w:cs="Times New Roman"/>
          <w:kern w:val="0"/>
          <w14:ligatures w14:val="none"/>
        </w:rPr>
        <w:t xml:space="preserve"> A</w:t>
      </w:r>
      <w:r w:rsidRPr="004A699A">
        <w:rPr>
          <w:rFonts w:ascii="Times New Roman" w:eastAsia="Times New Roman" w:hAnsi="Times New Roman" w:cs="Times New Roman"/>
          <w:kern w:val="0"/>
          <w14:ligatures w14:val="none"/>
        </w:rPr>
        <w:t xml:space="preserve"> multistage cluster design was adopted, covering both rural villages and urban wards. Households were selected systematically, and all members were invited to participate. Seasonal sampling rounds (summer, monsoon, and winter) were conducted to capture seasonal variation, consistent with WHO recommendations (WHO, 2012; Choudhary, 2018). A total of 660 stool samples were collected from participants. However, 45 samples were spoiled during transportation due to leakage and contamination and were therefore excluded. Thus, 615 stool samples were successfully processed and tested in the laboratory. This final sample size remained above the minimum requirement estimated during sample size calculation, ensuring adequate statistical power. Although sampling was performed across three different seasons, </w:t>
      </w:r>
      <w:r w:rsidRPr="004A699A">
        <w:rPr>
          <w:rFonts w:ascii="Times New Roman" w:eastAsia="Times New Roman" w:hAnsi="Times New Roman" w:cs="Times New Roman"/>
          <w:kern w:val="0"/>
          <w14:ligatures w14:val="none"/>
        </w:rPr>
        <w:lastRenderedPageBreak/>
        <w:t xml:space="preserve">each participant contributed only a single stool sample, and no individual was </w:t>
      </w:r>
      <w:r w:rsidR="002F2308" w:rsidRPr="004A699A">
        <w:rPr>
          <w:rFonts w:ascii="Times New Roman" w:eastAsia="Times New Roman" w:hAnsi="Times New Roman" w:cs="Times New Roman"/>
          <w:kern w:val="0"/>
          <w14:ligatures w14:val="none"/>
        </w:rPr>
        <w:t>followed</w:t>
      </w:r>
      <w:r w:rsidRPr="004A699A">
        <w:rPr>
          <w:rFonts w:ascii="Times New Roman" w:eastAsia="Times New Roman" w:hAnsi="Times New Roman" w:cs="Times New Roman"/>
          <w:kern w:val="0"/>
          <w14:ligatures w14:val="none"/>
        </w:rPr>
        <w:t xml:space="preserve"> across rounds. Therefore, the community arm also represents a cross-sectional survey</w:t>
      </w:r>
      <w:r w:rsidR="00FB1CBF" w:rsidRPr="004A699A">
        <w:rPr>
          <w:rFonts w:ascii="Times New Roman" w:eastAsia="Times New Roman" w:hAnsi="Times New Roman" w:cs="Times New Roman"/>
          <w:kern w:val="0"/>
          <w14:ligatures w14:val="none"/>
        </w:rPr>
        <w:t>.</w:t>
      </w:r>
    </w:p>
    <w:p w14:paraId="4F031F10" w14:textId="77777777" w:rsidR="00956E94" w:rsidRPr="004A699A" w:rsidRDefault="000628C6" w:rsidP="00FB1CBF">
      <w:pPr>
        <w:spacing w:after="0" w:line="240" w:lineRule="auto"/>
        <w:rPr>
          <w:rFonts w:ascii="Times New Roman" w:eastAsia="Times New Roman" w:hAnsi="Times New Roman" w:cs="Times New Roman"/>
          <w:kern w:val="0"/>
          <w14:ligatures w14:val="none"/>
        </w:rPr>
      </w:pPr>
      <w:r w:rsidRPr="004A699A">
        <w:rPr>
          <w:rFonts w:ascii="Times New Roman" w:hAnsi="Times New Roman" w:cs="Times New Roman"/>
          <w:noProof/>
        </w:rPr>
        <w:drawing>
          <wp:anchor distT="0" distB="0" distL="114300" distR="114300" simplePos="0" relativeHeight="251663360" behindDoc="0" locked="0" layoutInCell="1" allowOverlap="1" wp14:anchorId="44FEEF6B" wp14:editId="0333B1F8">
            <wp:simplePos x="0" y="0"/>
            <wp:positionH relativeFrom="column">
              <wp:posOffset>2635250</wp:posOffset>
            </wp:positionH>
            <wp:positionV relativeFrom="paragraph">
              <wp:posOffset>5080</wp:posOffset>
            </wp:positionV>
            <wp:extent cx="2286000" cy="2760345"/>
            <wp:effectExtent l="0" t="0" r="0" b="1905"/>
            <wp:wrapSquare wrapText="bothSides"/>
            <wp:docPr id="1825750090" name="Picture 3" descr="A map with blue and yellow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50090" name="Picture 3" descr="A map with blue and yellow poi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760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699A">
        <w:rPr>
          <w:rFonts w:ascii="Times New Roman" w:hAnsi="Times New Roman" w:cs="Times New Roman"/>
          <w:noProof/>
        </w:rPr>
        <w:drawing>
          <wp:anchor distT="0" distB="0" distL="114300" distR="114300" simplePos="0" relativeHeight="251661312" behindDoc="0" locked="0" layoutInCell="1" allowOverlap="1" wp14:anchorId="713F1F41" wp14:editId="1D9EE83E">
            <wp:simplePos x="0" y="0"/>
            <wp:positionH relativeFrom="column">
              <wp:posOffset>0</wp:posOffset>
            </wp:positionH>
            <wp:positionV relativeFrom="paragraph">
              <wp:posOffset>5715</wp:posOffset>
            </wp:positionV>
            <wp:extent cx="2438400" cy="2790190"/>
            <wp:effectExtent l="0" t="0" r="0" b="0"/>
            <wp:wrapSquare wrapText="bothSides"/>
            <wp:docPr id="1360224179" name="Picture 4" descr="A map with blue and yellow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24179" name="Picture 4" descr="A map with blue and yellow do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2790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B81D4"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2B4073C4" w14:textId="77777777" w:rsidR="00956E94" w:rsidRPr="004A699A" w:rsidRDefault="00C25184" w:rsidP="00FB1CBF">
      <w:pPr>
        <w:spacing w:after="0" w:line="240" w:lineRule="auto"/>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  </w:t>
      </w:r>
    </w:p>
    <w:p w14:paraId="62A5E032" w14:textId="77777777" w:rsidR="00956E94" w:rsidRPr="004A699A" w:rsidRDefault="00C25184" w:rsidP="00FB1CBF">
      <w:pPr>
        <w:spacing w:after="0" w:line="240" w:lineRule="auto"/>
        <w:rPr>
          <w:rFonts w:ascii="Times New Roman" w:eastAsia="Times New Roman" w:hAnsi="Times New Roman" w:cs="Times New Roman"/>
          <w:kern w:val="0"/>
          <w14:ligatures w14:val="none"/>
        </w:rPr>
      </w:pPr>
      <w:r w:rsidRPr="004A699A">
        <w:rPr>
          <w:rFonts w:ascii="Times New Roman" w:hAnsi="Times New Roman" w:cs="Times New Roman"/>
          <w:noProof/>
        </w:rPr>
        <w:t xml:space="preserve">                                                                 </w:t>
      </w:r>
    </w:p>
    <w:p w14:paraId="1096CEA2"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0481E8FC"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06D3ADA5"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01B938DC"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39C6FFF4"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2255F7AE"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570B95FE"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72860B8F"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1B76686F"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28912AFD"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642AFC62"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21BE990D" w14:textId="77777777" w:rsidR="00F466E3" w:rsidRPr="004A699A" w:rsidRDefault="00F466E3" w:rsidP="000628C6">
      <w:pPr>
        <w:spacing w:after="0" w:line="240" w:lineRule="auto"/>
        <w:jc w:val="center"/>
        <w:rPr>
          <w:rFonts w:ascii="Times New Roman" w:eastAsia="Times New Roman" w:hAnsi="Times New Roman" w:cs="Times New Roman"/>
          <w:b/>
          <w:bCs/>
          <w:kern w:val="0"/>
          <w14:ligatures w14:val="none"/>
        </w:rPr>
      </w:pPr>
    </w:p>
    <w:p w14:paraId="60211896" w14:textId="17051B88" w:rsidR="000628C6" w:rsidRPr="004A699A" w:rsidRDefault="000628C6" w:rsidP="000628C6">
      <w:pPr>
        <w:spacing w:after="0" w:line="240" w:lineRule="auto"/>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Map</w:t>
      </w:r>
      <w:r w:rsidR="003E3810">
        <w:rPr>
          <w:rFonts w:ascii="Times New Roman" w:eastAsia="Times New Roman" w:hAnsi="Times New Roman" w:cs="Times New Roman"/>
          <w:b/>
          <w:bCs/>
          <w:kern w:val="0"/>
          <w14:ligatures w14:val="none"/>
        </w:rPr>
        <w:t xml:space="preserve"> </w:t>
      </w:r>
      <w:proofErr w:type="gramStart"/>
      <w:r w:rsidR="003E3810">
        <w:rPr>
          <w:rFonts w:ascii="Times New Roman" w:eastAsia="Times New Roman" w:hAnsi="Times New Roman" w:cs="Times New Roman"/>
          <w:b/>
          <w:bCs/>
          <w:kern w:val="0"/>
          <w14:ligatures w14:val="none"/>
        </w:rPr>
        <w:t>2 :</w:t>
      </w:r>
      <w:proofErr w:type="gramEnd"/>
      <w:r w:rsidR="003E3810">
        <w:rPr>
          <w:rFonts w:ascii="Times New Roman" w:eastAsia="Times New Roman" w:hAnsi="Times New Roman" w:cs="Times New Roman"/>
          <w:b/>
          <w:bCs/>
          <w:kern w:val="0"/>
          <w14:ligatures w14:val="none"/>
        </w:rPr>
        <w:t xml:space="preserve"> </w:t>
      </w:r>
      <w:r w:rsidRPr="004A699A">
        <w:rPr>
          <w:rFonts w:ascii="Times New Roman" w:eastAsia="Times New Roman" w:hAnsi="Times New Roman" w:cs="Times New Roman"/>
          <w:b/>
          <w:bCs/>
          <w:kern w:val="0"/>
          <w14:ligatures w14:val="none"/>
        </w:rPr>
        <w:t xml:space="preserve"> showing cluster location</w:t>
      </w:r>
      <w:r w:rsidR="004F0340" w:rsidRPr="004A699A">
        <w:rPr>
          <w:rFonts w:ascii="Times New Roman" w:eastAsia="Times New Roman" w:hAnsi="Times New Roman" w:cs="Times New Roman"/>
          <w:b/>
          <w:bCs/>
          <w:kern w:val="0"/>
          <w14:ligatures w14:val="none"/>
        </w:rPr>
        <w:t xml:space="preserve"> of study</w:t>
      </w:r>
      <w:r w:rsidR="00F466E3" w:rsidRPr="004A699A">
        <w:rPr>
          <w:rFonts w:ascii="Times New Roman" w:eastAsia="Times New Roman" w:hAnsi="Times New Roman" w:cs="Times New Roman"/>
          <w:b/>
          <w:bCs/>
          <w:kern w:val="0"/>
          <w14:ligatures w14:val="none"/>
        </w:rPr>
        <w:t xml:space="preserve"> in urban and r</w:t>
      </w:r>
      <w:r w:rsidRPr="004A699A">
        <w:rPr>
          <w:rFonts w:ascii="Times New Roman" w:eastAsia="Times New Roman" w:hAnsi="Times New Roman" w:cs="Times New Roman"/>
          <w:b/>
          <w:bCs/>
          <w:kern w:val="0"/>
          <w14:ligatures w14:val="none"/>
        </w:rPr>
        <w:t>ural area</w:t>
      </w:r>
    </w:p>
    <w:p w14:paraId="70B91C4A"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087F2F02" w14:textId="77777777" w:rsidR="00956E94" w:rsidRPr="004A699A" w:rsidRDefault="00956E94" w:rsidP="00FB1CBF">
      <w:pPr>
        <w:spacing w:after="0" w:line="240" w:lineRule="auto"/>
        <w:rPr>
          <w:rFonts w:ascii="Times New Roman" w:eastAsia="Times New Roman" w:hAnsi="Times New Roman" w:cs="Times New Roman"/>
          <w:kern w:val="0"/>
          <w14:ligatures w14:val="none"/>
        </w:rPr>
      </w:pPr>
    </w:p>
    <w:p w14:paraId="123B1767" w14:textId="77777777" w:rsidR="00C25184" w:rsidRPr="004A699A" w:rsidRDefault="00C25184" w:rsidP="00FB1CBF">
      <w:pPr>
        <w:spacing w:after="0" w:line="240" w:lineRule="auto"/>
        <w:rPr>
          <w:rFonts w:ascii="Times New Roman" w:eastAsia="Times New Roman" w:hAnsi="Times New Roman" w:cs="Times New Roman"/>
          <w:kern w:val="0"/>
          <w14:ligatures w14:val="none"/>
        </w:rPr>
      </w:pPr>
    </w:p>
    <w:p w14:paraId="2FBBAFC3" w14:textId="77777777" w:rsidR="002F787A" w:rsidRDefault="00942E58" w:rsidP="00C675F5">
      <w:pPr>
        <w:spacing w:after="0"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Collecting Data</w:t>
      </w:r>
      <w:r w:rsidR="00F466E3" w:rsidRPr="004A699A">
        <w:rPr>
          <w:rFonts w:ascii="Times New Roman" w:eastAsia="Times New Roman" w:hAnsi="Times New Roman" w:cs="Times New Roman"/>
          <w:kern w:val="0"/>
          <w14:ligatures w14:val="none"/>
        </w:rPr>
        <w:t xml:space="preserve"> </w:t>
      </w:r>
    </w:p>
    <w:p w14:paraId="740877C2" w14:textId="4E529C2A" w:rsidR="00F466E3" w:rsidRPr="004A699A" w:rsidRDefault="00942E58" w:rsidP="00C675F5">
      <w:pPr>
        <w:spacing w:after="0"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Clinical arm:</w:t>
      </w:r>
      <w:r w:rsidRPr="004A699A">
        <w:rPr>
          <w:rFonts w:ascii="Times New Roman" w:eastAsia="Times New Roman" w:hAnsi="Times New Roman" w:cs="Times New Roman"/>
          <w:kern w:val="0"/>
          <w14:ligatures w14:val="none"/>
        </w:rPr>
        <w:t xml:space="preserve"> Laboratory-verified stool microscopy findings were associated with questions regarding demographics, socioeconomic status, sanitation, hygiene behaviors, and comorbidities. </w:t>
      </w:r>
      <w:r w:rsidRPr="004A699A">
        <w:rPr>
          <w:rFonts w:ascii="Times New Roman" w:eastAsia="Times New Roman" w:hAnsi="Times New Roman" w:cs="Times New Roman"/>
          <w:kern w:val="0"/>
          <w14:ligatures w14:val="none"/>
        </w:rPr>
        <w:br/>
      </w:r>
      <w:r w:rsidRPr="004A699A">
        <w:rPr>
          <w:rFonts w:ascii="Times New Roman" w:eastAsia="Times New Roman" w:hAnsi="Times New Roman" w:cs="Times New Roman"/>
          <w:b/>
          <w:bCs/>
          <w:kern w:val="0"/>
          <w14:ligatures w14:val="none"/>
        </w:rPr>
        <w:t>Community arm:</w:t>
      </w:r>
      <w:r w:rsidRPr="004A699A">
        <w:rPr>
          <w:rFonts w:ascii="Times New Roman" w:eastAsia="Times New Roman" w:hAnsi="Times New Roman" w:cs="Times New Roman"/>
          <w:kern w:val="0"/>
          <w14:ligatures w14:val="none"/>
        </w:rPr>
        <w:t xml:space="preserve"> Structured surveys of households and stool sample collection were carried out. The samples were labeled, put in sterile containers, and sent to the lab for testing within two hours. </w:t>
      </w:r>
      <w:r w:rsidRPr="004A699A">
        <w:rPr>
          <w:rFonts w:ascii="Times New Roman" w:eastAsia="Times New Roman" w:hAnsi="Times New Roman" w:cs="Times New Roman"/>
          <w:kern w:val="0"/>
          <w14:ligatures w14:val="none"/>
        </w:rPr>
        <w:br/>
      </w:r>
      <w:r w:rsidRPr="004A699A">
        <w:rPr>
          <w:rFonts w:ascii="Times New Roman" w:eastAsia="Times New Roman" w:hAnsi="Times New Roman" w:cs="Times New Roman"/>
          <w:b/>
          <w:bCs/>
          <w:kern w:val="0"/>
          <w14:ligatures w14:val="none"/>
        </w:rPr>
        <w:t>Laboratory Examination</w:t>
      </w:r>
      <w:r w:rsidR="00F466E3" w:rsidRPr="004A699A">
        <w:rPr>
          <w:rFonts w:ascii="Times New Roman" w:eastAsia="Times New Roman" w:hAnsi="Times New Roman" w:cs="Times New Roman"/>
          <w:b/>
          <w:kern w:val="0"/>
          <w14:ligatures w14:val="none"/>
        </w:rPr>
        <w:t>:</w:t>
      </w:r>
      <w:r w:rsidR="00F466E3" w:rsidRPr="004A699A">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t xml:space="preserve">The Kato-Katz technique, which is the WHO gold standard for STH prevalence surveys (WHO, 2006; Montresor et al., 1998), was used to look at stool samples from both arms. Eggs were discovered for </w:t>
      </w:r>
      <w:r w:rsidRPr="002F787A">
        <w:rPr>
          <w:rFonts w:ascii="Times New Roman" w:eastAsia="Times New Roman" w:hAnsi="Times New Roman" w:cs="Times New Roman"/>
          <w:i/>
          <w:kern w:val="0"/>
          <w14:ligatures w14:val="none"/>
        </w:rPr>
        <w:t>Ascaris lumbricoides</w:t>
      </w:r>
      <w:r w:rsidRPr="004A699A">
        <w:rPr>
          <w:rFonts w:ascii="Times New Roman" w:eastAsia="Times New Roman" w:hAnsi="Times New Roman" w:cs="Times New Roman"/>
          <w:kern w:val="0"/>
          <w14:ligatures w14:val="none"/>
        </w:rPr>
        <w:t xml:space="preserve">, </w:t>
      </w:r>
      <w:r w:rsidRPr="002F787A">
        <w:rPr>
          <w:rFonts w:ascii="Times New Roman" w:eastAsia="Times New Roman" w:hAnsi="Times New Roman" w:cs="Times New Roman"/>
          <w:i/>
          <w:kern w:val="0"/>
          <w14:ligatures w14:val="none"/>
        </w:rPr>
        <w:t xml:space="preserve">Trichuris </w:t>
      </w:r>
      <w:proofErr w:type="spellStart"/>
      <w:r w:rsidRPr="002F787A">
        <w:rPr>
          <w:rFonts w:ascii="Times New Roman" w:eastAsia="Times New Roman" w:hAnsi="Times New Roman" w:cs="Times New Roman"/>
          <w:i/>
          <w:kern w:val="0"/>
          <w14:ligatures w14:val="none"/>
        </w:rPr>
        <w:t>trichiura</w:t>
      </w:r>
      <w:proofErr w:type="spellEnd"/>
      <w:r w:rsidRPr="004A699A">
        <w:rPr>
          <w:rFonts w:ascii="Times New Roman" w:eastAsia="Times New Roman" w:hAnsi="Times New Roman" w:cs="Times New Roman"/>
          <w:kern w:val="0"/>
          <w14:ligatures w14:val="none"/>
        </w:rPr>
        <w:t xml:space="preserve">, and hookworm, and infection level was classified as light, moderate, or heavy according to WHO criteria (Bethony et al., 2006; Jourdan et al., 2018). </w:t>
      </w:r>
    </w:p>
    <w:p w14:paraId="028BC734" w14:textId="77777777" w:rsidR="00F466E3" w:rsidRPr="004A699A" w:rsidRDefault="00942E58" w:rsidP="00C675F5">
      <w:pPr>
        <w:spacing w:after="0"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lastRenderedPageBreak/>
        <w:t>Ethical Considerations</w:t>
      </w:r>
      <w:r w:rsidR="00F466E3" w:rsidRPr="004A699A">
        <w:rPr>
          <w:rFonts w:ascii="Times New Roman" w:eastAsia="Times New Roman" w:hAnsi="Times New Roman" w:cs="Times New Roman"/>
          <w:b/>
          <w:kern w:val="0"/>
          <w14:ligatures w14:val="none"/>
        </w:rPr>
        <w:t xml:space="preserve">: </w:t>
      </w:r>
      <w:r w:rsidRPr="004A699A">
        <w:rPr>
          <w:rFonts w:ascii="Times New Roman" w:eastAsia="Times New Roman" w:hAnsi="Times New Roman" w:cs="Times New Roman"/>
          <w:kern w:val="0"/>
          <w14:ligatures w14:val="none"/>
        </w:rPr>
        <w:t xml:space="preserve">The institutional ethics committee gave their support for the study. All adult participants gave their </w:t>
      </w:r>
      <w:r w:rsidR="00142D77" w:rsidRPr="004A699A">
        <w:rPr>
          <w:rFonts w:ascii="Times New Roman" w:eastAsia="Times New Roman" w:hAnsi="Times New Roman" w:cs="Times New Roman"/>
          <w:kern w:val="0"/>
          <w14:ligatures w14:val="none"/>
        </w:rPr>
        <w:t>oral</w:t>
      </w:r>
      <w:r w:rsidRPr="004A699A">
        <w:rPr>
          <w:rFonts w:ascii="Times New Roman" w:eastAsia="Times New Roman" w:hAnsi="Times New Roman" w:cs="Times New Roman"/>
          <w:kern w:val="0"/>
          <w14:ligatures w14:val="none"/>
        </w:rPr>
        <w:t xml:space="preserve"> consent, and for minors, parental approval and child assent were sought</w:t>
      </w:r>
      <w:r w:rsidR="00142D77" w:rsidRPr="004A699A">
        <w:rPr>
          <w:rFonts w:ascii="Times New Roman" w:eastAsia="Times New Roman" w:hAnsi="Times New Roman" w:cs="Times New Roman"/>
          <w:kern w:val="0"/>
          <w14:ligatures w14:val="none"/>
        </w:rPr>
        <w:t xml:space="preserve"> and</w:t>
      </w:r>
      <w:r w:rsidRPr="004A699A">
        <w:rPr>
          <w:rFonts w:ascii="Times New Roman" w:eastAsia="Times New Roman" w:hAnsi="Times New Roman" w:cs="Times New Roman"/>
          <w:kern w:val="0"/>
          <w14:ligatures w14:val="none"/>
        </w:rPr>
        <w:t xml:space="preserve"> </w:t>
      </w:r>
      <w:r w:rsidR="00142D77" w:rsidRPr="004A699A">
        <w:rPr>
          <w:rFonts w:ascii="Times New Roman" w:eastAsia="Times New Roman" w:hAnsi="Times New Roman" w:cs="Times New Roman"/>
          <w:kern w:val="0"/>
          <w14:ligatures w14:val="none"/>
        </w:rPr>
        <w:t>c</w:t>
      </w:r>
      <w:r w:rsidRPr="004A699A">
        <w:rPr>
          <w:rFonts w:ascii="Times New Roman" w:eastAsia="Times New Roman" w:hAnsi="Times New Roman" w:cs="Times New Roman"/>
          <w:kern w:val="0"/>
          <w14:ligatures w14:val="none"/>
        </w:rPr>
        <w:t xml:space="preserve">onfidentiality was </w:t>
      </w:r>
      <w:r w:rsidR="00142D77" w:rsidRPr="004A699A">
        <w:rPr>
          <w:rFonts w:ascii="Times New Roman" w:eastAsia="Times New Roman" w:hAnsi="Times New Roman" w:cs="Times New Roman"/>
          <w:kern w:val="0"/>
          <w14:ligatures w14:val="none"/>
        </w:rPr>
        <w:t>upheld.</w:t>
      </w:r>
    </w:p>
    <w:p w14:paraId="7FFD7C51" w14:textId="6C7943B4" w:rsidR="00942E58" w:rsidRPr="004A699A" w:rsidRDefault="00942E58" w:rsidP="00C675F5">
      <w:pPr>
        <w:spacing w:after="0" w:line="480" w:lineRule="auto"/>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Analysis of Statistics</w:t>
      </w:r>
      <w:r w:rsidR="00F466E3" w:rsidRPr="004A699A">
        <w:rPr>
          <w:rFonts w:ascii="Times New Roman" w:eastAsia="Times New Roman" w:hAnsi="Times New Roman" w:cs="Times New Roman"/>
          <w:b/>
          <w:kern w:val="0"/>
          <w14:ligatures w14:val="none"/>
        </w:rPr>
        <w:t>:</w:t>
      </w:r>
      <w:r w:rsidR="00F466E3" w:rsidRPr="004A699A">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t xml:space="preserve">Descriptive data described prevalence and intensity based on education, income, hygiene, and demographic characteristics. We used Chi-square tests to look for </w:t>
      </w:r>
      <w:r w:rsidR="008A17A8" w:rsidRPr="004A699A">
        <w:rPr>
          <w:rFonts w:ascii="Times New Roman" w:eastAsia="Times New Roman" w:hAnsi="Times New Roman" w:cs="Times New Roman"/>
          <w:kern w:val="0"/>
          <w14:ligatures w14:val="none"/>
        </w:rPr>
        <w:t>associations (</w:t>
      </w:r>
      <w:r w:rsidR="00C675F5">
        <w:rPr>
          <w:rFonts w:ascii="Times New Roman" w:eastAsia="Times New Roman" w:hAnsi="Times New Roman" w:cs="Times New Roman"/>
          <w:kern w:val="0"/>
          <w14:ligatures w14:val="none"/>
        </w:rPr>
        <w:t>Kirkwood and</w:t>
      </w:r>
      <w:r w:rsidRPr="004A699A">
        <w:rPr>
          <w:rFonts w:ascii="Times New Roman" w:eastAsia="Times New Roman" w:hAnsi="Times New Roman" w:cs="Times New Roman"/>
          <w:kern w:val="0"/>
          <w14:ligatures w14:val="none"/>
        </w:rPr>
        <w:t xml:space="preserve"> Sterne, 2003). We used SPSS to do </w:t>
      </w:r>
      <w:r w:rsidR="001866AA" w:rsidRPr="004A699A">
        <w:rPr>
          <w:rFonts w:ascii="Times New Roman" w:eastAsia="Times New Roman" w:hAnsi="Times New Roman" w:cs="Times New Roman"/>
          <w:kern w:val="0"/>
          <w14:ligatures w14:val="none"/>
        </w:rPr>
        <w:t>statistical</w:t>
      </w:r>
      <w:r w:rsidRPr="004A699A">
        <w:rPr>
          <w:rFonts w:ascii="Times New Roman" w:eastAsia="Times New Roman" w:hAnsi="Times New Roman" w:cs="Times New Roman"/>
          <w:kern w:val="0"/>
          <w14:ligatures w14:val="none"/>
        </w:rPr>
        <w:t xml:space="preserve"> analysis. A significance criterion of p &lt; 0.05 was employed</w:t>
      </w:r>
    </w:p>
    <w:p w14:paraId="3A972E94" w14:textId="77777777" w:rsidR="00942E58" w:rsidRPr="004A699A" w:rsidRDefault="00942E58" w:rsidP="00F466E3">
      <w:pPr>
        <w:jc w:val="both"/>
        <w:rPr>
          <w:rFonts w:ascii="Times New Roman" w:hAnsi="Times New Roman" w:cs="Times New Roman"/>
        </w:rPr>
      </w:pPr>
    </w:p>
    <w:p w14:paraId="03B7FAD3" w14:textId="23D16036" w:rsidR="002713C4" w:rsidRPr="002713C4" w:rsidRDefault="001866AA" w:rsidP="002713C4">
      <w:pPr>
        <w:pStyle w:val="ListParagraph"/>
        <w:numPr>
          <w:ilvl w:val="0"/>
          <w:numId w:val="2"/>
        </w:numPr>
        <w:ind w:left="450" w:hanging="450"/>
        <w:jc w:val="both"/>
        <w:rPr>
          <w:rFonts w:ascii="Times New Roman" w:hAnsi="Times New Roman" w:cs="Times New Roman"/>
          <w:b/>
          <w:bCs/>
        </w:rPr>
      </w:pPr>
      <w:r w:rsidRPr="002713C4">
        <w:rPr>
          <w:rFonts w:ascii="Times New Roman" w:hAnsi="Times New Roman" w:cs="Times New Roman"/>
          <w:b/>
          <w:bCs/>
        </w:rPr>
        <w:t>RESULTS</w:t>
      </w:r>
    </w:p>
    <w:p w14:paraId="05AA33CF" w14:textId="7C61BE5E" w:rsidR="00404092" w:rsidRPr="004A699A" w:rsidRDefault="004B2D01" w:rsidP="00F466E3">
      <w:pPr>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kern w:val="0"/>
          <w14:ligatures w14:val="none"/>
        </w:rPr>
        <w:br/>
      </w:r>
      <w:r w:rsidR="002713C4">
        <w:rPr>
          <w:rFonts w:ascii="Times New Roman" w:eastAsia="Times New Roman" w:hAnsi="Times New Roman" w:cs="Times New Roman"/>
          <w:b/>
          <w:bCs/>
          <w:kern w:val="0"/>
          <w14:ligatures w14:val="none"/>
        </w:rPr>
        <w:t>3.1 Link b</w:t>
      </w:r>
      <w:r w:rsidRPr="004A699A">
        <w:rPr>
          <w:rFonts w:ascii="Times New Roman" w:eastAsia="Times New Roman" w:hAnsi="Times New Roman" w:cs="Times New Roman"/>
          <w:b/>
          <w:bCs/>
          <w:kern w:val="0"/>
          <w14:ligatures w14:val="none"/>
        </w:rPr>
        <w:t>etween Education and STH Infection in Adults</w:t>
      </w:r>
      <w:r w:rsidR="00F466E3" w:rsidRPr="004A699A">
        <w:rPr>
          <w:rFonts w:ascii="Times New Roman" w:eastAsia="Times New Roman" w:hAnsi="Times New Roman" w:cs="Times New Roman"/>
          <w:b/>
          <w:bCs/>
          <w:kern w:val="0"/>
          <w14:ligatures w14:val="none"/>
        </w:rPr>
        <w:t xml:space="preserve"> </w:t>
      </w:r>
    </w:p>
    <w:p w14:paraId="2787F44D" w14:textId="6D9248E4" w:rsidR="00446F92" w:rsidRPr="004A699A" w:rsidRDefault="004B2D01" w:rsidP="002713C4">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Clinical survey:</w:t>
      </w:r>
      <w:r w:rsidR="00F466E3" w:rsidRPr="004A699A">
        <w:rPr>
          <w:rFonts w:ascii="Times New Roman" w:eastAsia="Times New Roman" w:hAnsi="Times New Roman" w:cs="Times New Roman"/>
          <w:b/>
          <w:bCs/>
          <w:kern w:val="0"/>
          <w14:ligatures w14:val="none"/>
        </w:rPr>
        <w:t xml:space="preserve"> </w:t>
      </w:r>
      <w:r w:rsidRPr="004A699A">
        <w:rPr>
          <w:rFonts w:ascii="Times New Roman" w:eastAsia="Times New Roman" w:hAnsi="Times New Roman" w:cs="Times New Roman"/>
          <w:kern w:val="0"/>
          <w14:ligatures w14:val="none"/>
        </w:rPr>
        <w:t xml:space="preserve">A total of 1,615 people over the age of 20 were </w:t>
      </w:r>
      <w:r w:rsidR="008A17A8" w:rsidRPr="004A699A">
        <w:rPr>
          <w:rFonts w:ascii="Times New Roman" w:eastAsia="Times New Roman" w:hAnsi="Times New Roman" w:cs="Times New Roman"/>
          <w:kern w:val="0"/>
          <w14:ligatures w14:val="none"/>
        </w:rPr>
        <w:t>investigated, out of which 1337were found STH infected.</w:t>
      </w:r>
      <w:r w:rsidRPr="004A699A">
        <w:rPr>
          <w:rFonts w:ascii="Times New Roman" w:eastAsia="Times New Roman" w:hAnsi="Times New Roman" w:cs="Times New Roman"/>
          <w:kern w:val="0"/>
          <w14:ligatures w14:val="none"/>
        </w:rPr>
        <w:t xml:space="preserve"> </w:t>
      </w:r>
      <w:r w:rsidR="008A17A8" w:rsidRPr="004A699A">
        <w:rPr>
          <w:rFonts w:ascii="Times New Roman" w:eastAsia="Times New Roman" w:hAnsi="Times New Roman" w:cs="Times New Roman"/>
          <w:kern w:val="0"/>
          <w14:ligatures w14:val="none"/>
        </w:rPr>
        <w:t>As shown in table 1 t</w:t>
      </w:r>
      <w:r w:rsidRPr="004A699A">
        <w:rPr>
          <w:rFonts w:ascii="Times New Roman" w:eastAsia="Times New Roman" w:hAnsi="Times New Roman" w:cs="Times New Roman"/>
          <w:kern w:val="0"/>
          <w14:ligatures w14:val="none"/>
        </w:rPr>
        <w:t>he overall prevalence of soil-transmitted helminth (STH) infection was 82.80</w:t>
      </w:r>
      <w:r w:rsidR="008A17A8" w:rsidRPr="004A699A">
        <w:rPr>
          <w:rFonts w:ascii="Times New Roman" w:eastAsia="Times New Roman" w:hAnsi="Times New Roman" w:cs="Times New Roman"/>
          <w:kern w:val="0"/>
          <w14:ligatures w14:val="none"/>
        </w:rPr>
        <w:t>%. As presented in table</w:t>
      </w:r>
      <w:r w:rsidRPr="004A699A">
        <w:rPr>
          <w:rFonts w:ascii="Times New Roman" w:eastAsia="Times New Roman" w:hAnsi="Times New Roman" w:cs="Times New Roman"/>
          <w:kern w:val="0"/>
          <w14:ligatures w14:val="none"/>
        </w:rPr>
        <w:t xml:space="preserve"> </w:t>
      </w:r>
      <w:r w:rsidR="005968D6" w:rsidRPr="004A699A">
        <w:rPr>
          <w:rFonts w:ascii="Times New Roman" w:eastAsia="Times New Roman" w:hAnsi="Times New Roman" w:cs="Times New Roman"/>
          <w:kern w:val="0"/>
          <w14:ligatures w14:val="none"/>
        </w:rPr>
        <w:t>8</w:t>
      </w:r>
      <w:r w:rsidR="008A17A8" w:rsidRPr="004A699A">
        <w:rPr>
          <w:rFonts w:ascii="Times New Roman" w:eastAsia="Times New Roman" w:hAnsi="Times New Roman" w:cs="Times New Roman"/>
          <w:kern w:val="0"/>
          <w14:ligatures w14:val="none"/>
        </w:rPr>
        <w:t xml:space="preserve"> i</w:t>
      </w:r>
      <w:r w:rsidRPr="004A699A">
        <w:rPr>
          <w:rFonts w:ascii="Times New Roman" w:eastAsia="Times New Roman" w:hAnsi="Times New Roman" w:cs="Times New Roman"/>
          <w:kern w:val="0"/>
          <w14:ligatures w14:val="none"/>
        </w:rPr>
        <w:t>nfection rates exhibited a significant inverse correlation with educational attainment (χ² = 66.42, p &lt; 0.001). The prevalence was highest among illiterate individuals (89.05%) and decreased steadily with increasing educational attainment, reaching 69.00% among graduates. These results highlight the possible protective function of formal education in alleviating STH burden.</w:t>
      </w:r>
    </w:p>
    <w:p w14:paraId="78C8ABE1" w14:textId="69A81924" w:rsidR="00C67711" w:rsidRPr="004A699A" w:rsidRDefault="004B2D01" w:rsidP="002713C4">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Community survey:</w:t>
      </w:r>
      <w:r w:rsidR="00F466E3" w:rsidRPr="004A699A">
        <w:rPr>
          <w:rFonts w:ascii="Times New Roman" w:eastAsia="Times New Roman" w:hAnsi="Times New Roman" w:cs="Times New Roman"/>
          <w:b/>
          <w:bCs/>
          <w:kern w:val="0"/>
          <w14:ligatures w14:val="none"/>
        </w:rPr>
        <w:t xml:space="preserve"> </w:t>
      </w:r>
      <w:r w:rsidR="00211462" w:rsidRPr="004A699A">
        <w:rPr>
          <w:rFonts w:ascii="Times New Roman" w:eastAsia="Times New Roman" w:hAnsi="Times New Roman" w:cs="Times New Roman"/>
          <w:kern w:val="0"/>
          <w14:ligatures w14:val="none"/>
        </w:rPr>
        <w:t xml:space="preserve">We looked at 416 adults for STH infection, and we did it by level of education. The prevalence of infection exhibited a distinct inverse correlation with educational </w:t>
      </w:r>
      <w:r w:rsidR="0087230E" w:rsidRPr="004A699A">
        <w:rPr>
          <w:rFonts w:ascii="Times New Roman" w:eastAsia="Times New Roman" w:hAnsi="Times New Roman" w:cs="Times New Roman"/>
          <w:kern w:val="0"/>
          <w14:ligatures w14:val="none"/>
        </w:rPr>
        <w:t>attainment. As described in table 1,</w:t>
      </w:r>
      <w:r w:rsidR="00211462" w:rsidRPr="004A699A">
        <w:rPr>
          <w:rFonts w:ascii="Times New Roman" w:eastAsia="Times New Roman" w:hAnsi="Times New Roman" w:cs="Times New Roman"/>
          <w:kern w:val="0"/>
          <w14:ligatures w14:val="none"/>
        </w:rPr>
        <w:t xml:space="preserve"> the adults who couldn't read or write, 33 of 41 (80.5%) were positive. Of the adults who had only a primary education, 65 of 89 (73.0%) were positive, and of the adults who had only a secondary education, 43 of 76 (56.6%) were positive. The prevalence was lower among higher secondary (52 of 121; 43.0%) and graduate adults (30 of 89; 33.7%). </w:t>
      </w:r>
      <w:r w:rsidR="00893B64" w:rsidRPr="004A699A">
        <w:rPr>
          <w:rFonts w:ascii="Times New Roman" w:eastAsia="Times New Roman" w:hAnsi="Times New Roman" w:cs="Times New Roman"/>
          <w:kern w:val="0"/>
          <w14:ligatures w14:val="none"/>
        </w:rPr>
        <w:lastRenderedPageBreak/>
        <w:t>Total prevalence among adults was 53.6%.</w:t>
      </w:r>
      <w:r w:rsidR="00F466E3" w:rsidRPr="004A699A">
        <w:rPr>
          <w:rFonts w:ascii="Times New Roman" w:eastAsia="Times New Roman" w:hAnsi="Times New Roman" w:cs="Times New Roman"/>
          <w:kern w:val="0"/>
          <w14:ligatures w14:val="none"/>
        </w:rPr>
        <w:t xml:space="preserve"> </w:t>
      </w:r>
      <w:r w:rsidR="00211462" w:rsidRPr="004A699A">
        <w:rPr>
          <w:rFonts w:ascii="Times New Roman" w:eastAsia="Times New Roman" w:hAnsi="Times New Roman" w:cs="Times New Roman"/>
          <w:kern w:val="0"/>
          <w14:ligatures w14:val="none"/>
        </w:rPr>
        <w:t xml:space="preserve">The link between education level and infection status was statistically significant (χ² = </w:t>
      </w:r>
      <w:r w:rsidR="0029683A" w:rsidRPr="004A699A">
        <w:rPr>
          <w:rFonts w:ascii="Times New Roman" w:eastAsia="Times New Roman" w:hAnsi="Times New Roman" w:cs="Times New Roman"/>
          <w:kern w:val="0"/>
          <w14:ligatures w14:val="none"/>
        </w:rPr>
        <w:t>39.42</w:t>
      </w:r>
      <w:r w:rsidR="00211462" w:rsidRPr="004A699A">
        <w:rPr>
          <w:rFonts w:ascii="Times New Roman" w:eastAsia="Times New Roman" w:hAnsi="Times New Roman" w:cs="Times New Roman"/>
          <w:kern w:val="0"/>
          <w14:ligatures w14:val="none"/>
        </w:rPr>
        <w:t>, df = 4, p &lt; 0.00</w:t>
      </w:r>
      <w:r w:rsidR="0029683A" w:rsidRPr="004A699A">
        <w:rPr>
          <w:rFonts w:ascii="Times New Roman" w:eastAsia="Times New Roman" w:hAnsi="Times New Roman" w:cs="Times New Roman"/>
          <w:kern w:val="0"/>
          <w14:ligatures w14:val="none"/>
        </w:rPr>
        <w:t>0</w:t>
      </w:r>
      <w:r w:rsidR="00211462" w:rsidRPr="004A699A">
        <w:rPr>
          <w:rFonts w:ascii="Times New Roman" w:eastAsia="Times New Roman" w:hAnsi="Times New Roman" w:cs="Times New Roman"/>
          <w:kern w:val="0"/>
          <w14:ligatures w14:val="none"/>
        </w:rPr>
        <w:t>1)</w:t>
      </w:r>
      <w:r w:rsidR="0087230E" w:rsidRPr="004A699A">
        <w:rPr>
          <w:rFonts w:ascii="Times New Roman" w:eastAsia="Times New Roman" w:hAnsi="Times New Roman" w:cs="Times New Roman"/>
          <w:kern w:val="0"/>
          <w14:ligatures w14:val="none"/>
        </w:rPr>
        <w:t xml:space="preserve"> as shown in table </w:t>
      </w:r>
      <w:r w:rsidR="005968D6" w:rsidRPr="004A699A">
        <w:rPr>
          <w:rFonts w:ascii="Times New Roman" w:eastAsia="Times New Roman" w:hAnsi="Times New Roman" w:cs="Times New Roman"/>
          <w:kern w:val="0"/>
          <w14:ligatures w14:val="none"/>
        </w:rPr>
        <w:t>8</w:t>
      </w:r>
      <w:r w:rsidR="00211462" w:rsidRPr="004A699A">
        <w:rPr>
          <w:rFonts w:ascii="Times New Roman" w:eastAsia="Times New Roman" w:hAnsi="Times New Roman" w:cs="Times New Roman"/>
          <w:kern w:val="0"/>
          <w14:ligatures w14:val="none"/>
        </w:rPr>
        <w:t xml:space="preserve">. These findings indicate a significant protective influence of education, as the prevalence of illness diminishes progressively with higher educational attainment. </w:t>
      </w:r>
    </w:p>
    <w:p w14:paraId="0075D233" w14:textId="78BE8A7D" w:rsidR="00F466E3" w:rsidRPr="004A699A" w:rsidRDefault="002713C4" w:rsidP="002713C4">
      <w:pPr>
        <w:spacing w:line="360" w:lineRule="auto"/>
        <w:ind w:left="990" w:hanging="99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Table </w:t>
      </w:r>
      <w:r w:rsidR="00F466E3" w:rsidRPr="004A699A">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w:t>
      </w:r>
      <w:r w:rsidR="00F466E3" w:rsidRPr="004A699A">
        <w:rPr>
          <w:rFonts w:ascii="Times New Roman" w:eastAsia="Times New Roman" w:hAnsi="Times New Roman" w:cs="Times New Roman"/>
          <w:b/>
          <w:bCs/>
          <w:kern w:val="0"/>
          <w14:ligatures w14:val="none"/>
        </w:rPr>
        <w:t xml:space="preserve"> Showing both community and clinical prevalence of STH among different groups in adults’ population based on their education</w:t>
      </w:r>
    </w:p>
    <w:p w14:paraId="793DF288" w14:textId="77777777" w:rsidR="00236F13" w:rsidRPr="004A699A" w:rsidRDefault="00236F13" w:rsidP="00F466E3">
      <w:pPr>
        <w:rPr>
          <w:rFonts w:ascii="Times New Roman" w:eastAsia="Times New Roman" w:hAnsi="Times New Roman" w:cs="Times New Roman"/>
          <w:b/>
          <w:bCs/>
          <w:kern w:val="0"/>
          <w14:ligatures w14:val="none"/>
        </w:rPr>
      </w:pPr>
    </w:p>
    <w:tbl>
      <w:tblPr>
        <w:tblStyle w:val="TableGrid"/>
        <w:tblW w:w="0" w:type="auto"/>
        <w:tblLook w:val="04A0" w:firstRow="1" w:lastRow="0" w:firstColumn="1" w:lastColumn="0" w:noHBand="0" w:noVBand="1"/>
      </w:tblPr>
      <w:tblGrid>
        <w:gridCol w:w="1274"/>
        <w:gridCol w:w="1263"/>
        <w:gridCol w:w="1102"/>
        <w:gridCol w:w="1345"/>
        <w:gridCol w:w="1530"/>
        <w:gridCol w:w="1529"/>
        <w:gridCol w:w="1533"/>
      </w:tblGrid>
      <w:tr w:rsidR="00C67711" w:rsidRPr="004A699A" w14:paraId="215CEEC2" w14:textId="77777777" w:rsidTr="00236F13">
        <w:tc>
          <w:tcPr>
            <w:tcW w:w="0" w:type="auto"/>
            <w:hideMark/>
          </w:tcPr>
          <w:p w14:paraId="4576C688"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Education Level</w:t>
            </w:r>
          </w:p>
        </w:tc>
        <w:tc>
          <w:tcPr>
            <w:tcW w:w="0" w:type="auto"/>
            <w:hideMark/>
          </w:tcPr>
          <w:p w14:paraId="78AB298B"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Examined</w:t>
            </w:r>
          </w:p>
        </w:tc>
        <w:tc>
          <w:tcPr>
            <w:tcW w:w="0" w:type="auto"/>
            <w:hideMark/>
          </w:tcPr>
          <w:p w14:paraId="5965A70A"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Infected</w:t>
            </w:r>
          </w:p>
        </w:tc>
        <w:tc>
          <w:tcPr>
            <w:tcW w:w="0" w:type="auto"/>
            <w:hideMark/>
          </w:tcPr>
          <w:p w14:paraId="2BC61A0E"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Prevalence (%)</w:t>
            </w:r>
          </w:p>
        </w:tc>
        <w:tc>
          <w:tcPr>
            <w:tcW w:w="0" w:type="auto"/>
            <w:hideMark/>
          </w:tcPr>
          <w:p w14:paraId="69E24261"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Examined</w:t>
            </w:r>
          </w:p>
        </w:tc>
        <w:tc>
          <w:tcPr>
            <w:tcW w:w="0" w:type="auto"/>
            <w:hideMark/>
          </w:tcPr>
          <w:p w14:paraId="28198564"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Infected</w:t>
            </w:r>
          </w:p>
        </w:tc>
        <w:tc>
          <w:tcPr>
            <w:tcW w:w="0" w:type="auto"/>
            <w:hideMark/>
          </w:tcPr>
          <w:p w14:paraId="761F145B" w14:textId="77777777" w:rsidR="00C67711" w:rsidRPr="004A699A" w:rsidRDefault="00C67711" w:rsidP="00C67711">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Prevalence (%)</w:t>
            </w:r>
          </w:p>
        </w:tc>
      </w:tr>
      <w:tr w:rsidR="00C67711" w:rsidRPr="004A699A" w14:paraId="1F42EE03" w14:textId="77777777" w:rsidTr="00236F13">
        <w:tc>
          <w:tcPr>
            <w:tcW w:w="0" w:type="auto"/>
            <w:hideMark/>
          </w:tcPr>
          <w:p w14:paraId="05403A28"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Illiterate</w:t>
            </w:r>
          </w:p>
        </w:tc>
        <w:tc>
          <w:tcPr>
            <w:tcW w:w="0" w:type="auto"/>
            <w:hideMark/>
          </w:tcPr>
          <w:p w14:paraId="0C03D46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201</w:t>
            </w:r>
          </w:p>
        </w:tc>
        <w:tc>
          <w:tcPr>
            <w:tcW w:w="0" w:type="auto"/>
            <w:hideMark/>
          </w:tcPr>
          <w:p w14:paraId="09F8D614"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179</w:t>
            </w:r>
          </w:p>
        </w:tc>
        <w:tc>
          <w:tcPr>
            <w:tcW w:w="0" w:type="auto"/>
            <w:hideMark/>
          </w:tcPr>
          <w:p w14:paraId="2A398280"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89.05%</w:t>
            </w:r>
          </w:p>
        </w:tc>
        <w:tc>
          <w:tcPr>
            <w:tcW w:w="0" w:type="auto"/>
            <w:hideMark/>
          </w:tcPr>
          <w:p w14:paraId="7B503C0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41</w:t>
            </w:r>
          </w:p>
        </w:tc>
        <w:tc>
          <w:tcPr>
            <w:tcW w:w="0" w:type="auto"/>
            <w:hideMark/>
          </w:tcPr>
          <w:p w14:paraId="501C6024"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33</w:t>
            </w:r>
          </w:p>
        </w:tc>
        <w:tc>
          <w:tcPr>
            <w:tcW w:w="0" w:type="auto"/>
            <w:hideMark/>
          </w:tcPr>
          <w:p w14:paraId="6BA11F84"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80.5%</w:t>
            </w:r>
          </w:p>
        </w:tc>
      </w:tr>
      <w:tr w:rsidR="00C67711" w:rsidRPr="004A699A" w14:paraId="727CB312" w14:textId="77777777" w:rsidTr="00236F13">
        <w:tc>
          <w:tcPr>
            <w:tcW w:w="0" w:type="auto"/>
            <w:hideMark/>
          </w:tcPr>
          <w:p w14:paraId="65B1A1A9"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Primary</w:t>
            </w:r>
          </w:p>
        </w:tc>
        <w:tc>
          <w:tcPr>
            <w:tcW w:w="0" w:type="auto"/>
            <w:hideMark/>
          </w:tcPr>
          <w:p w14:paraId="6A93AF8D"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457</w:t>
            </w:r>
          </w:p>
        </w:tc>
        <w:tc>
          <w:tcPr>
            <w:tcW w:w="0" w:type="auto"/>
            <w:hideMark/>
          </w:tcPr>
          <w:p w14:paraId="3EC2A849"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401</w:t>
            </w:r>
          </w:p>
        </w:tc>
        <w:tc>
          <w:tcPr>
            <w:tcW w:w="0" w:type="auto"/>
            <w:hideMark/>
          </w:tcPr>
          <w:p w14:paraId="4CBEE038"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87.75%</w:t>
            </w:r>
          </w:p>
        </w:tc>
        <w:tc>
          <w:tcPr>
            <w:tcW w:w="0" w:type="auto"/>
            <w:hideMark/>
          </w:tcPr>
          <w:p w14:paraId="51ACAD2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89</w:t>
            </w:r>
          </w:p>
        </w:tc>
        <w:tc>
          <w:tcPr>
            <w:tcW w:w="0" w:type="auto"/>
            <w:hideMark/>
          </w:tcPr>
          <w:p w14:paraId="687C28E1"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65</w:t>
            </w:r>
          </w:p>
        </w:tc>
        <w:tc>
          <w:tcPr>
            <w:tcW w:w="0" w:type="auto"/>
            <w:hideMark/>
          </w:tcPr>
          <w:p w14:paraId="7E392CE8"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73.0%</w:t>
            </w:r>
          </w:p>
        </w:tc>
      </w:tr>
      <w:tr w:rsidR="00C67711" w:rsidRPr="004A699A" w14:paraId="1596FD20" w14:textId="77777777" w:rsidTr="00236F13">
        <w:tc>
          <w:tcPr>
            <w:tcW w:w="0" w:type="auto"/>
            <w:hideMark/>
          </w:tcPr>
          <w:p w14:paraId="34EE9DDE"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Secondary</w:t>
            </w:r>
          </w:p>
        </w:tc>
        <w:tc>
          <w:tcPr>
            <w:tcW w:w="0" w:type="auto"/>
            <w:hideMark/>
          </w:tcPr>
          <w:p w14:paraId="412B2FE1"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375</w:t>
            </w:r>
          </w:p>
        </w:tc>
        <w:tc>
          <w:tcPr>
            <w:tcW w:w="0" w:type="auto"/>
            <w:hideMark/>
          </w:tcPr>
          <w:p w14:paraId="30D8A999"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333</w:t>
            </w:r>
          </w:p>
        </w:tc>
        <w:tc>
          <w:tcPr>
            <w:tcW w:w="0" w:type="auto"/>
            <w:hideMark/>
          </w:tcPr>
          <w:p w14:paraId="02EF2AC7"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88.80%</w:t>
            </w:r>
          </w:p>
        </w:tc>
        <w:tc>
          <w:tcPr>
            <w:tcW w:w="0" w:type="auto"/>
            <w:hideMark/>
          </w:tcPr>
          <w:p w14:paraId="2C48BFC1"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76</w:t>
            </w:r>
          </w:p>
        </w:tc>
        <w:tc>
          <w:tcPr>
            <w:tcW w:w="0" w:type="auto"/>
            <w:hideMark/>
          </w:tcPr>
          <w:p w14:paraId="7DF11013"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43</w:t>
            </w:r>
          </w:p>
        </w:tc>
        <w:tc>
          <w:tcPr>
            <w:tcW w:w="0" w:type="auto"/>
            <w:hideMark/>
          </w:tcPr>
          <w:p w14:paraId="2402AC41"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56.6%</w:t>
            </w:r>
          </w:p>
        </w:tc>
      </w:tr>
      <w:tr w:rsidR="00C67711" w:rsidRPr="004A699A" w14:paraId="70F4B0D3" w14:textId="77777777" w:rsidTr="00236F13">
        <w:tc>
          <w:tcPr>
            <w:tcW w:w="0" w:type="auto"/>
            <w:hideMark/>
          </w:tcPr>
          <w:p w14:paraId="5C79815A"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Higher Secondary</w:t>
            </w:r>
          </w:p>
        </w:tc>
        <w:tc>
          <w:tcPr>
            <w:tcW w:w="0" w:type="auto"/>
            <w:hideMark/>
          </w:tcPr>
          <w:p w14:paraId="3C643389"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382</w:t>
            </w:r>
          </w:p>
        </w:tc>
        <w:tc>
          <w:tcPr>
            <w:tcW w:w="0" w:type="auto"/>
            <w:hideMark/>
          </w:tcPr>
          <w:p w14:paraId="6B19E070"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286</w:t>
            </w:r>
          </w:p>
        </w:tc>
        <w:tc>
          <w:tcPr>
            <w:tcW w:w="0" w:type="auto"/>
            <w:hideMark/>
          </w:tcPr>
          <w:p w14:paraId="5AC42870"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74.87%</w:t>
            </w:r>
          </w:p>
        </w:tc>
        <w:tc>
          <w:tcPr>
            <w:tcW w:w="0" w:type="auto"/>
            <w:hideMark/>
          </w:tcPr>
          <w:p w14:paraId="3250455A"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121</w:t>
            </w:r>
          </w:p>
        </w:tc>
        <w:tc>
          <w:tcPr>
            <w:tcW w:w="0" w:type="auto"/>
            <w:hideMark/>
          </w:tcPr>
          <w:p w14:paraId="4C81606A"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52</w:t>
            </w:r>
          </w:p>
        </w:tc>
        <w:tc>
          <w:tcPr>
            <w:tcW w:w="0" w:type="auto"/>
            <w:hideMark/>
          </w:tcPr>
          <w:p w14:paraId="1A5CB0B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43.0%</w:t>
            </w:r>
          </w:p>
        </w:tc>
      </w:tr>
      <w:tr w:rsidR="00C67711" w:rsidRPr="004A699A" w14:paraId="34EAAFAD" w14:textId="77777777" w:rsidTr="00236F13">
        <w:tc>
          <w:tcPr>
            <w:tcW w:w="0" w:type="auto"/>
            <w:hideMark/>
          </w:tcPr>
          <w:p w14:paraId="76308603"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Graduate+</w:t>
            </w:r>
          </w:p>
        </w:tc>
        <w:tc>
          <w:tcPr>
            <w:tcW w:w="0" w:type="auto"/>
            <w:hideMark/>
          </w:tcPr>
          <w:p w14:paraId="3E920891"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200</w:t>
            </w:r>
          </w:p>
        </w:tc>
        <w:tc>
          <w:tcPr>
            <w:tcW w:w="0" w:type="auto"/>
            <w:hideMark/>
          </w:tcPr>
          <w:p w14:paraId="035F76AD"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138</w:t>
            </w:r>
          </w:p>
        </w:tc>
        <w:tc>
          <w:tcPr>
            <w:tcW w:w="0" w:type="auto"/>
            <w:hideMark/>
          </w:tcPr>
          <w:p w14:paraId="00586FB7"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69.00%</w:t>
            </w:r>
          </w:p>
        </w:tc>
        <w:tc>
          <w:tcPr>
            <w:tcW w:w="0" w:type="auto"/>
            <w:hideMark/>
          </w:tcPr>
          <w:p w14:paraId="5BC2810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89</w:t>
            </w:r>
          </w:p>
        </w:tc>
        <w:tc>
          <w:tcPr>
            <w:tcW w:w="0" w:type="auto"/>
            <w:hideMark/>
          </w:tcPr>
          <w:p w14:paraId="4FDD5A5D"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30</w:t>
            </w:r>
          </w:p>
        </w:tc>
        <w:tc>
          <w:tcPr>
            <w:tcW w:w="0" w:type="auto"/>
            <w:hideMark/>
          </w:tcPr>
          <w:p w14:paraId="79E08211"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33.7%</w:t>
            </w:r>
          </w:p>
        </w:tc>
      </w:tr>
      <w:tr w:rsidR="00C67711" w:rsidRPr="004A699A" w14:paraId="2DD862B0" w14:textId="77777777" w:rsidTr="00236F13">
        <w:tc>
          <w:tcPr>
            <w:tcW w:w="0" w:type="auto"/>
            <w:hideMark/>
          </w:tcPr>
          <w:p w14:paraId="2A625019"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TOTAL</w:t>
            </w:r>
          </w:p>
        </w:tc>
        <w:tc>
          <w:tcPr>
            <w:tcW w:w="0" w:type="auto"/>
            <w:hideMark/>
          </w:tcPr>
          <w:p w14:paraId="18A7972A"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1615</w:t>
            </w:r>
          </w:p>
        </w:tc>
        <w:tc>
          <w:tcPr>
            <w:tcW w:w="0" w:type="auto"/>
            <w:hideMark/>
          </w:tcPr>
          <w:p w14:paraId="705EF60E"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1337</w:t>
            </w:r>
          </w:p>
        </w:tc>
        <w:tc>
          <w:tcPr>
            <w:tcW w:w="0" w:type="auto"/>
            <w:hideMark/>
          </w:tcPr>
          <w:p w14:paraId="06126216"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82.80%</w:t>
            </w:r>
          </w:p>
        </w:tc>
        <w:tc>
          <w:tcPr>
            <w:tcW w:w="0" w:type="auto"/>
            <w:hideMark/>
          </w:tcPr>
          <w:p w14:paraId="0A49A828"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416</w:t>
            </w:r>
          </w:p>
        </w:tc>
        <w:tc>
          <w:tcPr>
            <w:tcW w:w="0" w:type="auto"/>
            <w:hideMark/>
          </w:tcPr>
          <w:p w14:paraId="46C4C8E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223</w:t>
            </w:r>
          </w:p>
        </w:tc>
        <w:tc>
          <w:tcPr>
            <w:tcW w:w="0" w:type="auto"/>
            <w:hideMark/>
          </w:tcPr>
          <w:p w14:paraId="065CB6AB" w14:textId="77777777" w:rsidR="00C67711" w:rsidRPr="004A699A" w:rsidRDefault="00C67711" w:rsidP="00C67711">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53.6%</w:t>
            </w:r>
          </w:p>
        </w:tc>
      </w:tr>
    </w:tbl>
    <w:p w14:paraId="7B2C4995" w14:textId="77777777" w:rsidR="00446F92" w:rsidRPr="004A699A" w:rsidRDefault="00446F92" w:rsidP="00211462">
      <w:pPr>
        <w:rPr>
          <w:rFonts w:ascii="Times New Roman" w:eastAsia="Times New Roman" w:hAnsi="Times New Roman" w:cs="Times New Roman"/>
          <w:kern w:val="0"/>
          <w14:ligatures w14:val="none"/>
        </w:rPr>
      </w:pPr>
    </w:p>
    <w:p w14:paraId="2623F8CC" w14:textId="77777777" w:rsidR="00A83FCD" w:rsidRPr="004A699A" w:rsidRDefault="00A83FCD" w:rsidP="005D610B">
      <w:pPr>
        <w:rPr>
          <w:rFonts w:ascii="Times New Roman" w:eastAsia="Times New Roman" w:hAnsi="Times New Roman" w:cs="Times New Roman"/>
          <w:kern w:val="0"/>
          <w14:ligatures w14:val="none"/>
        </w:rPr>
      </w:pPr>
      <w:r w:rsidRPr="004A699A">
        <w:rPr>
          <w:rFonts w:ascii="Times New Roman" w:hAnsi="Times New Roman" w:cs="Times New Roman"/>
          <w:noProof/>
        </w:rPr>
        <w:drawing>
          <wp:inline distT="0" distB="0" distL="0" distR="0" wp14:anchorId="74406504" wp14:editId="564F278B">
            <wp:extent cx="5476875" cy="2743200"/>
            <wp:effectExtent l="0" t="0" r="9525" b="19050"/>
            <wp:docPr id="1791576209" name="Chart 1">
              <a:extLst xmlns:a="http://schemas.openxmlformats.org/drawingml/2006/main">
                <a:ext uri="{FF2B5EF4-FFF2-40B4-BE49-F238E27FC236}">
                  <a16:creationId xmlns:a16="http://schemas.microsoft.com/office/drawing/2014/main" id="{2BA2672E-6454-2DDF-9BFA-DC2C02C90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35DCEE" w14:textId="6D44A86D" w:rsidR="000C19F0" w:rsidRPr="004A699A" w:rsidRDefault="0058298D" w:rsidP="0058298D">
      <w:pPr>
        <w:ind w:left="1440" w:hanging="1440"/>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FIGURE </w:t>
      </w:r>
      <w:r w:rsidR="006E7FA7" w:rsidRPr="004A699A">
        <w:rPr>
          <w:rFonts w:ascii="Times New Roman" w:eastAsia="Times New Roman" w:hAnsi="Times New Roman" w:cs="Times New Roman"/>
          <w:b/>
          <w:bCs/>
          <w:kern w:val="0"/>
          <w14:ligatures w14:val="none"/>
        </w:rPr>
        <w:t>1</w:t>
      </w:r>
      <w:r w:rsidR="00F466E3" w:rsidRPr="004A699A">
        <w:rPr>
          <w:rFonts w:ascii="Times New Roman" w:eastAsia="Times New Roman" w:hAnsi="Times New Roman" w:cs="Times New Roman"/>
          <w:b/>
          <w:bCs/>
          <w:kern w:val="0"/>
          <w14:ligatures w14:val="none"/>
        </w:rPr>
        <w:t>:</w:t>
      </w:r>
      <w:r w:rsidR="00404092" w:rsidRPr="004A699A">
        <w:rPr>
          <w:rFonts w:ascii="Times New Roman" w:eastAsia="Times New Roman" w:hAnsi="Times New Roman" w:cs="Times New Roman"/>
          <w:b/>
          <w:bCs/>
          <w:kern w:val="0"/>
          <w14:ligatures w14:val="none"/>
        </w:rPr>
        <w:t xml:space="preserve"> S</w:t>
      </w:r>
      <w:r w:rsidR="000C19F0" w:rsidRPr="004A699A">
        <w:rPr>
          <w:rFonts w:ascii="Times New Roman" w:eastAsia="Times New Roman" w:hAnsi="Times New Roman" w:cs="Times New Roman"/>
          <w:b/>
          <w:bCs/>
          <w:kern w:val="0"/>
          <w14:ligatures w14:val="none"/>
        </w:rPr>
        <w:t xml:space="preserve">howing inverse relation through column </w:t>
      </w:r>
      <w:r w:rsidR="009D60BB" w:rsidRPr="004A699A">
        <w:rPr>
          <w:rFonts w:ascii="Times New Roman" w:eastAsia="Times New Roman" w:hAnsi="Times New Roman" w:cs="Times New Roman"/>
          <w:b/>
          <w:bCs/>
          <w:kern w:val="0"/>
          <w14:ligatures w14:val="none"/>
        </w:rPr>
        <w:t>chart for</w:t>
      </w:r>
      <w:r w:rsidR="000C19F0" w:rsidRPr="004A699A">
        <w:rPr>
          <w:rFonts w:ascii="Times New Roman" w:eastAsia="Times New Roman" w:hAnsi="Times New Roman" w:cs="Times New Roman"/>
          <w:b/>
          <w:bCs/>
          <w:kern w:val="0"/>
          <w14:ligatures w14:val="none"/>
        </w:rPr>
        <w:t xml:space="preserve"> education and STH infection among adults in both clinical and community settings</w:t>
      </w:r>
      <w:r w:rsidR="00AB70AF" w:rsidRPr="004A699A">
        <w:rPr>
          <w:rFonts w:ascii="Times New Roman" w:eastAsia="Times New Roman" w:hAnsi="Times New Roman" w:cs="Times New Roman"/>
          <w:b/>
          <w:bCs/>
          <w:kern w:val="0"/>
          <w14:ligatures w14:val="none"/>
        </w:rPr>
        <w:t>.</w:t>
      </w:r>
      <w:r w:rsidR="000C19F0" w:rsidRPr="004A699A">
        <w:rPr>
          <w:rFonts w:ascii="Times New Roman" w:eastAsia="Times New Roman" w:hAnsi="Times New Roman" w:cs="Times New Roman"/>
          <w:b/>
          <w:bCs/>
          <w:kern w:val="0"/>
          <w14:ligatures w14:val="none"/>
        </w:rPr>
        <w:t xml:space="preserve"> </w:t>
      </w:r>
      <w:r w:rsidR="00AB70AF" w:rsidRPr="004A699A">
        <w:rPr>
          <w:rFonts w:ascii="Times New Roman" w:eastAsia="Times New Roman" w:hAnsi="Times New Roman" w:cs="Times New Roman"/>
          <w:b/>
          <w:bCs/>
          <w:kern w:val="0"/>
          <w14:ligatures w14:val="none"/>
        </w:rPr>
        <w:t>In</w:t>
      </w:r>
      <w:r w:rsidR="000C19F0" w:rsidRPr="004A699A">
        <w:rPr>
          <w:rFonts w:ascii="Times New Roman" w:eastAsia="Times New Roman" w:hAnsi="Times New Roman" w:cs="Times New Roman"/>
          <w:b/>
          <w:bCs/>
          <w:kern w:val="0"/>
          <w14:ligatures w14:val="none"/>
        </w:rPr>
        <w:t xml:space="preserve"> clinical </w:t>
      </w:r>
      <w:r w:rsidR="00AB70AF" w:rsidRPr="004A699A">
        <w:rPr>
          <w:rFonts w:ascii="Times New Roman" w:eastAsia="Times New Roman" w:hAnsi="Times New Roman" w:cs="Times New Roman"/>
          <w:b/>
          <w:bCs/>
          <w:kern w:val="0"/>
          <w14:ligatures w14:val="none"/>
        </w:rPr>
        <w:t>surveys,</w:t>
      </w:r>
      <w:r w:rsidR="000C19F0" w:rsidRPr="004A699A">
        <w:rPr>
          <w:rFonts w:ascii="Times New Roman" w:eastAsia="Times New Roman" w:hAnsi="Times New Roman" w:cs="Times New Roman"/>
          <w:b/>
          <w:bCs/>
          <w:kern w:val="0"/>
          <w14:ligatures w14:val="none"/>
        </w:rPr>
        <w:t xml:space="preserve"> although infection is high persistently among all education group </w:t>
      </w:r>
      <w:r w:rsidR="000C19F0" w:rsidRPr="004A699A">
        <w:rPr>
          <w:rFonts w:ascii="Times New Roman" w:eastAsia="Times New Roman" w:hAnsi="Times New Roman" w:cs="Times New Roman"/>
          <w:b/>
          <w:bCs/>
          <w:kern w:val="0"/>
          <w14:ligatures w14:val="none"/>
        </w:rPr>
        <w:lastRenderedPageBreak/>
        <w:t xml:space="preserve">but </w:t>
      </w:r>
      <w:r w:rsidR="00EB50F7" w:rsidRPr="004A699A">
        <w:rPr>
          <w:rFonts w:ascii="Times New Roman" w:eastAsia="Times New Roman" w:hAnsi="Times New Roman" w:cs="Times New Roman"/>
          <w:b/>
          <w:bCs/>
          <w:kern w:val="0"/>
          <w14:ligatures w14:val="none"/>
        </w:rPr>
        <w:t>higher secondary</w:t>
      </w:r>
      <w:r w:rsidR="000C19F0" w:rsidRPr="004A699A">
        <w:rPr>
          <w:rFonts w:ascii="Times New Roman" w:eastAsia="Times New Roman" w:hAnsi="Times New Roman" w:cs="Times New Roman"/>
          <w:b/>
          <w:bCs/>
          <w:kern w:val="0"/>
          <w14:ligatures w14:val="none"/>
        </w:rPr>
        <w:t xml:space="preserve"> and graduates show considerably low infection rate </w:t>
      </w:r>
      <w:r w:rsidR="0066454B" w:rsidRPr="004A699A">
        <w:rPr>
          <w:rFonts w:ascii="Times New Roman" w:eastAsia="Times New Roman" w:hAnsi="Times New Roman" w:cs="Times New Roman"/>
          <w:b/>
          <w:bCs/>
          <w:kern w:val="0"/>
          <w14:ligatures w14:val="none"/>
        </w:rPr>
        <w:t>compared</w:t>
      </w:r>
      <w:r w:rsidR="000C19F0" w:rsidRPr="004A699A">
        <w:rPr>
          <w:rFonts w:ascii="Times New Roman" w:eastAsia="Times New Roman" w:hAnsi="Times New Roman" w:cs="Times New Roman"/>
          <w:b/>
          <w:bCs/>
          <w:kern w:val="0"/>
          <w14:ligatures w14:val="none"/>
        </w:rPr>
        <w:t xml:space="preserve"> to </w:t>
      </w:r>
      <w:r w:rsidR="0066454B" w:rsidRPr="004A699A">
        <w:rPr>
          <w:rFonts w:ascii="Times New Roman" w:eastAsia="Times New Roman" w:hAnsi="Times New Roman" w:cs="Times New Roman"/>
          <w:b/>
          <w:bCs/>
          <w:kern w:val="0"/>
          <w14:ligatures w14:val="none"/>
        </w:rPr>
        <w:t>secondary, primary</w:t>
      </w:r>
      <w:r w:rsidR="000C19F0" w:rsidRPr="004A699A">
        <w:rPr>
          <w:rFonts w:ascii="Times New Roman" w:eastAsia="Times New Roman" w:hAnsi="Times New Roman" w:cs="Times New Roman"/>
          <w:b/>
          <w:bCs/>
          <w:kern w:val="0"/>
          <w14:ligatures w14:val="none"/>
        </w:rPr>
        <w:t xml:space="preserve"> and illiterates group.</w:t>
      </w:r>
    </w:p>
    <w:p w14:paraId="163AC90E" w14:textId="736703F8" w:rsidR="00236F13" w:rsidRPr="004A699A" w:rsidRDefault="00644CAB" w:rsidP="00F466E3">
      <w:pPr>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AB70AF" w:rsidRPr="004A699A">
        <w:rPr>
          <w:rFonts w:ascii="Times New Roman" w:eastAsia="Times New Roman" w:hAnsi="Times New Roman" w:cs="Times New Roman"/>
          <w:b/>
          <w:bCs/>
          <w:kern w:val="0"/>
          <w14:ligatures w14:val="none"/>
        </w:rPr>
        <w:t>2.</w:t>
      </w:r>
      <w:r w:rsidR="00F466E3" w:rsidRPr="004A699A">
        <w:rPr>
          <w:rFonts w:ascii="Times New Roman" w:eastAsia="Times New Roman" w:hAnsi="Times New Roman" w:cs="Times New Roman"/>
          <w:b/>
          <w:bCs/>
          <w:kern w:val="0"/>
          <w14:ligatures w14:val="none"/>
        </w:rPr>
        <w:t xml:space="preserve"> </w:t>
      </w:r>
      <w:r w:rsidR="004B2D01" w:rsidRPr="004A699A">
        <w:rPr>
          <w:rFonts w:ascii="Times New Roman" w:eastAsia="Times New Roman" w:hAnsi="Times New Roman" w:cs="Times New Roman"/>
          <w:b/>
          <w:bCs/>
          <w:kern w:val="0"/>
          <w14:ligatures w14:val="none"/>
        </w:rPr>
        <w:t xml:space="preserve">STH Prevalence in Children and Parental Education </w:t>
      </w:r>
    </w:p>
    <w:p w14:paraId="6C9425A3" w14:textId="77777777" w:rsidR="00236F13" w:rsidRPr="004A699A" w:rsidRDefault="00D91E6D" w:rsidP="009B2415">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Clinical surve</w:t>
      </w:r>
      <w:r w:rsidR="00260EA4" w:rsidRPr="004A699A">
        <w:rPr>
          <w:rFonts w:ascii="Times New Roman" w:eastAsia="Times New Roman" w:hAnsi="Times New Roman" w:cs="Times New Roman"/>
          <w:b/>
          <w:bCs/>
          <w:kern w:val="0"/>
          <w14:ligatures w14:val="none"/>
        </w:rPr>
        <w:t>y:</w:t>
      </w:r>
      <w:r w:rsidR="00F466E3" w:rsidRPr="004A699A">
        <w:rPr>
          <w:rFonts w:ascii="Times New Roman" w:eastAsia="Times New Roman" w:hAnsi="Times New Roman" w:cs="Times New Roman"/>
          <w:b/>
          <w:bCs/>
          <w:kern w:val="0"/>
          <w14:ligatures w14:val="none"/>
        </w:rPr>
        <w:t xml:space="preserve"> </w:t>
      </w:r>
      <w:r w:rsidR="004B2D01" w:rsidRPr="004A699A">
        <w:rPr>
          <w:rFonts w:ascii="Times New Roman" w:eastAsia="Times New Roman" w:hAnsi="Times New Roman" w:cs="Times New Roman"/>
          <w:kern w:val="0"/>
          <w14:ligatures w14:val="none"/>
        </w:rPr>
        <w:t>For individuals under 20 years of age (n=485), there was no significant correlation between STH infection and paternal education (χ² = 0.15, p = 0.997) or maternal education (χ² = 1.22, p = 0.875)</w:t>
      </w:r>
      <w:r w:rsidR="00236F13" w:rsidRPr="004A699A">
        <w:rPr>
          <w:rFonts w:ascii="Times New Roman" w:eastAsia="Times New Roman" w:hAnsi="Times New Roman" w:cs="Times New Roman"/>
          <w:kern w:val="0"/>
          <w14:ligatures w14:val="none"/>
        </w:rPr>
        <w:t xml:space="preserve"> </w:t>
      </w:r>
      <w:r w:rsidR="00AB70AF" w:rsidRPr="004A699A">
        <w:rPr>
          <w:rFonts w:ascii="Times New Roman" w:eastAsia="Times New Roman" w:hAnsi="Times New Roman" w:cs="Times New Roman"/>
          <w:kern w:val="0"/>
          <w14:ligatures w14:val="none"/>
        </w:rPr>
        <w:t xml:space="preserve">as shown in table </w:t>
      </w:r>
      <w:r w:rsidR="005968D6" w:rsidRPr="004A699A">
        <w:rPr>
          <w:rFonts w:ascii="Times New Roman" w:eastAsia="Times New Roman" w:hAnsi="Times New Roman" w:cs="Times New Roman"/>
          <w:kern w:val="0"/>
          <w14:ligatures w14:val="none"/>
        </w:rPr>
        <w:t>8</w:t>
      </w:r>
      <w:r w:rsidR="004B2D01" w:rsidRPr="004A699A">
        <w:rPr>
          <w:rFonts w:ascii="Times New Roman" w:eastAsia="Times New Roman" w:hAnsi="Times New Roman" w:cs="Times New Roman"/>
          <w:kern w:val="0"/>
          <w14:ligatures w14:val="none"/>
        </w:rPr>
        <w:t>.</w:t>
      </w:r>
      <w:r w:rsidR="00AB70AF" w:rsidRPr="004A699A">
        <w:rPr>
          <w:rFonts w:ascii="Times New Roman" w:eastAsia="Times New Roman" w:hAnsi="Times New Roman" w:cs="Times New Roman"/>
          <w:kern w:val="0"/>
          <w14:ligatures w14:val="none"/>
        </w:rPr>
        <w:t>As described in table 2</w:t>
      </w:r>
      <w:r w:rsidR="002E7DCF" w:rsidRPr="004A699A">
        <w:rPr>
          <w:rFonts w:ascii="Times New Roman" w:eastAsia="Times New Roman" w:hAnsi="Times New Roman" w:cs="Times New Roman"/>
          <w:kern w:val="0"/>
          <w14:ligatures w14:val="none"/>
        </w:rPr>
        <w:t xml:space="preserve"> and 3</w:t>
      </w:r>
      <w:r w:rsidR="004B2D01" w:rsidRPr="004A699A">
        <w:rPr>
          <w:rFonts w:ascii="Times New Roman" w:eastAsia="Times New Roman" w:hAnsi="Times New Roman" w:cs="Times New Roman"/>
          <w:kern w:val="0"/>
          <w14:ligatures w14:val="none"/>
        </w:rPr>
        <w:t xml:space="preserve"> </w:t>
      </w:r>
      <w:r w:rsidR="00AB70AF" w:rsidRPr="004A699A">
        <w:rPr>
          <w:rFonts w:ascii="Times New Roman" w:eastAsia="Times New Roman" w:hAnsi="Times New Roman" w:cs="Times New Roman"/>
          <w:kern w:val="0"/>
          <w14:ligatures w14:val="none"/>
        </w:rPr>
        <w:t>t</w:t>
      </w:r>
      <w:r w:rsidR="004B2D01" w:rsidRPr="004A699A">
        <w:rPr>
          <w:rFonts w:ascii="Times New Roman" w:eastAsia="Times New Roman" w:hAnsi="Times New Roman" w:cs="Times New Roman"/>
          <w:kern w:val="0"/>
          <w14:ligatures w14:val="none"/>
        </w:rPr>
        <w:t>he incidence remained continuously high (88–93%) across all levels of education. These data indicate that in endemic contexts, parental education alone may not provide substantial protection without simultaneous</w:t>
      </w:r>
      <w:r w:rsidR="00236F13" w:rsidRPr="004A699A">
        <w:rPr>
          <w:rFonts w:ascii="Times New Roman" w:eastAsia="Times New Roman" w:hAnsi="Times New Roman" w:cs="Times New Roman"/>
          <w:kern w:val="0"/>
          <w14:ligatures w14:val="none"/>
        </w:rPr>
        <w:t xml:space="preserve"> community-level interventions.</w:t>
      </w:r>
    </w:p>
    <w:p w14:paraId="6D071BD9" w14:textId="0A74C518" w:rsidR="006C7B19" w:rsidRPr="004A699A" w:rsidRDefault="00D91E6D" w:rsidP="009B2415">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Community survey:</w:t>
      </w:r>
      <w:r w:rsidR="00F466E3" w:rsidRPr="004A699A">
        <w:rPr>
          <w:rFonts w:ascii="Times New Roman" w:eastAsia="Times New Roman" w:hAnsi="Times New Roman" w:cs="Times New Roman"/>
          <w:kern w:val="0"/>
          <w14:ligatures w14:val="none"/>
        </w:rPr>
        <w:t xml:space="preserve"> </w:t>
      </w:r>
      <w:r w:rsidR="00D747D2" w:rsidRPr="004A699A">
        <w:rPr>
          <w:rFonts w:ascii="Times New Roman" w:eastAsia="Times New Roman" w:hAnsi="Times New Roman" w:cs="Times New Roman"/>
          <w:kern w:val="0"/>
          <w14:ligatures w14:val="none"/>
        </w:rPr>
        <w:t>The overall prevalence of STH infection among children</w:t>
      </w:r>
      <w:r w:rsidR="00236F13" w:rsidRPr="004A699A">
        <w:rPr>
          <w:rFonts w:ascii="Times New Roman" w:eastAsia="Times New Roman" w:hAnsi="Times New Roman" w:cs="Times New Roman"/>
          <w:kern w:val="0"/>
          <w14:ligatures w14:val="none"/>
        </w:rPr>
        <w:t xml:space="preserve"> </w:t>
      </w:r>
      <w:r w:rsidR="00D747D2" w:rsidRPr="004A699A">
        <w:rPr>
          <w:rFonts w:ascii="Times New Roman" w:eastAsia="Times New Roman" w:hAnsi="Times New Roman" w:cs="Times New Roman"/>
          <w:kern w:val="0"/>
          <w14:ligatures w14:val="none"/>
        </w:rPr>
        <w:t>(n=199)</w:t>
      </w:r>
      <w:r w:rsidR="007F5503" w:rsidRPr="004A699A">
        <w:rPr>
          <w:rFonts w:ascii="Times New Roman" w:eastAsia="Times New Roman" w:hAnsi="Times New Roman" w:cs="Times New Roman"/>
          <w:kern w:val="0"/>
          <w14:ligatures w14:val="none"/>
        </w:rPr>
        <w:t xml:space="preserve"> </w:t>
      </w:r>
      <w:r w:rsidR="00D747D2" w:rsidRPr="004A699A">
        <w:rPr>
          <w:rFonts w:ascii="Times New Roman" w:eastAsia="Times New Roman" w:hAnsi="Times New Roman" w:cs="Times New Roman"/>
          <w:kern w:val="0"/>
          <w14:ligatures w14:val="none"/>
        </w:rPr>
        <w:t>was 58.3</w:t>
      </w:r>
      <w:r w:rsidR="0066454B" w:rsidRPr="004A699A">
        <w:rPr>
          <w:rFonts w:ascii="Times New Roman" w:eastAsia="Times New Roman" w:hAnsi="Times New Roman" w:cs="Times New Roman"/>
          <w:kern w:val="0"/>
          <w14:ligatures w14:val="none"/>
        </w:rPr>
        <w:t>%. As</w:t>
      </w:r>
      <w:r w:rsidR="002E7DCF" w:rsidRPr="004A699A">
        <w:rPr>
          <w:rFonts w:ascii="Times New Roman" w:eastAsia="Times New Roman" w:hAnsi="Times New Roman" w:cs="Times New Roman"/>
          <w:kern w:val="0"/>
          <w14:ligatures w14:val="none"/>
        </w:rPr>
        <w:t xml:space="preserve"> referred in table 2</w:t>
      </w:r>
      <w:r w:rsidR="00D747D2" w:rsidRPr="004A699A">
        <w:rPr>
          <w:rFonts w:ascii="Times New Roman" w:eastAsia="Times New Roman" w:hAnsi="Times New Roman" w:cs="Times New Roman"/>
          <w:kern w:val="0"/>
          <w14:ligatures w14:val="none"/>
        </w:rPr>
        <w:t xml:space="preserve"> </w:t>
      </w:r>
      <w:r w:rsidR="002E7DCF" w:rsidRPr="004A699A">
        <w:rPr>
          <w:rFonts w:ascii="Times New Roman" w:eastAsia="Times New Roman" w:hAnsi="Times New Roman" w:cs="Times New Roman"/>
          <w:kern w:val="0"/>
          <w14:ligatures w14:val="none"/>
        </w:rPr>
        <w:t>t</w:t>
      </w:r>
      <w:r w:rsidR="00D747D2" w:rsidRPr="004A699A">
        <w:rPr>
          <w:rFonts w:ascii="Times New Roman" w:eastAsia="Times New Roman" w:hAnsi="Times New Roman" w:cs="Times New Roman"/>
          <w:kern w:val="0"/>
          <w14:ligatures w14:val="none"/>
        </w:rPr>
        <w:t>he prevalence was greatest among</w:t>
      </w:r>
      <w:r w:rsidR="002E7DCF" w:rsidRPr="004A699A">
        <w:rPr>
          <w:rFonts w:ascii="Times New Roman" w:eastAsia="Times New Roman" w:hAnsi="Times New Roman" w:cs="Times New Roman"/>
          <w:kern w:val="0"/>
          <w14:ligatures w14:val="none"/>
        </w:rPr>
        <w:t xml:space="preserve"> kids of</w:t>
      </w:r>
      <w:r w:rsidR="00D747D2" w:rsidRPr="004A699A">
        <w:rPr>
          <w:rFonts w:ascii="Times New Roman" w:eastAsia="Times New Roman" w:hAnsi="Times New Roman" w:cs="Times New Roman"/>
          <w:kern w:val="0"/>
          <w14:ligatures w14:val="none"/>
        </w:rPr>
        <w:t xml:space="preserve"> </w:t>
      </w:r>
      <w:r w:rsidR="002E7DCF" w:rsidRPr="004A699A">
        <w:rPr>
          <w:rFonts w:ascii="Times New Roman" w:eastAsia="Times New Roman" w:hAnsi="Times New Roman" w:cs="Times New Roman"/>
          <w:kern w:val="0"/>
          <w14:ligatures w14:val="none"/>
        </w:rPr>
        <w:t>primary</w:t>
      </w:r>
      <w:r w:rsidR="00D747D2" w:rsidRPr="004A699A">
        <w:rPr>
          <w:rFonts w:ascii="Times New Roman" w:eastAsia="Times New Roman" w:hAnsi="Times New Roman" w:cs="Times New Roman"/>
          <w:kern w:val="0"/>
          <w14:ligatures w14:val="none"/>
        </w:rPr>
        <w:t xml:space="preserve">-educated mothers (69.8%) and illiterate moms (66.7%), and least among those whose mothers were graduates or above (29.4%). There was a strong inverse trend: as maternal education levels rose, the prevalence of infection fell. </w:t>
      </w:r>
      <w:r w:rsidR="00844F85" w:rsidRPr="004A699A">
        <w:rPr>
          <w:rFonts w:ascii="Times New Roman" w:eastAsia="Times New Roman" w:hAnsi="Times New Roman" w:cs="Times New Roman"/>
          <w:kern w:val="0"/>
          <w14:ligatures w14:val="none"/>
        </w:rPr>
        <w:t>T</w:t>
      </w:r>
      <w:r w:rsidR="00D747D2" w:rsidRPr="004A699A">
        <w:rPr>
          <w:rFonts w:ascii="Times New Roman" w:eastAsia="Times New Roman" w:hAnsi="Times New Roman" w:cs="Times New Roman"/>
          <w:kern w:val="0"/>
          <w14:ligatures w14:val="none"/>
        </w:rPr>
        <w:t>he chi-square test indicated a significant link between maternal education and infection status (χ² = 1</w:t>
      </w:r>
      <w:r w:rsidR="004863A2" w:rsidRPr="004A699A">
        <w:rPr>
          <w:rFonts w:ascii="Times New Roman" w:eastAsia="Times New Roman" w:hAnsi="Times New Roman" w:cs="Times New Roman"/>
          <w:kern w:val="0"/>
          <w14:ligatures w14:val="none"/>
        </w:rPr>
        <w:t>7.22</w:t>
      </w:r>
      <w:r w:rsidR="00D747D2" w:rsidRPr="004A699A">
        <w:rPr>
          <w:rFonts w:ascii="Times New Roman" w:eastAsia="Times New Roman" w:hAnsi="Times New Roman" w:cs="Times New Roman"/>
          <w:kern w:val="0"/>
          <w14:ligatures w14:val="none"/>
        </w:rPr>
        <w:t>, df = 4, p = 0.0</w:t>
      </w:r>
      <w:r w:rsidR="004863A2" w:rsidRPr="004A699A">
        <w:rPr>
          <w:rFonts w:ascii="Times New Roman" w:eastAsia="Times New Roman" w:hAnsi="Times New Roman" w:cs="Times New Roman"/>
          <w:kern w:val="0"/>
          <w14:ligatures w14:val="none"/>
        </w:rPr>
        <w:t>018</w:t>
      </w:r>
      <w:r w:rsidR="00D747D2" w:rsidRPr="004A699A">
        <w:rPr>
          <w:rFonts w:ascii="Times New Roman" w:eastAsia="Times New Roman" w:hAnsi="Times New Roman" w:cs="Times New Roman"/>
          <w:kern w:val="0"/>
          <w14:ligatures w14:val="none"/>
        </w:rPr>
        <w:t>)</w:t>
      </w:r>
      <w:r w:rsidR="002E7DCF" w:rsidRPr="004A699A">
        <w:rPr>
          <w:rFonts w:ascii="Times New Roman" w:eastAsia="Times New Roman" w:hAnsi="Times New Roman" w:cs="Times New Roman"/>
          <w:kern w:val="0"/>
          <w14:ligatures w14:val="none"/>
        </w:rPr>
        <w:t xml:space="preserve"> presented in table </w:t>
      </w:r>
      <w:r w:rsidR="005968D6" w:rsidRPr="004A699A">
        <w:rPr>
          <w:rFonts w:ascii="Times New Roman" w:eastAsia="Times New Roman" w:hAnsi="Times New Roman" w:cs="Times New Roman"/>
          <w:kern w:val="0"/>
          <w14:ligatures w14:val="none"/>
        </w:rPr>
        <w:t>8</w:t>
      </w:r>
      <w:r w:rsidR="00D747D2" w:rsidRPr="004A699A">
        <w:rPr>
          <w:rFonts w:ascii="Times New Roman" w:eastAsia="Times New Roman" w:hAnsi="Times New Roman" w:cs="Times New Roman"/>
          <w:kern w:val="0"/>
          <w14:ligatures w14:val="none"/>
        </w:rPr>
        <w:t xml:space="preserve">.  </w:t>
      </w:r>
      <w:r w:rsidR="007F5503" w:rsidRPr="004A699A">
        <w:rPr>
          <w:rFonts w:ascii="Times New Roman" w:eastAsia="Times New Roman" w:hAnsi="Times New Roman" w:cs="Times New Roman"/>
          <w:kern w:val="0"/>
          <w14:ligatures w14:val="none"/>
        </w:rPr>
        <w:t>This</w:t>
      </w:r>
      <w:r w:rsidR="00D747D2" w:rsidRPr="004A699A">
        <w:rPr>
          <w:rFonts w:ascii="Times New Roman" w:eastAsia="Times New Roman" w:hAnsi="Times New Roman" w:cs="Times New Roman"/>
          <w:kern w:val="0"/>
          <w14:ligatures w14:val="none"/>
        </w:rPr>
        <w:t xml:space="preserve"> data </w:t>
      </w:r>
      <w:r w:rsidR="002E7DCF" w:rsidRPr="004A699A">
        <w:rPr>
          <w:rFonts w:ascii="Times New Roman" w:eastAsia="Times New Roman" w:hAnsi="Times New Roman" w:cs="Times New Roman"/>
          <w:kern w:val="0"/>
          <w14:ligatures w14:val="none"/>
        </w:rPr>
        <w:t>implies</w:t>
      </w:r>
      <w:r w:rsidR="00D747D2" w:rsidRPr="004A699A">
        <w:rPr>
          <w:rFonts w:ascii="Times New Roman" w:eastAsia="Times New Roman" w:hAnsi="Times New Roman" w:cs="Times New Roman"/>
          <w:kern w:val="0"/>
          <w14:ligatures w14:val="none"/>
        </w:rPr>
        <w:t xml:space="preserve"> that maternal education is a significant protective factor, as children of educated mothers are far less likely to have STH infections.</w:t>
      </w:r>
    </w:p>
    <w:p w14:paraId="52103169" w14:textId="77777777" w:rsidR="00644CAB" w:rsidRDefault="00644CAB" w:rsidP="00236F13">
      <w:pPr>
        <w:ind w:left="900" w:hanging="900"/>
        <w:rPr>
          <w:rFonts w:ascii="Times New Roman" w:eastAsia="Times New Roman" w:hAnsi="Times New Roman" w:cs="Times New Roman"/>
          <w:b/>
          <w:bCs/>
          <w:kern w:val="0"/>
          <w14:ligatures w14:val="none"/>
        </w:rPr>
      </w:pPr>
    </w:p>
    <w:p w14:paraId="52446DC6" w14:textId="77777777" w:rsidR="00644CAB" w:rsidRDefault="00644CAB" w:rsidP="00236F13">
      <w:pPr>
        <w:ind w:left="900" w:hanging="900"/>
        <w:rPr>
          <w:rFonts w:ascii="Times New Roman" w:eastAsia="Times New Roman" w:hAnsi="Times New Roman" w:cs="Times New Roman"/>
          <w:b/>
          <w:bCs/>
          <w:kern w:val="0"/>
          <w14:ligatures w14:val="none"/>
        </w:rPr>
      </w:pPr>
    </w:p>
    <w:p w14:paraId="1F96602A" w14:textId="3E8B3F78" w:rsidR="00F466E3" w:rsidRPr="004A699A" w:rsidRDefault="00236F13" w:rsidP="00236F13">
      <w:pPr>
        <w:ind w:left="900" w:hanging="900"/>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Table 2: S</w:t>
      </w:r>
      <w:r w:rsidR="00F466E3" w:rsidRPr="004A699A">
        <w:rPr>
          <w:rFonts w:ascii="Times New Roman" w:eastAsia="Times New Roman" w:hAnsi="Times New Roman" w:cs="Times New Roman"/>
          <w:b/>
          <w:bCs/>
          <w:kern w:val="0"/>
          <w14:ligatures w14:val="none"/>
        </w:rPr>
        <w:t xml:space="preserve">howing prevalence of STH among kids and their relationship with mothers’ education </w:t>
      </w:r>
    </w:p>
    <w:tbl>
      <w:tblPr>
        <w:tblStyle w:val="TableGrid"/>
        <w:tblW w:w="0" w:type="auto"/>
        <w:tblLook w:val="04A0" w:firstRow="1" w:lastRow="0" w:firstColumn="1" w:lastColumn="0" w:noHBand="0" w:noVBand="1"/>
      </w:tblPr>
      <w:tblGrid>
        <w:gridCol w:w="1305"/>
        <w:gridCol w:w="1315"/>
        <w:gridCol w:w="1087"/>
        <w:gridCol w:w="1383"/>
        <w:gridCol w:w="1510"/>
        <w:gridCol w:w="1475"/>
        <w:gridCol w:w="1501"/>
      </w:tblGrid>
      <w:tr w:rsidR="00446F92" w:rsidRPr="004A699A" w14:paraId="3B9658B9" w14:textId="77777777" w:rsidTr="00236F13">
        <w:tc>
          <w:tcPr>
            <w:tcW w:w="0" w:type="auto"/>
            <w:hideMark/>
          </w:tcPr>
          <w:p w14:paraId="44C43670"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Mother’s Education</w:t>
            </w:r>
          </w:p>
        </w:tc>
        <w:tc>
          <w:tcPr>
            <w:tcW w:w="0" w:type="auto"/>
            <w:hideMark/>
          </w:tcPr>
          <w:p w14:paraId="36694207"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Survey Examined</w:t>
            </w:r>
          </w:p>
        </w:tc>
        <w:tc>
          <w:tcPr>
            <w:tcW w:w="0" w:type="auto"/>
            <w:hideMark/>
          </w:tcPr>
          <w:p w14:paraId="7F16CA20"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Infected</w:t>
            </w:r>
          </w:p>
        </w:tc>
        <w:tc>
          <w:tcPr>
            <w:tcW w:w="0" w:type="auto"/>
            <w:hideMark/>
          </w:tcPr>
          <w:p w14:paraId="285527AF"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Prevalence (%)</w:t>
            </w:r>
          </w:p>
        </w:tc>
        <w:tc>
          <w:tcPr>
            <w:tcW w:w="0" w:type="auto"/>
            <w:hideMark/>
          </w:tcPr>
          <w:p w14:paraId="65E03A5D"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Survey Examined</w:t>
            </w:r>
          </w:p>
        </w:tc>
        <w:tc>
          <w:tcPr>
            <w:tcW w:w="0" w:type="auto"/>
            <w:hideMark/>
          </w:tcPr>
          <w:p w14:paraId="662C0129"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Infected</w:t>
            </w:r>
          </w:p>
        </w:tc>
        <w:tc>
          <w:tcPr>
            <w:tcW w:w="0" w:type="auto"/>
            <w:hideMark/>
          </w:tcPr>
          <w:p w14:paraId="41357A01" w14:textId="77777777" w:rsidR="006C7B19" w:rsidRPr="004A699A" w:rsidRDefault="006C7B19" w:rsidP="00F466E3">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Prevalence (%)</w:t>
            </w:r>
          </w:p>
        </w:tc>
      </w:tr>
      <w:tr w:rsidR="00446F92" w:rsidRPr="004A699A" w14:paraId="6B3746E8" w14:textId="77777777" w:rsidTr="00236F13">
        <w:tc>
          <w:tcPr>
            <w:tcW w:w="0" w:type="auto"/>
            <w:hideMark/>
          </w:tcPr>
          <w:p w14:paraId="11D67B50"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Illiterate</w:t>
            </w:r>
          </w:p>
        </w:tc>
        <w:tc>
          <w:tcPr>
            <w:tcW w:w="0" w:type="auto"/>
            <w:hideMark/>
          </w:tcPr>
          <w:p w14:paraId="6C457830"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95</w:t>
            </w:r>
          </w:p>
        </w:tc>
        <w:tc>
          <w:tcPr>
            <w:tcW w:w="0" w:type="auto"/>
            <w:hideMark/>
          </w:tcPr>
          <w:p w14:paraId="4020B842"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88</w:t>
            </w:r>
          </w:p>
        </w:tc>
        <w:tc>
          <w:tcPr>
            <w:tcW w:w="0" w:type="auto"/>
            <w:hideMark/>
          </w:tcPr>
          <w:p w14:paraId="42498854"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92.63%                </w:t>
            </w:r>
          </w:p>
        </w:tc>
        <w:tc>
          <w:tcPr>
            <w:tcW w:w="0" w:type="auto"/>
            <w:hideMark/>
          </w:tcPr>
          <w:p w14:paraId="19FFDBE1"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21</w:t>
            </w:r>
          </w:p>
        </w:tc>
        <w:tc>
          <w:tcPr>
            <w:tcW w:w="0" w:type="auto"/>
            <w:hideMark/>
          </w:tcPr>
          <w:p w14:paraId="07A306A8"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14</w:t>
            </w:r>
          </w:p>
        </w:tc>
        <w:tc>
          <w:tcPr>
            <w:tcW w:w="0" w:type="auto"/>
            <w:hideMark/>
          </w:tcPr>
          <w:p w14:paraId="14430C30"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66.7%</w:t>
            </w:r>
          </w:p>
        </w:tc>
      </w:tr>
      <w:tr w:rsidR="00446F92" w:rsidRPr="004A699A" w14:paraId="751B57B8" w14:textId="77777777" w:rsidTr="00236F13">
        <w:tc>
          <w:tcPr>
            <w:tcW w:w="0" w:type="auto"/>
            <w:hideMark/>
          </w:tcPr>
          <w:p w14:paraId="42A81855"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Primary</w:t>
            </w:r>
          </w:p>
        </w:tc>
        <w:tc>
          <w:tcPr>
            <w:tcW w:w="0" w:type="auto"/>
            <w:hideMark/>
          </w:tcPr>
          <w:p w14:paraId="45BA5E01"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115</w:t>
            </w:r>
          </w:p>
        </w:tc>
        <w:tc>
          <w:tcPr>
            <w:tcW w:w="0" w:type="auto"/>
            <w:hideMark/>
          </w:tcPr>
          <w:p w14:paraId="19B52023"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105</w:t>
            </w:r>
          </w:p>
        </w:tc>
        <w:tc>
          <w:tcPr>
            <w:tcW w:w="0" w:type="auto"/>
            <w:hideMark/>
          </w:tcPr>
          <w:p w14:paraId="549E9509"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91.30%</w:t>
            </w:r>
          </w:p>
        </w:tc>
        <w:tc>
          <w:tcPr>
            <w:tcW w:w="0" w:type="auto"/>
            <w:hideMark/>
          </w:tcPr>
          <w:p w14:paraId="62C86E8E"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63</w:t>
            </w:r>
          </w:p>
        </w:tc>
        <w:tc>
          <w:tcPr>
            <w:tcW w:w="0" w:type="auto"/>
            <w:hideMark/>
          </w:tcPr>
          <w:p w14:paraId="3E463A31"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44</w:t>
            </w:r>
          </w:p>
        </w:tc>
        <w:tc>
          <w:tcPr>
            <w:tcW w:w="0" w:type="auto"/>
            <w:hideMark/>
          </w:tcPr>
          <w:p w14:paraId="27334644"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69.8%</w:t>
            </w:r>
          </w:p>
        </w:tc>
      </w:tr>
      <w:tr w:rsidR="00446F92" w:rsidRPr="004A699A" w14:paraId="5068B065" w14:textId="77777777" w:rsidTr="00236F13">
        <w:tc>
          <w:tcPr>
            <w:tcW w:w="0" w:type="auto"/>
            <w:hideMark/>
          </w:tcPr>
          <w:p w14:paraId="350136D0"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Secondary</w:t>
            </w:r>
          </w:p>
        </w:tc>
        <w:tc>
          <w:tcPr>
            <w:tcW w:w="0" w:type="auto"/>
            <w:hideMark/>
          </w:tcPr>
          <w:p w14:paraId="0AA0A4E7"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93</w:t>
            </w:r>
          </w:p>
        </w:tc>
        <w:tc>
          <w:tcPr>
            <w:tcW w:w="0" w:type="auto"/>
            <w:hideMark/>
          </w:tcPr>
          <w:p w14:paraId="4FE2F581"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85</w:t>
            </w:r>
          </w:p>
        </w:tc>
        <w:tc>
          <w:tcPr>
            <w:tcW w:w="0" w:type="auto"/>
            <w:hideMark/>
          </w:tcPr>
          <w:p w14:paraId="50F1298F"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91.39%</w:t>
            </w:r>
          </w:p>
        </w:tc>
        <w:tc>
          <w:tcPr>
            <w:tcW w:w="0" w:type="auto"/>
            <w:hideMark/>
          </w:tcPr>
          <w:p w14:paraId="4ED428AB"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36</w:t>
            </w:r>
          </w:p>
        </w:tc>
        <w:tc>
          <w:tcPr>
            <w:tcW w:w="0" w:type="auto"/>
            <w:hideMark/>
          </w:tcPr>
          <w:p w14:paraId="3C28FA2B"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24</w:t>
            </w:r>
          </w:p>
        </w:tc>
        <w:tc>
          <w:tcPr>
            <w:tcW w:w="0" w:type="auto"/>
            <w:hideMark/>
          </w:tcPr>
          <w:p w14:paraId="0B12197E"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66.7%</w:t>
            </w:r>
          </w:p>
        </w:tc>
      </w:tr>
      <w:tr w:rsidR="00446F92" w:rsidRPr="004A699A" w14:paraId="0D857240" w14:textId="77777777" w:rsidTr="00236F13">
        <w:tc>
          <w:tcPr>
            <w:tcW w:w="0" w:type="auto"/>
            <w:hideMark/>
          </w:tcPr>
          <w:p w14:paraId="5B43E051"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lastRenderedPageBreak/>
              <w:t>Higher Secondary</w:t>
            </w:r>
          </w:p>
        </w:tc>
        <w:tc>
          <w:tcPr>
            <w:tcW w:w="0" w:type="auto"/>
            <w:hideMark/>
          </w:tcPr>
          <w:p w14:paraId="56016428"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96</w:t>
            </w:r>
          </w:p>
        </w:tc>
        <w:tc>
          <w:tcPr>
            <w:tcW w:w="0" w:type="auto"/>
            <w:hideMark/>
          </w:tcPr>
          <w:p w14:paraId="0E6C3F7B"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86</w:t>
            </w:r>
          </w:p>
        </w:tc>
        <w:tc>
          <w:tcPr>
            <w:tcW w:w="0" w:type="auto"/>
            <w:hideMark/>
          </w:tcPr>
          <w:p w14:paraId="69CC0934"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89.58%</w:t>
            </w:r>
          </w:p>
        </w:tc>
        <w:tc>
          <w:tcPr>
            <w:tcW w:w="0" w:type="auto"/>
            <w:hideMark/>
          </w:tcPr>
          <w:p w14:paraId="538A0095"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45</w:t>
            </w:r>
          </w:p>
        </w:tc>
        <w:tc>
          <w:tcPr>
            <w:tcW w:w="0" w:type="auto"/>
            <w:hideMark/>
          </w:tcPr>
          <w:p w14:paraId="70453529"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24</w:t>
            </w:r>
          </w:p>
        </w:tc>
        <w:tc>
          <w:tcPr>
            <w:tcW w:w="0" w:type="auto"/>
            <w:hideMark/>
          </w:tcPr>
          <w:p w14:paraId="2A15485A"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53.3%</w:t>
            </w:r>
          </w:p>
        </w:tc>
      </w:tr>
      <w:tr w:rsidR="00446F92" w:rsidRPr="004A699A" w14:paraId="0E2D09F2" w14:textId="77777777" w:rsidTr="00236F13">
        <w:tc>
          <w:tcPr>
            <w:tcW w:w="0" w:type="auto"/>
            <w:hideMark/>
          </w:tcPr>
          <w:p w14:paraId="537CB4A6"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Graduate+</w:t>
            </w:r>
          </w:p>
        </w:tc>
        <w:tc>
          <w:tcPr>
            <w:tcW w:w="0" w:type="auto"/>
            <w:hideMark/>
          </w:tcPr>
          <w:p w14:paraId="722B355E"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86</w:t>
            </w:r>
          </w:p>
        </w:tc>
        <w:tc>
          <w:tcPr>
            <w:tcW w:w="0" w:type="auto"/>
            <w:hideMark/>
          </w:tcPr>
          <w:p w14:paraId="7EAB5B05"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76</w:t>
            </w:r>
          </w:p>
        </w:tc>
        <w:tc>
          <w:tcPr>
            <w:tcW w:w="0" w:type="auto"/>
            <w:hideMark/>
          </w:tcPr>
          <w:p w14:paraId="0ECFC309"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88.37%</w:t>
            </w:r>
          </w:p>
        </w:tc>
        <w:tc>
          <w:tcPr>
            <w:tcW w:w="0" w:type="auto"/>
            <w:hideMark/>
          </w:tcPr>
          <w:p w14:paraId="5379D941"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34</w:t>
            </w:r>
          </w:p>
        </w:tc>
        <w:tc>
          <w:tcPr>
            <w:tcW w:w="0" w:type="auto"/>
            <w:hideMark/>
          </w:tcPr>
          <w:p w14:paraId="04907A2B"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10</w:t>
            </w:r>
          </w:p>
        </w:tc>
        <w:tc>
          <w:tcPr>
            <w:tcW w:w="0" w:type="auto"/>
            <w:hideMark/>
          </w:tcPr>
          <w:p w14:paraId="35AB7826"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29.4%</w:t>
            </w:r>
          </w:p>
        </w:tc>
      </w:tr>
      <w:tr w:rsidR="00446F92" w:rsidRPr="004A699A" w14:paraId="3A33085A" w14:textId="77777777" w:rsidTr="00236F13">
        <w:trPr>
          <w:trHeight w:val="413"/>
        </w:trPr>
        <w:tc>
          <w:tcPr>
            <w:tcW w:w="0" w:type="auto"/>
            <w:hideMark/>
          </w:tcPr>
          <w:p w14:paraId="70E34EF8"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Total</w:t>
            </w:r>
          </w:p>
        </w:tc>
        <w:tc>
          <w:tcPr>
            <w:tcW w:w="0" w:type="auto"/>
            <w:hideMark/>
          </w:tcPr>
          <w:p w14:paraId="5B5979ED"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485</w:t>
            </w:r>
          </w:p>
        </w:tc>
        <w:tc>
          <w:tcPr>
            <w:tcW w:w="0" w:type="auto"/>
            <w:hideMark/>
          </w:tcPr>
          <w:p w14:paraId="12A7606D"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440</w:t>
            </w:r>
          </w:p>
        </w:tc>
        <w:tc>
          <w:tcPr>
            <w:tcW w:w="0" w:type="auto"/>
            <w:hideMark/>
          </w:tcPr>
          <w:p w14:paraId="3A2AFB95"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90.72%</w:t>
            </w:r>
          </w:p>
        </w:tc>
        <w:tc>
          <w:tcPr>
            <w:tcW w:w="0" w:type="auto"/>
            <w:hideMark/>
          </w:tcPr>
          <w:p w14:paraId="1E024FA2"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199</w:t>
            </w:r>
          </w:p>
        </w:tc>
        <w:tc>
          <w:tcPr>
            <w:tcW w:w="0" w:type="auto"/>
            <w:hideMark/>
          </w:tcPr>
          <w:p w14:paraId="59B5BEC9"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116</w:t>
            </w:r>
          </w:p>
        </w:tc>
        <w:tc>
          <w:tcPr>
            <w:tcW w:w="0" w:type="auto"/>
            <w:hideMark/>
          </w:tcPr>
          <w:p w14:paraId="2C65030E" w14:textId="77777777" w:rsidR="006C7B19" w:rsidRPr="004A699A" w:rsidRDefault="006C7B19" w:rsidP="00F466E3">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58.3%</w:t>
            </w:r>
          </w:p>
        </w:tc>
      </w:tr>
    </w:tbl>
    <w:p w14:paraId="23FCAABD" w14:textId="77777777" w:rsidR="004B2BF4" w:rsidRPr="004A699A" w:rsidRDefault="004B2BF4" w:rsidP="005D610B">
      <w:pPr>
        <w:rPr>
          <w:rFonts w:ascii="Times New Roman" w:eastAsia="Times New Roman" w:hAnsi="Times New Roman" w:cs="Times New Roman"/>
          <w:kern w:val="0"/>
          <w14:ligatures w14:val="none"/>
        </w:rPr>
      </w:pPr>
    </w:p>
    <w:p w14:paraId="407D1FCF" w14:textId="5E7B2653" w:rsidR="00804EE7" w:rsidRPr="004A699A" w:rsidRDefault="00426BF5" w:rsidP="00F466E3">
      <w:pPr>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A total of 199 children were assessed based on the educational levels of their </w:t>
      </w:r>
      <w:r w:rsidR="00FD45D3" w:rsidRPr="004A699A">
        <w:rPr>
          <w:rFonts w:ascii="Times New Roman" w:eastAsia="Times New Roman" w:hAnsi="Times New Roman" w:cs="Times New Roman"/>
          <w:kern w:val="0"/>
          <w14:ligatures w14:val="none"/>
        </w:rPr>
        <w:t>fathers. As referred in table 3</w:t>
      </w:r>
      <w:r w:rsidRPr="004A699A">
        <w:rPr>
          <w:rFonts w:ascii="Times New Roman" w:eastAsia="Times New Roman" w:hAnsi="Times New Roman" w:cs="Times New Roman"/>
          <w:kern w:val="0"/>
          <w14:ligatures w14:val="none"/>
        </w:rPr>
        <w:t xml:space="preserve"> </w:t>
      </w:r>
      <w:r w:rsidR="00FD45D3" w:rsidRPr="004A699A">
        <w:rPr>
          <w:rFonts w:ascii="Times New Roman" w:eastAsia="Times New Roman" w:hAnsi="Times New Roman" w:cs="Times New Roman"/>
          <w:kern w:val="0"/>
          <w14:ligatures w14:val="none"/>
        </w:rPr>
        <w:t>t</w:t>
      </w:r>
      <w:r w:rsidRPr="004A699A">
        <w:rPr>
          <w:rFonts w:ascii="Times New Roman" w:eastAsia="Times New Roman" w:hAnsi="Times New Roman" w:cs="Times New Roman"/>
          <w:kern w:val="0"/>
          <w14:ligatures w14:val="none"/>
        </w:rPr>
        <w:t>he infection rate was 80.0% among children of illiterate dads (8/10), 51.0% among children of upper secondary fathers (31/51), and 73.1% among children of graduate fathers (19/26). The prevalence in the primary and secondary groups was 51.0% (25/49) and 52.4% (33/63), respectively. There was some variance in prevalence, but the chi-square test did not show a statistically significant link between the father's education and the child's STH infection (χ² = 6.</w:t>
      </w:r>
      <w:r w:rsidR="004863A2" w:rsidRPr="004A699A">
        <w:rPr>
          <w:rFonts w:ascii="Times New Roman" w:eastAsia="Times New Roman" w:hAnsi="Times New Roman" w:cs="Times New Roman"/>
          <w:kern w:val="0"/>
          <w14:ligatures w14:val="none"/>
        </w:rPr>
        <w:t>15</w:t>
      </w:r>
      <w:r w:rsidRPr="004A699A">
        <w:rPr>
          <w:rFonts w:ascii="Times New Roman" w:eastAsia="Times New Roman" w:hAnsi="Times New Roman" w:cs="Times New Roman"/>
          <w:kern w:val="0"/>
          <w14:ligatures w14:val="none"/>
        </w:rPr>
        <w:t xml:space="preserve">, df = 4, p = </w:t>
      </w:r>
      <w:r w:rsidR="00FD45D3" w:rsidRPr="004A699A">
        <w:rPr>
          <w:rFonts w:ascii="Times New Roman" w:eastAsia="Times New Roman" w:hAnsi="Times New Roman" w:cs="Times New Roman"/>
          <w:kern w:val="0"/>
          <w14:ligatures w14:val="none"/>
        </w:rPr>
        <w:t xml:space="preserve">0.189) as shown in table </w:t>
      </w:r>
      <w:r w:rsidR="005968D6" w:rsidRPr="004A699A">
        <w:rPr>
          <w:rFonts w:ascii="Times New Roman" w:eastAsia="Times New Roman" w:hAnsi="Times New Roman" w:cs="Times New Roman"/>
          <w:kern w:val="0"/>
          <w14:ligatures w14:val="none"/>
        </w:rPr>
        <w:t>8</w:t>
      </w:r>
      <w:r w:rsidRPr="004A699A">
        <w:rPr>
          <w:rFonts w:ascii="Times New Roman" w:eastAsia="Times New Roman" w:hAnsi="Times New Roman" w:cs="Times New Roman"/>
          <w:kern w:val="0"/>
          <w14:ligatures w14:val="none"/>
        </w:rPr>
        <w:t xml:space="preserve">. This indicates </w:t>
      </w:r>
      <w:r w:rsidR="00FD45D3" w:rsidRPr="004A699A">
        <w:rPr>
          <w:rFonts w:ascii="Times New Roman" w:eastAsia="Times New Roman" w:hAnsi="Times New Roman" w:cs="Times New Roman"/>
          <w:kern w:val="0"/>
          <w14:ligatures w14:val="none"/>
        </w:rPr>
        <w:t>that, in this study</w:t>
      </w:r>
      <w:r w:rsidRPr="004A699A">
        <w:rPr>
          <w:rFonts w:ascii="Times New Roman" w:eastAsia="Times New Roman" w:hAnsi="Times New Roman" w:cs="Times New Roman"/>
          <w:kern w:val="0"/>
          <w14:ligatures w14:val="none"/>
        </w:rPr>
        <w:t xml:space="preserve"> father education level did not influence the likelihood of STH infection in </w:t>
      </w:r>
      <w:r w:rsidR="00FD45D3" w:rsidRPr="004A699A">
        <w:rPr>
          <w:rFonts w:ascii="Times New Roman" w:eastAsia="Times New Roman" w:hAnsi="Times New Roman" w:cs="Times New Roman"/>
          <w:kern w:val="0"/>
          <w14:ligatures w14:val="none"/>
        </w:rPr>
        <w:t xml:space="preserve">offspring. Comparison of </w:t>
      </w:r>
      <w:r w:rsidR="0066454B" w:rsidRPr="004A699A">
        <w:rPr>
          <w:rFonts w:ascii="Times New Roman" w:eastAsia="Times New Roman" w:hAnsi="Times New Roman" w:cs="Times New Roman"/>
          <w:kern w:val="0"/>
          <w14:ligatures w14:val="none"/>
        </w:rPr>
        <w:t>father’s</w:t>
      </w:r>
      <w:r w:rsidR="00FD45D3" w:rsidRPr="004A699A">
        <w:rPr>
          <w:rFonts w:ascii="Times New Roman" w:eastAsia="Times New Roman" w:hAnsi="Times New Roman" w:cs="Times New Roman"/>
          <w:kern w:val="0"/>
          <w14:ligatures w14:val="none"/>
        </w:rPr>
        <w:t xml:space="preserve"> education and STH infection among kids in both community and clinical survey are shown in fig 3</w:t>
      </w:r>
      <w:r w:rsidR="0066454B" w:rsidRPr="004A699A">
        <w:rPr>
          <w:rFonts w:ascii="Times New Roman" w:eastAsia="Times New Roman" w:hAnsi="Times New Roman" w:cs="Times New Roman"/>
          <w:kern w:val="0"/>
          <w14:ligatures w14:val="none"/>
        </w:rPr>
        <w:t xml:space="preserve"> through a stacked column chart.</w:t>
      </w:r>
    </w:p>
    <w:p w14:paraId="6AB94240" w14:textId="77777777" w:rsidR="00236F13" w:rsidRPr="004A699A" w:rsidRDefault="00236F13" w:rsidP="00236F13">
      <w:pP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Table -3 showing STH infection among kids and its relationship with fathers’ education</w:t>
      </w:r>
    </w:p>
    <w:p w14:paraId="492D9C18" w14:textId="77777777" w:rsidR="002469F9" w:rsidRPr="004A699A" w:rsidRDefault="002469F9" w:rsidP="005D610B">
      <w:pPr>
        <w:rPr>
          <w:rFonts w:ascii="Times New Roman" w:eastAsia="Times New Roman" w:hAnsi="Times New Roman" w:cs="Times New Roman"/>
          <w:kern w:val="0"/>
          <w14:ligatures w14:val="none"/>
        </w:rPr>
      </w:pPr>
    </w:p>
    <w:tbl>
      <w:tblPr>
        <w:tblStyle w:val="TableGrid"/>
        <w:tblW w:w="0" w:type="auto"/>
        <w:tblLook w:val="04A0" w:firstRow="1" w:lastRow="0" w:firstColumn="1" w:lastColumn="0" w:noHBand="0" w:noVBand="1"/>
      </w:tblPr>
      <w:tblGrid>
        <w:gridCol w:w="1308"/>
        <w:gridCol w:w="1272"/>
        <w:gridCol w:w="1092"/>
        <w:gridCol w:w="1391"/>
        <w:gridCol w:w="1520"/>
        <w:gridCol w:w="1481"/>
        <w:gridCol w:w="1512"/>
      </w:tblGrid>
      <w:tr w:rsidR="00446F92" w:rsidRPr="004A699A" w14:paraId="116B0333" w14:textId="77777777" w:rsidTr="00236F13">
        <w:tc>
          <w:tcPr>
            <w:tcW w:w="0" w:type="auto"/>
            <w:hideMark/>
          </w:tcPr>
          <w:p w14:paraId="7E04C132" w14:textId="77777777"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Father’s Education</w:t>
            </w:r>
          </w:p>
        </w:tc>
        <w:tc>
          <w:tcPr>
            <w:tcW w:w="0" w:type="auto"/>
            <w:hideMark/>
          </w:tcPr>
          <w:p w14:paraId="1774A256" w14:textId="54156F90"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 xml:space="preserve">Clinical Survey </w:t>
            </w:r>
            <w:r w:rsidR="00F8386F" w:rsidRPr="004A699A">
              <w:rPr>
                <w:rFonts w:ascii="Times New Roman" w:eastAsia="Times New Roman" w:hAnsi="Times New Roman" w:cs="Times New Roman"/>
                <w:b/>
                <w:bCs/>
                <w:kern w:val="0"/>
                <w14:ligatures w14:val="none"/>
              </w:rPr>
              <w:t>examined</w:t>
            </w:r>
          </w:p>
        </w:tc>
        <w:tc>
          <w:tcPr>
            <w:tcW w:w="0" w:type="auto"/>
            <w:hideMark/>
          </w:tcPr>
          <w:p w14:paraId="70848ACA" w14:textId="77777777"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Infected</w:t>
            </w:r>
          </w:p>
        </w:tc>
        <w:tc>
          <w:tcPr>
            <w:tcW w:w="0" w:type="auto"/>
            <w:hideMark/>
          </w:tcPr>
          <w:p w14:paraId="27CD6783" w14:textId="77777777"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Clinical Prevalence (%)</w:t>
            </w:r>
          </w:p>
        </w:tc>
        <w:tc>
          <w:tcPr>
            <w:tcW w:w="0" w:type="auto"/>
            <w:hideMark/>
          </w:tcPr>
          <w:p w14:paraId="0E08D772" w14:textId="7E1F94A3"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Survey examined</w:t>
            </w:r>
          </w:p>
        </w:tc>
        <w:tc>
          <w:tcPr>
            <w:tcW w:w="0" w:type="auto"/>
            <w:hideMark/>
          </w:tcPr>
          <w:p w14:paraId="043DF580" w14:textId="77777777"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Infected</w:t>
            </w:r>
          </w:p>
        </w:tc>
        <w:tc>
          <w:tcPr>
            <w:tcW w:w="0" w:type="auto"/>
            <w:hideMark/>
          </w:tcPr>
          <w:p w14:paraId="57FFF51B" w14:textId="77777777" w:rsidR="006C7B19" w:rsidRPr="004A699A" w:rsidRDefault="006C7B19" w:rsidP="006C7B19">
            <w:pPr>
              <w:jc w:val="cente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Community Prevalence (%)</w:t>
            </w:r>
          </w:p>
        </w:tc>
      </w:tr>
      <w:tr w:rsidR="00446F92" w:rsidRPr="004A699A" w14:paraId="0F204DB0" w14:textId="77777777" w:rsidTr="00236F13">
        <w:tc>
          <w:tcPr>
            <w:tcW w:w="0" w:type="auto"/>
            <w:hideMark/>
          </w:tcPr>
          <w:p w14:paraId="51666EB4"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Illiterate</w:t>
            </w:r>
          </w:p>
        </w:tc>
        <w:tc>
          <w:tcPr>
            <w:tcW w:w="0" w:type="auto"/>
            <w:hideMark/>
          </w:tcPr>
          <w:p w14:paraId="61B1CB8D"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71</w:t>
            </w:r>
          </w:p>
        </w:tc>
        <w:tc>
          <w:tcPr>
            <w:tcW w:w="0" w:type="auto"/>
            <w:hideMark/>
          </w:tcPr>
          <w:p w14:paraId="7CDACA18"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64</w:t>
            </w:r>
          </w:p>
        </w:tc>
        <w:tc>
          <w:tcPr>
            <w:tcW w:w="0" w:type="auto"/>
            <w:hideMark/>
          </w:tcPr>
          <w:p w14:paraId="7087EDCE"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90.1%</w:t>
            </w:r>
          </w:p>
        </w:tc>
        <w:tc>
          <w:tcPr>
            <w:tcW w:w="0" w:type="auto"/>
            <w:hideMark/>
          </w:tcPr>
          <w:p w14:paraId="29BAF80A"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10</w:t>
            </w:r>
          </w:p>
        </w:tc>
        <w:tc>
          <w:tcPr>
            <w:tcW w:w="0" w:type="auto"/>
            <w:hideMark/>
          </w:tcPr>
          <w:p w14:paraId="04CA6962"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w:t>
            </w:r>
          </w:p>
        </w:tc>
        <w:tc>
          <w:tcPr>
            <w:tcW w:w="0" w:type="auto"/>
            <w:hideMark/>
          </w:tcPr>
          <w:p w14:paraId="64398E98" w14:textId="6F731043" w:rsidR="00F466E3"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80.0%</w:t>
            </w:r>
          </w:p>
        </w:tc>
      </w:tr>
      <w:tr w:rsidR="00446F92" w:rsidRPr="004A699A" w14:paraId="5FD1D28A" w14:textId="77777777" w:rsidTr="00236F13">
        <w:tc>
          <w:tcPr>
            <w:tcW w:w="0" w:type="auto"/>
            <w:hideMark/>
          </w:tcPr>
          <w:p w14:paraId="65512510"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Primary</w:t>
            </w:r>
          </w:p>
        </w:tc>
        <w:tc>
          <w:tcPr>
            <w:tcW w:w="0" w:type="auto"/>
            <w:hideMark/>
          </w:tcPr>
          <w:p w14:paraId="7507C5A1"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101</w:t>
            </w:r>
          </w:p>
        </w:tc>
        <w:tc>
          <w:tcPr>
            <w:tcW w:w="0" w:type="auto"/>
            <w:hideMark/>
          </w:tcPr>
          <w:p w14:paraId="4635A421"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91</w:t>
            </w:r>
          </w:p>
        </w:tc>
        <w:tc>
          <w:tcPr>
            <w:tcW w:w="0" w:type="auto"/>
            <w:hideMark/>
          </w:tcPr>
          <w:p w14:paraId="12E65C89"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90.1%</w:t>
            </w:r>
          </w:p>
        </w:tc>
        <w:tc>
          <w:tcPr>
            <w:tcW w:w="0" w:type="auto"/>
            <w:hideMark/>
          </w:tcPr>
          <w:p w14:paraId="2A789F61"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49</w:t>
            </w:r>
          </w:p>
        </w:tc>
        <w:tc>
          <w:tcPr>
            <w:tcW w:w="0" w:type="auto"/>
            <w:hideMark/>
          </w:tcPr>
          <w:p w14:paraId="70871B23"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25</w:t>
            </w:r>
          </w:p>
        </w:tc>
        <w:tc>
          <w:tcPr>
            <w:tcW w:w="0" w:type="auto"/>
            <w:hideMark/>
          </w:tcPr>
          <w:p w14:paraId="0A28F1D3"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51.0%</w:t>
            </w:r>
          </w:p>
        </w:tc>
      </w:tr>
      <w:tr w:rsidR="00446F92" w:rsidRPr="004A699A" w14:paraId="4B60DC63" w14:textId="77777777" w:rsidTr="00236F13">
        <w:tc>
          <w:tcPr>
            <w:tcW w:w="0" w:type="auto"/>
            <w:hideMark/>
          </w:tcPr>
          <w:p w14:paraId="0F86DC64"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Secondary</w:t>
            </w:r>
          </w:p>
        </w:tc>
        <w:tc>
          <w:tcPr>
            <w:tcW w:w="0" w:type="auto"/>
            <w:hideMark/>
          </w:tcPr>
          <w:p w14:paraId="43C19D27"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144</w:t>
            </w:r>
          </w:p>
        </w:tc>
        <w:tc>
          <w:tcPr>
            <w:tcW w:w="0" w:type="auto"/>
            <w:hideMark/>
          </w:tcPr>
          <w:p w14:paraId="75B6BD2D"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131</w:t>
            </w:r>
          </w:p>
        </w:tc>
        <w:tc>
          <w:tcPr>
            <w:tcW w:w="0" w:type="auto"/>
            <w:hideMark/>
          </w:tcPr>
          <w:p w14:paraId="7E8469A5"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91.0%</w:t>
            </w:r>
          </w:p>
        </w:tc>
        <w:tc>
          <w:tcPr>
            <w:tcW w:w="0" w:type="auto"/>
            <w:hideMark/>
          </w:tcPr>
          <w:p w14:paraId="38D5DA59"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63</w:t>
            </w:r>
          </w:p>
        </w:tc>
        <w:tc>
          <w:tcPr>
            <w:tcW w:w="0" w:type="auto"/>
            <w:hideMark/>
          </w:tcPr>
          <w:p w14:paraId="7F266876"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33</w:t>
            </w:r>
          </w:p>
        </w:tc>
        <w:tc>
          <w:tcPr>
            <w:tcW w:w="0" w:type="auto"/>
            <w:hideMark/>
          </w:tcPr>
          <w:p w14:paraId="7F8278CA"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52.4%</w:t>
            </w:r>
          </w:p>
        </w:tc>
      </w:tr>
      <w:tr w:rsidR="00446F92" w:rsidRPr="004A699A" w14:paraId="0959BFBD" w14:textId="77777777" w:rsidTr="00236F13">
        <w:tc>
          <w:tcPr>
            <w:tcW w:w="0" w:type="auto"/>
            <w:hideMark/>
          </w:tcPr>
          <w:p w14:paraId="5DF3974F"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Higher Secondary</w:t>
            </w:r>
          </w:p>
        </w:tc>
        <w:tc>
          <w:tcPr>
            <w:tcW w:w="0" w:type="auto"/>
            <w:hideMark/>
          </w:tcPr>
          <w:p w14:paraId="65008744"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103</w:t>
            </w:r>
          </w:p>
        </w:tc>
        <w:tc>
          <w:tcPr>
            <w:tcW w:w="0" w:type="auto"/>
            <w:hideMark/>
          </w:tcPr>
          <w:p w14:paraId="6052262D"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94</w:t>
            </w:r>
          </w:p>
        </w:tc>
        <w:tc>
          <w:tcPr>
            <w:tcW w:w="0" w:type="auto"/>
            <w:hideMark/>
          </w:tcPr>
          <w:p w14:paraId="4A8F6A75"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91.3%</w:t>
            </w:r>
          </w:p>
        </w:tc>
        <w:tc>
          <w:tcPr>
            <w:tcW w:w="0" w:type="auto"/>
            <w:hideMark/>
          </w:tcPr>
          <w:p w14:paraId="7AF3E9BC"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51</w:t>
            </w:r>
          </w:p>
        </w:tc>
        <w:tc>
          <w:tcPr>
            <w:tcW w:w="0" w:type="auto"/>
            <w:hideMark/>
          </w:tcPr>
          <w:p w14:paraId="7A5ACC53"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31</w:t>
            </w:r>
          </w:p>
        </w:tc>
        <w:tc>
          <w:tcPr>
            <w:tcW w:w="0" w:type="auto"/>
            <w:hideMark/>
          </w:tcPr>
          <w:p w14:paraId="085D9640"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60.8%</w:t>
            </w:r>
          </w:p>
        </w:tc>
      </w:tr>
      <w:tr w:rsidR="00446F92" w:rsidRPr="004A699A" w14:paraId="73FD39A9" w14:textId="77777777" w:rsidTr="00236F13">
        <w:tc>
          <w:tcPr>
            <w:tcW w:w="0" w:type="auto"/>
            <w:hideMark/>
          </w:tcPr>
          <w:p w14:paraId="531D68C3"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Graduate+</w:t>
            </w:r>
          </w:p>
        </w:tc>
        <w:tc>
          <w:tcPr>
            <w:tcW w:w="0" w:type="auto"/>
            <w:hideMark/>
          </w:tcPr>
          <w:p w14:paraId="2A48D609"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66</w:t>
            </w:r>
          </w:p>
        </w:tc>
        <w:tc>
          <w:tcPr>
            <w:tcW w:w="0" w:type="auto"/>
            <w:hideMark/>
          </w:tcPr>
          <w:p w14:paraId="4747DEE7"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60</w:t>
            </w:r>
          </w:p>
        </w:tc>
        <w:tc>
          <w:tcPr>
            <w:tcW w:w="0" w:type="auto"/>
            <w:hideMark/>
          </w:tcPr>
          <w:p w14:paraId="2B3F1046"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90.9%</w:t>
            </w:r>
          </w:p>
        </w:tc>
        <w:tc>
          <w:tcPr>
            <w:tcW w:w="0" w:type="auto"/>
            <w:hideMark/>
          </w:tcPr>
          <w:p w14:paraId="2D60046E"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26</w:t>
            </w:r>
          </w:p>
        </w:tc>
        <w:tc>
          <w:tcPr>
            <w:tcW w:w="0" w:type="auto"/>
            <w:hideMark/>
          </w:tcPr>
          <w:p w14:paraId="5796AFE0"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19</w:t>
            </w:r>
          </w:p>
        </w:tc>
        <w:tc>
          <w:tcPr>
            <w:tcW w:w="0" w:type="auto"/>
            <w:hideMark/>
          </w:tcPr>
          <w:p w14:paraId="4AE5FBE4"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73.1%</w:t>
            </w:r>
          </w:p>
        </w:tc>
      </w:tr>
      <w:tr w:rsidR="00446F92" w:rsidRPr="004A699A" w14:paraId="4284DB1A" w14:textId="77777777" w:rsidTr="00236F13">
        <w:tc>
          <w:tcPr>
            <w:tcW w:w="0" w:type="auto"/>
            <w:hideMark/>
          </w:tcPr>
          <w:p w14:paraId="5499EE72"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Total</w:t>
            </w:r>
          </w:p>
        </w:tc>
        <w:tc>
          <w:tcPr>
            <w:tcW w:w="0" w:type="auto"/>
            <w:hideMark/>
          </w:tcPr>
          <w:p w14:paraId="305D748A"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485</w:t>
            </w:r>
          </w:p>
        </w:tc>
        <w:tc>
          <w:tcPr>
            <w:tcW w:w="0" w:type="auto"/>
            <w:hideMark/>
          </w:tcPr>
          <w:p w14:paraId="0C4CA5E8"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440</w:t>
            </w:r>
          </w:p>
        </w:tc>
        <w:tc>
          <w:tcPr>
            <w:tcW w:w="0" w:type="auto"/>
            <w:hideMark/>
          </w:tcPr>
          <w:p w14:paraId="73856B9A"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90.7%</w:t>
            </w:r>
          </w:p>
        </w:tc>
        <w:tc>
          <w:tcPr>
            <w:tcW w:w="0" w:type="auto"/>
            <w:hideMark/>
          </w:tcPr>
          <w:p w14:paraId="607DE73B"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199</w:t>
            </w:r>
          </w:p>
        </w:tc>
        <w:tc>
          <w:tcPr>
            <w:tcW w:w="0" w:type="auto"/>
            <w:hideMark/>
          </w:tcPr>
          <w:p w14:paraId="591CBF0A"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116</w:t>
            </w:r>
          </w:p>
        </w:tc>
        <w:tc>
          <w:tcPr>
            <w:tcW w:w="0" w:type="auto"/>
            <w:hideMark/>
          </w:tcPr>
          <w:p w14:paraId="3ED9BF18" w14:textId="77777777" w:rsidR="006C7B19" w:rsidRPr="004A699A" w:rsidRDefault="006C7B19" w:rsidP="006C7B1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58.3%</w:t>
            </w:r>
          </w:p>
        </w:tc>
      </w:tr>
    </w:tbl>
    <w:p w14:paraId="380DF47F" w14:textId="77777777" w:rsidR="00F8386F" w:rsidRPr="004A699A" w:rsidRDefault="00F8386F" w:rsidP="005D610B">
      <w:pPr>
        <w:rPr>
          <w:rFonts w:ascii="Times New Roman" w:eastAsia="Times New Roman" w:hAnsi="Times New Roman" w:cs="Times New Roman"/>
          <w:b/>
          <w:bCs/>
          <w:kern w:val="0"/>
          <w14:ligatures w14:val="none"/>
        </w:rPr>
      </w:pPr>
    </w:p>
    <w:p w14:paraId="0C54245C" w14:textId="77777777" w:rsidR="00F8386F" w:rsidRPr="004A699A" w:rsidRDefault="00F8386F" w:rsidP="005D610B">
      <w:pPr>
        <w:rPr>
          <w:rFonts w:ascii="Times New Roman" w:eastAsia="Times New Roman" w:hAnsi="Times New Roman" w:cs="Times New Roman"/>
          <w:b/>
          <w:bCs/>
          <w:kern w:val="0"/>
          <w14:ligatures w14:val="none"/>
        </w:rPr>
      </w:pPr>
    </w:p>
    <w:p w14:paraId="6124C52D" w14:textId="77777777" w:rsidR="00F8386F" w:rsidRPr="004A699A" w:rsidRDefault="00F8386F" w:rsidP="00F8386F">
      <w:pPr>
        <w:rPr>
          <w:rFonts w:ascii="Times New Roman" w:eastAsia="Times New Roman" w:hAnsi="Times New Roman" w:cs="Times New Roman"/>
          <w:kern w:val="0"/>
          <w14:ligatures w14:val="none"/>
        </w:rPr>
      </w:pPr>
      <w:r w:rsidRPr="004A699A">
        <w:rPr>
          <w:rFonts w:ascii="Times New Roman" w:hAnsi="Times New Roman" w:cs="Times New Roman"/>
          <w:noProof/>
        </w:rPr>
        <w:lastRenderedPageBreak/>
        <w:drawing>
          <wp:inline distT="0" distB="0" distL="0" distR="0" wp14:anchorId="4C9E6F71" wp14:editId="49F15CAF">
            <wp:extent cx="5810250" cy="2743200"/>
            <wp:effectExtent l="0" t="0" r="19050" b="19050"/>
            <wp:docPr id="418223135" name="Chart 1">
              <a:extLst xmlns:a="http://schemas.openxmlformats.org/drawingml/2006/main">
                <a:ext uri="{FF2B5EF4-FFF2-40B4-BE49-F238E27FC236}">
                  <a16:creationId xmlns:a16="http://schemas.microsoft.com/office/drawing/2014/main" id="{EE9F6400-65BA-B792-7E95-8D3E283171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AD36F9" w14:textId="1F7927B9" w:rsidR="00F8386F" w:rsidRPr="004A699A" w:rsidRDefault="00F466E3" w:rsidP="00644CAB">
      <w:pPr>
        <w:ind w:left="1440" w:hanging="1440"/>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b/>
          <w:bCs/>
          <w:kern w:val="0"/>
          <w14:ligatures w14:val="none"/>
        </w:rPr>
        <w:t>FIGU</w:t>
      </w:r>
      <w:r w:rsidR="00644CAB">
        <w:rPr>
          <w:rFonts w:ascii="Times New Roman" w:eastAsia="Times New Roman" w:hAnsi="Times New Roman" w:cs="Times New Roman"/>
          <w:b/>
          <w:bCs/>
          <w:kern w:val="0"/>
          <w14:ligatures w14:val="none"/>
        </w:rPr>
        <w:t xml:space="preserve">RE </w:t>
      </w:r>
      <w:r w:rsidR="00F8386F" w:rsidRPr="004A699A">
        <w:rPr>
          <w:rFonts w:ascii="Times New Roman" w:eastAsia="Times New Roman" w:hAnsi="Times New Roman" w:cs="Times New Roman"/>
          <w:b/>
          <w:bCs/>
          <w:kern w:val="0"/>
          <w14:ligatures w14:val="none"/>
        </w:rPr>
        <w:t>2</w:t>
      </w:r>
      <w:r w:rsidRPr="004A699A">
        <w:rPr>
          <w:rFonts w:ascii="Times New Roman" w:eastAsia="Times New Roman" w:hAnsi="Times New Roman" w:cs="Times New Roman"/>
          <w:b/>
          <w:bCs/>
          <w:kern w:val="0"/>
          <w14:ligatures w14:val="none"/>
        </w:rPr>
        <w:t>:</w:t>
      </w:r>
      <w:r w:rsidR="00F8386F" w:rsidRPr="004A699A">
        <w:rPr>
          <w:rFonts w:ascii="Times New Roman" w:eastAsia="Times New Roman" w:hAnsi="Times New Roman" w:cs="Times New Roman"/>
          <w:b/>
          <w:bCs/>
          <w:kern w:val="0"/>
          <w14:ligatures w14:val="none"/>
        </w:rPr>
        <w:t xml:space="preserve"> Line graph showing relation of mother’s education and STH prevalence in child in both clinical and community setting. Relationships were insignificant in clinical setting as it was throughout high among all education group but community results shows decrease in infection as mothers got more educated.</w:t>
      </w:r>
    </w:p>
    <w:p w14:paraId="4222D050" w14:textId="77777777" w:rsidR="00F8386F" w:rsidRPr="004A699A" w:rsidRDefault="00F8386F" w:rsidP="00F8386F">
      <w:pPr>
        <w:rPr>
          <w:rFonts w:ascii="Times New Roman" w:eastAsia="Times New Roman" w:hAnsi="Times New Roman" w:cs="Times New Roman"/>
          <w:kern w:val="0"/>
          <w14:ligatures w14:val="none"/>
        </w:rPr>
      </w:pPr>
    </w:p>
    <w:p w14:paraId="22C2D1A3" w14:textId="471C4C19" w:rsidR="00DA61F6" w:rsidRPr="004A699A" w:rsidRDefault="00DA61F6" w:rsidP="005D610B">
      <w:pPr>
        <w:rPr>
          <w:rFonts w:ascii="Times New Roman" w:eastAsia="Times New Roman" w:hAnsi="Times New Roman" w:cs="Times New Roman"/>
          <w:kern w:val="0"/>
          <w14:ligatures w14:val="none"/>
        </w:rPr>
      </w:pPr>
      <w:r w:rsidRPr="004A699A">
        <w:rPr>
          <w:rFonts w:ascii="Times New Roman" w:hAnsi="Times New Roman" w:cs="Times New Roman"/>
          <w:noProof/>
        </w:rPr>
        <w:drawing>
          <wp:inline distT="0" distB="0" distL="0" distR="0" wp14:anchorId="23A02424" wp14:editId="6CFB637F">
            <wp:extent cx="5715000" cy="2533650"/>
            <wp:effectExtent l="0" t="0" r="19050" b="19050"/>
            <wp:docPr id="1657217998" name="Chart 1">
              <a:extLst xmlns:a="http://schemas.openxmlformats.org/drawingml/2006/main">
                <a:ext uri="{FF2B5EF4-FFF2-40B4-BE49-F238E27FC236}">
                  <a16:creationId xmlns:a16="http://schemas.microsoft.com/office/drawing/2014/main" id="{45D2E2A0-E85E-8209-ABBA-C6388C903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CBC5F1" w14:textId="3D858919" w:rsidR="00804EE7" w:rsidRPr="004A699A" w:rsidRDefault="00644CAB" w:rsidP="00644CAB">
      <w:pPr>
        <w:ind w:left="1350" w:hanging="1350"/>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FIGURE </w:t>
      </w:r>
      <w:r w:rsidR="00ED708E" w:rsidRPr="004A699A">
        <w:rPr>
          <w:rFonts w:ascii="Times New Roman" w:eastAsia="Times New Roman" w:hAnsi="Times New Roman" w:cs="Times New Roman"/>
          <w:b/>
          <w:bCs/>
          <w:kern w:val="0"/>
          <w14:ligatures w14:val="none"/>
        </w:rPr>
        <w:t xml:space="preserve">3: </w:t>
      </w:r>
      <w:r w:rsidR="00236F13" w:rsidRPr="004A699A">
        <w:rPr>
          <w:rFonts w:ascii="Times New Roman" w:eastAsia="Times New Roman" w:hAnsi="Times New Roman" w:cs="Times New Roman"/>
          <w:b/>
          <w:bCs/>
          <w:kern w:val="0"/>
          <w14:ligatures w14:val="none"/>
        </w:rPr>
        <w:t>3D s</w:t>
      </w:r>
      <w:r w:rsidR="00DA61F6" w:rsidRPr="004A699A">
        <w:rPr>
          <w:rFonts w:ascii="Times New Roman" w:eastAsia="Times New Roman" w:hAnsi="Times New Roman" w:cs="Times New Roman"/>
          <w:b/>
          <w:bCs/>
          <w:kern w:val="0"/>
          <w14:ligatures w14:val="none"/>
        </w:rPr>
        <w:t xml:space="preserve">tacked column chart </w:t>
      </w:r>
      <w:r w:rsidR="00EB50F7" w:rsidRPr="004A699A">
        <w:rPr>
          <w:rFonts w:ascii="Times New Roman" w:eastAsia="Times New Roman" w:hAnsi="Times New Roman" w:cs="Times New Roman"/>
          <w:b/>
          <w:bCs/>
          <w:kern w:val="0"/>
          <w14:ligatures w14:val="none"/>
        </w:rPr>
        <w:t xml:space="preserve">showing relation in </w:t>
      </w:r>
      <w:r w:rsidR="002709A9" w:rsidRPr="004A699A">
        <w:rPr>
          <w:rFonts w:ascii="Times New Roman" w:eastAsia="Times New Roman" w:hAnsi="Times New Roman" w:cs="Times New Roman"/>
          <w:b/>
          <w:bCs/>
          <w:kern w:val="0"/>
          <w14:ligatures w14:val="none"/>
        </w:rPr>
        <w:t>fathers’</w:t>
      </w:r>
      <w:r w:rsidR="00DA61F6" w:rsidRPr="004A699A">
        <w:rPr>
          <w:rFonts w:ascii="Times New Roman" w:eastAsia="Times New Roman" w:hAnsi="Times New Roman" w:cs="Times New Roman"/>
          <w:b/>
          <w:bCs/>
          <w:kern w:val="0"/>
          <w14:ligatures w14:val="none"/>
        </w:rPr>
        <w:t xml:space="preserve"> </w:t>
      </w:r>
      <w:r w:rsidR="00FD45D3" w:rsidRPr="004A699A">
        <w:rPr>
          <w:rFonts w:ascii="Times New Roman" w:eastAsia="Times New Roman" w:hAnsi="Times New Roman" w:cs="Times New Roman"/>
          <w:b/>
          <w:bCs/>
          <w:kern w:val="0"/>
          <w14:ligatures w14:val="none"/>
        </w:rPr>
        <w:t>education and</w:t>
      </w:r>
      <w:r w:rsidR="00DA61F6" w:rsidRPr="004A699A">
        <w:rPr>
          <w:rFonts w:ascii="Times New Roman" w:eastAsia="Times New Roman" w:hAnsi="Times New Roman" w:cs="Times New Roman"/>
          <w:b/>
          <w:bCs/>
          <w:kern w:val="0"/>
          <w14:ligatures w14:val="none"/>
        </w:rPr>
        <w:t xml:space="preserve"> child STH </w:t>
      </w:r>
      <w:r w:rsidR="00EB50F7" w:rsidRPr="004A699A">
        <w:rPr>
          <w:rFonts w:ascii="Times New Roman" w:eastAsia="Times New Roman" w:hAnsi="Times New Roman" w:cs="Times New Roman"/>
          <w:b/>
          <w:bCs/>
          <w:kern w:val="0"/>
          <w14:ligatures w14:val="none"/>
        </w:rPr>
        <w:t>infection. No relation was found in clinical and community setting both.</w:t>
      </w:r>
    </w:p>
    <w:p w14:paraId="1B8A8DCE" w14:textId="46E95501" w:rsidR="00236F13" w:rsidRPr="004A699A" w:rsidRDefault="00756BC1" w:rsidP="009A49DC">
      <w:pPr>
        <w:jc w:val="both"/>
        <w:rPr>
          <w:rFonts w:ascii="Times New Roman" w:eastAsia="Times New Roman" w:hAnsi="Times New Roman" w:cs="Times New Roman"/>
          <w:b/>
          <w:bCs/>
          <w:kern w:val="0"/>
          <w14:ligatures w14:val="none"/>
        </w:rPr>
      </w:pPr>
      <w:bookmarkStart w:id="1" w:name="_Hlk214878860"/>
      <w:r w:rsidRPr="004A699A">
        <w:rPr>
          <w:rFonts w:ascii="Times New Roman" w:eastAsia="Times New Roman" w:hAnsi="Times New Roman" w:cs="Times New Roman"/>
          <w:b/>
          <w:bCs/>
          <w:kern w:val="0"/>
          <w14:ligatures w14:val="none"/>
        </w:rPr>
        <w:t>3.</w:t>
      </w:r>
      <w:r w:rsidR="00644CAB">
        <w:rPr>
          <w:rFonts w:ascii="Times New Roman" w:eastAsia="Times New Roman" w:hAnsi="Times New Roman" w:cs="Times New Roman"/>
          <w:b/>
          <w:bCs/>
          <w:kern w:val="0"/>
          <w14:ligatures w14:val="none"/>
        </w:rPr>
        <w:t>3</w:t>
      </w:r>
      <w:r w:rsidR="009A49DC" w:rsidRPr="004A699A">
        <w:rPr>
          <w:rFonts w:ascii="Times New Roman" w:eastAsia="Times New Roman" w:hAnsi="Times New Roman" w:cs="Times New Roman"/>
          <w:b/>
          <w:bCs/>
          <w:kern w:val="0"/>
          <w14:ligatures w14:val="none"/>
        </w:rPr>
        <w:t xml:space="preserve"> </w:t>
      </w:r>
      <w:r w:rsidR="00236F13" w:rsidRPr="004A699A">
        <w:rPr>
          <w:rFonts w:ascii="Times New Roman" w:eastAsia="Times New Roman" w:hAnsi="Times New Roman" w:cs="Times New Roman"/>
          <w:b/>
          <w:bCs/>
          <w:kern w:val="0"/>
          <w14:ligatures w14:val="none"/>
        </w:rPr>
        <w:t>Link b</w:t>
      </w:r>
      <w:r w:rsidR="004B2D01" w:rsidRPr="004A699A">
        <w:rPr>
          <w:rFonts w:ascii="Times New Roman" w:eastAsia="Times New Roman" w:hAnsi="Times New Roman" w:cs="Times New Roman"/>
          <w:b/>
          <w:bCs/>
          <w:kern w:val="0"/>
          <w14:ligatures w14:val="none"/>
        </w:rPr>
        <w:t>etween STH and Anemi</w:t>
      </w:r>
      <w:r w:rsidR="00D91E6D" w:rsidRPr="004A699A">
        <w:rPr>
          <w:rFonts w:ascii="Times New Roman" w:eastAsia="Times New Roman" w:hAnsi="Times New Roman" w:cs="Times New Roman"/>
          <w:b/>
          <w:bCs/>
          <w:kern w:val="0"/>
          <w14:ligatures w14:val="none"/>
        </w:rPr>
        <w:t>a</w:t>
      </w:r>
      <w:r w:rsidR="004B2D01" w:rsidRPr="004A699A">
        <w:rPr>
          <w:rFonts w:ascii="Times New Roman" w:eastAsia="Times New Roman" w:hAnsi="Times New Roman" w:cs="Times New Roman"/>
          <w:b/>
          <w:bCs/>
          <w:kern w:val="0"/>
          <w14:ligatures w14:val="none"/>
        </w:rPr>
        <w:t xml:space="preserve"> </w:t>
      </w:r>
      <w:bookmarkEnd w:id="1"/>
    </w:p>
    <w:p w14:paraId="27F7E6F6" w14:textId="77777777" w:rsidR="00236F13" w:rsidRPr="004A699A" w:rsidRDefault="00D91E6D" w:rsidP="009B2415">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Clinical survey:</w:t>
      </w:r>
      <w:r w:rsidR="009A49DC" w:rsidRPr="004A699A">
        <w:rPr>
          <w:rFonts w:ascii="Times New Roman" w:eastAsia="Times New Roman" w:hAnsi="Times New Roman" w:cs="Times New Roman"/>
          <w:b/>
          <w:bCs/>
          <w:kern w:val="0"/>
          <w14:ligatures w14:val="none"/>
        </w:rPr>
        <w:t xml:space="preserve"> </w:t>
      </w:r>
      <w:r w:rsidR="004B2D01" w:rsidRPr="004A699A">
        <w:rPr>
          <w:rFonts w:ascii="Times New Roman" w:eastAsia="Times New Roman" w:hAnsi="Times New Roman" w:cs="Times New Roman"/>
          <w:kern w:val="0"/>
          <w14:ligatures w14:val="none"/>
        </w:rPr>
        <w:t xml:space="preserve">Of the 219 subjects </w:t>
      </w:r>
      <w:r w:rsidR="00236F13" w:rsidRPr="004A699A">
        <w:rPr>
          <w:rFonts w:ascii="Times New Roman" w:eastAsia="Times New Roman" w:hAnsi="Times New Roman" w:cs="Times New Roman"/>
          <w:kern w:val="0"/>
          <w14:ligatures w14:val="none"/>
        </w:rPr>
        <w:t>who’s</w:t>
      </w:r>
      <w:r w:rsidR="00CA39C0" w:rsidRPr="004A699A">
        <w:rPr>
          <w:rFonts w:ascii="Times New Roman" w:eastAsia="Times New Roman" w:hAnsi="Times New Roman" w:cs="Times New Roman"/>
          <w:kern w:val="0"/>
          <w14:ligatures w14:val="none"/>
        </w:rPr>
        <w:t xml:space="preserve"> </w:t>
      </w:r>
      <w:r w:rsidR="004B2D01" w:rsidRPr="004A699A">
        <w:rPr>
          <w:rFonts w:ascii="Times New Roman" w:eastAsia="Times New Roman" w:hAnsi="Times New Roman" w:cs="Times New Roman"/>
          <w:kern w:val="0"/>
          <w14:ligatures w14:val="none"/>
        </w:rPr>
        <w:t>both stool and blood samples</w:t>
      </w:r>
      <w:r w:rsidR="00CA39C0" w:rsidRPr="004A699A">
        <w:rPr>
          <w:rFonts w:ascii="Times New Roman" w:eastAsia="Times New Roman" w:hAnsi="Times New Roman" w:cs="Times New Roman"/>
          <w:kern w:val="0"/>
          <w14:ligatures w14:val="none"/>
        </w:rPr>
        <w:t xml:space="preserve"> were available were</w:t>
      </w:r>
      <w:r w:rsidR="00CA5BE2" w:rsidRPr="004A699A">
        <w:rPr>
          <w:rFonts w:ascii="Times New Roman" w:eastAsia="Times New Roman" w:hAnsi="Times New Roman" w:cs="Times New Roman"/>
          <w:kern w:val="0"/>
          <w14:ligatures w14:val="none"/>
        </w:rPr>
        <w:t xml:space="preserve"> selected for studying STH anemia relationship</w:t>
      </w:r>
      <w:r w:rsidR="00E116F5" w:rsidRPr="004A699A">
        <w:rPr>
          <w:rFonts w:ascii="Times New Roman" w:eastAsia="Times New Roman" w:hAnsi="Times New Roman" w:cs="Times New Roman"/>
          <w:kern w:val="0"/>
          <w14:ligatures w14:val="none"/>
        </w:rPr>
        <w:t xml:space="preserve"> out of 2100</w:t>
      </w:r>
      <w:r w:rsidR="00CA5BE2" w:rsidRPr="004A699A">
        <w:rPr>
          <w:rFonts w:ascii="Times New Roman" w:eastAsia="Times New Roman" w:hAnsi="Times New Roman" w:cs="Times New Roman"/>
          <w:kern w:val="0"/>
          <w14:ligatures w14:val="none"/>
        </w:rPr>
        <w:t>.</w:t>
      </w:r>
      <w:r w:rsidR="004B2D01" w:rsidRPr="004A699A">
        <w:rPr>
          <w:rFonts w:ascii="Times New Roman" w:eastAsia="Times New Roman" w:hAnsi="Times New Roman" w:cs="Times New Roman"/>
          <w:kern w:val="0"/>
          <w14:ligatures w14:val="none"/>
        </w:rPr>
        <w:t xml:space="preserve"> </w:t>
      </w:r>
      <w:r w:rsidR="001A0899" w:rsidRPr="004A699A">
        <w:rPr>
          <w:rFonts w:ascii="Times New Roman" w:eastAsia="Times New Roman" w:hAnsi="Times New Roman" w:cs="Times New Roman"/>
          <w:kern w:val="0"/>
          <w14:ligatures w14:val="none"/>
        </w:rPr>
        <w:t>198 tested</w:t>
      </w:r>
      <w:r w:rsidR="004B2D01" w:rsidRPr="004A699A">
        <w:rPr>
          <w:rFonts w:ascii="Times New Roman" w:eastAsia="Times New Roman" w:hAnsi="Times New Roman" w:cs="Times New Roman"/>
          <w:kern w:val="0"/>
          <w14:ligatures w14:val="none"/>
        </w:rPr>
        <w:t xml:space="preserve"> </w:t>
      </w:r>
      <w:r w:rsidR="00A6064F" w:rsidRPr="004A699A">
        <w:rPr>
          <w:rFonts w:ascii="Times New Roman" w:eastAsia="Times New Roman" w:hAnsi="Times New Roman" w:cs="Times New Roman"/>
          <w:kern w:val="0"/>
          <w14:ligatures w14:val="none"/>
        </w:rPr>
        <w:t>positives</w:t>
      </w:r>
      <w:r w:rsidR="004B2D01" w:rsidRPr="004A699A">
        <w:rPr>
          <w:rFonts w:ascii="Times New Roman" w:eastAsia="Times New Roman" w:hAnsi="Times New Roman" w:cs="Times New Roman"/>
          <w:kern w:val="0"/>
          <w14:ligatures w14:val="none"/>
        </w:rPr>
        <w:t xml:space="preserve"> for STH. </w:t>
      </w:r>
      <w:r w:rsidR="004B2D01" w:rsidRPr="004A699A">
        <w:rPr>
          <w:rFonts w:ascii="Times New Roman" w:eastAsia="Times New Roman" w:hAnsi="Times New Roman" w:cs="Times New Roman"/>
          <w:kern w:val="0"/>
          <w14:ligatures w14:val="none"/>
        </w:rPr>
        <w:lastRenderedPageBreak/>
        <w:t>Anemia was present in 50.5% of STH-positive individuals, in contrast to 14.3% of STH-negative persons (χ² = 8.60, p = 0.0034)</w:t>
      </w:r>
      <w:r w:rsidR="00A6064F" w:rsidRPr="004A699A">
        <w:rPr>
          <w:rFonts w:ascii="Times New Roman" w:eastAsia="Times New Roman" w:hAnsi="Times New Roman" w:cs="Times New Roman"/>
          <w:kern w:val="0"/>
          <w14:ligatures w14:val="none"/>
        </w:rPr>
        <w:t xml:space="preserve"> as cited in table 4</w:t>
      </w:r>
      <w:r w:rsidR="004B2D01" w:rsidRPr="004A699A">
        <w:rPr>
          <w:rFonts w:ascii="Times New Roman" w:eastAsia="Times New Roman" w:hAnsi="Times New Roman" w:cs="Times New Roman"/>
          <w:kern w:val="0"/>
          <w14:ligatures w14:val="none"/>
        </w:rPr>
        <w:t>. Hookworm infe</w:t>
      </w:r>
      <w:r w:rsidR="001A0899" w:rsidRPr="004A699A">
        <w:rPr>
          <w:rFonts w:ascii="Times New Roman" w:eastAsia="Times New Roman" w:hAnsi="Times New Roman" w:cs="Times New Roman"/>
          <w:kern w:val="0"/>
          <w14:ligatures w14:val="none"/>
        </w:rPr>
        <w:t>ct</w:t>
      </w:r>
      <w:r w:rsidR="006A56E4" w:rsidRPr="004A699A">
        <w:rPr>
          <w:rFonts w:ascii="Times New Roman" w:eastAsia="Times New Roman" w:hAnsi="Times New Roman" w:cs="Times New Roman"/>
          <w:kern w:val="0"/>
          <w14:ligatures w14:val="none"/>
        </w:rPr>
        <w:t>ion was</w:t>
      </w:r>
      <w:r w:rsidR="00E116F5" w:rsidRPr="004A699A">
        <w:rPr>
          <w:rFonts w:ascii="Times New Roman" w:eastAsia="Times New Roman" w:hAnsi="Times New Roman" w:cs="Times New Roman"/>
          <w:kern w:val="0"/>
          <w14:ligatures w14:val="none"/>
        </w:rPr>
        <w:t xml:space="preserve"> </w:t>
      </w:r>
      <w:r w:rsidR="006A56E4" w:rsidRPr="004A699A">
        <w:rPr>
          <w:rFonts w:ascii="Times New Roman" w:eastAsia="Times New Roman" w:hAnsi="Times New Roman" w:cs="Times New Roman"/>
          <w:kern w:val="0"/>
          <w14:ligatures w14:val="none"/>
        </w:rPr>
        <w:t>l</w:t>
      </w:r>
      <w:r w:rsidR="004B2D01" w:rsidRPr="004A699A">
        <w:rPr>
          <w:rFonts w:ascii="Times New Roman" w:eastAsia="Times New Roman" w:hAnsi="Times New Roman" w:cs="Times New Roman"/>
          <w:kern w:val="0"/>
          <w14:ligatures w14:val="none"/>
        </w:rPr>
        <w:t>inked to the highest incidence of anemia (71.2%).</w:t>
      </w:r>
      <w:r w:rsidR="005968D6" w:rsidRPr="004A699A">
        <w:rPr>
          <w:rFonts w:ascii="Times New Roman" w:eastAsia="Times New Roman" w:hAnsi="Times New Roman" w:cs="Times New Roman"/>
          <w:kern w:val="0"/>
          <w14:ligatures w14:val="none"/>
        </w:rPr>
        <w:t>As stated in table 5</w:t>
      </w:r>
      <w:r w:rsidR="004B2D01" w:rsidRPr="004A699A">
        <w:rPr>
          <w:rFonts w:ascii="Times New Roman" w:eastAsia="Times New Roman" w:hAnsi="Times New Roman" w:cs="Times New Roman"/>
          <w:kern w:val="0"/>
          <w14:ligatures w14:val="none"/>
        </w:rPr>
        <w:t xml:space="preserve"> </w:t>
      </w:r>
      <w:r w:rsidR="005968D6" w:rsidRPr="004A699A">
        <w:rPr>
          <w:rFonts w:ascii="Times New Roman" w:eastAsia="Times New Roman" w:hAnsi="Times New Roman" w:cs="Times New Roman"/>
          <w:kern w:val="0"/>
          <w14:ligatures w14:val="none"/>
        </w:rPr>
        <w:t>Person infected with hookworm showed strongest association with anemia (OR=3.99,95%CI:2.16-7.38,p&lt;.001) whereas roundworm also showed considerable association (OR=3.74,95%CI:1.99-7.02,p&lt;.001)</w:t>
      </w:r>
      <w:r w:rsidR="004B2D01" w:rsidRPr="004A699A">
        <w:rPr>
          <w:rFonts w:ascii="Times New Roman" w:eastAsia="Times New Roman" w:hAnsi="Times New Roman" w:cs="Times New Roman"/>
          <w:kern w:val="0"/>
          <w14:ligatures w14:val="none"/>
        </w:rPr>
        <w:t>.</w:t>
      </w:r>
      <w:r w:rsidR="005968D6" w:rsidRPr="004A699A">
        <w:rPr>
          <w:rFonts w:ascii="Times New Roman" w:eastAsia="Times New Roman" w:hAnsi="Times New Roman" w:cs="Times New Roman"/>
          <w:kern w:val="0"/>
          <w14:ligatures w14:val="none"/>
        </w:rPr>
        <w:t>No association was found in whipworm infected person and STH infection.</w:t>
      </w:r>
      <w:r w:rsidR="004B2D01" w:rsidRPr="004A699A">
        <w:rPr>
          <w:rFonts w:ascii="Times New Roman" w:eastAsia="Times New Roman" w:hAnsi="Times New Roman" w:cs="Times New Roman"/>
          <w:kern w:val="0"/>
          <w14:ligatures w14:val="none"/>
        </w:rPr>
        <w:t xml:space="preserve"> This shows how important it is to emphasize hookworm control to lower the risk of anemi</w:t>
      </w:r>
      <w:r w:rsidR="00EF0C10" w:rsidRPr="004A699A">
        <w:rPr>
          <w:rFonts w:ascii="Times New Roman" w:eastAsia="Times New Roman" w:hAnsi="Times New Roman" w:cs="Times New Roman"/>
          <w:kern w:val="0"/>
          <w14:ligatures w14:val="none"/>
        </w:rPr>
        <w:t>a.</w:t>
      </w:r>
    </w:p>
    <w:p w14:paraId="33785917" w14:textId="6C6423C9" w:rsidR="004B2BF4" w:rsidRPr="004A699A" w:rsidRDefault="00F60AEA" w:rsidP="009B2415">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Community survey:</w:t>
      </w:r>
      <w:r w:rsidR="0090779E" w:rsidRPr="004A699A">
        <w:rPr>
          <w:rFonts w:ascii="Times New Roman" w:eastAsia="Times New Roman" w:hAnsi="Times New Roman" w:cs="Times New Roman"/>
          <w:b/>
          <w:bCs/>
          <w:kern w:val="0"/>
          <w14:ligatures w14:val="none"/>
        </w:rPr>
        <w:t xml:space="preserve"> </w:t>
      </w:r>
      <w:r w:rsidR="0090779E" w:rsidRPr="004A699A">
        <w:rPr>
          <w:rFonts w:ascii="Times New Roman" w:eastAsia="Times New Roman" w:hAnsi="Times New Roman" w:cs="Times New Roman"/>
          <w:kern w:val="0"/>
          <w14:ligatures w14:val="none"/>
        </w:rPr>
        <w:t>For the community survey, no blood samples were taken, and participants were not required to undergo any blood testing, biological sampling was restricted to stool for helminth diagnosis</w:t>
      </w:r>
      <w:r w:rsidR="002709A9" w:rsidRPr="004A699A">
        <w:rPr>
          <w:rFonts w:ascii="Times New Roman" w:eastAsia="Times New Roman" w:hAnsi="Times New Roman" w:cs="Times New Roman"/>
          <w:kern w:val="0"/>
          <w14:ligatures w14:val="none"/>
        </w:rPr>
        <w:t>.</w:t>
      </w:r>
    </w:p>
    <w:p w14:paraId="20EEE2B0" w14:textId="2F29876D" w:rsidR="00EF0C10" w:rsidRPr="004A699A" w:rsidRDefault="007F0070" w:rsidP="007F0070">
      <w:pPr>
        <w:ind w:left="900" w:hanging="90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Table-4 S</w:t>
      </w:r>
      <w:r w:rsidR="009A49DC" w:rsidRPr="004A699A">
        <w:rPr>
          <w:rFonts w:ascii="Times New Roman" w:eastAsia="Times New Roman" w:hAnsi="Times New Roman" w:cs="Times New Roman"/>
          <w:b/>
          <w:bCs/>
          <w:kern w:val="0"/>
          <w14:ligatures w14:val="none"/>
        </w:rPr>
        <w:t xml:space="preserve">howing anemic and non-anemic among STH positive and </w:t>
      </w:r>
      <w:r w:rsidRPr="004A699A">
        <w:rPr>
          <w:rFonts w:ascii="Times New Roman" w:eastAsia="Times New Roman" w:hAnsi="Times New Roman" w:cs="Times New Roman"/>
          <w:b/>
          <w:bCs/>
          <w:kern w:val="0"/>
          <w14:ligatures w14:val="none"/>
        </w:rPr>
        <w:t xml:space="preserve">STH </w:t>
      </w:r>
      <w:r w:rsidR="009A49DC" w:rsidRPr="004A699A">
        <w:rPr>
          <w:rFonts w:ascii="Times New Roman" w:eastAsia="Times New Roman" w:hAnsi="Times New Roman" w:cs="Times New Roman"/>
          <w:b/>
          <w:bCs/>
          <w:kern w:val="0"/>
          <w14:ligatures w14:val="none"/>
        </w:rPr>
        <w:t>negative population</w:t>
      </w:r>
    </w:p>
    <w:tbl>
      <w:tblPr>
        <w:tblStyle w:val="TableGrid"/>
        <w:tblpPr w:leftFromText="180" w:rightFromText="180" w:vertAnchor="text" w:horzAnchor="page" w:tblpX="2171" w:tblpY="438"/>
        <w:tblW w:w="8306" w:type="dxa"/>
        <w:tblLook w:val="04A0" w:firstRow="1" w:lastRow="0" w:firstColumn="1" w:lastColumn="0" w:noHBand="0" w:noVBand="1"/>
      </w:tblPr>
      <w:tblGrid>
        <w:gridCol w:w="1918"/>
        <w:gridCol w:w="1877"/>
        <w:gridCol w:w="946"/>
        <w:gridCol w:w="1334"/>
        <w:gridCol w:w="703"/>
        <w:gridCol w:w="1528"/>
      </w:tblGrid>
      <w:tr w:rsidR="001A0899" w:rsidRPr="004A699A" w14:paraId="1BE6A0C0" w14:textId="14896F9B" w:rsidTr="00236F13">
        <w:trPr>
          <w:trHeight w:val="352"/>
        </w:trPr>
        <w:tc>
          <w:tcPr>
            <w:tcW w:w="0" w:type="auto"/>
            <w:hideMark/>
          </w:tcPr>
          <w:p w14:paraId="4D9010A2" w14:textId="77777777" w:rsidR="001A0899" w:rsidRPr="004A699A" w:rsidRDefault="001A0899" w:rsidP="00FD69B3">
            <w:pPr>
              <w:jc w:val="center"/>
              <w:rPr>
                <w:rFonts w:ascii="Times New Roman" w:eastAsia="Times New Roman" w:hAnsi="Times New Roman" w:cs="Times New Roman"/>
                <w:b/>
                <w:bCs/>
                <w:sz w:val="22"/>
                <w:szCs w:val="22"/>
              </w:rPr>
            </w:pPr>
            <w:r w:rsidRPr="004A699A">
              <w:rPr>
                <w:rFonts w:ascii="Times New Roman" w:eastAsia="Times New Roman" w:hAnsi="Times New Roman" w:cs="Times New Roman"/>
                <w:b/>
                <w:bCs/>
                <w:sz w:val="22"/>
                <w:szCs w:val="22"/>
              </w:rPr>
              <w:t>Status</w:t>
            </w:r>
          </w:p>
        </w:tc>
        <w:tc>
          <w:tcPr>
            <w:tcW w:w="0" w:type="auto"/>
            <w:hideMark/>
          </w:tcPr>
          <w:p w14:paraId="2ADAF33D" w14:textId="77777777" w:rsidR="001A0899" w:rsidRPr="004A699A" w:rsidRDefault="001A0899" w:rsidP="00FD69B3">
            <w:pPr>
              <w:jc w:val="center"/>
              <w:rPr>
                <w:rFonts w:ascii="Times New Roman" w:eastAsia="Times New Roman" w:hAnsi="Times New Roman" w:cs="Times New Roman"/>
                <w:b/>
                <w:bCs/>
                <w:sz w:val="22"/>
                <w:szCs w:val="22"/>
              </w:rPr>
            </w:pPr>
            <w:r w:rsidRPr="004A699A">
              <w:rPr>
                <w:rFonts w:ascii="Times New Roman" w:eastAsia="Times New Roman" w:hAnsi="Times New Roman" w:cs="Times New Roman"/>
                <w:b/>
                <w:bCs/>
                <w:sz w:val="22"/>
                <w:szCs w:val="22"/>
              </w:rPr>
              <w:t>Helminth Type</w:t>
            </w:r>
          </w:p>
        </w:tc>
        <w:tc>
          <w:tcPr>
            <w:tcW w:w="0" w:type="auto"/>
            <w:hideMark/>
          </w:tcPr>
          <w:p w14:paraId="2CB24394" w14:textId="77777777" w:rsidR="001A0899" w:rsidRPr="004A699A" w:rsidRDefault="001A0899" w:rsidP="00FD69B3">
            <w:pPr>
              <w:jc w:val="center"/>
              <w:rPr>
                <w:rFonts w:ascii="Times New Roman" w:eastAsia="Times New Roman" w:hAnsi="Times New Roman" w:cs="Times New Roman"/>
                <w:b/>
                <w:bCs/>
                <w:sz w:val="22"/>
                <w:szCs w:val="22"/>
              </w:rPr>
            </w:pPr>
            <w:r w:rsidRPr="004A699A">
              <w:rPr>
                <w:rFonts w:ascii="Times New Roman" w:eastAsia="Times New Roman" w:hAnsi="Times New Roman" w:cs="Times New Roman"/>
                <w:b/>
                <w:bCs/>
                <w:sz w:val="22"/>
                <w:szCs w:val="22"/>
              </w:rPr>
              <w:t>Anemic</w:t>
            </w:r>
          </w:p>
        </w:tc>
        <w:tc>
          <w:tcPr>
            <w:tcW w:w="0" w:type="auto"/>
            <w:hideMark/>
          </w:tcPr>
          <w:p w14:paraId="4DD74521" w14:textId="77777777" w:rsidR="001A0899" w:rsidRPr="004A699A" w:rsidRDefault="001A0899" w:rsidP="00FD69B3">
            <w:pPr>
              <w:jc w:val="center"/>
              <w:rPr>
                <w:rFonts w:ascii="Times New Roman" w:eastAsia="Times New Roman" w:hAnsi="Times New Roman" w:cs="Times New Roman"/>
                <w:b/>
                <w:bCs/>
                <w:sz w:val="22"/>
                <w:szCs w:val="22"/>
              </w:rPr>
            </w:pPr>
            <w:r w:rsidRPr="004A699A">
              <w:rPr>
                <w:rFonts w:ascii="Times New Roman" w:eastAsia="Times New Roman" w:hAnsi="Times New Roman" w:cs="Times New Roman"/>
                <w:b/>
                <w:bCs/>
                <w:sz w:val="22"/>
                <w:szCs w:val="22"/>
              </w:rPr>
              <w:t>Not Anemic</w:t>
            </w:r>
          </w:p>
        </w:tc>
        <w:tc>
          <w:tcPr>
            <w:tcW w:w="0" w:type="auto"/>
            <w:hideMark/>
          </w:tcPr>
          <w:p w14:paraId="5683DDF3" w14:textId="77777777" w:rsidR="001A0899" w:rsidRPr="004A699A" w:rsidRDefault="001A0899" w:rsidP="00FD69B3">
            <w:pPr>
              <w:jc w:val="center"/>
              <w:rPr>
                <w:rFonts w:ascii="Times New Roman" w:eastAsia="Times New Roman" w:hAnsi="Times New Roman" w:cs="Times New Roman"/>
                <w:b/>
                <w:bCs/>
                <w:sz w:val="22"/>
                <w:szCs w:val="22"/>
              </w:rPr>
            </w:pPr>
            <w:r w:rsidRPr="004A699A">
              <w:rPr>
                <w:rFonts w:ascii="Times New Roman" w:eastAsia="Times New Roman" w:hAnsi="Times New Roman" w:cs="Times New Roman"/>
                <w:b/>
                <w:bCs/>
                <w:sz w:val="22"/>
                <w:szCs w:val="22"/>
              </w:rPr>
              <w:t>Total</w:t>
            </w:r>
          </w:p>
        </w:tc>
        <w:tc>
          <w:tcPr>
            <w:tcW w:w="0" w:type="auto"/>
          </w:tcPr>
          <w:p w14:paraId="778B46BD" w14:textId="155DA9EC" w:rsidR="001A0899" w:rsidRPr="004A699A" w:rsidRDefault="001A0899" w:rsidP="00FD69B3">
            <w:pPr>
              <w:jc w:val="center"/>
              <w:rPr>
                <w:rFonts w:ascii="Times New Roman" w:eastAsia="Times New Roman" w:hAnsi="Times New Roman" w:cs="Times New Roman"/>
                <w:b/>
                <w:bCs/>
                <w:sz w:val="22"/>
                <w:szCs w:val="22"/>
              </w:rPr>
            </w:pPr>
            <w:r w:rsidRPr="004A699A">
              <w:rPr>
                <w:rFonts w:ascii="Times New Roman" w:eastAsia="Times New Roman" w:hAnsi="Times New Roman" w:cs="Times New Roman"/>
                <w:b/>
                <w:bCs/>
                <w:sz w:val="22"/>
                <w:szCs w:val="22"/>
              </w:rPr>
              <w:t>Prevalence %</w:t>
            </w:r>
          </w:p>
        </w:tc>
      </w:tr>
      <w:tr w:rsidR="001A0899" w:rsidRPr="004A699A" w14:paraId="6B1E28EB" w14:textId="3525B669" w:rsidTr="00236F13">
        <w:trPr>
          <w:trHeight w:val="352"/>
        </w:trPr>
        <w:tc>
          <w:tcPr>
            <w:tcW w:w="0" w:type="auto"/>
            <w:hideMark/>
          </w:tcPr>
          <w:p w14:paraId="79B1A7AF"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STH Positive</w:t>
            </w:r>
          </w:p>
        </w:tc>
        <w:tc>
          <w:tcPr>
            <w:tcW w:w="0" w:type="auto"/>
            <w:hideMark/>
          </w:tcPr>
          <w:p w14:paraId="2F7ADEC9"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Roundworm (RW)</w:t>
            </w:r>
          </w:p>
        </w:tc>
        <w:tc>
          <w:tcPr>
            <w:tcW w:w="0" w:type="auto"/>
            <w:hideMark/>
          </w:tcPr>
          <w:p w14:paraId="17C18263"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30</w:t>
            </w:r>
          </w:p>
        </w:tc>
        <w:tc>
          <w:tcPr>
            <w:tcW w:w="0" w:type="auto"/>
            <w:hideMark/>
          </w:tcPr>
          <w:p w14:paraId="75B3E0BC"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48</w:t>
            </w:r>
          </w:p>
        </w:tc>
        <w:tc>
          <w:tcPr>
            <w:tcW w:w="0" w:type="auto"/>
            <w:hideMark/>
          </w:tcPr>
          <w:p w14:paraId="10C18529"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78</w:t>
            </w:r>
          </w:p>
        </w:tc>
        <w:tc>
          <w:tcPr>
            <w:tcW w:w="0" w:type="auto"/>
          </w:tcPr>
          <w:p w14:paraId="02D3B20A" w14:textId="77182E38" w:rsidR="001A0899" w:rsidRPr="004A699A" w:rsidRDefault="002E33D2"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38.5</w:t>
            </w:r>
          </w:p>
        </w:tc>
      </w:tr>
      <w:tr w:rsidR="001A0899" w:rsidRPr="004A699A" w14:paraId="7692D18A" w14:textId="0E61DF96" w:rsidTr="00236F13">
        <w:trPr>
          <w:trHeight w:val="352"/>
        </w:trPr>
        <w:tc>
          <w:tcPr>
            <w:tcW w:w="0" w:type="auto"/>
            <w:hideMark/>
          </w:tcPr>
          <w:p w14:paraId="7F14B3F5"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STH Positive</w:t>
            </w:r>
          </w:p>
        </w:tc>
        <w:tc>
          <w:tcPr>
            <w:tcW w:w="0" w:type="auto"/>
            <w:hideMark/>
          </w:tcPr>
          <w:p w14:paraId="5848B01E"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Hookworm (HW)</w:t>
            </w:r>
          </w:p>
        </w:tc>
        <w:tc>
          <w:tcPr>
            <w:tcW w:w="0" w:type="auto"/>
            <w:hideMark/>
          </w:tcPr>
          <w:p w14:paraId="77996150"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42</w:t>
            </w:r>
          </w:p>
        </w:tc>
        <w:tc>
          <w:tcPr>
            <w:tcW w:w="0" w:type="auto"/>
            <w:hideMark/>
          </w:tcPr>
          <w:p w14:paraId="523721EA"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17</w:t>
            </w:r>
          </w:p>
        </w:tc>
        <w:tc>
          <w:tcPr>
            <w:tcW w:w="0" w:type="auto"/>
            <w:hideMark/>
          </w:tcPr>
          <w:p w14:paraId="281CDE8F"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59</w:t>
            </w:r>
          </w:p>
        </w:tc>
        <w:tc>
          <w:tcPr>
            <w:tcW w:w="0" w:type="auto"/>
          </w:tcPr>
          <w:p w14:paraId="5BCB2894" w14:textId="75292287" w:rsidR="001A0899" w:rsidRPr="004A699A" w:rsidRDefault="002E33D2"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71.2</w:t>
            </w:r>
          </w:p>
        </w:tc>
      </w:tr>
      <w:tr w:rsidR="001A0899" w:rsidRPr="004A699A" w14:paraId="6BB08E50" w14:textId="1BE09141" w:rsidTr="00236F13">
        <w:trPr>
          <w:trHeight w:val="366"/>
        </w:trPr>
        <w:tc>
          <w:tcPr>
            <w:tcW w:w="0" w:type="auto"/>
            <w:hideMark/>
          </w:tcPr>
          <w:p w14:paraId="797D80CF"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STH Positive</w:t>
            </w:r>
          </w:p>
        </w:tc>
        <w:tc>
          <w:tcPr>
            <w:tcW w:w="0" w:type="auto"/>
            <w:hideMark/>
          </w:tcPr>
          <w:p w14:paraId="5EC371C5"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Whipworm (WW)</w:t>
            </w:r>
          </w:p>
        </w:tc>
        <w:tc>
          <w:tcPr>
            <w:tcW w:w="0" w:type="auto"/>
            <w:hideMark/>
          </w:tcPr>
          <w:p w14:paraId="0AF0740D"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28</w:t>
            </w:r>
          </w:p>
        </w:tc>
        <w:tc>
          <w:tcPr>
            <w:tcW w:w="0" w:type="auto"/>
            <w:hideMark/>
          </w:tcPr>
          <w:p w14:paraId="45A0D643"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33</w:t>
            </w:r>
          </w:p>
        </w:tc>
        <w:tc>
          <w:tcPr>
            <w:tcW w:w="0" w:type="auto"/>
            <w:hideMark/>
          </w:tcPr>
          <w:p w14:paraId="4648A361"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61</w:t>
            </w:r>
          </w:p>
        </w:tc>
        <w:tc>
          <w:tcPr>
            <w:tcW w:w="0" w:type="auto"/>
          </w:tcPr>
          <w:p w14:paraId="11313C23" w14:textId="757947AE" w:rsidR="001A0899" w:rsidRPr="004A699A" w:rsidRDefault="002E33D2"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45.9</w:t>
            </w:r>
          </w:p>
        </w:tc>
      </w:tr>
      <w:tr w:rsidR="001A0899" w:rsidRPr="004A699A" w14:paraId="26200D6A" w14:textId="28DCD62B" w:rsidTr="00236F13">
        <w:trPr>
          <w:trHeight w:val="352"/>
        </w:trPr>
        <w:tc>
          <w:tcPr>
            <w:tcW w:w="0" w:type="auto"/>
            <w:hideMark/>
          </w:tcPr>
          <w:p w14:paraId="6F50773D"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Total STH Positive</w:t>
            </w:r>
          </w:p>
        </w:tc>
        <w:tc>
          <w:tcPr>
            <w:tcW w:w="0" w:type="auto"/>
            <w:hideMark/>
          </w:tcPr>
          <w:p w14:paraId="7CFB59D0" w14:textId="77777777" w:rsidR="001A0899" w:rsidRPr="004A699A" w:rsidRDefault="001A0899" w:rsidP="00FD69B3">
            <w:pPr>
              <w:rPr>
                <w:rFonts w:ascii="Times New Roman" w:eastAsia="Times New Roman" w:hAnsi="Times New Roman" w:cs="Times New Roman"/>
                <w:sz w:val="22"/>
                <w:szCs w:val="22"/>
              </w:rPr>
            </w:pPr>
          </w:p>
        </w:tc>
        <w:tc>
          <w:tcPr>
            <w:tcW w:w="0" w:type="auto"/>
            <w:hideMark/>
          </w:tcPr>
          <w:p w14:paraId="51B18E1A"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100</w:t>
            </w:r>
          </w:p>
        </w:tc>
        <w:tc>
          <w:tcPr>
            <w:tcW w:w="0" w:type="auto"/>
            <w:hideMark/>
          </w:tcPr>
          <w:p w14:paraId="23A559EF"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98</w:t>
            </w:r>
          </w:p>
        </w:tc>
        <w:tc>
          <w:tcPr>
            <w:tcW w:w="0" w:type="auto"/>
            <w:hideMark/>
          </w:tcPr>
          <w:p w14:paraId="1977DB2D"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198</w:t>
            </w:r>
          </w:p>
        </w:tc>
        <w:tc>
          <w:tcPr>
            <w:tcW w:w="0" w:type="auto"/>
          </w:tcPr>
          <w:p w14:paraId="3B110617" w14:textId="59FB9CF8" w:rsidR="001A0899" w:rsidRPr="004A699A" w:rsidRDefault="002E33D2"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50.5</w:t>
            </w:r>
          </w:p>
        </w:tc>
      </w:tr>
      <w:tr w:rsidR="001A0899" w:rsidRPr="004A699A" w14:paraId="3F038DF8" w14:textId="17236B5D" w:rsidTr="00236F13">
        <w:trPr>
          <w:trHeight w:val="352"/>
        </w:trPr>
        <w:tc>
          <w:tcPr>
            <w:tcW w:w="0" w:type="auto"/>
            <w:hideMark/>
          </w:tcPr>
          <w:p w14:paraId="36AF5A99"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STH Negative</w:t>
            </w:r>
          </w:p>
        </w:tc>
        <w:tc>
          <w:tcPr>
            <w:tcW w:w="0" w:type="auto"/>
            <w:hideMark/>
          </w:tcPr>
          <w:p w14:paraId="0033772D"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None</w:t>
            </w:r>
          </w:p>
        </w:tc>
        <w:tc>
          <w:tcPr>
            <w:tcW w:w="0" w:type="auto"/>
            <w:hideMark/>
          </w:tcPr>
          <w:p w14:paraId="516FB9C9"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3</w:t>
            </w:r>
          </w:p>
        </w:tc>
        <w:tc>
          <w:tcPr>
            <w:tcW w:w="0" w:type="auto"/>
            <w:hideMark/>
          </w:tcPr>
          <w:p w14:paraId="463735F4"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18</w:t>
            </w:r>
          </w:p>
        </w:tc>
        <w:tc>
          <w:tcPr>
            <w:tcW w:w="0" w:type="auto"/>
            <w:hideMark/>
          </w:tcPr>
          <w:p w14:paraId="4F1DA303"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21</w:t>
            </w:r>
          </w:p>
        </w:tc>
        <w:tc>
          <w:tcPr>
            <w:tcW w:w="0" w:type="auto"/>
          </w:tcPr>
          <w:p w14:paraId="44DA7B71" w14:textId="7A0C3869" w:rsidR="001A0899" w:rsidRPr="004A699A" w:rsidRDefault="002E33D2"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14.3</w:t>
            </w:r>
          </w:p>
        </w:tc>
      </w:tr>
      <w:tr w:rsidR="001A0899" w:rsidRPr="004A699A" w14:paraId="4DE1BF0E" w14:textId="0CBE81C9" w:rsidTr="00236F13">
        <w:trPr>
          <w:trHeight w:val="352"/>
        </w:trPr>
        <w:tc>
          <w:tcPr>
            <w:tcW w:w="0" w:type="auto"/>
            <w:hideMark/>
          </w:tcPr>
          <w:p w14:paraId="066A41CF"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Total</w:t>
            </w:r>
          </w:p>
        </w:tc>
        <w:tc>
          <w:tcPr>
            <w:tcW w:w="0" w:type="auto"/>
            <w:hideMark/>
          </w:tcPr>
          <w:p w14:paraId="356B4617" w14:textId="77777777" w:rsidR="001A0899" w:rsidRPr="004A699A" w:rsidRDefault="001A0899" w:rsidP="00FD69B3">
            <w:pPr>
              <w:rPr>
                <w:rFonts w:ascii="Times New Roman" w:eastAsia="Times New Roman" w:hAnsi="Times New Roman" w:cs="Times New Roman"/>
                <w:sz w:val="22"/>
                <w:szCs w:val="22"/>
              </w:rPr>
            </w:pPr>
          </w:p>
        </w:tc>
        <w:tc>
          <w:tcPr>
            <w:tcW w:w="0" w:type="auto"/>
            <w:hideMark/>
          </w:tcPr>
          <w:p w14:paraId="6F6CBA6B"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103</w:t>
            </w:r>
          </w:p>
        </w:tc>
        <w:tc>
          <w:tcPr>
            <w:tcW w:w="0" w:type="auto"/>
            <w:hideMark/>
          </w:tcPr>
          <w:p w14:paraId="39388173"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116</w:t>
            </w:r>
          </w:p>
        </w:tc>
        <w:tc>
          <w:tcPr>
            <w:tcW w:w="0" w:type="auto"/>
            <w:hideMark/>
          </w:tcPr>
          <w:p w14:paraId="47CAE5E1" w14:textId="77777777" w:rsidR="001A0899" w:rsidRPr="004A699A" w:rsidRDefault="001A0899"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219</w:t>
            </w:r>
          </w:p>
        </w:tc>
        <w:tc>
          <w:tcPr>
            <w:tcW w:w="0" w:type="auto"/>
          </w:tcPr>
          <w:p w14:paraId="0385A66F" w14:textId="17F98004" w:rsidR="001A0899" w:rsidRPr="004A699A" w:rsidRDefault="002E33D2" w:rsidP="00FD69B3">
            <w:pPr>
              <w:rPr>
                <w:rFonts w:ascii="Times New Roman" w:eastAsia="Times New Roman" w:hAnsi="Times New Roman" w:cs="Times New Roman"/>
                <w:sz w:val="22"/>
                <w:szCs w:val="22"/>
              </w:rPr>
            </w:pPr>
            <w:r w:rsidRPr="004A699A">
              <w:rPr>
                <w:rFonts w:ascii="Times New Roman" w:eastAsia="Times New Roman" w:hAnsi="Times New Roman" w:cs="Times New Roman"/>
                <w:sz w:val="22"/>
                <w:szCs w:val="22"/>
              </w:rPr>
              <w:t>47.0</w:t>
            </w:r>
          </w:p>
        </w:tc>
      </w:tr>
    </w:tbl>
    <w:p w14:paraId="4E3AE56E" w14:textId="77777777" w:rsidR="00796860" w:rsidRPr="004A699A" w:rsidRDefault="00796860" w:rsidP="005D610B">
      <w:pPr>
        <w:rPr>
          <w:rFonts w:ascii="Times New Roman" w:eastAsia="Times New Roman" w:hAnsi="Times New Roman" w:cs="Times New Roman"/>
          <w:b/>
          <w:bCs/>
          <w:kern w:val="0"/>
          <w14:ligatures w14:val="none"/>
        </w:rPr>
      </w:pPr>
    </w:p>
    <w:p w14:paraId="7B5A077A" w14:textId="1B93B7A7" w:rsidR="004B2BF4" w:rsidRPr="004A699A" w:rsidRDefault="00796860" w:rsidP="005D610B">
      <w:pP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 xml:space="preserve">               </w:t>
      </w:r>
      <w:r w:rsidR="00B81BA4" w:rsidRPr="004A699A">
        <w:rPr>
          <w:rFonts w:ascii="Times New Roman" w:eastAsia="Times New Roman" w:hAnsi="Times New Roman" w:cs="Times New Roman"/>
          <w:b/>
          <w:bCs/>
          <w:kern w:val="0"/>
          <w14:ligatures w14:val="none"/>
        </w:rPr>
        <w:t xml:space="preserve">                       </w:t>
      </w:r>
    </w:p>
    <w:p w14:paraId="58BDCD9B" w14:textId="77777777" w:rsidR="00236F13" w:rsidRPr="004A699A" w:rsidRDefault="00236F13" w:rsidP="005D610B">
      <w:pPr>
        <w:rPr>
          <w:rFonts w:ascii="Times New Roman" w:eastAsia="Times New Roman" w:hAnsi="Times New Roman" w:cs="Times New Roman"/>
          <w:b/>
          <w:bCs/>
          <w:kern w:val="0"/>
          <w14:ligatures w14:val="none"/>
        </w:rPr>
      </w:pPr>
    </w:p>
    <w:p w14:paraId="04858941" w14:textId="77777777" w:rsidR="00236F13" w:rsidRPr="004A699A" w:rsidRDefault="00236F13" w:rsidP="005D610B">
      <w:pPr>
        <w:rPr>
          <w:rFonts w:ascii="Times New Roman" w:eastAsia="Times New Roman" w:hAnsi="Times New Roman" w:cs="Times New Roman"/>
          <w:b/>
          <w:bCs/>
          <w:kern w:val="0"/>
          <w14:ligatures w14:val="none"/>
        </w:rPr>
      </w:pPr>
    </w:p>
    <w:p w14:paraId="11EF4334" w14:textId="77777777" w:rsidR="00236F13" w:rsidRPr="004A699A" w:rsidRDefault="00236F13" w:rsidP="005D610B">
      <w:pPr>
        <w:rPr>
          <w:rFonts w:ascii="Times New Roman" w:eastAsia="Times New Roman" w:hAnsi="Times New Roman" w:cs="Times New Roman"/>
          <w:b/>
          <w:bCs/>
          <w:kern w:val="0"/>
          <w14:ligatures w14:val="none"/>
        </w:rPr>
      </w:pPr>
    </w:p>
    <w:p w14:paraId="22F1EB66" w14:textId="77777777" w:rsidR="00236F13" w:rsidRPr="004A699A" w:rsidRDefault="00236F13" w:rsidP="005D610B">
      <w:pPr>
        <w:rPr>
          <w:rFonts w:ascii="Times New Roman" w:eastAsia="Times New Roman" w:hAnsi="Times New Roman" w:cs="Times New Roman"/>
          <w:b/>
          <w:bCs/>
          <w:kern w:val="0"/>
          <w14:ligatures w14:val="none"/>
        </w:rPr>
      </w:pPr>
    </w:p>
    <w:p w14:paraId="35E062CD" w14:textId="77777777" w:rsidR="00236F13" w:rsidRPr="004A699A" w:rsidRDefault="00236F13" w:rsidP="005D610B">
      <w:pPr>
        <w:rPr>
          <w:rFonts w:ascii="Times New Roman" w:eastAsia="Times New Roman" w:hAnsi="Times New Roman" w:cs="Times New Roman"/>
          <w:b/>
          <w:bCs/>
          <w:kern w:val="0"/>
          <w14:ligatures w14:val="none"/>
        </w:rPr>
      </w:pPr>
    </w:p>
    <w:p w14:paraId="7C3B1588" w14:textId="77777777" w:rsidR="00236F13" w:rsidRPr="004A699A" w:rsidRDefault="00236F13" w:rsidP="005D610B">
      <w:pPr>
        <w:rPr>
          <w:rFonts w:ascii="Times New Roman" w:eastAsia="Times New Roman" w:hAnsi="Times New Roman" w:cs="Times New Roman"/>
          <w:b/>
          <w:bCs/>
          <w:kern w:val="0"/>
          <w14:ligatures w14:val="none"/>
        </w:rPr>
      </w:pPr>
    </w:p>
    <w:p w14:paraId="113EC981" w14:textId="120BBFB5" w:rsidR="001A0899" w:rsidRPr="004A699A" w:rsidRDefault="009A49DC" w:rsidP="00F26792">
      <w:pPr>
        <w:ind w:left="900" w:hanging="900"/>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Table- 5</w:t>
      </w:r>
      <w:r w:rsidRPr="004A699A">
        <w:rPr>
          <w:rFonts w:ascii="Times New Roman" w:hAnsi="Times New Roman" w:cs="Times New Roman"/>
        </w:rPr>
        <w:t xml:space="preserve"> </w:t>
      </w:r>
      <w:r w:rsidRPr="004A699A">
        <w:rPr>
          <w:rFonts w:ascii="Times New Roman" w:hAnsi="Times New Roman" w:cs="Times New Roman"/>
          <w:b/>
          <w:bCs/>
        </w:rPr>
        <w:t>Association of Roundworm, Hookworm and Whipworm Infections with Anemia Based on Contingency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234"/>
        <w:gridCol w:w="1234"/>
        <w:gridCol w:w="1234"/>
        <w:gridCol w:w="1234"/>
        <w:gridCol w:w="1234"/>
        <w:gridCol w:w="1234"/>
      </w:tblGrid>
      <w:tr w:rsidR="00EF0C10" w:rsidRPr="004A699A" w14:paraId="148F7C4F" w14:textId="77777777" w:rsidTr="00CA192B">
        <w:tc>
          <w:tcPr>
            <w:tcW w:w="1234" w:type="dxa"/>
            <w:hideMark/>
          </w:tcPr>
          <w:p w14:paraId="41E08375"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t>Helminth Type</w:t>
            </w:r>
          </w:p>
        </w:tc>
        <w:tc>
          <w:tcPr>
            <w:tcW w:w="1234" w:type="dxa"/>
            <w:hideMark/>
          </w:tcPr>
          <w:p w14:paraId="5D1FE722"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t>Anemic</w:t>
            </w:r>
          </w:p>
        </w:tc>
        <w:tc>
          <w:tcPr>
            <w:tcW w:w="1234" w:type="dxa"/>
            <w:hideMark/>
          </w:tcPr>
          <w:p w14:paraId="2BF2F611"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t>Not Anemic</w:t>
            </w:r>
          </w:p>
        </w:tc>
        <w:tc>
          <w:tcPr>
            <w:tcW w:w="1234" w:type="dxa"/>
            <w:hideMark/>
          </w:tcPr>
          <w:p w14:paraId="22D6C78A"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t>OR</w:t>
            </w:r>
          </w:p>
        </w:tc>
        <w:tc>
          <w:tcPr>
            <w:tcW w:w="1234" w:type="dxa"/>
            <w:hideMark/>
          </w:tcPr>
          <w:p w14:paraId="24B1B90C"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t>95% CI</w:t>
            </w:r>
          </w:p>
        </w:tc>
        <w:tc>
          <w:tcPr>
            <w:tcW w:w="1234" w:type="dxa"/>
            <w:hideMark/>
          </w:tcPr>
          <w:p w14:paraId="5114D8E0"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t>χ²</w:t>
            </w:r>
          </w:p>
        </w:tc>
        <w:tc>
          <w:tcPr>
            <w:tcW w:w="1234" w:type="dxa"/>
            <w:hideMark/>
          </w:tcPr>
          <w:p w14:paraId="27D0E936" w14:textId="77777777" w:rsidR="00EF0C10" w:rsidRPr="004A699A" w:rsidRDefault="00EF0C10">
            <w:pPr>
              <w:rPr>
                <w:rFonts w:ascii="Times New Roman" w:hAnsi="Times New Roman" w:cs="Times New Roman"/>
                <w:b/>
                <w:bCs/>
                <w:sz w:val="22"/>
                <w:szCs w:val="22"/>
              </w:rPr>
            </w:pPr>
            <w:r w:rsidRPr="004A699A">
              <w:rPr>
                <w:rFonts w:ascii="Times New Roman" w:hAnsi="Times New Roman" w:cs="Times New Roman"/>
                <w:b/>
                <w:bCs/>
                <w:sz w:val="22"/>
                <w:szCs w:val="22"/>
              </w:rPr>
              <w:t>p-value</w:t>
            </w:r>
          </w:p>
        </w:tc>
      </w:tr>
      <w:tr w:rsidR="00EF0C10" w:rsidRPr="004A699A" w14:paraId="4652D4A4" w14:textId="77777777" w:rsidTr="00F26792">
        <w:trPr>
          <w:trHeight w:val="512"/>
        </w:trPr>
        <w:tc>
          <w:tcPr>
            <w:tcW w:w="1234" w:type="dxa"/>
            <w:hideMark/>
          </w:tcPr>
          <w:p w14:paraId="5FA0A54F"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Roundworm (RW)</w:t>
            </w:r>
          </w:p>
        </w:tc>
        <w:tc>
          <w:tcPr>
            <w:tcW w:w="1234" w:type="dxa"/>
            <w:hideMark/>
          </w:tcPr>
          <w:p w14:paraId="30F2B3E6"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30</w:t>
            </w:r>
          </w:p>
        </w:tc>
        <w:tc>
          <w:tcPr>
            <w:tcW w:w="1234" w:type="dxa"/>
            <w:hideMark/>
          </w:tcPr>
          <w:p w14:paraId="69EC3D1E"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48</w:t>
            </w:r>
          </w:p>
        </w:tc>
        <w:tc>
          <w:tcPr>
            <w:tcW w:w="1234" w:type="dxa"/>
            <w:hideMark/>
          </w:tcPr>
          <w:p w14:paraId="26F19B71"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3.74</w:t>
            </w:r>
          </w:p>
        </w:tc>
        <w:tc>
          <w:tcPr>
            <w:tcW w:w="1234" w:type="dxa"/>
            <w:hideMark/>
          </w:tcPr>
          <w:p w14:paraId="1DE4F4FA"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1.99 – 7.02</w:t>
            </w:r>
          </w:p>
        </w:tc>
        <w:tc>
          <w:tcPr>
            <w:tcW w:w="1234" w:type="dxa"/>
            <w:hideMark/>
          </w:tcPr>
          <w:p w14:paraId="7396D3C3"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14.82</w:t>
            </w:r>
          </w:p>
        </w:tc>
        <w:tc>
          <w:tcPr>
            <w:tcW w:w="1234" w:type="dxa"/>
            <w:hideMark/>
          </w:tcPr>
          <w:p w14:paraId="7C46E1D6"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&lt;0.001</w:t>
            </w:r>
          </w:p>
        </w:tc>
      </w:tr>
      <w:tr w:rsidR="00EF0C10" w:rsidRPr="004A699A" w14:paraId="5E4D85FD" w14:textId="77777777" w:rsidTr="00CA192B">
        <w:tc>
          <w:tcPr>
            <w:tcW w:w="1234" w:type="dxa"/>
            <w:hideMark/>
          </w:tcPr>
          <w:p w14:paraId="72B461D4"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lastRenderedPageBreak/>
              <w:t>Hookworm (HW)</w:t>
            </w:r>
          </w:p>
        </w:tc>
        <w:tc>
          <w:tcPr>
            <w:tcW w:w="1234" w:type="dxa"/>
            <w:hideMark/>
          </w:tcPr>
          <w:p w14:paraId="0D1A0272"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42</w:t>
            </w:r>
          </w:p>
        </w:tc>
        <w:tc>
          <w:tcPr>
            <w:tcW w:w="1234" w:type="dxa"/>
            <w:hideMark/>
          </w:tcPr>
          <w:p w14:paraId="39DC8FC7"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17</w:t>
            </w:r>
          </w:p>
        </w:tc>
        <w:tc>
          <w:tcPr>
            <w:tcW w:w="1234" w:type="dxa"/>
            <w:hideMark/>
          </w:tcPr>
          <w:p w14:paraId="5D84A041"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3.99</w:t>
            </w:r>
          </w:p>
        </w:tc>
        <w:tc>
          <w:tcPr>
            <w:tcW w:w="1234" w:type="dxa"/>
            <w:hideMark/>
          </w:tcPr>
          <w:p w14:paraId="4404CB15"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2.16 – 7.38</w:t>
            </w:r>
          </w:p>
        </w:tc>
        <w:tc>
          <w:tcPr>
            <w:tcW w:w="1234" w:type="dxa"/>
            <w:hideMark/>
          </w:tcPr>
          <w:p w14:paraId="06EFCCEF"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20.43</w:t>
            </w:r>
          </w:p>
        </w:tc>
        <w:tc>
          <w:tcPr>
            <w:tcW w:w="1234" w:type="dxa"/>
            <w:hideMark/>
          </w:tcPr>
          <w:p w14:paraId="38959A4E"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&lt;0.0001</w:t>
            </w:r>
          </w:p>
        </w:tc>
      </w:tr>
      <w:tr w:rsidR="00EF0C10" w:rsidRPr="004A699A" w14:paraId="372FC469" w14:textId="77777777" w:rsidTr="00CA192B">
        <w:tc>
          <w:tcPr>
            <w:tcW w:w="1234" w:type="dxa"/>
            <w:hideMark/>
          </w:tcPr>
          <w:p w14:paraId="5F1A2B14"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Whipworm (WW)</w:t>
            </w:r>
          </w:p>
        </w:tc>
        <w:tc>
          <w:tcPr>
            <w:tcW w:w="1234" w:type="dxa"/>
            <w:hideMark/>
          </w:tcPr>
          <w:p w14:paraId="09F374E3"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28</w:t>
            </w:r>
          </w:p>
        </w:tc>
        <w:tc>
          <w:tcPr>
            <w:tcW w:w="1234" w:type="dxa"/>
            <w:hideMark/>
          </w:tcPr>
          <w:p w14:paraId="5BD7DB0A"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33</w:t>
            </w:r>
          </w:p>
        </w:tc>
        <w:tc>
          <w:tcPr>
            <w:tcW w:w="1234" w:type="dxa"/>
            <w:hideMark/>
          </w:tcPr>
          <w:p w14:paraId="02FAFFC7"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0.93</w:t>
            </w:r>
          </w:p>
        </w:tc>
        <w:tc>
          <w:tcPr>
            <w:tcW w:w="1234" w:type="dxa"/>
            <w:hideMark/>
          </w:tcPr>
          <w:p w14:paraId="72333368"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0.53 – 1.64</w:t>
            </w:r>
          </w:p>
        </w:tc>
        <w:tc>
          <w:tcPr>
            <w:tcW w:w="1234" w:type="dxa"/>
            <w:hideMark/>
          </w:tcPr>
          <w:p w14:paraId="31480CE1"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0.04</w:t>
            </w:r>
          </w:p>
        </w:tc>
        <w:tc>
          <w:tcPr>
            <w:tcW w:w="1234" w:type="dxa"/>
            <w:hideMark/>
          </w:tcPr>
          <w:p w14:paraId="3422D41A" w14:textId="77777777" w:rsidR="00EF0C10" w:rsidRPr="004A699A" w:rsidRDefault="00EF0C10">
            <w:pPr>
              <w:rPr>
                <w:rFonts w:ascii="Times New Roman" w:hAnsi="Times New Roman" w:cs="Times New Roman"/>
                <w:sz w:val="22"/>
                <w:szCs w:val="22"/>
              </w:rPr>
            </w:pPr>
            <w:r w:rsidRPr="004A699A">
              <w:rPr>
                <w:rFonts w:ascii="Times New Roman" w:hAnsi="Times New Roman" w:cs="Times New Roman"/>
                <w:sz w:val="22"/>
                <w:szCs w:val="22"/>
              </w:rPr>
              <w:t>0.84</w:t>
            </w:r>
          </w:p>
        </w:tc>
      </w:tr>
    </w:tbl>
    <w:p w14:paraId="118FB4CA" w14:textId="77777777" w:rsidR="00EF0C10" w:rsidRPr="004A699A" w:rsidRDefault="00EF0C10" w:rsidP="005D610B">
      <w:pPr>
        <w:rPr>
          <w:rFonts w:ascii="Times New Roman" w:eastAsia="Times New Roman" w:hAnsi="Times New Roman" w:cs="Times New Roman"/>
          <w:b/>
          <w:bCs/>
          <w:kern w:val="0"/>
          <w14:ligatures w14:val="none"/>
        </w:rPr>
      </w:pPr>
    </w:p>
    <w:p w14:paraId="09748889" w14:textId="77777777" w:rsidR="00EF0C10" w:rsidRPr="004A699A" w:rsidRDefault="00EF0C10" w:rsidP="005D610B">
      <w:pPr>
        <w:rPr>
          <w:rFonts w:ascii="Times New Roman" w:eastAsia="Times New Roman" w:hAnsi="Times New Roman" w:cs="Times New Roman"/>
          <w:b/>
          <w:bCs/>
          <w:kern w:val="0"/>
          <w14:ligatures w14:val="none"/>
        </w:rPr>
      </w:pPr>
    </w:p>
    <w:p w14:paraId="21B86812" w14:textId="5AC2A06B" w:rsidR="004B2BF4" w:rsidRPr="004A699A" w:rsidRDefault="004B2BF4" w:rsidP="005D610B">
      <w:pPr>
        <w:rPr>
          <w:rFonts w:ascii="Times New Roman" w:eastAsia="Times New Roman" w:hAnsi="Times New Roman" w:cs="Times New Roman"/>
          <w:b/>
          <w:bCs/>
          <w:kern w:val="0"/>
          <w14:ligatures w14:val="none"/>
        </w:rPr>
      </w:pPr>
      <w:r w:rsidRPr="004A699A">
        <w:rPr>
          <w:rFonts w:ascii="Times New Roman" w:hAnsi="Times New Roman" w:cs="Times New Roman"/>
          <w:noProof/>
        </w:rPr>
        <w:drawing>
          <wp:inline distT="0" distB="0" distL="0" distR="0" wp14:anchorId="779104BB" wp14:editId="138AE479">
            <wp:extent cx="5495925" cy="2352675"/>
            <wp:effectExtent l="0" t="0" r="9525" b="9525"/>
            <wp:docPr id="1583556148" name="Chart 1">
              <a:extLst xmlns:a="http://schemas.openxmlformats.org/drawingml/2006/main">
                <a:ext uri="{FF2B5EF4-FFF2-40B4-BE49-F238E27FC236}">
                  <a16:creationId xmlns:a16="http://schemas.microsoft.com/office/drawing/2014/main" id="{5B5CA133-ED3D-AEBB-C835-5DC763F329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EA7257" w14:textId="7B272914" w:rsidR="00B262DA" w:rsidRPr="004A699A" w:rsidRDefault="00644CAB" w:rsidP="001A0172">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FIGURE </w:t>
      </w:r>
      <w:r w:rsidR="00B262DA" w:rsidRPr="004A699A">
        <w:rPr>
          <w:rFonts w:ascii="Times New Roman" w:eastAsia="Times New Roman" w:hAnsi="Times New Roman" w:cs="Times New Roman"/>
          <w:b/>
          <w:bCs/>
          <w:kern w:val="0"/>
          <w14:ligatures w14:val="none"/>
        </w:rPr>
        <w:t>4</w:t>
      </w:r>
      <w:r w:rsidR="009A49DC" w:rsidRPr="004A699A">
        <w:rPr>
          <w:rFonts w:ascii="Times New Roman" w:eastAsia="Times New Roman" w:hAnsi="Times New Roman" w:cs="Times New Roman"/>
          <w:b/>
          <w:bCs/>
          <w:kern w:val="0"/>
          <w14:ligatures w14:val="none"/>
        </w:rPr>
        <w:t>:</w:t>
      </w:r>
      <w:r w:rsidR="00B262DA" w:rsidRPr="004A699A">
        <w:rPr>
          <w:rFonts w:ascii="Times New Roman" w:eastAsia="Times New Roman" w:hAnsi="Times New Roman" w:cs="Times New Roman"/>
          <w:b/>
          <w:bCs/>
          <w:kern w:val="0"/>
          <w14:ligatures w14:val="none"/>
        </w:rPr>
        <w:t xml:space="preserve"> Bar chart showing STH prevalence and anemia</w:t>
      </w:r>
      <w:r w:rsidR="009A49DC" w:rsidRPr="004A699A">
        <w:rPr>
          <w:rFonts w:ascii="Times New Roman" w:eastAsia="Times New Roman" w:hAnsi="Times New Roman" w:cs="Times New Roman"/>
          <w:b/>
          <w:bCs/>
          <w:kern w:val="0"/>
          <w14:ligatures w14:val="none"/>
        </w:rPr>
        <w:t xml:space="preserve"> occurrence along with STH type</w:t>
      </w:r>
    </w:p>
    <w:p w14:paraId="22A40249" w14:textId="285FDEED" w:rsidR="00B262DA" w:rsidRPr="004A699A" w:rsidRDefault="00644CAB" w:rsidP="00267DAE">
      <w:pPr>
        <w:spacing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756BC1" w:rsidRPr="004A699A">
        <w:rPr>
          <w:rFonts w:ascii="Times New Roman" w:eastAsia="Times New Roman" w:hAnsi="Times New Roman" w:cs="Times New Roman"/>
          <w:b/>
          <w:bCs/>
          <w:kern w:val="0"/>
          <w14:ligatures w14:val="none"/>
        </w:rPr>
        <w:t>4.</w:t>
      </w:r>
      <w:r w:rsidR="009A49DC" w:rsidRPr="004A699A">
        <w:rPr>
          <w:rFonts w:ascii="Times New Roman" w:eastAsia="Times New Roman" w:hAnsi="Times New Roman" w:cs="Times New Roman"/>
          <w:b/>
          <w:bCs/>
          <w:kern w:val="0"/>
          <w14:ligatures w14:val="none"/>
        </w:rPr>
        <w:t xml:space="preserve"> </w:t>
      </w:r>
      <w:r w:rsidR="00BE0604" w:rsidRPr="004A699A">
        <w:rPr>
          <w:rFonts w:ascii="Times New Roman" w:eastAsia="Times New Roman" w:hAnsi="Times New Roman" w:cs="Times New Roman"/>
          <w:b/>
          <w:bCs/>
          <w:kern w:val="0"/>
          <w14:ligatures w14:val="none"/>
        </w:rPr>
        <w:t>Age r</w:t>
      </w:r>
      <w:r w:rsidR="009A49DC" w:rsidRPr="004A699A">
        <w:rPr>
          <w:rFonts w:ascii="Times New Roman" w:eastAsia="Times New Roman" w:hAnsi="Times New Roman" w:cs="Times New Roman"/>
          <w:b/>
          <w:bCs/>
          <w:kern w:val="0"/>
          <w14:ligatures w14:val="none"/>
        </w:rPr>
        <w:t xml:space="preserve">elated Trends in STH Infection </w:t>
      </w:r>
    </w:p>
    <w:p w14:paraId="69923C81" w14:textId="77777777" w:rsidR="009B2415" w:rsidRDefault="00D91E6D" w:rsidP="00267DAE">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Clinical survey:</w:t>
      </w:r>
      <w:r w:rsidR="009A49DC" w:rsidRPr="004A699A">
        <w:rPr>
          <w:rFonts w:ascii="Times New Roman" w:eastAsia="Times New Roman" w:hAnsi="Times New Roman" w:cs="Times New Roman"/>
          <w:b/>
          <w:bCs/>
          <w:kern w:val="0"/>
          <w14:ligatures w14:val="none"/>
        </w:rPr>
        <w:t xml:space="preserve"> </w:t>
      </w:r>
      <w:r w:rsidR="004B2D01" w:rsidRPr="004A699A">
        <w:rPr>
          <w:rFonts w:ascii="Times New Roman" w:eastAsia="Times New Roman" w:hAnsi="Times New Roman" w:cs="Times New Roman"/>
          <w:kern w:val="0"/>
          <w14:ligatures w14:val="none"/>
        </w:rPr>
        <w:t>There was a statistically significant link between age group and the number of people with STH infections (χ² = 38.61, p &lt; 0.001)</w:t>
      </w:r>
      <w:r w:rsidR="00176209" w:rsidRPr="004A699A">
        <w:rPr>
          <w:rFonts w:ascii="Times New Roman" w:eastAsia="Times New Roman" w:hAnsi="Times New Roman" w:cs="Times New Roman"/>
          <w:kern w:val="0"/>
          <w14:ligatures w14:val="none"/>
        </w:rPr>
        <w:t>as stated in table 8</w:t>
      </w:r>
      <w:r w:rsidR="004B2D01" w:rsidRPr="004A699A">
        <w:rPr>
          <w:rFonts w:ascii="Times New Roman" w:eastAsia="Times New Roman" w:hAnsi="Times New Roman" w:cs="Times New Roman"/>
          <w:kern w:val="0"/>
          <w14:ligatures w14:val="none"/>
        </w:rPr>
        <w:t>.</w:t>
      </w:r>
      <w:r w:rsidR="00176209" w:rsidRPr="004A699A">
        <w:rPr>
          <w:rFonts w:ascii="Times New Roman" w:eastAsia="Times New Roman" w:hAnsi="Times New Roman" w:cs="Times New Roman"/>
          <w:kern w:val="0"/>
          <w14:ligatures w14:val="none"/>
        </w:rPr>
        <w:t>As shown in table 6</w:t>
      </w:r>
      <w:r w:rsidR="004B2D01" w:rsidRPr="004A699A">
        <w:rPr>
          <w:rFonts w:ascii="Times New Roman" w:eastAsia="Times New Roman" w:hAnsi="Times New Roman" w:cs="Times New Roman"/>
          <w:kern w:val="0"/>
          <w14:ligatures w14:val="none"/>
        </w:rPr>
        <w:t xml:space="preserve"> </w:t>
      </w:r>
      <w:r w:rsidR="00176209" w:rsidRPr="004A699A">
        <w:rPr>
          <w:rFonts w:ascii="Times New Roman" w:eastAsia="Times New Roman" w:hAnsi="Times New Roman" w:cs="Times New Roman"/>
          <w:kern w:val="0"/>
          <w14:ligatures w14:val="none"/>
        </w:rPr>
        <w:t>t</w:t>
      </w:r>
      <w:r w:rsidR="004B2D01" w:rsidRPr="004A699A">
        <w:rPr>
          <w:rFonts w:ascii="Times New Roman" w:eastAsia="Times New Roman" w:hAnsi="Times New Roman" w:cs="Times New Roman"/>
          <w:kern w:val="0"/>
          <w14:ligatures w14:val="none"/>
        </w:rPr>
        <w:t xml:space="preserve">he infection rates were highest in children aged 0–10 years (92.06%), and they went down in older groups (for example, 75.46% in 31–40 years). This backs up the idea that deworming programs should be a top priority for school-age and preschool-age kids. </w:t>
      </w:r>
      <w:r w:rsidR="004B2D01" w:rsidRPr="004A699A">
        <w:rPr>
          <w:rFonts w:ascii="Times New Roman" w:eastAsia="Times New Roman" w:hAnsi="Times New Roman" w:cs="Times New Roman"/>
          <w:kern w:val="0"/>
          <w14:ligatures w14:val="none"/>
        </w:rPr>
        <w:br/>
      </w:r>
      <w:r w:rsidRPr="004A699A">
        <w:rPr>
          <w:rFonts w:ascii="Times New Roman" w:eastAsia="Times New Roman" w:hAnsi="Times New Roman" w:cs="Times New Roman"/>
          <w:b/>
          <w:bCs/>
          <w:kern w:val="0"/>
          <w14:ligatures w14:val="none"/>
        </w:rPr>
        <w:t>Community survey</w:t>
      </w:r>
      <w:r w:rsidR="00176209" w:rsidRPr="004A699A">
        <w:rPr>
          <w:rFonts w:ascii="Times New Roman" w:eastAsia="Times New Roman" w:hAnsi="Times New Roman" w:cs="Times New Roman"/>
          <w:b/>
          <w:bCs/>
          <w:kern w:val="0"/>
          <w14:ligatures w14:val="none"/>
        </w:rPr>
        <w:t>:</w:t>
      </w:r>
      <w:r w:rsidR="00176209" w:rsidRPr="004A699A">
        <w:rPr>
          <w:rFonts w:ascii="Times New Roman" w:eastAsia="Times New Roman" w:hAnsi="Times New Roman" w:cs="Times New Roman"/>
          <w:kern w:val="0"/>
          <w14:ligatures w14:val="none"/>
        </w:rPr>
        <w:t xml:space="preserve"> Of</w:t>
      </w:r>
      <w:r w:rsidR="005D610B" w:rsidRPr="004A699A">
        <w:rPr>
          <w:rFonts w:ascii="Times New Roman" w:eastAsia="Times New Roman" w:hAnsi="Times New Roman" w:cs="Times New Roman"/>
          <w:kern w:val="0"/>
          <w14:ligatures w14:val="none"/>
        </w:rPr>
        <w:t xml:space="preserve"> the 615 people investigated, 339 (55.1%) tested positive for soil-transmitted helminth (STH) infection. The prevalence differed among age groups, with 45.1% in the 41–</w:t>
      </w:r>
      <w:r w:rsidR="00176209" w:rsidRPr="004A699A">
        <w:rPr>
          <w:rFonts w:ascii="Times New Roman" w:eastAsia="Times New Roman" w:hAnsi="Times New Roman" w:cs="Times New Roman"/>
          <w:kern w:val="0"/>
          <w14:ligatures w14:val="none"/>
        </w:rPr>
        <w:t>50-year</w:t>
      </w:r>
      <w:r w:rsidR="005D610B" w:rsidRPr="004A699A">
        <w:rPr>
          <w:rFonts w:ascii="Times New Roman" w:eastAsia="Times New Roman" w:hAnsi="Times New Roman" w:cs="Times New Roman"/>
          <w:kern w:val="0"/>
          <w14:ligatures w14:val="none"/>
        </w:rPr>
        <w:t xml:space="preserve"> group and 62.5% in the 11–</w:t>
      </w:r>
      <w:r w:rsidR="00176209" w:rsidRPr="004A699A">
        <w:rPr>
          <w:rFonts w:ascii="Times New Roman" w:eastAsia="Times New Roman" w:hAnsi="Times New Roman" w:cs="Times New Roman"/>
          <w:kern w:val="0"/>
          <w14:ligatures w14:val="none"/>
        </w:rPr>
        <w:t>20-year</w:t>
      </w:r>
      <w:r w:rsidR="005D610B" w:rsidRPr="004A699A">
        <w:rPr>
          <w:rFonts w:ascii="Times New Roman" w:eastAsia="Times New Roman" w:hAnsi="Times New Roman" w:cs="Times New Roman"/>
          <w:kern w:val="0"/>
          <w14:ligatures w14:val="none"/>
        </w:rPr>
        <w:t xml:space="preserve"> group</w:t>
      </w:r>
      <w:r w:rsidR="00176209" w:rsidRPr="004A699A">
        <w:rPr>
          <w:rFonts w:ascii="Times New Roman" w:eastAsia="Times New Roman" w:hAnsi="Times New Roman" w:cs="Times New Roman"/>
          <w:kern w:val="0"/>
          <w14:ligatures w14:val="none"/>
        </w:rPr>
        <w:t xml:space="preserve"> as presented in table 6</w:t>
      </w:r>
      <w:r w:rsidR="005D610B" w:rsidRPr="004A699A">
        <w:rPr>
          <w:rFonts w:ascii="Times New Roman" w:eastAsia="Times New Roman" w:hAnsi="Times New Roman" w:cs="Times New Roman"/>
          <w:kern w:val="0"/>
          <w14:ligatures w14:val="none"/>
        </w:rPr>
        <w:t>. However, chi-</w:t>
      </w:r>
      <w:r w:rsidR="005D610B" w:rsidRPr="004A699A">
        <w:rPr>
          <w:rFonts w:ascii="Times New Roman" w:eastAsia="Times New Roman" w:hAnsi="Times New Roman" w:cs="Times New Roman"/>
          <w:kern w:val="0"/>
          <w14:ligatures w14:val="none"/>
        </w:rPr>
        <w:lastRenderedPageBreak/>
        <w:t>square analysis revealed no statistically significant correlation between age group and infection</w:t>
      </w:r>
      <w:r w:rsidR="009A49DC" w:rsidRPr="004A699A">
        <w:rPr>
          <w:rFonts w:ascii="Times New Roman" w:eastAsia="Times New Roman" w:hAnsi="Times New Roman" w:cs="Times New Roman"/>
          <w:kern w:val="0"/>
          <w14:ligatures w14:val="none"/>
        </w:rPr>
        <w:t xml:space="preserve"> status (χ² = 7.86, df = 5, p = 0.164) referred to table 8. Effect of gender is not significant in both </w:t>
      </w:r>
    </w:p>
    <w:p w14:paraId="7F164703" w14:textId="77777777" w:rsidR="009B2415" w:rsidRDefault="009B2415" w:rsidP="009B2415">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clinical and community survey. </w:t>
      </w:r>
    </w:p>
    <w:p w14:paraId="3B99E2AD" w14:textId="4D8B79A7" w:rsidR="006C2E4E" w:rsidRPr="004A699A" w:rsidRDefault="00CD029E" w:rsidP="00644CAB">
      <w:pPr>
        <w:ind w:left="990" w:hanging="99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Table </w:t>
      </w:r>
      <w:r w:rsidRPr="004A699A">
        <w:rPr>
          <w:rFonts w:ascii="Times New Roman" w:eastAsia="Times New Roman" w:hAnsi="Times New Roman" w:cs="Times New Roman"/>
          <w:b/>
          <w:bCs/>
          <w:kern w:val="0"/>
          <w14:ligatures w14:val="none"/>
        </w:rPr>
        <w:t>6: Total prevalence percentage among variables like age and gender in both clinical and community survey</w:t>
      </w:r>
      <w:bookmarkStart w:id="2" w:name="_Hlk214885145"/>
    </w:p>
    <w:tbl>
      <w:tblPr>
        <w:tblStyle w:val="TableGrid"/>
        <w:tblpPr w:leftFromText="180" w:rightFromText="180" w:vertAnchor="page" w:horzAnchor="margin" w:tblpY="6286"/>
        <w:tblW w:w="0" w:type="auto"/>
        <w:tblLook w:val="04A0" w:firstRow="1" w:lastRow="0" w:firstColumn="1" w:lastColumn="0" w:noHBand="0" w:noVBand="1"/>
      </w:tblPr>
      <w:tblGrid>
        <w:gridCol w:w="2337"/>
        <w:gridCol w:w="2337"/>
        <w:gridCol w:w="2338"/>
        <w:gridCol w:w="2338"/>
      </w:tblGrid>
      <w:tr w:rsidR="00644CAB" w:rsidRPr="004A699A" w14:paraId="0AC6929F" w14:textId="77777777" w:rsidTr="00CD029E">
        <w:tc>
          <w:tcPr>
            <w:tcW w:w="2337" w:type="dxa"/>
          </w:tcPr>
          <w:bookmarkEnd w:id="2"/>
          <w:p w14:paraId="00E4B785"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b/>
                <w:sz w:val="22"/>
                <w:szCs w:val="22"/>
              </w:rPr>
              <w:t>Variable</w:t>
            </w:r>
          </w:p>
        </w:tc>
        <w:tc>
          <w:tcPr>
            <w:tcW w:w="2337" w:type="dxa"/>
          </w:tcPr>
          <w:p w14:paraId="61611DD7"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b/>
                <w:sz w:val="22"/>
                <w:szCs w:val="22"/>
              </w:rPr>
              <w:t>Category</w:t>
            </w:r>
          </w:p>
        </w:tc>
        <w:tc>
          <w:tcPr>
            <w:tcW w:w="2338" w:type="dxa"/>
          </w:tcPr>
          <w:p w14:paraId="65C2A79B"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b/>
                <w:sz w:val="22"/>
                <w:szCs w:val="22"/>
              </w:rPr>
              <w:t>Community Prevalence %</w:t>
            </w:r>
          </w:p>
        </w:tc>
        <w:tc>
          <w:tcPr>
            <w:tcW w:w="2338" w:type="dxa"/>
          </w:tcPr>
          <w:p w14:paraId="77A4DD31"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b/>
                <w:sz w:val="22"/>
                <w:szCs w:val="22"/>
              </w:rPr>
              <w:t>Clinical Prevalence %</w:t>
            </w:r>
          </w:p>
        </w:tc>
      </w:tr>
      <w:tr w:rsidR="00644CAB" w:rsidRPr="004A699A" w14:paraId="1F186844" w14:textId="77777777" w:rsidTr="00CD029E">
        <w:tc>
          <w:tcPr>
            <w:tcW w:w="2337" w:type="dxa"/>
          </w:tcPr>
          <w:p w14:paraId="7EF38DF0"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Age Group</w:t>
            </w:r>
          </w:p>
        </w:tc>
        <w:tc>
          <w:tcPr>
            <w:tcW w:w="2337" w:type="dxa"/>
          </w:tcPr>
          <w:p w14:paraId="60992885"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0-10</w:t>
            </w:r>
          </w:p>
        </w:tc>
        <w:tc>
          <w:tcPr>
            <w:tcW w:w="2338" w:type="dxa"/>
          </w:tcPr>
          <w:p w14:paraId="6EB46B94"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53.7</w:t>
            </w:r>
          </w:p>
        </w:tc>
        <w:tc>
          <w:tcPr>
            <w:tcW w:w="2338" w:type="dxa"/>
          </w:tcPr>
          <w:p w14:paraId="1A8FF0DF"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92.1</w:t>
            </w:r>
          </w:p>
        </w:tc>
      </w:tr>
      <w:tr w:rsidR="00644CAB" w:rsidRPr="004A699A" w14:paraId="5FE0528B" w14:textId="77777777" w:rsidTr="00CD029E">
        <w:tc>
          <w:tcPr>
            <w:tcW w:w="2337" w:type="dxa"/>
          </w:tcPr>
          <w:p w14:paraId="0664B699"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Age Group</w:t>
            </w:r>
          </w:p>
        </w:tc>
        <w:tc>
          <w:tcPr>
            <w:tcW w:w="2337" w:type="dxa"/>
          </w:tcPr>
          <w:p w14:paraId="60BDC068"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11-20</w:t>
            </w:r>
          </w:p>
        </w:tc>
        <w:tc>
          <w:tcPr>
            <w:tcW w:w="2338" w:type="dxa"/>
          </w:tcPr>
          <w:p w14:paraId="6A8B31CA"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62.5</w:t>
            </w:r>
          </w:p>
        </w:tc>
        <w:tc>
          <w:tcPr>
            <w:tcW w:w="2338" w:type="dxa"/>
          </w:tcPr>
          <w:p w14:paraId="790214AE"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90.3</w:t>
            </w:r>
          </w:p>
        </w:tc>
      </w:tr>
      <w:tr w:rsidR="00644CAB" w:rsidRPr="004A699A" w14:paraId="5253BD38" w14:textId="77777777" w:rsidTr="00CD029E">
        <w:tc>
          <w:tcPr>
            <w:tcW w:w="2337" w:type="dxa"/>
          </w:tcPr>
          <w:p w14:paraId="3BCB7796"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Age Group</w:t>
            </w:r>
          </w:p>
        </w:tc>
        <w:tc>
          <w:tcPr>
            <w:tcW w:w="2337" w:type="dxa"/>
          </w:tcPr>
          <w:p w14:paraId="07B78E36"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21-30</w:t>
            </w:r>
          </w:p>
        </w:tc>
        <w:tc>
          <w:tcPr>
            <w:tcW w:w="2338" w:type="dxa"/>
          </w:tcPr>
          <w:p w14:paraId="27D7637E"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59.0</w:t>
            </w:r>
          </w:p>
        </w:tc>
        <w:tc>
          <w:tcPr>
            <w:tcW w:w="2338" w:type="dxa"/>
          </w:tcPr>
          <w:p w14:paraId="0D10A341"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80.6</w:t>
            </w:r>
          </w:p>
        </w:tc>
      </w:tr>
      <w:tr w:rsidR="00644CAB" w:rsidRPr="004A699A" w14:paraId="49CD93CE" w14:textId="77777777" w:rsidTr="00CD029E">
        <w:tc>
          <w:tcPr>
            <w:tcW w:w="2337" w:type="dxa"/>
          </w:tcPr>
          <w:p w14:paraId="718EE78E"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Age Group</w:t>
            </w:r>
          </w:p>
        </w:tc>
        <w:tc>
          <w:tcPr>
            <w:tcW w:w="2337" w:type="dxa"/>
          </w:tcPr>
          <w:p w14:paraId="1256271A"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31-40</w:t>
            </w:r>
          </w:p>
        </w:tc>
        <w:tc>
          <w:tcPr>
            <w:tcW w:w="2338" w:type="dxa"/>
          </w:tcPr>
          <w:p w14:paraId="0E26D54F"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52.1</w:t>
            </w:r>
          </w:p>
        </w:tc>
        <w:tc>
          <w:tcPr>
            <w:tcW w:w="2338" w:type="dxa"/>
          </w:tcPr>
          <w:p w14:paraId="02D1E868"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75.5</w:t>
            </w:r>
          </w:p>
        </w:tc>
      </w:tr>
      <w:tr w:rsidR="00644CAB" w:rsidRPr="004A699A" w14:paraId="364CF82D" w14:textId="77777777" w:rsidTr="00CD029E">
        <w:tc>
          <w:tcPr>
            <w:tcW w:w="2337" w:type="dxa"/>
          </w:tcPr>
          <w:p w14:paraId="6EAC1E40"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Age Group</w:t>
            </w:r>
          </w:p>
        </w:tc>
        <w:tc>
          <w:tcPr>
            <w:tcW w:w="2337" w:type="dxa"/>
          </w:tcPr>
          <w:p w14:paraId="5C117AFA"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41-50</w:t>
            </w:r>
          </w:p>
        </w:tc>
        <w:tc>
          <w:tcPr>
            <w:tcW w:w="2338" w:type="dxa"/>
          </w:tcPr>
          <w:p w14:paraId="25A7C115"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45.1</w:t>
            </w:r>
          </w:p>
        </w:tc>
        <w:tc>
          <w:tcPr>
            <w:tcW w:w="2338" w:type="dxa"/>
          </w:tcPr>
          <w:p w14:paraId="2FA70A90"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80.9</w:t>
            </w:r>
          </w:p>
        </w:tc>
      </w:tr>
      <w:tr w:rsidR="00644CAB" w:rsidRPr="004A699A" w14:paraId="1C3EEB0D" w14:textId="77777777" w:rsidTr="00CD029E">
        <w:tc>
          <w:tcPr>
            <w:tcW w:w="2337" w:type="dxa"/>
          </w:tcPr>
          <w:p w14:paraId="41D9A339"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Age Group</w:t>
            </w:r>
          </w:p>
        </w:tc>
        <w:tc>
          <w:tcPr>
            <w:tcW w:w="2337" w:type="dxa"/>
          </w:tcPr>
          <w:p w14:paraId="5557A97B"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&gt;50</w:t>
            </w:r>
          </w:p>
        </w:tc>
        <w:tc>
          <w:tcPr>
            <w:tcW w:w="2338" w:type="dxa"/>
          </w:tcPr>
          <w:p w14:paraId="1F0DC37B"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55.6</w:t>
            </w:r>
          </w:p>
        </w:tc>
        <w:tc>
          <w:tcPr>
            <w:tcW w:w="2338" w:type="dxa"/>
          </w:tcPr>
          <w:p w14:paraId="6E10F975"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87.1</w:t>
            </w:r>
          </w:p>
        </w:tc>
      </w:tr>
      <w:tr w:rsidR="00644CAB" w:rsidRPr="004A699A" w14:paraId="408CADDE" w14:textId="77777777" w:rsidTr="00CD029E">
        <w:tc>
          <w:tcPr>
            <w:tcW w:w="2337" w:type="dxa"/>
          </w:tcPr>
          <w:p w14:paraId="34CC1AA1"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Gender</w:t>
            </w:r>
          </w:p>
        </w:tc>
        <w:tc>
          <w:tcPr>
            <w:tcW w:w="2337" w:type="dxa"/>
          </w:tcPr>
          <w:p w14:paraId="15266237"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Male</w:t>
            </w:r>
          </w:p>
        </w:tc>
        <w:tc>
          <w:tcPr>
            <w:tcW w:w="2338" w:type="dxa"/>
          </w:tcPr>
          <w:p w14:paraId="7C9295A5"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56.8</w:t>
            </w:r>
          </w:p>
        </w:tc>
        <w:tc>
          <w:tcPr>
            <w:tcW w:w="2338" w:type="dxa"/>
          </w:tcPr>
          <w:p w14:paraId="1E83C797"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84.8</w:t>
            </w:r>
          </w:p>
        </w:tc>
      </w:tr>
      <w:tr w:rsidR="00644CAB" w:rsidRPr="004A699A" w14:paraId="111BE04F" w14:textId="77777777" w:rsidTr="00CD029E">
        <w:tc>
          <w:tcPr>
            <w:tcW w:w="2337" w:type="dxa"/>
          </w:tcPr>
          <w:p w14:paraId="6FF6F875"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Gender</w:t>
            </w:r>
          </w:p>
        </w:tc>
        <w:tc>
          <w:tcPr>
            <w:tcW w:w="2337" w:type="dxa"/>
          </w:tcPr>
          <w:p w14:paraId="70A6A666"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Female</w:t>
            </w:r>
          </w:p>
        </w:tc>
        <w:tc>
          <w:tcPr>
            <w:tcW w:w="2338" w:type="dxa"/>
          </w:tcPr>
          <w:p w14:paraId="444A87AC"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53.0</w:t>
            </w:r>
          </w:p>
        </w:tc>
        <w:tc>
          <w:tcPr>
            <w:tcW w:w="2338" w:type="dxa"/>
          </w:tcPr>
          <w:p w14:paraId="7A43AB9F" w14:textId="77777777" w:rsidR="00644CAB" w:rsidRPr="004A699A" w:rsidRDefault="00644CAB" w:rsidP="00CD029E">
            <w:pPr>
              <w:rPr>
                <w:rFonts w:ascii="Times New Roman" w:hAnsi="Times New Roman" w:cs="Times New Roman"/>
                <w:sz w:val="22"/>
                <w:szCs w:val="22"/>
              </w:rPr>
            </w:pPr>
            <w:r w:rsidRPr="004A699A">
              <w:rPr>
                <w:rFonts w:ascii="Times New Roman" w:hAnsi="Times New Roman" w:cs="Times New Roman"/>
                <w:sz w:val="22"/>
                <w:szCs w:val="22"/>
              </w:rPr>
              <w:t>84.4</w:t>
            </w:r>
          </w:p>
        </w:tc>
      </w:tr>
    </w:tbl>
    <w:p w14:paraId="6403844D" w14:textId="77777777" w:rsidR="00644CAB" w:rsidRDefault="00644CAB" w:rsidP="006C2E4E">
      <w:pPr>
        <w:rPr>
          <w:rFonts w:ascii="Times New Roman" w:eastAsia="Times New Roman" w:hAnsi="Times New Roman" w:cs="Times New Roman"/>
          <w:b/>
          <w:bCs/>
          <w:kern w:val="0"/>
          <w14:ligatures w14:val="none"/>
        </w:rPr>
      </w:pPr>
    </w:p>
    <w:p w14:paraId="0F643C55" w14:textId="2F00C0F3" w:rsidR="00644CAB" w:rsidRDefault="00644CAB" w:rsidP="006C2E4E">
      <w:pPr>
        <w:rPr>
          <w:rFonts w:ascii="Times New Roman" w:eastAsia="Times New Roman" w:hAnsi="Times New Roman" w:cs="Times New Roman"/>
          <w:b/>
          <w:bCs/>
          <w:kern w:val="0"/>
          <w14:ligatures w14:val="none"/>
        </w:rPr>
      </w:pPr>
      <w:r w:rsidRPr="004A699A">
        <w:rPr>
          <w:rFonts w:ascii="Times New Roman" w:hAnsi="Times New Roman" w:cs="Times New Roman"/>
          <w:noProof/>
        </w:rPr>
        <w:drawing>
          <wp:inline distT="0" distB="0" distL="0" distR="0" wp14:anchorId="53411E8A" wp14:editId="4781F96A">
            <wp:extent cx="4572000" cy="2133600"/>
            <wp:effectExtent l="0" t="0" r="0" b="0"/>
            <wp:docPr id="571340010" name="Chart 1">
              <a:extLst xmlns:a="http://schemas.openxmlformats.org/drawingml/2006/main">
                <a:ext uri="{FF2B5EF4-FFF2-40B4-BE49-F238E27FC236}">
                  <a16:creationId xmlns:a16="http://schemas.microsoft.com/office/drawing/2014/main" id="{685F5276-8D81-9506-2757-8109F7F4D0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6B3B4F" w14:textId="77777777" w:rsidR="00644CAB" w:rsidRDefault="00644CAB" w:rsidP="006C2E4E">
      <w:pPr>
        <w:rPr>
          <w:rFonts w:ascii="Times New Roman" w:eastAsia="Times New Roman" w:hAnsi="Times New Roman" w:cs="Times New Roman"/>
          <w:b/>
          <w:bCs/>
          <w:kern w:val="0"/>
          <w14:ligatures w14:val="none"/>
        </w:rPr>
      </w:pPr>
    </w:p>
    <w:p w14:paraId="200CA90B" w14:textId="77777777" w:rsidR="00DA34B2" w:rsidRPr="004A699A" w:rsidRDefault="00DA34B2" w:rsidP="00DA34B2">
      <w:pPr>
        <w:ind w:left="1350" w:hanging="135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FIGURE </w:t>
      </w:r>
      <w:r w:rsidRPr="004A699A">
        <w:rPr>
          <w:rFonts w:ascii="Times New Roman" w:eastAsia="Times New Roman" w:hAnsi="Times New Roman" w:cs="Times New Roman"/>
          <w:b/>
          <w:bCs/>
          <w:kern w:val="0"/>
          <w14:ligatures w14:val="none"/>
        </w:rPr>
        <w:t>5: Depicting distribution of different species of</w:t>
      </w:r>
      <w:r>
        <w:rPr>
          <w:rFonts w:ascii="Times New Roman" w:eastAsia="Times New Roman" w:hAnsi="Times New Roman" w:cs="Times New Roman"/>
          <w:b/>
          <w:bCs/>
          <w:kern w:val="0"/>
          <w14:ligatures w14:val="none"/>
        </w:rPr>
        <w:t xml:space="preserve"> STH among different age groups </w:t>
      </w:r>
      <w:r w:rsidRPr="004A699A">
        <w:rPr>
          <w:rFonts w:ascii="Times New Roman" w:eastAsia="Times New Roman" w:hAnsi="Times New Roman" w:cs="Times New Roman"/>
          <w:b/>
          <w:bCs/>
          <w:kern w:val="0"/>
          <w14:ligatures w14:val="none"/>
        </w:rPr>
        <w:t>in clinical and community setting through column graph</w:t>
      </w:r>
    </w:p>
    <w:p w14:paraId="2D80872E" w14:textId="7C75C462" w:rsidR="0074167A" w:rsidRPr="00D94079" w:rsidRDefault="00D94079" w:rsidP="00D94079">
      <w:pPr>
        <w:spacing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756BC1" w:rsidRPr="00D94079">
        <w:rPr>
          <w:rFonts w:ascii="Times New Roman" w:eastAsia="Times New Roman" w:hAnsi="Times New Roman" w:cs="Times New Roman"/>
          <w:b/>
          <w:bCs/>
          <w:kern w:val="0"/>
          <w14:ligatures w14:val="none"/>
        </w:rPr>
        <w:t>5.</w:t>
      </w:r>
      <w:r w:rsidR="009A49DC" w:rsidRPr="00D94079">
        <w:rPr>
          <w:rFonts w:ascii="Times New Roman" w:eastAsia="Times New Roman" w:hAnsi="Times New Roman" w:cs="Times New Roman"/>
          <w:b/>
          <w:bCs/>
          <w:kern w:val="0"/>
          <w14:ligatures w14:val="none"/>
        </w:rPr>
        <w:t xml:space="preserve"> </w:t>
      </w:r>
      <w:r w:rsidR="0074167A" w:rsidRPr="00D94079">
        <w:rPr>
          <w:rFonts w:ascii="Times New Roman" w:eastAsia="Times New Roman" w:hAnsi="Times New Roman" w:cs="Times New Roman"/>
          <w:b/>
          <w:bCs/>
          <w:kern w:val="0"/>
          <w14:ligatures w14:val="none"/>
        </w:rPr>
        <w:t>Socioeconomic Status and STH</w:t>
      </w:r>
      <w:r w:rsidR="00B262DA" w:rsidRPr="00D94079">
        <w:rPr>
          <w:rFonts w:ascii="Times New Roman" w:eastAsia="Times New Roman" w:hAnsi="Times New Roman" w:cs="Times New Roman"/>
          <w:b/>
          <w:bCs/>
          <w:kern w:val="0"/>
          <w14:ligatures w14:val="none"/>
        </w:rPr>
        <w:t xml:space="preserve"> relation</w:t>
      </w:r>
    </w:p>
    <w:p w14:paraId="2FCB15DF" w14:textId="77777777" w:rsidR="009A49DC" w:rsidRPr="004A699A" w:rsidRDefault="009A49DC" w:rsidP="00D94079">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lastRenderedPageBreak/>
        <w:t>C</w:t>
      </w:r>
      <w:r w:rsidR="0074167A" w:rsidRPr="004A699A">
        <w:rPr>
          <w:rFonts w:ascii="Times New Roman" w:eastAsia="Times New Roman" w:hAnsi="Times New Roman" w:cs="Times New Roman"/>
          <w:b/>
          <w:bCs/>
          <w:kern w:val="0"/>
          <w14:ligatures w14:val="none"/>
        </w:rPr>
        <w:t>linical</w:t>
      </w:r>
      <w:r w:rsidR="00441946" w:rsidRPr="004A699A">
        <w:rPr>
          <w:rFonts w:ascii="Times New Roman" w:eastAsia="Times New Roman" w:hAnsi="Times New Roman" w:cs="Times New Roman"/>
          <w:b/>
          <w:bCs/>
          <w:kern w:val="0"/>
          <w14:ligatures w14:val="none"/>
        </w:rPr>
        <w:t xml:space="preserve"> survey:</w:t>
      </w:r>
      <w:r w:rsidR="007B2541" w:rsidRPr="004A699A">
        <w:rPr>
          <w:rFonts w:ascii="Times New Roman" w:eastAsia="Times New Roman" w:hAnsi="Times New Roman" w:cs="Times New Roman"/>
          <w:kern w:val="0"/>
          <w14:ligatures w14:val="none"/>
        </w:rPr>
        <w:t xml:space="preserve"> </w:t>
      </w:r>
      <w:r w:rsidR="004B2D01" w:rsidRPr="004A699A">
        <w:rPr>
          <w:rFonts w:ascii="Times New Roman" w:eastAsia="Times New Roman" w:hAnsi="Times New Roman" w:cs="Times New Roman"/>
          <w:kern w:val="0"/>
          <w14:ligatures w14:val="none"/>
        </w:rPr>
        <w:t>There was a strong negative relationship between STH prevalence and income level. The prevalence was greatest among low-income individuals (89.97%)</w:t>
      </w:r>
      <w:r w:rsidR="00A36DEA" w:rsidRPr="004A699A">
        <w:rPr>
          <w:rFonts w:ascii="Times New Roman" w:eastAsia="Times New Roman" w:hAnsi="Times New Roman" w:cs="Times New Roman"/>
          <w:kern w:val="0"/>
          <w14:ligatures w14:val="none"/>
        </w:rPr>
        <w:t>as presented in table 7</w:t>
      </w:r>
      <w:r w:rsidR="004B2D01" w:rsidRPr="004A699A">
        <w:rPr>
          <w:rFonts w:ascii="Times New Roman" w:eastAsia="Times New Roman" w:hAnsi="Times New Roman" w:cs="Times New Roman"/>
          <w:kern w:val="0"/>
          <w14:ligatures w14:val="none"/>
        </w:rPr>
        <w:t xml:space="preserve"> and least among high-income groups (76.86%)</w:t>
      </w:r>
      <w:r w:rsidR="00A36DEA" w:rsidRPr="004A699A">
        <w:rPr>
          <w:rFonts w:ascii="Times New Roman" w:eastAsia="Times New Roman" w:hAnsi="Times New Roman" w:cs="Times New Roman"/>
          <w:kern w:val="0"/>
          <w14:ligatures w14:val="none"/>
        </w:rPr>
        <w:t>.</w:t>
      </w:r>
      <w:r w:rsidR="004B2D01" w:rsidRPr="004A699A">
        <w:rPr>
          <w:rFonts w:ascii="Times New Roman" w:eastAsia="Times New Roman" w:hAnsi="Times New Roman" w:cs="Times New Roman"/>
          <w:kern w:val="0"/>
          <w14:ligatures w14:val="none"/>
        </w:rPr>
        <w:t xml:space="preserve"> χ² = 46.27, p &lt; 0.00001. These results confirm that poverty is a significant factor influencing STH transmission</w:t>
      </w:r>
      <w:r w:rsidR="00A36DEA" w:rsidRPr="004A699A">
        <w:rPr>
          <w:rFonts w:ascii="Times New Roman" w:eastAsia="Times New Roman" w:hAnsi="Times New Roman" w:cs="Times New Roman"/>
          <w:kern w:val="0"/>
          <w14:ligatures w14:val="none"/>
        </w:rPr>
        <w:t xml:space="preserve"> as presented in table 8</w:t>
      </w:r>
      <w:r w:rsidRPr="004A699A">
        <w:rPr>
          <w:rFonts w:ascii="Times New Roman" w:eastAsia="Times New Roman" w:hAnsi="Times New Roman" w:cs="Times New Roman"/>
          <w:kern w:val="0"/>
          <w14:ligatures w14:val="none"/>
        </w:rPr>
        <w:t>.</w:t>
      </w:r>
    </w:p>
    <w:p w14:paraId="5EF9DA4B" w14:textId="793C6B89" w:rsidR="00763B12" w:rsidRPr="004A699A" w:rsidRDefault="00C878C7" w:rsidP="00D94079">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Community survey:</w:t>
      </w:r>
      <w:r w:rsidR="007B2541" w:rsidRPr="004A699A">
        <w:rPr>
          <w:rFonts w:ascii="Times New Roman" w:eastAsia="Times New Roman" w:hAnsi="Times New Roman" w:cs="Times New Roman"/>
          <w:b/>
          <w:bCs/>
          <w:kern w:val="0"/>
          <w14:ligatures w14:val="none"/>
        </w:rPr>
        <w:t xml:space="preserve"> </w:t>
      </w:r>
      <w:r w:rsidR="00570A9C" w:rsidRPr="004A699A">
        <w:rPr>
          <w:rFonts w:ascii="Times New Roman" w:eastAsia="Times New Roman" w:hAnsi="Times New Roman" w:cs="Times New Roman"/>
          <w:kern w:val="0"/>
          <w14:ligatures w14:val="none"/>
        </w:rPr>
        <w:t>There was a strong link between family income and STH infection (χ² = 1</w:t>
      </w:r>
      <w:r w:rsidR="004863A2" w:rsidRPr="004A699A">
        <w:rPr>
          <w:rFonts w:ascii="Times New Roman" w:eastAsia="Times New Roman" w:hAnsi="Times New Roman" w:cs="Times New Roman"/>
          <w:kern w:val="0"/>
          <w14:ligatures w14:val="none"/>
        </w:rPr>
        <w:t>3.9</w:t>
      </w:r>
      <w:r w:rsidR="00570A9C" w:rsidRPr="004A699A">
        <w:rPr>
          <w:rFonts w:ascii="Times New Roman" w:eastAsia="Times New Roman" w:hAnsi="Times New Roman" w:cs="Times New Roman"/>
          <w:kern w:val="0"/>
          <w14:ligatures w14:val="none"/>
        </w:rPr>
        <w:t>, df = 2, p = 0.000</w:t>
      </w:r>
      <w:r w:rsidR="004863A2" w:rsidRPr="004A699A">
        <w:rPr>
          <w:rFonts w:ascii="Times New Roman" w:eastAsia="Times New Roman" w:hAnsi="Times New Roman" w:cs="Times New Roman"/>
          <w:kern w:val="0"/>
          <w14:ligatures w14:val="none"/>
        </w:rPr>
        <w:t>95</w:t>
      </w:r>
      <w:r w:rsidR="00570A9C" w:rsidRPr="004A699A">
        <w:rPr>
          <w:rFonts w:ascii="Times New Roman" w:eastAsia="Times New Roman" w:hAnsi="Times New Roman" w:cs="Times New Roman"/>
          <w:kern w:val="0"/>
          <w14:ligatures w14:val="none"/>
        </w:rPr>
        <w:t>)</w:t>
      </w:r>
      <w:r w:rsidR="00A36DEA" w:rsidRPr="004A699A">
        <w:rPr>
          <w:rFonts w:ascii="Times New Roman" w:eastAsia="Times New Roman" w:hAnsi="Times New Roman" w:cs="Times New Roman"/>
          <w:kern w:val="0"/>
          <w14:ligatures w14:val="none"/>
        </w:rPr>
        <w:t xml:space="preserve"> as shown in table 8</w:t>
      </w:r>
      <w:r w:rsidR="00570A9C" w:rsidRPr="004A699A">
        <w:rPr>
          <w:rFonts w:ascii="Times New Roman" w:eastAsia="Times New Roman" w:hAnsi="Times New Roman" w:cs="Times New Roman"/>
          <w:kern w:val="0"/>
          <w14:ligatures w14:val="none"/>
        </w:rPr>
        <w:t>. The highest rate of infection was among people from low-income households (63.8%)</w:t>
      </w:r>
      <w:r w:rsidR="009E1BA8" w:rsidRPr="004A699A">
        <w:rPr>
          <w:rFonts w:ascii="Times New Roman" w:eastAsia="Times New Roman" w:hAnsi="Times New Roman" w:cs="Times New Roman"/>
          <w:kern w:val="0"/>
          <w14:ligatures w14:val="none"/>
        </w:rPr>
        <w:t>141 out of 221</w:t>
      </w:r>
      <w:r w:rsidR="00570A9C" w:rsidRPr="004A699A">
        <w:rPr>
          <w:rFonts w:ascii="Times New Roman" w:eastAsia="Times New Roman" w:hAnsi="Times New Roman" w:cs="Times New Roman"/>
          <w:kern w:val="0"/>
          <w14:ligatures w14:val="none"/>
        </w:rPr>
        <w:t>, followed by those from medium-income households (54.3%)</w:t>
      </w:r>
      <w:r w:rsidR="009E1BA8" w:rsidRPr="004A699A">
        <w:rPr>
          <w:rFonts w:ascii="Times New Roman" w:eastAsia="Times New Roman" w:hAnsi="Times New Roman" w:cs="Times New Roman"/>
          <w:kern w:val="0"/>
          <w14:ligatures w14:val="none"/>
        </w:rPr>
        <w:t>133 out of 245</w:t>
      </w:r>
      <w:r w:rsidR="00570A9C" w:rsidRPr="004A699A">
        <w:rPr>
          <w:rFonts w:ascii="Times New Roman" w:eastAsia="Times New Roman" w:hAnsi="Times New Roman" w:cs="Times New Roman"/>
          <w:kern w:val="0"/>
          <w14:ligatures w14:val="none"/>
        </w:rPr>
        <w:t>, and the lowest rate was among those from high-income households (43.6%)</w:t>
      </w:r>
      <w:r w:rsidR="009E1BA8" w:rsidRPr="004A699A">
        <w:rPr>
          <w:rFonts w:ascii="Times New Roman" w:eastAsia="Times New Roman" w:hAnsi="Times New Roman" w:cs="Times New Roman"/>
          <w:kern w:val="0"/>
          <w14:ligatures w14:val="none"/>
        </w:rPr>
        <w:t>65 of 149 as presented in table 8</w:t>
      </w:r>
      <w:r w:rsidR="00570A9C" w:rsidRPr="004A699A">
        <w:rPr>
          <w:rFonts w:ascii="Times New Roman" w:eastAsia="Times New Roman" w:hAnsi="Times New Roman" w:cs="Times New Roman"/>
          <w:kern w:val="0"/>
          <w14:ligatures w14:val="none"/>
        </w:rPr>
        <w:t xml:space="preserve">. This trend shows how socio-economic status affects the risk of STH transmission. </w:t>
      </w:r>
    </w:p>
    <w:p w14:paraId="3C27373C" w14:textId="20C37202" w:rsidR="00763B12" w:rsidRPr="004A699A" w:rsidRDefault="00763B12" w:rsidP="004B2D01">
      <w:pPr>
        <w:rPr>
          <w:rFonts w:ascii="Times New Roman" w:eastAsia="Times New Roman" w:hAnsi="Times New Roman" w:cs="Times New Roman"/>
          <w:kern w:val="0"/>
          <w14:ligatures w14:val="none"/>
        </w:rPr>
      </w:pPr>
      <w:r w:rsidRPr="004A699A">
        <w:rPr>
          <w:rFonts w:ascii="Times New Roman" w:hAnsi="Times New Roman" w:cs="Times New Roman"/>
          <w:noProof/>
        </w:rPr>
        <w:drawing>
          <wp:inline distT="0" distB="0" distL="0" distR="0" wp14:anchorId="04F97A04" wp14:editId="5F97394E">
            <wp:extent cx="4572000" cy="2743200"/>
            <wp:effectExtent l="0" t="0" r="0" b="0"/>
            <wp:docPr id="377925528" name="Chart 1">
              <a:extLst xmlns:a="http://schemas.openxmlformats.org/drawingml/2006/main">
                <a:ext uri="{FF2B5EF4-FFF2-40B4-BE49-F238E27FC236}">
                  <a16:creationId xmlns:a16="http://schemas.microsoft.com/office/drawing/2014/main" id="{93AE6F75-330C-4CAD-CE80-EF7616CB49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DEF7D0" w14:textId="48614584" w:rsidR="00763B12" w:rsidRPr="004A699A" w:rsidRDefault="00763B12" w:rsidP="00D94079">
      <w:pPr>
        <w:ind w:left="1080" w:hanging="1080"/>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 xml:space="preserve">Figure </w:t>
      </w:r>
      <w:r w:rsidR="009E1BA8" w:rsidRPr="004A699A">
        <w:rPr>
          <w:rFonts w:ascii="Times New Roman" w:eastAsia="Times New Roman" w:hAnsi="Times New Roman" w:cs="Times New Roman"/>
          <w:b/>
          <w:bCs/>
          <w:kern w:val="0"/>
          <w14:ligatures w14:val="none"/>
        </w:rPr>
        <w:t>6</w:t>
      </w:r>
      <w:r w:rsidRPr="004A699A">
        <w:rPr>
          <w:rFonts w:ascii="Times New Roman" w:eastAsia="Times New Roman" w:hAnsi="Times New Roman" w:cs="Times New Roman"/>
          <w:b/>
          <w:bCs/>
          <w:kern w:val="0"/>
          <w14:ligatures w14:val="none"/>
        </w:rPr>
        <w:t>: Stacked column graph comparing relation of economic state with STH infection in clinical and community survey.</w:t>
      </w:r>
    </w:p>
    <w:p w14:paraId="43E90B8D" w14:textId="77777777" w:rsidR="00763B12" w:rsidRPr="004A699A" w:rsidRDefault="00763B12" w:rsidP="004B2D01">
      <w:pPr>
        <w:rPr>
          <w:rFonts w:ascii="Times New Roman" w:eastAsia="Times New Roman" w:hAnsi="Times New Roman" w:cs="Times New Roman"/>
          <w:kern w:val="0"/>
          <w14:ligatures w14:val="none"/>
        </w:rPr>
      </w:pPr>
    </w:p>
    <w:p w14:paraId="5F6183D4" w14:textId="60EAF135" w:rsidR="00C878C7" w:rsidRPr="004A699A" w:rsidRDefault="00267DAE" w:rsidP="00267DAE">
      <w:pPr>
        <w:spacing w:line="48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3.</w:t>
      </w:r>
      <w:r w:rsidR="00756BC1" w:rsidRPr="004A699A">
        <w:rPr>
          <w:rFonts w:ascii="Times New Roman" w:eastAsia="Times New Roman" w:hAnsi="Times New Roman" w:cs="Times New Roman"/>
          <w:b/>
          <w:bCs/>
          <w:kern w:val="0"/>
          <w14:ligatures w14:val="none"/>
        </w:rPr>
        <w:t>6.</w:t>
      </w:r>
      <w:r w:rsidR="000309FA" w:rsidRPr="004A699A">
        <w:rPr>
          <w:rFonts w:ascii="Times New Roman" w:eastAsia="Times New Roman" w:hAnsi="Times New Roman" w:cs="Times New Roman"/>
          <w:b/>
          <w:bCs/>
          <w:kern w:val="0"/>
          <w14:ligatures w14:val="none"/>
        </w:rPr>
        <w:t xml:space="preserve"> </w:t>
      </w:r>
      <w:r w:rsidR="00C878C7" w:rsidRPr="004A699A">
        <w:rPr>
          <w:rFonts w:ascii="Times New Roman" w:eastAsia="Times New Roman" w:hAnsi="Times New Roman" w:cs="Times New Roman"/>
          <w:b/>
          <w:bCs/>
          <w:kern w:val="0"/>
          <w14:ligatures w14:val="none"/>
        </w:rPr>
        <w:t>STH prevalence in Rural and Urban areas</w:t>
      </w:r>
    </w:p>
    <w:p w14:paraId="3B0B5207" w14:textId="011261C6" w:rsidR="00C878C7" w:rsidRPr="004A699A" w:rsidRDefault="00C878C7" w:rsidP="00267DAE">
      <w:pPr>
        <w:spacing w:line="480" w:lineRule="auto"/>
        <w:jc w:val="both"/>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lastRenderedPageBreak/>
        <w:t>Clinical survey:</w:t>
      </w:r>
      <w:r w:rsidR="007B2541" w:rsidRPr="004A699A">
        <w:rPr>
          <w:rFonts w:ascii="Times New Roman" w:eastAsia="Times New Roman" w:hAnsi="Times New Roman" w:cs="Times New Roman"/>
          <w:b/>
          <w:bCs/>
          <w:kern w:val="0"/>
          <w14:ligatures w14:val="none"/>
        </w:rPr>
        <w:t xml:space="preserve"> </w:t>
      </w:r>
      <w:r w:rsidR="00067F3A" w:rsidRPr="004A699A">
        <w:rPr>
          <w:rFonts w:ascii="Times New Roman" w:eastAsia="Times New Roman" w:hAnsi="Times New Roman" w:cs="Times New Roman"/>
          <w:kern w:val="0"/>
          <w14:ligatures w14:val="none"/>
        </w:rPr>
        <w:t>As shown in table 7 and</w:t>
      </w:r>
      <w:r w:rsidR="00067F3A" w:rsidRPr="004A699A">
        <w:rPr>
          <w:rFonts w:ascii="Times New Roman" w:eastAsia="Times New Roman" w:hAnsi="Times New Roman" w:cs="Times New Roman"/>
          <w:b/>
          <w:bCs/>
          <w:kern w:val="0"/>
          <w14:ligatures w14:val="none"/>
        </w:rPr>
        <w:t xml:space="preserve"> </w:t>
      </w:r>
      <w:r w:rsidR="00067F3A" w:rsidRPr="004A699A">
        <w:rPr>
          <w:rFonts w:ascii="Times New Roman" w:eastAsia="Times New Roman" w:hAnsi="Times New Roman" w:cs="Times New Roman"/>
          <w:kern w:val="0"/>
          <w14:ligatures w14:val="none"/>
        </w:rPr>
        <w:t xml:space="preserve">8 </w:t>
      </w:r>
      <w:r w:rsidR="004B2D01" w:rsidRPr="004A699A">
        <w:rPr>
          <w:rFonts w:ascii="Times New Roman" w:eastAsia="Times New Roman" w:hAnsi="Times New Roman" w:cs="Times New Roman"/>
          <w:kern w:val="0"/>
          <w14:ligatures w14:val="none"/>
        </w:rPr>
        <w:t xml:space="preserve">People who lived in rural regions had a much greater rate of STH (88.86%) than people who lived in cities (78.98%) (χ² = 31.31, p &lt; 0.00001). While the prevalence of </w:t>
      </w:r>
      <w:r w:rsidR="00067F3A" w:rsidRPr="004A699A">
        <w:rPr>
          <w:rFonts w:ascii="Times New Roman" w:eastAsia="Times New Roman" w:hAnsi="Times New Roman" w:cs="Times New Roman"/>
          <w:kern w:val="0"/>
          <w14:ligatures w14:val="none"/>
        </w:rPr>
        <w:t>roundworms</w:t>
      </w:r>
      <w:r w:rsidRPr="004A699A">
        <w:rPr>
          <w:rFonts w:ascii="Times New Roman" w:eastAsia="Times New Roman" w:hAnsi="Times New Roman" w:cs="Times New Roman"/>
          <w:kern w:val="0"/>
          <w14:ligatures w14:val="none"/>
        </w:rPr>
        <w:t xml:space="preserve"> </w:t>
      </w:r>
      <w:r w:rsidR="004B2D01" w:rsidRPr="004A699A">
        <w:rPr>
          <w:rFonts w:ascii="Times New Roman" w:eastAsia="Times New Roman" w:hAnsi="Times New Roman" w:cs="Times New Roman"/>
          <w:kern w:val="0"/>
          <w14:ligatures w14:val="none"/>
        </w:rPr>
        <w:t xml:space="preserve">was similar, hookworm infections were disproportionately higher in rural areas, indicating greater environmental exposure and inadequate sanitation. </w:t>
      </w:r>
    </w:p>
    <w:p w14:paraId="3C56B39B" w14:textId="0D9CF67A" w:rsidR="00AC786B" w:rsidRPr="004A699A" w:rsidRDefault="00C878C7" w:rsidP="00267DAE">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Community survey</w:t>
      </w:r>
      <w:r w:rsidR="007B2541" w:rsidRPr="004A699A">
        <w:rPr>
          <w:rFonts w:ascii="Times New Roman" w:eastAsia="Times New Roman" w:hAnsi="Times New Roman" w:cs="Times New Roman"/>
          <w:b/>
          <w:bCs/>
          <w:kern w:val="0"/>
          <w14:ligatures w14:val="none"/>
        </w:rPr>
        <w:t>:</w:t>
      </w:r>
      <w:r w:rsidR="007B2541" w:rsidRPr="004A699A">
        <w:rPr>
          <w:rFonts w:ascii="Times New Roman" w:eastAsia="Times New Roman" w:hAnsi="Times New Roman" w:cs="Times New Roman"/>
          <w:kern w:val="0"/>
          <w14:ligatures w14:val="none"/>
        </w:rPr>
        <w:t xml:space="preserve"> There were 615 people looked at, and 303 of them were from rural areas and 312 were from cities. The prevalence of STH infection was considerably greater in rural areas (61.1%) compared to urban areas (49.4%) (χ² = </w:t>
      </w:r>
      <w:r w:rsidR="0029683A" w:rsidRPr="004A699A">
        <w:rPr>
          <w:rFonts w:ascii="Times New Roman" w:eastAsia="Times New Roman" w:hAnsi="Times New Roman" w:cs="Times New Roman"/>
          <w:kern w:val="0"/>
          <w14:ligatures w14:val="none"/>
        </w:rPr>
        <w:t>8.62</w:t>
      </w:r>
      <w:r w:rsidR="007B2541" w:rsidRPr="004A699A">
        <w:rPr>
          <w:rFonts w:ascii="Times New Roman" w:eastAsia="Times New Roman" w:hAnsi="Times New Roman" w:cs="Times New Roman"/>
          <w:kern w:val="0"/>
          <w14:ligatures w14:val="none"/>
        </w:rPr>
        <w:t>, df = 1, p = 0.00</w:t>
      </w:r>
      <w:r w:rsidR="0029683A" w:rsidRPr="004A699A">
        <w:rPr>
          <w:rFonts w:ascii="Times New Roman" w:eastAsia="Times New Roman" w:hAnsi="Times New Roman" w:cs="Times New Roman"/>
          <w:kern w:val="0"/>
          <w14:ligatures w14:val="none"/>
        </w:rPr>
        <w:t>33</w:t>
      </w:r>
      <w:r w:rsidR="007B2541" w:rsidRPr="004A699A">
        <w:rPr>
          <w:rFonts w:ascii="Times New Roman" w:eastAsia="Times New Roman" w:hAnsi="Times New Roman" w:cs="Times New Roman"/>
          <w:kern w:val="0"/>
          <w14:ligatures w14:val="none"/>
        </w:rPr>
        <w:t>)</w:t>
      </w:r>
      <w:r w:rsidR="00067F3A" w:rsidRPr="004A699A">
        <w:rPr>
          <w:rFonts w:ascii="Times New Roman" w:eastAsia="Times New Roman" w:hAnsi="Times New Roman" w:cs="Times New Roman"/>
          <w:kern w:val="0"/>
          <w14:ligatures w14:val="none"/>
        </w:rPr>
        <w:t xml:space="preserve"> as presented in table 7 and 8</w:t>
      </w:r>
      <w:r w:rsidR="007B2541" w:rsidRPr="004A699A">
        <w:rPr>
          <w:rFonts w:ascii="Times New Roman" w:eastAsia="Times New Roman" w:hAnsi="Times New Roman" w:cs="Times New Roman"/>
          <w:kern w:val="0"/>
          <w14:ligatures w14:val="none"/>
        </w:rPr>
        <w:t>. In both rural and urban areas, roundworm was the most frequent type of helminth. The relative distribution of roundworm, hookworm, and whipworm did not exhibit s</w:t>
      </w:r>
      <w:r w:rsidR="000309FA" w:rsidRPr="004A699A">
        <w:rPr>
          <w:rFonts w:ascii="Times New Roman" w:eastAsia="Times New Roman" w:hAnsi="Times New Roman" w:cs="Times New Roman"/>
          <w:kern w:val="0"/>
          <w14:ligatures w14:val="none"/>
        </w:rPr>
        <w:t xml:space="preserve">ignificant variation by area. </w:t>
      </w:r>
      <w:r w:rsidR="007B2541" w:rsidRPr="004A699A">
        <w:rPr>
          <w:rFonts w:ascii="Times New Roman" w:eastAsia="Times New Roman" w:hAnsi="Times New Roman" w:cs="Times New Roman"/>
          <w:kern w:val="0"/>
          <w14:ligatures w14:val="none"/>
        </w:rPr>
        <w:t xml:space="preserve">The much higher burden in rural areas shows how exposure to the environment, sanitation procedures, and contact with soil can all increase the chance of transmission. </w:t>
      </w:r>
    </w:p>
    <w:p w14:paraId="3A541DAD" w14:textId="44D987A3" w:rsidR="00485F99" w:rsidRPr="004A699A" w:rsidRDefault="00485F99" w:rsidP="00AC786B">
      <w:pPr>
        <w:rPr>
          <w:rFonts w:ascii="Times New Roman" w:eastAsia="Times New Roman" w:hAnsi="Times New Roman" w:cs="Times New Roman"/>
          <w:kern w:val="0"/>
          <w14:ligatures w14:val="none"/>
        </w:rPr>
      </w:pPr>
      <w:r w:rsidRPr="004A699A">
        <w:rPr>
          <w:rFonts w:ascii="Times New Roman" w:hAnsi="Times New Roman" w:cs="Times New Roman"/>
          <w:noProof/>
        </w:rPr>
        <w:drawing>
          <wp:inline distT="0" distB="0" distL="0" distR="0" wp14:anchorId="68355EDD" wp14:editId="0ED7EEEE">
            <wp:extent cx="4572000" cy="2743200"/>
            <wp:effectExtent l="0" t="0" r="0" b="0"/>
            <wp:docPr id="1213124601" name="Chart 1">
              <a:extLst xmlns:a="http://schemas.openxmlformats.org/drawingml/2006/main">
                <a:ext uri="{FF2B5EF4-FFF2-40B4-BE49-F238E27FC236}">
                  <a16:creationId xmlns:a16="http://schemas.microsoft.com/office/drawing/2014/main" id="{016AA0BB-2929-5084-B2A4-7A5B64C5E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861E6B" w14:textId="6AD4C317" w:rsidR="00485F99" w:rsidRPr="004A699A" w:rsidRDefault="00485F99" w:rsidP="00267DAE">
      <w:pPr>
        <w:ind w:left="810" w:hanging="81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b/>
          <w:bCs/>
          <w:kern w:val="0"/>
          <w14:ligatures w14:val="none"/>
        </w:rPr>
        <w:t xml:space="preserve">Fig </w:t>
      </w:r>
      <w:r w:rsidR="009E1BA8" w:rsidRPr="004A699A">
        <w:rPr>
          <w:rFonts w:ascii="Times New Roman" w:eastAsia="Times New Roman" w:hAnsi="Times New Roman" w:cs="Times New Roman"/>
          <w:b/>
          <w:bCs/>
          <w:kern w:val="0"/>
          <w14:ligatures w14:val="none"/>
        </w:rPr>
        <w:t>7</w:t>
      </w:r>
      <w:r w:rsidRPr="004A699A">
        <w:rPr>
          <w:rFonts w:ascii="Times New Roman" w:eastAsia="Times New Roman" w:hAnsi="Times New Roman" w:cs="Times New Roman"/>
          <w:b/>
          <w:bCs/>
          <w:kern w:val="0"/>
          <w14:ligatures w14:val="none"/>
        </w:rPr>
        <w:t>: A column graph showing prevalence of Helminthiasis among rural and urban population in both clinical and community surveys. Infection is high among rural population in both categories</w:t>
      </w:r>
      <w:r w:rsidRPr="004A699A">
        <w:rPr>
          <w:rFonts w:ascii="Times New Roman" w:eastAsia="Times New Roman" w:hAnsi="Times New Roman" w:cs="Times New Roman"/>
          <w:kern w:val="0"/>
          <w14:ligatures w14:val="none"/>
        </w:rPr>
        <w:t>.</w:t>
      </w:r>
    </w:p>
    <w:p w14:paraId="0E9C01E6" w14:textId="73F2CCD3" w:rsidR="000309FA" w:rsidRPr="004A699A" w:rsidRDefault="00267DAE" w:rsidP="009B0005">
      <w:pPr>
        <w:ind w:left="990" w:hanging="990"/>
        <w:jc w:val="both"/>
        <w:rPr>
          <w:rFonts w:ascii="Times New Roman" w:eastAsia="Times New Roman" w:hAnsi="Times New Roman" w:cs="Times New Roman"/>
          <w:kern w:val="0"/>
          <w14:ligatures w14:val="none"/>
        </w:rPr>
      </w:pPr>
      <w:r>
        <w:rPr>
          <w:rFonts w:ascii="Times New Roman" w:hAnsi="Times New Roman" w:cs="Times New Roman"/>
          <w:b/>
          <w:bCs/>
        </w:rPr>
        <w:lastRenderedPageBreak/>
        <w:t xml:space="preserve">Table </w:t>
      </w:r>
      <w:r w:rsidR="000309FA" w:rsidRPr="004A699A">
        <w:rPr>
          <w:rFonts w:ascii="Times New Roman" w:hAnsi="Times New Roman" w:cs="Times New Roman"/>
          <w:b/>
          <w:bCs/>
        </w:rPr>
        <w:t xml:space="preserve">7: Summarizing prevalence on the basis of income and residence in community and clinical setting                                                           </w:t>
      </w:r>
    </w:p>
    <w:p w14:paraId="30F30242" w14:textId="31FA5EA2" w:rsidR="004863A2" w:rsidRPr="004A699A" w:rsidRDefault="000309FA" w:rsidP="004863A2">
      <w:pPr>
        <w:rPr>
          <w:rFonts w:ascii="Times New Roman" w:hAnsi="Times New Roman" w:cs="Times New Roman"/>
          <w:sz w:val="22"/>
          <w:szCs w:val="22"/>
        </w:rPr>
      </w:pPr>
      <w:r w:rsidRPr="004A699A">
        <w:rPr>
          <w:rFonts w:ascii="Times New Roman" w:hAnsi="Times New Roman" w:cs="Times New Roman"/>
          <w:sz w:val="22"/>
          <w:szCs w:val="22"/>
        </w:rPr>
        <w:t xml:space="preserve">          </w:t>
      </w:r>
      <w:r w:rsidR="00E2791F" w:rsidRPr="004A699A">
        <w:rPr>
          <w:rFonts w:ascii="Times New Roman" w:hAnsi="Times New Roman" w:cs="Times New Roman"/>
          <w:sz w:val="22"/>
          <w:szCs w:val="22"/>
        </w:rPr>
        <w:t xml:space="preserve">    </w:t>
      </w:r>
    </w:p>
    <w:tbl>
      <w:tblPr>
        <w:tblStyle w:val="TableGrid"/>
        <w:tblW w:w="0" w:type="auto"/>
        <w:tblLook w:val="04A0" w:firstRow="1" w:lastRow="0" w:firstColumn="1" w:lastColumn="0" w:noHBand="0" w:noVBand="1"/>
      </w:tblPr>
      <w:tblGrid>
        <w:gridCol w:w="2484"/>
        <w:gridCol w:w="2337"/>
        <w:gridCol w:w="2338"/>
        <w:gridCol w:w="2338"/>
      </w:tblGrid>
      <w:tr w:rsidR="004863A2" w:rsidRPr="004A699A" w14:paraId="1BE0E5C6" w14:textId="77777777" w:rsidTr="00267DAE">
        <w:tc>
          <w:tcPr>
            <w:tcW w:w="2484" w:type="dxa"/>
          </w:tcPr>
          <w:p w14:paraId="109C845B" w14:textId="77777777" w:rsidR="004863A2" w:rsidRPr="004A699A" w:rsidRDefault="004863A2" w:rsidP="00F466E3">
            <w:pPr>
              <w:rPr>
                <w:rFonts w:ascii="Times New Roman" w:hAnsi="Times New Roman" w:cs="Times New Roman"/>
                <w:sz w:val="22"/>
                <w:szCs w:val="22"/>
              </w:rPr>
            </w:pPr>
            <w:bookmarkStart w:id="3" w:name="_Hlk214833816"/>
            <w:r w:rsidRPr="004A699A">
              <w:rPr>
                <w:rFonts w:ascii="Times New Roman" w:hAnsi="Times New Roman" w:cs="Times New Roman"/>
                <w:b/>
                <w:sz w:val="22"/>
                <w:szCs w:val="22"/>
              </w:rPr>
              <w:t>Variable</w:t>
            </w:r>
          </w:p>
        </w:tc>
        <w:tc>
          <w:tcPr>
            <w:tcW w:w="2337" w:type="dxa"/>
          </w:tcPr>
          <w:p w14:paraId="5F8E5B51"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b/>
                <w:sz w:val="22"/>
                <w:szCs w:val="22"/>
              </w:rPr>
              <w:t>Category</w:t>
            </w:r>
          </w:p>
        </w:tc>
        <w:tc>
          <w:tcPr>
            <w:tcW w:w="2338" w:type="dxa"/>
          </w:tcPr>
          <w:p w14:paraId="73521E78"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b/>
                <w:sz w:val="22"/>
                <w:szCs w:val="22"/>
              </w:rPr>
              <w:t>Community Prevalence %</w:t>
            </w:r>
          </w:p>
        </w:tc>
        <w:tc>
          <w:tcPr>
            <w:tcW w:w="2338" w:type="dxa"/>
          </w:tcPr>
          <w:p w14:paraId="3067DEF3"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b/>
                <w:sz w:val="22"/>
                <w:szCs w:val="22"/>
              </w:rPr>
              <w:t>Clinical Prevalence %</w:t>
            </w:r>
          </w:p>
        </w:tc>
      </w:tr>
      <w:bookmarkEnd w:id="3"/>
      <w:tr w:rsidR="004863A2" w:rsidRPr="004A699A" w14:paraId="6601D859" w14:textId="77777777" w:rsidTr="00267DAE">
        <w:tc>
          <w:tcPr>
            <w:tcW w:w="2484" w:type="dxa"/>
          </w:tcPr>
          <w:p w14:paraId="59682346"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Income</w:t>
            </w:r>
          </w:p>
        </w:tc>
        <w:tc>
          <w:tcPr>
            <w:tcW w:w="2337" w:type="dxa"/>
          </w:tcPr>
          <w:p w14:paraId="0B1E1923"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Low</w:t>
            </w:r>
          </w:p>
        </w:tc>
        <w:tc>
          <w:tcPr>
            <w:tcW w:w="2338" w:type="dxa"/>
          </w:tcPr>
          <w:p w14:paraId="1CB70BFD"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63.8</w:t>
            </w:r>
          </w:p>
        </w:tc>
        <w:tc>
          <w:tcPr>
            <w:tcW w:w="2338" w:type="dxa"/>
          </w:tcPr>
          <w:p w14:paraId="3553AC32"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90.0</w:t>
            </w:r>
          </w:p>
        </w:tc>
      </w:tr>
      <w:tr w:rsidR="004863A2" w:rsidRPr="004A699A" w14:paraId="53E06844" w14:textId="77777777" w:rsidTr="00267DAE">
        <w:tc>
          <w:tcPr>
            <w:tcW w:w="2484" w:type="dxa"/>
          </w:tcPr>
          <w:p w14:paraId="6FD5B488"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Income</w:t>
            </w:r>
          </w:p>
        </w:tc>
        <w:tc>
          <w:tcPr>
            <w:tcW w:w="2337" w:type="dxa"/>
          </w:tcPr>
          <w:p w14:paraId="747BBC51"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Middle</w:t>
            </w:r>
          </w:p>
        </w:tc>
        <w:tc>
          <w:tcPr>
            <w:tcW w:w="2338" w:type="dxa"/>
          </w:tcPr>
          <w:p w14:paraId="49F45374"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54.3</w:t>
            </w:r>
          </w:p>
        </w:tc>
        <w:tc>
          <w:tcPr>
            <w:tcW w:w="2338" w:type="dxa"/>
          </w:tcPr>
          <w:p w14:paraId="3D3275DD"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83.4</w:t>
            </w:r>
          </w:p>
        </w:tc>
      </w:tr>
      <w:tr w:rsidR="004863A2" w:rsidRPr="004A699A" w14:paraId="2F01A98D" w14:textId="77777777" w:rsidTr="00267DAE">
        <w:tc>
          <w:tcPr>
            <w:tcW w:w="2484" w:type="dxa"/>
          </w:tcPr>
          <w:p w14:paraId="630CCF65"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Income</w:t>
            </w:r>
          </w:p>
        </w:tc>
        <w:tc>
          <w:tcPr>
            <w:tcW w:w="2337" w:type="dxa"/>
          </w:tcPr>
          <w:p w14:paraId="7D7D3599"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High</w:t>
            </w:r>
          </w:p>
        </w:tc>
        <w:tc>
          <w:tcPr>
            <w:tcW w:w="2338" w:type="dxa"/>
          </w:tcPr>
          <w:p w14:paraId="477E1B9A"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43.6</w:t>
            </w:r>
          </w:p>
        </w:tc>
        <w:tc>
          <w:tcPr>
            <w:tcW w:w="2338" w:type="dxa"/>
          </w:tcPr>
          <w:p w14:paraId="4BF5C7E0"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76.9</w:t>
            </w:r>
          </w:p>
        </w:tc>
      </w:tr>
      <w:tr w:rsidR="004863A2" w:rsidRPr="004A699A" w14:paraId="28A1DEBC" w14:textId="77777777" w:rsidTr="00267DAE">
        <w:tc>
          <w:tcPr>
            <w:tcW w:w="2484" w:type="dxa"/>
          </w:tcPr>
          <w:p w14:paraId="6DD26382"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Residence</w:t>
            </w:r>
          </w:p>
        </w:tc>
        <w:tc>
          <w:tcPr>
            <w:tcW w:w="2337" w:type="dxa"/>
          </w:tcPr>
          <w:p w14:paraId="3B405189"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Rural</w:t>
            </w:r>
          </w:p>
        </w:tc>
        <w:tc>
          <w:tcPr>
            <w:tcW w:w="2338" w:type="dxa"/>
          </w:tcPr>
          <w:p w14:paraId="2D84D069"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61.1</w:t>
            </w:r>
          </w:p>
        </w:tc>
        <w:tc>
          <w:tcPr>
            <w:tcW w:w="2338" w:type="dxa"/>
          </w:tcPr>
          <w:p w14:paraId="5B3C053D"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88.9</w:t>
            </w:r>
          </w:p>
        </w:tc>
      </w:tr>
      <w:tr w:rsidR="004863A2" w:rsidRPr="004A699A" w14:paraId="650F7A5B" w14:textId="77777777" w:rsidTr="00267DAE">
        <w:tc>
          <w:tcPr>
            <w:tcW w:w="2484" w:type="dxa"/>
          </w:tcPr>
          <w:p w14:paraId="64EAA983"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Residence</w:t>
            </w:r>
          </w:p>
        </w:tc>
        <w:tc>
          <w:tcPr>
            <w:tcW w:w="2337" w:type="dxa"/>
          </w:tcPr>
          <w:p w14:paraId="1975F0EA"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Urban</w:t>
            </w:r>
          </w:p>
        </w:tc>
        <w:tc>
          <w:tcPr>
            <w:tcW w:w="2338" w:type="dxa"/>
          </w:tcPr>
          <w:p w14:paraId="5CA8112E"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49.4</w:t>
            </w:r>
          </w:p>
        </w:tc>
        <w:tc>
          <w:tcPr>
            <w:tcW w:w="2338" w:type="dxa"/>
          </w:tcPr>
          <w:p w14:paraId="36A7F930" w14:textId="77777777" w:rsidR="004863A2" w:rsidRPr="004A699A" w:rsidRDefault="004863A2" w:rsidP="00F466E3">
            <w:pPr>
              <w:rPr>
                <w:rFonts w:ascii="Times New Roman" w:hAnsi="Times New Roman" w:cs="Times New Roman"/>
                <w:sz w:val="22"/>
                <w:szCs w:val="22"/>
              </w:rPr>
            </w:pPr>
            <w:r w:rsidRPr="004A699A">
              <w:rPr>
                <w:rFonts w:ascii="Times New Roman" w:hAnsi="Times New Roman" w:cs="Times New Roman"/>
                <w:sz w:val="22"/>
                <w:szCs w:val="22"/>
              </w:rPr>
              <w:t>79.0</w:t>
            </w:r>
          </w:p>
        </w:tc>
      </w:tr>
    </w:tbl>
    <w:p w14:paraId="6A707863" w14:textId="77777777" w:rsidR="009B0005" w:rsidRPr="004A699A" w:rsidRDefault="009B0005" w:rsidP="00AB25B1">
      <w:pPr>
        <w:rPr>
          <w:rFonts w:ascii="Times New Roman" w:hAnsi="Times New Roman" w:cs="Times New Roman"/>
          <w:b/>
          <w:bCs/>
        </w:rPr>
      </w:pPr>
    </w:p>
    <w:p w14:paraId="1522308B" w14:textId="53A768B0" w:rsidR="003A69B9" w:rsidRPr="004A699A" w:rsidRDefault="00267DAE" w:rsidP="009B0005">
      <w:pPr>
        <w:ind w:left="1260" w:hanging="1260"/>
        <w:jc w:val="both"/>
        <w:rPr>
          <w:rFonts w:ascii="Times New Roman" w:hAnsi="Times New Roman" w:cs="Times New Roman"/>
          <w:b/>
          <w:bCs/>
        </w:rPr>
      </w:pPr>
      <w:r>
        <w:rPr>
          <w:rFonts w:ascii="Times New Roman" w:hAnsi="Times New Roman" w:cs="Times New Roman"/>
          <w:b/>
          <w:bCs/>
        </w:rPr>
        <w:t xml:space="preserve">TABLE </w:t>
      </w:r>
      <w:r w:rsidR="00404092" w:rsidRPr="004A699A">
        <w:rPr>
          <w:rFonts w:ascii="Times New Roman" w:hAnsi="Times New Roman" w:cs="Times New Roman"/>
          <w:b/>
          <w:bCs/>
        </w:rPr>
        <w:t>8</w:t>
      </w:r>
      <w:r>
        <w:rPr>
          <w:rFonts w:ascii="Times New Roman" w:hAnsi="Times New Roman" w:cs="Times New Roman"/>
          <w:b/>
          <w:bCs/>
        </w:rPr>
        <w:t>:</w:t>
      </w:r>
      <w:r w:rsidR="00404092" w:rsidRPr="004A699A">
        <w:rPr>
          <w:rFonts w:ascii="Times New Roman" w:hAnsi="Times New Roman" w:cs="Times New Roman"/>
          <w:b/>
          <w:bCs/>
        </w:rPr>
        <w:t xml:space="preserve"> Statistical a</w:t>
      </w:r>
      <w:r w:rsidR="000309FA" w:rsidRPr="004A699A">
        <w:rPr>
          <w:rFonts w:ascii="Times New Roman" w:hAnsi="Times New Roman" w:cs="Times New Roman"/>
          <w:b/>
          <w:bCs/>
        </w:rPr>
        <w:t>nalysis of different variables in community and clinical settings showing their significance</w:t>
      </w:r>
      <w:r w:rsidR="00FD69B3" w:rsidRPr="004A699A">
        <w:rPr>
          <w:rFonts w:ascii="Times New Roman" w:hAnsi="Times New Roman" w:cs="Times New Roman"/>
          <w:b/>
          <w:bCs/>
        </w:rPr>
        <w:t xml:space="preserve">                             </w:t>
      </w:r>
    </w:p>
    <w:tbl>
      <w:tblPr>
        <w:tblStyle w:val="TableGrid"/>
        <w:tblpPr w:leftFromText="180" w:rightFromText="180" w:vertAnchor="text" w:horzAnchor="margin" w:tblpX="-48" w:tblpY="329"/>
        <w:tblW w:w="9408" w:type="dxa"/>
        <w:tblLook w:val="04A0" w:firstRow="1" w:lastRow="0" w:firstColumn="1" w:lastColumn="0" w:noHBand="0" w:noVBand="1"/>
      </w:tblPr>
      <w:tblGrid>
        <w:gridCol w:w="2388"/>
        <w:gridCol w:w="2340"/>
        <w:gridCol w:w="2340"/>
        <w:gridCol w:w="2340"/>
      </w:tblGrid>
      <w:tr w:rsidR="003A69B9" w:rsidRPr="004A699A" w14:paraId="1630391E" w14:textId="77777777" w:rsidTr="00267DAE">
        <w:tc>
          <w:tcPr>
            <w:tcW w:w="2388" w:type="dxa"/>
          </w:tcPr>
          <w:p w14:paraId="43407EA3"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b/>
                <w:sz w:val="22"/>
                <w:szCs w:val="22"/>
              </w:rPr>
              <w:t>Factor</w:t>
            </w:r>
          </w:p>
        </w:tc>
        <w:tc>
          <w:tcPr>
            <w:tcW w:w="2340" w:type="dxa"/>
          </w:tcPr>
          <w:p w14:paraId="1C47118D"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b/>
                <w:sz w:val="22"/>
                <w:szCs w:val="22"/>
              </w:rPr>
              <w:t>Clinical χ² (p)</w:t>
            </w:r>
          </w:p>
        </w:tc>
        <w:tc>
          <w:tcPr>
            <w:tcW w:w="2340" w:type="dxa"/>
          </w:tcPr>
          <w:p w14:paraId="6D791BFF"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b/>
                <w:sz w:val="22"/>
                <w:szCs w:val="22"/>
              </w:rPr>
              <w:t>Community χ² (p)</w:t>
            </w:r>
          </w:p>
        </w:tc>
        <w:tc>
          <w:tcPr>
            <w:tcW w:w="2340" w:type="dxa"/>
          </w:tcPr>
          <w:p w14:paraId="5A33F44E"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b/>
                <w:sz w:val="22"/>
                <w:szCs w:val="22"/>
              </w:rPr>
              <w:t>Interpretation</w:t>
            </w:r>
          </w:p>
        </w:tc>
      </w:tr>
      <w:tr w:rsidR="003A69B9" w:rsidRPr="004A699A" w14:paraId="63C7E914" w14:textId="77777777" w:rsidTr="00267DAE">
        <w:tc>
          <w:tcPr>
            <w:tcW w:w="2388" w:type="dxa"/>
          </w:tcPr>
          <w:p w14:paraId="530BF323"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Adult Education</w:t>
            </w:r>
          </w:p>
        </w:tc>
        <w:tc>
          <w:tcPr>
            <w:tcW w:w="2340" w:type="dxa"/>
          </w:tcPr>
          <w:p w14:paraId="0C7B6B3F"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66.42, &lt;0.001</w:t>
            </w:r>
          </w:p>
        </w:tc>
        <w:tc>
          <w:tcPr>
            <w:tcW w:w="2340" w:type="dxa"/>
          </w:tcPr>
          <w:p w14:paraId="75CE0814"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39.42, &lt;0.00001</w:t>
            </w:r>
          </w:p>
        </w:tc>
        <w:tc>
          <w:tcPr>
            <w:tcW w:w="2340" w:type="dxa"/>
          </w:tcPr>
          <w:p w14:paraId="7C18F04E"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Significant in both</w:t>
            </w:r>
          </w:p>
        </w:tc>
      </w:tr>
      <w:tr w:rsidR="003A69B9" w:rsidRPr="004A699A" w14:paraId="7242CF77" w14:textId="77777777" w:rsidTr="00267DAE">
        <w:tc>
          <w:tcPr>
            <w:tcW w:w="2388" w:type="dxa"/>
          </w:tcPr>
          <w:p w14:paraId="07459124"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Father’s Education</w:t>
            </w:r>
          </w:p>
        </w:tc>
        <w:tc>
          <w:tcPr>
            <w:tcW w:w="2340" w:type="dxa"/>
          </w:tcPr>
          <w:p w14:paraId="12DDC2A2"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0.15, 0.997 (NS)</w:t>
            </w:r>
          </w:p>
        </w:tc>
        <w:tc>
          <w:tcPr>
            <w:tcW w:w="2340" w:type="dxa"/>
          </w:tcPr>
          <w:p w14:paraId="60808F4D"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6.15, 0.189 (NS)</w:t>
            </w:r>
          </w:p>
        </w:tc>
        <w:tc>
          <w:tcPr>
            <w:tcW w:w="2340" w:type="dxa"/>
          </w:tcPr>
          <w:p w14:paraId="3F065DA1"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Not significant</w:t>
            </w:r>
          </w:p>
        </w:tc>
      </w:tr>
      <w:tr w:rsidR="003A69B9" w:rsidRPr="004A699A" w14:paraId="1470905C" w14:textId="77777777" w:rsidTr="00267DAE">
        <w:tc>
          <w:tcPr>
            <w:tcW w:w="2388" w:type="dxa"/>
          </w:tcPr>
          <w:p w14:paraId="081DEA3E"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Mother’s Education</w:t>
            </w:r>
          </w:p>
        </w:tc>
        <w:tc>
          <w:tcPr>
            <w:tcW w:w="2340" w:type="dxa"/>
          </w:tcPr>
          <w:p w14:paraId="7EAFF01C" w14:textId="692A8ACC"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 xml:space="preserve">1.22, 0.875 </w:t>
            </w:r>
          </w:p>
        </w:tc>
        <w:tc>
          <w:tcPr>
            <w:tcW w:w="2340" w:type="dxa"/>
          </w:tcPr>
          <w:p w14:paraId="3E9B6D17"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17.22, 0.0018</w:t>
            </w:r>
          </w:p>
        </w:tc>
        <w:tc>
          <w:tcPr>
            <w:tcW w:w="2340" w:type="dxa"/>
          </w:tcPr>
          <w:p w14:paraId="6BB4DC33"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Significant in community only</w:t>
            </w:r>
          </w:p>
        </w:tc>
      </w:tr>
      <w:tr w:rsidR="003A69B9" w:rsidRPr="004A699A" w14:paraId="713A8633" w14:textId="77777777" w:rsidTr="00267DAE">
        <w:tc>
          <w:tcPr>
            <w:tcW w:w="2388" w:type="dxa"/>
          </w:tcPr>
          <w:p w14:paraId="3D5EC867"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Income</w:t>
            </w:r>
          </w:p>
        </w:tc>
        <w:tc>
          <w:tcPr>
            <w:tcW w:w="2340" w:type="dxa"/>
          </w:tcPr>
          <w:p w14:paraId="783AECFC"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46.27, &lt;0.001</w:t>
            </w:r>
          </w:p>
        </w:tc>
        <w:tc>
          <w:tcPr>
            <w:tcW w:w="2340" w:type="dxa"/>
          </w:tcPr>
          <w:p w14:paraId="07A26A06"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13.9, 0.00095</w:t>
            </w:r>
          </w:p>
        </w:tc>
        <w:tc>
          <w:tcPr>
            <w:tcW w:w="2340" w:type="dxa"/>
          </w:tcPr>
          <w:p w14:paraId="7CCA1FFF"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Significant in both</w:t>
            </w:r>
          </w:p>
        </w:tc>
      </w:tr>
      <w:tr w:rsidR="003A69B9" w:rsidRPr="004A699A" w14:paraId="24967EB5" w14:textId="77777777" w:rsidTr="00267DAE">
        <w:tc>
          <w:tcPr>
            <w:tcW w:w="2388" w:type="dxa"/>
          </w:tcPr>
          <w:p w14:paraId="6D3B4970"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Residence</w:t>
            </w:r>
          </w:p>
        </w:tc>
        <w:tc>
          <w:tcPr>
            <w:tcW w:w="2340" w:type="dxa"/>
          </w:tcPr>
          <w:p w14:paraId="167D31B8"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31.31, &lt;0.001</w:t>
            </w:r>
          </w:p>
        </w:tc>
        <w:tc>
          <w:tcPr>
            <w:tcW w:w="2340" w:type="dxa"/>
          </w:tcPr>
          <w:p w14:paraId="5BE92633"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8.62, 0.0033</w:t>
            </w:r>
          </w:p>
        </w:tc>
        <w:tc>
          <w:tcPr>
            <w:tcW w:w="2340" w:type="dxa"/>
          </w:tcPr>
          <w:p w14:paraId="1A6B61E0"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Significant in both</w:t>
            </w:r>
          </w:p>
        </w:tc>
      </w:tr>
      <w:tr w:rsidR="003A69B9" w:rsidRPr="004A699A" w14:paraId="7F7349C0" w14:textId="77777777" w:rsidTr="00267DAE">
        <w:tc>
          <w:tcPr>
            <w:tcW w:w="2388" w:type="dxa"/>
          </w:tcPr>
          <w:p w14:paraId="3C879F4D"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Age Groups</w:t>
            </w:r>
          </w:p>
        </w:tc>
        <w:tc>
          <w:tcPr>
            <w:tcW w:w="2340" w:type="dxa"/>
          </w:tcPr>
          <w:p w14:paraId="39F713A1"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38.61, &lt;0.001</w:t>
            </w:r>
          </w:p>
        </w:tc>
        <w:tc>
          <w:tcPr>
            <w:tcW w:w="2340" w:type="dxa"/>
          </w:tcPr>
          <w:p w14:paraId="56B8EC57" w14:textId="67534116"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 xml:space="preserve">7.86, 0.164 </w:t>
            </w:r>
          </w:p>
        </w:tc>
        <w:tc>
          <w:tcPr>
            <w:tcW w:w="2340" w:type="dxa"/>
          </w:tcPr>
          <w:p w14:paraId="0F4FB22E"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Significant in clinical only</w:t>
            </w:r>
          </w:p>
        </w:tc>
      </w:tr>
      <w:tr w:rsidR="003A69B9" w:rsidRPr="004A699A" w14:paraId="3FF03145" w14:textId="77777777" w:rsidTr="00267DAE">
        <w:tc>
          <w:tcPr>
            <w:tcW w:w="2388" w:type="dxa"/>
          </w:tcPr>
          <w:p w14:paraId="04E1500D"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Gender</w:t>
            </w:r>
          </w:p>
        </w:tc>
        <w:tc>
          <w:tcPr>
            <w:tcW w:w="2340" w:type="dxa"/>
          </w:tcPr>
          <w:p w14:paraId="52C8BB98" w14:textId="5986F415"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 xml:space="preserve">0.35, 0.838 </w:t>
            </w:r>
          </w:p>
        </w:tc>
        <w:tc>
          <w:tcPr>
            <w:tcW w:w="2340" w:type="dxa"/>
          </w:tcPr>
          <w:p w14:paraId="79D18AE2" w14:textId="2C26CFD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 xml:space="preserve">0.76, 0.38 </w:t>
            </w:r>
          </w:p>
        </w:tc>
        <w:tc>
          <w:tcPr>
            <w:tcW w:w="2340" w:type="dxa"/>
          </w:tcPr>
          <w:p w14:paraId="76CA0A0B" w14:textId="77777777" w:rsidR="003A69B9" w:rsidRPr="004A699A" w:rsidRDefault="003A69B9" w:rsidP="009B0005">
            <w:pPr>
              <w:rPr>
                <w:rFonts w:ascii="Times New Roman" w:hAnsi="Times New Roman" w:cs="Times New Roman"/>
                <w:sz w:val="22"/>
                <w:szCs w:val="22"/>
              </w:rPr>
            </w:pPr>
            <w:r w:rsidRPr="004A699A">
              <w:rPr>
                <w:rFonts w:ascii="Times New Roman" w:hAnsi="Times New Roman" w:cs="Times New Roman"/>
                <w:sz w:val="22"/>
                <w:szCs w:val="22"/>
              </w:rPr>
              <w:t>Not significant</w:t>
            </w:r>
          </w:p>
        </w:tc>
      </w:tr>
    </w:tbl>
    <w:p w14:paraId="7BC0FB7C" w14:textId="46D6A374" w:rsidR="0029683A" w:rsidRPr="004A699A" w:rsidRDefault="0029683A" w:rsidP="003A69B9">
      <w:pPr>
        <w:rPr>
          <w:rFonts w:ascii="Times New Roman" w:hAnsi="Times New Roman" w:cs="Times New Roman"/>
          <w:b/>
          <w:bCs/>
        </w:rPr>
      </w:pPr>
    </w:p>
    <w:p w14:paraId="3DF7A149" w14:textId="289D6687" w:rsidR="003A69B9" w:rsidRPr="00267DAE" w:rsidRDefault="003A69B9" w:rsidP="00267DAE">
      <w:pPr>
        <w:pStyle w:val="ListParagraph"/>
        <w:numPr>
          <w:ilvl w:val="0"/>
          <w:numId w:val="2"/>
        </w:numPr>
        <w:ind w:left="630" w:hanging="630"/>
        <w:rPr>
          <w:rFonts w:ascii="Times New Roman" w:hAnsi="Times New Roman" w:cs="Times New Roman"/>
          <w:b/>
          <w:bCs/>
        </w:rPr>
      </w:pPr>
      <w:r w:rsidRPr="00267DAE">
        <w:rPr>
          <w:rFonts w:ascii="Times New Roman" w:hAnsi="Times New Roman" w:cs="Times New Roman"/>
          <w:b/>
          <w:bCs/>
        </w:rPr>
        <w:t>DISCUSSION</w:t>
      </w:r>
    </w:p>
    <w:p w14:paraId="6124ADCF" w14:textId="77777777" w:rsidR="00267DAE" w:rsidRDefault="008D34D5" w:rsidP="00267DAE">
      <w:pPr>
        <w:spacing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Our dual-arm study offers a thorough evaluation of soil-transmitted helminth (STH) epidemiology in Darbhanga, Bihar, encompassing both symptomatic patients from a clinical laboratory and asymptomatic persons from the population. The results confirm that STHs continue to be hyperendemic in this area, with a heavy impact on people of all ages and income levels</w:t>
      </w:r>
      <w:r w:rsidR="00E33E51" w:rsidRPr="004A699A">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t xml:space="preserve">In the clinical arm, prevalence surpassed 80%, aligning with the elevated infection rates commonly found in hospital-based </w:t>
      </w:r>
      <w:r w:rsidR="00E33E51" w:rsidRPr="004A699A">
        <w:rPr>
          <w:rFonts w:ascii="Times New Roman" w:eastAsia="Times New Roman" w:hAnsi="Times New Roman" w:cs="Times New Roman"/>
          <w:kern w:val="0"/>
          <w14:ligatures w14:val="none"/>
        </w:rPr>
        <w:t xml:space="preserve"> study </w:t>
      </w:r>
      <w:r w:rsidRPr="004A699A">
        <w:rPr>
          <w:rFonts w:ascii="Times New Roman" w:eastAsia="Times New Roman" w:hAnsi="Times New Roman" w:cs="Times New Roman"/>
          <w:kern w:val="0"/>
          <w14:ligatures w14:val="none"/>
        </w:rPr>
        <w:t xml:space="preserve">when symptomatic persons pursue treatment (Pullan &amp; Brooker, 2012; Bethony et al., 2006). The negative link between education and infection in adults shows how literacy and health awareness can help keep people from getting sick (Strunz </w:t>
      </w:r>
      <w:r w:rsidRPr="004A699A">
        <w:rPr>
          <w:rFonts w:ascii="Times New Roman" w:eastAsia="Times New Roman" w:hAnsi="Times New Roman" w:cs="Times New Roman"/>
          <w:kern w:val="0"/>
          <w14:ligatures w14:val="none"/>
        </w:rPr>
        <w:lastRenderedPageBreak/>
        <w:t>et al., 2014; Jourdan et al., 2018). Significantly, hookworm exhibited a robust correlation with anemia, consistent with previous findings indicating its disproportionate involvement in iron-deficiency anemia (Hotez et al., 2004; Brooker et al.,</w:t>
      </w:r>
      <w:r w:rsidR="000309FA" w:rsidRPr="004A699A">
        <w:rPr>
          <w:rFonts w:ascii="Times New Roman" w:eastAsia="Times New Roman" w:hAnsi="Times New Roman" w:cs="Times New Roman"/>
          <w:kern w:val="0"/>
          <w14:ligatures w14:val="none"/>
        </w:rPr>
        <w:t xml:space="preserve"> 2006; Smith &amp; Brooker, 2010). </w:t>
      </w:r>
      <w:r w:rsidRPr="004A699A">
        <w:rPr>
          <w:rFonts w:ascii="Times New Roman" w:eastAsia="Times New Roman" w:hAnsi="Times New Roman" w:cs="Times New Roman"/>
          <w:kern w:val="0"/>
          <w14:ligatures w14:val="none"/>
        </w:rPr>
        <w:t xml:space="preserve">In the community arm, the prevalence was 55.1%, which is still far higher than the WHO's threshold for mass deworming (WHO, 2012). Infection patterns were uniformly distributed across sex and age, akin to findings from other highly endemic areas where environmental exposure facilitates transmission throughout the lifespan (Sanchez et al., 2013; Malizia et al., 2021). Roundworm was the most common type, followed by hookworm and whipworm. This is in line with what other studies in North India have found (Sehgal et al., 2010; Pal et al., 2017).  </w:t>
      </w:r>
      <w:r w:rsidRPr="004A699A">
        <w:rPr>
          <w:rFonts w:ascii="Times New Roman" w:eastAsia="Times New Roman" w:hAnsi="Times New Roman" w:cs="Times New Roman"/>
          <w:kern w:val="0"/>
          <w14:ligatures w14:val="none"/>
        </w:rPr>
        <w:br/>
        <w:t>The prevalence was considerably elevated in rural regions compared to urban ones (61.1% vs. 49.4%), indicative of increased soil exposure, barefoot agriculture, and inadequate sanitary facilities (Brooker &amp; Clements, 2009; Greenland et al., 2015). Income also had a strong negative correlation with infection. Low-income families were more than twice as likely to get infected as high-income families, showing that poverty is a major cause of STH transmission (Pu</w:t>
      </w:r>
      <w:r w:rsidR="000309FA" w:rsidRPr="004A699A">
        <w:rPr>
          <w:rFonts w:ascii="Times New Roman" w:eastAsia="Times New Roman" w:hAnsi="Times New Roman" w:cs="Times New Roman"/>
          <w:kern w:val="0"/>
          <w14:ligatures w14:val="none"/>
        </w:rPr>
        <w:t xml:space="preserve">llan et al., 2014; WHO, 2023). </w:t>
      </w:r>
      <w:r w:rsidRPr="004A699A">
        <w:rPr>
          <w:rFonts w:ascii="Times New Roman" w:eastAsia="Times New Roman" w:hAnsi="Times New Roman" w:cs="Times New Roman"/>
          <w:kern w:val="0"/>
          <w14:ligatures w14:val="none"/>
        </w:rPr>
        <w:t xml:space="preserve">The consistently elevated prevalence must be contextualized within the framework of the COVID-19 pandemic. Lockdowns and the redirection of resources toward COVID-19 control made it hard for school-based deworming campaigns and India's National Deworming Day activities to go on from 2020 to 2022 (WHO, 2021; UNICEF, 2021). Modeling studies indicate that a mere 1–2 year cessation of mass drug administration might markedly elevate prevalence and intensity in endemic areas (Mikhailov et al., 2021; Truscott et al., 2022). Our results of consistently high infection rates, especially in school-age groups and rural communities, align with these forecasts. Prolonged school closures also made it harder to teach hygiene (Baird et al., 2021), and moving to a different place during the pandemic may have </w:t>
      </w:r>
      <w:r w:rsidRPr="004A699A">
        <w:rPr>
          <w:rFonts w:ascii="Times New Roman" w:eastAsia="Times New Roman" w:hAnsi="Times New Roman" w:cs="Times New Roman"/>
          <w:kern w:val="0"/>
          <w14:ligatures w14:val="none"/>
        </w:rPr>
        <w:lastRenderedPageBreak/>
        <w:t>made environmental exposure worse (Choudhary, 2018). It is essential to emphasize that in our investigation, a stool sample was deemed positive if at least one egg was detected. This diagnostic threshold optimizes sensitivity and conforms to the WHO-recommended Kato-Katz approach for prevalence surveys (WHO, 2006; Montresor et al., 1998). But it might have made the prevalence estimates too high by enrolling people with extremely mild infections that aren't clinically important. On the other hand, this method makes sure that possible transmission reservoirs are not missed, especially in places with a lot of disease where even mild infections can keep the environment contaminated (Anderson et al., 2015). Consequently, our prevalence estimates probably indicate the upper limit of community burden, yet this cautious definition is warranted for directing public health initiatives.</w:t>
      </w:r>
      <w:r w:rsidR="00267DAE">
        <w:rPr>
          <w:rFonts w:ascii="Times New Roman" w:eastAsia="Times New Roman" w:hAnsi="Times New Roman" w:cs="Times New Roman"/>
          <w:kern w:val="0"/>
          <w14:ligatures w14:val="none"/>
        </w:rPr>
        <w:t xml:space="preserve"> </w:t>
      </w:r>
      <w:r w:rsidRPr="004A699A">
        <w:rPr>
          <w:rFonts w:ascii="Times New Roman" w:eastAsia="Times New Roman" w:hAnsi="Times New Roman" w:cs="Times New Roman"/>
          <w:kern w:val="0"/>
          <w14:ligatures w14:val="none"/>
        </w:rPr>
        <w:t xml:space="preserve">There is increasing interest in the potential modulation of host immunological responses to viral infections and vaccines, especially COVID-19, by helminth infections. Certain studies indicate that helminth-induced immune modulation may affect vaccine efficacy and COVID-19 results (Fonte et al., 2020; </w:t>
      </w:r>
      <w:proofErr w:type="spellStart"/>
      <w:r w:rsidRPr="004A699A">
        <w:rPr>
          <w:rFonts w:ascii="Times New Roman" w:eastAsia="Times New Roman" w:hAnsi="Times New Roman" w:cs="Times New Roman"/>
          <w:kern w:val="0"/>
          <w14:ligatures w14:val="none"/>
        </w:rPr>
        <w:t>Wolday</w:t>
      </w:r>
      <w:proofErr w:type="spellEnd"/>
      <w:r w:rsidRPr="004A699A">
        <w:rPr>
          <w:rFonts w:ascii="Times New Roman" w:eastAsia="Times New Roman" w:hAnsi="Times New Roman" w:cs="Times New Roman"/>
          <w:kern w:val="0"/>
          <w14:ligatures w14:val="none"/>
        </w:rPr>
        <w:t xml:space="preserve"> et al., 2021). The conjunction of elevated STH incidence with postponed COVID-19 vaccination initiatives in rural Bihar underscores the necessity of incorporating co-endemic illnesses into public</w:t>
      </w:r>
      <w:r w:rsidR="00267DAE">
        <w:rPr>
          <w:rFonts w:ascii="Times New Roman" w:eastAsia="Times New Roman" w:hAnsi="Times New Roman" w:cs="Times New Roman"/>
          <w:kern w:val="0"/>
          <w14:ligatures w14:val="none"/>
        </w:rPr>
        <w:t xml:space="preserve"> health strategy formulation.</w:t>
      </w:r>
    </w:p>
    <w:p w14:paraId="7380CEAA" w14:textId="77777777" w:rsidR="00B70062" w:rsidRDefault="008D34D5" w:rsidP="00267DAE">
      <w:pPr>
        <w:spacing w:line="480" w:lineRule="auto"/>
        <w:ind w:firstLine="72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Clinical data illustrate a "worst-case" situation among symptomatic patients, whereas community studies emphasize the silent pool of asymptomatic infections tha</w:t>
      </w:r>
      <w:r w:rsidR="000309FA" w:rsidRPr="004A699A">
        <w:rPr>
          <w:rFonts w:ascii="Times New Roman" w:eastAsia="Times New Roman" w:hAnsi="Times New Roman" w:cs="Times New Roman"/>
          <w:kern w:val="0"/>
          <w14:ligatures w14:val="none"/>
        </w:rPr>
        <w:t>t facilitate transmission. This d</w:t>
      </w:r>
      <w:r w:rsidRPr="004A699A">
        <w:rPr>
          <w:rFonts w:ascii="Times New Roman" w:eastAsia="Times New Roman" w:hAnsi="Times New Roman" w:cs="Times New Roman"/>
          <w:kern w:val="0"/>
          <w14:ligatures w14:val="none"/>
        </w:rPr>
        <w:t>ual perspective shows that depending on only one arm could lead to an inaccurate or incomplete picture of the true epidem</w:t>
      </w:r>
      <w:r w:rsidR="000309FA" w:rsidRPr="004A699A">
        <w:rPr>
          <w:rFonts w:ascii="Times New Roman" w:eastAsia="Times New Roman" w:hAnsi="Times New Roman" w:cs="Times New Roman"/>
          <w:kern w:val="0"/>
          <w14:ligatures w14:val="none"/>
        </w:rPr>
        <w:t xml:space="preserve">iology (Anderson et al., 2015). </w:t>
      </w:r>
      <w:r w:rsidRPr="004A699A">
        <w:rPr>
          <w:rFonts w:ascii="Times New Roman" w:eastAsia="Times New Roman" w:hAnsi="Times New Roman" w:cs="Times New Roman"/>
          <w:kern w:val="0"/>
          <w14:ligatures w14:val="none"/>
        </w:rPr>
        <w:t xml:space="preserve">The results confirm that mass deworming alone is inadequate. Sustainable control will necessitate the integration of preventative chemotherapy with enhancements in sanitation, health education, and poverty reduction (Strunz et al., 2014; WHO, 2012; Jourdan et al., 2018). In Darbhanga, which is </w:t>
      </w:r>
      <w:r w:rsidRPr="004A699A">
        <w:rPr>
          <w:rFonts w:ascii="Times New Roman" w:eastAsia="Times New Roman" w:hAnsi="Times New Roman" w:cs="Times New Roman"/>
          <w:kern w:val="0"/>
          <w14:ligatures w14:val="none"/>
        </w:rPr>
        <w:lastRenderedPageBreak/>
        <w:t>prone to flooding and has a lot of standing water, treatments need to be tailored to the situation and able to handle environment</w:t>
      </w:r>
      <w:r w:rsidR="000309FA" w:rsidRPr="004A699A">
        <w:rPr>
          <w:rFonts w:ascii="Times New Roman" w:eastAsia="Times New Roman" w:hAnsi="Times New Roman" w:cs="Times New Roman"/>
          <w:kern w:val="0"/>
          <w14:ligatures w14:val="none"/>
        </w:rPr>
        <w:t xml:space="preserve">al problems (Choudhary, 2018). </w:t>
      </w:r>
      <w:r w:rsidRPr="004A699A">
        <w:rPr>
          <w:rFonts w:ascii="Times New Roman" w:eastAsia="Times New Roman" w:hAnsi="Times New Roman" w:cs="Times New Roman"/>
          <w:kern w:val="0"/>
          <w14:ligatures w14:val="none"/>
        </w:rPr>
        <w:t>This study was cross-sectional and did not account for reinfection dynamics. Furthermore, infection intensity was not differentiated by socioeconomic characteristics in the community arm, which could yield more profound insights. However, the amalgamation of extensive clinical and community samples provides a comprehensive and representative overview of STH epid</w:t>
      </w:r>
      <w:r w:rsidR="00267DAE">
        <w:rPr>
          <w:rFonts w:ascii="Times New Roman" w:eastAsia="Times New Roman" w:hAnsi="Times New Roman" w:cs="Times New Roman"/>
          <w:kern w:val="0"/>
          <w14:ligatures w14:val="none"/>
        </w:rPr>
        <w:t xml:space="preserve">emiology in this endemic zone. </w:t>
      </w:r>
      <w:r w:rsidR="00E33E51" w:rsidRPr="004A699A">
        <w:rPr>
          <w:rFonts w:ascii="Times New Roman" w:eastAsia="Times New Roman" w:hAnsi="Times New Roman" w:cs="Times New Roman"/>
          <w:kern w:val="0"/>
          <w14:ligatures w14:val="none"/>
        </w:rPr>
        <w:br/>
      </w:r>
      <w:r w:rsidR="00B70062">
        <w:rPr>
          <w:rFonts w:ascii="Times New Roman" w:eastAsia="Times New Roman" w:hAnsi="Times New Roman" w:cs="Times New Roman"/>
          <w:b/>
          <w:bCs/>
          <w:kern w:val="0"/>
          <w14:ligatures w14:val="none"/>
        </w:rPr>
        <w:t xml:space="preserve">5. </w:t>
      </w:r>
      <w:r w:rsidR="00E33E51" w:rsidRPr="004A699A">
        <w:rPr>
          <w:rFonts w:ascii="Times New Roman" w:eastAsia="Times New Roman" w:hAnsi="Times New Roman" w:cs="Times New Roman"/>
          <w:b/>
          <w:bCs/>
          <w:kern w:val="0"/>
          <w14:ligatures w14:val="none"/>
        </w:rPr>
        <w:t>CONCLUSION</w:t>
      </w:r>
      <w:r w:rsidR="00267DAE">
        <w:rPr>
          <w:rFonts w:ascii="Times New Roman" w:eastAsia="Times New Roman" w:hAnsi="Times New Roman" w:cs="Times New Roman"/>
          <w:kern w:val="0"/>
          <w14:ligatures w14:val="none"/>
        </w:rPr>
        <w:t xml:space="preserve"> </w:t>
      </w:r>
    </w:p>
    <w:p w14:paraId="4C8BC9B4" w14:textId="2F853E6E" w:rsidR="008D34D5" w:rsidRPr="004A699A" w:rsidRDefault="00E33E51" w:rsidP="00267DAE">
      <w:pPr>
        <w:spacing w:line="480" w:lineRule="auto"/>
        <w:ind w:firstLine="720"/>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This dual-arm epidemiological investigation shows that soil-transmitted helminth infections are still hyperendemic in Darbhanga, Bihar, with high rates of infection in both clinical and community groups. The clinical study showed that hookworm was strongly linked to anemia and that infection rates were very high. The community survey showed that hookworm was spreading widely among people of all ages and sexes, but it was hitting rural and low-income families the hardest. The choice of a sensitive diagnostic threshold (identifying even one egg as positive) probably led to larger prevalence estimates, but it made sure that light infections, which are critical for continued transmission, were not missed. The results should also be looked at in light of the COVID-19 disruptions, which stopped school-based deworming and public health programs. This likely made the burden seen in this study even worse. The data together show that poverty, poor sanitation, and programmatic gaps are still the main causes of transmission. To achieve sustained control and eventual eradication, strategies must extend beyond intermittent mass drug administration to encompass integrated interventions—enhanced sanitation and hygiene infrastructure, focused health education, maternal literacy advancement, and poverty reduction—specifically designed for the flood-prone and socioeconomically </w:t>
      </w:r>
      <w:r w:rsidRPr="004A699A">
        <w:rPr>
          <w:rFonts w:ascii="Times New Roman" w:eastAsia="Times New Roman" w:hAnsi="Times New Roman" w:cs="Times New Roman"/>
          <w:kern w:val="0"/>
          <w14:ligatures w14:val="none"/>
        </w:rPr>
        <w:lastRenderedPageBreak/>
        <w:t>disadvantaged context of north Bihar. Without these kinds of broad actions, the benefits of deworming campaigns could be lost, and the disease will keep spreading from one generation to the next.</w:t>
      </w:r>
    </w:p>
    <w:p w14:paraId="261C2013" w14:textId="7C8A4FBB" w:rsidR="00B86BC9" w:rsidRPr="004A699A" w:rsidRDefault="00B86BC9" w:rsidP="000309FA">
      <w:pPr>
        <w:rPr>
          <w:rFonts w:ascii="Times New Roman" w:eastAsia="Times New Roman" w:hAnsi="Times New Roman" w:cs="Times New Roman"/>
          <w:b/>
          <w:bCs/>
          <w:kern w:val="0"/>
          <w14:ligatures w14:val="none"/>
        </w:rPr>
      </w:pPr>
      <w:r w:rsidRPr="004A699A">
        <w:rPr>
          <w:rFonts w:ascii="Times New Roman" w:eastAsia="Times New Roman" w:hAnsi="Times New Roman" w:cs="Times New Roman"/>
          <w:b/>
          <w:bCs/>
          <w:kern w:val="0"/>
          <w14:ligatures w14:val="none"/>
        </w:rPr>
        <w:t>REFERENCES</w:t>
      </w:r>
    </w:p>
    <w:p w14:paraId="613A0E1D" w14:textId="0B79901F" w:rsidR="00C80311" w:rsidRDefault="00C80311"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C80311">
        <w:rPr>
          <w:rFonts w:ascii="Times New Roman" w:eastAsia="Times New Roman" w:hAnsi="Times New Roman" w:cs="Times New Roman"/>
          <w:kern w:val="0"/>
          <w14:ligatures w14:val="none"/>
        </w:rPr>
        <w:t xml:space="preserve">Anderson, R. M., Turner, H. C., Truscott, J. E., Hollingsworth, T. D., &amp; Brooker, S. J. (2015). Should the goal for the treatment of soil transmitted helminth (STH) infections be changed from morbidity control in children to community-wide transmission elimination? </w:t>
      </w:r>
      <w:proofErr w:type="spellStart"/>
      <w:r w:rsidRPr="00C80311">
        <w:rPr>
          <w:rFonts w:ascii="Times New Roman" w:eastAsia="Times New Roman" w:hAnsi="Times New Roman" w:cs="Times New Roman"/>
          <w:kern w:val="0"/>
          <w14:ligatures w14:val="none"/>
        </w:rPr>
        <w:t>PLoS</w:t>
      </w:r>
      <w:proofErr w:type="spellEnd"/>
      <w:r w:rsidRPr="00C80311">
        <w:rPr>
          <w:rFonts w:ascii="Times New Roman" w:eastAsia="Times New Roman" w:hAnsi="Times New Roman" w:cs="Times New Roman"/>
          <w:kern w:val="0"/>
          <w14:ligatures w14:val="none"/>
        </w:rPr>
        <w:t xml:space="preserve"> Neglected Tropical Diseases, 9(8), e0003897. </w:t>
      </w:r>
      <w:hyperlink r:id="rId17" w:history="1">
        <w:r w:rsidRPr="00520C08">
          <w:rPr>
            <w:rStyle w:val="Hyperlink"/>
            <w:rFonts w:ascii="Times New Roman" w:eastAsia="Times New Roman" w:hAnsi="Times New Roman" w:cs="Times New Roman"/>
            <w:kern w:val="0"/>
            <w14:ligatures w14:val="none"/>
          </w:rPr>
          <w:t>https://doi.org/10.1371/journal.pntd.0003897</w:t>
        </w:r>
      </w:hyperlink>
    </w:p>
    <w:p w14:paraId="4EFC0E60" w14:textId="7A2464C0" w:rsidR="00B86BC9" w:rsidRPr="004A699A" w:rsidRDefault="00B86BC9"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Baird, S., et al. (2021). Education loss due to COVID-19 school closures: global estimates. </w:t>
      </w:r>
      <w:r w:rsidRPr="004A699A">
        <w:rPr>
          <w:rFonts w:ascii="Times New Roman" w:eastAsia="Times New Roman" w:hAnsi="Times New Roman" w:cs="Times New Roman"/>
          <w:i/>
          <w:iCs/>
          <w:kern w:val="0"/>
          <w14:ligatures w14:val="none"/>
        </w:rPr>
        <w:t>World Bank Policy Paper</w:t>
      </w:r>
      <w:r w:rsidRPr="004A699A">
        <w:rPr>
          <w:rFonts w:ascii="Times New Roman" w:eastAsia="Times New Roman" w:hAnsi="Times New Roman" w:cs="Times New Roman"/>
          <w:kern w:val="0"/>
          <w14:ligatures w14:val="none"/>
        </w:rPr>
        <w:t>.</w:t>
      </w:r>
    </w:p>
    <w:p w14:paraId="1DDF3565" w14:textId="1D793E1F"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proofErr w:type="spellStart"/>
      <w:r w:rsidRPr="00A243BD">
        <w:rPr>
          <w:rFonts w:ascii="Times New Roman" w:eastAsia="Times New Roman" w:hAnsi="Times New Roman" w:cs="Times New Roman"/>
          <w:kern w:val="0"/>
          <w14:ligatures w14:val="none"/>
        </w:rPr>
        <w:t>Bethony</w:t>
      </w:r>
      <w:proofErr w:type="spellEnd"/>
      <w:r w:rsidRPr="00A243BD">
        <w:rPr>
          <w:rFonts w:ascii="Times New Roman" w:eastAsia="Times New Roman" w:hAnsi="Times New Roman" w:cs="Times New Roman"/>
          <w:kern w:val="0"/>
          <w14:ligatures w14:val="none"/>
        </w:rPr>
        <w:t xml:space="preserve">, J. M., Brooker, S., </w:t>
      </w:r>
      <w:proofErr w:type="spellStart"/>
      <w:r w:rsidRPr="00A243BD">
        <w:rPr>
          <w:rFonts w:ascii="Times New Roman" w:eastAsia="Times New Roman" w:hAnsi="Times New Roman" w:cs="Times New Roman"/>
          <w:kern w:val="0"/>
          <w14:ligatures w14:val="none"/>
        </w:rPr>
        <w:t>Albonico</w:t>
      </w:r>
      <w:proofErr w:type="spellEnd"/>
      <w:r w:rsidRPr="00A243BD">
        <w:rPr>
          <w:rFonts w:ascii="Times New Roman" w:eastAsia="Times New Roman" w:hAnsi="Times New Roman" w:cs="Times New Roman"/>
          <w:kern w:val="0"/>
          <w14:ligatures w14:val="none"/>
        </w:rPr>
        <w:t xml:space="preserve">, M., Geiger, S. M., Loukas, A., </w:t>
      </w:r>
      <w:proofErr w:type="spellStart"/>
      <w:r w:rsidRPr="00A243BD">
        <w:rPr>
          <w:rFonts w:ascii="Times New Roman" w:eastAsia="Times New Roman" w:hAnsi="Times New Roman" w:cs="Times New Roman"/>
          <w:kern w:val="0"/>
          <w14:ligatures w14:val="none"/>
        </w:rPr>
        <w:t>Diemert</w:t>
      </w:r>
      <w:proofErr w:type="spellEnd"/>
      <w:r w:rsidRPr="00A243BD">
        <w:rPr>
          <w:rFonts w:ascii="Times New Roman" w:eastAsia="Times New Roman" w:hAnsi="Times New Roman" w:cs="Times New Roman"/>
          <w:kern w:val="0"/>
          <w14:ligatures w14:val="none"/>
        </w:rPr>
        <w:t xml:space="preserve">, D., &amp; </w:t>
      </w:r>
      <w:proofErr w:type="spellStart"/>
      <w:r w:rsidRPr="00A243BD">
        <w:rPr>
          <w:rFonts w:ascii="Times New Roman" w:eastAsia="Times New Roman" w:hAnsi="Times New Roman" w:cs="Times New Roman"/>
          <w:kern w:val="0"/>
          <w14:ligatures w14:val="none"/>
        </w:rPr>
        <w:t>Hotez</w:t>
      </w:r>
      <w:proofErr w:type="spellEnd"/>
      <w:r w:rsidRPr="00A243BD">
        <w:rPr>
          <w:rFonts w:ascii="Times New Roman" w:eastAsia="Times New Roman" w:hAnsi="Times New Roman" w:cs="Times New Roman"/>
          <w:kern w:val="0"/>
          <w14:ligatures w14:val="none"/>
        </w:rPr>
        <w:t xml:space="preserve">, P. J. (2006). Soil-transmitted helminth infections: ascariasis, </w:t>
      </w:r>
      <w:proofErr w:type="spellStart"/>
      <w:r w:rsidRPr="00A243BD">
        <w:rPr>
          <w:rFonts w:ascii="Times New Roman" w:eastAsia="Times New Roman" w:hAnsi="Times New Roman" w:cs="Times New Roman"/>
          <w:kern w:val="0"/>
          <w14:ligatures w14:val="none"/>
        </w:rPr>
        <w:t>trichuriasis</w:t>
      </w:r>
      <w:proofErr w:type="spellEnd"/>
      <w:r w:rsidRPr="00A243BD">
        <w:rPr>
          <w:rFonts w:ascii="Times New Roman" w:eastAsia="Times New Roman" w:hAnsi="Times New Roman" w:cs="Times New Roman"/>
          <w:kern w:val="0"/>
          <w14:ligatures w14:val="none"/>
        </w:rPr>
        <w:t xml:space="preserve">, and hookworm. The Lancet </w:t>
      </w:r>
      <w:hyperlink r:id="rId18" w:history="1">
        <w:r w:rsidRPr="00520C08">
          <w:rPr>
            <w:rStyle w:val="Hyperlink"/>
            <w:rFonts w:ascii="Times New Roman" w:eastAsia="Times New Roman" w:hAnsi="Times New Roman" w:cs="Times New Roman"/>
            <w:kern w:val="0"/>
            <w14:ligatures w14:val="none"/>
          </w:rPr>
          <w:t>https://doi.org/10.1016/S0140-6736(06)68653-4</w:t>
        </w:r>
      </w:hyperlink>
    </w:p>
    <w:p w14:paraId="5C30A1AE" w14:textId="0DE60D85"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A243BD">
        <w:rPr>
          <w:rFonts w:ascii="Times New Roman" w:eastAsia="Times New Roman" w:hAnsi="Times New Roman" w:cs="Times New Roman"/>
          <w:kern w:val="0"/>
          <w14:ligatures w14:val="none"/>
        </w:rPr>
        <w:t xml:space="preserve">Brooker, S., &amp; Clements, A. C. A. (2009). Spatial heterogeneity of parasite co-infection: Determinants and geostatistical prediction at regional scales. International Journal for Parasitology, 39(5), 591–597. </w:t>
      </w:r>
      <w:hyperlink r:id="rId19" w:history="1">
        <w:r w:rsidRPr="00520C08">
          <w:rPr>
            <w:rStyle w:val="Hyperlink"/>
            <w:rFonts w:ascii="Times New Roman" w:eastAsia="Times New Roman" w:hAnsi="Times New Roman" w:cs="Times New Roman"/>
            <w:kern w:val="0"/>
            <w14:ligatures w14:val="none"/>
          </w:rPr>
          <w:t>https://doi.org/10.1016/j.ijpara.2008.10.014</w:t>
        </w:r>
      </w:hyperlink>
    </w:p>
    <w:p w14:paraId="15448161" w14:textId="25EF7A89"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A243BD">
        <w:rPr>
          <w:rFonts w:ascii="Times New Roman" w:eastAsia="Times New Roman" w:hAnsi="Times New Roman" w:cs="Times New Roman"/>
          <w:kern w:val="0"/>
          <w14:ligatures w14:val="none"/>
        </w:rPr>
        <w:t xml:space="preserve">Brooker, S., </w:t>
      </w:r>
      <w:proofErr w:type="spellStart"/>
      <w:r w:rsidRPr="00A243BD">
        <w:rPr>
          <w:rFonts w:ascii="Times New Roman" w:eastAsia="Times New Roman" w:hAnsi="Times New Roman" w:cs="Times New Roman"/>
          <w:kern w:val="0"/>
          <w14:ligatures w14:val="none"/>
        </w:rPr>
        <w:t>Hotez</w:t>
      </w:r>
      <w:proofErr w:type="spellEnd"/>
      <w:r w:rsidRPr="00A243BD">
        <w:rPr>
          <w:rFonts w:ascii="Times New Roman" w:eastAsia="Times New Roman" w:hAnsi="Times New Roman" w:cs="Times New Roman"/>
          <w:kern w:val="0"/>
          <w14:ligatures w14:val="none"/>
        </w:rPr>
        <w:t xml:space="preserve">, P. J., &amp; Bundy, D. A. P. (2008). Hookworm-related </w:t>
      </w:r>
      <w:proofErr w:type="spellStart"/>
      <w:r w:rsidRPr="00A243BD">
        <w:rPr>
          <w:rFonts w:ascii="Times New Roman" w:eastAsia="Times New Roman" w:hAnsi="Times New Roman" w:cs="Times New Roman"/>
          <w:kern w:val="0"/>
          <w14:ligatures w14:val="none"/>
        </w:rPr>
        <w:t>anaemia</w:t>
      </w:r>
      <w:proofErr w:type="spellEnd"/>
      <w:r w:rsidRPr="00A243BD">
        <w:rPr>
          <w:rFonts w:ascii="Times New Roman" w:eastAsia="Times New Roman" w:hAnsi="Times New Roman" w:cs="Times New Roman"/>
          <w:kern w:val="0"/>
          <w14:ligatures w14:val="none"/>
        </w:rPr>
        <w:t xml:space="preserve"> among pregnant women: a systematic review. </w:t>
      </w:r>
      <w:proofErr w:type="spellStart"/>
      <w:r w:rsidRPr="00A243BD">
        <w:rPr>
          <w:rFonts w:ascii="Times New Roman" w:eastAsia="Times New Roman" w:hAnsi="Times New Roman" w:cs="Times New Roman"/>
          <w:kern w:val="0"/>
          <w14:ligatures w14:val="none"/>
        </w:rPr>
        <w:t>PLoS</w:t>
      </w:r>
      <w:proofErr w:type="spellEnd"/>
      <w:r w:rsidRPr="00A243BD">
        <w:rPr>
          <w:rFonts w:ascii="Times New Roman" w:eastAsia="Times New Roman" w:hAnsi="Times New Roman" w:cs="Times New Roman"/>
          <w:kern w:val="0"/>
          <w14:ligatures w14:val="none"/>
        </w:rPr>
        <w:t xml:space="preserve"> Neglected Tropical Diseases, 2(9), e291. </w:t>
      </w:r>
      <w:hyperlink r:id="rId20" w:history="1">
        <w:r w:rsidRPr="00520C08">
          <w:rPr>
            <w:rStyle w:val="Hyperlink"/>
            <w:rFonts w:ascii="Times New Roman" w:eastAsia="Times New Roman" w:hAnsi="Times New Roman" w:cs="Times New Roman"/>
            <w:kern w:val="0"/>
            <w14:ligatures w14:val="none"/>
          </w:rPr>
          <w:t>https://doi.org/10.1371/journal.pntd.0000291</w:t>
        </w:r>
      </w:hyperlink>
    </w:p>
    <w:p w14:paraId="3DE286A2" w14:textId="72006C37" w:rsidR="00B86BC9" w:rsidRPr="004A699A" w:rsidRDefault="00B86BC9"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Choudhary, A. (2018). Soil-transmitted helminthiasis in flood-prone Bihar: epidemiological considerations. </w:t>
      </w:r>
      <w:r w:rsidRPr="004A699A">
        <w:rPr>
          <w:rFonts w:ascii="Times New Roman" w:eastAsia="Times New Roman" w:hAnsi="Times New Roman" w:cs="Times New Roman"/>
          <w:i/>
          <w:iCs/>
          <w:kern w:val="0"/>
          <w14:ligatures w14:val="none"/>
        </w:rPr>
        <w:t>Indian Journal of Parasitology</w:t>
      </w:r>
      <w:r w:rsidRPr="004A699A">
        <w:rPr>
          <w:rFonts w:ascii="Times New Roman" w:eastAsia="Times New Roman" w:hAnsi="Times New Roman" w:cs="Times New Roman"/>
          <w:kern w:val="0"/>
          <w14:ligatures w14:val="none"/>
        </w:rPr>
        <w:t>, 34(2), 45–53.</w:t>
      </w:r>
    </w:p>
    <w:p w14:paraId="7C1F57FB" w14:textId="142E98A7" w:rsidR="00A243BD" w:rsidRP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A243BD">
        <w:rPr>
          <w:rFonts w:ascii="Times New Roman" w:eastAsia="Times New Roman" w:hAnsi="Times New Roman" w:cs="Times New Roman"/>
          <w:kern w:val="0"/>
          <w:lang w:val="pt-BR"/>
          <w14:ligatures w14:val="none"/>
        </w:rPr>
        <w:lastRenderedPageBreak/>
        <w:t xml:space="preserve">Fonte, L., Acosta, A., Sarmiento, M. E., Ginori, M., García, G., &amp; Norazmi, M. N. (2020). </w:t>
      </w:r>
      <w:r w:rsidRPr="00A243BD">
        <w:rPr>
          <w:rFonts w:ascii="Times New Roman" w:eastAsia="Times New Roman" w:hAnsi="Times New Roman" w:cs="Times New Roman"/>
          <w:kern w:val="0"/>
          <w:lang w:val="en-IN"/>
          <w14:ligatures w14:val="none"/>
        </w:rPr>
        <w:t xml:space="preserve">COVID-19 lethality in Sub-Saharan Africa and helminth immune modulation. </w:t>
      </w:r>
      <w:r w:rsidRPr="00A243BD">
        <w:rPr>
          <w:rFonts w:ascii="Times New Roman" w:eastAsia="Times New Roman" w:hAnsi="Times New Roman" w:cs="Times New Roman"/>
          <w:kern w:val="0"/>
          <w:lang w:val="pt-BR"/>
          <w14:ligatures w14:val="none"/>
        </w:rPr>
        <w:t xml:space="preserve">Frontiers in Immunology, 11, 574910. </w:t>
      </w:r>
      <w:r>
        <w:rPr>
          <w:rFonts w:ascii="Times New Roman" w:eastAsia="Times New Roman" w:hAnsi="Times New Roman" w:cs="Times New Roman"/>
          <w:kern w:val="0"/>
          <w:lang w:val="pt-BR"/>
          <w14:ligatures w14:val="none"/>
        </w:rPr>
        <w:fldChar w:fldCharType="begin"/>
      </w:r>
      <w:r>
        <w:rPr>
          <w:rFonts w:ascii="Times New Roman" w:eastAsia="Times New Roman" w:hAnsi="Times New Roman" w:cs="Times New Roman"/>
          <w:kern w:val="0"/>
          <w:lang w:val="pt-BR"/>
          <w14:ligatures w14:val="none"/>
        </w:rPr>
        <w:instrText xml:space="preserve"> HYPERLINK "</w:instrText>
      </w:r>
      <w:r w:rsidRPr="00A243BD">
        <w:rPr>
          <w:rFonts w:ascii="Times New Roman" w:eastAsia="Times New Roman" w:hAnsi="Times New Roman" w:cs="Times New Roman"/>
          <w:kern w:val="0"/>
          <w:lang w:val="pt-BR"/>
          <w14:ligatures w14:val="none"/>
        </w:rPr>
        <w:instrText>https://doi.org/10.3389/fimmu.2020.574910</w:instrText>
      </w:r>
      <w:r>
        <w:rPr>
          <w:rFonts w:ascii="Times New Roman" w:eastAsia="Times New Roman" w:hAnsi="Times New Roman" w:cs="Times New Roman"/>
          <w:kern w:val="0"/>
          <w:lang w:val="pt-BR"/>
          <w14:ligatures w14:val="none"/>
        </w:rPr>
        <w:instrText xml:space="preserve">" </w:instrText>
      </w:r>
      <w:r>
        <w:rPr>
          <w:rFonts w:ascii="Times New Roman" w:eastAsia="Times New Roman" w:hAnsi="Times New Roman" w:cs="Times New Roman"/>
          <w:kern w:val="0"/>
          <w:lang w:val="pt-BR"/>
          <w14:ligatures w14:val="none"/>
        </w:rPr>
        <w:fldChar w:fldCharType="separate"/>
      </w:r>
      <w:r w:rsidRPr="00520C08">
        <w:rPr>
          <w:rStyle w:val="Hyperlink"/>
          <w:rFonts w:ascii="Times New Roman" w:eastAsia="Times New Roman" w:hAnsi="Times New Roman" w:cs="Times New Roman"/>
          <w:kern w:val="0"/>
          <w:lang w:val="pt-BR"/>
          <w14:ligatures w14:val="none"/>
        </w:rPr>
        <w:t>https://doi.org/10.3389/fimmu.2020.574910</w:t>
      </w:r>
      <w:r>
        <w:rPr>
          <w:rFonts w:ascii="Times New Roman" w:eastAsia="Times New Roman" w:hAnsi="Times New Roman" w:cs="Times New Roman"/>
          <w:kern w:val="0"/>
          <w:lang w:val="pt-BR"/>
          <w14:ligatures w14:val="none"/>
        </w:rPr>
        <w:fldChar w:fldCharType="end"/>
      </w:r>
    </w:p>
    <w:p w14:paraId="48DE03F5" w14:textId="7F7F9EB7"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A243BD">
        <w:rPr>
          <w:rFonts w:ascii="Times New Roman" w:eastAsia="Times New Roman" w:hAnsi="Times New Roman" w:cs="Times New Roman"/>
          <w:kern w:val="0"/>
          <w14:ligatures w14:val="none"/>
        </w:rPr>
        <w:t xml:space="preserve">Greenland, K., Dixon, R., Khan, S. A., Gunawardena, K., </w:t>
      </w:r>
      <w:proofErr w:type="spellStart"/>
      <w:r w:rsidRPr="00A243BD">
        <w:rPr>
          <w:rFonts w:ascii="Times New Roman" w:eastAsia="Times New Roman" w:hAnsi="Times New Roman" w:cs="Times New Roman"/>
          <w:kern w:val="0"/>
          <w14:ligatures w14:val="none"/>
        </w:rPr>
        <w:t>Kihara</w:t>
      </w:r>
      <w:proofErr w:type="spellEnd"/>
      <w:r w:rsidRPr="00A243BD">
        <w:rPr>
          <w:rFonts w:ascii="Times New Roman" w:eastAsia="Times New Roman" w:hAnsi="Times New Roman" w:cs="Times New Roman"/>
          <w:kern w:val="0"/>
          <w14:ligatures w14:val="none"/>
        </w:rPr>
        <w:t xml:space="preserve">, J. H., Smith, J. L., Drake, L., </w:t>
      </w:r>
      <w:proofErr w:type="spellStart"/>
      <w:r w:rsidRPr="00A243BD">
        <w:rPr>
          <w:rFonts w:ascii="Times New Roman" w:eastAsia="Times New Roman" w:hAnsi="Times New Roman" w:cs="Times New Roman"/>
          <w:kern w:val="0"/>
          <w14:ligatures w14:val="none"/>
        </w:rPr>
        <w:t>Makkar</w:t>
      </w:r>
      <w:proofErr w:type="spellEnd"/>
      <w:r w:rsidRPr="00A243BD">
        <w:rPr>
          <w:rFonts w:ascii="Times New Roman" w:eastAsia="Times New Roman" w:hAnsi="Times New Roman" w:cs="Times New Roman"/>
          <w:kern w:val="0"/>
          <w14:ligatures w14:val="none"/>
        </w:rPr>
        <w:t xml:space="preserve">, P., Raman, S., Singh, S., &amp; Kumar, S. (2015). The epidemiology of soil-transmitted helminths in Bihar State, India. </w:t>
      </w:r>
      <w:proofErr w:type="spellStart"/>
      <w:r w:rsidRPr="00A243BD">
        <w:rPr>
          <w:rFonts w:ascii="Times New Roman" w:eastAsia="Times New Roman" w:hAnsi="Times New Roman" w:cs="Times New Roman"/>
          <w:kern w:val="0"/>
          <w14:ligatures w14:val="none"/>
        </w:rPr>
        <w:t>PLoS</w:t>
      </w:r>
      <w:proofErr w:type="spellEnd"/>
      <w:r w:rsidRPr="00A243BD">
        <w:rPr>
          <w:rFonts w:ascii="Times New Roman" w:eastAsia="Times New Roman" w:hAnsi="Times New Roman" w:cs="Times New Roman"/>
          <w:kern w:val="0"/>
          <w14:ligatures w14:val="none"/>
        </w:rPr>
        <w:t xml:space="preserve"> Neglected Tropical Diseases </w:t>
      </w:r>
      <w:hyperlink r:id="rId21" w:history="1">
        <w:r w:rsidRPr="00520C08">
          <w:rPr>
            <w:rStyle w:val="Hyperlink"/>
            <w:rFonts w:ascii="Times New Roman" w:eastAsia="Times New Roman" w:hAnsi="Times New Roman" w:cs="Times New Roman"/>
            <w:kern w:val="0"/>
            <w14:ligatures w14:val="none"/>
          </w:rPr>
          <w:t>https://doi.org/10.1371/journal.pntd.0003790</w:t>
        </w:r>
      </w:hyperlink>
    </w:p>
    <w:p w14:paraId="3AAFB3C5" w14:textId="04ADC4AC"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proofErr w:type="spellStart"/>
      <w:r w:rsidRPr="00A243BD">
        <w:rPr>
          <w:rFonts w:ascii="Times New Roman" w:eastAsia="Times New Roman" w:hAnsi="Times New Roman" w:cs="Times New Roman"/>
          <w:kern w:val="0"/>
          <w14:ligatures w14:val="none"/>
        </w:rPr>
        <w:t>Hotez</w:t>
      </w:r>
      <w:proofErr w:type="spellEnd"/>
      <w:r w:rsidRPr="00A243BD">
        <w:rPr>
          <w:rFonts w:ascii="Times New Roman" w:eastAsia="Times New Roman" w:hAnsi="Times New Roman" w:cs="Times New Roman"/>
          <w:kern w:val="0"/>
          <w14:ligatures w14:val="none"/>
        </w:rPr>
        <w:t xml:space="preserve">, P. J., Brooker, S., </w:t>
      </w:r>
      <w:proofErr w:type="spellStart"/>
      <w:r w:rsidRPr="00A243BD">
        <w:rPr>
          <w:rFonts w:ascii="Times New Roman" w:eastAsia="Times New Roman" w:hAnsi="Times New Roman" w:cs="Times New Roman"/>
          <w:kern w:val="0"/>
          <w14:ligatures w14:val="none"/>
        </w:rPr>
        <w:t>Bethony</w:t>
      </w:r>
      <w:proofErr w:type="spellEnd"/>
      <w:r w:rsidRPr="00A243BD">
        <w:rPr>
          <w:rFonts w:ascii="Times New Roman" w:eastAsia="Times New Roman" w:hAnsi="Times New Roman" w:cs="Times New Roman"/>
          <w:kern w:val="0"/>
          <w14:ligatures w14:val="none"/>
        </w:rPr>
        <w:t xml:space="preserve">, J. M., </w:t>
      </w:r>
      <w:proofErr w:type="spellStart"/>
      <w:r w:rsidRPr="00A243BD">
        <w:rPr>
          <w:rFonts w:ascii="Times New Roman" w:eastAsia="Times New Roman" w:hAnsi="Times New Roman" w:cs="Times New Roman"/>
          <w:kern w:val="0"/>
          <w14:ligatures w14:val="none"/>
        </w:rPr>
        <w:t>Bottazzi</w:t>
      </w:r>
      <w:proofErr w:type="spellEnd"/>
      <w:r w:rsidRPr="00A243BD">
        <w:rPr>
          <w:rFonts w:ascii="Times New Roman" w:eastAsia="Times New Roman" w:hAnsi="Times New Roman" w:cs="Times New Roman"/>
          <w:kern w:val="0"/>
          <w14:ligatures w14:val="none"/>
        </w:rPr>
        <w:t xml:space="preserve">, M. E., Loukas, A., &amp; Xiao, S. (2004). Hookworm infection. The New England Journal of Medicine, 351(8), 799–807. </w:t>
      </w:r>
      <w:hyperlink r:id="rId22" w:history="1">
        <w:r w:rsidRPr="00520C08">
          <w:rPr>
            <w:rStyle w:val="Hyperlink"/>
            <w:rFonts w:ascii="Times New Roman" w:eastAsia="Times New Roman" w:hAnsi="Times New Roman" w:cs="Times New Roman"/>
            <w:kern w:val="0"/>
            <w14:ligatures w14:val="none"/>
          </w:rPr>
          <w:t>https://doi.org/10.1056/NEJMra032492</w:t>
        </w:r>
      </w:hyperlink>
    </w:p>
    <w:p w14:paraId="2B69762E" w14:textId="40E782A2"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A243BD">
        <w:rPr>
          <w:rFonts w:ascii="Times New Roman" w:eastAsia="Times New Roman" w:hAnsi="Times New Roman" w:cs="Times New Roman"/>
          <w:kern w:val="0"/>
          <w14:ligatures w14:val="none"/>
        </w:rPr>
        <w:t xml:space="preserve">Jourdan, P. M., Lamberton, P. H. L., Fenwick, A., &amp; </w:t>
      </w:r>
      <w:proofErr w:type="spellStart"/>
      <w:r w:rsidRPr="00A243BD">
        <w:rPr>
          <w:rFonts w:ascii="Times New Roman" w:eastAsia="Times New Roman" w:hAnsi="Times New Roman" w:cs="Times New Roman"/>
          <w:kern w:val="0"/>
          <w14:ligatures w14:val="none"/>
        </w:rPr>
        <w:t>Addiss</w:t>
      </w:r>
      <w:proofErr w:type="spellEnd"/>
      <w:r w:rsidRPr="00A243BD">
        <w:rPr>
          <w:rFonts w:ascii="Times New Roman" w:eastAsia="Times New Roman" w:hAnsi="Times New Roman" w:cs="Times New Roman"/>
          <w:kern w:val="0"/>
          <w14:ligatures w14:val="none"/>
        </w:rPr>
        <w:t xml:space="preserve">, D. G. (2018). Soil-transmitted helminth infections. The Lancet, 391(10117), 252–265. </w:t>
      </w:r>
      <w:hyperlink r:id="rId23" w:history="1">
        <w:r w:rsidRPr="00520C08">
          <w:rPr>
            <w:rStyle w:val="Hyperlink"/>
            <w:rFonts w:ascii="Times New Roman" w:eastAsia="Times New Roman" w:hAnsi="Times New Roman" w:cs="Times New Roman"/>
            <w:kern w:val="0"/>
            <w14:ligatures w14:val="none"/>
          </w:rPr>
          <w:t>https://doi.org/10.1016/S0140-6736(17)31930-X</w:t>
        </w:r>
      </w:hyperlink>
    </w:p>
    <w:p w14:paraId="1A898408" w14:textId="74458E1A" w:rsidR="00B86BC9" w:rsidRPr="004A699A" w:rsidRDefault="00B86BC9"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proofErr w:type="spellStart"/>
      <w:r w:rsidRPr="004A699A">
        <w:rPr>
          <w:rFonts w:ascii="Times New Roman" w:eastAsia="Times New Roman" w:hAnsi="Times New Roman" w:cs="Times New Roman"/>
          <w:kern w:val="0"/>
          <w14:ligatures w14:val="none"/>
        </w:rPr>
        <w:t>Malizia</w:t>
      </w:r>
      <w:proofErr w:type="spellEnd"/>
      <w:r w:rsidRPr="004A699A">
        <w:rPr>
          <w:rFonts w:ascii="Times New Roman" w:eastAsia="Times New Roman" w:hAnsi="Times New Roman" w:cs="Times New Roman"/>
          <w:kern w:val="0"/>
          <w14:ligatures w14:val="none"/>
        </w:rPr>
        <w:t xml:space="preserve">, V., et al. (2021). Soil-transmitted helminths: global epidemiology and control strategies. </w:t>
      </w:r>
      <w:r w:rsidRPr="004A699A">
        <w:rPr>
          <w:rFonts w:ascii="Times New Roman" w:eastAsia="Times New Roman" w:hAnsi="Times New Roman" w:cs="Times New Roman"/>
          <w:i/>
          <w:iCs/>
          <w:kern w:val="0"/>
          <w14:ligatures w14:val="none"/>
        </w:rPr>
        <w:t>Tropical Medicine &amp; International Health</w:t>
      </w:r>
      <w:r w:rsidRPr="004A699A">
        <w:rPr>
          <w:rFonts w:ascii="Times New Roman" w:eastAsia="Times New Roman" w:hAnsi="Times New Roman" w:cs="Times New Roman"/>
          <w:kern w:val="0"/>
          <w14:ligatures w14:val="none"/>
        </w:rPr>
        <w:t xml:space="preserve">, 26(1), 1–12. </w:t>
      </w:r>
      <w:hyperlink r:id="rId24" w:history="1">
        <w:r w:rsidRPr="004A699A">
          <w:rPr>
            <w:rFonts w:ascii="Times New Roman" w:eastAsia="Times New Roman" w:hAnsi="Times New Roman" w:cs="Times New Roman"/>
            <w:color w:val="0000FF"/>
            <w:kern w:val="0"/>
            <w:u w:val="single"/>
            <w14:ligatures w14:val="none"/>
          </w:rPr>
          <w:t>https://doi.org/10.1111/tmi.13574</w:t>
        </w:r>
      </w:hyperlink>
    </w:p>
    <w:p w14:paraId="289AD750" w14:textId="77777777" w:rsidR="00B86BC9" w:rsidRPr="004A699A" w:rsidRDefault="00B86BC9"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Mikhailov, A., et al. (2021). Impact of COVID-19 interruptions on preventive chemotherapy for neglected tropical diseases: a modeling analysis. </w:t>
      </w:r>
      <w:r w:rsidRPr="004A699A">
        <w:rPr>
          <w:rFonts w:ascii="Times New Roman" w:eastAsia="Times New Roman" w:hAnsi="Times New Roman" w:cs="Times New Roman"/>
          <w:i/>
          <w:iCs/>
          <w:kern w:val="0"/>
          <w14:ligatures w14:val="none"/>
        </w:rPr>
        <w:t>The Lancet Global Health</w:t>
      </w:r>
      <w:r w:rsidRPr="004A699A">
        <w:rPr>
          <w:rFonts w:ascii="Times New Roman" w:eastAsia="Times New Roman" w:hAnsi="Times New Roman" w:cs="Times New Roman"/>
          <w:kern w:val="0"/>
          <w14:ligatures w14:val="none"/>
        </w:rPr>
        <w:t xml:space="preserve">, 9(11), e1441–e1450. </w:t>
      </w:r>
      <w:hyperlink r:id="rId25" w:history="1">
        <w:r w:rsidRPr="004A699A">
          <w:rPr>
            <w:rFonts w:ascii="Times New Roman" w:eastAsia="Times New Roman" w:hAnsi="Times New Roman" w:cs="Times New Roman"/>
            <w:color w:val="0000FF"/>
            <w:kern w:val="0"/>
            <w:u w:val="single"/>
            <w14:ligatures w14:val="none"/>
          </w:rPr>
          <w:t>https://doi.org/10.1016/S2214-109X(21)00327-4</w:t>
        </w:r>
      </w:hyperlink>
    </w:p>
    <w:p w14:paraId="37332DF7" w14:textId="6268ABC1"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A243BD">
        <w:rPr>
          <w:rFonts w:ascii="Times New Roman" w:eastAsia="Times New Roman" w:hAnsi="Times New Roman" w:cs="Times New Roman"/>
          <w:kern w:val="0"/>
          <w14:ligatures w14:val="none"/>
        </w:rPr>
        <w:t xml:space="preserve">Montresor, A., Crompton, D. W. T., Hall, A., Bundy, D. A. P., &amp; </w:t>
      </w:r>
      <w:proofErr w:type="spellStart"/>
      <w:r w:rsidRPr="00A243BD">
        <w:rPr>
          <w:rFonts w:ascii="Times New Roman" w:eastAsia="Times New Roman" w:hAnsi="Times New Roman" w:cs="Times New Roman"/>
          <w:kern w:val="0"/>
          <w14:ligatures w14:val="none"/>
        </w:rPr>
        <w:t>Savioli</w:t>
      </w:r>
      <w:proofErr w:type="spellEnd"/>
      <w:r w:rsidRPr="00A243BD">
        <w:rPr>
          <w:rFonts w:ascii="Times New Roman" w:eastAsia="Times New Roman" w:hAnsi="Times New Roman" w:cs="Times New Roman"/>
          <w:kern w:val="0"/>
          <w14:ligatures w14:val="none"/>
        </w:rPr>
        <w:t xml:space="preserve">, L. (1998). Guidelines for the evaluation of soil-transmitted helminthiasis and schistosomiasis at community level: A guide for managers of control </w:t>
      </w:r>
      <w:proofErr w:type="spellStart"/>
      <w:r w:rsidRPr="00A243BD">
        <w:rPr>
          <w:rFonts w:ascii="Times New Roman" w:eastAsia="Times New Roman" w:hAnsi="Times New Roman" w:cs="Times New Roman"/>
          <w:kern w:val="0"/>
          <w14:ligatures w14:val="none"/>
        </w:rPr>
        <w:t>programmes</w:t>
      </w:r>
      <w:proofErr w:type="spellEnd"/>
      <w:r w:rsidRPr="00A243BD">
        <w:rPr>
          <w:rFonts w:ascii="Times New Roman" w:eastAsia="Times New Roman" w:hAnsi="Times New Roman" w:cs="Times New Roman"/>
          <w:kern w:val="0"/>
          <w14:ligatures w14:val="none"/>
        </w:rPr>
        <w:t xml:space="preserve">. World Health Organization. </w:t>
      </w:r>
      <w:hyperlink r:id="rId26" w:history="1">
        <w:r w:rsidRPr="00520C08">
          <w:rPr>
            <w:rStyle w:val="Hyperlink"/>
            <w:rFonts w:ascii="Times New Roman" w:eastAsia="Times New Roman" w:hAnsi="Times New Roman" w:cs="Times New Roman"/>
            <w:kern w:val="0"/>
            <w14:ligatures w14:val="none"/>
          </w:rPr>
          <w:t>https://iris.who.int/handle/10665/63821</w:t>
        </w:r>
      </w:hyperlink>
    </w:p>
    <w:p w14:paraId="3A7B684D" w14:textId="6826E52F" w:rsidR="00B86BC9" w:rsidRPr="004A699A" w:rsidRDefault="00B86BC9"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lastRenderedPageBreak/>
        <w:t xml:space="preserve">Pal, R., Sehgal, R., &amp; Choudhary, A. (2017). Seasonal variation of STH infections in North Bihar. </w:t>
      </w:r>
      <w:r w:rsidRPr="004A699A">
        <w:rPr>
          <w:rFonts w:ascii="Times New Roman" w:eastAsia="Times New Roman" w:hAnsi="Times New Roman" w:cs="Times New Roman"/>
          <w:i/>
          <w:iCs/>
          <w:kern w:val="0"/>
          <w14:ligatures w14:val="none"/>
        </w:rPr>
        <w:t>Indian Journal of Community Medicine</w:t>
      </w:r>
      <w:r w:rsidRPr="004A699A">
        <w:rPr>
          <w:rFonts w:ascii="Times New Roman" w:eastAsia="Times New Roman" w:hAnsi="Times New Roman" w:cs="Times New Roman"/>
          <w:kern w:val="0"/>
          <w14:ligatures w14:val="none"/>
        </w:rPr>
        <w:t xml:space="preserve">, 42(3), 189–193. </w:t>
      </w:r>
      <w:hyperlink r:id="rId27" w:history="1">
        <w:r w:rsidRPr="004A699A">
          <w:rPr>
            <w:rFonts w:ascii="Times New Roman" w:eastAsia="Times New Roman" w:hAnsi="Times New Roman" w:cs="Times New Roman"/>
            <w:color w:val="0000FF"/>
            <w:kern w:val="0"/>
            <w:u w:val="single"/>
            <w14:ligatures w14:val="none"/>
          </w:rPr>
          <w:t>https://doi.org/10.4103/ijcm.IJCM_135_16</w:t>
        </w:r>
      </w:hyperlink>
    </w:p>
    <w:p w14:paraId="5CD3BDCF" w14:textId="42F0A23D"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proofErr w:type="spellStart"/>
      <w:r w:rsidRPr="00A243BD">
        <w:rPr>
          <w:rFonts w:ascii="Times New Roman" w:eastAsia="Times New Roman" w:hAnsi="Times New Roman" w:cs="Times New Roman"/>
          <w:kern w:val="0"/>
          <w14:ligatures w14:val="none"/>
        </w:rPr>
        <w:t>Pullan</w:t>
      </w:r>
      <w:proofErr w:type="spellEnd"/>
      <w:r w:rsidRPr="00A243BD">
        <w:rPr>
          <w:rFonts w:ascii="Times New Roman" w:eastAsia="Times New Roman" w:hAnsi="Times New Roman" w:cs="Times New Roman"/>
          <w:kern w:val="0"/>
          <w14:ligatures w14:val="none"/>
        </w:rPr>
        <w:t xml:space="preserve">, R. L., Smith, J. L., </w:t>
      </w:r>
      <w:proofErr w:type="spellStart"/>
      <w:r w:rsidRPr="00A243BD">
        <w:rPr>
          <w:rFonts w:ascii="Times New Roman" w:eastAsia="Times New Roman" w:hAnsi="Times New Roman" w:cs="Times New Roman"/>
          <w:kern w:val="0"/>
          <w14:ligatures w14:val="none"/>
        </w:rPr>
        <w:t>Jasrasaria</w:t>
      </w:r>
      <w:proofErr w:type="spellEnd"/>
      <w:r w:rsidRPr="00A243BD">
        <w:rPr>
          <w:rFonts w:ascii="Times New Roman" w:eastAsia="Times New Roman" w:hAnsi="Times New Roman" w:cs="Times New Roman"/>
          <w:kern w:val="0"/>
          <w14:ligatures w14:val="none"/>
        </w:rPr>
        <w:t xml:space="preserve">, R., &amp; Brooker, S. J. (2014). Global numbers of infection and disease burden of soil transmitted helminth infections in 2010. Parasites &amp; Vectors, 7, 37. </w:t>
      </w:r>
      <w:hyperlink r:id="rId28" w:history="1">
        <w:r w:rsidRPr="00520C08">
          <w:rPr>
            <w:rStyle w:val="Hyperlink"/>
            <w:rFonts w:ascii="Times New Roman" w:eastAsia="Times New Roman" w:hAnsi="Times New Roman" w:cs="Times New Roman"/>
            <w:kern w:val="0"/>
            <w14:ligatures w14:val="none"/>
          </w:rPr>
          <w:t>https://doi.org/10.1186/1756-3305-7-37</w:t>
        </w:r>
      </w:hyperlink>
    </w:p>
    <w:p w14:paraId="48CF45BA" w14:textId="5D061457" w:rsidR="00A243BD" w:rsidRP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proofErr w:type="spellStart"/>
      <w:r w:rsidRPr="00A243BD">
        <w:rPr>
          <w:rFonts w:ascii="Times New Roman" w:eastAsia="Times New Roman" w:hAnsi="Times New Roman" w:cs="Times New Roman"/>
          <w:kern w:val="0"/>
          <w14:ligatures w14:val="none"/>
        </w:rPr>
        <w:t>Pullan</w:t>
      </w:r>
      <w:proofErr w:type="spellEnd"/>
      <w:r w:rsidRPr="00A243BD">
        <w:rPr>
          <w:rFonts w:ascii="Times New Roman" w:eastAsia="Times New Roman" w:hAnsi="Times New Roman" w:cs="Times New Roman"/>
          <w:kern w:val="0"/>
          <w14:ligatures w14:val="none"/>
        </w:rPr>
        <w:t xml:space="preserve">, R. L., &amp; Brooker, S. J. (2012). The global limits and population at risk of soil-transmitted helminth infections in 2010. </w:t>
      </w:r>
      <w:r w:rsidRPr="00A243BD">
        <w:rPr>
          <w:rFonts w:ascii="Times New Roman" w:eastAsia="Times New Roman" w:hAnsi="Times New Roman" w:cs="Times New Roman"/>
          <w:kern w:val="0"/>
          <w:lang w:val="fr-FR"/>
          <w14:ligatures w14:val="none"/>
        </w:rPr>
        <w:t xml:space="preserve">Parasites &amp; </w:t>
      </w:r>
      <w:proofErr w:type="spellStart"/>
      <w:r w:rsidRPr="00A243BD">
        <w:rPr>
          <w:rFonts w:ascii="Times New Roman" w:eastAsia="Times New Roman" w:hAnsi="Times New Roman" w:cs="Times New Roman"/>
          <w:kern w:val="0"/>
          <w:lang w:val="fr-FR"/>
          <w14:ligatures w14:val="none"/>
        </w:rPr>
        <w:t>Vectors</w:t>
      </w:r>
      <w:proofErr w:type="spellEnd"/>
      <w:r w:rsidRPr="00A243BD">
        <w:rPr>
          <w:rFonts w:ascii="Times New Roman" w:eastAsia="Times New Roman" w:hAnsi="Times New Roman" w:cs="Times New Roman"/>
          <w:kern w:val="0"/>
          <w:lang w:val="fr-FR"/>
          <w14:ligatures w14:val="none"/>
        </w:rPr>
        <w:t xml:space="preserve">. </w:t>
      </w:r>
      <w:hyperlink r:id="rId29" w:history="1">
        <w:r w:rsidRPr="00520C08">
          <w:rPr>
            <w:rStyle w:val="Hyperlink"/>
            <w:rFonts w:ascii="Times New Roman" w:eastAsia="Times New Roman" w:hAnsi="Times New Roman" w:cs="Times New Roman"/>
            <w:kern w:val="0"/>
            <w:lang w:val="fr-FR"/>
            <w14:ligatures w14:val="none"/>
          </w:rPr>
          <w:t>https://doi.org/10.1186/1756-3305-5-81</w:t>
        </w:r>
      </w:hyperlink>
    </w:p>
    <w:p w14:paraId="088BD6B1" w14:textId="6A192BE8" w:rsidR="00A243BD" w:rsidRP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A243BD">
        <w:rPr>
          <w:rFonts w:ascii="Times New Roman" w:eastAsia="Times New Roman" w:hAnsi="Times New Roman" w:cs="Times New Roman"/>
          <w:kern w:val="0"/>
          <w:lang w:val="en-IN"/>
          <w14:ligatures w14:val="none"/>
        </w:rPr>
        <w:t xml:space="preserve">Sanchez, A. L., </w:t>
      </w:r>
      <w:proofErr w:type="spellStart"/>
      <w:r w:rsidRPr="00A243BD">
        <w:rPr>
          <w:rFonts w:ascii="Times New Roman" w:eastAsia="Times New Roman" w:hAnsi="Times New Roman" w:cs="Times New Roman"/>
          <w:kern w:val="0"/>
          <w:lang w:val="en-IN"/>
          <w14:ligatures w14:val="none"/>
        </w:rPr>
        <w:t>Gabrie</w:t>
      </w:r>
      <w:proofErr w:type="spellEnd"/>
      <w:r w:rsidRPr="00A243BD">
        <w:rPr>
          <w:rFonts w:ascii="Times New Roman" w:eastAsia="Times New Roman" w:hAnsi="Times New Roman" w:cs="Times New Roman"/>
          <w:kern w:val="0"/>
          <w:lang w:val="en-IN"/>
          <w14:ligatures w14:val="none"/>
        </w:rPr>
        <w:t xml:space="preserve">, J. A., </w:t>
      </w:r>
      <w:proofErr w:type="spellStart"/>
      <w:r w:rsidRPr="00A243BD">
        <w:rPr>
          <w:rFonts w:ascii="Times New Roman" w:eastAsia="Times New Roman" w:hAnsi="Times New Roman" w:cs="Times New Roman"/>
          <w:kern w:val="0"/>
          <w:lang w:val="en-IN"/>
          <w14:ligatures w14:val="none"/>
        </w:rPr>
        <w:t>Usuanlele</w:t>
      </w:r>
      <w:proofErr w:type="spellEnd"/>
      <w:r w:rsidRPr="00A243BD">
        <w:rPr>
          <w:rFonts w:ascii="Times New Roman" w:eastAsia="Times New Roman" w:hAnsi="Times New Roman" w:cs="Times New Roman"/>
          <w:kern w:val="0"/>
          <w:lang w:val="en-IN"/>
          <w14:ligatures w14:val="none"/>
        </w:rPr>
        <w:t xml:space="preserve">, M.-T., Rueda, M. M., Canales, M., &amp; </w:t>
      </w:r>
      <w:proofErr w:type="spellStart"/>
      <w:r w:rsidRPr="00A243BD">
        <w:rPr>
          <w:rFonts w:ascii="Times New Roman" w:eastAsia="Times New Roman" w:hAnsi="Times New Roman" w:cs="Times New Roman"/>
          <w:kern w:val="0"/>
          <w:lang w:val="en-IN"/>
          <w14:ligatures w14:val="none"/>
        </w:rPr>
        <w:t>Gyorkos</w:t>
      </w:r>
      <w:proofErr w:type="spellEnd"/>
      <w:r w:rsidRPr="00A243BD">
        <w:rPr>
          <w:rFonts w:ascii="Times New Roman" w:eastAsia="Times New Roman" w:hAnsi="Times New Roman" w:cs="Times New Roman"/>
          <w:kern w:val="0"/>
          <w:lang w:val="en-IN"/>
          <w14:ligatures w14:val="none"/>
        </w:rPr>
        <w:t xml:space="preserve">, T. W. (2013). Soil-transmitted helminth infections and nutritional status in school-age children from rural communities in Honduras. </w:t>
      </w:r>
      <w:proofErr w:type="spellStart"/>
      <w:r w:rsidRPr="00A243BD">
        <w:rPr>
          <w:rFonts w:ascii="Times New Roman" w:eastAsia="Times New Roman" w:hAnsi="Times New Roman" w:cs="Times New Roman"/>
          <w:kern w:val="0"/>
          <w:lang w:val="fr-FR"/>
          <w14:ligatures w14:val="none"/>
        </w:rPr>
        <w:t>PLoS</w:t>
      </w:r>
      <w:proofErr w:type="spellEnd"/>
      <w:r w:rsidRPr="00A243BD">
        <w:rPr>
          <w:rFonts w:ascii="Times New Roman" w:eastAsia="Times New Roman" w:hAnsi="Times New Roman" w:cs="Times New Roman"/>
          <w:kern w:val="0"/>
          <w:lang w:val="fr-FR"/>
          <w14:ligatures w14:val="none"/>
        </w:rPr>
        <w:t xml:space="preserve"> </w:t>
      </w:r>
      <w:proofErr w:type="spellStart"/>
      <w:r w:rsidRPr="00A243BD">
        <w:rPr>
          <w:rFonts w:ascii="Times New Roman" w:eastAsia="Times New Roman" w:hAnsi="Times New Roman" w:cs="Times New Roman"/>
          <w:kern w:val="0"/>
          <w:lang w:val="fr-FR"/>
          <w14:ligatures w14:val="none"/>
        </w:rPr>
        <w:t>Neglected</w:t>
      </w:r>
      <w:proofErr w:type="spellEnd"/>
      <w:r w:rsidRPr="00A243BD">
        <w:rPr>
          <w:rFonts w:ascii="Times New Roman" w:eastAsia="Times New Roman" w:hAnsi="Times New Roman" w:cs="Times New Roman"/>
          <w:kern w:val="0"/>
          <w:lang w:val="fr-FR"/>
          <w14:ligatures w14:val="none"/>
        </w:rPr>
        <w:t xml:space="preserve"> Tropical </w:t>
      </w:r>
      <w:proofErr w:type="spellStart"/>
      <w:r w:rsidRPr="00A243BD">
        <w:rPr>
          <w:rFonts w:ascii="Times New Roman" w:eastAsia="Times New Roman" w:hAnsi="Times New Roman" w:cs="Times New Roman"/>
          <w:kern w:val="0"/>
          <w:lang w:val="fr-FR"/>
          <w14:ligatures w14:val="none"/>
        </w:rPr>
        <w:t>Diseases</w:t>
      </w:r>
      <w:proofErr w:type="spellEnd"/>
      <w:r w:rsidRPr="00A243BD">
        <w:rPr>
          <w:rFonts w:ascii="Times New Roman" w:eastAsia="Times New Roman" w:hAnsi="Times New Roman" w:cs="Times New Roman"/>
          <w:kern w:val="0"/>
          <w:lang w:val="fr-FR"/>
          <w14:ligatures w14:val="none"/>
        </w:rPr>
        <w:t xml:space="preserve">, 7(8), e2378. </w:t>
      </w:r>
      <w:hyperlink r:id="rId30" w:history="1">
        <w:r w:rsidRPr="00520C08">
          <w:rPr>
            <w:rStyle w:val="Hyperlink"/>
            <w:rFonts w:ascii="Times New Roman" w:eastAsia="Times New Roman" w:hAnsi="Times New Roman" w:cs="Times New Roman"/>
            <w:kern w:val="0"/>
            <w:lang w:val="fr-FR"/>
            <w14:ligatures w14:val="none"/>
          </w:rPr>
          <w:t>https://doi.org/10.1371/journal.pntd.0002378</w:t>
        </w:r>
      </w:hyperlink>
    </w:p>
    <w:p w14:paraId="4AF9357C" w14:textId="49C0E7DD" w:rsidR="00B86BC9" w:rsidRPr="004A699A" w:rsidRDefault="00B86BC9"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 xml:space="preserve">Sehgal, R., et al. (2010). Epidemiology of intestinal </w:t>
      </w:r>
      <w:proofErr w:type="spellStart"/>
      <w:r w:rsidRPr="004A699A">
        <w:rPr>
          <w:rFonts w:ascii="Times New Roman" w:eastAsia="Times New Roman" w:hAnsi="Times New Roman" w:cs="Times New Roman"/>
          <w:kern w:val="0"/>
          <w14:ligatures w14:val="none"/>
        </w:rPr>
        <w:t>parasitoses</w:t>
      </w:r>
      <w:proofErr w:type="spellEnd"/>
      <w:r w:rsidRPr="004A699A">
        <w:rPr>
          <w:rFonts w:ascii="Times New Roman" w:eastAsia="Times New Roman" w:hAnsi="Times New Roman" w:cs="Times New Roman"/>
          <w:kern w:val="0"/>
          <w14:ligatures w14:val="none"/>
        </w:rPr>
        <w:t xml:space="preserve"> in Bihar. </w:t>
      </w:r>
      <w:r w:rsidRPr="004A699A">
        <w:rPr>
          <w:rFonts w:ascii="Times New Roman" w:eastAsia="Times New Roman" w:hAnsi="Times New Roman" w:cs="Times New Roman"/>
          <w:i/>
          <w:iCs/>
          <w:kern w:val="0"/>
          <w14:ligatures w14:val="none"/>
        </w:rPr>
        <w:t>Indian Journal of Medical Research</w:t>
      </w:r>
      <w:r w:rsidRPr="004A699A">
        <w:rPr>
          <w:rFonts w:ascii="Times New Roman" w:eastAsia="Times New Roman" w:hAnsi="Times New Roman" w:cs="Times New Roman"/>
          <w:kern w:val="0"/>
          <w14:ligatures w14:val="none"/>
        </w:rPr>
        <w:t>, 131(2), 111–117.</w:t>
      </w:r>
    </w:p>
    <w:p w14:paraId="0121D365" w14:textId="63065443"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A243BD">
        <w:rPr>
          <w:rFonts w:ascii="Times New Roman" w:eastAsia="Times New Roman" w:hAnsi="Times New Roman" w:cs="Times New Roman"/>
          <w:kern w:val="0"/>
          <w14:ligatures w14:val="none"/>
        </w:rPr>
        <w:t xml:space="preserve">Smith, J. L., &amp; Brooker, S. (2010). Impact of hookworm infection and deworming on </w:t>
      </w:r>
      <w:proofErr w:type="spellStart"/>
      <w:r w:rsidRPr="00A243BD">
        <w:rPr>
          <w:rFonts w:ascii="Times New Roman" w:eastAsia="Times New Roman" w:hAnsi="Times New Roman" w:cs="Times New Roman"/>
          <w:kern w:val="0"/>
          <w14:ligatures w14:val="none"/>
        </w:rPr>
        <w:t>anaemia</w:t>
      </w:r>
      <w:proofErr w:type="spellEnd"/>
      <w:r w:rsidRPr="00A243BD">
        <w:rPr>
          <w:rFonts w:ascii="Times New Roman" w:eastAsia="Times New Roman" w:hAnsi="Times New Roman" w:cs="Times New Roman"/>
          <w:kern w:val="0"/>
          <w14:ligatures w14:val="none"/>
        </w:rPr>
        <w:t xml:space="preserve"> in non-pregnant populations: a systematic review. Tropical Medicine &amp; International Health, 15(7), 776–795. </w:t>
      </w:r>
      <w:hyperlink r:id="rId31" w:history="1">
        <w:r w:rsidRPr="00520C08">
          <w:rPr>
            <w:rStyle w:val="Hyperlink"/>
            <w:rFonts w:ascii="Times New Roman" w:eastAsia="Times New Roman" w:hAnsi="Times New Roman" w:cs="Times New Roman"/>
            <w:kern w:val="0"/>
            <w14:ligatures w14:val="none"/>
          </w:rPr>
          <w:t>https://doi.org/10.1111/j.1365-3156.2010.02542.x</w:t>
        </w:r>
      </w:hyperlink>
    </w:p>
    <w:p w14:paraId="3AE21396" w14:textId="468CA82F"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proofErr w:type="spellStart"/>
      <w:r w:rsidRPr="00A243BD">
        <w:rPr>
          <w:rFonts w:ascii="Times New Roman" w:eastAsia="Times New Roman" w:hAnsi="Times New Roman" w:cs="Times New Roman"/>
          <w:kern w:val="0"/>
          <w14:ligatures w14:val="none"/>
        </w:rPr>
        <w:t>Strunz</w:t>
      </w:r>
      <w:proofErr w:type="spellEnd"/>
      <w:r w:rsidRPr="00A243BD">
        <w:rPr>
          <w:rFonts w:ascii="Times New Roman" w:eastAsia="Times New Roman" w:hAnsi="Times New Roman" w:cs="Times New Roman"/>
          <w:kern w:val="0"/>
          <w14:ligatures w14:val="none"/>
        </w:rPr>
        <w:t xml:space="preserve">, E. C., </w:t>
      </w:r>
      <w:proofErr w:type="spellStart"/>
      <w:r w:rsidRPr="00A243BD">
        <w:rPr>
          <w:rFonts w:ascii="Times New Roman" w:eastAsia="Times New Roman" w:hAnsi="Times New Roman" w:cs="Times New Roman"/>
          <w:kern w:val="0"/>
          <w14:ligatures w14:val="none"/>
        </w:rPr>
        <w:t>Addiss</w:t>
      </w:r>
      <w:proofErr w:type="spellEnd"/>
      <w:r w:rsidRPr="00A243BD">
        <w:rPr>
          <w:rFonts w:ascii="Times New Roman" w:eastAsia="Times New Roman" w:hAnsi="Times New Roman" w:cs="Times New Roman"/>
          <w:kern w:val="0"/>
          <w14:ligatures w14:val="none"/>
        </w:rPr>
        <w:t xml:space="preserve">, D. G., Stocks, M. E., Ogden, S., </w:t>
      </w:r>
      <w:proofErr w:type="spellStart"/>
      <w:r w:rsidRPr="00A243BD">
        <w:rPr>
          <w:rFonts w:ascii="Times New Roman" w:eastAsia="Times New Roman" w:hAnsi="Times New Roman" w:cs="Times New Roman"/>
          <w:kern w:val="0"/>
          <w14:ligatures w14:val="none"/>
        </w:rPr>
        <w:t>Utzinger</w:t>
      </w:r>
      <w:proofErr w:type="spellEnd"/>
      <w:r w:rsidRPr="00A243BD">
        <w:rPr>
          <w:rFonts w:ascii="Times New Roman" w:eastAsia="Times New Roman" w:hAnsi="Times New Roman" w:cs="Times New Roman"/>
          <w:kern w:val="0"/>
          <w14:ligatures w14:val="none"/>
        </w:rPr>
        <w:t xml:space="preserve">, J., &amp; Freeman, M. C. (2014). Water, sanitation, hygiene, and soil-transmitted helminth infection: a systematic review and meta-analysis. </w:t>
      </w:r>
      <w:proofErr w:type="spellStart"/>
      <w:r w:rsidRPr="00A243BD">
        <w:rPr>
          <w:rFonts w:ascii="Times New Roman" w:eastAsia="Times New Roman" w:hAnsi="Times New Roman" w:cs="Times New Roman"/>
          <w:kern w:val="0"/>
          <w14:ligatures w14:val="none"/>
        </w:rPr>
        <w:t>PLoS</w:t>
      </w:r>
      <w:proofErr w:type="spellEnd"/>
      <w:r w:rsidRPr="00A243BD">
        <w:rPr>
          <w:rFonts w:ascii="Times New Roman" w:eastAsia="Times New Roman" w:hAnsi="Times New Roman" w:cs="Times New Roman"/>
          <w:kern w:val="0"/>
          <w14:ligatures w14:val="none"/>
        </w:rPr>
        <w:t xml:space="preserve"> Medicine. </w:t>
      </w:r>
      <w:hyperlink r:id="rId32" w:history="1">
        <w:r w:rsidRPr="00520C08">
          <w:rPr>
            <w:rStyle w:val="Hyperlink"/>
            <w:rFonts w:ascii="Times New Roman" w:eastAsia="Times New Roman" w:hAnsi="Times New Roman" w:cs="Times New Roman"/>
            <w:kern w:val="0"/>
            <w14:ligatures w14:val="none"/>
          </w:rPr>
          <w:t>https://doi.org/10.1371/journal.pmed.1001620</w:t>
        </w:r>
      </w:hyperlink>
    </w:p>
    <w:p w14:paraId="32E76709" w14:textId="052A17DC" w:rsidR="00B86BC9" w:rsidRPr="004A699A" w:rsidRDefault="00B86BC9"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lastRenderedPageBreak/>
        <w:t xml:space="preserve">Truscott, J. E., Hollingsworth, T. D., &amp; Anderson, R. M. (2022). Delays in mass drug administration due to COVID-19: potential impact on STH control goals. </w:t>
      </w:r>
      <w:r w:rsidRPr="004A699A">
        <w:rPr>
          <w:rFonts w:ascii="Times New Roman" w:eastAsia="Times New Roman" w:hAnsi="Times New Roman" w:cs="Times New Roman"/>
          <w:i/>
          <w:iCs/>
          <w:kern w:val="0"/>
          <w14:ligatures w14:val="none"/>
        </w:rPr>
        <w:t>Parasite Epidemiology and Control</w:t>
      </w:r>
      <w:r w:rsidRPr="004A699A">
        <w:rPr>
          <w:rFonts w:ascii="Times New Roman" w:eastAsia="Times New Roman" w:hAnsi="Times New Roman" w:cs="Times New Roman"/>
          <w:kern w:val="0"/>
          <w14:ligatures w14:val="none"/>
        </w:rPr>
        <w:t xml:space="preserve">, 17, e00246. </w:t>
      </w:r>
      <w:hyperlink r:id="rId33" w:history="1">
        <w:r w:rsidRPr="004A699A">
          <w:rPr>
            <w:rFonts w:ascii="Times New Roman" w:eastAsia="Times New Roman" w:hAnsi="Times New Roman" w:cs="Times New Roman"/>
            <w:color w:val="0000FF"/>
            <w:kern w:val="0"/>
            <w:u w:val="single"/>
            <w14:ligatures w14:val="none"/>
          </w:rPr>
          <w:t>https://doi.org/10.1016/j.parepi.2022.e00246</w:t>
        </w:r>
      </w:hyperlink>
    </w:p>
    <w:p w14:paraId="7268A1C8" w14:textId="77777777" w:rsidR="00B86BC9" w:rsidRPr="004A699A" w:rsidRDefault="00B86BC9"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UNICEF. (2021). The impact of the COVID-19 pandemic on WASH and deworming programs. UNICEF Global Report.</w:t>
      </w:r>
    </w:p>
    <w:p w14:paraId="11AEBA44" w14:textId="281ADBA5"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A243BD">
        <w:rPr>
          <w:rFonts w:ascii="Times New Roman" w:eastAsia="Times New Roman" w:hAnsi="Times New Roman" w:cs="Times New Roman"/>
          <w:kern w:val="0"/>
          <w14:ligatures w14:val="none"/>
        </w:rPr>
        <w:t xml:space="preserve">World Health Organization. (2006). Preventive chemotherapy in human helminthiasis: coordinated use of anthelminthic drugs in control interventions: a manual for health professionals and </w:t>
      </w:r>
      <w:proofErr w:type="spellStart"/>
      <w:r w:rsidRPr="00A243BD">
        <w:rPr>
          <w:rFonts w:ascii="Times New Roman" w:eastAsia="Times New Roman" w:hAnsi="Times New Roman" w:cs="Times New Roman"/>
          <w:kern w:val="0"/>
          <w14:ligatures w14:val="none"/>
        </w:rPr>
        <w:t>programme</w:t>
      </w:r>
      <w:proofErr w:type="spellEnd"/>
      <w:r w:rsidRPr="00A243BD">
        <w:rPr>
          <w:rFonts w:ascii="Times New Roman" w:eastAsia="Times New Roman" w:hAnsi="Times New Roman" w:cs="Times New Roman"/>
          <w:kern w:val="0"/>
          <w14:ligatures w14:val="none"/>
        </w:rPr>
        <w:t xml:space="preserve"> managers. Geneva: World Health Organization. </w:t>
      </w:r>
      <w:hyperlink r:id="rId34" w:history="1">
        <w:r w:rsidRPr="00520C08">
          <w:rPr>
            <w:rStyle w:val="Hyperlink"/>
            <w:rFonts w:ascii="Times New Roman" w:eastAsia="Times New Roman" w:hAnsi="Times New Roman" w:cs="Times New Roman"/>
            <w:kern w:val="0"/>
            <w14:ligatures w14:val="none"/>
          </w:rPr>
          <w:t>https://whqlibdoc.who.int/publications/2006/9241547103_eng.pdf</w:t>
        </w:r>
      </w:hyperlink>
    </w:p>
    <w:p w14:paraId="1DBEA902" w14:textId="6BAA5FC4"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A243BD">
        <w:rPr>
          <w:rFonts w:ascii="Times New Roman" w:eastAsia="Times New Roman" w:hAnsi="Times New Roman" w:cs="Times New Roman"/>
          <w:kern w:val="0"/>
          <w14:ligatures w14:val="none"/>
        </w:rPr>
        <w:t xml:space="preserve">World Health Organization. (2012). Eliminating soil-transmitted helminthiases as a public health problem in children: Progress report 2001-2010 and strategic plan 2011-2020. World Health Organization. </w:t>
      </w:r>
      <w:hyperlink r:id="rId35" w:history="1">
        <w:r w:rsidRPr="00520C08">
          <w:rPr>
            <w:rStyle w:val="Hyperlink"/>
            <w:rFonts w:ascii="Times New Roman" w:eastAsia="Times New Roman" w:hAnsi="Times New Roman" w:cs="Times New Roman"/>
            <w:kern w:val="0"/>
            <w14:ligatures w14:val="none"/>
          </w:rPr>
          <w:t>https://ntd.who.int/resources/eliminating-soil-transmitted-helminthiases-public-health-problem-children-progress-report-2001-2010-and-strategic-plan-2011-2020-sth</w:t>
        </w:r>
      </w:hyperlink>
    </w:p>
    <w:p w14:paraId="4EE44842" w14:textId="76BBCD44" w:rsidR="00B86BC9" w:rsidRPr="004A699A" w:rsidRDefault="00B86BC9"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t>WHO. (2021). COVID-19 and NTD program disruptions: interim monitoring report. Geneva: World Health Organization.</w:t>
      </w:r>
    </w:p>
    <w:p w14:paraId="3EDF230B" w14:textId="1F083970" w:rsidR="00A243BD" w:rsidRDefault="00A243BD" w:rsidP="00A243BD">
      <w:pPr>
        <w:numPr>
          <w:ilvl w:val="0"/>
          <w:numId w:val="3"/>
        </w:numPr>
        <w:spacing w:before="100" w:beforeAutospacing="1" w:after="100" w:afterAutospacing="1" w:line="480" w:lineRule="auto"/>
        <w:jc w:val="both"/>
        <w:rPr>
          <w:rFonts w:ascii="Times New Roman" w:eastAsia="Times New Roman" w:hAnsi="Times New Roman" w:cs="Times New Roman"/>
          <w:kern w:val="0"/>
          <w14:ligatures w14:val="none"/>
        </w:rPr>
      </w:pPr>
      <w:r w:rsidRPr="00A243BD">
        <w:rPr>
          <w:rFonts w:ascii="Times New Roman" w:eastAsia="Times New Roman" w:hAnsi="Times New Roman" w:cs="Times New Roman"/>
          <w:kern w:val="0"/>
          <w14:ligatures w14:val="none"/>
        </w:rPr>
        <w:t xml:space="preserve">WHO. (2023). Soil-transmitted helminth infections: key facts. Geneva: World Health Organization. </w:t>
      </w:r>
      <w:hyperlink r:id="rId36" w:history="1">
        <w:r w:rsidRPr="00520C08">
          <w:rPr>
            <w:rStyle w:val="Hyperlink"/>
            <w:rFonts w:ascii="Times New Roman" w:eastAsia="Times New Roman" w:hAnsi="Times New Roman" w:cs="Times New Roman"/>
            <w:kern w:val="0"/>
            <w14:ligatures w14:val="none"/>
          </w:rPr>
          <w:t>https://www.who.int/news-room/fact-sheets/detail/soil-transmitted-helminth-infections</w:t>
        </w:r>
      </w:hyperlink>
    </w:p>
    <w:p w14:paraId="3BE9EB90" w14:textId="36B5BCEF" w:rsidR="00B86BC9" w:rsidRPr="00A243BD" w:rsidRDefault="00A243BD" w:rsidP="00A243BD">
      <w:pPr>
        <w:pStyle w:val="ListParagraph"/>
        <w:numPr>
          <w:ilvl w:val="0"/>
          <w:numId w:val="3"/>
        </w:numPr>
        <w:tabs>
          <w:tab w:val="num" w:pos="450"/>
        </w:tabs>
        <w:spacing w:after="0" w:line="240" w:lineRule="auto"/>
        <w:rPr>
          <w:rFonts w:ascii="Times New Roman" w:eastAsia="Times New Roman" w:hAnsi="Times New Roman" w:cs="Times New Roman"/>
          <w:kern w:val="0"/>
          <w:lang w:val="fr-FR"/>
          <w14:ligatures w14:val="none"/>
        </w:rPr>
      </w:pPr>
      <w:proofErr w:type="spellStart"/>
      <w:r w:rsidRPr="00A243BD">
        <w:rPr>
          <w:rFonts w:ascii="Times New Roman" w:eastAsia="Times New Roman" w:hAnsi="Times New Roman" w:cs="Times New Roman"/>
          <w:kern w:val="0"/>
          <w14:ligatures w14:val="none"/>
        </w:rPr>
        <w:t>Wolday</w:t>
      </w:r>
      <w:proofErr w:type="spellEnd"/>
      <w:r w:rsidRPr="00A243BD">
        <w:rPr>
          <w:rFonts w:ascii="Times New Roman" w:eastAsia="Times New Roman" w:hAnsi="Times New Roman" w:cs="Times New Roman"/>
          <w:kern w:val="0"/>
          <w14:ligatures w14:val="none"/>
        </w:rPr>
        <w:t xml:space="preserve">, D., </w:t>
      </w:r>
      <w:proofErr w:type="spellStart"/>
      <w:r w:rsidRPr="00A243BD">
        <w:rPr>
          <w:rFonts w:ascii="Times New Roman" w:eastAsia="Times New Roman" w:hAnsi="Times New Roman" w:cs="Times New Roman"/>
          <w:kern w:val="0"/>
          <w14:ligatures w14:val="none"/>
        </w:rPr>
        <w:t>Gebrecherkos</w:t>
      </w:r>
      <w:proofErr w:type="spellEnd"/>
      <w:r w:rsidRPr="00A243BD">
        <w:rPr>
          <w:rFonts w:ascii="Times New Roman" w:eastAsia="Times New Roman" w:hAnsi="Times New Roman" w:cs="Times New Roman"/>
          <w:kern w:val="0"/>
          <w14:ligatures w14:val="none"/>
        </w:rPr>
        <w:t xml:space="preserve">, T., </w:t>
      </w:r>
      <w:proofErr w:type="spellStart"/>
      <w:r w:rsidRPr="00A243BD">
        <w:rPr>
          <w:rFonts w:ascii="Times New Roman" w:eastAsia="Times New Roman" w:hAnsi="Times New Roman" w:cs="Times New Roman"/>
          <w:kern w:val="0"/>
          <w14:ligatures w14:val="none"/>
        </w:rPr>
        <w:t>Arefaine</w:t>
      </w:r>
      <w:proofErr w:type="spellEnd"/>
      <w:r w:rsidRPr="00A243BD">
        <w:rPr>
          <w:rFonts w:ascii="Times New Roman" w:eastAsia="Times New Roman" w:hAnsi="Times New Roman" w:cs="Times New Roman"/>
          <w:kern w:val="0"/>
          <w14:ligatures w14:val="none"/>
        </w:rPr>
        <w:t xml:space="preserve">, Z. G., </w:t>
      </w:r>
      <w:proofErr w:type="spellStart"/>
      <w:r w:rsidRPr="00A243BD">
        <w:rPr>
          <w:rFonts w:ascii="Times New Roman" w:eastAsia="Times New Roman" w:hAnsi="Times New Roman" w:cs="Times New Roman"/>
          <w:kern w:val="0"/>
          <w14:ligatures w14:val="none"/>
        </w:rPr>
        <w:t>Kiros</w:t>
      </w:r>
      <w:proofErr w:type="spellEnd"/>
      <w:r w:rsidRPr="00A243BD">
        <w:rPr>
          <w:rFonts w:ascii="Times New Roman" w:eastAsia="Times New Roman" w:hAnsi="Times New Roman" w:cs="Times New Roman"/>
          <w:kern w:val="0"/>
          <w14:ligatures w14:val="none"/>
        </w:rPr>
        <w:t xml:space="preserve">, Y. K., </w:t>
      </w:r>
      <w:proofErr w:type="spellStart"/>
      <w:r w:rsidRPr="00A243BD">
        <w:rPr>
          <w:rFonts w:ascii="Times New Roman" w:eastAsia="Times New Roman" w:hAnsi="Times New Roman" w:cs="Times New Roman"/>
          <w:kern w:val="0"/>
          <w14:ligatures w14:val="none"/>
        </w:rPr>
        <w:t>Gebreegzabher</w:t>
      </w:r>
      <w:proofErr w:type="spellEnd"/>
      <w:r w:rsidRPr="00A243BD">
        <w:rPr>
          <w:rFonts w:ascii="Times New Roman" w:eastAsia="Times New Roman" w:hAnsi="Times New Roman" w:cs="Times New Roman"/>
          <w:kern w:val="0"/>
          <w14:ligatures w14:val="none"/>
        </w:rPr>
        <w:t xml:space="preserve">, A., </w:t>
      </w:r>
      <w:proofErr w:type="spellStart"/>
      <w:r w:rsidRPr="00A243BD">
        <w:rPr>
          <w:rFonts w:ascii="Times New Roman" w:eastAsia="Times New Roman" w:hAnsi="Times New Roman" w:cs="Times New Roman"/>
          <w:kern w:val="0"/>
          <w14:ligatures w14:val="none"/>
        </w:rPr>
        <w:t>Tasew</w:t>
      </w:r>
      <w:proofErr w:type="spellEnd"/>
      <w:r w:rsidRPr="00A243BD">
        <w:rPr>
          <w:rFonts w:ascii="Times New Roman" w:eastAsia="Times New Roman" w:hAnsi="Times New Roman" w:cs="Times New Roman"/>
          <w:kern w:val="0"/>
          <w14:ligatures w14:val="none"/>
        </w:rPr>
        <w:t xml:space="preserve">, G., </w:t>
      </w:r>
      <w:proofErr w:type="spellStart"/>
      <w:r w:rsidRPr="00A243BD">
        <w:rPr>
          <w:rFonts w:ascii="Times New Roman" w:eastAsia="Times New Roman" w:hAnsi="Times New Roman" w:cs="Times New Roman"/>
          <w:kern w:val="0"/>
          <w14:ligatures w14:val="none"/>
        </w:rPr>
        <w:t>Abdulkader</w:t>
      </w:r>
      <w:proofErr w:type="spellEnd"/>
      <w:r w:rsidRPr="00A243BD">
        <w:rPr>
          <w:rFonts w:ascii="Times New Roman" w:eastAsia="Times New Roman" w:hAnsi="Times New Roman" w:cs="Times New Roman"/>
          <w:kern w:val="0"/>
          <w14:ligatures w14:val="none"/>
        </w:rPr>
        <w:t xml:space="preserve">, M., Abraha, H. E., Desta, A. A., Hailu, A., </w:t>
      </w:r>
      <w:proofErr w:type="spellStart"/>
      <w:r w:rsidRPr="00A243BD">
        <w:rPr>
          <w:rFonts w:ascii="Times New Roman" w:eastAsia="Times New Roman" w:hAnsi="Times New Roman" w:cs="Times New Roman"/>
          <w:kern w:val="0"/>
          <w14:ligatures w14:val="none"/>
        </w:rPr>
        <w:t>Tollera</w:t>
      </w:r>
      <w:proofErr w:type="spellEnd"/>
      <w:r w:rsidRPr="00A243BD">
        <w:rPr>
          <w:rFonts w:ascii="Times New Roman" w:eastAsia="Times New Roman" w:hAnsi="Times New Roman" w:cs="Times New Roman"/>
          <w:kern w:val="0"/>
          <w14:ligatures w14:val="none"/>
        </w:rPr>
        <w:t xml:space="preserve">, G., </w:t>
      </w:r>
      <w:proofErr w:type="spellStart"/>
      <w:r w:rsidRPr="00A243BD">
        <w:rPr>
          <w:rFonts w:ascii="Times New Roman" w:eastAsia="Times New Roman" w:hAnsi="Times New Roman" w:cs="Times New Roman"/>
          <w:kern w:val="0"/>
          <w14:ligatures w14:val="none"/>
        </w:rPr>
        <w:t>Abdella</w:t>
      </w:r>
      <w:proofErr w:type="spellEnd"/>
      <w:r w:rsidRPr="00A243BD">
        <w:rPr>
          <w:rFonts w:ascii="Times New Roman" w:eastAsia="Times New Roman" w:hAnsi="Times New Roman" w:cs="Times New Roman"/>
          <w:kern w:val="0"/>
          <w14:ligatures w14:val="none"/>
        </w:rPr>
        <w:t xml:space="preserve">, S., </w:t>
      </w:r>
      <w:proofErr w:type="spellStart"/>
      <w:r w:rsidRPr="00A243BD">
        <w:rPr>
          <w:rFonts w:ascii="Times New Roman" w:eastAsia="Times New Roman" w:hAnsi="Times New Roman" w:cs="Times New Roman"/>
          <w:kern w:val="0"/>
          <w14:ligatures w14:val="none"/>
        </w:rPr>
        <w:t>Tesema</w:t>
      </w:r>
      <w:proofErr w:type="spellEnd"/>
      <w:r w:rsidRPr="00A243BD">
        <w:rPr>
          <w:rFonts w:ascii="Times New Roman" w:eastAsia="Times New Roman" w:hAnsi="Times New Roman" w:cs="Times New Roman"/>
          <w:kern w:val="0"/>
          <w14:ligatures w14:val="none"/>
        </w:rPr>
        <w:t xml:space="preserve">, M., Abate, E., </w:t>
      </w:r>
      <w:proofErr w:type="spellStart"/>
      <w:r w:rsidRPr="00A243BD">
        <w:rPr>
          <w:rFonts w:ascii="Times New Roman" w:eastAsia="Times New Roman" w:hAnsi="Times New Roman" w:cs="Times New Roman"/>
          <w:kern w:val="0"/>
          <w14:ligatures w14:val="none"/>
        </w:rPr>
        <w:t>Endarge</w:t>
      </w:r>
      <w:proofErr w:type="spellEnd"/>
      <w:r w:rsidRPr="00A243BD">
        <w:rPr>
          <w:rFonts w:ascii="Times New Roman" w:eastAsia="Times New Roman" w:hAnsi="Times New Roman" w:cs="Times New Roman"/>
          <w:kern w:val="0"/>
          <w14:ligatures w14:val="none"/>
        </w:rPr>
        <w:t xml:space="preserve">, K. L., </w:t>
      </w:r>
      <w:proofErr w:type="spellStart"/>
      <w:r w:rsidRPr="00A243BD">
        <w:rPr>
          <w:rFonts w:ascii="Times New Roman" w:eastAsia="Times New Roman" w:hAnsi="Times New Roman" w:cs="Times New Roman"/>
          <w:kern w:val="0"/>
          <w14:ligatures w14:val="none"/>
        </w:rPr>
        <w:t>Hundie</w:t>
      </w:r>
      <w:proofErr w:type="spellEnd"/>
      <w:r w:rsidRPr="00A243BD">
        <w:rPr>
          <w:rFonts w:ascii="Times New Roman" w:eastAsia="Times New Roman" w:hAnsi="Times New Roman" w:cs="Times New Roman"/>
          <w:kern w:val="0"/>
          <w14:ligatures w14:val="none"/>
        </w:rPr>
        <w:t xml:space="preserve">, T. G., </w:t>
      </w:r>
      <w:proofErr w:type="spellStart"/>
      <w:r w:rsidRPr="00A243BD">
        <w:rPr>
          <w:rFonts w:ascii="Times New Roman" w:eastAsia="Times New Roman" w:hAnsi="Times New Roman" w:cs="Times New Roman"/>
          <w:kern w:val="0"/>
          <w14:ligatures w14:val="none"/>
        </w:rPr>
        <w:t>Miteku</w:t>
      </w:r>
      <w:proofErr w:type="spellEnd"/>
      <w:r w:rsidRPr="00A243BD">
        <w:rPr>
          <w:rFonts w:ascii="Times New Roman" w:eastAsia="Times New Roman" w:hAnsi="Times New Roman" w:cs="Times New Roman"/>
          <w:kern w:val="0"/>
          <w14:ligatures w14:val="none"/>
        </w:rPr>
        <w:t xml:space="preserve">, F. K., Urban, B. C., </w:t>
      </w:r>
      <w:proofErr w:type="spellStart"/>
      <w:r w:rsidRPr="00A243BD">
        <w:rPr>
          <w:rFonts w:ascii="Times New Roman" w:eastAsia="Times New Roman" w:hAnsi="Times New Roman" w:cs="Times New Roman"/>
          <w:kern w:val="0"/>
          <w14:ligatures w14:val="none"/>
        </w:rPr>
        <w:t>Schallig</w:t>
      </w:r>
      <w:proofErr w:type="spellEnd"/>
      <w:r w:rsidRPr="00A243BD">
        <w:rPr>
          <w:rFonts w:ascii="Times New Roman" w:eastAsia="Times New Roman" w:hAnsi="Times New Roman" w:cs="Times New Roman"/>
          <w:kern w:val="0"/>
          <w14:ligatures w14:val="none"/>
        </w:rPr>
        <w:t xml:space="preserve">, H. H. D. F., Harris, V. C., &amp; Rinke de Wit, T. F. (2021). </w:t>
      </w:r>
      <w:r w:rsidRPr="00A243BD">
        <w:rPr>
          <w:rFonts w:ascii="Times New Roman" w:eastAsia="Times New Roman" w:hAnsi="Times New Roman" w:cs="Times New Roman"/>
          <w:kern w:val="0"/>
          <w:lang w:val="en-IN"/>
          <w14:ligatures w14:val="none"/>
        </w:rPr>
        <w:t xml:space="preserve">Effect of co-infection with intestinal parasites on COVID-19 severity: A prospective observational cohort study. </w:t>
      </w:r>
      <w:proofErr w:type="spellStart"/>
      <w:r w:rsidRPr="00A243BD">
        <w:rPr>
          <w:rFonts w:ascii="Times New Roman" w:eastAsia="Times New Roman" w:hAnsi="Times New Roman" w:cs="Times New Roman"/>
          <w:kern w:val="0"/>
          <w:lang w:val="fr-FR"/>
          <w14:ligatures w14:val="none"/>
        </w:rPr>
        <w:t>EClinicalMedicine</w:t>
      </w:r>
      <w:proofErr w:type="spellEnd"/>
      <w:r w:rsidRPr="00A243BD">
        <w:rPr>
          <w:rFonts w:ascii="Times New Roman" w:eastAsia="Times New Roman" w:hAnsi="Times New Roman" w:cs="Times New Roman"/>
          <w:kern w:val="0"/>
          <w:lang w:val="fr-FR"/>
          <w14:ligatures w14:val="none"/>
        </w:rPr>
        <w:t xml:space="preserve">. </w:t>
      </w:r>
      <w:hyperlink r:id="rId37" w:history="1">
        <w:r w:rsidRPr="00A243BD">
          <w:rPr>
            <w:rStyle w:val="Hyperlink"/>
            <w:rFonts w:ascii="Times New Roman" w:eastAsia="Times New Roman" w:hAnsi="Times New Roman" w:cs="Times New Roman"/>
            <w:kern w:val="0"/>
            <w:lang w:val="fr-FR"/>
            <w14:ligatures w14:val="none"/>
          </w:rPr>
          <w:t>https://doi.org/10.1016/j.eclinm.2021.101054</w:t>
        </w:r>
      </w:hyperlink>
    </w:p>
    <w:p w14:paraId="173CE4F2" w14:textId="77777777" w:rsidR="00A243BD" w:rsidRPr="004A699A" w:rsidRDefault="00A243BD" w:rsidP="00267DAE">
      <w:pPr>
        <w:tabs>
          <w:tab w:val="num" w:pos="450"/>
        </w:tabs>
        <w:spacing w:after="0" w:line="240" w:lineRule="auto"/>
        <w:ind w:left="540" w:hanging="540"/>
        <w:rPr>
          <w:rFonts w:ascii="Times New Roman" w:eastAsia="Times New Roman" w:hAnsi="Times New Roman" w:cs="Times New Roman"/>
          <w:kern w:val="0"/>
          <w14:ligatures w14:val="none"/>
        </w:rPr>
      </w:pPr>
    </w:p>
    <w:p w14:paraId="26B7AFD5" w14:textId="7CF151A3" w:rsidR="004B2D01" w:rsidRPr="004A699A" w:rsidRDefault="00D347F5" w:rsidP="00B86BC9">
      <w:pPr>
        <w:rPr>
          <w:rFonts w:ascii="Times New Roman" w:eastAsia="Times New Roman" w:hAnsi="Times New Roman" w:cs="Times New Roman"/>
          <w:kern w:val="0"/>
          <w14:ligatures w14:val="none"/>
        </w:rPr>
      </w:pPr>
      <w:r w:rsidRPr="004A699A">
        <w:rPr>
          <w:rFonts w:ascii="Times New Roman" w:eastAsia="Times New Roman" w:hAnsi="Times New Roman" w:cs="Times New Roman"/>
          <w:kern w:val="0"/>
          <w14:ligatures w14:val="none"/>
        </w:rPr>
        <w:lastRenderedPageBreak/>
        <w:br/>
      </w:r>
    </w:p>
    <w:p w14:paraId="6FE1396B" w14:textId="77777777" w:rsidR="001866AA" w:rsidRPr="004A699A" w:rsidRDefault="001866AA">
      <w:pPr>
        <w:rPr>
          <w:rFonts w:ascii="Times New Roman" w:hAnsi="Times New Roman" w:cs="Times New Roman"/>
          <w:b/>
          <w:bCs/>
        </w:rPr>
      </w:pPr>
    </w:p>
    <w:sectPr w:rsidR="001866AA" w:rsidRPr="004A699A">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0288D" w14:textId="77777777" w:rsidR="00C93B58" w:rsidRDefault="00C93B58" w:rsidP="00457BD9">
      <w:pPr>
        <w:spacing w:after="0" w:line="240" w:lineRule="auto"/>
      </w:pPr>
      <w:r>
        <w:separator/>
      </w:r>
    </w:p>
  </w:endnote>
  <w:endnote w:type="continuationSeparator" w:id="0">
    <w:p w14:paraId="494AEDA3" w14:textId="77777777" w:rsidR="00C93B58" w:rsidRDefault="00C93B58" w:rsidP="0045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1856" w14:textId="77777777" w:rsidR="00C84D75" w:rsidRDefault="00C84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AD20" w14:textId="77777777" w:rsidR="00C84D75" w:rsidRDefault="00C84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FB183" w14:textId="77777777" w:rsidR="00C84D75" w:rsidRDefault="00C84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F04D7" w14:textId="77777777" w:rsidR="00C93B58" w:rsidRDefault="00C93B58" w:rsidP="00457BD9">
      <w:pPr>
        <w:spacing w:after="0" w:line="240" w:lineRule="auto"/>
      </w:pPr>
      <w:r>
        <w:separator/>
      </w:r>
    </w:p>
  </w:footnote>
  <w:footnote w:type="continuationSeparator" w:id="0">
    <w:p w14:paraId="28DF12AC" w14:textId="77777777" w:rsidR="00C93B58" w:rsidRDefault="00C93B58" w:rsidP="00457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86200" w14:textId="5C9EBDD2" w:rsidR="00C84D75" w:rsidRDefault="00C84D75">
    <w:pPr>
      <w:pStyle w:val="Header"/>
    </w:pPr>
    <w:r>
      <w:rPr>
        <w:noProof/>
      </w:rPr>
      <w:pict w14:anchorId="7CCCE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013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F1F32" w14:textId="7CE09753" w:rsidR="00C675F5" w:rsidRPr="00457BD9" w:rsidRDefault="00C84D75" w:rsidP="00960425">
    <w:pPr>
      <w:spacing w:line="259" w:lineRule="auto"/>
      <w:jc w:val="center"/>
      <w:rPr>
        <w:rFonts w:ascii="Arial" w:eastAsia="Aptos" w:hAnsi="Arial" w:cs="Arial"/>
        <w:b/>
        <w:bCs/>
        <w:sz w:val="22"/>
        <w:szCs w:val="22"/>
      </w:rPr>
    </w:pPr>
    <w:r>
      <w:rPr>
        <w:noProof/>
      </w:rPr>
      <w:pict w14:anchorId="5BB9A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01361"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p w14:paraId="4DEC9B3A" w14:textId="77777777" w:rsidR="00C675F5" w:rsidRDefault="00C67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E7C5E" w14:textId="78068558" w:rsidR="00C84D75" w:rsidRDefault="00C84D75">
    <w:pPr>
      <w:pStyle w:val="Header"/>
    </w:pPr>
    <w:r>
      <w:rPr>
        <w:noProof/>
      </w:rPr>
      <w:pict w14:anchorId="689D5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013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A2AFC"/>
    <w:multiLevelType w:val="multilevel"/>
    <w:tmpl w:val="A5D0A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AA6777"/>
    <w:multiLevelType w:val="hybridMultilevel"/>
    <w:tmpl w:val="F6584230"/>
    <w:lvl w:ilvl="0" w:tplc="57BE757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51D1A61"/>
    <w:multiLevelType w:val="hybridMultilevel"/>
    <w:tmpl w:val="494E85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E58"/>
    <w:rsid w:val="00015661"/>
    <w:rsid w:val="00026194"/>
    <w:rsid w:val="000309FA"/>
    <w:rsid w:val="000628C6"/>
    <w:rsid w:val="00067F3A"/>
    <w:rsid w:val="00087383"/>
    <w:rsid w:val="000A4C20"/>
    <w:rsid w:val="000B737A"/>
    <w:rsid w:val="000C19F0"/>
    <w:rsid w:val="000D2DA2"/>
    <w:rsid w:val="000D4289"/>
    <w:rsid w:val="00126529"/>
    <w:rsid w:val="001275CB"/>
    <w:rsid w:val="00137D5D"/>
    <w:rsid w:val="00142D77"/>
    <w:rsid w:val="001470BB"/>
    <w:rsid w:val="00176209"/>
    <w:rsid w:val="001866AA"/>
    <w:rsid w:val="00190043"/>
    <w:rsid w:val="001A0172"/>
    <w:rsid w:val="001A0899"/>
    <w:rsid w:val="001A287F"/>
    <w:rsid w:val="001B1850"/>
    <w:rsid w:val="001C1AEC"/>
    <w:rsid w:val="001F7F74"/>
    <w:rsid w:val="00211462"/>
    <w:rsid w:val="00232F0F"/>
    <w:rsid w:val="00236F13"/>
    <w:rsid w:val="00241636"/>
    <w:rsid w:val="002469F9"/>
    <w:rsid w:val="00260EA4"/>
    <w:rsid w:val="002634C7"/>
    <w:rsid w:val="00267DAE"/>
    <w:rsid w:val="002709A9"/>
    <w:rsid w:val="002713C4"/>
    <w:rsid w:val="0029683A"/>
    <w:rsid w:val="002A1722"/>
    <w:rsid w:val="002B2990"/>
    <w:rsid w:val="002B3A3D"/>
    <w:rsid w:val="002D783C"/>
    <w:rsid w:val="002E33D2"/>
    <w:rsid w:val="002E7DCF"/>
    <w:rsid w:val="002F2308"/>
    <w:rsid w:val="002F787A"/>
    <w:rsid w:val="00311ED7"/>
    <w:rsid w:val="00320BCB"/>
    <w:rsid w:val="00336211"/>
    <w:rsid w:val="0037177C"/>
    <w:rsid w:val="003831D4"/>
    <w:rsid w:val="003A36F1"/>
    <w:rsid w:val="003A69B9"/>
    <w:rsid w:val="003C10EA"/>
    <w:rsid w:val="003D0A5B"/>
    <w:rsid w:val="003D0CCB"/>
    <w:rsid w:val="003E3810"/>
    <w:rsid w:val="003F6734"/>
    <w:rsid w:val="0040405D"/>
    <w:rsid w:val="00404092"/>
    <w:rsid w:val="0040437D"/>
    <w:rsid w:val="00406723"/>
    <w:rsid w:val="00412D4F"/>
    <w:rsid w:val="00426BF5"/>
    <w:rsid w:val="00441946"/>
    <w:rsid w:val="00446F92"/>
    <w:rsid w:val="004575CB"/>
    <w:rsid w:val="00457BD9"/>
    <w:rsid w:val="00482AB4"/>
    <w:rsid w:val="00485F99"/>
    <w:rsid w:val="004863A2"/>
    <w:rsid w:val="004A699A"/>
    <w:rsid w:val="004B2BF4"/>
    <w:rsid w:val="004B2D01"/>
    <w:rsid w:val="004D391D"/>
    <w:rsid w:val="004D71B8"/>
    <w:rsid w:val="004E2D9E"/>
    <w:rsid w:val="004F0340"/>
    <w:rsid w:val="00547E44"/>
    <w:rsid w:val="0056108D"/>
    <w:rsid w:val="00566F76"/>
    <w:rsid w:val="00570A9C"/>
    <w:rsid w:val="00572C9E"/>
    <w:rsid w:val="0058298D"/>
    <w:rsid w:val="005968D6"/>
    <w:rsid w:val="005A5B55"/>
    <w:rsid w:val="005D610B"/>
    <w:rsid w:val="005E2542"/>
    <w:rsid w:val="005F73DD"/>
    <w:rsid w:val="0063599F"/>
    <w:rsid w:val="00635B04"/>
    <w:rsid w:val="00644CAB"/>
    <w:rsid w:val="00655AAF"/>
    <w:rsid w:val="0066454B"/>
    <w:rsid w:val="00670EED"/>
    <w:rsid w:val="006750BF"/>
    <w:rsid w:val="00695F3B"/>
    <w:rsid w:val="006A56E4"/>
    <w:rsid w:val="006C2E4E"/>
    <w:rsid w:val="006C62A6"/>
    <w:rsid w:val="006C7B19"/>
    <w:rsid w:val="006D1F64"/>
    <w:rsid w:val="006E7425"/>
    <w:rsid w:val="006E7FA7"/>
    <w:rsid w:val="007145D5"/>
    <w:rsid w:val="0074167A"/>
    <w:rsid w:val="00756BC1"/>
    <w:rsid w:val="00763B12"/>
    <w:rsid w:val="00796860"/>
    <w:rsid w:val="007B2541"/>
    <w:rsid w:val="007C5A0F"/>
    <w:rsid w:val="007E096B"/>
    <w:rsid w:val="007E4DC8"/>
    <w:rsid w:val="007F0070"/>
    <w:rsid w:val="007F5503"/>
    <w:rsid w:val="00804EE7"/>
    <w:rsid w:val="008238F1"/>
    <w:rsid w:val="00844F85"/>
    <w:rsid w:val="00850217"/>
    <w:rsid w:val="008509A1"/>
    <w:rsid w:val="0087230E"/>
    <w:rsid w:val="00881F95"/>
    <w:rsid w:val="00893B64"/>
    <w:rsid w:val="008A17A8"/>
    <w:rsid w:val="008D34D5"/>
    <w:rsid w:val="008D5970"/>
    <w:rsid w:val="0090779E"/>
    <w:rsid w:val="0091577D"/>
    <w:rsid w:val="0091787F"/>
    <w:rsid w:val="00942E58"/>
    <w:rsid w:val="00956E94"/>
    <w:rsid w:val="00960425"/>
    <w:rsid w:val="00965473"/>
    <w:rsid w:val="00974286"/>
    <w:rsid w:val="00974850"/>
    <w:rsid w:val="009A3478"/>
    <w:rsid w:val="009A49DC"/>
    <w:rsid w:val="009A75C8"/>
    <w:rsid w:val="009B0005"/>
    <w:rsid w:val="009B2415"/>
    <w:rsid w:val="009D60BB"/>
    <w:rsid w:val="009E1BA8"/>
    <w:rsid w:val="009F2449"/>
    <w:rsid w:val="00A243BD"/>
    <w:rsid w:val="00A36DEA"/>
    <w:rsid w:val="00A44E6F"/>
    <w:rsid w:val="00A6064F"/>
    <w:rsid w:val="00A6534E"/>
    <w:rsid w:val="00A83FCD"/>
    <w:rsid w:val="00A917B3"/>
    <w:rsid w:val="00AB25B1"/>
    <w:rsid w:val="00AB70AF"/>
    <w:rsid w:val="00AC786B"/>
    <w:rsid w:val="00B00B7F"/>
    <w:rsid w:val="00B262DA"/>
    <w:rsid w:val="00B417F5"/>
    <w:rsid w:val="00B52CC1"/>
    <w:rsid w:val="00B52F91"/>
    <w:rsid w:val="00B567D2"/>
    <w:rsid w:val="00B70062"/>
    <w:rsid w:val="00B81BA4"/>
    <w:rsid w:val="00B86BC9"/>
    <w:rsid w:val="00B92BA2"/>
    <w:rsid w:val="00BB7671"/>
    <w:rsid w:val="00BE0604"/>
    <w:rsid w:val="00BF2A56"/>
    <w:rsid w:val="00C21483"/>
    <w:rsid w:val="00C25184"/>
    <w:rsid w:val="00C25F64"/>
    <w:rsid w:val="00C347DA"/>
    <w:rsid w:val="00C675F5"/>
    <w:rsid w:val="00C67711"/>
    <w:rsid w:val="00C80311"/>
    <w:rsid w:val="00C84D75"/>
    <w:rsid w:val="00C8692E"/>
    <w:rsid w:val="00C878C7"/>
    <w:rsid w:val="00C93B58"/>
    <w:rsid w:val="00C9425E"/>
    <w:rsid w:val="00C944FB"/>
    <w:rsid w:val="00C94D4D"/>
    <w:rsid w:val="00CA192B"/>
    <w:rsid w:val="00CA39C0"/>
    <w:rsid w:val="00CA5BE2"/>
    <w:rsid w:val="00CB4661"/>
    <w:rsid w:val="00CD029E"/>
    <w:rsid w:val="00CD67A0"/>
    <w:rsid w:val="00CF0B17"/>
    <w:rsid w:val="00D347F5"/>
    <w:rsid w:val="00D747D2"/>
    <w:rsid w:val="00D9136B"/>
    <w:rsid w:val="00D91E6D"/>
    <w:rsid w:val="00D94079"/>
    <w:rsid w:val="00DA34B2"/>
    <w:rsid w:val="00DA61F6"/>
    <w:rsid w:val="00DB592A"/>
    <w:rsid w:val="00DD154A"/>
    <w:rsid w:val="00DD166D"/>
    <w:rsid w:val="00E116F5"/>
    <w:rsid w:val="00E2791F"/>
    <w:rsid w:val="00E33E51"/>
    <w:rsid w:val="00E57D32"/>
    <w:rsid w:val="00E668C6"/>
    <w:rsid w:val="00E679C3"/>
    <w:rsid w:val="00E83A7F"/>
    <w:rsid w:val="00E90BAB"/>
    <w:rsid w:val="00EB50F7"/>
    <w:rsid w:val="00ED708E"/>
    <w:rsid w:val="00EE2406"/>
    <w:rsid w:val="00EF0C10"/>
    <w:rsid w:val="00F16D8B"/>
    <w:rsid w:val="00F26792"/>
    <w:rsid w:val="00F452E6"/>
    <w:rsid w:val="00F466E3"/>
    <w:rsid w:val="00F60AEA"/>
    <w:rsid w:val="00F60DB8"/>
    <w:rsid w:val="00F66F35"/>
    <w:rsid w:val="00F8386F"/>
    <w:rsid w:val="00F85D26"/>
    <w:rsid w:val="00F96F9D"/>
    <w:rsid w:val="00FA3AEE"/>
    <w:rsid w:val="00FB1CBF"/>
    <w:rsid w:val="00FD173C"/>
    <w:rsid w:val="00FD45D3"/>
    <w:rsid w:val="00FD69B3"/>
    <w:rsid w:val="00FF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573356"/>
  <w15:docId w15:val="{A541FA62-D87A-4F67-9007-DB6600A2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58"/>
    <w:rPr>
      <w:rFonts w:eastAsiaTheme="majorEastAsia" w:cstheme="majorBidi"/>
      <w:color w:val="272727" w:themeColor="text1" w:themeTint="D8"/>
    </w:rPr>
  </w:style>
  <w:style w:type="paragraph" w:styleId="Title">
    <w:name w:val="Title"/>
    <w:basedOn w:val="Normal"/>
    <w:next w:val="Normal"/>
    <w:link w:val="TitleChar"/>
    <w:uiPriority w:val="10"/>
    <w:qFormat/>
    <w:rsid w:val="00942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58"/>
    <w:pPr>
      <w:spacing w:before="160"/>
      <w:jc w:val="center"/>
    </w:pPr>
    <w:rPr>
      <w:i/>
      <w:iCs/>
      <w:color w:val="404040" w:themeColor="text1" w:themeTint="BF"/>
    </w:rPr>
  </w:style>
  <w:style w:type="character" w:customStyle="1" w:styleId="QuoteChar">
    <w:name w:val="Quote Char"/>
    <w:basedOn w:val="DefaultParagraphFont"/>
    <w:link w:val="Quote"/>
    <w:uiPriority w:val="29"/>
    <w:rsid w:val="00942E58"/>
    <w:rPr>
      <w:i/>
      <w:iCs/>
      <w:color w:val="404040" w:themeColor="text1" w:themeTint="BF"/>
    </w:rPr>
  </w:style>
  <w:style w:type="paragraph" w:styleId="ListParagraph">
    <w:name w:val="List Paragraph"/>
    <w:basedOn w:val="Normal"/>
    <w:uiPriority w:val="34"/>
    <w:qFormat/>
    <w:rsid w:val="00942E58"/>
    <w:pPr>
      <w:ind w:left="720"/>
      <w:contextualSpacing/>
    </w:pPr>
  </w:style>
  <w:style w:type="character" w:styleId="IntenseEmphasis">
    <w:name w:val="Intense Emphasis"/>
    <w:basedOn w:val="DefaultParagraphFont"/>
    <w:uiPriority w:val="21"/>
    <w:qFormat/>
    <w:rsid w:val="00942E58"/>
    <w:rPr>
      <w:i/>
      <w:iCs/>
      <w:color w:val="0F4761" w:themeColor="accent1" w:themeShade="BF"/>
    </w:rPr>
  </w:style>
  <w:style w:type="paragraph" w:styleId="IntenseQuote">
    <w:name w:val="Intense Quote"/>
    <w:basedOn w:val="Normal"/>
    <w:next w:val="Normal"/>
    <w:link w:val="IntenseQuoteChar"/>
    <w:uiPriority w:val="30"/>
    <w:qFormat/>
    <w:rsid w:val="00942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58"/>
    <w:rPr>
      <w:i/>
      <w:iCs/>
      <w:color w:val="0F4761" w:themeColor="accent1" w:themeShade="BF"/>
    </w:rPr>
  </w:style>
  <w:style w:type="character" w:styleId="IntenseReference">
    <w:name w:val="Intense Reference"/>
    <w:basedOn w:val="DefaultParagraphFont"/>
    <w:uiPriority w:val="32"/>
    <w:qFormat/>
    <w:rsid w:val="00942E58"/>
    <w:rPr>
      <w:b/>
      <w:bCs/>
      <w:smallCaps/>
      <w:color w:val="0F4761" w:themeColor="accent1" w:themeShade="BF"/>
      <w:spacing w:val="5"/>
    </w:rPr>
  </w:style>
  <w:style w:type="paragraph" w:styleId="NormalWeb">
    <w:name w:val="Normal (Web)"/>
    <w:basedOn w:val="Normal"/>
    <w:uiPriority w:val="99"/>
    <w:unhideWhenUsed/>
    <w:rsid w:val="00C94D4D"/>
    <w:rPr>
      <w:rFonts w:ascii="Times New Roman" w:hAnsi="Times New Roman" w:cs="Times New Roman"/>
    </w:rPr>
  </w:style>
  <w:style w:type="paragraph" w:styleId="Header">
    <w:name w:val="header"/>
    <w:basedOn w:val="Normal"/>
    <w:link w:val="HeaderChar"/>
    <w:uiPriority w:val="99"/>
    <w:unhideWhenUsed/>
    <w:rsid w:val="00457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BD9"/>
  </w:style>
  <w:style w:type="paragraph" w:styleId="Footer">
    <w:name w:val="footer"/>
    <w:basedOn w:val="Normal"/>
    <w:link w:val="FooterChar"/>
    <w:uiPriority w:val="99"/>
    <w:unhideWhenUsed/>
    <w:rsid w:val="00457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BD9"/>
  </w:style>
  <w:style w:type="paragraph" w:styleId="BalloonText">
    <w:name w:val="Balloon Text"/>
    <w:basedOn w:val="Normal"/>
    <w:link w:val="BalloonTextChar"/>
    <w:uiPriority w:val="99"/>
    <w:semiHidden/>
    <w:unhideWhenUsed/>
    <w:rsid w:val="00F46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6E3"/>
    <w:rPr>
      <w:rFonts w:ascii="Tahoma" w:hAnsi="Tahoma" w:cs="Tahoma"/>
      <w:sz w:val="16"/>
      <w:szCs w:val="16"/>
    </w:rPr>
  </w:style>
  <w:style w:type="table" w:styleId="TableGrid">
    <w:name w:val="Table Grid"/>
    <w:basedOn w:val="TableNormal"/>
    <w:uiPriority w:val="39"/>
    <w:rsid w:val="00236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311"/>
    <w:rPr>
      <w:color w:val="467886" w:themeColor="hyperlink"/>
      <w:u w:val="single"/>
    </w:rPr>
  </w:style>
  <w:style w:type="character" w:styleId="UnresolvedMention">
    <w:name w:val="Unresolved Mention"/>
    <w:basedOn w:val="DefaultParagraphFont"/>
    <w:uiPriority w:val="99"/>
    <w:semiHidden/>
    <w:unhideWhenUsed/>
    <w:rsid w:val="00C80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016/S0140-6736(06)68653-4" TargetMode="External"/><Relationship Id="rId26" Type="http://schemas.openxmlformats.org/officeDocument/2006/relationships/hyperlink" Target="https://iris.who.int/handle/10665/63821" TargetMode="External"/><Relationship Id="rId39" Type="http://schemas.openxmlformats.org/officeDocument/2006/relationships/header" Target="header2.xml"/><Relationship Id="rId21" Type="http://schemas.openxmlformats.org/officeDocument/2006/relationships/hyperlink" Target="https://doi.org/10.1371/journal.pntd.0003790" TargetMode="External"/><Relationship Id="rId34" Type="http://schemas.openxmlformats.org/officeDocument/2006/relationships/hyperlink" Target="https://whqlibdoc.who.int/publications/2006/9241547103_eng.pdf" TargetMode="External"/><Relationship Id="rId42"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7.xml"/><Relationship Id="rId29" Type="http://schemas.openxmlformats.org/officeDocument/2006/relationships/hyperlink" Target="https://doi.org/10.1186/1756-3305-5-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1111/tmi.13574" TargetMode="External"/><Relationship Id="rId32" Type="http://schemas.openxmlformats.org/officeDocument/2006/relationships/hyperlink" Target="https://doi.org/10.1371/journal.pmed.1001620" TargetMode="External"/><Relationship Id="rId37" Type="http://schemas.openxmlformats.org/officeDocument/2006/relationships/hyperlink" Target="https://doi.org/10.1016/j.eclinm.2021.101054"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doi.org/10.1016/S0140-6736(17)31930-X" TargetMode="External"/><Relationship Id="rId28" Type="http://schemas.openxmlformats.org/officeDocument/2006/relationships/hyperlink" Target="https://doi.org/10.1186/1756-3305-7-37" TargetMode="External"/><Relationship Id="rId36" Type="http://schemas.openxmlformats.org/officeDocument/2006/relationships/hyperlink" Target="https://www.who.int/news-room/fact-sheets/detail/soil-transmitted-helminth-infections" TargetMode="External"/><Relationship Id="rId10" Type="http://schemas.openxmlformats.org/officeDocument/2006/relationships/chart" Target="charts/chart1.xml"/><Relationship Id="rId19" Type="http://schemas.openxmlformats.org/officeDocument/2006/relationships/hyperlink" Target="https://doi.org/10.1016/j.ijpara.2008.10.014" TargetMode="External"/><Relationship Id="rId31" Type="http://schemas.openxmlformats.org/officeDocument/2006/relationships/hyperlink" Target="https://doi.org/10.1111/j.1365-3156.2010.02542.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5.xml"/><Relationship Id="rId22" Type="http://schemas.openxmlformats.org/officeDocument/2006/relationships/hyperlink" Target="https://doi.org/10.1056/NEJMra032492" TargetMode="External"/><Relationship Id="rId27" Type="http://schemas.openxmlformats.org/officeDocument/2006/relationships/hyperlink" Target="https://doi.org/10.4103/ijcm.IJCM_135_16" TargetMode="External"/><Relationship Id="rId30" Type="http://schemas.openxmlformats.org/officeDocument/2006/relationships/hyperlink" Target="https://doi.org/10.1371/journal.pntd.0002378" TargetMode="External"/><Relationship Id="rId35" Type="http://schemas.openxmlformats.org/officeDocument/2006/relationships/hyperlink" Target="https://ntd.who.int/resources/eliminating-soil-transmitted-helminthiases-public-health-problem-children-progress-report-2001-2010-and-strategic-plan-2011-2020-sth" TargetMode="External"/><Relationship Id="rId43"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hyperlink" Target="https://doi.org/10.1371/journal.pntd.0003897" TargetMode="External"/><Relationship Id="rId25" Type="http://schemas.openxmlformats.org/officeDocument/2006/relationships/hyperlink" Target="https://doi.org/10.1016/S2214-109X(21)00327-4" TargetMode="External"/><Relationship Id="rId33" Type="http://schemas.openxmlformats.org/officeDocument/2006/relationships/hyperlink" Target="https://doi.org/10.1016/j.parepi.2022.e00246" TargetMode="External"/><Relationship Id="rId38" Type="http://schemas.openxmlformats.org/officeDocument/2006/relationships/header" Target="header1.xml"/><Relationship Id="rId20" Type="http://schemas.openxmlformats.org/officeDocument/2006/relationships/hyperlink" Target="https://doi.org/10.1371/journal.pntd.0000291"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EDUCATION AND STH CORELATION IN ADULTS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Clinical Prevalence (%)</c:v>
                </c:pt>
              </c:strCache>
            </c:strRef>
          </c:tx>
          <c:spPr>
            <a:solidFill>
              <a:schemeClr val="accent1"/>
            </a:solidFill>
            <a:ln>
              <a:noFill/>
            </a:ln>
            <a:effectLst/>
          </c:spPr>
          <c:invertIfNegative val="0"/>
          <c:cat>
            <c:strRef>
              <c:f>Sheet1!$A$2:$A$6</c:f>
              <c:strCache>
                <c:ptCount val="5"/>
                <c:pt idx="0">
                  <c:v>Illiterate</c:v>
                </c:pt>
                <c:pt idx="1">
                  <c:v>Primary</c:v>
                </c:pt>
                <c:pt idx="2">
                  <c:v>Secondary</c:v>
                </c:pt>
                <c:pt idx="3">
                  <c:v>Higher Secondary</c:v>
                </c:pt>
                <c:pt idx="4">
                  <c:v>Graduate+</c:v>
                </c:pt>
              </c:strCache>
            </c:strRef>
          </c:cat>
          <c:val>
            <c:numRef>
              <c:f>Sheet1!$B$2:$B$6</c:f>
              <c:numCache>
                <c:formatCode>0.00%</c:formatCode>
                <c:ptCount val="5"/>
                <c:pt idx="0">
                  <c:v>0.89049999999999996</c:v>
                </c:pt>
                <c:pt idx="1">
                  <c:v>0.87749999999999995</c:v>
                </c:pt>
                <c:pt idx="2">
                  <c:v>0.88800000000000001</c:v>
                </c:pt>
                <c:pt idx="3">
                  <c:v>0.74870000000000003</c:v>
                </c:pt>
                <c:pt idx="4">
                  <c:v>0.69</c:v>
                </c:pt>
              </c:numCache>
            </c:numRef>
          </c:val>
          <c:extLst>
            <c:ext xmlns:c16="http://schemas.microsoft.com/office/drawing/2014/chart" uri="{C3380CC4-5D6E-409C-BE32-E72D297353CC}">
              <c16:uniqueId val="{00000000-9E37-4667-B77E-04CA22EF56E6}"/>
            </c:ext>
          </c:extLst>
        </c:ser>
        <c:ser>
          <c:idx val="1"/>
          <c:order val="1"/>
          <c:tx>
            <c:strRef>
              <c:f>Sheet1!$C$1</c:f>
              <c:strCache>
                <c:ptCount val="1"/>
                <c:pt idx="0">
                  <c:v>Community Prevalence (%)</c:v>
                </c:pt>
              </c:strCache>
            </c:strRef>
          </c:tx>
          <c:spPr>
            <a:solidFill>
              <a:schemeClr val="accent2"/>
            </a:solidFill>
            <a:ln>
              <a:noFill/>
            </a:ln>
            <a:effectLst/>
          </c:spPr>
          <c:invertIfNegative val="0"/>
          <c:cat>
            <c:strRef>
              <c:f>Sheet1!$A$2:$A$6</c:f>
              <c:strCache>
                <c:ptCount val="5"/>
                <c:pt idx="0">
                  <c:v>Illiterate</c:v>
                </c:pt>
                <c:pt idx="1">
                  <c:v>Primary</c:v>
                </c:pt>
                <c:pt idx="2">
                  <c:v>Secondary</c:v>
                </c:pt>
                <c:pt idx="3">
                  <c:v>Higher Secondary</c:v>
                </c:pt>
                <c:pt idx="4">
                  <c:v>Graduate+</c:v>
                </c:pt>
              </c:strCache>
            </c:strRef>
          </c:cat>
          <c:val>
            <c:numRef>
              <c:f>Sheet1!$C$2:$C$6</c:f>
              <c:numCache>
                <c:formatCode>0.00%</c:formatCode>
                <c:ptCount val="5"/>
                <c:pt idx="0">
                  <c:v>0.80500000000000005</c:v>
                </c:pt>
                <c:pt idx="1">
                  <c:v>0.73</c:v>
                </c:pt>
                <c:pt idx="2">
                  <c:v>0.56599999999999995</c:v>
                </c:pt>
                <c:pt idx="3">
                  <c:v>0.43</c:v>
                </c:pt>
                <c:pt idx="4">
                  <c:v>0.33700000000000002</c:v>
                </c:pt>
              </c:numCache>
            </c:numRef>
          </c:val>
          <c:extLst>
            <c:ext xmlns:c16="http://schemas.microsoft.com/office/drawing/2014/chart" uri="{C3380CC4-5D6E-409C-BE32-E72D297353CC}">
              <c16:uniqueId val="{00000001-9E37-4667-B77E-04CA22EF56E6}"/>
            </c:ext>
          </c:extLst>
        </c:ser>
        <c:dLbls>
          <c:showLegendKey val="0"/>
          <c:showVal val="0"/>
          <c:showCatName val="0"/>
          <c:showSerName val="0"/>
          <c:showPercent val="0"/>
          <c:showBubbleSize val="0"/>
        </c:dLbls>
        <c:gapWidth val="219"/>
        <c:overlap val="-27"/>
        <c:axId val="96140288"/>
        <c:axId val="104735488"/>
      </c:barChart>
      <c:catAx>
        <c:axId val="9614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35488"/>
        <c:crosses val="autoZero"/>
        <c:auto val="1"/>
        <c:lblAlgn val="ctr"/>
        <c:lblOffset val="100"/>
        <c:noMultiLvlLbl val="0"/>
      </c:catAx>
      <c:valAx>
        <c:axId val="1047354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140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Relation of mother education with STH Prevalence in age group less than 20</a:t>
            </a:r>
          </a:p>
        </c:rich>
      </c:tx>
      <c:layout>
        <c:manualLayout>
          <c:xMode val="edge"/>
          <c:yMode val="edge"/>
          <c:x val="0.12985411198600175"/>
          <c:y val="5.5555555555555552E-2"/>
        </c:manualLayout>
      </c:layout>
      <c:overlay val="0"/>
      <c:spPr>
        <a:noFill/>
        <a:ln>
          <a:noFill/>
        </a:ln>
        <a:effectLst/>
      </c:spPr>
    </c:title>
    <c:autoTitleDeleted val="0"/>
    <c:plotArea>
      <c:layout/>
      <c:lineChart>
        <c:grouping val="standard"/>
        <c:varyColors val="0"/>
        <c:ser>
          <c:idx val="0"/>
          <c:order val="0"/>
          <c:tx>
            <c:strRef>
              <c:f>Sheet1!$B$1</c:f>
              <c:strCache>
                <c:ptCount val="1"/>
                <c:pt idx="0">
                  <c:v>Community Prevalence (%)</c:v>
                </c:pt>
              </c:strCache>
            </c:strRef>
          </c:tx>
          <c:spPr>
            <a:ln w="28575" cap="rnd">
              <a:solidFill>
                <a:schemeClr val="accent1"/>
              </a:solidFill>
              <a:round/>
            </a:ln>
            <a:effectLst/>
          </c:spPr>
          <c:marker>
            <c:symbol val="none"/>
          </c:marker>
          <c:cat>
            <c:strRef>
              <c:f>Sheet1!$A$2:$A$6</c:f>
              <c:strCache>
                <c:ptCount val="5"/>
                <c:pt idx="0">
                  <c:v>Illiterate</c:v>
                </c:pt>
                <c:pt idx="1">
                  <c:v>Primary</c:v>
                </c:pt>
                <c:pt idx="2">
                  <c:v>Secondary</c:v>
                </c:pt>
                <c:pt idx="3">
                  <c:v>Higher Secondary / Sr. Secondary</c:v>
                </c:pt>
                <c:pt idx="4">
                  <c:v>Graduate+</c:v>
                </c:pt>
              </c:strCache>
            </c:strRef>
          </c:cat>
          <c:val>
            <c:numRef>
              <c:f>Sheet1!$B$2:$B$6</c:f>
              <c:numCache>
                <c:formatCode>General</c:formatCode>
                <c:ptCount val="5"/>
                <c:pt idx="0">
                  <c:v>66.7</c:v>
                </c:pt>
                <c:pt idx="1">
                  <c:v>69.8</c:v>
                </c:pt>
                <c:pt idx="2">
                  <c:v>66.7</c:v>
                </c:pt>
                <c:pt idx="3">
                  <c:v>53.3</c:v>
                </c:pt>
                <c:pt idx="4">
                  <c:v>29.4</c:v>
                </c:pt>
              </c:numCache>
            </c:numRef>
          </c:val>
          <c:smooth val="0"/>
          <c:extLst>
            <c:ext xmlns:c16="http://schemas.microsoft.com/office/drawing/2014/chart" uri="{C3380CC4-5D6E-409C-BE32-E72D297353CC}">
              <c16:uniqueId val="{00000000-6CFC-42BD-8AE5-AE14379B2F10}"/>
            </c:ext>
          </c:extLst>
        </c:ser>
        <c:ser>
          <c:idx val="1"/>
          <c:order val="1"/>
          <c:tx>
            <c:strRef>
              <c:f>Sheet1!$C$1</c:f>
              <c:strCache>
                <c:ptCount val="1"/>
                <c:pt idx="0">
                  <c:v>Clinical Prevalence (%)</c:v>
                </c:pt>
              </c:strCache>
            </c:strRef>
          </c:tx>
          <c:spPr>
            <a:ln w="28575" cap="rnd">
              <a:solidFill>
                <a:schemeClr val="accent2"/>
              </a:solidFill>
              <a:round/>
            </a:ln>
            <a:effectLst/>
          </c:spPr>
          <c:marker>
            <c:symbol val="none"/>
          </c:marker>
          <c:cat>
            <c:strRef>
              <c:f>Sheet1!$A$2:$A$6</c:f>
              <c:strCache>
                <c:ptCount val="5"/>
                <c:pt idx="0">
                  <c:v>Illiterate</c:v>
                </c:pt>
                <c:pt idx="1">
                  <c:v>Primary</c:v>
                </c:pt>
                <c:pt idx="2">
                  <c:v>Secondary</c:v>
                </c:pt>
                <c:pt idx="3">
                  <c:v>Higher Secondary / Sr. Secondary</c:v>
                </c:pt>
                <c:pt idx="4">
                  <c:v>Graduate+</c:v>
                </c:pt>
              </c:strCache>
            </c:strRef>
          </c:cat>
          <c:val>
            <c:numRef>
              <c:f>Sheet1!$C$2:$C$6</c:f>
              <c:numCache>
                <c:formatCode>General</c:formatCode>
                <c:ptCount val="5"/>
                <c:pt idx="0">
                  <c:v>92.6</c:v>
                </c:pt>
                <c:pt idx="1">
                  <c:v>91.3</c:v>
                </c:pt>
                <c:pt idx="2">
                  <c:v>91.4</c:v>
                </c:pt>
                <c:pt idx="3">
                  <c:v>89.6</c:v>
                </c:pt>
                <c:pt idx="4">
                  <c:v>88.4</c:v>
                </c:pt>
              </c:numCache>
            </c:numRef>
          </c:val>
          <c:smooth val="0"/>
          <c:extLst>
            <c:ext xmlns:c16="http://schemas.microsoft.com/office/drawing/2014/chart" uri="{C3380CC4-5D6E-409C-BE32-E72D297353CC}">
              <c16:uniqueId val="{00000001-6CFC-42BD-8AE5-AE14379B2F10}"/>
            </c:ext>
          </c:extLst>
        </c:ser>
        <c:dLbls>
          <c:showLegendKey val="0"/>
          <c:showVal val="0"/>
          <c:showCatName val="0"/>
          <c:showSerName val="0"/>
          <c:showPercent val="0"/>
          <c:showBubbleSize val="0"/>
        </c:dLbls>
        <c:smooth val="0"/>
        <c:axId val="104750464"/>
        <c:axId val="104772736"/>
      </c:lineChart>
      <c:catAx>
        <c:axId val="10475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72736"/>
        <c:crosses val="autoZero"/>
        <c:auto val="1"/>
        <c:lblAlgn val="ctr"/>
        <c:lblOffset val="100"/>
        <c:noMultiLvlLbl val="0"/>
      </c:catAx>
      <c:valAx>
        <c:axId val="10477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5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Relation</a:t>
            </a:r>
            <a:r>
              <a:rPr lang="en-US" b="1" baseline="0"/>
              <a:t> of STH in child age less than 20 with fathers education</a:t>
            </a:r>
            <a:endParaRPr lang="en-US"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Illiterate</c:v>
                </c:pt>
              </c:strCache>
            </c:strRef>
          </c:tx>
          <c:spPr>
            <a:solidFill>
              <a:schemeClr val="accent1"/>
            </a:solidFill>
            <a:ln>
              <a:noFill/>
            </a:ln>
            <a:effectLst/>
            <a:sp3d/>
          </c:spPr>
          <c:invertIfNegative val="0"/>
          <c:cat>
            <c:strRef>
              <c:f>Sheet1!$B$1:$C$1</c:f>
              <c:strCache>
                <c:ptCount val="2"/>
                <c:pt idx="0">
                  <c:v>Community Prevalence (%)</c:v>
                </c:pt>
                <c:pt idx="1">
                  <c:v>Clinical Prevalence (%)</c:v>
                </c:pt>
              </c:strCache>
            </c:strRef>
          </c:cat>
          <c:val>
            <c:numRef>
              <c:f>Sheet1!$B$2:$C$2</c:f>
              <c:numCache>
                <c:formatCode>General</c:formatCode>
                <c:ptCount val="2"/>
                <c:pt idx="0">
                  <c:v>80</c:v>
                </c:pt>
                <c:pt idx="1">
                  <c:v>90.1</c:v>
                </c:pt>
              </c:numCache>
            </c:numRef>
          </c:val>
          <c:extLst>
            <c:ext xmlns:c16="http://schemas.microsoft.com/office/drawing/2014/chart" uri="{C3380CC4-5D6E-409C-BE32-E72D297353CC}">
              <c16:uniqueId val="{00000000-DA8D-45AB-9A07-EEFAB0CE46D1}"/>
            </c:ext>
          </c:extLst>
        </c:ser>
        <c:ser>
          <c:idx val="1"/>
          <c:order val="1"/>
          <c:tx>
            <c:strRef>
              <c:f>Sheet1!$A$3</c:f>
              <c:strCache>
                <c:ptCount val="1"/>
                <c:pt idx="0">
                  <c:v>Primary</c:v>
                </c:pt>
              </c:strCache>
            </c:strRef>
          </c:tx>
          <c:spPr>
            <a:solidFill>
              <a:schemeClr val="accent2"/>
            </a:solidFill>
            <a:ln>
              <a:noFill/>
            </a:ln>
            <a:effectLst/>
            <a:sp3d/>
          </c:spPr>
          <c:invertIfNegative val="0"/>
          <c:cat>
            <c:strRef>
              <c:f>Sheet1!$B$1:$C$1</c:f>
              <c:strCache>
                <c:ptCount val="2"/>
                <c:pt idx="0">
                  <c:v>Community Prevalence (%)</c:v>
                </c:pt>
                <c:pt idx="1">
                  <c:v>Clinical Prevalence (%)</c:v>
                </c:pt>
              </c:strCache>
            </c:strRef>
          </c:cat>
          <c:val>
            <c:numRef>
              <c:f>Sheet1!$B$3:$C$3</c:f>
              <c:numCache>
                <c:formatCode>General</c:formatCode>
                <c:ptCount val="2"/>
                <c:pt idx="0">
                  <c:v>51</c:v>
                </c:pt>
                <c:pt idx="1">
                  <c:v>90.1</c:v>
                </c:pt>
              </c:numCache>
            </c:numRef>
          </c:val>
          <c:extLst>
            <c:ext xmlns:c16="http://schemas.microsoft.com/office/drawing/2014/chart" uri="{C3380CC4-5D6E-409C-BE32-E72D297353CC}">
              <c16:uniqueId val="{00000001-DA8D-45AB-9A07-EEFAB0CE46D1}"/>
            </c:ext>
          </c:extLst>
        </c:ser>
        <c:ser>
          <c:idx val="2"/>
          <c:order val="2"/>
          <c:tx>
            <c:strRef>
              <c:f>Sheet1!$A$4</c:f>
              <c:strCache>
                <c:ptCount val="1"/>
                <c:pt idx="0">
                  <c:v>Secondary</c:v>
                </c:pt>
              </c:strCache>
            </c:strRef>
          </c:tx>
          <c:spPr>
            <a:solidFill>
              <a:schemeClr val="accent3"/>
            </a:solidFill>
            <a:ln>
              <a:noFill/>
            </a:ln>
            <a:effectLst/>
            <a:sp3d/>
          </c:spPr>
          <c:invertIfNegative val="0"/>
          <c:cat>
            <c:strRef>
              <c:f>Sheet1!$B$1:$C$1</c:f>
              <c:strCache>
                <c:ptCount val="2"/>
                <c:pt idx="0">
                  <c:v>Community Prevalence (%)</c:v>
                </c:pt>
                <c:pt idx="1">
                  <c:v>Clinical Prevalence (%)</c:v>
                </c:pt>
              </c:strCache>
            </c:strRef>
          </c:cat>
          <c:val>
            <c:numRef>
              <c:f>Sheet1!$B$4:$C$4</c:f>
              <c:numCache>
                <c:formatCode>General</c:formatCode>
                <c:ptCount val="2"/>
                <c:pt idx="0">
                  <c:v>52.4</c:v>
                </c:pt>
                <c:pt idx="1">
                  <c:v>91</c:v>
                </c:pt>
              </c:numCache>
            </c:numRef>
          </c:val>
          <c:extLst>
            <c:ext xmlns:c16="http://schemas.microsoft.com/office/drawing/2014/chart" uri="{C3380CC4-5D6E-409C-BE32-E72D297353CC}">
              <c16:uniqueId val="{00000002-DA8D-45AB-9A07-EEFAB0CE46D1}"/>
            </c:ext>
          </c:extLst>
        </c:ser>
        <c:ser>
          <c:idx val="3"/>
          <c:order val="3"/>
          <c:tx>
            <c:strRef>
              <c:f>Sheet1!$A$5</c:f>
              <c:strCache>
                <c:ptCount val="1"/>
                <c:pt idx="0">
                  <c:v>Higher Secondary</c:v>
                </c:pt>
              </c:strCache>
            </c:strRef>
          </c:tx>
          <c:spPr>
            <a:solidFill>
              <a:schemeClr val="accent4"/>
            </a:solidFill>
            <a:ln>
              <a:noFill/>
            </a:ln>
            <a:effectLst/>
            <a:sp3d/>
          </c:spPr>
          <c:invertIfNegative val="0"/>
          <c:cat>
            <c:strRef>
              <c:f>Sheet1!$B$1:$C$1</c:f>
              <c:strCache>
                <c:ptCount val="2"/>
                <c:pt idx="0">
                  <c:v>Community Prevalence (%)</c:v>
                </c:pt>
                <c:pt idx="1">
                  <c:v>Clinical Prevalence (%)</c:v>
                </c:pt>
              </c:strCache>
            </c:strRef>
          </c:cat>
          <c:val>
            <c:numRef>
              <c:f>Sheet1!$B$5:$C$5</c:f>
              <c:numCache>
                <c:formatCode>General</c:formatCode>
                <c:ptCount val="2"/>
                <c:pt idx="0">
                  <c:v>60.8</c:v>
                </c:pt>
                <c:pt idx="1">
                  <c:v>91.3</c:v>
                </c:pt>
              </c:numCache>
            </c:numRef>
          </c:val>
          <c:extLst>
            <c:ext xmlns:c16="http://schemas.microsoft.com/office/drawing/2014/chart" uri="{C3380CC4-5D6E-409C-BE32-E72D297353CC}">
              <c16:uniqueId val="{00000003-DA8D-45AB-9A07-EEFAB0CE46D1}"/>
            </c:ext>
          </c:extLst>
        </c:ser>
        <c:ser>
          <c:idx val="4"/>
          <c:order val="4"/>
          <c:tx>
            <c:strRef>
              <c:f>Sheet1!$A$6</c:f>
              <c:strCache>
                <c:ptCount val="1"/>
                <c:pt idx="0">
                  <c:v>Graduate+</c:v>
                </c:pt>
              </c:strCache>
            </c:strRef>
          </c:tx>
          <c:spPr>
            <a:solidFill>
              <a:schemeClr val="accent5"/>
            </a:solidFill>
            <a:ln>
              <a:noFill/>
            </a:ln>
            <a:effectLst/>
            <a:sp3d/>
          </c:spPr>
          <c:invertIfNegative val="0"/>
          <c:cat>
            <c:strRef>
              <c:f>Sheet1!$B$1:$C$1</c:f>
              <c:strCache>
                <c:ptCount val="2"/>
                <c:pt idx="0">
                  <c:v>Community Prevalence (%)</c:v>
                </c:pt>
                <c:pt idx="1">
                  <c:v>Clinical Prevalence (%)</c:v>
                </c:pt>
              </c:strCache>
            </c:strRef>
          </c:cat>
          <c:val>
            <c:numRef>
              <c:f>Sheet1!$B$6:$C$6</c:f>
              <c:numCache>
                <c:formatCode>General</c:formatCode>
                <c:ptCount val="2"/>
                <c:pt idx="0">
                  <c:v>73.099999999999994</c:v>
                </c:pt>
                <c:pt idx="1">
                  <c:v>90.9</c:v>
                </c:pt>
              </c:numCache>
            </c:numRef>
          </c:val>
          <c:extLst>
            <c:ext xmlns:c16="http://schemas.microsoft.com/office/drawing/2014/chart" uri="{C3380CC4-5D6E-409C-BE32-E72D297353CC}">
              <c16:uniqueId val="{00000004-DA8D-45AB-9A07-EEFAB0CE46D1}"/>
            </c:ext>
          </c:extLst>
        </c:ser>
        <c:dLbls>
          <c:showLegendKey val="0"/>
          <c:showVal val="0"/>
          <c:showCatName val="0"/>
          <c:showSerName val="0"/>
          <c:showPercent val="0"/>
          <c:showBubbleSize val="0"/>
        </c:dLbls>
        <c:gapWidth val="150"/>
        <c:shape val="box"/>
        <c:axId val="123775232"/>
        <c:axId val="123793408"/>
        <c:axId val="0"/>
      </c:bar3DChart>
      <c:catAx>
        <c:axId val="123775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93408"/>
        <c:crosses val="autoZero"/>
        <c:auto val="1"/>
        <c:lblAlgn val="ctr"/>
        <c:lblOffset val="100"/>
        <c:noMultiLvlLbl val="0"/>
      </c:catAx>
      <c:valAx>
        <c:axId val="12379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775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STH PREVALENCE AND ANEMIA CORELATION</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Helminth Type</c:v>
                </c:pt>
              </c:strCache>
            </c:strRef>
          </c:tx>
          <c:spPr>
            <a:solidFill>
              <a:schemeClr val="accent1"/>
            </a:solidFill>
            <a:ln>
              <a:noFill/>
            </a:ln>
            <a:effectLst/>
          </c:spPr>
          <c:invertIfNegative val="0"/>
          <c:cat>
            <c:strRef>
              <c:f>Sheet1!$A$2:$A$7</c:f>
              <c:strCache>
                <c:ptCount val="6"/>
                <c:pt idx="0">
                  <c:v>RW</c:v>
                </c:pt>
                <c:pt idx="1">
                  <c:v>HW</c:v>
                </c:pt>
                <c:pt idx="2">
                  <c:v>WW</c:v>
                </c:pt>
                <c:pt idx="3">
                  <c:v>Total STH Positive</c:v>
                </c:pt>
                <c:pt idx="4">
                  <c:v>STH Negative</c:v>
                </c:pt>
                <c:pt idx="5">
                  <c:v>Total</c:v>
                </c:pt>
              </c:strCache>
            </c:strRef>
          </c:cat>
          <c:val>
            <c:numRef>
              <c:f>Sheet1!$B$2:$B$7</c:f>
              <c:numCache>
                <c:formatCode>General</c:formatCode>
                <c:ptCount val="6"/>
                <c:pt idx="0">
                  <c:v>0</c:v>
                </c:pt>
                <c:pt idx="1">
                  <c:v>0</c:v>
                </c:pt>
                <c:pt idx="2">
                  <c:v>0</c:v>
                </c:pt>
                <c:pt idx="4">
                  <c:v>0</c:v>
                </c:pt>
              </c:numCache>
            </c:numRef>
          </c:val>
          <c:extLst>
            <c:ext xmlns:c16="http://schemas.microsoft.com/office/drawing/2014/chart" uri="{C3380CC4-5D6E-409C-BE32-E72D297353CC}">
              <c16:uniqueId val="{00000000-7F9E-477B-BDE2-376B53134670}"/>
            </c:ext>
          </c:extLst>
        </c:ser>
        <c:ser>
          <c:idx val="1"/>
          <c:order val="1"/>
          <c:tx>
            <c:strRef>
              <c:f>Sheet1!$C$1</c:f>
              <c:strCache>
                <c:ptCount val="1"/>
                <c:pt idx="0">
                  <c:v>Anemic</c:v>
                </c:pt>
              </c:strCache>
            </c:strRef>
          </c:tx>
          <c:spPr>
            <a:solidFill>
              <a:schemeClr val="accent2"/>
            </a:solidFill>
            <a:ln>
              <a:noFill/>
            </a:ln>
            <a:effectLst/>
          </c:spPr>
          <c:invertIfNegative val="0"/>
          <c:cat>
            <c:strRef>
              <c:f>Sheet1!$A$2:$A$7</c:f>
              <c:strCache>
                <c:ptCount val="6"/>
                <c:pt idx="0">
                  <c:v>RW</c:v>
                </c:pt>
                <c:pt idx="1">
                  <c:v>HW</c:v>
                </c:pt>
                <c:pt idx="2">
                  <c:v>WW</c:v>
                </c:pt>
                <c:pt idx="3">
                  <c:v>Total STH Positive</c:v>
                </c:pt>
                <c:pt idx="4">
                  <c:v>STH Negative</c:v>
                </c:pt>
                <c:pt idx="5">
                  <c:v>Total</c:v>
                </c:pt>
              </c:strCache>
            </c:strRef>
          </c:cat>
          <c:val>
            <c:numRef>
              <c:f>Sheet1!$C$2:$C$7</c:f>
              <c:numCache>
                <c:formatCode>General</c:formatCode>
                <c:ptCount val="6"/>
                <c:pt idx="0">
                  <c:v>30</c:v>
                </c:pt>
                <c:pt idx="1">
                  <c:v>42</c:v>
                </c:pt>
                <c:pt idx="2">
                  <c:v>28</c:v>
                </c:pt>
                <c:pt idx="3">
                  <c:v>100</c:v>
                </c:pt>
                <c:pt idx="4">
                  <c:v>3</c:v>
                </c:pt>
                <c:pt idx="5">
                  <c:v>103</c:v>
                </c:pt>
              </c:numCache>
            </c:numRef>
          </c:val>
          <c:extLst>
            <c:ext xmlns:c16="http://schemas.microsoft.com/office/drawing/2014/chart" uri="{C3380CC4-5D6E-409C-BE32-E72D297353CC}">
              <c16:uniqueId val="{00000001-7F9E-477B-BDE2-376B53134670}"/>
            </c:ext>
          </c:extLst>
        </c:ser>
        <c:ser>
          <c:idx val="2"/>
          <c:order val="2"/>
          <c:tx>
            <c:strRef>
              <c:f>Sheet1!$D$1</c:f>
              <c:strCache>
                <c:ptCount val="1"/>
                <c:pt idx="0">
                  <c:v>Not Anemic</c:v>
                </c:pt>
              </c:strCache>
            </c:strRef>
          </c:tx>
          <c:spPr>
            <a:solidFill>
              <a:schemeClr val="accent3"/>
            </a:solidFill>
            <a:ln>
              <a:noFill/>
            </a:ln>
            <a:effectLst/>
          </c:spPr>
          <c:invertIfNegative val="0"/>
          <c:cat>
            <c:strRef>
              <c:f>Sheet1!$A$2:$A$7</c:f>
              <c:strCache>
                <c:ptCount val="6"/>
                <c:pt idx="0">
                  <c:v>RW</c:v>
                </c:pt>
                <c:pt idx="1">
                  <c:v>HW</c:v>
                </c:pt>
                <c:pt idx="2">
                  <c:v>WW</c:v>
                </c:pt>
                <c:pt idx="3">
                  <c:v>Total STH Positive</c:v>
                </c:pt>
                <c:pt idx="4">
                  <c:v>STH Negative</c:v>
                </c:pt>
                <c:pt idx="5">
                  <c:v>Total</c:v>
                </c:pt>
              </c:strCache>
            </c:strRef>
          </c:cat>
          <c:val>
            <c:numRef>
              <c:f>Sheet1!$D$2:$D$7</c:f>
              <c:numCache>
                <c:formatCode>General</c:formatCode>
                <c:ptCount val="6"/>
                <c:pt idx="0">
                  <c:v>48</c:v>
                </c:pt>
                <c:pt idx="1">
                  <c:v>17</c:v>
                </c:pt>
                <c:pt idx="2">
                  <c:v>33</c:v>
                </c:pt>
                <c:pt idx="3">
                  <c:v>98</c:v>
                </c:pt>
                <c:pt idx="4">
                  <c:v>18</c:v>
                </c:pt>
                <c:pt idx="5">
                  <c:v>116</c:v>
                </c:pt>
              </c:numCache>
            </c:numRef>
          </c:val>
          <c:extLst>
            <c:ext xmlns:c16="http://schemas.microsoft.com/office/drawing/2014/chart" uri="{C3380CC4-5D6E-409C-BE32-E72D297353CC}">
              <c16:uniqueId val="{00000002-7F9E-477B-BDE2-376B53134670}"/>
            </c:ext>
          </c:extLst>
        </c:ser>
        <c:ser>
          <c:idx val="3"/>
          <c:order val="3"/>
          <c:tx>
            <c:strRef>
              <c:f>Sheet1!$E$1</c:f>
              <c:strCache>
                <c:ptCount val="1"/>
                <c:pt idx="0">
                  <c:v>Total</c:v>
                </c:pt>
              </c:strCache>
            </c:strRef>
          </c:tx>
          <c:spPr>
            <a:solidFill>
              <a:schemeClr val="accent4"/>
            </a:solidFill>
            <a:ln>
              <a:noFill/>
            </a:ln>
            <a:effectLst/>
          </c:spPr>
          <c:invertIfNegative val="0"/>
          <c:cat>
            <c:strRef>
              <c:f>Sheet1!$A$2:$A$7</c:f>
              <c:strCache>
                <c:ptCount val="6"/>
                <c:pt idx="0">
                  <c:v>RW</c:v>
                </c:pt>
                <c:pt idx="1">
                  <c:v>HW</c:v>
                </c:pt>
                <c:pt idx="2">
                  <c:v>WW</c:v>
                </c:pt>
                <c:pt idx="3">
                  <c:v>Total STH Positive</c:v>
                </c:pt>
                <c:pt idx="4">
                  <c:v>STH Negative</c:v>
                </c:pt>
                <c:pt idx="5">
                  <c:v>Total</c:v>
                </c:pt>
              </c:strCache>
            </c:strRef>
          </c:cat>
          <c:val>
            <c:numRef>
              <c:f>Sheet1!$E$2:$E$7</c:f>
              <c:numCache>
                <c:formatCode>General</c:formatCode>
                <c:ptCount val="6"/>
                <c:pt idx="0">
                  <c:v>78</c:v>
                </c:pt>
                <c:pt idx="1">
                  <c:v>59</c:v>
                </c:pt>
                <c:pt idx="2">
                  <c:v>61</c:v>
                </c:pt>
                <c:pt idx="3">
                  <c:v>198</c:v>
                </c:pt>
                <c:pt idx="4">
                  <c:v>21</c:v>
                </c:pt>
                <c:pt idx="5">
                  <c:v>219</c:v>
                </c:pt>
              </c:numCache>
            </c:numRef>
          </c:val>
          <c:extLst>
            <c:ext xmlns:c16="http://schemas.microsoft.com/office/drawing/2014/chart" uri="{C3380CC4-5D6E-409C-BE32-E72D297353CC}">
              <c16:uniqueId val="{00000003-7F9E-477B-BDE2-376B53134670}"/>
            </c:ext>
          </c:extLst>
        </c:ser>
        <c:dLbls>
          <c:showLegendKey val="0"/>
          <c:showVal val="0"/>
          <c:showCatName val="0"/>
          <c:showSerName val="0"/>
          <c:showPercent val="0"/>
          <c:showBubbleSize val="0"/>
        </c:dLbls>
        <c:gapWidth val="182"/>
        <c:axId val="123379712"/>
        <c:axId val="123381248"/>
      </c:barChart>
      <c:catAx>
        <c:axId val="123379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381248"/>
        <c:crosses val="autoZero"/>
        <c:auto val="1"/>
        <c:lblAlgn val="ctr"/>
        <c:lblOffset val="100"/>
        <c:noMultiLvlLbl val="0"/>
      </c:catAx>
      <c:valAx>
        <c:axId val="123381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37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STH prevalence among different</a:t>
            </a:r>
            <a:r>
              <a:rPr lang="en-US" b="1" baseline="0"/>
              <a:t> age group in clinical and community survey</a:t>
            </a:r>
            <a:endParaRPr lang="en-US" b="1"/>
          </a:p>
        </c:rich>
      </c:tx>
      <c:layout>
        <c:manualLayout>
          <c:xMode val="edge"/>
          <c:yMode val="edge"/>
          <c:x val="0.14928455818022748"/>
          <c:y val="4.166666666666666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0–10 yrs</c:v>
                </c:pt>
              </c:strCache>
            </c:strRef>
          </c:tx>
          <c:spPr>
            <a:solidFill>
              <a:schemeClr val="accent1"/>
            </a:solidFill>
            <a:ln>
              <a:noFill/>
            </a:ln>
            <a:effectLst/>
            <a:sp3d/>
          </c:spPr>
          <c:invertIfNegative val="0"/>
          <c:cat>
            <c:strRef>
              <c:f>Sheet1!$B$1:$C$1</c:f>
              <c:strCache>
                <c:ptCount val="2"/>
                <c:pt idx="0">
                  <c:v>Community Prevalence (%)</c:v>
                </c:pt>
                <c:pt idx="1">
                  <c:v>Clinical Prevalence (%)</c:v>
                </c:pt>
              </c:strCache>
            </c:strRef>
          </c:cat>
          <c:val>
            <c:numRef>
              <c:f>Sheet1!$B$2:$C$2</c:f>
              <c:numCache>
                <c:formatCode>General</c:formatCode>
                <c:ptCount val="2"/>
                <c:pt idx="0">
                  <c:v>53.7</c:v>
                </c:pt>
                <c:pt idx="1">
                  <c:v>92.1</c:v>
                </c:pt>
              </c:numCache>
            </c:numRef>
          </c:val>
          <c:extLst>
            <c:ext xmlns:c16="http://schemas.microsoft.com/office/drawing/2014/chart" uri="{C3380CC4-5D6E-409C-BE32-E72D297353CC}">
              <c16:uniqueId val="{00000000-D351-43E2-BF9C-2F3A45777569}"/>
            </c:ext>
          </c:extLst>
        </c:ser>
        <c:ser>
          <c:idx val="1"/>
          <c:order val="1"/>
          <c:tx>
            <c:strRef>
              <c:f>Sheet1!$A$3</c:f>
              <c:strCache>
                <c:ptCount val="1"/>
                <c:pt idx="0">
                  <c:v>11–20 yrs</c:v>
                </c:pt>
              </c:strCache>
            </c:strRef>
          </c:tx>
          <c:spPr>
            <a:solidFill>
              <a:schemeClr val="accent2"/>
            </a:solidFill>
            <a:ln>
              <a:noFill/>
            </a:ln>
            <a:effectLst/>
            <a:sp3d/>
          </c:spPr>
          <c:invertIfNegative val="0"/>
          <c:cat>
            <c:strRef>
              <c:f>Sheet1!$B$1:$C$1</c:f>
              <c:strCache>
                <c:ptCount val="2"/>
                <c:pt idx="0">
                  <c:v>Community Prevalence (%)</c:v>
                </c:pt>
                <c:pt idx="1">
                  <c:v>Clinical Prevalence (%)</c:v>
                </c:pt>
              </c:strCache>
            </c:strRef>
          </c:cat>
          <c:val>
            <c:numRef>
              <c:f>Sheet1!$B$3:$C$3</c:f>
              <c:numCache>
                <c:formatCode>General</c:formatCode>
                <c:ptCount val="2"/>
                <c:pt idx="0">
                  <c:v>62.5</c:v>
                </c:pt>
                <c:pt idx="1">
                  <c:v>90.3</c:v>
                </c:pt>
              </c:numCache>
            </c:numRef>
          </c:val>
          <c:extLst>
            <c:ext xmlns:c16="http://schemas.microsoft.com/office/drawing/2014/chart" uri="{C3380CC4-5D6E-409C-BE32-E72D297353CC}">
              <c16:uniqueId val="{00000001-D351-43E2-BF9C-2F3A45777569}"/>
            </c:ext>
          </c:extLst>
        </c:ser>
        <c:ser>
          <c:idx val="2"/>
          <c:order val="2"/>
          <c:tx>
            <c:strRef>
              <c:f>Sheet1!$A$4</c:f>
              <c:strCache>
                <c:ptCount val="1"/>
                <c:pt idx="0">
                  <c:v>21–30 yrs</c:v>
                </c:pt>
              </c:strCache>
            </c:strRef>
          </c:tx>
          <c:spPr>
            <a:solidFill>
              <a:schemeClr val="accent3"/>
            </a:solidFill>
            <a:ln>
              <a:noFill/>
            </a:ln>
            <a:effectLst/>
            <a:sp3d/>
          </c:spPr>
          <c:invertIfNegative val="0"/>
          <c:cat>
            <c:strRef>
              <c:f>Sheet1!$B$1:$C$1</c:f>
              <c:strCache>
                <c:ptCount val="2"/>
                <c:pt idx="0">
                  <c:v>Community Prevalence (%)</c:v>
                </c:pt>
                <c:pt idx="1">
                  <c:v>Clinical Prevalence (%)</c:v>
                </c:pt>
              </c:strCache>
            </c:strRef>
          </c:cat>
          <c:val>
            <c:numRef>
              <c:f>Sheet1!$B$4:$C$4</c:f>
              <c:numCache>
                <c:formatCode>General</c:formatCode>
                <c:ptCount val="2"/>
                <c:pt idx="0">
                  <c:v>59</c:v>
                </c:pt>
                <c:pt idx="1">
                  <c:v>80.599999999999994</c:v>
                </c:pt>
              </c:numCache>
            </c:numRef>
          </c:val>
          <c:extLst>
            <c:ext xmlns:c16="http://schemas.microsoft.com/office/drawing/2014/chart" uri="{C3380CC4-5D6E-409C-BE32-E72D297353CC}">
              <c16:uniqueId val="{00000002-D351-43E2-BF9C-2F3A45777569}"/>
            </c:ext>
          </c:extLst>
        </c:ser>
        <c:ser>
          <c:idx val="3"/>
          <c:order val="3"/>
          <c:tx>
            <c:strRef>
              <c:f>Sheet1!$A$5</c:f>
              <c:strCache>
                <c:ptCount val="1"/>
                <c:pt idx="0">
                  <c:v>31–40 yrs</c:v>
                </c:pt>
              </c:strCache>
            </c:strRef>
          </c:tx>
          <c:spPr>
            <a:solidFill>
              <a:schemeClr val="accent4"/>
            </a:solidFill>
            <a:ln>
              <a:noFill/>
            </a:ln>
            <a:effectLst/>
            <a:sp3d/>
          </c:spPr>
          <c:invertIfNegative val="0"/>
          <c:cat>
            <c:strRef>
              <c:f>Sheet1!$B$1:$C$1</c:f>
              <c:strCache>
                <c:ptCount val="2"/>
                <c:pt idx="0">
                  <c:v>Community Prevalence (%)</c:v>
                </c:pt>
                <c:pt idx="1">
                  <c:v>Clinical Prevalence (%)</c:v>
                </c:pt>
              </c:strCache>
            </c:strRef>
          </c:cat>
          <c:val>
            <c:numRef>
              <c:f>Sheet1!$B$5:$C$5</c:f>
              <c:numCache>
                <c:formatCode>General</c:formatCode>
                <c:ptCount val="2"/>
                <c:pt idx="0">
                  <c:v>52.1</c:v>
                </c:pt>
                <c:pt idx="1">
                  <c:v>75.5</c:v>
                </c:pt>
              </c:numCache>
            </c:numRef>
          </c:val>
          <c:extLst>
            <c:ext xmlns:c16="http://schemas.microsoft.com/office/drawing/2014/chart" uri="{C3380CC4-5D6E-409C-BE32-E72D297353CC}">
              <c16:uniqueId val="{00000003-D351-43E2-BF9C-2F3A45777569}"/>
            </c:ext>
          </c:extLst>
        </c:ser>
        <c:ser>
          <c:idx val="4"/>
          <c:order val="4"/>
          <c:tx>
            <c:strRef>
              <c:f>Sheet1!$A$6</c:f>
              <c:strCache>
                <c:ptCount val="1"/>
                <c:pt idx="0">
                  <c:v>41–50 yrs</c:v>
                </c:pt>
              </c:strCache>
            </c:strRef>
          </c:tx>
          <c:spPr>
            <a:solidFill>
              <a:schemeClr val="accent5"/>
            </a:solidFill>
            <a:ln>
              <a:noFill/>
            </a:ln>
            <a:effectLst/>
            <a:sp3d/>
          </c:spPr>
          <c:invertIfNegative val="0"/>
          <c:cat>
            <c:strRef>
              <c:f>Sheet1!$B$1:$C$1</c:f>
              <c:strCache>
                <c:ptCount val="2"/>
                <c:pt idx="0">
                  <c:v>Community Prevalence (%)</c:v>
                </c:pt>
                <c:pt idx="1">
                  <c:v>Clinical Prevalence (%)</c:v>
                </c:pt>
              </c:strCache>
            </c:strRef>
          </c:cat>
          <c:val>
            <c:numRef>
              <c:f>Sheet1!$B$6:$C$6</c:f>
              <c:numCache>
                <c:formatCode>General</c:formatCode>
                <c:ptCount val="2"/>
                <c:pt idx="0">
                  <c:v>45.1</c:v>
                </c:pt>
                <c:pt idx="1">
                  <c:v>80.900000000000006</c:v>
                </c:pt>
              </c:numCache>
            </c:numRef>
          </c:val>
          <c:extLst>
            <c:ext xmlns:c16="http://schemas.microsoft.com/office/drawing/2014/chart" uri="{C3380CC4-5D6E-409C-BE32-E72D297353CC}">
              <c16:uniqueId val="{00000004-D351-43E2-BF9C-2F3A45777569}"/>
            </c:ext>
          </c:extLst>
        </c:ser>
        <c:ser>
          <c:idx val="5"/>
          <c:order val="5"/>
          <c:tx>
            <c:strRef>
              <c:f>Sheet1!$A$7</c:f>
              <c:strCache>
                <c:ptCount val="1"/>
                <c:pt idx="0">
                  <c:v>&gt;50 yrs</c:v>
                </c:pt>
              </c:strCache>
            </c:strRef>
          </c:tx>
          <c:spPr>
            <a:solidFill>
              <a:schemeClr val="accent6"/>
            </a:solidFill>
            <a:ln>
              <a:noFill/>
            </a:ln>
            <a:effectLst/>
            <a:sp3d/>
          </c:spPr>
          <c:invertIfNegative val="0"/>
          <c:cat>
            <c:strRef>
              <c:f>Sheet1!$B$1:$C$1</c:f>
              <c:strCache>
                <c:ptCount val="2"/>
                <c:pt idx="0">
                  <c:v>Community Prevalence (%)</c:v>
                </c:pt>
                <c:pt idx="1">
                  <c:v>Clinical Prevalence (%)</c:v>
                </c:pt>
              </c:strCache>
            </c:strRef>
          </c:cat>
          <c:val>
            <c:numRef>
              <c:f>Sheet1!$B$7:$C$7</c:f>
              <c:numCache>
                <c:formatCode>General</c:formatCode>
                <c:ptCount val="2"/>
                <c:pt idx="0">
                  <c:v>55.6</c:v>
                </c:pt>
                <c:pt idx="1">
                  <c:v>87.1</c:v>
                </c:pt>
              </c:numCache>
            </c:numRef>
          </c:val>
          <c:extLst>
            <c:ext xmlns:c16="http://schemas.microsoft.com/office/drawing/2014/chart" uri="{C3380CC4-5D6E-409C-BE32-E72D297353CC}">
              <c16:uniqueId val="{00000005-D351-43E2-BF9C-2F3A45777569}"/>
            </c:ext>
          </c:extLst>
        </c:ser>
        <c:dLbls>
          <c:showLegendKey val="0"/>
          <c:showVal val="0"/>
          <c:showCatName val="0"/>
          <c:showSerName val="0"/>
          <c:showPercent val="0"/>
          <c:showBubbleSize val="0"/>
        </c:dLbls>
        <c:gapWidth val="150"/>
        <c:shape val="box"/>
        <c:axId val="123543936"/>
        <c:axId val="123545472"/>
        <c:axId val="0"/>
      </c:bar3DChart>
      <c:catAx>
        <c:axId val="123543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545472"/>
        <c:crosses val="autoZero"/>
        <c:auto val="1"/>
        <c:lblAlgn val="ctr"/>
        <c:lblOffset val="100"/>
        <c:noMultiLvlLbl val="0"/>
      </c:catAx>
      <c:valAx>
        <c:axId val="123545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54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Socioeconomic status and STH infection</a:t>
            </a:r>
          </a:p>
        </c:rich>
      </c:tx>
      <c:overlay val="0"/>
      <c:spPr>
        <a:noFill/>
        <a:ln>
          <a:noFill/>
        </a:ln>
        <a:effectLst/>
      </c:spPr>
    </c:title>
    <c:autoTitleDeleted val="0"/>
    <c:plotArea>
      <c:layout/>
      <c:barChart>
        <c:barDir val="col"/>
        <c:grouping val="stacked"/>
        <c:varyColors val="0"/>
        <c:ser>
          <c:idx val="0"/>
          <c:order val="0"/>
          <c:tx>
            <c:strRef>
              <c:f>Sheet1!$B$1</c:f>
              <c:strCache>
                <c:ptCount val="1"/>
                <c:pt idx="0">
                  <c:v>Community Prevalence (%)</c:v>
                </c:pt>
              </c:strCache>
            </c:strRef>
          </c:tx>
          <c:spPr>
            <a:solidFill>
              <a:schemeClr val="accent1"/>
            </a:solidFill>
            <a:ln>
              <a:noFill/>
            </a:ln>
            <a:effectLst/>
          </c:spPr>
          <c:invertIfNegative val="0"/>
          <c:cat>
            <c:strRef>
              <c:f>Sheet1!$A$2:$A$5</c:f>
              <c:strCache>
                <c:ptCount val="4"/>
                <c:pt idx="0">
                  <c:v>Low Income</c:v>
                </c:pt>
                <c:pt idx="1">
                  <c:v>Middle Income</c:v>
                </c:pt>
                <c:pt idx="2">
                  <c:v>High Income</c:v>
                </c:pt>
                <c:pt idx="3">
                  <c:v>Overall Mean</c:v>
                </c:pt>
              </c:strCache>
            </c:strRef>
          </c:cat>
          <c:val>
            <c:numRef>
              <c:f>Sheet1!$B$2:$B$5</c:f>
              <c:numCache>
                <c:formatCode>General</c:formatCode>
                <c:ptCount val="4"/>
                <c:pt idx="0">
                  <c:v>63.8</c:v>
                </c:pt>
                <c:pt idx="1">
                  <c:v>54.3</c:v>
                </c:pt>
                <c:pt idx="2">
                  <c:v>43.6</c:v>
                </c:pt>
                <c:pt idx="3">
                  <c:v>55.1</c:v>
                </c:pt>
              </c:numCache>
            </c:numRef>
          </c:val>
          <c:extLst>
            <c:ext xmlns:c16="http://schemas.microsoft.com/office/drawing/2014/chart" uri="{C3380CC4-5D6E-409C-BE32-E72D297353CC}">
              <c16:uniqueId val="{00000000-E71A-4337-9957-6EF9A6C6DDF6}"/>
            </c:ext>
          </c:extLst>
        </c:ser>
        <c:ser>
          <c:idx val="1"/>
          <c:order val="1"/>
          <c:tx>
            <c:strRef>
              <c:f>Sheet1!$C$1</c:f>
              <c:strCache>
                <c:ptCount val="1"/>
                <c:pt idx="0">
                  <c:v>Clinical Prevalence (%)</c:v>
                </c:pt>
              </c:strCache>
            </c:strRef>
          </c:tx>
          <c:spPr>
            <a:solidFill>
              <a:schemeClr val="accent2"/>
            </a:solidFill>
            <a:ln>
              <a:noFill/>
            </a:ln>
            <a:effectLst/>
          </c:spPr>
          <c:invertIfNegative val="0"/>
          <c:cat>
            <c:strRef>
              <c:f>Sheet1!$A$2:$A$5</c:f>
              <c:strCache>
                <c:ptCount val="4"/>
                <c:pt idx="0">
                  <c:v>Low Income</c:v>
                </c:pt>
                <c:pt idx="1">
                  <c:v>Middle Income</c:v>
                </c:pt>
                <c:pt idx="2">
                  <c:v>High Income</c:v>
                </c:pt>
                <c:pt idx="3">
                  <c:v>Overall Mean</c:v>
                </c:pt>
              </c:strCache>
            </c:strRef>
          </c:cat>
          <c:val>
            <c:numRef>
              <c:f>Sheet1!$C$2:$C$5</c:f>
              <c:numCache>
                <c:formatCode>General</c:formatCode>
                <c:ptCount val="4"/>
                <c:pt idx="0">
                  <c:v>89.97</c:v>
                </c:pt>
                <c:pt idx="1">
                  <c:v>83.4</c:v>
                </c:pt>
                <c:pt idx="2">
                  <c:v>76.86</c:v>
                </c:pt>
                <c:pt idx="3">
                  <c:v>84.6</c:v>
                </c:pt>
              </c:numCache>
            </c:numRef>
          </c:val>
          <c:extLst>
            <c:ext xmlns:c16="http://schemas.microsoft.com/office/drawing/2014/chart" uri="{C3380CC4-5D6E-409C-BE32-E72D297353CC}">
              <c16:uniqueId val="{00000001-E71A-4337-9957-6EF9A6C6DDF6}"/>
            </c:ext>
          </c:extLst>
        </c:ser>
        <c:dLbls>
          <c:showLegendKey val="0"/>
          <c:showVal val="0"/>
          <c:showCatName val="0"/>
          <c:showSerName val="0"/>
          <c:showPercent val="0"/>
          <c:showBubbleSize val="0"/>
        </c:dLbls>
        <c:gapWidth val="150"/>
        <c:overlap val="100"/>
        <c:axId val="123686912"/>
        <c:axId val="123688448"/>
      </c:barChart>
      <c:catAx>
        <c:axId val="12368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688448"/>
        <c:crosses val="autoZero"/>
        <c:auto val="1"/>
        <c:lblAlgn val="ctr"/>
        <c:lblOffset val="100"/>
        <c:noMultiLvlLbl val="0"/>
      </c:catAx>
      <c:valAx>
        <c:axId val="12368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68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Prevalence of STH among rural and urban population</a:t>
            </a:r>
          </a:p>
        </c:rich>
      </c:tx>
      <c:layout>
        <c:manualLayout>
          <c:xMode val="edge"/>
          <c:yMode val="edge"/>
          <c:x val="0.14131233595800524"/>
          <c:y val="2.7777777777777776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Community Prevalence (%)</c:v>
                </c:pt>
              </c:strCache>
            </c:strRef>
          </c:tx>
          <c:spPr>
            <a:solidFill>
              <a:schemeClr val="accent1"/>
            </a:solidFill>
            <a:ln>
              <a:noFill/>
            </a:ln>
            <a:effectLst/>
          </c:spPr>
          <c:invertIfNegative val="0"/>
          <c:cat>
            <c:strRef>
              <c:f>Sheet1!$A$2:$A$4</c:f>
              <c:strCache>
                <c:ptCount val="3"/>
                <c:pt idx="0">
                  <c:v>Rural</c:v>
                </c:pt>
                <c:pt idx="1">
                  <c:v>Urban</c:v>
                </c:pt>
                <c:pt idx="2">
                  <c:v>Overall Mean</c:v>
                </c:pt>
              </c:strCache>
            </c:strRef>
          </c:cat>
          <c:val>
            <c:numRef>
              <c:f>Sheet1!$B$2:$B$4</c:f>
              <c:numCache>
                <c:formatCode>General</c:formatCode>
                <c:ptCount val="3"/>
                <c:pt idx="0">
                  <c:v>61.1</c:v>
                </c:pt>
                <c:pt idx="1">
                  <c:v>49.4</c:v>
                </c:pt>
                <c:pt idx="2">
                  <c:v>55.1</c:v>
                </c:pt>
              </c:numCache>
            </c:numRef>
          </c:val>
          <c:extLst>
            <c:ext xmlns:c16="http://schemas.microsoft.com/office/drawing/2014/chart" uri="{C3380CC4-5D6E-409C-BE32-E72D297353CC}">
              <c16:uniqueId val="{00000000-594E-4DD2-818E-77A5BB677C6B}"/>
            </c:ext>
          </c:extLst>
        </c:ser>
        <c:ser>
          <c:idx val="1"/>
          <c:order val="1"/>
          <c:tx>
            <c:strRef>
              <c:f>Sheet1!$C$1</c:f>
              <c:strCache>
                <c:ptCount val="1"/>
                <c:pt idx="0">
                  <c:v>Clinical Prevalence (%)</c:v>
                </c:pt>
              </c:strCache>
            </c:strRef>
          </c:tx>
          <c:spPr>
            <a:solidFill>
              <a:schemeClr val="accent2"/>
            </a:solidFill>
            <a:ln>
              <a:noFill/>
            </a:ln>
            <a:effectLst/>
          </c:spPr>
          <c:invertIfNegative val="0"/>
          <c:cat>
            <c:strRef>
              <c:f>Sheet1!$A$2:$A$4</c:f>
              <c:strCache>
                <c:ptCount val="3"/>
                <c:pt idx="0">
                  <c:v>Rural</c:v>
                </c:pt>
                <c:pt idx="1">
                  <c:v>Urban</c:v>
                </c:pt>
                <c:pt idx="2">
                  <c:v>Overall Mean</c:v>
                </c:pt>
              </c:strCache>
            </c:strRef>
          </c:cat>
          <c:val>
            <c:numRef>
              <c:f>Sheet1!$C$2:$C$4</c:f>
              <c:numCache>
                <c:formatCode>General</c:formatCode>
                <c:ptCount val="3"/>
                <c:pt idx="0">
                  <c:v>88.9</c:v>
                </c:pt>
                <c:pt idx="1">
                  <c:v>79</c:v>
                </c:pt>
                <c:pt idx="2">
                  <c:v>84.6</c:v>
                </c:pt>
              </c:numCache>
            </c:numRef>
          </c:val>
          <c:extLst>
            <c:ext xmlns:c16="http://schemas.microsoft.com/office/drawing/2014/chart" uri="{C3380CC4-5D6E-409C-BE32-E72D297353CC}">
              <c16:uniqueId val="{00000001-594E-4DD2-818E-77A5BB677C6B}"/>
            </c:ext>
          </c:extLst>
        </c:ser>
        <c:dLbls>
          <c:showLegendKey val="0"/>
          <c:showVal val="0"/>
          <c:showCatName val="0"/>
          <c:showSerName val="0"/>
          <c:showPercent val="0"/>
          <c:showBubbleSize val="0"/>
        </c:dLbls>
        <c:gapWidth val="219"/>
        <c:overlap val="-27"/>
        <c:axId val="96103808"/>
        <c:axId val="123675776"/>
      </c:barChart>
      <c:catAx>
        <c:axId val="9610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675776"/>
        <c:crosses val="autoZero"/>
        <c:auto val="1"/>
        <c:lblAlgn val="ctr"/>
        <c:lblOffset val="100"/>
        <c:noMultiLvlLbl val="0"/>
      </c:catAx>
      <c:valAx>
        <c:axId val="12367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10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164</TotalTime>
  <Pages>24</Pages>
  <Words>5421</Words>
  <Characters>30905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HJKL ZXC</dc:creator>
  <cp:lastModifiedBy>SDI 1084</cp:lastModifiedBy>
  <cp:revision>21</cp:revision>
  <dcterms:created xsi:type="dcterms:W3CDTF">2025-11-29T07:38:00Z</dcterms:created>
  <dcterms:modified xsi:type="dcterms:W3CDTF">2025-12-19T06:34:00Z</dcterms:modified>
</cp:coreProperties>
</file>