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CC2A2" w14:textId="77777777" w:rsidR="00754C9A" w:rsidRDefault="00754C9A" w:rsidP="00441B6F">
      <w:pPr>
        <w:pStyle w:val="Title"/>
        <w:spacing w:after="0"/>
        <w:jc w:val="both"/>
        <w:rPr>
          <w:rFonts w:ascii="Arial" w:hAnsi="Arial" w:cs="Arial"/>
        </w:rPr>
      </w:pPr>
    </w:p>
    <w:p w14:paraId="1656D896" w14:textId="77777777" w:rsidR="006C56AD" w:rsidRPr="006C56AD" w:rsidRDefault="006C56AD" w:rsidP="006C56AD">
      <w:pPr>
        <w:pStyle w:val="Author"/>
        <w:rPr>
          <w:rFonts w:ascii="Arial" w:hAnsi="Arial" w:cs="Arial"/>
          <w:bCs/>
          <w:i/>
          <w:iCs/>
          <w:kern w:val="28"/>
          <w:sz w:val="18"/>
          <w:szCs w:val="18"/>
          <w:u w:val="single"/>
        </w:rPr>
      </w:pPr>
      <w:r w:rsidRPr="006C56AD">
        <w:rPr>
          <w:rFonts w:ascii="Arial" w:hAnsi="Arial" w:cs="Arial"/>
          <w:bCs/>
          <w:i/>
          <w:iCs/>
          <w:kern w:val="28"/>
          <w:sz w:val="18"/>
          <w:szCs w:val="18"/>
          <w:u w:val="single"/>
        </w:rPr>
        <w:t>Original Research Article</w:t>
      </w:r>
    </w:p>
    <w:p w14:paraId="7DF374A0" w14:textId="1F23AB3A" w:rsidR="00100263" w:rsidRPr="00100263" w:rsidRDefault="00100263" w:rsidP="00100263">
      <w:pPr>
        <w:pStyle w:val="Author"/>
        <w:spacing w:line="240" w:lineRule="auto"/>
        <w:rPr>
          <w:rFonts w:ascii="Arial" w:hAnsi="Arial" w:cs="Arial"/>
          <w:bCs/>
          <w:iCs/>
          <w:kern w:val="28"/>
          <w:sz w:val="36"/>
          <w:lang w:val="en-IN"/>
        </w:rPr>
      </w:pPr>
      <w:r w:rsidRPr="00100263">
        <w:rPr>
          <w:rFonts w:ascii="Arial" w:hAnsi="Arial" w:cs="Arial"/>
          <w:bCs/>
          <w:iCs/>
          <w:kern w:val="28"/>
          <w:sz w:val="36"/>
          <w:lang w:val="en-IN"/>
        </w:rPr>
        <w:t xml:space="preserve">Nutritional Efficacy of </w:t>
      </w:r>
      <w:proofErr w:type="spellStart"/>
      <w:r w:rsidRPr="00100263">
        <w:rPr>
          <w:rFonts w:ascii="Arial" w:hAnsi="Arial" w:cs="Arial"/>
          <w:bCs/>
          <w:i/>
          <w:iCs/>
          <w:kern w:val="28"/>
          <w:sz w:val="36"/>
          <w:lang w:val="en-IN"/>
        </w:rPr>
        <w:t>Kappaphycus</w:t>
      </w:r>
      <w:proofErr w:type="spellEnd"/>
      <w:r w:rsidRPr="00100263">
        <w:rPr>
          <w:rFonts w:ascii="Arial" w:hAnsi="Arial" w:cs="Arial"/>
          <w:bCs/>
          <w:i/>
          <w:iCs/>
          <w:kern w:val="28"/>
          <w:sz w:val="36"/>
          <w:lang w:val="en-IN"/>
        </w:rPr>
        <w:t xml:space="preserve"> </w:t>
      </w:r>
      <w:proofErr w:type="spellStart"/>
      <w:r w:rsidRPr="00100263">
        <w:rPr>
          <w:rFonts w:ascii="Arial" w:hAnsi="Arial" w:cs="Arial"/>
          <w:bCs/>
          <w:i/>
          <w:iCs/>
          <w:kern w:val="28"/>
          <w:sz w:val="36"/>
          <w:lang w:val="en-IN"/>
        </w:rPr>
        <w:t>alvarezii</w:t>
      </w:r>
      <w:proofErr w:type="spellEnd"/>
      <w:r w:rsidRPr="00100263">
        <w:rPr>
          <w:rFonts w:ascii="Arial" w:hAnsi="Arial" w:cs="Arial"/>
          <w:bCs/>
          <w:iCs/>
          <w:kern w:val="28"/>
          <w:sz w:val="36"/>
          <w:lang w:val="en-IN"/>
        </w:rPr>
        <w:t xml:space="preserve"> Sap Supplementation on Growth and Body Composition of </w:t>
      </w:r>
      <w:proofErr w:type="spellStart"/>
      <w:r w:rsidRPr="00100263">
        <w:rPr>
          <w:rFonts w:ascii="Arial" w:hAnsi="Arial" w:cs="Arial"/>
          <w:bCs/>
          <w:i/>
          <w:iCs/>
          <w:kern w:val="28"/>
          <w:sz w:val="36"/>
          <w:lang w:val="en-IN"/>
        </w:rPr>
        <w:t>Labeo</w:t>
      </w:r>
      <w:proofErr w:type="spellEnd"/>
      <w:r w:rsidRPr="00100263">
        <w:rPr>
          <w:rFonts w:ascii="Arial" w:hAnsi="Arial" w:cs="Arial"/>
          <w:bCs/>
          <w:i/>
          <w:iCs/>
          <w:kern w:val="28"/>
          <w:sz w:val="36"/>
          <w:lang w:val="en-IN"/>
        </w:rPr>
        <w:t xml:space="preserve"> </w:t>
      </w:r>
      <w:proofErr w:type="spellStart"/>
      <w:r w:rsidRPr="00100263">
        <w:rPr>
          <w:rFonts w:ascii="Arial" w:hAnsi="Arial" w:cs="Arial"/>
          <w:bCs/>
          <w:i/>
          <w:iCs/>
          <w:kern w:val="28"/>
          <w:sz w:val="36"/>
          <w:lang w:val="en-IN"/>
        </w:rPr>
        <w:t>rohita</w:t>
      </w:r>
      <w:proofErr w:type="spellEnd"/>
    </w:p>
    <w:p w14:paraId="7FCE0BAB" w14:textId="77777777" w:rsidR="00A258C3" w:rsidRPr="00100263" w:rsidRDefault="00A258C3" w:rsidP="00441B6F">
      <w:pPr>
        <w:pStyle w:val="Author"/>
        <w:spacing w:line="240" w:lineRule="auto"/>
        <w:jc w:val="both"/>
        <w:rPr>
          <w:rFonts w:ascii="Arial" w:hAnsi="Arial" w:cs="Arial"/>
          <w:sz w:val="36"/>
          <w:lang w:val="en-IN"/>
        </w:rPr>
      </w:pPr>
    </w:p>
    <w:p w14:paraId="3CC31B02" w14:textId="77777777" w:rsidR="006C56AD" w:rsidRPr="006C56AD" w:rsidRDefault="006C56AD" w:rsidP="006C56AD">
      <w:pPr>
        <w:pStyle w:val="Affiliation"/>
        <w:rPr>
          <w:rFonts w:ascii="Arial" w:hAnsi="Arial" w:cs="Arial"/>
          <w:lang w:val="en-IN"/>
        </w:rPr>
      </w:pPr>
    </w:p>
    <w:p w14:paraId="5F486281" w14:textId="77777777" w:rsidR="006C56AD" w:rsidRPr="006C56AD" w:rsidRDefault="006C56AD" w:rsidP="006C56AD">
      <w:pPr>
        <w:pStyle w:val="Affiliation"/>
        <w:rPr>
          <w:rFonts w:ascii="Arial" w:hAnsi="Arial" w:cs="Arial"/>
          <w:lang w:val="en-IN"/>
        </w:rPr>
      </w:pPr>
      <w:r w:rsidRPr="006C56AD">
        <w:rPr>
          <w:rFonts w:ascii="Arial" w:hAnsi="Arial" w:cs="Arial"/>
          <w:lang w:val="en-IN"/>
        </w:rPr>
        <w:tab/>
      </w:r>
    </w:p>
    <w:p w14:paraId="5EF3B235" w14:textId="77777777" w:rsidR="002C57D2" w:rsidRPr="00FB3A86" w:rsidRDefault="002C57D2" w:rsidP="00441B6F">
      <w:pPr>
        <w:pStyle w:val="Affiliation"/>
        <w:spacing w:after="0" w:line="240" w:lineRule="auto"/>
        <w:jc w:val="both"/>
        <w:rPr>
          <w:rFonts w:ascii="Arial" w:hAnsi="Arial" w:cs="Arial"/>
        </w:rPr>
      </w:pPr>
    </w:p>
    <w:p w14:paraId="46087DA2" w14:textId="77777777" w:rsidR="00B01FCD" w:rsidRPr="00FB3A86" w:rsidRDefault="00CC300B" w:rsidP="00441B6F">
      <w:pPr>
        <w:pStyle w:val="Copyright"/>
        <w:spacing w:after="0" w:line="240" w:lineRule="auto"/>
        <w:jc w:val="both"/>
        <w:rPr>
          <w:rFonts w:ascii="Arial" w:hAnsi="Arial" w:cs="Arial"/>
        </w:rPr>
        <w:sectPr w:rsidR="00B01FCD" w:rsidRPr="00FB3A86" w:rsidSect="003877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E5FBE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EC89CA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2E5C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F8775C" w14:textId="77777777" w:rsidTr="001E44FE">
        <w:tc>
          <w:tcPr>
            <w:tcW w:w="9576" w:type="dxa"/>
            <w:shd w:val="clear" w:color="auto" w:fill="F2F2F2"/>
          </w:tcPr>
          <w:p w14:paraId="6A95FC2F" w14:textId="77777777" w:rsidR="00505F06" w:rsidRPr="00100263" w:rsidRDefault="00100263" w:rsidP="00100263">
            <w:pPr>
              <w:pStyle w:val="Body"/>
              <w:rPr>
                <w:rFonts w:ascii="Arial" w:eastAsia="Calibri" w:hAnsi="Arial" w:cs="Arial"/>
                <w:bCs/>
                <w:iCs/>
                <w:szCs w:val="22"/>
                <w:lang w:val="en-IN"/>
              </w:rPr>
            </w:pPr>
            <w:r w:rsidRPr="00100263">
              <w:rPr>
                <w:rFonts w:ascii="Arial" w:eastAsia="Calibri" w:hAnsi="Arial" w:cs="Arial"/>
                <w:bCs/>
                <w:iCs/>
                <w:szCs w:val="22"/>
                <w:lang w:val="en-IN"/>
              </w:rPr>
              <w:t xml:space="preserve">The global aquaculture sector faces sustainability challenges due to the high cost and environmental burden of formulated feeds. This study investigated the potential of using red seaweed </w:t>
            </w:r>
            <w:proofErr w:type="spellStart"/>
            <w:r w:rsidRPr="00100263">
              <w:rPr>
                <w:rFonts w:ascii="Arial" w:eastAsia="Calibri" w:hAnsi="Arial" w:cs="Arial"/>
                <w:bCs/>
                <w:i/>
                <w:szCs w:val="22"/>
                <w:lang w:val="en-IN"/>
              </w:rPr>
              <w:t>Kappaphycus</w:t>
            </w:r>
            <w:proofErr w:type="spellEnd"/>
            <w:r w:rsidRPr="00100263">
              <w:rPr>
                <w:rFonts w:ascii="Arial" w:eastAsia="Calibri" w:hAnsi="Arial" w:cs="Arial"/>
                <w:bCs/>
                <w:i/>
                <w:szCs w:val="22"/>
                <w:lang w:val="en-IN"/>
              </w:rPr>
              <w:t xml:space="preserve"> </w:t>
            </w:r>
            <w:proofErr w:type="spellStart"/>
            <w:r w:rsidRPr="00100263">
              <w:rPr>
                <w:rFonts w:ascii="Arial" w:eastAsia="Calibri" w:hAnsi="Arial" w:cs="Arial"/>
                <w:bCs/>
                <w:i/>
                <w:szCs w:val="22"/>
                <w:lang w:val="en-IN"/>
              </w:rPr>
              <w:t>alvarezii</w:t>
            </w:r>
            <w:proofErr w:type="spellEnd"/>
            <w:r w:rsidRPr="00100263">
              <w:rPr>
                <w:rFonts w:ascii="Arial" w:eastAsia="Calibri" w:hAnsi="Arial" w:cs="Arial"/>
                <w:bCs/>
                <w:iCs/>
                <w:szCs w:val="22"/>
                <w:lang w:val="en-IN"/>
              </w:rPr>
              <w:t xml:space="preserve"> sap as a functional dietary supplement to enhance the performance of </w:t>
            </w:r>
            <w:proofErr w:type="spellStart"/>
            <w:r w:rsidRPr="00100263">
              <w:rPr>
                <w:rFonts w:ascii="Arial" w:eastAsia="Calibri" w:hAnsi="Arial" w:cs="Arial"/>
                <w:bCs/>
                <w:iCs/>
                <w:szCs w:val="22"/>
                <w:lang w:val="en-IN"/>
              </w:rPr>
              <w:t>Labeo</w:t>
            </w:r>
            <w:proofErr w:type="spellEnd"/>
            <w:r w:rsidRPr="00100263">
              <w:rPr>
                <w:rFonts w:ascii="Arial" w:eastAsia="Calibri" w:hAnsi="Arial" w:cs="Arial"/>
                <w:bCs/>
                <w:iCs/>
                <w:szCs w:val="22"/>
                <w:lang w:val="en-IN"/>
              </w:rPr>
              <w:t xml:space="preserve"> </w:t>
            </w:r>
            <w:proofErr w:type="spellStart"/>
            <w:r w:rsidRPr="00100263">
              <w:rPr>
                <w:rFonts w:ascii="Arial" w:eastAsia="Calibri" w:hAnsi="Arial" w:cs="Arial"/>
                <w:bCs/>
                <w:iCs/>
                <w:szCs w:val="22"/>
                <w:lang w:val="en-IN"/>
              </w:rPr>
              <w:t>rohita</w:t>
            </w:r>
            <w:proofErr w:type="spellEnd"/>
            <w:r w:rsidRPr="00100263">
              <w:rPr>
                <w:rFonts w:ascii="Arial" w:eastAsia="Calibri" w:hAnsi="Arial" w:cs="Arial"/>
                <w:bCs/>
                <w:iCs/>
                <w:szCs w:val="22"/>
                <w:lang w:val="en-IN"/>
              </w:rPr>
              <w:t xml:space="preserve"> (rohu) fingerlings. Rohu fingerlings were fed a commercial basal diet coated with graded inclusion levels of </w:t>
            </w:r>
            <w:r w:rsidRPr="00100263">
              <w:rPr>
                <w:rFonts w:ascii="Arial" w:eastAsia="Calibri" w:hAnsi="Arial" w:cs="Arial"/>
                <w:bCs/>
                <w:i/>
                <w:iCs/>
                <w:szCs w:val="22"/>
                <w:lang w:val="en-IN"/>
              </w:rPr>
              <w:t xml:space="preserve">K. </w:t>
            </w:r>
            <w:proofErr w:type="spellStart"/>
            <w:r w:rsidRPr="00100263">
              <w:rPr>
                <w:rFonts w:ascii="Arial" w:eastAsia="Calibri" w:hAnsi="Arial" w:cs="Arial"/>
                <w:bCs/>
                <w:i/>
                <w:iCs/>
                <w:szCs w:val="22"/>
                <w:lang w:val="en-IN"/>
              </w:rPr>
              <w:t>alvarezii</w:t>
            </w:r>
            <w:proofErr w:type="spellEnd"/>
            <w:r w:rsidRPr="00100263">
              <w:rPr>
                <w:rFonts w:ascii="Arial" w:eastAsia="Calibri" w:hAnsi="Arial" w:cs="Arial"/>
                <w:bCs/>
                <w:iCs/>
                <w:szCs w:val="22"/>
                <w:lang w:val="en-IN"/>
              </w:rPr>
              <w:t xml:space="preserve"> sap (Control: 0%, T1: 5%, T2: 10%, T3: 15%, and T4: 20%) over a 60-day feeding trial. Water quality and survival remained optimal across all treatments. Results showed a significant dose-dependent improvement in growth performance and feed utilization efficiency in the sap-supplemented groups compared to the control (p&lt;0.05). The 20% inclusion level (T4) exhibited the most significant enhancement, resulting in the highest cumulative net weight gain (66.30 g vs. 45.73 g in control), the best specific growth rate (SGR: 0.28% vs. 0.18% in control), and the most efficient Food Conversion Ratio (FCR: 1.670 vs. 2.237 in control). Furthermore, the carcass proximate composition, including crude protein (52.9% in T4 vs. 50.0% in control) and lipid levels, was significantly improved in the T4 group, indicating enhanced nutrient assimilation. These findings suggest that </w:t>
            </w:r>
            <w:r w:rsidRPr="00100263">
              <w:rPr>
                <w:rFonts w:ascii="Arial" w:eastAsia="Calibri" w:hAnsi="Arial" w:cs="Arial"/>
                <w:bCs/>
                <w:i/>
                <w:szCs w:val="22"/>
                <w:lang w:val="en-IN"/>
              </w:rPr>
              <w:t xml:space="preserve">K.  </w:t>
            </w:r>
            <w:proofErr w:type="spellStart"/>
            <w:r w:rsidRPr="00100263">
              <w:rPr>
                <w:rFonts w:ascii="Arial" w:eastAsia="Calibri" w:hAnsi="Arial" w:cs="Arial"/>
                <w:bCs/>
                <w:i/>
                <w:szCs w:val="22"/>
                <w:lang w:val="en-IN"/>
              </w:rPr>
              <w:t>alvarezii</w:t>
            </w:r>
            <w:proofErr w:type="spellEnd"/>
            <w:r w:rsidRPr="00100263">
              <w:rPr>
                <w:rFonts w:ascii="Arial" w:eastAsia="Calibri" w:hAnsi="Arial" w:cs="Arial"/>
                <w:bCs/>
                <w:iCs/>
                <w:szCs w:val="22"/>
                <w:lang w:val="en-IN"/>
              </w:rPr>
              <w:t xml:space="preserve"> sap functions as a highly effective, practical, and non-diluting </w:t>
            </w:r>
            <w:proofErr w:type="spellStart"/>
            <w:r w:rsidRPr="00100263">
              <w:rPr>
                <w:rFonts w:ascii="Arial" w:eastAsia="Calibri" w:hAnsi="Arial" w:cs="Arial"/>
                <w:bCs/>
                <w:iCs/>
                <w:szCs w:val="22"/>
                <w:lang w:val="en-IN"/>
              </w:rPr>
              <w:t>biofunctional</w:t>
            </w:r>
            <w:proofErr w:type="spellEnd"/>
            <w:r w:rsidRPr="00100263">
              <w:rPr>
                <w:rFonts w:ascii="Arial" w:eastAsia="Calibri" w:hAnsi="Arial" w:cs="Arial"/>
                <w:bCs/>
                <w:iCs/>
                <w:szCs w:val="22"/>
                <w:lang w:val="en-IN"/>
              </w:rPr>
              <w:t xml:space="preserve"> feed additive. Its soluble compounds enhance metabolic efficiency and growth without negatively impacting nutrient digestibility, offering a promising, eco-friendly, and cost-effective strategy for improving productivity in freshwater carp culture.</w:t>
            </w:r>
          </w:p>
        </w:tc>
      </w:tr>
    </w:tbl>
    <w:p w14:paraId="5507D305" w14:textId="77777777" w:rsidR="00636EB2" w:rsidRDefault="00636EB2" w:rsidP="00441B6F">
      <w:pPr>
        <w:pStyle w:val="Body"/>
        <w:spacing w:after="0"/>
        <w:rPr>
          <w:rFonts w:ascii="Arial" w:hAnsi="Arial" w:cs="Arial"/>
          <w:i/>
        </w:rPr>
      </w:pPr>
    </w:p>
    <w:p w14:paraId="2837556A" w14:textId="77777777" w:rsidR="00100263" w:rsidRPr="00100263" w:rsidRDefault="00A24E7E" w:rsidP="00100263">
      <w:pPr>
        <w:pStyle w:val="Body"/>
        <w:rPr>
          <w:rFonts w:ascii="Arial" w:hAnsi="Arial" w:cs="Arial"/>
          <w:bCs/>
          <w:i/>
          <w:iCs/>
          <w:lang w:val="en-IN"/>
        </w:rPr>
      </w:pPr>
      <w:r>
        <w:rPr>
          <w:rFonts w:ascii="Arial" w:hAnsi="Arial" w:cs="Arial"/>
          <w:i/>
        </w:rPr>
        <w:t xml:space="preserve">Keywords: </w:t>
      </w:r>
      <w:proofErr w:type="spellStart"/>
      <w:r w:rsidR="00100263" w:rsidRPr="00100263">
        <w:rPr>
          <w:rFonts w:ascii="Arial" w:hAnsi="Arial" w:cs="Arial"/>
          <w:bCs/>
          <w:i/>
          <w:lang w:val="en-IN"/>
        </w:rPr>
        <w:t>Labeo</w:t>
      </w:r>
      <w:proofErr w:type="spellEnd"/>
      <w:r w:rsidR="00100263" w:rsidRPr="00100263">
        <w:rPr>
          <w:rFonts w:ascii="Arial" w:hAnsi="Arial" w:cs="Arial"/>
          <w:bCs/>
          <w:i/>
          <w:lang w:val="en-IN"/>
        </w:rPr>
        <w:t xml:space="preserve"> </w:t>
      </w:r>
      <w:proofErr w:type="spellStart"/>
      <w:r w:rsidR="00100263" w:rsidRPr="00100263">
        <w:rPr>
          <w:rFonts w:ascii="Arial" w:hAnsi="Arial" w:cs="Arial"/>
          <w:bCs/>
          <w:i/>
          <w:lang w:val="en-IN"/>
        </w:rPr>
        <w:t>rohita</w:t>
      </w:r>
      <w:proofErr w:type="spellEnd"/>
      <w:r w:rsidR="00100263" w:rsidRPr="00100263">
        <w:rPr>
          <w:rFonts w:ascii="Arial" w:hAnsi="Arial" w:cs="Arial"/>
          <w:bCs/>
          <w:i/>
          <w:iCs/>
          <w:lang w:val="en-IN"/>
        </w:rPr>
        <w:t xml:space="preserve">, </w:t>
      </w:r>
      <w:proofErr w:type="spellStart"/>
      <w:r w:rsidR="00100263" w:rsidRPr="00100263">
        <w:rPr>
          <w:rFonts w:ascii="Arial" w:hAnsi="Arial" w:cs="Arial"/>
          <w:bCs/>
          <w:i/>
          <w:lang w:val="en-IN"/>
        </w:rPr>
        <w:t>Kappaphycus</w:t>
      </w:r>
      <w:proofErr w:type="spellEnd"/>
      <w:r w:rsidR="00100263" w:rsidRPr="00100263">
        <w:rPr>
          <w:rFonts w:ascii="Arial" w:hAnsi="Arial" w:cs="Arial"/>
          <w:bCs/>
          <w:i/>
          <w:lang w:val="en-IN"/>
        </w:rPr>
        <w:t xml:space="preserve"> </w:t>
      </w:r>
      <w:proofErr w:type="spellStart"/>
      <w:r w:rsidR="00100263" w:rsidRPr="00100263">
        <w:rPr>
          <w:rFonts w:ascii="Arial" w:hAnsi="Arial" w:cs="Arial"/>
          <w:bCs/>
          <w:i/>
          <w:lang w:val="en-IN"/>
        </w:rPr>
        <w:t>alvarezii</w:t>
      </w:r>
      <w:proofErr w:type="spellEnd"/>
      <w:r w:rsidR="00100263" w:rsidRPr="00100263">
        <w:rPr>
          <w:rFonts w:ascii="Arial" w:hAnsi="Arial" w:cs="Arial"/>
          <w:bCs/>
          <w:i/>
          <w:iCs/>
          <w:lang w:val="en-IN"/>
        </w:rPr>
        <w:t>, Seaweed sap, Aquafeed, Growth performance, Food Conversion Ratio</w:t>
      </w:r>
    </w:p>
    <w:p w14:paraId="6DD47AE1" w14:textId="77777777" w:rsidR="00100263" w:rsidRPr="00100263" w:rsidRDefault="00100263" w:rsidP="00100263">
      <w:pPr>
        <w:pStyle w:val="Body"/>
        <w:spacing w:after="0"/>
        <w:rPr>
          <w:rFonts w:ascii="Arial" w:hAnsi="Arial" w:cs="Arial"/>
          <w:b/>
          <w:bCs/>
          <w:i/>
          <w:lang w:val="en-IN"/>
        </w:rPr>
      </w:pPr>
    </w:p>
    <w:p w14:paraId="0B7AEC7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CF8734" w14:textId="77777777" w:rsidR="00790ADA" w:rsidRPr="00FB3A86" w:rsidRDefault="00790ADA" w:rsidP="00441B6F">
      <w:pPr>
        <w:pStyle w:val="AbstHead"/>
        <w:spacing w:after="0"/>
        <w:jc w:val="both"/>
        <w:rPr>
          <w:rFonts w:ascii="Arial" w:hAnsi="Arial" w:cs="Arial"/>
        </w:rPr>
      </w:pPr>
    </w:p>
    <w:p w14:paraId="058278D0" w14:textId="77777777" w:rsidR="00870425" w:rsidRPr="00870425" w:rsidRDefault="00870425" w:rsidP="00870425">
      <w:pPr>
        <w:pStyle w:val="Body"/>
        <w:spacing w:after="0"/>
        <w:rPr>
          <w:rFonts w:ascii="Arial" w:hAnsi="Arial" w:cs="Arial"/>
          <w:lang w:val="en-IN"/>
        </w:rPr>
      </w:pPr>
      <w:r w:rsidRPr="00870425">
        <w:rPr>
          <w:rFonts w:ascii="Arial" w:hAnsi="Arial" w:cs="Arial"/>
          <w:lang w:val="en-IN"/>
        </w:rPr>
        <w:t xml:space="preserve">Aquaculture is one of the fastest-growing food-production sectors worldwide, playing a pivotal role in global food security, nutrition, and livelihood support. Global aquaculture output reached a record 130.9 million tonnes in 2022, marking the first time farmed aquatic animal production surpassed capture fisheries (FAO, 2024; Naylor et al. 2021). This milestone reflects the sector’s remarkable capacity to intensify production through technological and nutritional innovations in response to rising demand for aquatic protein. Correspondingly, the proportion of fed aquaculture species has expanded significantly from </w:t>
      </w:r>
      <w:r w:rsidRPr="00870425">
        <w:rPr>
          <w:rFonts w:ascii="Arial" w:hAnsi="Arial" w:cs="Arial"/>
          <w:lang w:val="en-IN"/>
        </w:rPr>
        <w:lastRenderedPageBreak/>
        <w:t xml:space="preserve">45% in 2001 to nearly 80% of total aquaculture production in 2022 which underscores an increasing dependence on formulated feeds (FAO, 2024). India has emerged as a key driver of this global expansion, ranking as the third-largest fish producer and the second-largest aquaculture producer. National fish production reached 17.54 million tonnes in 2022–23 (FAO, 2024), with inland aquaculture dominated by Indian Major Carps (IMCs). These species hold a central position, contributing 70–75% of freshwater aquaculture output (Jayasankar, 2018). Among these </w:t>
      </w:r>
      <w:proofErr w:type="spellStart"/>
      <w:r w:rsidRPr="00870425">
        <w:rPr>
          <w:rFonts w:ascii="Arial" w:hAnsi="Arial" w:cs="Arial"/>
          <w:i/>
          <w:iCs/>
          <w:lang w:val="en-IN"/>
        </w:rPr>
        <w:t>Labeo</w:t>
      </w:r>
      <w:proofErr w:type="spellEnd"/>
      <w:r w:rsidRPr="00870425">
        <w:rPr>
          <w:rFonts w:ascii="Arial" w:hAnsi="Arial" w:cs="Arial"/>
          <w:i/>
          <w:iCs/>
          <w:lang w:val="en-IN"/>
        </w:rPr>
        <w:t xml:space="preserve"> </w:t>
      </w:r>
      <w:proofErr w:type="spellStart"/>
      <w:r w:rsidRPr="00870425">
        <w:rPr>
          <w:rFonts w:ascii="Arial" w:hAnsi="Arial" w:cs="Arial"/>
          <w:i/>
          <w:iCs/>
          <w:lang w:val="en-IN"/>
        </w:rPr>
        <w:t>rohita</w:t>
      </w:r>
      <w:proofErr w:type="spellEnd"/>
      <w:r w:rsidRPr="00870425">
        <w:rPr>
          <w:rFonts w:ascii="Arial" w:hAnsi="Arial" w:cs="Arial"/>
          <w:lang w:val="en-IN"/>
        </w:rPr>
        <w:t xml:space="preserve"> is one of the tops eleven globally farmed finfish species (FAO, 2020). Advancements in transcriptomics, proteomics, and metabolomics have recently placed rohu into the post-genomic era, enabling deeper exploration of nutritional and health-related interventions (Nissa et al., 2022). Despite these advances, the sector’s sustained growth is challenged by the rising cost and environmental burden of formulated feeds.</w:t>
      </w:r>
    </w:p>
    <w:p w14:paraId="79616966" w14:textId="77777777" w:rsidR="00870425" w:rsidRPr="00870425" w:rsidRDefault="00870425" w:rsidP="00870425">
      <w:pPr>
        <w:pStyle w:val="Body"/>
        <w:spacing w:after="0"/>
        <w:rPr>
          <w:rFonts w:ascii="Arial" w:hAnsi="Arial" w:cs="Arial"/>
          <w:lang w:val="en-IN"/>
        </w:rPr>
      </w:pPr>
      <w:r w:rsidRPr="00870425">
        <w:rPr>
          <w:rFonts w:ascii="Arial" w:hAnsi="Arial" w:cs="Arial"/>
          <w:lang w:val="en-IN"/>
        </w:rPr>
        <w:t xml:space="preserve">Feed inputs account for more than 50% of production costs in intensive systems, with protein representing the most expensive component (Pereira et al., 2012). Traditionally, fishmeal and fish oil from wild forage fisheries have served as primary nutrient sources; however, escalating prices, supply variability, and ecological pressures have made their long-term use unsustainable (Hardy, 2010; Ilias et al., 2015). As a result, extensive research is focused on identifying cost-effective, sustainable, and biologically functional feed ingredients capable of supporting growth, health, and profitability in aquaculture. Marine macroalgae (seaweeds) have gained substantial interest as promising feed additives owing to their favourable nutrient composition, rich polysaccharides, pigments, antioxidants, and immunostimulatory </w:t>
      </w:r>
      <w:proofErr w:type="spellStart"/>
      <w:r w:rsidRPr="00870425">
        <w:rPr>
          <w:rFonts w:ascii="Arial" w:hAnsi="Arial" w:cs="Arial"/>
          <w:lang w:val="en-IN"/>
        </w:rPr>
        <w:t>bioactives</w:t>
      </w:r>
      <w:proofErr w:type="spellEnd"/>
      <w:r w:rsidRPr="00870425">
        <w:rPr>
          <w:rFonts w:ascii="Arial" w:hAnsi="Arial" w:cs="Arial"/>
          <w:lang w:val="en-IN"/>
        </w:rPr>
        <w:t xml:space="preserve"> (Shields &amp; </w:t>
      </w:r>
      <w:proofErr w:type="spellStart"/>
      <w:r w:rsidRPr="00870425">
        <w:rPr>
          <w:rFonts w:ascii="Arial" w:hAnsi="Arial" w:cs="Arial"/>
          <w:lang w:val="en-IN"/>
        </w:rPr>
        <w:t>Lupatsch</w:t>
      </w:r>
      <w:proofErr w:type="spellEnd"/>
      <w:r w:rsidRPr="00870425">
        <w:rPr>
          <w:rFonts w:ascii="Arial" w:hAnsi="Arial" w:cs="Arial"/>
          <w:lang w:val="en-IN"/>
        </w:rPr>
        <w:t xml:space="preserve">, 2012). Seaweeds are broadly classified into brown, red, and green groups, and more than 220 species are utilized globally, of which approximately 10 are commercially cultivated (White &amp; Ohno, 1999; </w:t>
      </w:r>
      <w:proofErr w:type="spellStart"/>
      <w:r w:rsidRPr="00870425">
        <w:rPr>
          <w:rFonts w:ascii="Arial" w:hAnsi="Arial" w:cs="Arial"/>
          <w:lang w:val="en-IN"/>
        </w:rPr>
        <w:t>Wikfors</w:t>
      </w:r>
      <w:proofErr w:type="spellEnd"/>
      <w:r w:rsidRPr="00870425">
        <w:rPr>
          <w:rFonts w:ascii="Arial" w:hAnsi="Arial" w:cs="Arial"/>
          <w:lang w:val="en-IN"/>
        </w:rPr>
        <w:t xml:space="preserve"> &amp; Ohno, 2001). Notably, </w:t>
      </w:r>
      <w:proofErr w:type="spellStart"/>
      <w:r w:rsidRPr="00870425">
        <w:rPr>
          <w:rFonts w:ascii="Arial" w:hAnsi="Arial" w:cs="Arial"/>
          <w:i/>
          <w:iCs/>
          <w:lang w:val="en-IN"/>
        </w:rPr>
        <w:t>Kappaphycus</w:t>
      </w:r>
      <w:proofErr w:type="spellEnd"/>
      <w:r w:rsidRPr="00870425">
        <w:rPr>
          <w:rFonts w:ascii="Arial" w:hAnsi="Arial" w:cs="Arial"/>
          <w:i/>
          <w:iCs/>
          <w:lang w:val="en-IN"/>
        </w:rPr>
        <w:t xml:space="preserve"> </w:t>
      </w:r>
      <w:proofErr w:type="spellStart"/>
      <w:r w:rsidRPr="00870425">
        <w:rPr>
          <w:rFonts w:ascii="Arial" w:hAnsi="Arial" w:cs="Arial"/>
          <w:i/>
          <w:iCs/>
          <w:lang w:val="en-IN"/>
        </w:rPr>
        <w:t>alvarezii</w:t>
      </w:r>
      <w:proofErr w:type="spellEnd"/>
      <w:r w:rsidRPr="00870425">
        <w:rPr>
          <w:rFonts w:ascii="Arial" w:hAnsi="Arial" w:cs="Arial"/>
          <w:lang w:val="en-IN"/>
        </w:rPr>
        <w:t xml:space="preserve">, a red seaweed cultivated extensively for carrageenan production, has demonstrated considerable potential as a functional aquafeed ingredient. Seaweed-derived extracts have been reported to enhance growth, carcass quality, immune function, and gut health in various aquatic species (Nakagawa, 1985; El-Tawil, 2010; </w:t>
      </w:r>
      <w:proofErr w:type="spellStart"/>
      <w:r w:rsidRPr="00870425">
        <w:rPr>
          <w:rFonts w:ascii="Arial" w:hAnsi="Arial" w:cs="Arial"/>
          <w:lang w:val="en-IN"/>
        </w:rPr>
        <w:t>Kotiya</w:t>
      </w:r>
      <w:proofErr w:type="spellEnd"/>
      <w:r w:rsidRPr="00870425">
        <w:rPr>
          <w:rFonts w:ascii="Arial" w:hAnsi="Arial" w:cs="Arial"/>
          <w:lang w:val="en-IN"/>
        </w:rPr>
        <w:t xml:space="preserve"> et al., 2011). Specifically for carp culture, Singh (2014) documented beneficial effects of </w:t>
      </w:r>
      <w:proofErr w:type="spellStart"/>
      <w:r w:rsidRPr="00870425">
        <w:rPr>
          <w:rFonts w:ascii="Arial" w:hAnsi="Arial" w:cs="Arial"/>
          <w:i/>
          <w:iCs/>
          <w:lang w:val="en-IN"/>
        </w:rPr>
        <w:t>Gracilaria</w:t>
      </w:r>
      <w:proofErr w:type="spellEnd"/>
      <w:r w:rsidRPr="00870425">
        <w:rPr>
          <w:rFonts w:ascii="Arial" w:hAnsi="Arial" w:cs="Arial"/>
          <w:lang w:val="en-IN"/>
        </w:rPr>
        <w:t xml:space="preserve"> sap on growth and haematological parameters in </w:t>
      </w:r>
      <w:r w:rsidRPr="00870425">
        <w:rPr>
          <w:rFonts w:ascii="Arial" w:hAnsi="Arial" w:cs="Arial"/>
          <w:i/>
          <w:iCs/>
          <w:lang w:val="en-IN"/>
        </w:rPr>
        <w:t xml:space="preserve">L. </w:t>
      </w:r>
      <w:proofErr w:type="spellStart"/>
      <w:r w:rsidRPr="00870425">
        <w:rPr>
          <w:rFonts w:ascii="Arial" w:hAnsi="Arial" w:cs="Arial"/>
          <w:i/>
          <w:iCs/>
          <w:lang w:val="en-IN"/>
        </w:rPr>
        <w:t>rohita</w:t>
      </w:r>
      <w:proofErr w:type="spellEnd"/>
      <w:r w:rsidRPr="00870425">
        <w:rPr>
          <w:rFonts w:ascii="Arial" w:hAnsi="Arial" w:cs="Arial"/>
          <w:lang w:val="en-IN"/>
        </w:rPr>
        <w:t xml:space="preserve">, indicating the promise of macroalgal extracts for freshwater finfish. India possesses substantial seaweed resources, with major production zones across the Gulf of Mannar, Gulf of Kutch, Palk Bay, Lakshadweep, and the Andaman &amp; Nicobar Islands. The country produced 72,385 tonnes (wet weight) of seaweed in 2023, predominantly </w:t>
      </w:r>
      <w:r w:rsidRPr="00870425">
        <w:rPr>
          <w:rFonts w:ascii="Arial" w:hAnsi="Arial" w:cs="Arial"/>
          <w:i/>
          <w:iCs/>
          <w:lang w:val="en-IN"/>
        </w:rPr>
        <w:t xml:space="preserve">K. </w:t>
      </w:r>
      <w:proofErr w:type="spellStart"/>
      <w:r w:rsidRPr="00870425">
        <w:rPr>
          <w:rFonts w:ascii="Arial" w:hAnsi="Arial" w:cs="Arial"/>
          <w:i/>
          <w:iCs/>
          <w:lang w:val="en-IN"/>
        </w:rPr>
        <w:t>alvarezii</w:t>
      </w:r>
      <w:proofErr w:type="spellEnd"/>
      <w:r w:rsidRPr="00870425">
        <w:rPr>
          <w:rFonts w:ascii="Arial" w:hAnsi="Arial" w:cs="Arial"/>
          <w:lang w:val="en-IN"/>
        </w:rPr>
        <w:t xml:space="preserve"> and </w:t>
      </w:r>
      <w:proofErr w:type="spellStart"/>
      <w:r w:rsidRPr="00870425">
        <w:rPr>
          <w:rFonts w:ascii="Arial" w:hAnsi="Arial" w:cs="Arial"/>
          <w:i/>
          <w:iCs/>
          <w:lang w:val="en-IN"/>
        </w:rPr>
        <w:t>Gracilaria</w:t>
      </w:r>
      <w:proofErr w:type="spellEnd"/>
      <w:r w:rsidRPr="00870425">
        <w:rPr>
          <w:rFonts w:ascii="Arial" w:hAnsi="Arial" w:cs="Arial"/>
          <w:i/>
          <w:iCs/>
          <w:lang w:val="en-IN"/>
        </w:rPr>
        <w:t xml:space="preserve"> edulis</w:t>
      </w:r>
      <w:r w:rsidRPr="00870425">
        <w:rPr>
          <w:rFonts w:ascii="Arial" w:hAnsi="Arial" w:cs="Arial"/>
          <w:lang w:val="en-IN"/>
        </w:rPr>
        <w:t>, primarily for hydrocolloid extraction (CMFRI, 2024). Beyond industrial applications, seaweed biomass and extracts are increasingly utilized in food, biofertilizers, pharmaceuticals, cosmetics, animal feed, and emerging bioenergy sectors, aligning with circular bioeconomy priorities (Sharma et al., 2025).</w:t>
      </w:r>
    </w:p>
    <w:p w14:paraId="291563D8" w14:textId="77777777" w:rsidR="00870425" w:rsidRPr="00870425" w:rsidRDefault="00870425" w:rsidP="00870425">
      <w:pPr>
        <w:pStyle w:val="Body"/>
        <w:spacing w:after="0"/>
        <w:rPr>
          <w:rFonts w:ascii="Arial" w:hAnsi="Arial" w:cs="Arial"/>
          <w:lang w:val="en-IN"/>
        </w:rPr>
      </w:pPr>
      <w:r w:rsidRPr="00870425">
        <w:rPr>
          <w:rFonts w:ascii="Arial" w:hAnsi="Arial" w:cs="Arial"/>
          <w:lang w:val="en-IN"/>
        </w:rPr>
        <w:t xml:space="preserve">Although earlier studies have highlighted the benefits of algal extracts in aquaculture, there remains a critical lack of systematic, dose-dependent evaluation of </w:t>
      </w:r>
      <w:r w:rsidRPr="00870425">
        <w:rPr>
          <w:rFonts w:ascii="Arial" w:hAnsi="Arial" w:cs="Arial"/>
          <w:i/>
          <w:iCs/>
          <w:lang w:val="en-IN"/>
        </w:rPr>
        <w:t xml:space="preserve">K. </w:t>
      </w:r>
      <w:proofErr w:type="spellStart"/>
      <w:r w:rsidRPr="00870425">
        <w:rPr>
          <w:rFonts w:ascii="Arial" w:hAnsi="Arial" w:cs="Arial"/>
          <w:i/>
          <w:iCs/>
          <w:lang w:val="en-IN"/>
        </w:rPr>
        <w:t>alvarezii</w:t>
      </w:r>
      <w:proofErr w:type="spellEnd"/>
      <w:r w:rsidRPr="00870425">
        <w:rPr>
          <w:rFonts w:ascii="Arial" w:hAnsi="Arial" w:cs="Arial"/>
          <w:lang w:val="en-IN"/>
        </w:rPr>
        <w:t xml:space="preserve"> as a functional dietary supplement for </w:t>
      </w:r>
      <w:r w:rsidRPr="00870425">
        <w:rPr>
          <w:rFonts w:ascii="Arial" w:hAnsi="Arial" w:cs="Arial"/>
          <w:i/>
          <w:iCs/>
          <w:lang w:val="en-IN"/>
        </w:rPr>
        <w:t xml:space="preserve">L. </w:t>
      </w:r>
      <w:proofErr w:type="spellStart"/>
      <w:r w:rsidRPr="00870425">
        <w:rPr>
          <w:rFonts w:ascii="Arial" w:hAnsi="Arial" w:cs="Arial"/>
          <w:i/>
          <w:iCs/>
          <w:lang w:val="en-IN"/>
        </w:rPr>
        <w:t>rohita</w:t>
      </w:r>
      <w:proofErr w:type="spellEnd"/>
      <w:r w:rsidRPr="00870425">
        <w:rPr>
          <w:rFonts w:ascii="Arial" w:hAnsi="Arial" w:cs="Arial"/>
          <w:lang w:val="en-IN"/>
        </w:rPr>
        <w:t xml:space="preserve">. Establishing an optimal inclusion level is essential for commercial adoption, particularly for small- and medium-scale farmers seeking affordable nutritional strategies that improve productivity and fish health. Therefore, the present study investigates graded dietary inclusion levels of </w:t>
      </w:r>
      <w:r w:rsidRPr="00870425">
        <w:rPr>
          <w:rFonts w:ascii="Arial" w:hAnsi="Arial" w:cs="Arial"/>
          <w:i/>
          <w:iCs/>
          <w:lang w:val="en-IN"/>
        </w:rPr>
        <w:t xml:space="preserve">K. </w:t>
      </w:r>
      <w:proofErr w:type="spellStart"/>
      <w:r w:rsidRPr="00870425">
        <w:rPr>
          <w:rFonts w:ascii="Arial" w:hAnsi="Arial" w:cs="Arial"/>
          <w:i/>
          <w:iCs/>
          <w:lang w:val="en-IN"/>
        </w:rPr>
        <w:t>alvarezii</w:t>
      </w:r>
      <w:proofErr w:type="spellEnd"/>
      <w:r w:rsidRPr="00870425">
        <w:rPr>
          <w:rFonts w:ascii="Arial" w:hAnsi="Arial" w:cs="Arial"/>
          <w:lang w:val="en-IN"/>
        </w:rPr>
        <w:t xml:space="preserve"> sap in the feed of </w:t>
      </w:r>
      <w:r w:rsidRPr="00870425">
        <w:rPr>
          <w:rFonts w:ascii="Arial" w:hAnsi="Arial" w:cs="Arial"/>
          <w:i/>
          <w:iCs/>
          <w:lang w:val="en-IN"/>
        </w:rPr>
        <w:t xml:space="preserve">L. </w:t>
      </w:r>
      <w:proofErr w:type="spellStart"/>
      <w:r w:rsidRPr="00870425">
        <w:rPr>
          <w:rFonts w:ascii="Arial" w:hAnsi="Arial" w:cs="Arial"/>
          <w:i/>
          <w:iCs/>
          <w:lang w:val="en-IN"/>
        </w:rPr>
        <w:t>rohita</w:t>
      </w:r>
      <w:proofErr w:type="spellEnd"/>
      <w:r w:rsidRPr="00870425">
        <w:rPr>
          <w:rFonts w:ascii="Arial" w:hAnsi="Arial" w:cs="Arial"/>
          <w:lang w:val="en-IN"/>
        </w:rPr>
        <w:t xml:space="preserve"> fingerlings. The objectives were to determine optimum supplementation levels based on (</w:t>
      </w:r>
      <w:proofErr w:type="spellStart"/>
      <w:r w:rsidRPr="00870425">
        <w:rPr>
          <w:rFonts w:ascii="Arial" w:hAnsi="Arial" w:cs="Arial"/>
          <w:lang w:val="en-IN"/>
        </w:rPr>
        <w:t>i</w:t>
      </w:r>
      <w:proofErr w:type="spellEnd"/>
      <w:r w:rsidRPr="00870425">
        <w:rPr>
          <w:rFonts w:ascii="Arial" w:hAnsi="Arial" w:cs="Arial"/>
          <w:lang w:val="en-IN"/>
        </w:rPr>
        <w:t>) growth performance (net weight gain, SGR), (ii) feed utilization efficiency (FCR), (iii) carcass proximate composition, over a 60-day feeding trial.</w:t>
      </w:r>
    </w:p>
    <w:p w14:paraId="34A41DA0" w14:textId="77777777" w:rsidR="00790ADA" w:rsidRPr="00870425" w:rsidRDefault="00790ADA" w:rsidP="00441B6F">
      <w:pPr>
        <w:pStyle w:val="Body"/>
        <w:spacing w:after="0"/>
        <w:rPr>
          <w:rFonts w:ascii="Arial" w:hAnsi="Arial" w:cs="Arial"/>
          <w:lang w:val="en-IN"/>
        </w:rPr>
      </w:pPr>
    </w:p>
    <w:p w14:paraId="171159E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FB266B5" w14:textId="77777777" w:rsidR="00790ADA" w:rsidRPr="00FB3A86" w:rsidRDefault="00790ADA" w:rsidP="00441B6F">
      <w:pPr>
        <w:pStyle w:val="AbstHead"/>
        <w:spacing w:after="0"/>
        <w:jc w:val="both"/>
        <w:rPr>
          <w:rFonts w:ascii="Arial" w:hAnsi="Arial" w:cs="Arial"/>
        </w:rPr>
      </w:pPr>
    </w:p>
    <w:p w14:paraId="4A1AF04A" w14:textId="77777777" w:rsidR="00B61AFF" w:rsidRPr="00B61AFF" w:rsidRDefault="00B61AFF" w:rsidP="00B61AFF">
      <w:pPr>
        <w:pStyle w:val="Body"/>
        <w:spacing w:after="0"/>
        <w:rPr>
          <w:rFonts w:ascii="Arial" w:hAnsi="Arial" w:cs="Arial"/>
          <w:lang w:val="en-IN"/>
        </w:rPr>
      </w:pPr>
      <w:r w:rsidRPr="00B61AFF">
        <w:rPr>
          <w:rFonts w:ascii="Arial" w:hAnsi="Arial" w:cs="Arial"/>
          <w:lang w:val="en-IN"/>
        </w:rPr>
        <w:t xml:space="preserve">The present study evaluated the effects of </w:t>
      </w:r>
      <w:r w:rsidRPr="00B61AFF">
        <w:rPr>
          <w:rFonts w:ascii="Arial" w:hAnsi="Arial" w:cs="Arial"/>
          <w:i/>
          <w:iCs/>
          <w:lang w:val="en-IN"/>
        </w:rPr>
        <w:t xml:space="preserve">K. </w:t>
      </w:r>
      <w:proofErr w:type="spellStart"/>
      <w:r w:rsidRPr="00B61AFF">
        <w:rPr>
          <w:rFonts w:ascii="Arial" w:hAnsi="Arial" w:cs="Arial"/>
          <w:i/>
          <w:iCs/>
          <w:lang w:val="en-IN"/>
        </w:rPr>
        <w:t>alvarezii</w:t>
      </w:r>
      <w:proofErr w:type="spellEnd"/>
      <w:r w:rsidRPr="00B61AFF">
        <w:rPr>
          <w:rFonts w:ascii="Arial" w:hAnsi="Arial" w:cs="Arial"/>
          <w:lang w:val="en-IN"/>
        </w:rPr>
        <w:t xml:space="preserve"> sap supplementation on the growth and proximate composition parameters of </w:t>
      </w:r>
      <w:r w:rsidRPr="00B61AFF">
        <w:rPr>
          <w:rFonts w:ascii="Arial" w:hAnsi="Arial" w:cs="Arial"/>
          <w:i/>
          <w:iCs/>
          <w:lang w:val="en-IN"/>
        </w:rPr>
        <w:t xml:space="preserve">L. </w:t>
      </w:r>
      <w:proofErr w:type="spellStart"/>
      <w:r w:rsidRPr="00B61AFF">
        <w:rPr>
          <w:rFonts w:ascii="Arial" w:hAnsi="Arial" w:cs="Arial"/>
          <w:i/>
          <w:iCs/>
          <w:lang w:val="en-IN"/>
        </w:rPr>
        <w:t>rohita</w:t>
      </w:r>
      <w:proofErr w:type="spellEnd"/>
      <w:r w:rsidRPr="00B61AFF">
        <w:rPr>
          <w:rFonts w:ascii="Arial" w:hAnsi="Arial" w:cs="Arial"/>
          <w:i/>
          <w:iCs/>
          <w:lang w:val="en-IN"/>
        </w:rPr>
        <w:t xml:space="preserve"> </w:t>
      </w:r>
      <w:r w:rsidRPr="00B61AFF">
        <w:rPr>
          <w:rFonts w:ascii="Arial" w:hAnsi="Arial" w:cs="Arial"/>
          <w:lang w:val="en-IN"/>
        </w:rPr>
        <w:t xml:space="preserve">fingerlings. The trial was conducted for 60 days at the Aquaculture Research and Seed Unit, College of Fisheries, MPUAT, Udaipur, </w:t>
      </w:r>
      <w:r w:rsidRPr="00B61AFF">
        <w:rPr>
          <w:rFonts w:ascii="Arial" w:hAnsi="Arial" w:cs="Arial"/>
          <w:lang w:val="en-IN"/>
        </w:rPr>
        <w:lastRenderedPageBreak/>
        <w:t>using fifteen FRP tanks (1 × 1 × 1 m). Tanks were disinfected with potassium permanganate (</w:t>
      </w:r>
      <w:proofErr w:type="spellStart"/>
      <w:r w:rsidRPr="00B61AFF">
        <w:rPr>
          <w:rFonts w:ascii="Arial" w:hAnsi="Arial" w:cs="Arial"/>
          <w:lang w:val="en-IN"/>
        </w:rPr>
        <w:t>KMnO</w:t>
      </w:r>
      <w:proofErr w:type="spellEnd"/>
      <w:r w:rsidRPr="00B61AFF">
        <w:rPr>
          <w:rFonts w:ascii="Cambria Math" w:hAnsi="Cambria Math" w:cs="Cambria Math"/>
          <w:lang w:val="en-IN"/>
        </w:rPr>
        <w:t>₄</w:t>
      </w:r>
      <w:r w:rsidRPr="00B61AFF">
        <w:rPr>
          <w:rFonts w:ascii="Arial" w:hAnsi="Arial" w:cs="Arial"/>
          <w:lang w:val="en-IN"/>
        </w:rPr>
        <w:t xml:space="preserve">), dried, and filled with freshwater prior to stocking. Fingerlings (mean length ~13 cm) sourced from the MPUAT hatchery were acclimated for three days and stocked at a density of 10 fish per tank. Five dietary treatments, including a control, were assigned in triplicate: C (0%), T1 (5%), T2 (10%), T3 (15%), and T4 (20%) </w:t>
      </w:r>
      <w:r w:rsidRPr="00B61AFF">
        <w:rPr>
          <w:rFonts w:ascii="Arial" w:hAnsi="Arial" w:cs="Arial"/>
          <w:i/>
          <w:iCs/>
          <w:lang w:val="en-IN"/>
        </w:rPr>
        <w:t xml:space="preserve">K. </w:t>
      </w:r>
      <w:proofErr w:type="spellStart"/>
      <w:r w:rsidRPr="00B61AFF">
        <w:rPr>
          <w:rFonts w:ascii="Arial" w:hAnsi="Arial" w:cs="Arial"/>
          <w:i/>
          <w:iCs/>
          <w:lang w:val="en-IN"/>
        </w:rPr>
        <w:t>alvarezii</w:t>
      </w:r>
      <w:proofErr w:type="spellEnd"/>
      <w:r w:rsidRPr="00B61AFF">
        <w:rPr>
          <w:rFonts w:ascii="Arial" w:hAnsi="Arial" w:cs="Arial"/>
          <w:lang w:val="en-IN"/>
        </w:rPr>
        <w:t xml:space="preserve"> sap. Commercial floating pellets were used as the basal diet. Feed for each treatment was soaked in the respective sap concentration and shade-dried prior to feeding. Fish were fed daily at 4% of body weight for 60 days. </w:t>
      </w:r>
    </w:p>
    <w:p w14:paraId="06812C1D" w14:textId="77777777" w:rsidR="00B61AFF" w:rsidRPr="00B61AFF" w:rsidRDefault="00B61AFF" w:rsidP="00B61AFF">
      <w:pPr>
        <w:pStyle w:val="Body"/>
        <w:spacing w:after="0"/>
        <w:rPr>
          <w:rFonts w:ascii="Arial" w:hAnsi="Arial" w:cs="Arial"/>
          <w:lang w:val="en-IN"/>
        </w:rPr>
      </w:pPr>
      <w:r w:rsidRPr="00B61AFF">
        <w:rPr>
          <w:rFonts w:ascii="Arial" w:hAnsi="Arial" w:cs="Arial"/>
          <w:lang w:val="en-IN"/>
        </w:rPr>
        <w:t xml:space="preserve">Water quality was monitored fortnightly throughout the experiment. Temperature, pH, electrical conductivity (EC), dissolved oxygen (DO), and total dissolved solids (TDS) were measured using a HACH multi-parameter </w:t>
      </w:r>
      <w:proofErr w:type="spellStart"/>
      <w:r w:rsidRPr="00B61AFF">
        <w:rPr>
          <w:rFonts w:ascii="Arial" w:hAnsi="Arial" w:cs="Arial"/>
          <w:lang w:val="en-IN"/>
        </w:rPr>
        <w:t>analyzer</w:t>
      </w:r>
      <w:proofErr w:type="spellEnd"/>
      <w:r w:rsidRPr="00B61AFF">
        <w:rPr>
          <w:rFonts w:ascii="Arial" w:hAnsi="Arial" w:cs="Arial"/>
          <w:lang w:val="en-IN"/>
        </w:rPr>
        <w:t>. Ammonia-nitrogen, nitrate-nitrogen, and orthophosphate concentrations were determined spectrophotometrically (IMPLEN) at 425, 410, and 690 nm, respectively, following APHA (2005) protocols, with values calculated from standard calibration curves.</w:t>
      </w:r>
    </w:p>
    <w:p w14:paraId="24861739" w14:textId="77777777" w:rsidR="00B61AFF" w:rsidRPr="00B61AFF" w:rsidRDefault="00B61AFF" w:rsidP="00B61AFF">
      <w:pPr>
        <w:pStyle w:val="Body"/>
        <w:spacing w:after="0"/>
        <w:rPr>
          <w:rFonts w:ascii="Arial" w:hAnsi="Arial" w:cs="Arial"/>
          <w:lang w:val="en-IN"/>
        </w:rPr>
      </w:pPr>
      <w:r w:rsidRPr="00B61AFF">
        <w:rPr>
          <w:rFonts w:ascii="Arial" w:hAnsi="Arial" w:cs="Arial"/>
          <w:lang w:val="en-IN"/>
        </w:rPr>
        <w:tab/>
        <w:t xml:space="preserve">Proximate composition of the experimental diets and whole-body samples of </w:t>
      </w:r>
      <w:r w:rsidRPr="00B61AFF">
        <w:rPr>
          <w:rFonts w:ascii="Arial" w:hAnsi="Arial" w:cs="Arial"/>
          <w:i/>
          <w:iCs/>
          <w:lang w:val="en-IN"/>
        </w:rPr>
        <w:t xml:space="preserve">L. </w:t>
      </w:r>
      <w:proofErr w:type="spellStart"/>
      <w:r w:rsidRPr="00B61AFF">
        <w:rPr>
          <w:rFonts w:ascii="Arial" w:hAnsi="Arial" w:cs="Arial"/>
          <w:i/>
          <w:iCs/>
          <w:lang w:val="en-IN"/>
        </w:rPr>
        <w:t>rohita</w:t>
      </w:r>
      <w:proofErr w:type="spellEnd"/>
      <w:r w:rsidRPr="00B61AFF">
        <w:rPr>
          <w:rFonts w:ascii="Arial" w:hAnsi="Arial" w:cs="Arial"/>
          <w:i/>
          <w:iCs/>
          <w:lang w:val="en-IN"/>
        </w:rPr>
        <w:t xml:space="preserve"> </w:t>
      </w:r>
      <w:r w:rsidRPr="00B61AFF">
        <w:rPr>
          <w:rFonts w:ascii="Arial" w:hAnsi="Arial" w:cs="Arial"/>
          <w:lang w:val="en-IN"/>
        </w:rPr>
        <w:t xml:space="preserve">was determined following standard AOAC (1975) procedures. Moisture content was determined by oven-drying samples at 85 ± 2 °C for 24 h. Crude fat was analysed using Soxhlet extraction with petroleum ether (60–80 °C). Crude protein content was estimated using the Qubit Protein Assay Kit (Invitrogen) according to the manufacturer’s protocol. Ash content was determined by incinerating dried samples at 550 °C for 4 h in a muffle furnace. Nitrogen-free extract (NFE) was calculated by difference as: </w:t>
      </w:r>
    </w:p>
    <w:p w14:paraId="4735B282" w14:textId="77777777" w:rsidR="00B61AFF" w:rsidRDefault="00B61AFF" w:rsidP="00B61AFF">
      <w:pPr>
        <w:pStyle w:val="Body"/>
        <w:spacing w:after="0"/>
        <w:jc w:val="center"/>
        <w:rPr>
          <w:rFonts w:ascii="Arial" w:hAnsi="Arial" w:cs="Arial"/>
          <w:lang w:val="en-IN"/>
        </w:rPr>
      </w:pPr>
      <w:r w:rsidRPr="00B61AFF">
        <w:rPr>
          <w:rFonts w:ascii="Arial" w:hAnsi="Arial" w:cs="Arial"/>
          <w:lang w:val="en-IN"/>
        </w:rPr>
        <w:t>NFE (%) = 100 – (Crude Protein + Fat + Ash + Moisture)</w:t>
      </w:r>
    </w:p>
    <w:p w14:paraId="720E0608" w14:textId="77777777" w:rsidR="00B61AFF" w:rsidRPr="00B61AFF" w:rsidRDefault="00B61AFF" w:rsidP="00B61AFF">
      <w:pPr>
        <w:pStyle w:val="Body"/>
        <w:spacing w:after="0"/>
        <w:rPr>
          <w:rFonts w:ascii="Arial" w:hAnsi="Arial" w:cs="Arial"/>
          <w:lang w:val="en-IN"/>
        </w:rPr>
      </w:pPr>
      <w:r w:rsidRPr="00B61AFF">
        <w:rPr>
          <w:rFonts w:ascii="Arial" w:hAnsi="Arial" w:cs="Arial"/>
          <w:lang w:val="en-IN"/>
        </w:rPr>
        <w:t>Growth performance and feed utilization parameters were assessed fortnightly and at the end of the 60-day trial. Survival rate, net weight gain, percentage weight gain, feed conversion ratio (FCR), and specific growth rate (SGR) were calculated as per following:</w:t>
      </w:r>
      <w:r w:rsidRPr="00B61AFF">
        <w:rPr>
          <w:rFonts w:ascii="Arial" w:hAnsi="Arial" w:cs="Arial"/>
          <w:lang w:val="en-IN"/>
        </w:rPr>
        <w:br/>
      </w:r>
    </w:p>
    <w:tbl>
      <w:tblPr>
        <w:tblStyle w:val="TableGrid"/>
        <w:tblW w:w="0" w:type="auto"/>
        <w:tblLook w:val="04A0" w:firstRow="1" w:lastRow="0" w:firstColumn="1" w:lastColumn="0" w:noHBand="0" w:noVBand="1"/>
      </w:tblPr>
      <w:tblGrid>
        <w:gridCol w:w="8424"/>
      </w:tblGrid>
      <w:tr w:rsidR="00B61AFF" w:rsidRPr="00B61AFF" w14:paraId="6A64D620" w14:textId="77777777" w:rsidTr="00A71358">
        <w:tc>
          <w:tcPr>
            <w:tcW w:w="8424" w:type="dxa"/>
          </w:tcPr>
          <w:p w14:paraId="1F0A54D3" w14:textId="77777777" w:rsidR="00B61AFF" w:rsidRPr="00B61AFF" w:rsidRDefault="00B61AFF" w:rsidP="00A71358">
            <w:pPr>
              <w:pStyle w:val="Body"/>
              <w:spacing w:after="0"/>
              <w:rPr>
                <w:rFonts w:ascii="Arial" w:hAnsi="Arial" w:cs="Arial"/>
                <w:sz w:val="20"/>
                <w:szCs w:val="20"/>
                <w:lang w:val="en-IN"/>
              </w:rPr>
            </w:pPr>
            <m:oMathPara>
              <m:oMath>
                <m:r>
                  <m:rPr>
                    <m:nor/>
                  </m:rPr>
                  <w:rPr>
                    <w:rFonts w:ascii="Arial" w:eastAsia="Times New Roman" w:hAnsi="Arial" w:cs="Arial"/>
                    <w:sz w:val="20"/>
                    <w:szCs w:val="20"/>
                    <w:lang w:val="en-IN"/>
                  </w:rPr>
                  <m:t>Digestibility</m:t>
                </m:r>
                <m:r>
                  <m:rPr>
                    <m:sty m:val="p"/>
                  </m:rPr>
                  <w:rPr>
                    <w:rFonts w:ascii="Cambria Math" w:hAnsi="Cambria Math" w:cs="Arial"/>
                    <w:sz w:val="20"/>
                    <w:szCs w:val="20"/>
                    <w:lang w:val="en-IN"/>
                  </w:rPr>
                  <m:t> (</m:t>
                </m:r>
                <m:r>
                  <w:rPr>
                    <w:rFonts w:ascii="Cambria Math" w:hAnsi="Cambria Math" w:cs="Arial"/>
                    <w:sz w:val="20"/>
                    <w:szCs w:val="20"/>
                    <w:lang w:val="en-IN"/>
                  </w:rPr>
                  <m:t>%)=</m:t>
                </m:r>
                <m:f>
                  <m:fPr>
                    <m:ctrlPr>
                      <w:rPr>
                        <w:rFonts w:ascii="Cambria Math" w:eastAsia="Times New Roman" w:hAnsi="Cambria Math" w:cs="Arial"/>
                        <w:sz w:val="20"/>
                        <w:szCs w:val="20"/>
                        <w:lang w:val="en-IN"/>
                      </w:rPr>
                    </m:ctrlPr>
                  </m:fPr>
                  <m:num>
                    <m:r>
                      <m:rPr>
                        <m:nor/>
                      </m:rPr>
                      <w:rPr>
                        <w:rFonts w:ascii="Arial" w:eastAsia="Times New Roman" w:hAnsi="Arial" w:cs="Arial"/>
                        <w:sz w:val="20"/>
                        <w:szCs w:val="20"/>
                        <w:lang w:val="en-IN"/>
                      </w:rPr>
                      <m:t xml:space="preserve">Food consumed </m:t>
                    </m:r>
                    <m:r>
                      <m:rPr>
                        <m:sty m:val="p"/>
                      </m:rPr>
                      <w:rPr>
                        <w:rFonts w:ascii="Cambria Math" w:hAnsi="Cambria Math" w:cs="Arial"/>
                        <w:sz w:val="20"/>
                        <w:szCs w:val="20"/>
                        <w:lang w:val="en-IN"/>
                      </w:rPr>
                      <m:t>(</m:t>
                    </m:r>
                    <m:r>
                      <w:rPr>
                        <w:rFonts w:ascii="Cambria Math" w:hAnsi="Cambria Math" w:cs="Arial"/>
                        <w:sz w:val="20"/>
                        <w:szCs w:val="20"/>
                        <w:lang w:val="en-IN"/>
                      </w:rPr>
                      <m:t>g)</m:t>
                    </m:r>
                    <m:r>
                      <m:rPr>
                        <m:nor/>
                      </m:rPr>
                      <w:rPr>
                        <w:rFonts w:ascii="Arial" w:eastAsia="Times New Roman" w:hAnsi="Arial" w:cs="Arial"/>
                        <w:sz w:val="20"/>
                        <w:szCs w:val="20"/>
                        <w:lang w:val="en-IN"/>
                      </w:rPr>
                      <m:t xml:space="preserve"> - Faeces </m:t>
                    </m:r>
                    <m:r>
                      <m:rPr>
                        <m:sty m:val="p"/>
                      </m:rPr>
                      <w:rPr>
                        <w:rFonts w:ascii="Cambria Math" w:hAnsi="Cambria Math" w:cs="Arial"/>
                        <w:sz w:val="20"/>
                        <w:szCs w:val="20"/>
                        <w:lang w:val="en-IN"/>
                      </w:rPr>
                      <m:t>(</m:t>
                    </m:r>
                    <m:r>
                      <w:rPr>
                        <w:rFonts w:ascii="Cambria Math" w:hAnsi="Cambria Math" w:cs="Arial"/>
                        <w:sz w:val="20"/>
                        <w:szCs w:val="20"/>
                        <w:lang w:val="en-IN"/>
                      </w:rPr>
                      <m:t>g)</m:t>
                    </m:r>
                    <m:ctrlPr>
                      <w:rPr>
                        <w:rFonts w:ascii="Cambria Math" w:eastAsia="Times New Roman" w:hAnsi="Cambria Math" w:cs="Arial"/>
                        <w:i/>
                        <w:sz w:val="20"/>
                        <w:szCs w:val="20"/>
                        <w:lang w:val="en-IN"/>
                      </w:rPr>
                    </m:ctrlPr>
                  </m:num>
                  <m:den>
                    <m:r>
                      <m:rPr>
                        <m:nor/>
                      </m:rPr>
                      <w:rPr>
                        <w:rFonts w:ascii="Arial" w:eastAsia="Times New Roman" w:hAnsi="Arial" w:cs="Arial"/>
                        <w:sz w:val="20"/>
                        <w:szCs w:val="20"/>
                        <w:lang w:val="en-IN"/>
                      </w:rPr>
                      <m:t xml:space="preserve">Food consumed </m:t>
                    </m:r>
                    <m:r>
                      <m:rPr>
                        <m:sty m:val="p"/>
                      </m:rPr>
                      <w:rPr>
                        <w:rFonts w:ascii="Cambria Math" w:hAnsi="Cambria Math" w:cs="Arial"/>
                        <w:sz w:val="20"/>
                        <w:szCs w:val="20"/>
                        <w:lang w:val="en-IN"/>
                      </w:rPr>
                      <m:t>(</m:t>
                    </m:r>
                    <m:r>
                      <w:rPr>
                        <w:rFonts w:ascii="Cambria Math" w:hAnsi="Cambria Math" w:cs="Arial"/>
                        <w:sz w:val="20"/>
                        <w:szCs w:val="20"/>
                        <w:lang w:val="en-IN"/>
                      </w:rPr>
                      <m:t>g)</m:t>
                    </m:r>
                    <m:ctrlPr>
                      <w:rPr>
                        <w:rFonts w:ascii="Cambria Math" w:eastAsia="Times New Roman" w:hAnsi="Cambria Math" w:cs="Arial"/>
                        <w:i/>
                        <w:sz w:val="20"/>
                        <w:szCs w:val="20"/>
                        <w:lang w:val="en-IN"/>
                      </w:rPr>
                    </m:ctrlPr>
                  </m:den>
                </m:f>
                <m:r>
                  <w:rPr>
                    <w:rFonts w:ascii="Cambria Math" w:hAnsi="Cambria Math" w:cs="Arial"/>
                    <w:sz w:val="20"/>
                    <w:szCs w:val="20"/>
                    <w:lang w:val="en-IN"/>
                  </w:rPr>
                  <m:t> ×100</m:t>
                </m:r>
              </m:oMath>
            </m:oMathPara>
          </w:p>
        </w:tc>
      </w:tr>
      <w:tr w:rsidR="00B61AFF" w:rsidRPr="00B61AFF" w14:paraId="38B609C9" w14:textId="77777777" w:rsidTr="00A71358">
        <w:trPr>
          <w:trHeight w:val="550"/>
        </w:trPr>
        <w:tc>
          <w:tcPr>
            <w:tcW w:w="8424" w:type="dxa"/>
          </w:tcPr>
          <w:p w14:paraId="397781A9" w14:textId="77777777" w:rsidR="00B61AFF" w:rsidRPr="00B61AFF" w:rsidRDefault="00B61AFF" w:rsidP="00A71358">
            <w:pPr>
              <w:pStyle w:val="Body"/>
              <w:spacing w:after="0"/>
              <w:rPr>
                <w:rFonts w:ascii="Arial" w:hAnsi="Arial" w:cs="Arial"/>
                <w:sz w:val="20"/>
                <w:szCs w:val="20"/>
                <w:lang w:val="en-IN"/>
              </w:rPr>
            </w:pPr>
            <m:oMathPara>
              <m:oMath>
                <m:r>
                  <m:rPr>
                    <m:nor/>
                  </m:rPr>
                  <w:rPr>
                    <w:rFonts w:ascii="Arial" w:hAnsi="Arial" w:cs="Arial"/>
                    <w:sz w:val="20"/>
                    <w:szCs w:val="20"/>
                    <w:lang w:val="en-IN"/>
                  </w:rPr>
                  <m:t>Survival</m:t>
                </m:r>
                <m:r>
                  <m:rPr>
                    <m:sty m:val="p"/>
                  </m:rPr>
                  <w:rPr>
                    <w:rFonts w:ascii="Cambria Math" w:hAnsi="Cambria Math" w:cs="Arial"/>
                    <w:sz w:val="20"/>
                    <w:szCs w:val="20"/>
                    <w:lang w:val="en-IN"/>
                  </w:rPr>
                  <m:t> (</m:t>
                </m:r>
                <m:r>
                  <w:rPr>
                    <w:rFonts w:ascii="Cambria Math" w:hAnsi="Cambria Math" w:cs="Arial"/>
                    <w:sz w:val="20"/>
                    <w:szCs w:val="20"/>
                    <w:lang w:val="en-IN"/>
                  </w:rPr>
                  <m:t>%)=</m:t>
                </m:r>
                <m:f>
                  <m:fPr>
                    <m:ctrlPr>
                      <w:rPr>
                        <w:rFonts w:ascii="Cambria Math" w:hAnsi="Cambria Math" w:cs="Arial"/>
                        <w:sz w:val="20"/>
                        <w:szCs w:val="20"/>
                        <w:lang w:val="en-IN"/>
                      </w:rPr>
                    </m:ctrlPr>
                  </m:fPr>
                  <m:num>
                    <m:r>
                      <m:rPr>
                        <m:nor/>
                      </m:rPr>
                      <w:rPr>
                        <w:rFonts w:ascii="Arial" w:hAnsi="Arial" w:cs="Arial"/>
                        <w:sz w:val="20"/>
                        <w:szCs w:val="20"/>
                        <w:lang w:val="en-IN"/>
                      </w:rPr>
                      <m:t>Final</m:t>
                    </m:r>
                    <m:r>
                      <m:rPr>
                        <m:sty m:val="p"/>
                      </m:rPr>
                      <w:rPr>
                        <w:rFonts w:ascii="Cambria Math" w:hAnsi="Cambria Math" w:cs="Arial"/>
                        <w:sz w:val="20"/>
                        <w:szCs w:val="20"/>
                        <w:lang w:val="en-IN"/>
                      </w:rPr>
                      <m:t> </m:t>
                    </m:r>
                    <m:r>
                      <m:rPr>
                        <m:nor/>
                      </m:rPr>
                      <w:rPr>
                        <w:rFonts w:ascii="Arial" w:hAnsi="Arial" w:cs="Arial"/>
                        <w:sz w:val="20"/>
                        <w:szCs w:val="20"/>
                        <w:lang w:val="en-IN"/>
                      </w:rPr>
                      <m:t>number</m:t>
                    </m:r>
                    <m:r>
                      <m:rPr>
                        <m:sty m:val="p"/>
                      </m:rPr>
                      <w:rPr>
                        <w:rFonts w:ascii="Cambria Math" w:hAnsi="Cambria Math" w:cs="Arial"/>
                        <w:sz w:val="20"/>
                        <w:szCs w:val="20"/>
                        <w:lang w:val="en-IN"/>
                      </w:rPr>
                      <m:t> </m:t>
                    </m:r>
                    <m:r>
                      <m:rPr>
                        <m:nor/>
                      </m:rPr>
                      <w:rPr>
                        <w:rFonts w:ascii="Arial" w:hAnsi="Arial" w:cs="Arial"/>
                        <w:sz w:val="20"/>
                        <w:szCs w:val="20"/>
                        <w:lang w:val="en-IN"/>
                      </w:rPr>
                      <m:t>of</m:t>
                    </m:r>
                    <m:r>
                      <m:rPr>
                        <m:sty m:val="p"/>
                      </m:rPr>
                      <w:rPr>
                        <w:rFonts w:ascii="Cambria Math" w:hAnsi="Cambria Math" w:cs="Arial"/>
                        <w:sz w:val="20"/>
                        <w:szCs w:val="20"/>
                        <w:lang w:val="en-IN"/>
                      </w:rPr>
                      <m:t> </m:t>
                    </m:r>
                    <m:r>
                      <m:rPr>
                        <m:nor/>
                      </m:rPr>
                      <w:rPr>
                        <w:rFonts w:ascii="Arial" w:hAnsi="Arial" w:cs="Arial"/>
                        <w:sz w:val="20"/>
                        <w:szCs w:val="20"/>
                        <w:lang w:val="en-IN"/>
                      </w:rPr>
                      <m:t>fish</m:t>
                    </m:r>
                    <m:r>
                      <m:rPr>
                        <m:sty m:val="p"/>
                      </m:rPr>
                      <w:rPr>
                        <w:rFonts w:ascii="Cambria Math" w:hAnsi="Cambria Math" w:cs="Arial"/>
                        <w:sz w:val="20"/>
                        <w:szCs w:val="20"/>
                        <w:lang w:val="en-IN"/>
                      </w:rPr>
                      <m:t> </m:t>
                    </m:r>
                  </m:num>
                  <m:den>
                    <m:r>
                      <m:rPr>
                        <m:nor/>
                      </m:rPr>
                      <w:rPr>
                        <w:rFonts w:ascii="Arial" w:hAnsi="Arial" w:cs="Arial"/>
                        <w:sz w:val="20"/>
                        <w:szCs w:val="20"/>
                        <w:lang w:val="en-IN"/>
                      </w:rPr>
                      <m:t>Initial</m:t>
                    </m:r>
                    <m:r>
                      <m:rPr>
                        <m:sty m:val="p"/>
                      </m:rPr>
                      <w:rPr>
                        <w:rFonts w:ascii="Cambria Math" w:hAnsi="Cambria Math" w:cs="Arial"/>
                        <w:sz w:val="20"/>
                        <w:szCs w:val="20"/>
                        <w:lang w:val="en-IN"/>
                      </w:rPr>
                      <m:t> </m:t>
                    </m:r>
                    <m:r>
                      <m:rPr>
                        <m:nor/>
                      </m:rPr>
                      <w:rPr>
                        <w:rFonts w:ascii="Arial" w:hAnsi="Arial" w:cs="Arial"/>
                        <w:sz w:val="20"/>
                        <w:szCs w:val="20"/>
                        <w:lang w:val="en-IN"/>
                      </w:rPr>
                      <m:t>number</m:t>
                    </m:r>
                    <m:r>
                      <m:rPr>
                        <m:sty m:val="p"/>
                      </m:rPr>
                      <w:rPr>
                        <w:rFonts w:ascii="Cambria Math" w:hAnsi="Cambria Math" w:cs="Arial"/>
                        <w:sz w:val="20"/>
                        <w:szCs w:val="20"/>
                        <w:lang w:val="en-IN"/>
                      </w:rPr>
                      <m:t> </m:t>
                    </m:r>
                    <m:r>
                      <m:rPr>
                        <m:nor/>
                      </m:rPr>
                      <w:rPr>
                        <w:rFonts w:ascii="Arial" w:hAnsi="Arial" w:cs="Arial"/>
                        <w:sz w:val="20"/>
                        <w:szCs w:val="20"/>
                        <w:lang w:val="en-IN"/>
                      </w:rPr>
                      <m:t>of</m:t>
                    </m:r>
                    <m:r>
                      <m:rPr>
                        <m:sty m:val="p"/>
                      </m:rPr>
                      <w:rPr>
                        <w:rFonts w:ascii="Cambria Math" w:hAnsi="Cambria Math" w:cs="Arial"/>
                        <w:sz w:val="20"/>
                        <w:szCs w:val="20"/>
                        <w:lang w:val="en-IN"/>
                      </w:rPr>
                      <m:t> </m:t>
                    </m:r>
                    <m:r>
                      <m:rPr>
                        <m:nor/>
                      </m:rPr>
                      <w:rPr>
                        <w:rFonts w:ascii="Arial" w:hAnsi="Arial" w:cs="Arial"/>
                        <w:sz w:val="20"/>
                        <w:szCs w:val="20"/>
                        <w:lang w:val="en-IN"/>
                      </w:rPr>
                      <m:t>fish</m:t>
                    </m:r>
                  </m:den>
                </m:f>
                <m:r>
                  <w:rPr>
                    <w:rFonts w:ascii="Cambria Math" w:hAnsi="Cambria Math" w:cs="Arial"/>
                    <w:sz w:val="20"/>
                    <w:szCs w:val="20"/>
                    <w:lang w:val="en-IN"/>
                  </w:rPr>
                  <m:t> ×100</m:t>
                </m:r>
              </m:oMath>
            </m:oMathPara>
          </w:p>
        </w:tc>
      </w:tr>
      <w:tr w:rsidR="00B61AFF" w:rsidRPr="00B61AFF" w14:paraId="7B6E66A3" w14:textId="77777777" w:rsidTr="00A71358">
        <w:tc>
          <w:tcPr>
            <w:tcW w:w="8424" w:type="dxa"/>
          </w:tcPr>
          <w:p w14:paraId="3AA2323F" w14:textId="77777777" w:rsidR="00B61AFF" w:rsidRPr="00B61AFF" w:rsidRDefault="00B61AFF" w:rsidP="00A71358">
            <w:pPr>
              <w:pStyle w:val="Body"/>
              <w:spacing w:after="0"/>
              <w:jc w:val="center"/>
              <w:rPr>
                <w:rFonts w:ascii="Arial" w:hAnsi="Arial" w:cs="Arial"/>
                <w:sz w:val="20"/>
                <w:szCs w:val="20"/>
                <w:lang w:val="en-IN"/>
              </w:rPr>
            </w:pPr>
            <w:r w:rsidRPr="00B61AFF">
              <w:rPr>
                <w:rFonts w:ascii="Arial" w:hAnsi="Arial" w:cs="Arial"/>
                <w:sz w:val="20"/>
                <w:szCs w:val="20"/>
                <w:lang w:val="en-IN"/>
              </w:rPr>
              <w:t>Net weight gain (g) = Final weight (g) – Initial weight (g)</w:t>
            </w:r>
          </w:p>
        </w:tc>
      </w:tr>
      <w:tr w:rsidR="00B61AFF" w:rsidRPr="00B61AFF" w14:paraId="08CBC19F" w14:textId="77777777" w:rsidTr="00A71358">
        <w:tc>
          <w:tcPr>
            <w:tcW w:w="8424" w:type="dxa"/>
          </w:tcPr>
          <w:p w14:paraId="55646D8E" w14:textId="77777777" w:rsidR="00B61AFF" w:rsidRPr="00B61AFF" w:rsidRDefault="00B61AFF" w:rsidP="00A71358">
            <w:pPr>
              <w:pStyle w:val="Body"/>
              <w:spacing w:after="0"/>
              <w:rPr>
                <w:rFonts w:ascii="Arial" w:hAnsi="Arial" w:cs="Arial"/>
                <w:sz w:val="20"/>
                <w:szCs w:val="20"/>
                <w:lang w:val="en-IN"/>
              </w:rPr>
            </w:pPr>
            <m:oMathPara>
              <m:oMath>
                <m:r>
                  <m:rPr>
                    <m:nor/>
                  </m:rPr>
                  <w:rPr>
                    <w:rFonts w:ascii="Arial" w:hAnsi="Arial" w:cs="Arial"/>
                    <w:sz w:val="20"/>
                    <w:szCs w:val="20"/>
                    <w:lang w:val="en-IN"/>
                  </w:rPr>
                  <m:t>Percent</m:t>
                </m:r>
                <m:r>
                  <m:rPr>
                    <m:sty m:val="p"/>
                  </m:rPr>
                  <w:rPr>
                    <w:rFonts w:ascii="Cambria Math" w:hAnsi="Cambria Math" w:cs="Arial"/>
                    <w:sz w:val="20"/>
                    <w:szCs w:val="20"/>
                    <w:lang w:val="en-IN"/>
                  </w:rPr>
                  <m:t> </m:t>
                </m:r>
                <m:r>
                  <m:rPr>
                    <m:nor/>
                  </m:rPr>
                  <w:rPr>
                    <w:rFonts w:ascii="Arial" w:hAnsi="Arial" w:cs="Arial"/>
                    <w:sz w:val="20"/>
                    <w:szCs w:val="20"/>
                    <w:lang w:val="en-IN"/>
                  </w:rPr>
                  <m:t>gain</m:t>
                </m:r>
                <m:r>
                  <m:rPr>
                    <m:sty m:val="p"/>
                  </m:rPr>
                  <w:rPr>
                    <w:rFonts w:ascii="Cambria Math" w:hAnsi="Cambria Math" w:cs="Arial"/>
                    <w:sz w:val="20"/>
                    <w:szCs w:val="20"/>
                    <w:lang w:val="en-IN"/>
                  </w:rPr>
                  <m:t> </m:t>
                </m:r>
                <m:r>
                  <m:rPr>
                    <m:nor/>
                  </m:rPr>
                  <w:rPr>
                    <w:rFonts w:ascii="Arial" w:hAnsi="Arial" w:cs="Arial"/>
                    <w:sz w:val="20"/>
                    <w:szCs w:val="20"/>
                    <w:lang w:val="en-IN"/>
                  </w:rPr>
                  <m:t>in</m:t>
                </m:r>
                <m:r>
                  <m:rPr>
                    <m:sty m:val="p"/>
                  </m:rPr>
                  <w:rPr>
                    <w:rFonts w:ascii="Cambria Math" w:hAnsi="Cambria Math" w:cs="Arial"/>
                    <w:sz w:val="20"/>
                    <w:szCs w:val="20"/>
                    <w:lang w:val="en-IN"/>
                  </w:rPr>
                  <m:t> </m:t>
                </m:r>
                <m:r>
                  <m:rPr>
                    <m:nor/>
                  </m:rPr>
                  <w:rPr>
                    <w:rFonts w:ascii="Arial" w:hAnsi="Arial" w:cs="Arial"/>
                    <w:sz w:val="20"/>
                    <w:szCs w:val="20"/>
                    <w:lang w:val="en-IN"/>
                  </w:rPr>
                  <m:t>weight</m:t>
                </m:r>
                <m:r>
                  <m:rPr>
                    <m:sty m:val="p"/>
                  </m:rPr>
                  <w:rPr>
                    <w:rFonts w:ascii="Cambria Math" w:hAnsi="Cambria Math" w:cs="Arial"/>
                    <w:sz w:val="20"/>
                    <w:szCs w:val="20"/>
                    <w:lang w:val="en-IN"/>
                  </w:rPr>
                  <m:t>=</m:t>
                </m:r>
                <m:f>
                  <m:fPr>
                    <m:ctrlPr>
                      <w:rPr>
                        <w:rFonts w:ascii="Cambria Math" w:hAnsi="Cambria Math" w:cs="Arial"/>
                        <w:sz w:val="20"/>
                        <w:szCs w:val="20"/>
                        <w:lang w:val="en-IN"/>
                      </w:rPr>
                    </m:ctrlPr>
                  </m:fPr>
                  <m:num>
                    <m:r>
                      <m:rPr>
                        <m:nor/>
                      </m:rPr>
                      <w:rPr>
                        <w:rFonts w:ascii="Arial" w:hAnsi="Arial" w:cs="Arial"/>
                        <w:sz w:val="20"/>
                        <w:szCs w:val="20"/>
                        <w:lang w:val="en-IN"/>
                      </w:rPr>
                      <m:t>Final</m:t>
                    </m:r>
                    <m:r>
                      <m:rPr>
                        <m:sty m:val="p"/>
                      </m:rPr>
                      <w:rPr>
                        <w:rFonts w:ascii="Cambria Math" w:hAnsi="Cambria Math" w:cs="Arial"/>
                        <w:sz w:val="20"/>
                        <w:szCs w:val="20"/>
                        <w:lang w:val="en-IN"/>
                      </w:rPr>
                      <m:t> </m:t>
                    </m:r>
                    <m:r>
                      <m:rPr>
                        <m:nor/>
                      </m:rPr>
                      <w:rPr>
                        <w:rFonts w:ascii="Arial" w:hAnsi="Arial" w:cs="Arial"/>
                        <w:sz w:val="20"/>
                        <w:szCs w:val="20"/>
                        <w:lang w:val="en-IN"/>
                      </w:rPr>
                      <m:t>weight</m:t>
                    </m:r>
                    <m:r>
                      <m:rPr>
                        <m:sty m:val="p"/>
                      </m:rPr>
                      <w:rPr>
                        <w:rFonts w:ascii="Cambria Math" w:hAnsi="Cambria Math" w:cs="Arial"/>
                        <w:sz w:val="20"/>
                        <w:szCs w:val="20"/>
                        <w:lang w:val="en-IN"/>
                      </w:rPr>
                      <m:t> (</m:t>
                    </m:r>
                    <m:r>
                      <w:rPr>
                        <w:rFonts w:ascii="Cambria Math" w:hAnsi="Cambria Math" w:cs="Arial"/>
                        <w:sz w:val="20"/>
                        <w:szCs w:val="20"/>
                        <w:lang w:val="en-IN"/>
                      </w:rPr>
                      <m:t>g) - </m:t>
                    </m:r>
                    <m:r>
                      <m:rPr>
                        <m:nor/>
                      </m:rPr>
                      <w:rPr>
                        <w:rFonts w:ascii="Arial" w:hAnsi="Arial" w:cs="Arial"/>
                        <w:sz w:val="20"/>
                        <w:szCs w:val="20"/>
                        <w:lang w:val="en-IN"/>
                      </w:rPr>
                      <m:t>Initial</m:t>
                    </m:r>
                    <m:r>
                      <m:rPr>
                        <m:sty m:val="p"/>
                      </m:rPr>
                      <w:rPr>
                        <w:rFonts w:ascii="Cambria Math" w:hAnsi="Cambria Math" w:cs="Arial"/>
                        <w:sz w:val="20"/>
                        <w:szCs w:val="20"/>
                        <w:lang w:val="en-IN"/>
                      </w:rPr>
                      <m:t> </m:t>
                    </m:r>
                    <m:r>
                      <m:rPr>
                        <m:nor/>
                      </m:rPr>
                      <w:rPr>
                        <w:rFonts w:ascii="Arial" w:hAnsi="Arial" w:cs="Arial"/>
                        <w:sz w:val="20"/>
                        <w:szCs w:val="20"/>
                        <w:lang w:val="en-IN"/>
                      </w:rPr>
                      <m:t>weight</m:t>
                    </m:r>
                    <m:r>
                      <m:rPr>
                        <m:sty m:val="p"/>
                      </m:rPr>
                      <w:rPr>
                        <w:rFonts w:ascii="Cambria Math" w:hAnsi="Cambria Math" w:cs="Arial"/>
                        <w:sz w:val="20"/>
                        <w:szCs w:val="20"/>
                        <w:lang w:val="en-IN"/>
                      </w:rPr>
                      <m:t> (</m:t>
                    </m:r>
                    <m:r>
                      <w:rPr>
                        <w:rFonts w:ascii="Cambria Math" w:hAnsi="Cambria Math" w:cs="Arial"/>
                        <w:sz w:val="20"/>
                        <w:szCs w:val="20"/>
                        <w:lang w:val="en-IN"/>
                      </w:rPr>
                      <m:t>g) </m:t>
                    </m:r>
                    <m:ctrlPr>
                      <w:rPr>
                        <w:rFonts w:ascii="Cambria Math" w:hAnsi="Cambria Math" w:cs="Arial"/>
                        <w:i/>
                        <w:sz w:val="20"/>
                        <w:szCs w:val="20"/>
                        <w:lang w:val="en-IN"/>
                      </w:rPr>
                    </m:ctrlPr>
                  </m:num>
                  <m:den>
                    <m:r>
                      <m:rPr>
                        <m:nor/>
                      </m:rPr>
                      <w:rPr>
                        <w:rFonts w:ascii="Arial" w:hAnsi="Arial" w:cs="Arial"/>
                        <w:sz w:val="20"/>
                        <w:szCs w:val="20"/>
                        <w:lang w:val="en-IN"/>
                      </w:rPr>
                      <m:t>Initial</m:t>
                    </m:r>
                    <m:r>
                      <m:rPr>
                        <m:sty m:val="p"/>
                      </m:rPr>
                      <w:rPr>
                        <w:rFonts w:ascii="Cambria Math" w:hAnsi="Cambria Math" w:cs="Arial"/>
                        <w:sz w:val="20"/>
                        <w:szCs w:val="20"/>
                        <w:lang w:val="en-IN"/>
                      </w:rPr>
                      <m:t> </m:t>
                    </m:r>
                    <m:r>
                      <m:rPr>
                        <m:nor/>
                      </m:rPr>
                      <w:rPr>
                        <w:rFonts w:ascii="Arial" w:hAnsi="Arial" w:cs="Arial"/>
                        <w:sz w:val="20"/>
                        <w:szCs w:val="20"/>
                        <w:lang w:val="en-IN"/>
                      </w:rPr>
                      <m:t>weight</m:t>
                    </m:r>
                    <m:r>
                      <m:rPr>
                        <m:sty m:val="p"/>
                      </m:rPr>
                      <w:rPr>
                        <w:rFonts w:ascii="Cambria Math" w:hAnsi="Cambria Math" w:cs="Arial"/>
                        <w:sz w:val="20"/>
                        <w:szCs w:val="20"/>
                        <w:lang w:val="en-IN"/>
                      </w:rPr>
                      <m:t> (</m:t>
                    </m:r>
                    <m:r>
                      <w:rPr>
                        <w:rFonts w:ascii="Cambria Math" w:hAnsi="Cambria Math" w:cs="Arial"/>
                        <w:sz w:val="20"/>
                        <w:szCs w:val="20"/>
                        <w:lang w:val="en-IN"/>
                      </w:rPr>
                      <m:t>g)</m:t>
                    </m:r>
                    <m:ctrlPr>
                      <w:rPr>
                        <w:rFonts w:ascii="Cambria Math" w:hAnsi="Cambria Math" w:cs="Arial"/>
                        <w:i/>
                        <w:sz w:val="20"/>
                        <w:szCs w:val="20"/>
                        <w:lang w:val="en-IN"/>
                      </w:rPr>
                    </m:ctrlPr>
                  </m:den>
                </m:f>
                <m:r>
                  <w:rPr>
                    <w:rFonts w:ascii="Cambria Math" w:hAnsi="Cambria Math" w:cs="Arial"/>
                    <w:sz w:val="20"/>
                    <w:szCs w:val="20"/>
                    <w:lang w:val="en-IN"/>
                  </w:rPr>
                  <m:t> ×100</m:t>
                </m:r>
              </m:oMath>
            </m:oMathPara>
          </w:p>
        </w:tc>
      </w:tr>
      <w:tr w:rsidR="00B61AFF" w:rsidRPr="00B61AFF" w14:paraId="39271AF6" w14:textId="77777777" w:rsidTr="00A71358">
        <w:tc>
          <w:tcPr>
            <w:tcW w:w="8424" w:type="dxa"/>
          </w:tcPr>
          <w:p w14:paraId="0BCFACDC" w14:textId="77777777" w:rsidR="00B61AFF" w:rsidRPr="00B61AFF" w:rsidRDefault="00B61AFF" w:rsidP="00A71358">
            <w:pPr>
              <w:pStyle w:val="Body"/>
              <w:rPr>
                <w:rFonts w:ascii="Arial" w:eastAsia="Times New Roman" w:hAnsi="Arial" w:cs="Arial"/>
                <w:sz w:val="20"/>
                <w:szCs w:val="20"/>
                <w:lang w:val="en-IN"/>
              </w:rPr>
            </w:pPr>
            <m:oMathPara>
              <m:oMath>
                <m:r>
                  <m:rPr>
                    <m:nor/>
                  </m:rPr>
                  <w:rPr>
                    <w:rFonts w:ascii="Arial" w:hAnsi="Arial" w:cs="Arial"/>
                    <w:sz w:val="20"/>
                    <w:szCs w:val="20"/>
                    <w:lang w:val="en-IN"/>
                  </w:rPr>
                  <m:t>FCR</m:t>
                </m:r>
                <m:r>
                  <m:rPr>
                    <m:sty m:val="p"/>
                  </m:rPr>
                  <w:rPr>
                    <w:rFonts w:ascii="Cambria Math" w:hAnsi="Cambria Math" w:cs="Arial"/>
                    <w:sz w:val="20"/>
                    <w:szCs w:val="20"/>
                    <w:lang w:val="en-IN"/>
                  </w:rPr>
                  <m:t> </m:t>
                </m:r>
                <m:d>
                  <m:dPr>
                    <m:ctrlPr>
                      <w:rPr>
                        <w:rFonts w:ascii="Cambria Math" w:hAnsi="Cambria Math" w:cs="Arial"/>
                        <w:sz w:val="20"/>
                        <w:szCs w:val="20"/>
                        <w:lang w:val="en-IN"/>
                      </w:rPr>
                    </m:ctrlPr>
                  </m:dPr>
                  <m:e>
                    <m:r>
                      <w:rPr>
                        <w:rFonts w:ascii="Cambria Math" w:hAnsi="Cambria Math" w:cs="Arial"/>
                        <w:sz w:val="20"/>
                        <w:szCs w:val="20"/>
                        <w:lang w:val="en-IN"/>
                      </w:rPr>
                      <m:t>%</m:t>
                    </m:r>
                    <m:ctrlPr>
                      <w:rPr>
                        <w:rFonts w:ascii="Cambria Math" w:hAnsi="Cambria Math" w:cs="Arial"/>
                        <w:i/>
                        <w:sz w:val="20"/>
                        <w:szCs w:val="20"/>
                        <w:lang w:val="en-IN"/>
                      </w:rPr>
                    </m:ctrlPr>
                  </m:e>
                </m:d>
                <m:r>
                  <w:rPr>
                    <w:rFonts w:ascii="Cambria Math" w:hAnsi="Cambria Math" w:cs="Arial"/>
                    <w:sz w:val="20"/>
                    <w:szCs w:val="20"/>
                    <w:lang w:val="en-IN"/>
                  </w:rPr>
                  <m:t>=</m:t>
                </m:r>
                <m:f>
                  <m:fPr>
                    <m:ctrlPr>
                      <w:rPr>
                        <w:rFonts w:ascii="Cambria Math" w:hAnsi="Cambria Math" w:cs="Arial"/>
                        <w:sz w:val="20"/>
                        <w:szCs w:val="20"/>
                        <w:lang w:val="en-IN"/>
                      </w:rPr>
                    </m:ctrlPr>
                  </m:fPr>
                  <m:num>
                    <m:r>
                      <m:rPr>
                        <m:nor/>
                      </m:rPr>
                      <w:rPr>
                        <w:rFonts w:ascii="Arial" w:hAnsi="Arial" w:cs="Arial"/>
                        <w:sz w:val="20"/>
                        <w:szCs w:val="20"/>
                        <w:lang w:val="en-IN"/>
                      </w:rPr>
                      <m:t>Weight</m:t>
                    </m:r>
                    <m:r>
                      <m:rPr>
                        <m:sty m:val="p"/>
                      </m:rPr>
                      <w:rPr>
                        <w:rFonts w:ascii="Cambria Math" w:hAnsi="Cambria Math" w:cs="Arial"/>
                        <w:sz w:val="20"/>
                        <w:szCs w:val="20"/>
                        <w:lang w:val="en-IN"/>
                      </w:rPr>
                      <m:t> </m:t>
                    </m:r>
                    <m:r>
                      <m:rPr>
                        <m:nor/>
                      </m:rPr>
                      <w:rPr>
                        <w:rFonts w:ascii="Arial" w:hAnsi="Arial" w:cs="Arial"/>
                        <w:sz w:val="20"/>
                        <w:szCs w:val="20"/>
                        <w:lang w:val="en-IN"/>
                      </w:rPr>
                      <m:t>of</m:t>
                    </m:r>
                    <m:r>
                      <m:rPr>
                        <m:sty m:val="p"/>
                      </m:rPr>
                      <w:rPr>
                        <w:rFonts w:ascii="Cambria Math" w:hAnsi="Cambria Math" w:cs="Arial"/>
                        <w:sz w:val="20"/>
                        <w:szCs w:val="20"/>
                        <w:lang w:val="en-IN"/>
                      </w:rPr>
                      <m:t> </m:t>
                    </m:r>
                    <m:r>
                      <m:rPr>
                        <m:nor/>
                      </m:rPr>
                      <w:rPr>
                        <w:rFonts w:ascii="Arial" w:hAnsi="Arial" w:cs="Arial"/>
                        <w:sz w:val="20"/>
                        <w:szCs w:val="20"/>
                        <w:lang w:val="en-IN"/>
                      </w:rPr>
                      <m:t>food</m:t>
                    </m:r>
                    <m:r>
                      <m:rPr>
                        <m:sty m:val="p"/>
                      </m:rPr>
                      <w:rPr>
                        <w:rFonts w:ascii="Cambria Math" w:hAnsi="Cambria Math" w:cs="Arial"/>
                        <w:sz w:val="20"/>
                        <w:szCs w:val="20"/>
                        <w:lang w:val="en-IN"/>
                      </w:rPr>
                      <m:t> </m:t>
                    </m:r>
                    <m:r>
                      <m:rPr>
                        <m:nor/>
                      </m:rPr>
                      <w:rPr>
                        <w:rFonts w:ascii="Arial" w:hAnsi="Arial" w:cs="Arial"/>
                        <w:sz w:val="20"/>
                        <w:szCs w:val="20"/>
                        <w:lang w:val="en-IN"/>
                      </w:rPr>
                      <m:t>given</m:t>
                    </m:r>
                    <m:r>
                      <m:rPr>
                        <m:sty m:val="p"/>
                      </m:rPr>
                      <w:rPr>
                        <w:rFonts w:ascii="Cambria Math" w:hAnsi="Cambria Math" w:cs="Arial"/>
                        <w:sz w:val="20"/>
                        <w:szCs w:val="20"/>
                        <w:lang w:val="en-IN"/>
                      </w:rPr>
                      <m:t> </m:t>
                    </m:r>
                    <m:d>
                      <m:dPr>
                        <m:ctrlPr>
                          <w:rPr>
                            <w:rFonts w:ascii="Cambria Math" w:hAnsi="Cambria Math" w:cs="Arial"/>
                            <w:sz w:val="20"/>
                            <w:szCs w:val="20"/>
                            <w:lang w:val="en-IN"/>
                          </w:rPr>
                        </m:ctrlPr>
                      </m:dPr>
                      <m:e>
                        <m:r>
                          <w:rPr>
                            <w:rFonts w:ascii="Cambria Math" w:hAnsi="Cambria Math" w:cs="Arial"/>
                            <w:sz w:val="20"/>
                            <w:szCs w:val="20"/>
                            <w:lang w:val="en-IN"/>
                          </w:rPr>
                          <m:t>g</m:t>
                        </m:r>
                        <m:ctrlPr>
                          <w:rPr>
                            <w:rFonts w:ascii="Cambria Math" w:hAnsi="Cambria Math" w:cs="Arial"/>
                            <w:i/>
                            <w:sz w:val="20"/>
                            <w:szCs w:val="20"/>
                            <w:lang w:val="en-IN"/>
                          </w:rPr>
                        </m:ctrlPr>
                      </m:e>
                    </m:d>
                    <m:ctrlPr>
                      <w:rPr>
                        <w:rFonts w:ascii="Cambria Math" w:hAnsi="Cambria Math" w:cs="Arial"/>
                        <w:i/>
                        <w:sz w:val="20"/>
                        <w:szCs w:val="20"/>
                        <w:lang w:val="en-IN"/>
                      </w:rPr>
                    </m:ctrlPr>
                  </m:num>
                  <m:den>
                    <m:r>
                      <m:rPr>
                        <m:nor/>
                      </m:rPr>
                      <w:rPr>
                        <w:rFonts w:ascii="Arial" w:hAnsi="Arial" w:cs="Arial"/>
                        <w:sz w:val="20"/>
                        <w:szCs w:val="20"/>
                        <w:lang w:val="en-IN"/>
                      </w:rPr>
                      <m:t>Weight</m:t>
                    </m:r>
                    <m:r>
                      <m:rPr>
                        <m:sty m:val="p"/>
                      </m:rPr>
                      <w:rPr>
                        <w:rFonts w:ascii="Cambria Math" w:hAnsi="Cambria Math" w:cs="Arial"/>
                        <w:sz w:val="20"/>
                        <w:szCs w:val="20"/>
                        <w:lang w:val="en-IN"/>
                      </w:rPr>
                      <m:t> </m:t>
                    </m:r>
                    <m:r>
                      <m:rPr>
                        <m:nor/>
                      </m:rPr>
                      <w:rPr>
                        <w:rFonts w:ascii="Arial" w:hAnsi="Arial" w:cs="Arial"/>
                        <w:sz w:val="20"/>
                        <w:szCs w:val="20"/>
                        <w:lang w:val="en-IN"/>
                      </w:rPr>
                      <m:t>gain</m:t>
                    </m:r>
                    <m:r>
                      <m:rPr>
                        <m:sty m:val="p"/>
                      </m:rPr>
                      <w:rPr>
                        <w:rFonts w:ascii="Cambria Math" w:hAnsi="Cambria Math" w:cs="Arial"/>
                        <w:sz w:val="20"/>
                        <w:szCs w:val="20"/>
                        <w:lang w:val="en-IN"/>
                      </w:rPr>
                      <m:t> </m:t>
                    </m:r>
                    <m:r>
                      <m:rPr>
                        <m:nor/>
                      </m:rPr>
                      <w:rPr>
                        <w:rFonts w:ascii="Arial" w:hAnsi="Arial" w:cs="Arial"/>
                        <w:sz w:val="20"/>
                        <w:szCs w:val="20"/>
                        <w:lang w:val="en-IN"/>
                      </w:rPr>
                      <m:t>of</m:t>
                    </m:r>
                    <m:r>
                      <m:rPr>
                        <m:sty m:val="p"/>
                      </m:rPr>
                      <w:rPr>
                        <w:rFonts w:ascii="Cambria Math" w:hAnsi="Cambria Math" w:cs="Arial"/>
                        <w:sz w:val="20"/>
                        <w:szCs w:val="20"/>
                        <w:lang w:val="en-IN"/>
                      </w:rPr>
                      <m:t> </m:t>
                    </m:r>
                    <m:r>
                      <m:rPr>
                        <m:nor/>
                      </m:rPr>
                      <w:rPr>
                        <w:rFonts w:ascii="Arial" w:hAnsi="Arial" w:cs="Arial"/>
                        <w:sz w:val="20"/>
                        <w:szCs w:val="20"/>
                        <w:lang w:val="en-IN"/>
                      </w:rPr>
                      <m:t>fish</m:t>
                    </m:r>
                    <m:r>
                      <m:rPr>
                        <m:sty m:val="p"/>
                      </m:rPr>
                      <w:rPr>
                        <w:rFonts w:ascii="Cambria Math" w:hAnsi="Cambria Math" w:cs="Arial"/>
                        <w:sz w:val="20"/>
                        <w:szCs w:val="20"/>
                        <w:lang w:val="en-IN"/>
                      </w:rPr>
                      <m:t> </m:t>
                    </m:r>
                    <m:d>
                      <m:dPr>
                        <m:ctrlPr>
                          <w:rPr>
                            <w:rFonts w:ascii="Cambria Math" w:hAnsi="Cambria Math" w:cs="Arial"/>
                            <w:sz w:val="20"/>
                            <w:szCs w:val="20"/>
                            <w:lang w:val="en-IN"/>
                          </w:rPr>
                        </m:ctrlPr>
                      </m:dPr>
                      <m:e>
                        <m:r>
                          <w:rPr>
                            <w:rFonts w:ascii="Cambria Math" w:hAnsi="Cambria Math" w:cs="Arial"/>
                            <w:sz w:val="20"/>
                            <w:szCs w:val="20"/>
                            <w:lang w:val="en-IN"/>
                          </w:rPr>
                          <m:t>g</m:t>
                        </m:r>
                        <m:ctrlPr>
                          <w:rPr>
                            <w:rFonts w:ascii="Cambria Math" w:hAnsi="Cambria Math" w:cs="Arial"/>
                            <w:i/>
                            <w:sz w:val="20"/>
                            <w:szCs w:val="20"/>
                            <w:lang w:val="en-IN"/>
                          </w:rPr>
                        </m:ctrlPr>
                      </m:e>
                    </m:d>
                    <m:ctrlPr>
                      <w:rPr>
                        <w:rFonts w:ascii="Cambria Math" w:hAnsi="Cambria Math" w:cs="Arial"/>
                        <w:i/>
                        <w:sz w:val="20"/>
                        <w:szCs w:val="20"/>
                        <w:lang w:val="en-IN"/>
                      </w:rPr>
                    </m:ctrlPr>
                  </m:den>
                </m:f>
                <m:r>
                  <w:rPr>
                    <w:rFonts w:ascii="Cambria Math" w:hAnsi="Cambria Math" w:cs="Arial"/>
                    <w:sz w:val="20"/>
                    <w:szCs w:val="20"/>
                    <w:lang w:val="en-IN"/>
                  </w:rPr>
                  <m:t>×100</m:t>
                </m:r>
              </m:oMath>
            </m:oMathPara>
          </w:p>
        </w:tc>
      </w:tr>
      <w:tr w:rsidR="00B61AFF" w:rsidRPr="00B61AFF" w14:paraId="7F1A201B" w14:textId="77777777" w:rsidTr="00A71358">
        <w:tc>
          <w:tcPr>
            <w:tcW w:w="8424" w:type="dxa"/>
          </w:tcPr>
          <w:p w14:paraId="2C421B32" w14:textId="77777777" w:rsidR="00B61AFF" w:rsidRPr="00B61AFF" w:rsidRDefault="00B61AFF" w:rsidP="00A71358">
            <w:pPr>
              <w:pStyle w:val="Body"/>
              <w:rPr>
                <w:rFonts w:ascii="Arial" w:hAnsi="Arial" w:cs="Arial"/>
                <w:sz w:val="20"/>
                <w:szCs w:val="20"/>
                <w:lang w:val="en-IN"/>
              </w:rPr>
            </w:pPr>
            <m:oMath>
              <m:r>
                <m:rPr>
                  <m:nor/>
                </m:rPr>
                <w:rPr>
                  <w:rFonts w:ascii="Arial" w:hAnsi="Arial" w:cs="Arial"/>
                  <w:sz w:val="20"/>
                  <w:szCs w:val="20"/>
                  <w:lang w:val="en-IN"/>
                </w:rPr>
                <m:t>SGR</m:t>
              </m:r>
              <m:r>
                <m:rPr>
                  <m:sty m:val="p"/>
                </m:rPr>
                <w:rPr>
                  <w:rFonts w:ascii="Cambria Math" w:hAnsi="Cambria Math" w:cs="Arial"/>
                  <w:sz w:val="20"/>
                  <w:szCs w:val="20"/>
                  <w:lang w:val="en-IN"/>
                </w:rPr>
                <m:t> (</m:t>
              </m:r>
              <m:r>
                <w:rPr>
                  <w:rFonts w:ascii="Cambria Math" w:hAnsi="Cambria Math" w:cs="Arial"/>
                  <w:sz w:val="20"/>
                  <w:szCs w:val="20"/>
                  <w:lang w:val="en-IN"/>
                </w:rPr>
                <m:t>%)=</m:t>
              </m:r>
              <m:f>
                <m:fPr>
                  <m:ctrlPr>
                    <w:rPr>
                      <w:rFonts w:ascii="Cambria Math" w:hAnsi="Cambria Math" w:cs="Arial"/>
                      <w:sz w:val="20"/>
                      <w:szCs w:val="20"/>
                      <w:lang w:val="en-IN"/>
                    </w:rPr>
                  </m:ctrlPr>
                </m:fPr>
                <m:num>
                  <m:r>
                    <m:rPr>
                      <m:nor/>
                    </m:rPr>
                    <w:rPr>
                      <w:rFonts w:ascii="Arial" w:hAnsi="Arial" w:cs="Arial"/>
                      <w:sz w:val="20"/>
                      <w:szCs w:val="20"/>
                      <w:lang w:val="en-IN"/>
                    </w:rPr>
                    <m:t>Log</m:t>
                  </m:r>
                  <m:r>
                    <m:rPr>
                      <m:sty m:val="p"/>
                    </m:rPr>
                    <w:rPr>
                      <w:rFonts w:ascii="Cambria Math" w:hAnsi="Cambria Math" w:cs="Arial"/>
                      <w:sz w:val="20"/>
                      <w:szCs w:val="20"/>
                      <w:lang w:val="en-IN"/>
                    </w:rPr>
                    <m:t> </m:t>
                  </m:r>
                  <m:r>
                    <w:rPr>
                      <w:rFonts w:ascii="Cambria Math" w:hAnsi="Cambria Math" w:cs="Arial"/>
                      <w:sz w:val="20"/>
                      <w:szCs w:val="20"/>
                      <w:lang w:val="en-IN"/>
                    </w:rPr>
                    <m:t>W2 - </m:t>
                  </m:r>
                  <m:r>
                    <m:rPr>
                      <m:nor/>
                    </m:rPr>
                    <w:rPr>
                      <w:rFonts w:ascii="Arial" w:hAnsi="Arial" w:cs="Arial"/>
                      <w:sz w:val="20"/>
                      <w:szCs w:val="20"/>
                      <w:lang w:val="en-IN"/>
                    </w:rPr>
                    <m:t>Log</m:t>
                  </m:r>
                  <m:r>
                    <m:rPr>
                      <m:sty m:val="p"/>
                    </m:rPr>
                    <w:rPr>
                      <w:rFonts w:ascii="Cambria Math" w:hAnsi="Cambria Math" w:cs="Arial"/>
                      <w:sz w:val="20"/>
                      <w:szCs w:val="20"/>
                      <w:lang w:val="en-IN"/>
                    </w:rPr>
                    <m:t> </m:t>
                  </m:r>
                  <m:r>
                    <w:rPr>
                      <w:rFonts w:ascii="Cambria Math" w:hAnsi="Cambria Math" w:cs="Arial"/>
                      <w:sz w:val="20"/>
                      <w:szCs w:val="20"/>
                      <w:lang w:val="en-IN"/>
                    </w:rPr>
                    <m:t>W1 </m:t>
                  </m:r>
                  <m:ctrlPr>
                    <w:rPr>
                      <w:rFonts w:ascii="Cambria Math" w:hAnsi="Cambria Math" w:cs="Arial"/>
                      <w:i/>
                      <w:sz w:val="20"/>
                      <w:szCs w:val="20"/>
                      <w:lang w:val="en-IN"/>
                    </w:rPr>
                  </m:ctrlPr>
                </m:num>
                <m:den>
                  <m:r>
                    <w:rPr>
                      <w:rFonts w:ascii="Cambria Math" w:hAnsi="Cambria Math" w:cs="Arial"/>
                      <w:sz w:val="20"/>
                      <w:szCs w:val="20"/>
                      <w:lang w:val="en-IN"/>
                    </w:rPr>
                    <m:t>D</m:t>
                  </m:r>
                  <m:ctrlPr>
                    <w:rPr>
                      <w:rFonts w:ascii="Cambria Math" w:hAnsi="Cambria Math" w:cs="Arial"/>
                      <w:i/>
                      <w:sz w:val="20"/>
                      <w:szCs w:val="20"/>
                      <w:lang w:val="en-IN"/>
                    </w:rPr>
                  </m:ctrlPr>
                </m:den>
              </m:f>
              <m:r>
                <w:rPr>
                  <w:rFonts w:ascii="Cambria Math" w:hAnsi="Cambria Math" w:cs="Arial"/>
                  <w:sz w:val="20"/>
                  <w:szCs w:val="20"/>
                  <w:lang w:val="en-IN"/>
                </w:rPr>
                <m:t>×100</m:t>
              </m:r>
            </m:oMath>
            <w:r w:rsidRPr="00B61AFF">
              <w:rPr>
                <w:rFonts w:ascii="Arial" w:hAnsi="Arial" w:cs="Arial"/>
                <w:sz w:val="20"/>
                <w:szCs w:val="20"/>
                <w:lang w:val="en-IN"/>
              </w:rPr>
              <w:t xml:space="preserve">    Where, W</w:t>
            </w:r>
            <w:r w:rsidRPr="00B61AFF">
              <w:rPr>
                <w:rFonts w:ascii="Arial" w:hAnsi="Arial" w:cs="Arial"/>
                <w:sz w:val="20"/>
                <w:szCs w:val="20"/>
                <w:vertAlign w:val="subscript"/>
                <w:lang w:val="en-IN"/>
              </w:rPr>
              <w:t xml:space="preserve">1 </w:t>
            </w:r>
            <w:r w:rsidRPr="00B61AFF">
              <w:rPr>
                <w:rFonts w:ascii="Arial" w:hAnsi="Arial" w:cs="Arial"/>
                <w:sz w:val="20"/>
                <w:szCs w:val="20"/>
                <w:lang w:val="en-IN"/>
              </w:rPr>
              <w:t>is Initial weight of fish in g, W</w:t>
            </w:r>
            <w:r w:rsidRPr="00B61AFF">
              <w:rPr>
                <w:rFonts w:ascii="Arial" w:hAnsi="Arial" w:cs="Arial"/>
                <w:sz w:val="20"/>
                <w:szCs w:val="20"/>
                <w:vertAlign w:val="subscript"/>
                <w:lang w:val="en-IN"/>
              </w:rPr>
              <w:t xml:space="preserve">2 </w:t>
            </w:r>
            <w:r w:rsidRPr="00B61AFF">
              <w:rPr>
                <w:rFonts w:ascii="Arial" w:hAnsi="Arial" w:cs="Arial"/>
                <w:sz w:val="20"/>
                <w:szCs w:val="20"/>
                <w:lang w:val="en-IN"/>
              </w:rPr>
              <w:t>is final weight of fish in g, D is Duration of study in days</w:t>
            </w:r>
          </w:p>
        </w:tc>
      </w:tr>
    </w:tbl>
    <w:p w14:paraId="284EAEEF" w14:textId="77777777" w:rsidR="00B61AFF" w:rsidRPr="00B61AFF" w:rsidRDefault="00B61AFF" w:rsidP="00B61AFF">
      <w:pPr>
        <w:pStyle w:val="Body"/>
        <w:spacing w:after="0"/>
        <w:rPr>
          <w:rFonts w:ascii="Arial" w:hAnsi="Arial" w:cs="Arial"/>
          <w:lang w:val="en-IN"/>
        </w:rPr>
      </w:pPr>
    </w:p>
    <w:p w14:paraId="6D99DBD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94B3B5" w14:textId="77777777" w:rsidR="003C43B2" w:rsidRDefault="003C43B2" w:rsidP="00441B6F">
      <w:pPr>
        <w:pStyle w:val="Head1"/>
        <w:spacing w:after="0"/>
        <w:jc w:val="both"/>
        <w:rPr>
          <w:rFonts w:ascii="Arial" w:hAnsi="Arial" w:cs="Arial"/>
        </w:rPr>
      </w:pPr>
    </w:p>
    <w:p w14:paraId="5DBEFB7F" w14:textId="77777777" w:rsidR="00790ADA" w:rsidRPr="00FB3A86" w:rsidRDefault="003C43B2" w:rsidP="00441B6F">
      <w:pPr>
        <w:pStyle w:val="Head1"/>
        <w:spacing w:after="0"/>
        <w:jc w:val="both"/>
        <w:rPr>
          <w:rFonts w:ascii="Arial" w:hAnsi="Arial" w:cs="Arial"/>
        </w:rPr>
      </w:pPr>
      <w:r>
        <w:rPr>
          <w:rFonts w:ascii="Arial" w:hAnsi="Arial" w:cs="Arial"/>
        </w:rPr>
        <w:t>3.1 RESULTS</w:t>
      </w:r>
    </w:p>
    <w:p w14:paraId="02C321B0" w14:textId="77777777" w:rsidR="00100263" w:rsidRPr="00100263" w:rsidRDefault="00B61AFF" w:rsidP="00100263">
      <w:pPr>
        <w:pStyle w:val="Body"/>
        <w:rPr>
          <w:rFonts w:ascii="Arial" w:hAnsi="Arial" w:cs="Arial"/>
        </w:rPr>
      </w:pPr>
      <w:r>
        <w:rPr>
          <w:rFonts w:ascii="Arial" w:hAnsi="Arial" w:cs="Arial"/>
        </w:rPr>
        <w:t>3.1</w:t>
      </w:r>
      <w:r w:rsidR="003C43B2">
        <w:rPr>
          <w:rFonts w:ascii="Arial" w:hAnsi="Arial" w:cs="Arial"/>
        </w:rPr>
        <w:t>.1</w:t>
      </w:r>
      <w:r>
        <w:rPr>
          <w:rFonts w:ascii="Arial" w:hAnsi="Arial" w:cs="Arial"/>
        </w:rPr>
        <w:t xml:space="preserve"> </w:t>
      </w:r>
      <w:r w:rsidR="00100263" w:rsidRPr="00100263">
        <w:rPr>
          <w:rFonts w:ascii="Arial" w:hAnsi="Arial" w:cs="Arial"/>
        </w:rPr>
        <w:t>Water Quality Parameters</w:t>
      </w:r>
    </w:p>
    <w:p w14:paraId="12F01BA8" w14:textId="77777777" w:rsidR="00B61AFF" w:rsidRDefault="00B61AFF" w:rsidP="00B61AFF">
      <w:pPr>
        <w:pStyle w:val="Body"/>
        <w:ind w:firstLine="720"/>
        <w:rPr>
          <w:rFonts w:ascii="Arial" w:hAnsi="Arial" w:cs="Arial"/>
          <w:lang w:val="en-IN"/>
        </w:rPr>
      </w:pPr>
      <w:r w:rsidRPr="00B61AFF">
        <w:rPr>
          <w:rFonts w:ascii="Arial" w:hAnsi="Arial" w:cs="Arial"/>
          <w:lang w:val="en-IN"/>
        </w:rPr>
        <w:t xml:space="preserve">The </w:t>
      </w:r>
      <w:proofErr w:type="spellStart"/>
      <w:r w:rsidRPr="00B61AFF">
        <w:rPr>
          <w:rFonts w:ascii="Arial" w:hAnsi="Arial" w:cs="Arial"/>
          <w:lang w:val="en-IN"/>
        </w:rPr>
        <w:t>physico</w:t>
      </w:r>
      <w:proofErr w:type="spellEnd"/>
      <w:r w:rsidRPr="00B61AFF">
        <w:rPr>
          <w:rFonts w:ascii="Arial" w:hAnsi="Arial" w:cs="Arial"/>
          <w:lang w:val="en-IN"/>
        </w:rPr>
        <w:t xml:space="preserve">-chemical parameters recorded during the experiment remained within acceptable ranges for carp culture (Table 1). Temperature fluctuated between 19.5–27.6 °C across treatments, with mean values ranging from 23.80 ± 2.36 to 24.00 ± 2.39 °C. pH values (7.6–7.8) indicated a slightly alkaline and stable culture environment suitable for </w:t>
      </w:r>
      <w:proofErr w:type="spellStart"/>
      <w:r w:rsidRPr="00B61AFF">
        <w:rPr>
          <w:rFonts w:ascii="Arial" w:hAnsi="Arial" w:cs="Arial"/>
          <w:i/>
          <w:iCs/>
          <w:lang w:val="en-IN"/>
        </w:rPr>
        <w:t>Labeo</w:t>
      </w:r>
      <w:proofErr w:type="spellEnd"/>
      <w:r w:rsidRPr="00B61AFF">
        <w:rPr>
          <w:rFonts w:ascii="Arial" w:hAnsi="Arial" w:cs="Arial"/>
          <w:i/>
          <w:iCs/>
          <w:lang w:val="en-IN"/>
        </w:rPr>
        <w:t xml:space="preserve"> </w:t>
      </w:r>
      <w:proofErr w:type="spellStart"/>
      <w:r w:rsidRPr="00B61AFF">
        <w:rPr>
          <w:rFonts w:ascii="Arial" w:hAnsi="Arial" w:cs="Arial"/>
          <w:i/>
          <w:iCs/>
          <w:lang w:val="en-IN"/>
        </w:rPr>
        <w:t>rohita</w:t>
      </w:r>
      <w:proofErr w:type="spellEnd"/>
      <w:r w:rsidRPr="00B61AFF">
        <w:rPr>
          <w:rFonts w:ascii="Arial" w:hAnsi="Arial" w:cs="Arial"/>
          <w:lang w:val="en-IN"/>
        </w:rPr>
        <w:t>. Electrical conductivity (1.936–1.940 mS cm</w:t>
      </w:r>
      <w:r w:rsidRPr="00B61AFF">
        <w:rPr>
          <w:rFonts w:ascii="Cambria Math" w:hAnsi="Cambria Math" w:cs="Cambria Math"/>
          <w:lang w:val="en-IN"/>
        </w:rPr>
        <w:t>⁻</w:t>
      </w:r>
      <w:r w:rsidRPr="00B61AFF">
        <w:rPr>
          <w:rFonts w:ascii="Arial" w:hAnsi="Arial" w:cs="Arial"/>
          <w:lang w:val="en-IN"/>
        </w:rPr>
        <w:t>¹) and TDS (970.6–974.6 mg L</w:t>
      </w:r>
      <w:r w:rsidRPr="00B61AFF">
        <w:rPr>
          <w:rFonts w:ascii="Cambria Math" w:hAnsi="Cambria Math" w:cs="Cambria Math"/>
          <w:lang w:val="en-IN"/>
        </w:rPr>
        <w:t>⁻</w:t>
      </w:r>
      <w:r w:rsidRPr="00B61AFF">
        <w:rPr>
          <w:rFonts w:ascii="Arial" w:hAnsi="Arial" w:cs="Arial"/>
          <w:lang w:val="en-IN"/>
        </w:rPr>
        <w:t xml:space="preserve">¹) exhibited minimal variation across treatments, reflecting consistent ionic and dissolved solids </w:t>
      </w:r>
      <w:r w:rsidRPr="00B61AFF">
        <w:rPr>
          <w:rFonts w:ascii="Arial" w:hAnsi="Arial" w:cs="Arial"/>
          <w:lang w:val="en-IN"/>
        </w:rPr>
        <w:lastRenderedPageBreak/>
        <w:t>composition. Dissolved oxygen levels ranged from 4.3–7.7 mg L</w:t>
      </w:r>
      <w:r w:rsidRPr="00B61AFF">
        <w:rPr>
          <w:rFonts w:ascii="Cambria Math" w:hAnsi="Cambria Math" w:cs="Cambria Math"/>
          <w:lang w:val="en-IN"/>
        </w:rPr>
        <w:t>⁻</w:t>
      </w:r>
      <w:r w:rsidRPr="00B61AFF">
        <w:rPr>
          <w:rFonts w:ascii="Arial" w:hAnsi="Arial" w:cs="Arial"/>
          <w:lang w:val="en-IN"/>
        </w:rPr>
        <w:t>¹, with mean concentrations between 5.8 ± 0.24 and 6.2 ± 0.11 mg L</w:t>
      </w:r>
      <w:r w:rsidRPr="00B61AFF">
        <w:rPr>
          <w:rFonts w:ascii="Cambria Math" w:hAnsi="Cambria Math" w:cs="Cambria Math"/>
          <w:lang w:val="en-IN"/>
        </w:rPr>
        <w:t>⁻</w:t>
      </w:r>
      <w:r w:rsidRPr="00B61AFF">
        <w:rPr>
          <w:rFonts w:ascii="Arial" w:hAnsi="Arial" w:cs="Arial"/>
          <w:lang w:val="en-IN"/>
        </w:rPr>
        <w:t>¹, indicating adequate aeration for normal metabolic activity. Ammonia-nitrogen concentrations (0.011–0.021 mg L</w:t>
      </w:r>
      <w:r w:rsidRPr="00B61AFF">
        <w:rPr>
          <w:rFonts w:ascii="Cambria Math" w:hAnsi="Cambria Math" w:cs="Cambria Math"/>
          <w:lang w:val="en-IN"/>
        </w:rPr>
        <w:t>⁻</w:t>
      </w:r>
      <w:r w:rsidRPr="00B61AFF">
        <w:rPr>
          <w:rFonts w:ascii="Arial" w:hAnsi="Arial" w:cs="Arial"/>
          <w:lang w:val="en-IN"/>
        </w:rPr>
        <w:t>¹) remained negligible throughout the trial, while nitrate-nitrogen values (0.63–0.70 mg L</w:t>
      </w:r>
      <w:r w:rsidRPr="00B61AFF">
        <w:rPr>
          <w:rFonts w:ascii="Cambria Math" w:hAnsi="Cambria Math" w:cs="Cambria Math"/>
          <w:lang w:val="en-IN"/>
        </w:rPr>
        <w:t>⁻</w:t>
      </w:r>
      <w:r w:rsidRPr="00B61AFF">
        <w:rPr>
          <w:rFonts w:ascii="Arial" w:hAnsi="Arial" w:cs="Arial"/>
          <w:lang w:val="en-IN"/>
        </w:rPr>
        <w:t>¹) remained within safe limits for freshwater fish culture. Orthophosphate concentrations (0.038–0.050 mg L</w:t>
      </w:r>
      <w:r w:rsidRPr="00B61AFF">
        <w:rPr>
          <w:rFonts w:ascii="Cambria Math" w:hAnsi="Cambria Math" w:cs="Cambria Math"/>
          <w:lang w:val="en-IN"/>
        </w:rPr>
        <w:t>⁻</w:t>
      </w:r>
      <w:r w:rsidRPr="00B61AFF">
        <w:rPr>
          <w:rFonts w:ascii="Arial" w:hAnsi="Arial" w:cs="Arial"/>
          <w:lang w:val="en-IN"/>
        </w:rPr>
        <w:t>¹ on average) remained low and did not differ markedly among treatments.</w:t>
      </w:r>
      <w:r>
        <w:rPr>
          <w:rFonts w:ascii="Arial" w:hAnsi="Arial" w:cs="Arial"/>
          <w:lang w:val="en-IN"/>
        </w:rPr>
        <w:t xml:space="preserve"> </w:t>
      </w:r>
    </w:p>
    <w:p w14:paraId="2061B0C9" w14:textId="77777777" w:rsidR="00B61AFF" w:rsidRPr="00B61AFF" w:rsidRDefault="00B61AFF" w:rsidP="00B61AFF">
      <w:pPr>
        <w:pStyle w:val="Body"/>
        <w:rPr>
          <w:rFonts w:ascii="Arial" w:hAnsi="Arial" w:cs="Arial"/>
          <w:b/>
          <w:lang w:val="en-IN"/>
        </w:rPr>
      </w:pPr>
      <w:r w:rsidRPr="00B61AFF">
        <w:rPr>
          <w:rFonts w:ascii="Arial" w:hAnsi="Arial" w:cs="Arial"/>
          <w:b/>
          <w:lang w:val="en-IN"/>
        </w:rPr>
        <w:t>Table 1: Range and Average ± Standard error of selected water quality parameters during the experimental period.</w:t>
      </w:r>
    </w:p>
    <w:tbl>
      <w:tblPr>
        <w:tblW w:w="5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471"/>
        <w:gridCol w:w="1471"/>
        <w:gridCol w:w="1471"/>
        <w:gridCol w:w="1471"/>
        <w:gridCol w:w="1477"/>
      </w:tblGrid>
      <w:tr w:rsidR="00B61AFF" w:rsidRPr="00B61AFF" w14:paraId="7FDB8904" w14:textId="77777777" w:rsidTr="00B61AFF">
        <w:trPr>
          <w:trHeight w:val="211"/>
          <w:jc w:val="center"/>
        </w:trPr>
        <w:tc>
          <w:tcPr>
            <w:tcW w:w="962" w:type="pct"/>
            <w:vMerge w:val="restart"/>
          </w:tcPr>
          <w:p w14:paraId="5EC7D4B4" w14:textId="77777777" w:rsidR="00B61AFF" w:rsidRPr="00B61AFF" w:rsidRDefault="00B61AFF" w:rsidP="00B61AFF">
            <w:pPr>
              <w:pStyle w:val="Body"/>
              <w:rPr>
                <w:rFonts w:ascii="Arial" w:hAnsi="Arial" w:cs="Arial"/>
                <w:b/>
                <w:bCs/>
                <w:lang w:val="en-IN"/>
              </w:rPr>
            </w:pPr>
            <w:r w:rsidRPr="00B61AFF">
              <w:rPr>
                <w:rFonts w:ascii="Arial" w:hAnsi="Arial" w:cs="Arial"/>
                <w:b/>
                <w:bCs/>
                <w:lang w:val="en-IN"/>
              </w:rPr>
              <w:t>Parameters</w:t>
            </w:r>
          </w:p>
        </w:tc>
        <w:tc>
          <w:tcPr>
            <w:tcW w:w="4038" w:type="pct"/>
            <w:gridSpan w:val="5"/>
            <w:vAlign w:val="center"/>
          </w:tcPr>
          <w:p w14:paraId="3337D462" w14:textId="77777777" w:rsidR="00B61AFF" w:rsidRPr="00B61AFF" w:rsidRDefault="00B61AFF" w:rsidP="00B61AFF">
            <w:pPr>
              <w:pStyle w:val="Body"/>
              <w:ind w:firstLine="720"/>
              <w:jc w:val="center"/>
              <w:rPr>
                <w:rFonts w:ascii="Arial" w:hAnsi="Arial" w:cs="Arial"/>
                <w:b/>
                <w:bCs/>
                <w:lang w:val="en-IN"/>
              </w:rPr>
            </w:pPr>
            <w:r w:rsidRPr="00B61AFF">
              <w:rPr>
                <w:rFonts w:ascii="Arial" w:hAnsi="Arial" w:cs="Arial"/>
                <w:b/>
                <w:bCs/>
                <w:lang w:val="en-IN"/>
              </w:rPr>
              <w:t>Treatments</w:t>
            </w:r>
          </w:p>
        </w:tc>
      </w:tr>
      <w:tr w:rsidR="00B61AFF" w:rsidRPr="00B61AFF" w14:paraId="52B72AC6" w14:textId="77777777" w:rsidTr="00B61AFF">
        <w:trPr>
          <w:trHeight w:val="76"/>
          <w:jc w:val="center"/>
        </w:trPr>
        <w:tc>
          <w:tcPr>
            <w:tcW w:w="962" w:type="pct"/>
            <w:vMerge/>
          </w:tcPr>
          <w:p w14:paraId="2424615B" w14:textId="77777777" w:rsidR="00B61AFF" w:rsidRPr="00B61AFF" w:rsidRDefault="00B61AFF" w:rsidP="00B61AFF">
            <w:pPr>
              <w:pStyle w:val="Body"/>
              <w:ind w:firstLine="720"/>
              <w:rPr>
                <w:rFonts w:ascii="Arial" w:hAnsi="Arial" w:cs="Arial"/>
                <w:b/>
                <w:bCs/>
                <w:lang w:val="en-IN"/>
              </w:rPr>
            </w:pPr>
          </w:p>
        </w:tc>
        <w:tc>
          <w:tcPr>
            <w:tcW w:w="807" w:type="pct"/>
            <w:vAlign w:val="center"/>
          </w:tcPr>
          <w:p w14:paraId="22B7A020" w14:textId="77777777" w:rsidR="00B61AFF" w:rsidRDefault="00B61AFF" w:rsidP="00B61AFF">
            <w:pPr>
              <w:pStyle w:val="Body"/>
              <w:ind w:firstLine="720"/>
              <w:jc w:val="center"/>
              <w:rPr>
                <w:rFonts w:ascii="Arial" w:hAnsi="Arial" w:cs="Arial"/>
                <w:b/>
                <w:bCs/>
                <w:lang w:val="en-IN"/>
              </w:rPr>
            </w:pPr>
          </w:p>
          <w:p w14:paraId="7986AAB6" w14:textId="77777777" w:rsidR="00B61AFF" w:rsidRPr="00B61AFF" w:rsidRDefault="00B61AFF" w:rsidP="00B61AFF">
            <w:pPr>
              <w:pStyle w:val="Body"/>
              <w:jc w:val="center"/>
              <w:rPr>
                <w:rFonts w:ascii="Arial" w:hAnsi="Arial" w:cs="Arial"/>
                <w:b/>
                <w:bCs/>
                <w:lang w:val="en-IN"/>
              </w:rPr>
            </w:pPr>
            <w:r w:rsidRPr="00B61AFF">
              <w:rPr>
                <w:rFonts w:ascii="Arial" w:hAnsi="Arial" w:cs="Arial"/>
                <w:b/>
                <w:bCs/>
                <w:lang w:val="en-IN"/>
              </w:rPr>
              <w:t>Control</w:t>
            </w:r>
          </w:p>
        </w:tc>
        <w:tc>
          <w:tcPr>
            <w:tcW w:w="807" w:type="pct"/>
            <w:vAlign w:val="center"/>
          </w:tcPr>
          <w:p w14:paraId="3E500612" w14:textId="77777777" w:rsidR="00B61AFF" w:rsidRPr="00B61AFF" w:rsidRDefault="00B61AFF" w:rsidP="00B61AFF">
            <w:pPr>
              <w:pStyle w:val="Body"/>
              <w:ind w:firstLine="720"/>
              <w:jc w:val="center"/>
              <w:rPr>
                <w:rFonts w:ascii="Arial" w:hAnsi="Arial" w:cs="Arial"/>
                <w:b/>
                <w:bCs/>
                <w:vertAlign w:val="subscript"/>
                <w:lang w:val="en-IN"/>
              </w:rPr>
            </w:pPr>
            <w:r w:rsidRPr="00B61AFF">
              <w:rPr>
                <w:rFonts w:ascii="Arial" w:hAnsi="Arial" w:cs="Arial"/>
                <w:b/>
                <w:bCs/>
                <w:lang w:val="en-IN"/>
              </w:rPr>
              <w:t>T</w:t>
            </w:r>
            <w:r w:rsidRPr="00B61AFF">
              <w:rPr>
                <w:rFonts w:ascii="Arial" w:hAnsi="Arial" w:cs="Arial"/>
                <w:b/>
                <w:bCs/>
                <w:vertAlign w:val="subscript"/>
                <w:lang w:val="en-IN"/>
              </w:rPr>
              <w:t>1</w:t>
            </w:r>
          </w:p>
        </w:tc>
        <w:tc>
          <w:tcPr>
            <w:tcW w:w="807" w:type="pct"/>
            <w:vAlign w:val="center"/>
          </w:tcPr>
          <w:p w14:paraId="1F05C76B" w14:textId="77777777" w:rsidR="00B61AFF" w:rsidRPr="00B61AFF" w:rsidRDefault="00B61AFF" w:rsidP="00B61AFF">
            <w:pPr>
              <w:pStyle w:val="Body"/>
              <w:ind w:firstLine="720"/>
              <w:jc w:val="center"/>
              <w:rPr>
                <w:rFonts w:ascii="Arial" w:hAnsi="Arial" w:cs="Arial"/>
                <w:b/>
                <w:bCs/>
                <w:vertAlign w:val="subscript"/>
                <w:lang w:val="en-IN"/>
              </w:rPr>
            </w:pPr>
            <w:r w:rsidRPr="00B61AFF">
              <w:rPr>
                <w:rFonts w:ascii="Arial" w:hAnsi="Arial" w:cs="Arial"/>
                <w:b/>
                <w:bCs/>
                <w:lang w:val="en-IN"/>
              </w:rPr>
              <w:t>T</w:t>
            </w:r>
            <w:r w:rsidRPr="00B61AFF">
              <w:rPr>
                <w:rFonts w:ascii="Arial" w:hAnsi="Arial" w:cs="Arial"/>
                <w:b/>
                <w:bCs/>
                <w:vertAlign w:val="subscript"/>
                <w:lang w:val="en-IN"/>
              </w:rPr>
              <w:t>2</w:t>
            </w:r>
          </w:p>
        </w:tc>
        <w:tc>
          <w:tcPr>
            <w:tcW w:w="807" w:type="pct"/>
            <w:vAlign w:val="center"/>
          </w:tcPr>
          <w:p w14:paraId="3BC01668" w14:textId="77777777" w:rsidR="00B61AFF" w:rsidRPr="00B61AFF" w:rsidRDefault="00B61AFF" w:rsidP="00B61AFF">
            <w:pPr>
              <w:pStyle w:val="Body"/>
              <w:ind w:firstLine="720"/>
              <w:jc w:val="center"/>
              <w:rPr>
                <w:rFonts w:ascii="Arial" w:hAnsi="Arial" w:cs="Arial"/>
                <w:b/>
                <w:bCs/>
                <w:vertAlign w:val="subscript"/>
                <w:lang w:val="en-IN"/>
              </w:rPr>
            </w:pPr>
            <w:r w:rsidRPr="00B61AFF">
              <w:rPr>
                <w:rFonts w:ascii="Arial" w:hAnsi="Arial" w:cs="Arial"/>
                <w:b/>
                <w:bCs/>
                <w:lang w:val="en-IN"/>
              </w:rPr>
              <w:t>T</w:t>
            </w:r>
            <w:r w:rsidRPr="00B61AFF">
              <w:rPr>
                <w:rFonts w:ascii="Arial" w:hAnsi="Arial" w:cs="Arial"/>
                <w:b/>
                <w:bCs/>
                <w:vertAlign w:val="subscript"/>
                <w:lang w:val="en-IN"/>
              </w:rPr>
              <w:t>3</w:t>
            </w:r>
          </w:p>
        </w:tc>
        <w:tc>
          <w:tcPr>
            <w:tcW w:w="810" w:type="pct"/>
            <w:vAlign w:val="center"/>
          </w:tcPr>
          <w:p w14:paraId="53287902" w14:textId="77777777" w:rsidR="00B61AFF" w:rsidRPr="00B61AFF" w:rsidRDefault="00B61AFF" w:rsidP="00B61AFF">
            <w:pPr>
              <w:pStyle w:val="Body"/>
              <w:ind w:firstLine="720"/>
              <w:jc w:val="center"/>
              <w:rPr>
                <w:rFonts w:ascii="Arial" w:hAnsi="Arial" w:cs="Arial"/>
                <w:b/>
                <w:bCs/>
                <w:vertAlign w:val="subscript"/>
                <w:lang w:val="en-IN"/>
              </w:rPr>
            </w:pPr>
            <w:r w:rsidRPr="00B61AFF">
              <w:rPr>
                <w:rFonts w:ascii="Arial" w:hAnsi="Arial" w:cs="Arial"/>
                <w:b/>
                <w:bCs/>
                <w:lang w:val="en-IN"/>
              </w:rPr>
              <w:t>T</w:t>
            </w:r>
            <w:r w:rsidRPr="00B61AFF">
              <w:rPr>
                <w:rFonts w:ascii="Arial" w:hAnsi="Arial" w:cs="Arial"/>
                <w:b/>
                <w:bCs/>
                <w:vertAlign w:val="subscript"/>
                <w:lang w:val="en-IN"/>
              </w:rPr>
              <w:t>4</w:t>
            </w:r>
          </w:p>
        </w:tc>
      </w:tr>
      <w:tr w:rsidR="003C43B2" w:rsidRPr="00B61AFF" w14:paraId="0FC3B66F" w14:textId="77777777" w:rsidTr="00B61AFF">
        <w:trPr>
          <w:trHeight w:val="534"/>
          <w:jc w:val="center"/>
        </w:trPr>
        <w:tc>
          <w:tcPr>
            <w:tcW w:w="962" w:type="pct"/>
            <w:vAlign w:val="center"/>
          </w:tcPr>
          <w:p w14:paraId="57F0E118" w14:textId="77777777" w:rsidR="003C43B2" w:rsidRPr="00B61AFF" w:rsidRDefault="003C43B2" w:rsidP="003C43B2">
            <w:pPr>
              <w:pStyle w:val="Body"/>
              <w:jc w:val="left"/>
              <w:rPr>
                <w:rFonts w:ascii="Arial" w:hAnsi="Arial" w:cs="Arial"/>
                <w:lang w:val="en-IN"/>
              </w:rPr>
            </w:pPr>
            <w:r w:rsidRPr="00B61AFF">
              <w:rPr>
                <w:rFonts w:ascii="Arial" w:hAnsi="Arial" w:cs="Arial"/>
                <w:lang w:val="en-IN"/>
              </w:rPr>
              <w:t>Temperature (°C)</w:t>
            </w:r>
          </w:p>
        </w:tc>
        <w:tc>
          <w:tcPr>
            <w:tcW w:w="807" w:type="pct"/>
            <w:vAlign w:val="center"/>
          </w:tcPr>
          <w:p w14:paraId="4EF83687" w14:textId="77777777" w:rsidR="003C43B2" w:rsidRPr="003C43B2" w:rsidRDefault="003C43B2" w:rsidP="003C43B2">
            <w:pPr>
              <w:spacing w:before="60" w:after="60"/>
              <w:jc w:val="center"/>
              <w:rPr>
                <w:rFonts w:ascii="Arial" w:hAnsi="Arial" w:cs="Arial"/>
              </w:rPr>
            </w:pPr>
            <w:r w:rsidRPr="003C43B2">
              <w:rPr>
                <w:rFonts w:ascii="Arial" w:hAnsi="Arial" w:cs="Arial"/>
              </w:rPr>
              <w:t>19.6-27.6</w:t>
            </w:r>
          </w:p>
          <w:p w14:paraId="2350A699" w14:textId="77777777" w:rsidR="003C43B2" w:rsidRPr="003C43B2" w:rsidRDefault="003C43B2" w:rsidP="003C43B2">
            <w:pPr>
              <w:spacing w:before="60" w:after="60"/>
              <w:jc w:val="center"/>
              <w:rPr>
                <w:rFonts w:ascii="Arial" w:hAnsi="Arial" w:cs="Arial"/>
              </w:rPr>
            </w:pPr>
            <w:r w:rsidRPr="003C43B2">
              <w:rPr>
                <w:rFonts w:ascii="Arial" w:hAnsi="Arial" w:cs="Arial"/>
              </w:rPr>
              <w:t>(23.97±1.04)</w:t>
            </w:r>
          </w:p>
        </w:tc>
        <w:tc>
          <w:tcPr>
            <w:tcW w:w="807" w:type="pct"/>
            <w:vAlign w:val="center"/>
          </w:tcPr>
          <w:p w14:paraId="6813EEFB" w14:textId="77777777" w:rsidR="003C43B2" w:rsidRPr="003C43B2" w:rsidRDefault="003C43B2" w:rsidP="003C43B2">
            <w:pPr>
              <w:spacing w:before="60" w:after="60"/>
              <w:jc w:val="center"/>
              <w:rPr>
                <w:rFonts w:ascii="Arial" w:hAnsi="Arial" w:cs="Arial"/>
              </w:rPr>
            </w:pPr>
            <w:r w:rsidRPr="003C43B2">
              <w:rPr>
                <w:rFonts w:ascii="Arial" w:hAnsi="Arial" w:cs="Arial"/>
              </w:rPr>
              <w:t>19.6-27.5</w:t>
            </w:r>
          </w:p>
          <w:p w14:paraId="5FC40440" w14:textId="77777777" w:rsidR="003C43B2" w:rsidRPr="003C43B2" w:rsidRDefault="003C43B2" w:rsidP="003C43B2">
            <w:pPr>
              <w:spacing w:before="60" w:after="60"/>
              <w:jc w:val="center"/>
              <w:rPr>
                <w:rFonts w:ascii="Arial" w:hAnsi="Arial" w:cs="Arial"/>
              </w:rPr>
            </w:pPr>
            <w:r w:rsidRPr="003C43B2">
              <w:rPr>
                <w:rFonts w:ascii="Arial" w:hAnsi="Arial" w:cs="Arial"/>
              </w:rPr>
              <w:t>(23.93±2.42)</w:t>
            </w:r>
          </w:p>
        </w:tc>
        <w:tc>
          <w:tcPr>
            <w:tcW w:w="807" w:type="pct"/>
            <w:vAlign w:val="center"/>
          </w:tcPr>
          <w:p w14:paraId="7DE3E8C2" w14:textId="77777777" w:rsidR="003C43B2" w:rsidRPr="003C43B2" w:rsidRDefault="003C43B2" w:rsidP="003C43B2">
            <w:pPr>
              <w:spacing w:before="60" w:after="60"/>
              <w:jc w:val="center"/>
              <w:rPr>
                <w:rFonts w:ascii="Arial" w:hAnsi="Arial" w:cs="Arial"/>
              </w:rPr>
            </w:pPr>
            <w:r w:rsidRPr="003C43B2">
              <w:rPr>
                <w:rFonts w:ascii="Arial" w:hAnsi="Arial" w:cs="Arial"/>
              </w:rPr>
              <w:t>19.7-27.1</w:t>
            </w:r>
          </w:p>
          <w:p w14:paraId="2B654EB1" w14:textId="77777777" w:rsidR="003C43B2" w:rsidRPr="003C43B2" w:rsidRDefault="003C43B2" w:rsidP="003C43B2">
            <w:pPr>
              <w:spacing w:before="60" w:after="60"/>
              <w:jc w:val="center"/>
              <w:rPr>
                <w:rFonts w:ascii="Arial" w:hAnsi="Arial" w:cs="Arial"/>
              </w:rPr>
            </w:pPr>
            <w:r w:rsidRPr="003C43B2">
              <w:rPr>
                <w:rFonts w:ascii="Arial" w:hAnsi="Arial" w:cs="Arial"/>
              </w:rPr>
              <w:t>(23.98±2.28)</w:t>
            </w:r>
          </w:p>
        </w:tc>
        <w:tc>
          <w:tcPr>
            <w:tcW w:w="807" w:type="pct"/>
            <w:vAlign w:val="center"/>
          </w:tcPr>
          <w:p w14:paraId="6888ABA6" w14:textId="77777777" w:rsidR="003C43B2" w:rsidRPr="003C43B2" w:rsidRDefault="003C43B2" w:rsidP="003C43B2">
            <w:pPr>
              <w:spacing w:before="60" w:after="60"/>
              <w:jc w:val="center"/>
              <w:rPr>
                <w:rFonts w:ascii="Arial" w:hAnsi="Arial" w:cs="Arial"/>
              </w:rPr>
            </w:pPr>
            <w:r w:rsidRPr="003C43B2">
              <w:rPr>
                <w:rFonts w:ascii="Arial" w:hAnsi="Arial" w:cs="Arial"/>
              </w:rPr>
              <w:t>19.6-27.6</w:t>
            </w:r>
          </w:p>
          <w:p w14:paraId="5E2DE6DB" w14:textId="77777777" w:rsidR="003C43B2" w:rsidRPr="003C43B2" w:rsidRDefault="003C43B2" w:rsidP="003C43B2">
            <w:pPr>
              <w:spacing w:before="60" w:after="60"/>
              <w:jc w:val="center"/>
              <w:rPr>
                <w:rFonts w:ascii="Arial" w:hAnsi="Arial" w:cs="Arial"/>
              </w:rPr>
            </w:pPr>
            <w:r w:rsidRPr="003C43B2">
              <w:rPr>
                <w:rFonts w:ascii="Arial" w:hAnsi="Arial" w:cs="Arial"/>
              </w:rPr>
              <w:t>(24.0±2.39)</w:t>
            </w:r>
          </w:p>
        </w:tc>
        <w:tc>
          <w:tcPr>
            <w:tcW w:w="810" w:type="pct"/>
            <w:vAlign w:val="center"/>
          </w:tcPr>
          <w:p w14:paraId="21FE3A73" w14:textId="77777777" w:rsidR="003C43B2" w:rsidRPr="003C43B2" w:rsidRDefault="003C43B2" w:rsidP="003C43B2">
            <w:pPr>
              <w:spacing w:before="60" w:after="60"/>
              <w:jc w:val="center"/>
              <w:rPr>
                <w:rFonts w:ascii="Arial" w:hAnsi="Arial" w:cs="Arial"/>
              </w:rPr>
            </w:pPr>
            <w:r w:rsidRPr="003C43B2">
              <w:rPr>
                <w:rFonts w:ascii="Arial" w:hAnsi="Arial" w:cs="Arial"/>
              </w:rPr>
              <w:t>19.5-27.1</w:t>
            </w:r>
          </w:p>
          <w:p w14:paraId="31150DEB" w14:textId="77777777" w:rsidR="003C43B2" w:rsidRPr="003C43B2" w:rsidRDefault="003C43B2" w:rsidP="003C43B2">
            <w:pPr>
              <w:spacing w:before="60" w:after="60"/>
              <w:jc w:val="center"/>
              <w:rPr>
                <w:rFonts w:ascii="Arial" w:hAnsi="Arial" w:cs="Arial"/>
              </w:rPr>
            </w:pPr>
            <w:r w:rsidRPr="003C43B2">
              <w:rPr>
                <w:rFonts w:ascii="Arial" w:hAnsi="Arial" w:cs="Arial"/>
              </w:rPr>
              <w:t>(23.8±2.36)</w:t>
            </w:r>
          </w:p>
        </w:tc>
      </w:tr>
      <w:tr w:rsidR="003C43B2" w:rsidRPr="00B61AFF" w14:paraId="3E41B703" w14:textId="77777777" w:rsidTr="00B61AFF">
        <w:trPr>
          <w:trHeight w:val="392"/>
          <w:jc w:val="center"/>
        </w:trPr>
        <w:tc>
          <w:tcPr>
            <w:tcW w:w="962" w:type="pct"/>
            <w:vAlign w:val="center"/>
          </w:tcPr>
          <w:p w14:paraId="623A6D6E" w14:textId="77777777"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pH</w:t>
            </w:r>
          </w:p>
        </w:tc>
        <w:tc>
          <w:tcPr>
            <w:tcW w:w="807" w:type="pct"/>
            <w:vAlign w:val="center"/>
          </w:tcPr>
          <w:p w14:paraId="7684FC22" w14:textId="77777777" w:rsidR="003C43B2" w:rsidRPr="003C43B2" w:rsidRDefault="003C43B2" w:rsidP="003C43B2">
            <w:pPr>
              <w:spacing w:before="60" w:after="60"/>
              <w:jc w:val="center"/>
              <w:rPr>
                <w:rFonts w:ascii="Arial" w:hAnsi="Arial" w:cs="Arial"/>
              </w:rPr>
            </w:pPr>
            <w:r w:rsidRPr="003C43B2">
              <w:rPr>
                <w:rFonts w:ascii="Arial" w:hAnsi="Arial" w:cs="Arial"/>
              </w:rPr>
              <w:t>7.1-8.1</w:t>
            </w:r>
          </w:p>
          <w:p w14:paraId="66C9A91F" w14:textId="77777777" w:rsidR="003C43B2" w:rsidRPr="003C43B2" w:rsidRDefault="003C43B2" w:rsidP="003C43B2">
            <w:pPr>
              <w:spacing w:before="60" w:after="60"/>
              <w:jc w:val="center"/>
              <w:rPr>
                <w:rFonts w:ascii="Arial" w:hAnsi="Arial" w:cs="Arial"/>
              </w:rPr>
            </w:pPr>
            <w:r w:rsidRPr="003C43B2">
              <w:rPr>
                <w:rFonts w:ascii="Arial" w:hAnsi="Arial" w:cs="Arial"/>
              </w:rPr>
              <w:t>(7.7±0.09)</w:t>
            </w:r>
          </w:p>
        </w:tc>
        <w:tc>
          <w:tcPr>
            <w:tcW w:w="807" w:type="pct"/>
            <w:vAlign w:val="center"/>
          </w:tcPr>
          <w:p w14:paraId="616A055E" w14:textId="77777777" w:rsidR="003C43B2" w:rsidRPr="003C43B2" w:rsidRDefault="003C43B2" w:rsidP="003C43B2">
            <w:pPr>
              <w:spacing w:before="60" w:after="60"/>
              <w:jc w:val="center"/>
              <w:rPr>
                <w:rFonts w:ascii="Arial" w:hAnsi="Arial" w:cs="Arial"/>
              </w:rPr>
            </w:pPr>
            <w:r w:rsidRPr="003C43B2">
              <w:rPr>
                <w:rFonts w:ascii="Arial" w:hAnsi="Arial" w:cs="Arial"/>
              </w:rPr>
              <w:t>7.3-8.1</w:t>
            </w:r>
          </w:p>
          <w:p w14:paraId="3B5CD1B2" w14:textId="77777777" w:rsidR="003C43B2" w:rsidRPr="003C43B2" w:rsidRDefault="003C43B2" w:rsidP="003C43B2">
            <w:pPr>
              <w:spacing w:before="60" w:after="60"/>
              <w:jc w:val="center"/>
              <w:rPr>
                <w:rFonts w:ascii="Arial" w:hAnsi="Arial" w:cs="Arial"/>
              </w:rPr>
            </w:pPr>
            <w:r w:rsidRPr="003C43B2">
              <w:rPr>
                <w:rFonts w:ascii="Arial" w:hAnsi="Arial" w:cs="Arial"/>
              </w:rPr>
              <w:t>(7.7±0.08)</w:t>
            </w:r>
          </w:p>
        </w:tc>
        <w:tc>
          <w:tcPr>
            <w:tcW w:w="807" w:type="pct"/>
            <w:vAlign w:val="center"/>
          </w:tcPr>
          <w:p w14:paraId="72E57EBD" w14:textId="77777777" w:rsidR="003C43B2" w:rsidRPr="003C43B2" w:rsidRDefault="003C43B2" w:rsidP="003C43B2">
            <w:pPr>
              <w:spacing w:before="60" w:after="60"/>
              <w:jc w:val="center"/>
              <w:rPr>
                <w:rFonts w:ascii="Arial" w:hAnsi="Arial" w:cs="Arial"/>
              </w:rPr>
            </w:pPr>
            <w:r w:rsidRPr="003C43B2">
              <w:rPr>
                <w:rFonts w:ascii="Arial" w:hAnsi="Arial" w:cs="Arial"/>
              </w:rPr>
              <w:t>7.4-8.0</w:t>
            </w:r>
          </w:p>
          <w:p w14:paraId="693C1A22" w14:textId="77777777" w:rsidR="003C43B2" w:rsidRPr="003C43B2" w:rsidRDefault="003C43B2" w:rsidP="003C43B2">
            <w:pPr>
              <w:spacing w:before="60" w:after="60"/>
              <w:jc w:val="center"/>
              <w:rPr>
                <w:rFonts w:ascii="Arial" w:hAnsi="Arial" w:cs="Arial"/>
              </w:rPr>
            </w:pPr>
            <w:r w:rsidRPr="003C43B2">
              <w:rPr>
                <w:rFonts w:ascii="Arial" w:hAnsi="Arial" w:cs="Arial"/>
              </w:rPr>
              <w:t>(7.7±0.07)</w:t>
            </w:r>
          </w:p>
        </w:tc>
        <w:tc>
          <w:tcPr>
            <w:tcW w:w="807" w:type="pct"/>
            <w:vAlign w:val="center"/>
          </w:tcPr>
          <w:p w14:paraId="41C385C2" w14:textId="77777777" w:rsidR="003C43B2" w:rsidRPr="003C43B2" w:rsidRDefault="003C43B2" w:rsidP="003C43B2">
            <w:pPr>
              <w:spacing w:before="60" w:after="60"/>
              <w:jc w:val="center"/>
              <w:rPr>
                <w:rFonts w:ascii="Arial" w:hAnsi="Arial" w:cs="Arial"/>
              </w:rPr>
            </w:pPr>
            <w:r w:rsidRPr="003C43B2">
              <w:rPr>
                <w:rFonts w:ascii="Arial" w:hAnsi="Arial" w:cs="Arial"/>
              </w:rPr>
              <w:t>7.1-8.1</w:t>
            </w:r>
          </w:p>
          <w:p w14:paraId="04EF438A" w14:textId="77777777" w:rsidR="003C43B2" w:rsidRPr="003C43B2" w:rsidRDefault="003C43B2" w:rsidP="003C43B2">
            <w:pPr>
              <w:spacing w:before="60" w:after="60"/>
              <w:jc w:val="center"/>
              <w:rPr>
                <w:rFonts w:ascii="Arial" w:hAnsi="Arial" w:cs="Arial"/>
              </w:rPr>
            </w:pPr>
            <w:r w:rsidRPr="003C43B2">
              <w:rPr>
                <w:rFonts w:ascii="Arial" w:hAnsi="Arial" w:cs="Arial"/>
              </w:rPr>
              <w:t>(7.6±0.09)</w:t>
            </w:r>
          </w:p>
        </w:tc>
        <w:tc>
          <w:tcPr>
            <w:tcW w:w="810" w:type="pct"/>
            <w:vAlign w:val="center"/>
          </w:tcPr>
          <w:p w14:paraId="69FEB35D" w14:textId="77777777" w:rsidR="003C43B2" w:rsidRPr="003C43B2" w:rsidRDefault="003C43B2" w:rsidP="003C43B2">
            <w:pPr>
              <w:spacing w:before="60" w:after="60"/>
              <w:jc w:val="center"/>
              <w:rPr>
                <w:rFonts w:ascii="Arial" w:hAnsi="Arial" w:cs="Arial"/>
              </w:rPr>
            </w:pPr>
            <w:r w:rsidRPr="003C43B2">
              <w:rPr>
                <w:rFonts w:ascii="Arial" w:hAnsi="Arial" w:cs="Arial"/>
              </w:rPr>
              <w:t>7.4-8.1</w:t>
            </w:r>
          </w:p>
          <w:p w14:paraId="6B33D365" w14:textId="77777777" w:rsidR="003C43B2" w:rsidRPr="003C43B2" w:rsidRDefault="003C43B2" w:rsidP="003C43B2">
            <w:pPr>
              <w:spacing w:before="60" w:after="60"/>
              <w:jc w:val="center"/>
              <w:rPr>
                <w:rFonts w:ascii="Arial" w:hAnsi="Arial" w:cs="Arial"/>
              </w:rPr>
            </w:pPr>
            <w:r w:rsidRPr="003C43B2">
              <w:rPr>
                <w:rFonts w:ascii="Arial" w:hAnsi="Arial" w:cs="Arial"/>
              </w:rPr>
              <w:t>(7.8±0.07)</w:t>
            </w:r>
          </w:p>
        </w:tc>
      </w:tr>
      <w:tr w:rsidR="003C43B2" w:rsidRPr="00B61AFF" w14:paraId="6F3DA63C" w14:textId="77777777" w:rsidTr="00B61AFF">
        <w:trPr>
          <w:trHeight w:val="539"/>
          <w:jc w:val="center"/>
        </w:trPr>
        <w:tc>
          <w:tcPr>
            <w:tcW w:w="962" w:type="pct"/>
            <w:vAlign w:val="center"/>
          </w:tcPr>
          <w:p w14:paraId="7A16C886" w14:textId="77777777"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Electrical Conductivity (mS/cm)</w:t>
            </w:r>
          </w:p>
        </w:tc>
        <w:tc>
          <w:tcPr>
            <w:tcW w:w="807" w:type="pct"/>
            <w:vAlign w:val="center"/>
          </w:tcPr>
          <w:p w14:paraId="5717C619" w14:textId="77777777" w:rsidR="003C43B2" w:rsidRPr="003C43B2" w:rsidRDefault="003C43B2" w:rsidP="003C43B2">
            <w:pPr>
              <w:spacing w:before="60" w:after="60"/>
              <w:jc w:val="center"/>
              <w:rPr>
                <w:rFonts w:ascii="Arial" w:hAnsi="Arial" w:cs="Arial"/>
              </w:rPr>
            </w:pPr>
            <w:r w:rsidRPr="003C43B2">
              <w:rPr>
                <w:rFonts w:ascii="Arial" w:hAnsi="Arial" w:cs="Arial"/>
              </w:rPr>
              <w:t>1.911-1.963</w:t>
            </w:r>
          </w:p>
          <w:p w14:paraId="46178C04" w14:textId="77777777" w:rsidR="003C43B2" w:rsidRPr="003C43B2" w:rsidRDefault="003C43B2" w:rsidP="003C43B2">
            <w:pPr>
              <w:spacing w:before="60" w:after="60"/>
              <w:jc w:val="center"/>
              <w:rPr>
                <w:rFonts w:ascii="Arial" w:hAnsi="Arial" w:cs="Arial"/>
              </w:rPr>
            </w:pPr>
            <w:r w:rsidRPr="003C43B2">
              <w:rPr>
                <w:rFonts w:ascii="Arial" w:hAnsi="Arial" w:cs="Arial"/>
              </w:rPr>
              <w:t>(1.937±0.01)</w:t>
            </w:r>
          </w:p>
        </w:tc>
        <w:tc>
          <w:tcPr>
            <w:tcW w:w="807" w:type="pct"/>
            <w:vAlign w:val="center"/>
          </w:tcPr>
          <w:p w14:paraId="1063549E" w14:textId="77777777" w:rsidR="003C43B2" w:rsidRPr="003C43B2" w:rsidRDefault="003C43B2" w:rsidP="003C43B2">
            <w:pPr>
              <w:spacing w:before="60" w:after="60"/>
              <w:jc w:val="center"/>
              <w:rPr>
                <w:rFonts w:ascii="Arial" w:hAnsi="Arial" w:cs="Arial"/>
              </w:rPr>
            </w:pPr>
            <w:r w:rsidRPr="003C43B2">
              <w:rPr>
                <w:rFonts w:ascii="Arial" w:hAnsi="Arial" w:cs="Arial"/>
              </w:rPr>
              <w:t>1.911-1.968</w:t>
            </w:r>
          </w:p>
          <w:p w14:paraId="4DB1D8BC" w14:textId="77777777" w:rsidR="003C43B2" w:rsidRPr="003C43B2" w:rsidRDefault="003C43B2" w:rsidP="003C43B2">
            <w:pPr>
              <w:spacing w:before="60" w:after="60"/>
              <w:jc w:val="center"/>
              <w:rPr>
                <w:rFonts w:ascii="Arial" w:hAnsi="Arial" w:cs="Arial"/>
              </w:rPr>
            </w:pPr>
            <w:r w:rsidRPr="003C43B2">
              <w:rPr>
                <w:rFonts w:ascii="Arial" w:hAnsi="Arial" w:cs="Arial"/>
              </w:rPr>
              <w:t>(1.940±0.01)</w:t>
            </w:r>
          </w:p>
        </w:tc>
        <w:tc>
          <w:tcPr>
            <w:tcW w:w="807" w:type="pct"/>
            <w:vAlign w:val="center"/>
          </w:tcPr>
          <w:p w14:paraId="3AD48C00" w14:textId="77777777" w:rsidR="003C43B2" w:rsidRPr="003C43B2" w:rsidRDefault="003C43B2" w:rsidP="003C43B2">
            <w:pPr>
              <w:spacing w:before="60" w:after="60"/>
              <w:jc w:val="center"/>
              <w:rPr>
                <w:rFonts w:ascii="Arial" w:hAnsi="Arial" w:cs="Arial"/>
              </w:rPr>
            </w:pPr>
            <w:r w:rsidRPr="003C43B2">
              <w:rPr>
                <w:rFonts w:ascii="Arial" w:hAnsi="Arial" w:cs="Arial"/>
              </w:rPr>
              <w:t>1.908-1.962</w:t>
            </w:r>
          </w:p>
          <w:p w14:paraId="070B9E77" w14:textId="77777777" w:rsidR="003C43B2" w:rsidRPr="003C43B2" w:rsidRDefault="003C43B2" w:rsidP="003C43B2">
            <w:pPr>
              <w:spacing w:before="60" w:after="60"/>
              <w:jc w:val="center"/>
              <w:rPr>
                <w:rFonts w:ascii="Arial" w:hAnsi="Arial" w:cs="Arial"/>
              </w:rPr>
            </w:pPr>
            <w:r w:rsidRPr="003C43B2">
              <w:rPr>
                <w:rFonts w:ascii="Arial" w:hAnsi="Arial" w:cs="Arial"/>
              </w:rPr>
              <w:t>(1.940±0.01)</w:t>
            </w:r>
          </w:p>
        </w:tc>
        <w:tc>
          <w:tcPr>
            <w:tcW w:w="807" w:type="pct"/>
            <w:vAlign w:val="center"/>
          </w:tcPr>
          <w:p w14:paraId="63CAF320" w14:textId="77777777" w:rsidR="003C43B2" w:rsidRPr="003C43B2" w:rsidRDefault="003C43B2" w:rsidP="003C43B2">
            <w:pPr>
              <w:spacing w:before="60" w:after="60"/>
              <w:jc w:val="center"/>
              <w:rPr>
                <w:rFonts w:ascii="Arial" w:hAnsi="Arial" w:cs="Arial"/>
              </w:rPr>
            </w:pPr>
            <w:r w:rsidRPr="003C43B2">
              <w:rPr>
                <w:rFonts w:ascii="Arial" w:hAnsi="Arial" w:cs="Arial"/>
              </w:rPr>
              <w:t>1.907-1.966</w:t>
            </w:r>
          </w:p>
          <w:p w14:paraId="7BDDFFCB" w14:textId="77777777" w:rsidR="003C43B2" w:rsidRPr="003C43B2" w:rsidRDefault="003C43B2" w:rsidP="003C43B2">
            <w:pPr>
              <w:spacing w:before="60" w:after="60"/>
              <w:jc w:val="center"/>
              <w:rPr>
                <w:rFonts w:ascii="Arial" w:hAnsi="Arial" w:cs="Arial"/>
              </w:rPr>
            </w:pPr>
            <w:r w:rsidRPr="003C43B2">
              <w:rPr>
                <w:rFonts w:ascii="Arial" w:hAnsi="Arial" w:cs="Arial"/>
              </w:rPr>
              <w:t>(1.939±0.01)</w:t>
            </w:r>
          </w:p>
        </w:tc>
        <w:tc>
          <w:tcPr>
            <w:tcW w:w="810" w:type="pct"/>
            <w:vAlign w:val="center"/>
          </w:tcPr>
          <w:p w14:paraId="0EAB018A" w14:textId="77777777" w:rsidR="003C43B2" w:rsidRPr="003C43B2" w:rsidRDefault="003C43B2" w:rsidP="003C43B2">
            <w:pPr>
              <w:spacing w:before="60" w:after="60"/>
              <w:jc w:val="center"/>
              <w:rPr>
                <w:rFonts w:ascii="Arial" w:hAnsi="Arial" w:cs="Arial"/>
              </w:rPr>
            </w:pPr>
            <w:r w:rsidRPr="003C43B2">
              <w:rPr>
                <w:rFonts w:ascii="Arial" w:hAnsi="Arial" w:cs="Arial"/>
              </w:rPr>
              <w:t>1.915-1.961</w:t>
            </w:r>
          </w:p>
          <w:p w14:paraId="5166C919" w14:textId="77777777" w:rsidR="003C43B2" w:rsidRPr="003C43B2" w:rsidRDefault="003C43B2" w:rsidP="003C43B2">
            <w:pPr>
              <w:spacing w:before="60" w:after="60"/>
              <w:jc w:val="center"/>
              <w:rPr>
                <w:rFonts w:ascii="Arial" w:hAnsi="Arial" w:cs="Arial"/>
              </w:rPr>
            </w:pPr>
            <w:r w:rsidRPr="003C43B2">
              <w:rPr>
                <w:rFonts w:ascii="Arial" w:hAnsi="Arial" w:cs="Arial"/>
              </w:rPr>
              <w:t>(1.936±0.01)</w:t>
            </w:r>
          </w:p>
        </w:tc>
      </w:tr>
      <w:tr w:rsidR="003C43B2" w:rsidRPr="00B61AFF" w14:paraId="2997661C" w14:textId="77777777" w:rsidTr="00B61AFF">
        <w:trPr>
          <w:trHeight w:val="539"/>
          <w:jc w:val="center"/>
        </w:trPr>
        <w:tc>
          <w:tcPr>
            <w:tcW w:w="962" w:type="pct"/>
            <w:vAlign w:val="center"/>
          </w:tcPr>
          <w:p w14:paraId="2B1F4A0D" w14:textId="77777777"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Total Dissolved Solid (mg/l)</w:t>
            </w:r>
          </w:p>
        </w:tc>
        <w:tc>
          <w:tcPr>
            <w:tcW w:w="807" w:type="pct"/>
            <w:vAlign w:val="center"/>
          </w:tcPr>
          <w:p w14:paraId="6A68B11B" w14:textId="77777777" w:rsidR="003C43B2" w:rsidRPr="003C43B2" w:rsidRDefault="003C43B2" w:rsidP="003C43B2">
            <w:pPr>
              <w:spacing w:before="60" w:after="60"/>
              <w:jc w:val="center"/>
              <w:rPr>
                <w:rFonts w:ascii="Arial" w:hAnsi="Arial" w:cs="Arial"/>
              </w:rPr>
            </w:pPr>
            <w:r w:rsidRPr="003C43B2">
              <w:rPr>
                <w:rFonts w:ascii="Arial" w:hAnsi="Arial" w:cs="Arial"/>
              </w:rPr>
              <w:t>958-986</w:t>
            </w:r>
          </w:p>
          <w:p w14:paraId="4D5F5796" w14:textId="77777777" w:rsidR="003C43B2" w:rsidRPr="003C43B2" w:rsidRDefault="003C43B2" w:rsidP="003C43B2">
            <w:pPr>
              <w:spacing w:before="60" w:after="60"/>
              <w:jc w:val="center"/>
              <w:rPr>
                <w:rFonts w:ascii="Arial" w:hAnsi="Arial" w:cs="Arial"/>
              </w:rPr>
            </w:pPr>
            <w:r w:rsidRPr="003C43B2">
              <w:rPr>
                <w:rFonts w:ascii="Arial" w:hAnsi="Arial" w:cs="Arial"/>
              </w:rPr>
              <w:t>(971.7±3.12)</w:t>
            </w:r>
          </w:p>
        </w:tc>
        <w:tc>
          <w:tcPr>
            <w:tcW w:w="807" w:type="pct"/>
            <w:vAlign w:val="center"/>
          </w:tcPr>
          <w:p w14:paraId="5DAFFC38" w14:textId="77777777" w:rsidR="003C43B2" w:rsidRPr="003C43B2" w:rsidRDefault="003C43B2" w:rsidP="003C43B2">
            <w:pPr>
              <w:spacing w:before="60" w:after="60"/>
              <w:jc w:val="center"/>
              <w:rPr>
                <w:rFonts w:ascii="Arial" w:hAnsi="Arial" w:cs="Arial"/>
              </w:rPr>
            </w:pPr>
            <w:r w:rsidRPr="003C43B2">
              <w:rPr>
                <w:rFonts w:ascii="Arial" w:hAnsi="Arial" w:cs="Arial"/>
              </w:rPr>
              <w:t>962-987</w:t>
            </w:r>
          </w:p>
          <w:p w14:paraId="436BCB4F" w14:textId="77777777" w:rsidR="003C43B2" w:rsidRPr="003C43B2" w:rsidRDefault="003C43B2" w:rsidP="003C43B2">
            <w:pPr>
              <w:spacing w:before="60" w:after="60"/>
              <w:jc w:val="center"/>
              <w:rPr>
                <w:rFonts w:ascii="Arial" w:hAnsi="Arial" w:cs="Arial"/>
              </w:rPr>
            </w:pPr>
            <w:r w:rsidRPr="003C43B2">
              <w:rPr>
                <w:rFonts w:ascii="Arial" w:hAnsi="Arial" w:cs="Arial"/>
              </w:rPr>
              <w:t>(974.6±2.94)</w:t>
            </w:r>
          </w:p>
        </w:tc>
        <w:tc>
          <w:tcPr>
            <w:tcW w:w="807" w:type="pct"/>
            <w:vAlign w:val="center"/>
          </w:tcPr>
          <w:p w14:paraId="19635CCF" w14:textId="77777777" w:rsidR="003C43B2" w:rsidRPr="003C43B2" w:rsidRDefault="003C43B2" w:rsidP="003C43B2">
            <w:pPr>
              <w:spacing w:before="60" w:after="60"/>
              <w:jc w:val="center"/>
              <w:rPr>
                <w:rFonts w:ascii="Arial" w:hAnsi="Arial" w:cs="Arial"/>
              </w:rPr>
            </w:pPr>
            <w:r w:rsidRPr="003C43B2">
              <w:rPr>
                <w:rFonts w:ascii="Arial" w:hAnsi="Arial" w:cs="Arial"/>
              </w:rPr>
              <w:t>957-984</w:t>
            </w:r>
          </w:p>
          <w:p w14:paraId="13EC3324" w14:textId="77777777" w:rsidR="003C43B2" w:rsidRPr="003C43B2" w:rsidRDefault="003C43B2" w:rsidP="003C43B2">
            <w:pPr>
              <w:spacing w:before="60" w:after="60"/>
              <w:jc w:val="center"/>
              <w:rPr>
                <w:rFonts w:ascii="Arial" w:hAnsi="Arial" w:cs="Arial"/>
              </w:rPr>
            </w:pPr>
            <w:r w:rsidRPr="003C43B2">
              <w:rPr>
                <w:rFonts w:ascii="Arial" w:hAnsi="Arial" w:cs="Arial"/>
              </w:rPr>
              <w:t>(974.6±2.80)</w:t>
            </w:r>
          </w:p>
        </w:tc>
        <w:tc>
          <w:tcPr>
            <w:tcW w:w="807" w:type="pct"/>
            <w:vAlign w:val="center"/>
          </w:tcPr>
          <w:p w14:paraId="6772998F" w14:textId="77777777" w:rsidR="003C43B2" w:rsidRPr="003C43B2" w:rsidRDefault="003C43B2" w:rsidP="003C43B2">
            <w:pPr>
              <w:spacing w:before="60" w:after="60"/>
              <w:jc w:val="center"/>
              <w:rPr>
                <w:rFonts w:ascii="Arial" w:hAnsi="Arial" w:cs="Arial"/>
              </w:rPr>
            </w:pPr>
            <w:r w:rsidRPr="003C43B2">
              <w:rPr>
                <w:rFonts w:ascii="Arial" w:hAnsi="Arial" w:cs="Arial"/>
              </w:rPr>
              <w:t>956-987</w:t>
            </w:r>
          </w:p>
          <w:p w14:paraId="3279E69B" w14:textId="77777777" w:rsidR="003C43B2" w:rsidRPr="003C43B2" w:rsidRDefault="003C43B2" w:rsidP="003C43B2">
            <w:pPr>
              <w:spacing w:before="60" w:after="60"/>
              <w:jc w:val="center"/>
              <w:rPr>
                <w:rFonts w:ascii="Arial" w:hAnsi="Arial" w:cs="Arial"/>
              </w:rPr>
            </w:pPr>
            <w:r w:rsidRPr="003C43B2">
              <w:rPr>
                <w:rFonts w:ascii="Arial" w:hAnsi="Arial" w:cs="Arial"/>
              </w:rPr>
              <w:t>(973.7±2.94)</w:t>
            </w:r>
          </w:p>
        </w:tc>
        <w:tc>
          <w:tcPr>
            <w:tcW w:w="810" w:type="pct"/>
            <w:vAlign w:val="center"/>
          </w:tcPr>
          <w:p w14:paraId="0990921E" w14:textId="77777777" w:rsidR="003C43B2" w:rsidRPr="003C43B2" w:rsidRDefault="003C43B2" w:rsidP="003C43B2">
            <w:pPr>
              <w:spacing w:before="60" w:after="60"/>
              <w:jc w:val="center"/>
              <w:rPr>
                <w:rFonts w:ascii="Arial" w:hAnsi="Arial" w:cs="Arial"/>
              </w:rPr>
            </w:pPr>
            <w:r w:rsidRPr="003C43B2">
              <w:rPr>
                <w:rFonts w:ascii="Arial" w:hAnsi="Arial" w:cs="Arial"/>
              </w:rPr>
              <w:t>960-983</w:t>
            </w:r>
          </w:p>
          <w:p w14:paraId="0A423928" w14:textId="77777777" w:rsidR="003C43B2" w:rsidRPr="003C43B2" w:rsidRDefault="003C43B2" w:rsidP="003C43B2">
            <w:pPr>
              <w:spacing w:before="60" w:after="60"/>
              <w:jc w:val="center"/>
              <w:rPr>
                <w:rFonts w:ascii="Arial" w:hAnsi="Arial" w:cs="Arial"/>
              </w:rPr>
            </w:pPr>
            <w:r w:rsidRPr="003C43B2">
              <w:rPr>
                <w:rFonts w:ascii="Arial" w:hAnsi="Arial" w:cs="Arial"/>
              </w:rPr>
              <w:t>(970.6±2.56)</w:t>
            </w:r>
          </w:p>
        </w:tc>
      </w:tr>
      <w:tr w:rsidR="003C43B2" w:rsidRPr="00B61AFF" w14:paraId="74948603" w14:textId="77777777" w:rsidTr="00B61AFF">
        <w:trPr>
          <w:trHeight w:val="392"/>
          <w:jc w:val="center"/>
        </w:trPr>
        <w:tc>
          <w:tcPr>
            <w:tcW w:w="962" w:type="pct"/>
            <w:vAlign w:val="center"/>
          </w:tcPr>
          <w:p w14:paraId="30350AF4" w14:textId="77777777"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Dissolved Oxygen (mg/l)</w:t>
            </w:r>
          </w:p>
        </w:tc>
        <w:tc>
          <w:tcPr>
            <w:tcW w:w="807" w:type="pct"/>
            <w:vAlign w:val="center"/>
          </w:tcPr>
          <w:p w14:paraId="7DF1F0C1" w14:textId="77777777" w:rsidR="003C43B2" w:rsidRPr="003C43B2" w:rsidRDefault="003C43B2" w:rsidP="003C43B2">
            <w:pPr>
              <w:spacing w:before="60" w:after="60"/>
              <w:jc w:val="center"/>
              <w:rPr>
                <w:rFonts w:ascii="Arial" w:hAnsi="Arial" w:cs="Arial"/>
              </w:rPr>
            </w:pPr>
            <w:r w:rsidRPr="003C43B2">
              <w:rPr>
                <w:rFonts w:ascii="Arial" w:hAnsi="Arial" w:cs="Arial"/>
              </w:rPr>
              <w:t>4.6-6.8</w:t>
            </w:r>
          </w:p>
          <w:p w14:paraId="45AE0C35" w14:textId="77777777" w:rsidR="003C43B2" w:rsidRPr="003C43B2" w:rsidRDefault="003C43B2" w:rsidP="003C43B2">
            <w:pPr>
              <w:spacing w:before="60" w:after="60"/>
              <w:jc w:val="center"/>
              <w:rPr>
                <w:rFonts w:ascii="Arial" w:hAnsi="Arial" w:cs="Arial"/>
              </w:rPr>
            </w:pPr>
            <w:r w:rsidRPr="003C43B2">
              <w:rPr>
                <w:rFonts w:ascii="Arial" w:hAnsi="Arial" w:cs="Arial"/>
              </w:rPr>
              <w:t>(5.9±0.20)</w:t>
            </w:r>
          </w:p>
        </w:tc>
        <w:tc>
          <w:tcPr>
            <w:tcW w:w="807" w:type="pct"/>
            <w:vAlign w:val="center"/>
          </w:tcPr>
          <w:p w14:paraId="41171CE7" w14:textId="77777777" w:rsidR="003C43B2" w:rsidRPr="003C43B2" w:rsidRDefault="003C43B2" w:rsidP="003C43B2">
            <w:pPr>
              <w:spacing w:before="60" w:after="60"/>
              <w:jc w:val="center"/>
              <w:rPr>
                <w:rFonts w:ascii="Arial" w:hAnsi="Arial" w:cs="Arial"/>
              </w:rPr>
            </w:pPr>
            <w:r w:rsidRPr="003C43B2">
              <w:rPr>
                <w:rFonts w:ascii="Arial" w:hAnsi="Arial" w:cs="Arial"/>
              </w:rPr>
              <w:t>4.3-6.7</w:t>
            </w:r>
          </w:p>
          <w:p w14:paraId="2EBCA6FB" w14:textId="77777777" w:rsidR="003C43B2" w:rsidRPr="003C43B2" w:rsidRDefault="003C43B2" w:rsidP="003C43B2">
            <w:pPr>
              <w:spacing w:before="60" w:after="60"/>
              <w:jc w:val="center"/>
              <w:rPr>
                <w:rFonts w:ascii="Arial" w:hAnsi="Arial" w:cs="Arial"/>
              </w:rPr>
            </w:pPr>
            <w:r w:rsidRPr="003C43B2">
              <w:rPr>
                <w:rFonts w:ascii="Arial" w:hAnsi="Arial" w:cs="Arial"/>
              </w:rPr>
              <w:t>(5.8±0.24)</w:t>
            </w:r>
          </w:p>
        </w:tc>
        <w:tc>
          <w:tcPr>
            <w:tcW w:w="807" w:type="pct"/>
            <w:vAlign w:val="center"/>
          </w:tcPr>
          <w:p w14:paraId="165EB597" w14:textId="77777777" w:rsidR="003C43B2" w:rsidRPr="003C43B2" w:rsidRDefault="003C43B2" w:rsidP="003C43B2">
            <w:pPr>
              <w:spacing w:before="60" w:after="60"/>
              <w:jc w:val="center"/>
              <w:rPr>
                <w:rFonts w:ascii="Arial" w:hAnsi="Arial" w:cs="Arial"/>
              </w:rPr>
            </w:pPr>
            <w:r w:rsidRPr="003C43B2">
              <w:rPr>
                <w:rFonts w:ascii="Arial" w:hAnsi="Arial" w:cs="Arial"/>
              </w:rPr>
              <w:t>4.3-7.7</w:t>
            </w:r>
          </w:p>
          <w:p w14:paraId="4A69237E" w14:textId="77777777" w:rsidR="003C43B2" w:rsidRPr="003C43B2" w:rsidRDefault="003C43B2" w:rsidP="003C43B2">
            <w:pPr>
              <w:spacing w:before="60" w:after="60"/>
              <w:jc w:val="center"/>
              <w:rPr>
                <w:rFonts w:ascii="Arial" w:hAnsi="Arial" w:cs="Arial"/>
              </w:rPr>
            </w:pPr>
            <w:r w:rsidRPr="003C43B2">
              <w:rPr>
                <w:rFonts w:ascii="Arial" w:hAnsi="Arial" w:cs="Arial"/>
              </w:rPr>
              <w:t>(5.8±0.27)</w:t>
            </w:r>
          </w:p>
        </w:tc>
        <w:tc>
          <w:tcPr>
            <w:tcW w:w="807" w:type="pct"/>
            <w:vAlign w:val="center"/>
          </w:tcPr>
          <w:p w14:paraId="3E83771C" w14:textId="77777777" w:rsidR="003C43B2" w:rsidRPr="003C43B2" w:rsidRDefault="003C43B2" w:rsidP="003C43B2">
            <w:pPr>
              <w:spacing w:before="60" w:after="60"/>
              <w:jc w:val="center"/>
              <w:rPr>
                <w:rFonts w:ascii="Arial" w:hAnsi="Arial" w:cs="Arial"/>
              </w:rPr>
            </w:pPr>
            <w:r w:rsidRPr="003C43B2">
              <w:rPr>
                <w:rFonts w:ascii="Arial" w:hAnsi="Arial" w:cs="Arial"/>
              </w:rPr>
              <w:t>5.7-7.7</w:t>
            </w:r>
          </w:p>
          <w:p w14:paraId="547D3AF2" w14:textId="77777777" w:rsidR="003C43B2" w:rsidRPr="003C43B2" w:rsidRDefault="003C43B2" w:rsidP="003C43B2">
            <w:pPr>
              <w:spacing w:before="60" w:after="60"/>
              <w:jc w:val="center"/>
              <w:rPr>
                <w:rFonts w:ascii="Arial" w:hAnsi="Arial" w:cs="Arial"/>
              </w:rPr>
            </w:pPr>
            <w:r w:rsidRPr="003C43B2">
              <w:rPr>
                <w:rFonts w:ascii="Arial" w:hAnsi="Arial" w:cs="Arial"/>
              </w:rPr>
              <w:t>(6.2±0.11)</w:t>
            </w:r>
          </w:p>
        </w:tc>
        <w:tc>
          <w:tcPr>
            <w:tcW w:w="810" w:type="pct"/>
            <w:vAlign w:val="center"/>
          </w:tcPr>
          <w:p w14:paraId="634B4495" w14:textId="77777777" w:rsidR="003C43B2" w:rsidRPr="003C43B2" w:rsidRDefault="003C43B2" w:rsidP="003C43B2">
            <w:pPr>
              <w:spacing w:before="60" w:after="60"/>
              <w:jc w:val="center"/>
              <w:rPr>
                <w:rFonts w:ascii="Arial" w:hAnsi="Arial" w:cs="Arial"/>
              </w:rPr>
            </w:pPr>
            <w:r w:rsidRPr="003C43B2">
              <w:rPr>
                <w:rFonts w:ascii="Arial" w:hAnsi="Arial" w:cs="Arial"/>
              </w:rPr>
              <w:t>5.8-7.3</w:t>
            </w:r>
          </w:p>
          <w:p w14:paraId="5992ECD5" w14:textId="77777777" w:rsidR="003C43B2" w:rsidRPr="003C43B2" w:rsidRDefault="003C43B2" w:rsidP="003C43B2">
            <w:pPr>
              <w:spacing w:before="60" w:after="60"/>
              <w:jc w:val="center"/>
              <w:rPr>
                <w:rFonts w:ascii="Arial" w:hAnsi="Arial" w:cs="Arial"/>
              </w:rPr>
            </w:pPr>
            <w:r w:rsidRPr="003C43B2">
              <w:rPr>
                <w:rFonts w:ascii="Arial" w:hAnsi="Arial" w:cs="Arial"/>
              </w:rPr>
              <w:t>(6.08±0.13)</w:t>
            </w:r>
          </w:p>
        </w:tc>
      </w:tr>
      <w:tr w:rsidR="003C43B2" w:rsidRPr="00B61AFF" w14:paraId="182E8F5C" w14:textId="77777777" w:rsidTr="00B61AFF">
        <w:trPr>
          <w:trHeight w:val="539"/>
          <w:jc w:val="center"/>
        </w:trPr>
        <w:tc>
          <w:tcPr>
            <w:tcW w:w="962" w:type="pct"/>
            <w:vAlign w:val="center"/>
          </w:tcPr>
          <w:p w14:paraId="00E60ABE" w14:textId="77777777"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Ammonia-nitrogen (mg/l)</w:t>
            </w:r>
          </w:p>
        </w:tc>
        <w:tc>
          <w:tcPr>
            <w:tcW w:w="807" w:type="pct"/>
            <w:vAlign w:val="center"/>
          </w:tcPr>
          <w:p w14:paraId="1436D2FF" w14:textId="77777777" w:rsidR="003C43B2" w:rsidRPr="003C43B2" w:rsidRDefault="003C43B2" w:rsidP="003C43B2">
            <w:pPr>
              <w:spacing w:before="60" w:after="60"/>
              <w:jc w:val="center"/>
              <w:rPr>
                <w:rFonts w:ascii="Arial" w:hAnsi="Arial" w:cs="Arial"/>
              </w:rPr>
            </w:pPr>
            <w:r w:rsidRPr="003C43B2">
              <w:rPr>
                <w:rFonts w:ascii="Arial" w:hAnsi="Arial" w:cs="Arial"/>
              </w:rPr>
              <w:t>0.011-0.018</w:t>
            </w:r>
          </w:p>
          <w:p w14:paraId="16494E6B" w14:textId="77777777" w:rsidR="003C43B2" w:rsidRPr="003C43B2" w:rsidRDefault="003C43B2" w:rsidP="003C43B2">
            <w:pPr>
              <w:spacing w:before="60" w:after="60"/>
              <w:jc w:val="center"/>
              <w:rPr>
                <w:rFonts w:ascii="Arial" w:hAnsi="Arial" w:cs="Arial"/>
              </w:rPr>
            </w:pPr>
            <w:r w:rsidRPr="003C43B2">
              <w:rPr>
                <w:rFonts w:ascii="Arial" w:hAnsi="Arial" w:cs="Arial"/>
              </w:rPr>
              <w:t>(0.014±0.05)</w:t>
            </w:r>
          </w:p>
        </w:tc>
        <w:tc>
          <w:tcPr>
            <w:tcW w:w="807" w:type="pct"/>
            <w:vAlign w:val="center"/>
          </w:tcPr>
          <w:p w14:paraId="15520C51" w14:textId="77777777" w:rsidR="003C43B2" w:rsidRPr="003C43B2" w:rsidRDefault="003C43B2" w:rsidP="003C43B2">
            <w:pPr>
              <w:spacing w:before="60" w:after="60"/>
              <w:jc w:val="center"/>
              <w:rPr>
                <w:rFonts w:ascii="Arial" w:hAnsi="Arial" w:cs="Arial"/>
              </w:rPr>
            </w:pPr>
            <w:r w:rsidRPr="003C43B2">
              <w:rPr>
                <w:rFonts w:ascii="Arial" w:hAnsi="Arial" w:cs="Arial"/>
              </w:rPr>
              <w:t>0.011-0.019</w:t>
            </w:r>
          </w:p>
          <w:p w14:paraId="07AF4C6B" w14:textId="77777777" w:rsidR="003C43B2" w:rsidRPr="003C43B2" w:rsidRDefault="003C43B2" w:rsidP="003C43B2">
            <w:pPr>
              <w:spacing w:before="60" w:after="60"/>
              <w:jc w:val="center"/>
              <w:rPr>
                <w:rFonts w:ascii="Arial" w:hAnsi="Arial" w:cs="Arial"/>
              </w:rPr>
            </w:pPr>
            <w:r w:rsidRPr="003C43B2">
              <w:rPr>
                <w:rFonts w:ascii="Arial" w:hAnsi="Arial" w:cs="Arial"/>
              </w:rPr>
              <w:t>(0.015±0.04)</w:t>
            </w:r>
          </w:p>
        </w:tc>
        <w:tc>
          <w:tcPr>
            <w:tcW w:w="807" w:type="pct"/>
            <w:vAlign w:val="center"/>
          </w:tcPr>
          <w:p w14:paraId="6B135D8D" w14:textId="77777777" w:rsidR="003C43B2" w:rsidRPr="003C43B2" w:rsidRDefault="003C43B2" w:rsidP="003C43B2">
            <w:pPr>
              <w:spacing w:before="60" w:after="60"/>
              <w:jc w:val="center"/>
              <w:rPr>
                <w:rFonts w:ascii="Arial" w:hAnsi="Arial" w:cs="Arial"/>
              </w:rPr>
            </w:pPr>
            <w:r w:rsidRPr="003C43B2">
              <w:rPr>
                <w:rFonts w:ascii="Arial" w:hAnsi="Arial" w:cs="Arial"/>
              </w:rPr>
              <w:t>0.011-0.019</w:t>
            </w:r>
          </w:p>
          <w:p w14:paraId="60F8E704" w14:textId="77777777" w:rsidR="003C43B2" w:rsidRPr="003C43B2" w:rsidRDefault="003C43B2" w:rsidP="003C43B2">
            <w:pPr>
              <w:spacing w:before="60" w:after="60"/>
              <w:jc w:val="center"/>
              <w:rPr>
                <w:rFonts w:ascii="Arial" w:hAnsi="Arial" w:cs="Arial"/>
              </w:rPr>
            </w:pPr>
            <w:r w:rsidRPr="003C43B2">
              <w:rPr>
                <w:rFonts w:ascii="Arial" w:hAnsi="Arial" w:cs="Arial"/>
              </w:rPr>
              <w:t>(0.014±0.04)</w:t>
            </w:r>
          </w:p>
        </w:tc>
        <w:tc>
          <w:tcPr>
            <w:tcW w:w="807" w:type="pct"/>
            <w:vAlign w:val="center"/>
          </w:tcPr>
          <w:p w14:paraId="47C35F31" w14:textId="77777777" w:rsidR="003C43B2" w:rsidRPr="003C43B2" w:rsidRDefault="003C43B2" w:rsidP="003C43B2">
            <w:pPr>
              <w:spacing w:before="60" w:after="60"/>
              <w:jc w:val="center"/>
              <w:rPr>
                <w:rFonts w:ascii="Arial" w:hAnsi="Arial" w:cs="Arial"/>
              </w:rPr>
            </w:pPr>
            <w:r w:rsidRPr="003C43B2">
              <w:rPr>
                <w:rFonts w:ascii="Arial" w:hAnsi="Arial" w:cs="Arial"/>
              </w:rPr>
              <w:t>0.011-0.019</w:t>
            </w:r>
          </w:p>
          <w:p w14:paraId="2D27B35E" w14:textId="77777777" w:rsidR="003C43B2" w:rsidRPr="003C43B2" w:rsidRDefault="003C43B2" w:rsidP="003C43B2">
            <w:pPr>
              <w:spacing w:before="60" w:after="60"/>
              <w:jc w:val="center"/>
              <w:rPr>
                <w:rFonts w:ascii="Arial" w:hAnsi="Arial" w:cs="Arial"/>
              </w:rPr>
            </w:pPr>
            <w:r w:rsidRPr="003C43B2">
              <w:rPr>
                <w:rFonts w:ascii="Arial" w:hAnsi="Arial" w:cs="Arial"/>
              </w:rPr>
              <w:t>(0.014±0.04)</w:t>
            </w:r>
          </w:p>
        </w:tc>
        <w:tc>
          <w:tcPr>
            <w:tcW w:w="810" w:type="pct"/>
            <w:vAlign w:val="center"/>
          </w:tcPr>
          <w:p w14:paraId="6718EB72" w14:textId="77777777" w:rsidR="003C43B2" w:rsidRPr="003C43B2" w:rsidRDefault="003C43B2" w:rsidP="003C43B2">
            <w:pPr>
              <w:spacing w:before="60" w:after="60"/>
              <w:jc w:val="center"/>
              <w:rPr>
                <w:rFonts w:ascii="Arial" w:hAnsi="Arial" w:cs="Arial"/>
              </w:rPr>
            </w:pPr>
            <w:r w:rsidRPr="003C43B2">
              <w:rPr>
                <w:rFonts w:ascii="Arial" w:hAnsi="Arial" w:cs="Arial"/>
              </w:rPr>
              <w:t>0.011-0.021</w:t>
            </w:r>
          </w:p>
          <w:p w14:paraId="420D6D80" w14:textId="77777777" w:rsidR="003C43B2" w:rsidRPr="003C43B2" w:rsidRDefault="003C43B2" w:rsidP="003C43B2">
            <w:pPr>
              <w:spacing w:before="60" w:after="60"/>
              <w:jc w:val="center"/>
              <w:rPr>
                <w:rFonts w:ascii="Arial" w:hAnsi="Arial" w:cs="Arial"/>
              </w:rPr>
            </w:pPr>
            <w:r w:rsidRPr="003C43B2">
              <w:rPr>
                <w:rFonts w:ascii="Arial" w:hAnsi="Arial" w:cs="Arial"/>
              </w:rPr>
              <w:t>(0.014±0.04)</w:t>
            </w:r>
          </w:p>
        </w:tc>
      </w:tr>
      <w:tr w:rsidR="003C43B2" w:rsidRPr="00B61AFF" w14:paraId="43B83435" w14:textId="77777777" w:rsidTr="00B61AFF">
        <w:trPr>
          <w:trHeight w:val="392"/>
          <w:jc w:val="center"/>
        </w:trPr>
        <w:tc>
          <w:tcPr>
            <w:tcW w:w="962" w:type="pct"/>
            <w:vAlign w:val="center"/>
          </w:tcPr>
          <w:p w14:paraId="4D3E7751" w14:textId="77777777"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Nitrate-nitrogen (mg/l)</w:t>
            </w:r>
          </w:p>
        </w:tc>
        <w:tc>
          <w:tcPr>
            <w:tcW w:w="807" w:type="pct"/>
            <w:vAlign w:val="center"/>
          </w:tcPr>
          <w:p w14:paraId="70742F6C"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344C29A3" w14:textId="77777777" w:rsidR="003C43B2" w:rsidRPr="003C43B2" w:rsidRDefault="003C43B2" w:rsidP="003C43B2">
            <w:pPr>
              <w:spacing w:before="60" w:after="60"/>
              <w:jc w:val="center"/>
              <w:rPr>
                <w:rFonts w:ascii="Arial" w:hAnsi="Arial" w:cs="Arial"/>
              </w:rPr>
            </w:pPr>
            <w:r w:rsidRPr="003C43B2">
              <w:rPr>
                <w:rFonts w:ascii="Arial" w:hAnsi="Arial" w:cs="Arial"/>
              </w:rPr>
              <w:t>(0.65±0.03)</w:t>
            </w:r>
          </w:p>
        </w:tc>
        <w:tc>
          <w:tcPr>
            <w:tcW w:w="807" w:type="pct"/>
            <w:vAlign w:val="center"/>
          </w:tcPr>
          <w:p w14:paraId="68E61F2A"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5F467D00" w14:textId="77777777" w:rsidR="003C43B2" w:rsidRPr="003C43B2" w:rsidRDefault="003C43B2" w:rsidP="003C43B2">
            <w:pPr>
              <w:spacing w:before="60" w:after="60"/>
              <w:jc w:val="center"/>
              <w:rPr>
                <w:rFonts w:ascii="Arial" w:hAnsi="Arial" w:cs="Arial"/>
              </w:rPr>
            </w:pPr>
            <w:r w:rsidRPr="003C43B2">
              <w:rPr>
                <w:rFonts w:ascii="Arial" w:hAnsi="Arial" w:cs="Arial"/>
              </w:rPr>
              <w:t>(0.7±0.07)</w:t>
            </w:r>
          </w:p>
        </w:tc>
        <w:tc>
          <w:tcPr>
            <w:tcW w:w="807" w:type="pct"/>
            <w:vAlign w:val="center"/>
          </w:tcPr>
          <w:p w14:paraId="2E3654AC"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755B24FF" w14:textId="77777777" w:rsidR="003C43B2" w:rsidRPr="003C43B2" w:rsidRDefault="003C43B2" w:rsidP="003C43B2">
            <w:pPr>
              <w:spacing w:before="60" w:after="60"/>
              <w:jc w:val="center"/>
              <w:rPr>
                <w:rFonts w:ascii="Arial" w:hAnsi="Arial" w:cs="Arial"/>
              </w:rPr>
            </w:pPr>
            <w:r w:rsidRPr="003C43B2">
              <w:rPr>
                <w:rFonts w:ascii="Arial" w:hAnsi="Arial" w:cs="Arial"/>
              </w:rPr>
              <w:t>(0.67±0.03)</w:t>
            </w:r>
          </w:p>
        </w:tc>
        <w:tc>
          <w:tcPr>
            <w:tcW w:w="807" w:type="pct"/>
            <w:vAlign w:val="center"/>
          </w:tcPr>
          <w:p w14:paraId="44A734A9"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5D9C1222" w14:textId="77777777" w:rsidR="003C43B2" w:rsidRPr="003C43B2" w:rsidRDefault="003C43B2" w:rsidP="003C43B2">
            <w:pPr>
              <w:spacing w:before="60" w:after="60"/>
              <w:jc w:val="center"/>
              <w:rPr>
                <w:rFonts w:ascii="Arial" w:hAnsi="Arial" w:cs="Arial"/>
              </w:rPr>
            </w:pPr>
            <w:r w:rsidRPr="003C43B2">
              <w:rPr>
                <w:rFonts w:ascii="Arial" w:hAnsi="Arial" w:cs="Arial"/>
              </w:rPr>
              <w:t>(0.63±0.03)</w:t>
            </w:r>
          </w:p>
        </w:tc>
        <w:tc>
          <w:tcPr>
            <w:tcW w:w="810" w:type="pct"/>
            <w:vAlign w:val="center"/>
          </w:tcPr>
          <w:p w14:paraId="47707AEB" w14:textId="77777777" w:rsidR="003C43B2" w:rsidRPr="003C43B2" w:rsidRDefault="003C43B2" w:rsidP="003C43B2">
            <w:pPr>
              <w:spacing w:before="60" w:after="60"/>
              <w:jc w:val="center"/>
              <w:rPr>
                <w:rFonts w:ascii="Arial" w:hAnsi="Arial" w:cs="Arial"/>
              </w:rPr>
            </w:pPr>
            <w:r w:rsidRPr="003C43B2">
              <w:rPr>
                <w:rFonts w:ascii="Arial" w:hAnsi="Arial" w:cs="Arial"/>
              </w:rPr>
              <w:t>0.5-0.8</w:t>
            </w:r>
          </w:p>
          <w:p w14:paraId="412857AC" w14:textId="77777777" w:rsidR="003C43B2" w:rsidRPr="003C43B2" w:rsidRDefault="003C43B2" w:rsidP="003C43B2">
            <w:pPr>
              <w:spacing w:before="60" w:after="60"/>
              <w:jc w:val="center"/>
              <w:rPr>
                <w:rFonts w:ascii="Arial" w:hAnsi="Arial" w:cs="Arial"/>
              </w:rPr>
            </w:pPr>
            <w:r w:rsidRPr="003C43B2">
              <w:rPr>
                <w:rFonts w:ascii="Arial" w:hAnsi="Arial" w:cs="Arial"/>
              </w:rPr>
              <w:t>(0.69±0.05)</w:t>
            </w:r>
          </w:p>
        </w:tc>
      </w:tr>
      <w:tr w:rsidR="003C43B2" w:rsidRPr="00B61AFF" w14:paraId="54691379" w14:textId="77777777" w:rsidTr="00B61AFF">
        <w:trPr>
          <w:trHeight w:val="534"/>
          <w:jc w:val="center"/>
        </w:trPr>
        <w:tc>
          <w:tcPr>
            <w:tcW w:w="962" w:type="pct"/>
            <w:vAlign w:val="center"/>
          </w:tcPr>
          <w:p w14:paraId="0CB79D1D" w14:textId="77777777" w:rsidR="003C43B2" w:rsidRPr="009C4E1F" w:rsidRDefault="003C43B2" w:rsidP="003C43B2">
            <w:pPr>
              <w:spacing w:before="60" w:after="60"/>
              <w:jc w:val="center"/>
              <w:rPr>
                <w:rFonts w:ascii="Times New Roman" w:hAnsi="Times New Roman"/>
                <w:szCs w:val="24"/>
              </w:rPr>
            </w:pPr>
            <w:r w:rsidRPr="009C4E1F">
              <w:rPr>
                <w:rFonts w:ascii="Times New Roman" w:hAnsi="Times New Roman"/>
                <w:szCs w:val="24"/>
              </w:rPr>
              <w:t>Orthophosphate (mg/l)</w:t>
            </w:r>
          </w:p>
        </w:tc>
        <w:tc>
          <w:tcPr>
            <w:tcW w:w="807" w:type="pct"/>
            <w:vAlign w:val="center"/>
          </w:tcPr>
          <w:p w14:paraId="7B131C6D" w14:textId="77777777" w:rsidR="003C43B2" w:rsidRPr="003C43B2" w:rsidRDefault="003C43B2" w:rsidP="003C43B2">
            <w:pPr>
              <w:spacing w:before="60" w:after="60"/>
              <w:jc w:val="center"/>
              <w:rPr>
                <w:rFonts w:ascii="Arial" w:hAnsi="Arial" w:cs="Arial"/>
              </w:rPr>
            </w:pPr>
            <w:r w:rsidRPr="003C43B2">
              <w:rPr>
                <w:rFonts w:ascii="Arial" w:hAnsi="Arial" w:cs="Arial"/>
              </w:rPr>
              <w:t>0.013-0.078</w:t>
            </w:r>
          </w:p>
          <w:p w14:paraId="273678F6" w14:textId="77777777" w:rsidR="003C43B2" w:rsidRPr="003C43B2" w:rsidRDefault="003C43B2" w:rsidP="003C43B2">
            <w:pPr>
              <w:spacing w:before="60" w:after="60"/>
              <w:jc w:val="center"/>
              <w:rPr>
                <w:rFonts w:ascii="Arial" w:hAnsi="Arial" w:cs="Arial"/>
              </w:rPr>
            </w:pPr>
            <w:r w:rsidRPr="003C43B2">
              <w:rPr>
                <w:rFonts w:ascii="Arial" w:hAnsi="Arial" w:cs="Arial"/>
              </w:rPr>
              <w:t>(0.038±0.05)</w:t>
            </w:r>
          </w:p>
        </w:tc>
        <w:tc>
          <w:tcPr>
            <w:tcW w:w="807" w:type="pct"/>
            <w:vAlign w:val="center"/>
          </w:tcPr>
          <w:p w14:paraId="6FCB367A" w14:textId="77777777" w:rsidR="003C43B2" w:rsidRPr="003C43B2" w:rsidRDefault="003C43B2" w:rsidP="003C43B2">
            <w:pPr>
              <w:spacing w:before="60" w:after="60"/>
              <w:jc w:val="center"/>
              <w:rPr>
                <w:rFonts w:ascii="Arial" w:hAnsi="Arial" w:cs="Arial"/>
              </w:rPr>
            </w:pPr>
            <w:r w:rsidRPr="003C43B2">
              <w:rPr>
                <w:rFonts w:ascii="Arial" w:hAnsi="Arial" w:cs="Arial"/>
              </w:rPr>
              <w:t>0.019-0.059</w:t>
            </w:r>
          </w:p>
          <w:p w14:paraId="61F5E09A" w14:textId="77777777" w:rsidR="003C43B2" w:rsidRPr="003C43B2" w:rsidRDefault="003C43B2" w:rsidP="003C43B2">
            <w:pPr>
              <w:spacing w:before="60" w:after="60"/>
              <w:jc w:val="center"/>
              <w:rPr>
                <w:rFonts w:ascii="Arial" w:hAnsi="Arial" w:cs="Arial"/>
              </w:rPr>
            </w:pPr>
            <w:r w:rsidRPr="003C43B2">
              <w:rPr>
                <w:rFonts w:ascii="Arial" w:hAnsi="Arial" w:cs="Arial"/>
              </w:rPr>
              <w:t>(0.038±0.04)</w:t>
            </w:r>
          </w:p>
        </w:tc>
        <w:tc>
          <w:tcPr>
            <w:tcW w:w="807" w:type="pct"/>
            <w:vAlign w:val="center"/>
          </w:tcPr>
          <w:p w14:paraId="30B65E92" w14:textId="77777777" w:rsidR="003C43B2" w:rsidRPr="003C43B2" w:rsidRDefault="003C43B2" w:rsidP="003C43B2">
            <w:pPr>
              <w:spacing w:before="60" w:after="60"/>
              <w:jc w:val="center"/>
              <w:rPr>
                <w:rFonts w:ascii="Arial" w:hAnsi="Arial" w:cs="Arial"/>
              </w:rPr>
            </w:pPr>
            <w:r w:rsidRPr="003C43B2">
              <w:rPr>
                <w:rFonts w:ascii="Arial" w:hAnsi="Arial" w:cs="Arial"/>
              </w:rPr>
              <w:t>0.019-0.074</w:t>
            </w:r>
          </w:p>
          <w:p w14:paraId="5F56CCB9" w14:textId="77777777" w:rsidR="003C43B2" w:rsidRPr="003C43B2" w:rsidRDefault="003C43B2" w:rsidP="003C43B2">
            <w:pPr>
              <w:spacing w:before="60" w:after="60"/>
              <w:jc w:val="center"/>
              <w:rPr>
                <w:rFonts w:ascii="Arial" w:hAnsi="Arial" w:cs="Arial"/>
              </w:rPr>
            </w:pPr>
            <w:r w:rsidRPr="003C43B2">
              <w:rPr>
                <w:rFonts w:ascii="Arial" w:hAnsi="Arial" w:cs="Arial"/>
              </w:rPr>
              <w:t>(0.043±0.03)</w:t>
            </w:r>
          </w:p>
        </w:tc>
        <w:tc>
          <w:tcPr>
            <w:tcW w:w="807" w:type="pct"/>
            <w:vAlign w:val="center"/>
          </w:tcPr>
          <w:p w14:paraId="1FF8AC33" w14:textId="77777777" w:rsidR="003C43B2" w:rsidRPr="003C43B2" w:rsidRDefault="003C43B2" w:rsidP="003C43B2">
            <w:pPr>
              <w:spacing w:before="60" w:after="60"/>
              <w:jc w:val="center"/>
              <w:rPr>
                <w:rFonts w:ascii="Arial" w:hAnsi="Arial" w:cs="Arial"/>
              </w:rPr>
            </w:pPr>
            <w:r w:rsidRPr="003C43B2">
              <w:rPr>
                <w:rFonts w:ascii="Arial" w:hAnsi="Arial" w:cs="Arial"/>
              </w:rPr>
              <w:t>0.019-0.093</w:t>
            </w:r>
          </w:p>
          <w:p w14:paraId="21F2F5F3" w14:textId="77777777" w:rsidR="003C43B2" w:rsidRPr="003C43B2" w:rsidRDefault="003C43B2" w:rsidP="003C43B2">
            <w:pPr>
              <w:spacing w:before="60" w:after="60"/>
              <w:jc w:val="center"/>
              <w:rPr>
                <w:rFonts w:ascii="Arial" w:hAnsi="Arial" w:cs="Arial"/>
              </w:rPr>
            </w:pPr>
            <w:r w:rsidRPr="003C43B2">
              <w:rPr>
                <w:rFonts w:ascii="Arial" w:hAnsi="Arial" w:cs="Arial"/>
              </w:rPr>
              <w:t>(0.049±0.05)</w:t>
            </w:r>
          </w:p>
        </w:tc>
        <w:tc>
          <w:tcPr>
            <w:tcW w:w="810" w:type="pct"/>
            <w:vAlign w:val="center"/>
          </w:tcPr>
          <w:p w14:paraId="00D22174" w14:textId="77777777" w:rsidR="003C43B2" w:rsidRPr="003C43B2" w:rsidRDefault="003C43B2" w:rsidP="003C43B2">
            <w:pPr>
              <w:spacing w:before="60" w:after="60"/>
              <w:jc w:val="center"/>
              <w:rPr>
                <w:rFonts w:ascii="Arial" w:hAnsi="Arial" w:cs="Arial"/>
              </w:rPr>
            </w:pPr>
            <w:r w:rsidRPr="003C43B2">
              <w:rPr>
                <w:rFonts w:ascii="Arial" w:hAnsi="Arial" w:cs="Arial"/>
              </w:rPr>
              <w:t>0.019-0.099</w:t>
            </w:r>
          </w:p>
          <w:p w14:paraId="185A1F22" w14:textId="77777777" w:rsidR="003C43B2" w:rsidRPr="003C43B2" w:rsidRDefault="003C43B2" w:rsidP="003C43B2">
            <w:pPr>
              <w:spacing w:before="60" w:after="60"/>
              <w:jc w:val="center"/>
              <w:rPr>
                <w:rFonts w:ascii="Arial" w:hAnsi="Arial" w:cs="Arial"/>
              </w:rPr>
            </w:pPr>
            <w:r w:rsidRPr="003C43B2">
              <w:rPr>
                <w:rFonts w:ascii="Arial" w:hAnsi="Arial" w:cs="Arial"/>
              </w:rPr>
              <w:t>(0.050±0.04)</w:t>
            </w:r>
          </w:p>
        </w:tc>
      </w:tr>
    </w:tbl>
    <w:p w14:paraId="5E1CF02B" w14:textId="77777777" w:rsidR="00B61AFF" w:rsidRPr="00B61AFF" w:rsidRDefault="00B61AFF" w:rsidP="00B61AFF">
      <w:pPr>
        <w:pStyle w:val="Body"/>
        <w:ind w:firstLine="720"/>
        <w:rPr>
          <w:rFonts w:ascii="Arial" w:hAnsi="Arial" w:cs="Arial"/>
          <w:lang w:val="en-IN"/>
        </w:rPr>
      </w:pPr>
    </w:p>
    <w:p w14:paraId="173696A9" w14:textId="77777777" w:rsidR="00B61AFF" w:rsidRPr="003C43B2" w:rsidRDefault="003C43B2" w:rsidP="003C43B2">
      <w:pPr>
        <w:pStyle w:val="Body"/>
        <w:ind w:hanging="142"/>
        <w:jc w:val="left"/>
        <w:rPr>
          <w:rFonts w:ascii="Arial" w:hAnsi="Arial" w:cs="Arial"/>
          <w:lang w:val="en-IN"/>
        </w:rPr>
      </w:pPr>
      <w:r>
        <w:rPr>
          <w:rFonts w:ascii="Arial" w:hAnsi="Arial" w:cs="Arial"/>
          <w:lang w:val="en-IN"/>
        </w:rPr>
        <w:t xml:space="preserve">3.1.2 </w:t>
      </w:r>
      <w:r w:rsidR="00B61AFF" w:rsidRPr="003C43B2">
        <w:rPr>
          <w:rFonts w:ascii="Arial" w:hAnsi="Arial" w:cs="Arial"/>
          <w:lang w:val="en-IN"/>
        </w:rPr>
        <w:t>Growth Performance and Feed Utilization</w:t>
      </w:r>
    </w:p>
    <w:p w14:paraId="243EA099" w14:textId="77777777" w:rsidR="00B61AFF" w:rsidRPr="00B61AFF" w:rsidRDefault="00B61AFF" w:rsidP="00B61AFF">
      <w:pPr>
        <w:pStyle w:val="Body"/>
        <w:ind w:firstLine="720"/>
        <w:rPr>
          <w:rFonts w:ascii="Arial" w:hAnsi="Arial" w:cs="Arial"/>
          <w:lang w:val="en-IN"/>
        </w:rPr>
      </w:pPr>
      <w:r w:rsidRPr="00B61AFF">
        <w:rPr>
          <w:rFonts w:ascii="Arial" w:hAnsi="Arial" w:cs="Arial"/>
          <w:lang w:val="en-IN"/>
        </w:rPr>
        <w:t xml:space="preserve">The survival of </w:t>
      </w:r>
      <w:r w:rsidRPr="00B61AFF">
        <w:rPr>
          <w:rFonts w:ascii="Arial" w:hAnsi="Arial" w:cs="Arial"/>
          <w:i/>
          <w:iCs/>
          <w:lang w:val="en-IN"/>
        </w:rPr>
        <w:t xml:space="preserve">L. </w:t>
      </w:r>
      <w:proofErr w:type="spellStart"/>
      <w:r w:rsidRPr="00B61AFF">
        <w:rPr>
          <w:rFonts w:ascii="Arial" w:hAnsi="Arial" w:cs="Arial"/>
          <w:i/>
          <w:iCs/>
          <w:lang w:val="en-IN"/>
        </w:rPr>
        <w:t>rohita</w:t>
      </w:r>
      <w:proofErr w:type="spellEnd"/>
      <w:r w:rsidRPr="00B61AFF">
        <w:rPr>
          <w:rFonts w:ascii="Arial" w:hAnsi="Arial" w:cs="Arial"/>
          <w:i/>
          <w:iCs/>
          <w:lang w:val="en-IN"/>
        </w:rPr>
        <w:t xml:space="preserve"> </w:t>
      </w:r>
      <w:r w:rsidRPr="00B61AFF">
        <w:rPr>
          <w:rFonts w:ascii="Arial" w:hAnsi="Arial" w:cs="Arial"/>
          <w:lang w:val="en-IN"/>
        </w:rPr>
        <w:t>fingerlings remained 100% across all dietary treatments throughout the 60-day feeding trial, indicating that the experimental diets were well accepted and non-toxic to the fish. The cumulative growth and feed utilization parameters are presented in Table 2.</w:t>
      </w:r>
    </w:p>
    <w:p w14:paraId="11A3C0D6"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3 </w:t>
      </w:r>
      <w:r w:rsidR="00B61AFF" w:rsidRPr="003C43B2">
        <w:rPr>
          <w:rFonts w:ascii="Arial" w:hAnsi="Arial" w:cs="Arial"/>
          <w:lang w:val="en-IN"/>
        </w:rPr>
        <w:t>Digestibility</w:t>
      </w:r>
    </w:p>
    <w:p w14:paraId="52298E82" w14:textId="77777777" w:rsidR="00B61AFF" w:rsidRPr="00B61AFF" w:rsidRDefault="00B61AFF" w:rsidP="00B61AFF">
      <w:pPr>
        <w:pStyle w:val="Body"/>
        <w:rPr>
          <w:rFonts w:ascii="Arial" w:hAnsi="Arial" w:cs="Arial"/>
          <w:lang w:val="en-IN"/>
        </w:rPr>
      </w:pPr>
      <w:r w:rsidRPr="00B61AFF">
        <w:rPr>
          <w:rFonts w:ascii="Arial" w:hAnsi="Arial" w:cs="Arial"/>
          <w:lang w:val="en-IN"/>
        </w:rPr>
        <w:t xml:space="preserve">Apparent digestibility of diets supplemented with </w:t>
      </w:r>
      <w:r w:rsidRPr="00B61AFF">
        <w:rPr>
          <w:rFonts w:ascii="Arial" w:hAnsi="Arial" w:cs="Arial"/>
          <w:i/>
          <w:iCs/>
          <w:lang w:val="en-IN"/>
        </w:rPr>
        <w:t xml:space="preserve">K. </w:t>
      </w:r>
      <w:proofErr w:type="spellStart"/>
      <w:proofErr w:type="gramStart"/>
      <w:r w:rsidRPr="00B61AFF">
        <w:rPr>
          <w:rFonts w:ascii="Arial" w:hAnsi="Arial" w:cs="Arial"/>
          <w:i/>
          <w:iCs/>
          <w:lang w:val="en-IN"/>
        </w:rPr>
        <w:t>alvarezii</w:t>
      </w:r>
      <w:proofErr w:type="spellEnd"/>
      <w:r w:rsidRPr="00B61AFF">
        <w:rPr>
          <w:rFonts w:ascii="Arial" w:hAnsi="Arial" w:cs="Arial"/>
          <w:i/>
          <w:iCs/>
          <w:lang w:val="en-IN"/>
        </w:rPr>
        <w:t xml:space="preserve"> </w:t>
      </w:r>
      <w:r w:rsidRPr="00B61AFF">
        <w:rPr>
          <w:rFonts w:ascii="Arial" w:hAnsi="Arial" w:cs="Arial"/>
          <w:lang w:val="en-IN"/>
        </w:rPr>
        <w:t xml:space="preserve"> sap</w:t>
      </w:r>
      <w:proofErr w:type="gramEnd"/>
      <w:r w:rsidRPr="00B61AFF">
        <w:rPr>
          <w:rFonts w:ascii="Arial" w:hAnsi="Arial" w:cs="Arial"/>
          <w:lang w:val="en-IN"/>
        </w:rPr>
        <w:t xml:space="preserve"> showed a narrow range across treatments (86.82–88.65%). The highest digestibility was recorded in T3 (88.65%), </w:t>
      </w:r>
      <w:r w:rsidRPr="00B61AFF">
        <w:rPr>
          <w:rFonts w:ascii="Arial" w:hAnsi="Arial" w:cs="Arial"/>
          <w:lang w:val="en-IN"/>
        </w:rPr>
        <w:lastRenderedPageBreak/>
        <w:t>whereas the lowest was observed in T4 (86.82%). Digestibility in the control diet (87.28%) was statistically comparable to that of supplemented treatments (p&gt;0.05), suggesting that inclusion of sap did not adversely influence nutrient digestibility. ANOVA revealed a significant effect of dietary treatments during the first three fortnights (p&lt;0.05), while the effect was non-significant during the final fortnight (60th day).</w:t>
      </w:r>
    </w:p>
    <w:p w14:paraId="1F4CF6FB"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4 </w:t>
      </w:r>
      <w:r w:rsidR="00B61AFF" w:rsidRPr="003C43B2">
        <w:rPr>
          <w:rFonts w:ascii="Arial" w:hAnsi="Arial" w:cs="Arial"/>
          <w:lang w:val="en-IN"/>
        </w:rPr>
        <w:t>Net Weight Gain</w:t>
      </w:r>
    </w:p>
    <w:p w14:paraId="66ABC848" w14:textId="77777777" w:rsidR="00B61AFF" w:rsidRPr="003C43B2" w:rsidRDefault="00B61AFF" w:rsidP="00B61AFF">
      <w:pPr>
        <w:pStyle w:val="Body"/>
        <w:rPr>
          <w:rFonts w:ascii="Arial" w:hAnsi="Arial" w:cs="Arial"/>
          <w:lang w:val="en-IN"/>
        </w:rPr>
      </w:pPr>
      <w:r w:rsidRPr="00B61AFF">
        <w:rPr>
          <w:rFonts w:ascii="Arial" w:hAnsi="Arial" w:cs="Arial"/>
          <w:lang w:val="en-IN"/>
        </w:rPr>
        <w:t>Fortnightly net weight gain exhibited considerable variability among dietary groups (Table 2). The maximum weight gain during the first fortnight (16.0 g) was observed in T3, while the minimum (10.4 g) occurred in T2. In the second fortnight, highest gains (12.7 g) were recorded in T2 and T4, whereas the control group showed the lowest gain (7.0 g). During the third and fourth fortnights, the highest gains were obtained in T4 (14.9 g and 22.8 g, respectively). Cumulatively, T4 exhibited the highest weight gain (66.30 g), followed by T3 (58.93 g), while the lowest was recorded in the control (45.73 g). ANOVA indicated significant differences in weight gain during the first and second fortnights (p&lt;0.05), while differences were non-significant thereafter. Cumulative weight gain was highly significant across treatments (p&lt;0.05).</w:t>
      </w:r>
    </w:p>
    <w:p w14:paraId="672F6ED6"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5 </w:t>
      </w:r>
      <w:r w:rsidR="00B61AFF" w:rsidRPr="003C43B2">
        <w:rPr>
          <w:rFonts w:ascii="Arial" w:hAnsi="Arial" w:cs="Arial"/>
          <w:lang w:val="en-IN"/>
        </w:rPr>
        <w:t>Percent Weight Gain</w:t>
      </w:r>
    </w:p>
    <w:p w14:paraId="21BBEB2D" w14:textId="77777777" w:rsidR="00B61AFF" w:rsidRPr="00B61AFF" w:rsidRDefault="00B61AFF" w:rsidP="00B61AFF">
      <w:pPr>
        <w:pStyle w:val="Body"/>
        <w:rPr>
          <w:rFonts w:ascii="Arial" w:hAnsi="Arial" w:cs="Arial"/>
          <w:lang w:val="en-IN"/>
        </w:rPr>
      </w:pPr>
      <w:r w:rsidRPr="00B61AFF">
        <w:rPr>
          <w:rFonts w:ascii="Arial" w:hAnsi="Arial" w:cs="Arial"/>
          <w:lang w:val="en-IN"/>
        </w:rPr>
        <w:t>Percent weight gain followed a similar trend. The highest fortnightly gain during the first fortnight was observed in T3 (12.24%). During the final fortnight, the highest gain (12.71%) was recorded in T4, followed by T3 (11.89%), T1 (10.58%), T2 (10.37%), and control (9.47%). Cumulative percent weight gain was significantly highest in T4 (48.55%), followed by T3 (44.93%) and T2 (38.83%). The control group showed the lowest cumulative gain (33.49%). ANOVA showed statistically significant differences during the first two fortnights (p&lt;0.05), while later phases were non-significant. Cumulative percent gain remained statistically significant in all fortnights (p&lt;0.05).</w:t>
      </w:r>
    </w:p>
    <w:p w14:paraId="4139D23F"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6 </w:t>
      </w:r>
      <w:r w:rsidR="00B61AFF" w:rsidRPr="003C43B2">
        <w:rPr>
          <w:rFonts w:ascii="Arial" w:hAnsi="Arial" w:cs="Arial"/>
          <w:lang w:val="en-IN"/>
        </w:rPr>
        <w:t>Food Conversion Ratio (FCR)</w:t>
      </w:r>
    </w:p>
    <w:p w14:paraId="62439DDD" w14:textId="77777777" w:rsidR="00B61AFF" w:rsidRPr="00B61AFF" w:rsidRDefault="00B61AFF" w:rsidP="00B61AFF">
      <w:pPr>
        <w:pStyle w:val="Body"/>
        <w:rPr>
          <w:rFonts w:ascii="Arial" w:hAnsi="Arial" w:cs="Arial"/>
          <w:lang w:val="en-IN"/>
        </w:rPr>
      </w:pPr>
      <w:r w:rsidRPr="00B61AFF">
        <w:rPr>
          <w:rFonts w:ascii="Arial" w:hAnsi="Arial" w:cs="Arial"/>
          <w:lang w:val="en-IN"/>
        </w:rPr>
        <w:t>FCR values ranged from 1.670 (T4) to 2.237 (control). Fish fed diets supplemented with 20% sap (T4) demonstrated the most efficient feed utilization, reflected by the lowest FCR. Statistical analysis revealed significant differences among treatments (p&lt;0.05), except between T2, T3, and T4, which did not differ significantly. Cumulative FCR also showed significant differences across treatments (p&lt;0.05), confirming improved feed efficiency with sap supplementation.</w:t>
      </w:r>
    </w:p>
    <w:p w14:paraId="570C2577" w14:textId="77777777" w:rsidR="00B61AFF" w:rsidRPr="003C43B2" w:rsidRDefault="003C43B2" w:rsidP="003C43B2">
      <w:pPr>
        <w:pStyle w:val="Body"/>
        <w:rPr>
          <w:rFonts w:ascii="Arial" w:hAnsi="Arial" w:cs="Arial"/>
          <w:lang w:val="en-IN"/>
        </w:rPr>
      </w:pPr>
      <w:r>
        <w:rPr>
          <w:rFonts w:ascii="Arial" w:hAnsi="Arial" w:cs="Arial"/>
          <w:lang w:val="en-IN"/>
        </w:rPr>
        <w:t xml:space="preserve">3.1.7 </w:t>
      </w:r>
      <w:r w:rsidR="00B61AFF" w:rsidRPr="003C43B2">
        <w:rPr>
          <w:rFonts w:ascii="Arial" w:hAnsi="Arial" w:cs="Arial"/>
          <w:lang w:val="en-IN"/>
        </w:rPr>
        <w:t>Specific Growth Rate (SGR)</w:t>
      </w:r>
    </w:p>
    <w:p w14:paraId="08061B94" w14:textId="20D5BBB2" w:rsidR="00B61AFF" w:rsidRDefault="00B61AFF" w:rsidP="00B61AFF">
      <w:pPr>
        <w:pStyle w:val="Body"/>
        <w:rPr>
          <w:rFonts w:ascii="Arial" w:hAnsi="Arial" w:cs="Arial"/>
          <w:lang w:val="en-IN"/>
        </w:rPr>
      </w:pPr>
      <w:r w:rsidRPr="00B61AFF">
        <w:rPr>
          <w:rFonts w:ascii="Arial" w:hAnsi="Arial" w:cs="Arial"/>
          <w:lang w:val="en-IN"/>
        </w:rPr>
        <w:t>The SGR values varied throughout the experimental period, with the lowest SGR observed in the second fortnight for control and T1 (0.13%), and the highest in T4 (0.24%). At the end of the 60-day experiment, T4 recorded the highest SGR (0.35%), followed by T3 (0.27%), while the control exhibited the lowest (0.26%). Cumulative SGR showed a similar trend, with T4 registering the highest value (0.28%) and control the lowest (0.18%). ANOVA indicated significant differences (p&lt;0.05) across most fortnights except the second fortnight (30–45 days), where differences were non-significant.</w:t>
      </w:r>
    </w:p>
    <w:p w14:paraId="428E5270" w14:textId="68FD640F" w:rsidR="003877C0" w:rsidRDefault="003877C0" w:rsidP="00B61AFF">
      <w:pPr>
        <w:pStyle w:val="Body"/>
        <w:rPr>
          <w:rFonts w:ascii="Arial" w:hAnsi="Arial" w:cs="Arial"/>
          <w:lang w:val="en-IN"/>
        </w:rPr>
      </w:pPr>
    </w:p>
    <w:p w14:paraId="5BF47754" w14:textId="4C92B039" w:rsidR="003877C0" w:rsidRDefault="003877C0" w:rsidP="00B61AFF">
      <w:pPr>
        <w:pStyle w:val="Body"/>
        <w:rPr>
          <w:rFonts w:ascii="Arial" w:hAnsi="Arial" w:cs="Arial"/>
          <w:lang w:val="en-IN"/>
        </w:rPr>
      </w:pPr>
    </w:p>
    <w:p w14:paraId="327F6B53" w14:textId="77777777" w:rsidR="003877C0" w:rsidRPr="00B61AFF" w:rsidRDefault="003877C0" w:rsidP="00B61AFF">
      <w:pPr>
        <w:pStyle w:val="Body"/>
        <w:rPr>
          <w:rFonts w:ascii="Arial" w:hAnsi="Arial" w:cs="Arial"/>
          <w:lang w:val="en-IN"/>
        </w:rPr>
      </w:pPr>
    </w:p>
    <w:p w14:paraId="6D5CABF8" w14:textId="77777777" w:rsidR="00B61AFF" w:rsidRPr="00B61AFF" w:rsidRDefault="00B61AFF" w:rsidP="003C43B2">
      <w:pPr>
        <w:pStyle w:val="Body"/>
        <w:jc w:val="left"/>
        <w:rPr>
          <w:rFonts w:ascii="Arial" w:hAnsi="Arial" w:cs="Arial"/>
          <w:b/>
          <w:lang w:val="en-IN"/>
        </w:rPr>
      </w:pPr>
      <w:r w:rsidRPr="00B61AFF">
        <w:rPr>
          <w:rFonts w:ascii="Arial" w:hAnsi="Arial" w:cs="Arial"/>
          <w:b/>
          <w:lang w:val="en-IN"/>
        </w:rPr>
        <w:t xml:space="preserve">Table 2: Growth parameters of experimental fish   </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70"/>
        <w:gridCol w:w="870"/>
        <w:gridCol w:w="1428"/>
        <w:gridCol w:w="1428"/>
        <w:gridCol w:w="1308"/>
        <w:gridCol w:w="1188"/>
        <w:gridCol w:w="1416"/>
      </w:tblGrid>
      <w:tr w:rsidR="003C43B2" w:rsidRPr="003C43B2" w14:paraId="51CC2120" w14:textId="77777777" w:rsidTr="00A71358">
        <w:trPr>
          <w:trHeight w:val="241"/>
        </w:trPr>
        <w:tc>
          <w:tcPr>
            <w:tcW w:w="1403" w:type="dxa"/>
            <w:vMerge w:val="restart"/>
            <w:vAlign w:val="center"/>
          </w:tcPr>
          <w:p w14:paraId="173E3392" w14:textId="77777777" w:rsidR="003C43B2" w:rsidRPr="003C43B2" w:rsidRDefault="003C43B2" w:rsidP="00A71358">
            <w:pPr>
              <w:jc w:val="center"/>
              <w:rPr>
                <w:rFonts w:ascii="Arial" w:hAnsi="Arial" w:cs="Arial"/>
              </w:rPr>
            </w:pPr>
            <w:r w:rsidRPr="003C43B2">
              <w:rPr>
                <w:rFonts w:ascii="Arial" w:hAnsi="Arial" w:cs="Arial"/>
                <w:b/>
                <w:bCs/>
              </w:rPr>
              <w:t>Treatments</w:t>
            </w:r>
          </w:p>
        </w:tc>
        <w:tc>
          <w:tcPr>
            <w:tcW w:w="8508" w:type="dxa"/>
            <w:gridSpan w:val="7"/>
            <w:vAlign w:val="center"/>
          </w:tcPr>
          <w:p w14:paraId="484D1FDC" w14:textId="77777777" w:rsidR="003C43B2" w:rsidRPr="003C43B2" w:rsidRDefault="003C43B2" w:rsidP="00A71358">
            <w:pPr>
              <w:jc w:val="center"/>
              <w:rPr>
                <w:rFonts w:ascii="Arial" w:hAnsi="Arial" w:cs="Arial"/>
              </w:rPr>
            </w:pPr>
            <w:r w:rsidRPr="003C43B2">
              <w:rPr>
                <w:rFonts w:ascii="Arial" w:hAnsi="Arial" w:cs="Arial"/>
                <w:b/>
                <w:bCs/>
              </w:rPr>
              <w:t>Parameters</w:t>
            </w:r>
          </w:p>
        </w:tc>
      </w:tr>
      <w:tr w:rsidR="003C43B2" w:rsidRPr="003C43B2" w14:paraId="36D99EA5" w14:textId="77777777" w:rsidTr="00A71358">
        <w:trPr>
          <w:trHeight w:val="579"/>
        </w:trPr>
        <w:tc>
          <w:tcPr>
            <w:tcW w:w="1403" w:type="dxa"/>
            <w:vMerge/>
            <w:vAlign w:val="center"/>
          </w:tcPr>
          <w:p w14:paraId="1F1F992D" w14:textId="77777777" w:rsidR="003C43B2" w:rsidRPr="003C43B2" w:rsidRDefault="003C43B2" w:rsidP="00A71358">
            <w:pPr>
              <w:jc w:val="center"/>
              <w:rPr>
                <w:rFonts w:ascii="Arial" w:hAnsi="Arial" w:cs="Arial"/>
              </w:rPr>
            </w:pPr>
          </w:p>
        </w:tc>
        <w:tc>
          <w:tcPr>
            <w:tcW w:w="870" w:type="dxa"/>
            <w:vAlign w:val="center"/>
          </w:tcPr>
          <w:p w14:paraId="1A4410F1" w14:textId="77777777" w:rsidR="003C43B2" w:rsidRPr="003C43B2" w:rsidRDefault="003C43B2" w:rsidP="00A71358">
            <w:pPr>
              <w:spacing w:before="60" w:after="60"/>
              <w:jc w:val="center"/>
              <w:rPr>
                <w:rFonts w:ascii="Arial" w:hAnsi="Arial" w:cs="Arial"/>
              </w:rPr>
            </w:pPr>
            <w:r w:rsidRPr="003C43B2">
              <w:rPr>
                <w:rFonts w:ascii="Arial" w:hAnsi="Arial" w:cs="Arial"/>
              </w:rPr>
              <w:t>Initial weight (g)</w:t>
            </w:r>
          </w:p>
        </w:tc>
        <w:tc>
          <w:tcPr>
            <w:tcW w:w="870" w:type="dxa"/>
            <w:vAlign w:val="center"/>
          </w:tcPr>
          <w:p w14:paraId="404AACDE" w14:textId="77777777" w:rsidR="003C43B2" w:rsidRPr="003C43B2" w:rsidRDefault="003C43B2" w:rsidP="00A71358">
            <w:pPr>
              <w:spacing w:before="60" w:after="60"/>
              <w:jc w:val="center"/>
              <w:rPr>
                <w:rFonts w:ascii="Arial" w:hAnsi="Arial" w:cs="Arial"/>
              </w:rPr>
            </w:pPr>
            <w:r w:rsidRPr="003C43B2">
              <w:rPr>
                <w:rFonts w:ascii="Arial" w:hAnsi="Arial" w:cs="Arial"/>
              </w:rPr>
              <w:t>Final weight (g)</w:t>
            </w:r>
          </w:p>
        </w:tc>
        <w:tc>
          <w:tcPr>
            <w:tcW w:w="1428" w:type="dxa"/>
            <w:vAlign w:val="center"/>
          </w:tcPr>
          <w:p w14:paraId="0BD686C9" w14:textId="77777777" w:rsidR="003C43B2" w:rsidRPr="003C43B2" w:rsidRDefault="003C43B2" w:rsidP="00A71358">
            <w:pPr>
              <w:jc w:val="center"/>
              <w:rPr>
                <w:rFonts w:ascii="Arial" w:hAnsi="Arial" w:cs="Arial"/>
              </w:rPr>
            </w:pPr>
          </w:p>
          <w:p w14:paraId="3FFD8118" w14:textId="77777777" w:rsidR="003C43B2" w:rsidRPr="003C43B2" w:rsidRDefault="003C43B2" w:rsidP="00A71358">
            <w:pPr>
              <w:jc w:val="center"/>
              <w:rPr>
                <w:rFonts w:ascii="Arial" w:hAnsi="Arial" w:cs="Arial"/>
              </w:rPr>
            </w:pPr>
            <w:r w:rsidRPr="003C43B2">
              <w:rPr>
                <w:rFonts w:ascii="Arial" w:hAnsi="Arial" w:cs="Arial"/>
              </w:rPr>
              <w:t>Net Weight gain (g)</w:t>
            </w:r>
          </w:p>
        </w:tc>
        <w:tc>
          <w:tcPr>
            <w:tcW w:w="1428" w:type="dxa"/>
            <w:vAlign w:val="center"/>
          </w:tcPr>
          <w:p w14:paraId="7B4E58C5" w14:textId="77777777" w:rsidR="003C43B2" w:rsidRPr="003C43B2" w:rsidRDefault="003C43B2" w:rsidP="00A71358">
            <w:pPr>
              <w:jc w:val="center"/>
              <w:rPr>
                <w:rFonts w:ascii="Arial" w:hAnsi="Arial" w:cs="Arial"/>
              </w:rPr>
            </w:pPr>
          </w:p>
          <w:p w14:paraId="07B082B8" w14:textId="77777777" w:rsidR="003C43B2" w:rsidRPr="003C43B2" w:rsidRDefault="003C43B2" w:rsidP="00A71358">
            <w:pPr>
              <w:jc w:val="center"/>
              <w:rPr>
                <w:rFonts w:ascii="Arial" w:hAnsi="Arial" w:cs="Arial"/>
              </w:rPr>
            </w:pPr>
            <w:r w:rsidRPr="003C43B2">
              <w:rPr>
                <w:rFonts w:ascii="Arial" w:hAnsi="Arial" w:cs="Arial"/>
              </w:rPr>
              <w:t>Percent weight gain (g)</w:t>
            </w:r>
          </w:p>
        </w:tc>
        <w:tc>
          <w:tcPr>
            <w:tcW w:w="1308" w:type="dxa"/>
            <w:vAlign w:val="center"/>
          </w:tcPr>
          <w:p w14:paraId="199377C8" w14:textId="77777777" w:rsidR="003C43B2" w:rsidRPr="003C43B2" w:rsidRDefault="003C43B2" w:rsidP="00A71358">
            <w:pPr>
              <w:jc w:val="center"/>
              <w:rPr>
                <w:rFonts w:ascii="Arial" w:hAnsi="Arial" w:cs="Arial"/>
                <w:bCs/>
              </w:rPr>
            </w:pPr>
          </w:p>
          <w:p w14:paraId="4966EA34" w14:textId="77777777" w:rsidR="003C43B2" w:rsidRPr="003C43B2" w:rsidRDefault="003C43B2" w:rsidP="00A71358">
            <w:pPr>
              <w:jc w:val="center"/>
              <w:rPr>
                <w:rFonts w:ascii="Arial" w:hAnsi="Arial" w:cs="Arial"/>
              </w:rPr>
            </w:pPr>
            <w:r w:rsidRPr="003C43B2">
              <w:rPr>
                <w:rFonts w:ascii="Arial" w:hAnsi="Arial" w:cs="Arial"/>
                <w:bCs/>
              </w:rPr>
              <w:t>Food conversion ratio (%)</w:t>
            </w:r>
          </w:p>
        </w:tc>
        <w:tc>
          <w:tcPr>
            <w:tcW w:w="1188" w:type="dxa"/>
            <w:vAlign w:val="center"/>
          </w:tcPr>
          <w:p w14:paraId="0C33AFB9" w14:textId="77777777" w:rsidR="003C43B2" w:rsidRPr="003C43B2" w:rsidRDefault="003C43B2" w:rsidP="00A71358">
            <w:pPr>
              <w:jc w:val="center"/>
              <w:rPr>
                <w:rFonts w:ascii="Arial" w:hAnsi="Arial" w:cs="Arial"/>
                <w:bCs/>
              </w:rPr>
            </w:pPr>
          </w:p>
          <w:p w14:paraId="35E91616" w14:textId="77777777" w:rsidR="003C43B2" w:rsidRPr="003C43B2" w:rsidRDefault="003C43B2" w:rsidP="00A71358">
            <w:pPr>
              <w:jc w:val="center"/>
              <w:rPr>
                <w:rFonts w:ascii="Arial" w:hAnsi="Arial" w:cs="Arial"/>
              </w:rPr>
            </w:pPr>
            <w:r w:rsidRPr="003C43B2">
              <w:rPr>
                <w:rFonts w:ascii="Arial" w:hAnsi="Arial" w:cs="Arial"/>
                <w:bCs/>
              </w:rPr>
              <w:t>Specific growth rate (%)</w:t>
            </w:r>
          </w:p>
        </w:tc>
        <w:tc>
          <w:tcPr>
            <w:tcW w:w="1416" w:type="dxa"/>
            <w:vAlign w:val="center"/>
          </w:tcPr>
          <w:p w14:paraId="4A012794" w14:textId="77777777" w:rsidR="003C43B2" w:rsidRPr="003C43B2" w:rsidRDefault="003C43B2" w:rsidP="00A71358">
            <w:pPr>
              <w:jc w:val="center"/>
              <w:rPr>
                <w:rFonts w:ascii="Arial" w:hAnsi="Arial" w:cs="Arial"/>
                <w:bCs/>
                <w:color w:val="000000"/>
              </w:rPr>
            </w:pPr>
          </w:p>
          <w:p w14:paraId="29582D96" w14:textId="77777777" w:rsidR="003C43B2" w:rsidRPr="003C43B2" w:rsidRDefault="003C43B2" w:rsidP="00A71358">
            <w:pPr>
              <w:jc w:val="center"/>
              <w:rPr>
                <w:rFonts w:ascii="Arial" w:hAnsi="Arial" w:cs="Arial"/>
              </w:rPr>
            </w:pPr>
            <w:r w:rsidRPr="003C43B2">
              <w:rPr>
                <w:rFonts w:ascii="Arial" w:hAnsi="Arial" w:cs="Arial"/>
                <w:bCs/>
                <w:color w:val="000000"/>
              </w:rPr>
              <w:t>Digestibility (%)</w:t>
            </w:r>
          </w:p>
        </w:tc>
      </w:tr>
      <w:tr w:rsidR="003C43B2" w:rsidRPr="003C43B2" w14:paraId="0EBA2BC4" w14:textId="77777777" w:rsidTr="00A71358">
        <w:trPr>
          <w:trHeight w:val="476"/>
        </w:trPr>
        <w:tc>
          <w:tcPr>
            <w:tcW w:w="1403" w:type="dxa"/>
            <w:vAlign w:val="center"/>
          </w:tcPr>
          <w:p w14:paraId="55A800E6" w14:textId="77777777" w:rsidR="003C43B2" w:rsidRPr="003C43B2" w:rsidRDefault="003C43B2" w:rsidP="00A71358">
            <w:pPr>
              <w:spacing w:before="60" w:after="60"/>
              <w:jc w:val="center"/>
              <w:rPr>
                <w:rFonts w:ascii="Arial" w:hAnsi="Arial" w:cs="Arial"/>
              </w:rPr>
            </w:pPr>
            <w:r w:rsidRPr="003C43B2">
              <w:rPr>
                <w:rFonts w:ascii="Arial" w:hAnsi="Arial" w:cs="Arial"/>
              </w:rPr>
              <w:t>Control</w:t>
            </w:r>
          </w:p>
        </w:tc>
        <w:tc>
          <w:tcPr>
            <w:tcW w:w="870" w:type="dxa"/>
            <w:vAlign w:val="center"/>
          </w:tcPr>
          <w:p w14:paraId="2937530B" w14:textId="77777777" w:rsidR="003C43B2" w:rsidRPr="003C43B2" w:rsidRDefault="003C43B2" w:rsidP="00A71358">
            <w:pPr>
              <w:spacing w:before="60" w:after="60"/>
              <w:jc w:val="center"/>
              <w:rPr>
                <w:rFonts w:ascii="Arial" w:hAnsi="Arial" w:cs="Arial"/>
              </w:rPr>
            </w:pPr>
            <w:r w:rsidRPr="003C43B2">
              <w:rPr>
                <w:rFonts w:ascii="Arial" w:hAnsi="Arial" w:cs="Arial"/>
              </w:rPr>
              <w:t>136.1</w:t>
            </w:r>
          </w:p>
        </w:tc>
        <w:tc>
          <w:tcPr>
            <w:tcW w:w="870" w:type="dxa"/>
            <w:vAlign w:val="center"/>
          </w:tcPr>
          <w:p w14:paraId="4A799E85" w14:textId="77777777" w:rsidR="003C43B2" w:rsidRPr="003C43B2" w:rsidRDefault="003C43B2" w:rsidP="00A71358">
            <w:pPr>
              <w:spacing w:before="60" w:after="60"/>
              <w:jc w:val="center"/>
              <w:rPr>
                <w:rFonts w:ascii="Arial" w:hAnsi="Arial" w:cs="Arial"/>
              </w:rPr>
            </w:pPr>
            <w:r w:rsidRPr="003C43B2">
              <w:rPr>
                <w:rFonts w:ascii="Arial" w:hAnsi="Arial" w:cs="Arial"/>
              </w:rPr>
              <w:t>181.8</w:t>
            </w:r>
          </w:p>
        </w:tc>
        <w:tc>
          <w:tcPr>
            <w:tcW w:w="1428" w:type="dxa"/>
            <w:vAlign w:val="center"/>
          </w:tcPr>
          <w:p w14:paraId="36C31FC5" w14:textId="77777777" w:rsidR="003C43B2" w:rsidRPr="003C43B2" w:rsidRDefault="003C43B2" w:rsidP="00A71358">
            <w:pPr>
              <w:jc w:val="center"/>
              <w:rPr>
                <w:rFonts w:ascii="Arial" w:hAnsi="Arial" w:cs="Arial"/>
              </w:rPr>
            </w:pPr>
            <w:r w:rsidRPr="003C43B2">
              <w:rPr>
                <w:rFonts w:ascii="Arial" w:hAnsi="Arial" w:cs="Arial"/>
              </w:rPr>
              <w:t>45.73±3.26</w:t>
            </w:r>
          </w:p>
        </w:tc>
        <w:tc>
          <w:tcPr>
            <w:tcW w:w="1428" w:type="dxa"/>
            <w:vAlign w:val="center"/>
          </w:tcPr>
          <w:p w14:paraId="76A69F08" w14:textId="77777777" w:rsidR="003C43B2" w:rsidRPr="003C43B2" w:rsidRDefault="003C43B2" w:rsidP="00A71358">
            <w:pPr>
              <w:jc w:val="center"/>
              <w:rPr>
                <w:rFonts w:ascii="Arial" w:hAnsi="Arial" w:cs="Arial"/>
              </w:rPr>
            </w:pPr>
            <w:r w:rsidRPr="003C43B2">
              <w:rPr>
                <w:rFonts w:ascii="Arial" w:hAnsi="Arial" w:cs="Arial"/>
              </w:rPr>
              <w:t>33.49±2.92</w:t>
            </w:r>
          </w:p>
        </w:tc>
        <w:tc>
          <w:tcPr>
            <w:tcW w:w="1308" w:type="dxa"/>
            <w:vAlign w:val="center"/>
          </w:tcPr>
          <w:p w14:paraId="712FE745" w14:textId="77777777" w:rsidR="003C43B2" w:rsidRPr="003C43B2" w:rsidRDefault="003C43B2" w:rsidP="00A71358">
            <w:pPr>
              <w:spacing w:before="60" w:after="60"/>
              <w:jc w:val="center"/>
              <w:rPr>
                <w:rFonts w:ascii="Arial" w:hAnsi="Arial" w:cs="Arial"/>
              </w:rPr>
            </w:pPr>
            <w:r w:rsidRPr="003C43B2">
              <w:rPr>
                <w:rFonts w:ascii="Arial" w:hAnsi="Arial" w:cs="Arial"/>
              </w:rPr>
              <w:t>2.237±0.17</w:t>
            </w:r>
          </w:p>
        </w:tc>
        <w:tc>
          <w:tcPr>
            <w:tcW w:w="1188" w:type="dxa"/>
            <w:vAlign w:val="center"/>
          </w:tcPr>
          <w:p w14:paraId="55C83B86" w14:textId="77777777" w:rsidR="003C43B2" w:rsidRPr="003C43B2" w:rsidRDefault="003C43B2" w:rsidP="00A71358">
            <w:pPr>
              <w:spacing w:before="60" w:after="60"/>
              <w:jc w:val="center"/>
              <w:rPr>
                <w:rFonts w:ascii="Arial" w:hAnsi="Arial" w:cs="Arial"/>
              </w:rPr>
            </w:pPr>
            <w:r w:rsidRPr="003C43B2">
              <w:rPr>
                <w:rFonts w:ascii="Arial" w:hAnsi="Arial" w:cs="Arial"/>
              </w:rPr>
              <w:t>0.20±0.03</w:t>
            </w:r>
          </w:p>
        </w:tc>
        <w:tc>
          <w:tcPr>
            <w:tcW w:w="1416" w:type="dxa"/>
            <w:vAlign w:val="center"/>
          </w:tcPr>
          <w:p w14:paraId="7DA06E73"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87.28</w:t>
            </w:r>
            <w:r w:rsidRPr="003C43B2">
              <w:rPr>
                <w:rFonts w:ascii="Arial" w:hAnsi="Arial" w:cs="Arial"/>
              </w:rPr>
              <w:t>±0.23</w:t>
            </w:r>
          </w:p>
        </w:tc>
      </w:tr>
      <w:tr w:rsidR="003C43B2" w:rsidRPr="003C43B2" w14:paraId="2E0B2C6E" w14:textId="77777777" w:rsidTr="00A71358">
        <w:trPr>
          <w:trHeight w:val="467"/>
        </w:trPr>
        <w:tc>
          <w:tcPr>
            <w:tcW w:w="1403" w:type="dxa"/>
            <w:vAlign w:val="center"/>
          </w:tcPr>
          <w:p w14:paraId="172DA698" w14:textId="77777777" w:rsidR="003C43B2" w:rsidRPr="003C43B2" w:rsidRDefault="003C43B2" w:rsidP="00A71358">
            <w:pPr>
              <w:spacing w:before="60" w:after="60"/>
              <w:jc w:val="center"/>
              <w:rPr>
                <w:rFonts w:ascii="Arial" w:hAnsi="Arial" w:cs="Arial"/>
              </w:rPr>
            </w:pPr>
            <w:r w:rsidRPr="003C43B2">
              <w:rPr>
                <w:rFonts w:ascii="Arial" w:hAnsi="Arial" w:cs="Arial"/>
              </w:rPr>
              <w:t>T1</w:t>
            </w:r>
          </w:p>
        </w:tc>
        <w:tc>
          <w:tcPr>
            <w:tcW w:w="870" w:type="dxa"/>
            <w:vAlign w:val="center"/>
          </w:tcPr>
          <w:p w14:paraId="4D5CC506" w14:textId="77777777" w:rsidR="003C43B2" w:rsidRPr="003C43B2" w:rsidRDefault="003C43B2" w:rsidP="00A71358">
            <w:pPr>
              <w:spacing w:before="60" w:after="60"/>
              <w:jc w:val="center"/>
              <w:rPr>
                <w:rFonts w:ascii="Arial" w:hAnsi="Arial" w:cs="Arial"/>
              </w:rPr>
            </w:pPr>
            <w:r w:rsidRPr="003C43B2">
              <w:rPr>
                <w:rFonts w:ascii="Arial" w:hAnsi="Arial" w:cs="Arial"/>
              </w:rPr>
              <w:t>132.1</w:t>
            </w:r>
          </w:p>
        </w:tc>
        <w:tc>
          <w:tcPr>
            <w:tcW w:w="870" w:type="dxa"/>
            <w:vAlign w:val="center"/>
          </w:tcPr>
          <w:p w14:paraId="7AFF4CAB" w14:textId="77777777" w:rsidR="003C43B2" w:rsidRPr="003C43B2" w:rsidRDefault="003C43B2" w:rsidP="00A71358">
            <w:pPr>
              <w:spacing w:before="60" w:after="60"/>
              <w:jc w:val="center"/>
              <w:rPr>
                <w:rFonts w:ascii="Arial" w:hAnsi="Arial" w:cs="Arial"/>
              </w:rPr>
            </w:pPr>
            <w:r w:rsidRPr="003C43B2">
              <w:rPr>
                <w:rFonts w:ascii="Arial" w:hAnsi="Arial" w:cs="Arial"/>
              </w:rPr>
              <w:t>182.4</w:t>
            </w:r>
          </w:p>
        </w:tc>
        <w:tc>
          <w:tcPr>
            <w:tcW w:w="1428" w:type="dxa"/>
            <w:vAlign w:val="center"/>
          </w:tcPr>
          <w:p w14:paraId="2F2D45FE" w14:textId="77777777" w:rsidR="003C43B2" w:rsidRPr="003C43B2" w:rsidRDefault="003C43B2" w:rsidP="00A71358">
            <w:pPr>
              <w:jc w:val="center"/>
              <w:rPr>
                <w:rFonts w:ascii="Arial" w:hAnsi="Arial" w:cs="Arial"/>
              </w:rPr>
            </w:pPr>
            <w:r w:rsidRPr="003C43B2">
              <w:rPr>
                <w:rFonts w:ascii="Arial" w:hAnsi="Arial" w:cs="Arial"/>
              </w:rPr>
              <w:t>50.36±15.13</w:t>
            </w:r>
          </w:p>
        </w:tc>
        <w:tc>
          <w:tcPr>
            <w:tcW w:w="1428" w:type="dxa"/>
            <w:vAlign w:val="center"/>
          </w:tcPr>
          <w:p w14:paraId="76E2DD23" w14:textId="77777777" w:rsidR="003C43B2" w:rsidRPr="003C43B2" w:rsidRDefault="003C43B2" w:rsidP="00A71358">
            <w:pPr>
              <w:jc w:val="center"/>
              <w:rPr>
                <w:rFonts w:ascii="Arial" w:hAnsi="Arial" w:cs="Arial"/>
              </w:rPr>
            </w:pPr>
            <w:r w:rsidRPr="003C43B2">
              <w:rPr>
                <w:rFonts w:ascii="Arial" w:hAnsi="Arial" w:cs="Arial"/>
              </w:rPr>
              <w:t>38.00±10.77</w:t>
            </w:r>
          </w:p>
        </w:tc>
        <w:tc>
          <w:tcPr>
            <w:tcW w:w="1308" w:type="dxa"/>
            <w:vAlign w:val="center"/>
          </w:tcPr>
          <w:p w14:paraId="784A8CEF" w14:textId="77777777" w:rsidR="003C43B2" w:rsidRPr="003C43B2" w:rsidRDefault="003C43B2" w:rsidP="00A71358">
            <w:pPr>
              <w:spacing w:before="60" w:after="60"/>
              <w:jc w:val="center"/>
              <w:rPr>
                <w:rFonts w:ascii="Arial" w:hAnsi="Arial" w:cs="Arial"/>
              </w:rPr>
            </w:pPr>
            <w:r w:rsidRPr="003C43B2">
              <w:rPr>
                <w:rFonts w:ascii="Arial" w:hAnsi="Arial" w:cs="Arial"/>
              </w:rPr>
              <w:t>2.048±0.47</w:t>
            </w:r>
          </w:p>
        </w:tc>
        <w:tc>
          <w:tcPr>
            <w:tcW w:w="1188" w:type="dxa"/>
            <w:vAlign w:val="center"/>
          </w:tcPr>
          <w:p w14:paraId="5F0DAB87" w14:textId="77777777" w:rsidR="003C43B2" w:rsidRPr="003C43B2" w:rsidRDefault="003C43B2" w:rsidP="00A71358">
            <w:pPr>
              <w:spacing w:before="60" w:after="60"/>
              <w:jc w:val="center"/>
              <w:rPr>
                <w:rFonts w:ascii="Arial" w:hAnsi="Arial" w:cs="Arial"/>
              </w:rPr>
            </w:pPr>
            <w:r w:rsidRPr="003C43B2">
              <w:rPr>
                <w:rFonts w:ascii="Arial" w:hAnsi="Arial" w:cs="Arial"/>
              </w:rPr>
              <w:t>0.23±0.06</w:t>
            </w:r>
          </w:p>
        </w:tc>
        <w:tc>
          <w:tcPr>
            <w:tcW w:w="1416" w:type="dxa"/>
            <w:vAlign w:val="center"/>
          </w:tcPr>
          <w:p w14:paraId="2A7A39E1"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87.54</w:t>
            </w:r>
            <w:r w:rsidRPr="003C43B2">
              <w:rPr>
                <w:rFonts w:ascii="Arial" w:hAnsi="Arial" w:cs="Arial"/>
              </w:rPr>
              <w:t>±1.50</w:t>
            </w:r>
          </w:p>
        </w:tc>
      </w:tr>
      <w:tr w:rsidR="003C43B2" w:rsidRPr="003C43B2" w14:paraId="643DE905" w14:textId="77777777" w:rsidTr="00A71358">
        <w:trPr>
          <w:trHeight w:val="467"/>
        </w:trPr>
        <w:tc>
          <w:tcPr>
            <w:tcW w:w="1403" w:type="dxa"/>
            <w:vAlign w:val="center"/>
          </w:tcPr>
          <w:p w14:paraId="7DB43A92" w14:textId="77777777" w:rsidR="003C43B2" w:rsidRPr="003C43B2" w:rsidRDefault="003C43B2" w:rsidP="00A71358">
            <w:pPr>
              <w:spacing w:before="60" w:after="60"/>
              <w:jc w:val="center"/>
              <w:rPr>
                <w:rFonts w:ascii="Arial" w:hAnsi="Arial" w:cs="Arial"/>
              </w:rPr>
            </w:pPr>
            <w:r w:rsidRPr="003C43B2">
              <w:rPr>
                <w:rFonts w:ascii="Arial" w:hAnsi="Arial" w:cs="Arial"/>
              </w:rPr>
              <w:t>T2</w:t>
            </w:r>
          </w:p>
        </w:tc>
        <w:tc>
          <w:tcPr>
            <w:tcW w:w="870" w:type="dxa"/>
            <w:vAlign w:val="center"/>
          </w:tcPr>
          <w:p w14:paraId="0637DF3D" w14:textId="77777777" w:rsidR="003C43B2" w:rsidRPr="003C43B2" w:rsidRDefault="003C43B2" w:rsidP="00A71358">
            <w:pPr>
              <w:spacing w:before="60" w:after="60"/>
              <w:jc w:val="center"/>
              <w:rPr>
                <w:rFonts w:ascii="Arial" w:hAnsi="Arial" w:cs="Arial"/>
              </w:rPr>
            </w:pPr>
            <w:r w:rsidRPr="003C43B2">
              <w:rPr>
                <w:rFonts w:ascii="Arial" w:hAnsi="Arial" w:cs="Arial"/>
              </w:rPr>
              <w:t>136.1</w:t>
            </w:r>
          </w:p>
        </w:tc>
        <w:tc>
          <w:tcPr>
            <w:tcW w:w="870" w:type="dxa"/>
            <w:vAlign w:val="center"/>
          </w:tcPr>
          <w:p w14:paraId="287BE5BA" w14:textId="77777777" w:rsidR="003C43B2" w:rsidRPr="003C43B2" w:rsidRDefault="003C43B2" w:rsidP="00A71358">
            <w:pPr>
              <w:spacing w:before="60" w:after="60"/>
              <w:jc w:val="center"/>
              <w:rPr>
                <w:rFonts w:ascii="Arial" w:hAnsi="Arial" w:cs="Arial"/>
              </w:rPr>
            </w:pPr>
            <w:r w:rsidRPr="003C43B2">
              <w:rPr>
                <w:rFonts w:ascii="Arial" w:hAnsi="Arial" w:cs="Arial"/>
              </w:rPr>
              <w:t>189.0</w:t>
            </w:r>
          </w:p>
        </w:tc>
        <w:tc>
          <w:tcPr>
            <w:tcW w:w="1428" w:type="dxa"/>
            <w:vAlign w:val="center"/>
          </w:tcPr>
          <w:p w14:paraId="3428DDBF" w14:textId="77777777" w:rsidR="003C43B2" w:rsidRPr="003C43B2" w:rsidRDefault="003C43B2" w:rsidP="00A71358">
            <w:pPr>
              <w:jc w:val="center"/>
              <w:rPr>
                <w:rFonts w:ascii="Arial" w:hAnsi="Arial" w:cs="Arial"/>
              </w:rPr>
            </w:pPr>
            <w:r w:rsidRPr="003C43B2">
              <w:rPr>
                <w:rFonts w:ascii="Arial" w:hAnsi="Arial" w:cs="Arial"/>
              </w:rPr>
              <w:t>52.83±0.55</w:t>
            </w:r>
          </w:p>
        </w:tc>
        <w:tc>
          <w:tcPr>
            <w:tcW w:w="1428" w:type="dxa"/>
            <w:vAlign w:val="center"/>
          </w:tcPr>
          <w:p w14:paraId="1ECFC5AD" w14:textId="77777777" w:rsidR="003C43B2" w:rsidRPr="003C43B2" w:rsidRDefault="003C43B2" w:rsidP="00A71358">
            <w:pPr>
              <w:jc w:val="center"/>
              <w:rPr>
                <w:rFonts w:ascii="Arial" w:hAnsi="Arial" w:cs="Arial"/>
              </w:rPr>
            </w:pPr>
            <w:r w:rsidRPr="003C43B2">
              <w:rPr>
                <w:rFonts w:ascii="Arial" w:hAnsi="Arial" w:cs="Arial"/>
              </w:rPr>
              <w:t>38.83±1.63</w:t>
            </w:r>
          </w:p>
        </w:tc>
        <w:tc>
          <w:tcPr>
            <w:tcW w:w="1308" w:type="dxa"/>
            <w:vAlign w:val="center"/>
          </w:tcPr>
          <w:p w14:paraId="23DF36CC" w14:textId="77777777" w:rsidR="003C43B2" w:rsidRPr="003C43B2" w:rsidRDefault="003C43B2" w:rsidP="00A71358">
            <w:pPr>
              <w:spacing w:before="60" w:after="60"/>
              <w:jc w:val="center"/>
              <w:rPr>
                <w:rFonts w:ascii="Arial" w:hAnsi="Arial" w:cs="Arial"/>
              </w:rPr>
            </w:pPr>
            <w:r w:rsidRPr="003C43B2">
              <w:rPr>
                <w:rFonts w:ascii="Arial" w:hAnsi="Arial" w:cs="Arial"/>
              </w:rPr>
              <w:t>1.930±0.08</w:t>
            </w:r>
          </w:p>
        </w:tc>
        <w:tc>
          <w:tcPr>
            <w:tcW w:w="1188" w:type="dxa"/>
            <w:vAlign w:val="center"/>
          </w:tcPr>
          <w:p w14:paraId="4545E562" w14:textId="77777777" w:rsidR="003C43B2" w:rsidRPr="003C43B2" w:rsidRDefault="003C43B2" w:rsidP="00A71358">
            <w:pPr>
              <w:spacing w:before="60" w:after="60"/>
              <w:jc w:val="center"/>
              <w:rPr>
                <w:rFonts w:ascii="Arial" w:hAnsi="Arial" w:cs="Arial"/>
              </w:rPr>
            </w:pPr>
            <w:r w:rsidRPr="003C43B2">
              <w:rPr>
                <w:rFonts w:ascii="Arial" w:hAnsi="Arial" w:cs="Arial"/>
              </w:rPr>
              <w:t>0.23±0.01</w:t>
            </w:r>
          </w:p>
        </w:tc>
        <w:tc>
          <w:tcPr>
            <w:tcW w:w="1416" w:type="dxa"/>
            <w:vAlign w:val="center"/>
          </w:tcPr>
          <w:p w14:paraId="257DC010"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86.84</w:t>
            </w:r>
            <w:r w:rsidRPr="003C43B2">
              <w:rPr>
                <w:rFonts w:ascii="Arial" w:hAnsi="Arial" w:cs="Arial"/>
              </w:rPr>
              <w:t>±2.41</w:t>
            </w:r>
          </w:p>
        </w:tc>
      </w:tr>
      <w:tr w:rsidR="003C43B2" w:rsidRPr="003C43B2" w14:paraId="79978388" w14:textId="77777777" w:rsidTr="00A71358">
        <w:trPr>
          <w:trHeight w:val="467"/>
        </w:trPr>
        <w:tc>
          <w:tcPr>
            <w:tcW w:w="1403" w:type="dxa"/>
            <w:vAlign w:val="center"/>
          </w:tcPr>
          <w:p w14:paraId="36216266" w14:textId="77777777" w:rsidR="003C43B2" w:rsidRPr="003C43B2" w:rsidRDefault="003C43B2" w:rsidP="00A71358">
            <w:pPr>
              <w:spacing w:before="60" w:after="60"/>
              <w:jc w:val="center"/>
              <w:rPr>
                <w:rFonts w:ascii="Arial" w:hAnsi="Arial" w:cs="Arial"/>
              </w:rPr>
            </w:pPr>
            <w:r w:rsidRPr="003C43B2">
              <w:rPr>
                <w:rFonts w:ascii="Arial" w:hAnsi="Arial" w:cs="Arial"/>
              </w:rPr>
              <w:t>T3</w:t>
            </w:r>
          </w:p>
        </w:tc>
        <w:tc>
          <w:tcPr>
            <w:tcW w:w="870" w:type="dxa"/>
            <w:vAlign w:val="center"/>
          </w:tcPr>
          <w:p w14:paraId="39C8A704" w14:textId="77777777" w:rsidR="003C43B2" w:rsidRPr="003C43B2" w:rsidRDefault="003C43B2" w:rsidP="00A71358">
            <w:pPr>
              <w:spacing w:before="60" w:after="60"/>
              <w:jc w:val="center"/>
              <w:rPr>
                <w:rFonts w:ascii="Arial" w:hAnsi="Arial" w:cs="Arial"/>
              </w:rPr>
            </w:pPr>
            <w:r w:rsidRPr="003C43B2">
              <w:rPr>
                <w:rFonts w:ascii="Arial" w:hAnsi="Arial" w:cs="Arial"/>
              </w:rPr>
              <w:t>131.3</w:t>
            </w:r>
          </w:p>
        </w:tc>
        <w:tc>
          <w:tcPr>
            <w:tcW w:w="870" w:type="dxa"/>
            <w:vAlign w:val="center"/>
          </w:tcPr>
          <w:p w14:paraId="61BC14A0" w14:textId="77777777" w:rsidR="003C43B2" w:rsidRPr="003C43B2" w:rsidRDefault="003C43B2" w:rsidP="00A71358">
            <w:pPr>
              <w:spacing w:before="60" w:after="60"/>
              <w:jc w:val="center"/>
              <w:rPr>
                <w:rFonts w:ascii="Arial" w:hAnsi="Arial" w:cs="Arial"/>
              </w:rPr>
            </w:pPr>
            <w:r w:rsidRPr="003C43B2">
              <w:rPr>
                <w:rFonts w:ascii="Arial" w:hAnsi="Arial" w:cs="Arial"/>
              </w:rPr>
              <w:t>190.2</w:t>
            </w:r>
          </w:p>
        </w:tc>
        <w:tc>
          <w:tcPr>
            <w:tcW w:w="1428" w:type="dxa"/>
            <w:vAlign w:val="center"/>
          </w:tcPr>
          <w:p w14:paraId="0770259B" w14:textId="77777777" w:rsidR="003C43B2" w:rsidRPr="003C43B2" w:rsidRDefault="003C43B2" w:rsidP="00A71358">
            <w:pPr>
              <w:jc w:val="center"/>
              <w:rPr>
                <w:rFonts w:ascii="Arial" w:hAnsi="Arial" w:cs="Arial"/>
              </w:rPr>
            </w:pPr>
            <w:r w:rsidRPr="003C43B2">
              <w:rPr>
                <w:rFonts w:ascii="Arial" w:hAnsi="Arial" w:cs="Arial"/>
              </w:rPr>
              <w:t>58.93±11.47</w:t>
            </w:r>
          </w:p>
        </w:tc>
        <w:tc>
          <w:tcPr>
            <w:tcW w:w="1428" w:type="dxa"/>
            <w:vAlign w:val="center"/>
          </w:tcPr>
          <w:p w14:paraId="745F58DD" w14:textId="77777777" w:rsidR="003C43B2" w:rsidRPr="003C43B2" w:rsidRDefault="003C43B2" w:rsidP="00A71358">
            <w:pPr>
              <w:spacing w:before="60" w:after="60"/>
              <w:jc w:val="center"/>
              <w:rPr>
                <w:rFonts w:ascii="Arial" w:hAnsi="Arial" w:cs="Arial"/>
              </w:rPr>
            </w:pPr>
            <w:r w:rsidRPr="003C43B2">
              <w:rPr>
                <w:rFonts w:ascii="Arial" w:hAnsi="Arial" w:cs="Arial"/>
              </w:rPr>
              <w:t>44.93±9.13</w:t>
            </w:r>
          </w:p>
        </w:tc>
        <w:tc>
          <w:tcPr>
            <w:tcW w:w="1308" w:type="dxa"/>
            <w:vAlign w:val="center"/>
          </w:tcPr>
          <w:p w14:paraId="08E100E9" w14:textId="77777777" w:rsidR="003C43B2" w:rsidRPr="003C43B2" w:rsidRDefault="003C43B2" w:rsidP="00A71358">
            <w:pPr>
              <w:spacing w:before="60" w:after="60"/>
              <w:jc w:val="center"/>
              <w:rPr>
                <w:rFonts w:ascii="Arial" w:hAnsi="Arial" w:cs="Arial"/>
              </w:rPr>
            </w:pPr>
            <w:r w:rsidRPr="003C43B2">
              <w:rPr>
                <w:rFonts w:ascii="Arial" w:hAnsi="Arial" w:cs="Arial"/>
              </w:rPr>
              <w:t>1.770±0.35</w:t>
            </w:r>
          </w:p>
        </w:tc>
        <w:tc>
          <w:tcPr>
            <w:tcW w:w="1188" w:type="dxa"/>
            <w:vAlign w:val="center"/>
          </w:tcPr>
          <w:p w14:paraId="3AECB067" w14:textId="77777777" w:rsidR="003C43B2" w:rsidRPr="003C43B2" w:rsidRDefault="003C43B2" w:rsidP="00A71358">
            <w:pPr>
              <w:spacing w:before="60" w:after="60"/>
              <w:jc w:val="center"/>
              <w:rPr>
                <w:rFonts w:ascii="Arial" w:hAnsi="Arial" w:cs="Arial"/>
              </w:rPr>
            </w:pPr>
            <w:r w:rsidRPr="003C43B2">
              <w:rPr>
                <w:rFonts w:ascii="Arial" w:hAnsi="Arial" w:cs="Arial"/>
              </w:rPr>
              <w:t>0.27±0.05</w:t>
            </w:r>
          </w:p>
        </w:tc>
        <w:tc>
          <w:tcPr>
            <w:tcW w:w="1416" w:type="dxa"/>
            <w:vAlign w:val="center"/>
          </w:tcPr>
          <w:p w14:paraId="25383D61"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88.65</w:t>
            </w:r>
            <w:r w:rsidRPr="003C43B2">
              <w:rPr>
                <w:rFonts w:ascii="Arial" w:hAnsi="Arial" w:cs="Arial"/>
              </w:rPr>
              <w:t>±0.78</w:t>
            </w:r>
          </w:p>
        </w:tc>
      </w:tr>
      <w:tr w:rsidR="003C43B2" w:rsidRPr="003C43B2" w14:paraId="29111222" w14:textId="77777777" w:rsidTr="00A71358">
        <w:trPr>
          <w:trHeight w:val="467"/>
        </w:trPr>
        <w:tc>
          <w:tcPr>
            <w:tcW w:w="1403" w:type="dxa"/>
            <w:vAlign w:val="center"/>
          </w:tcPr>
          <w:p w14:paraId="449DFBAE" w14:textId="77777777" w:rsidR="003C43B2" w:rsidRPr="003C43B2" w:rsidRDefault="003C43B2" w:rsidP="00A71358">
            <w:pPr>
              <w:spacing w:before="60" w:after="60"/>
              <w:jc w:val="center"/>
              <w:rPr>
                <w:rFonts w:ascii="Arial" w:hAnsi="Arial" w:cs="Arial"/>
              </w:rPr>
            </w:pPr>
            <w:r w:rsidRPr="003C43B2">
              <w:rPr>
                <w:rFonts w:ascii="Arial" w:hAnsi="Arial" w:cs="Arial"/>
              </w:rPr>
              <w:t>T4</w:t>
            </w:r>
          </w:p>
        </w:tc>
        <w:tc>
          <w:tcPr>
            <w:tcW w:w="870" w:type="dxa"/>
            <w:vAlign w:val="center"/>
          </w:tcPr>
          <w:p w14:paraId="7BCD250A" w14:textId="77777777" w:rsidR="003C43B2" w:rsidRPr="003C43B2" w:rsidRDefault="003C43B2" w:rsidP="00A71358">
            <w:pPr>
              <w:spacing w:before="60" w:after="60"/>
              <w:jc w:val="center"/>
              <w:rPr>
                <w:rFonts w:ascii="Arial" w:hAnsi="Arial" w:cs="Arial"/>
              </w:rPr>
            </w:pPr>
            <w:r w:rsidRPr="003C43B2">
              <w:rPr>
                <w:rFonts w:ascii="Arial" w:hAnsi="Arial" w:cs="Arial"/>
              </w:rPr>
              <w:t>136.6</w:t>
            </w:r>
          </w:p>
        </w:tc>
        <w:tc>
          <w:tcPr>
            <w:tcW w:w="870" w:type="dxa"/>
            <w:vAlign w:val="center"/>
          </w:tcPr>
          <w:p w14:paraId="0812E0E1" w14:textId="77777777" w:rsidR="003C43B2" w:rsidRPr="003C43B2" w:rsidRDefault="003C43B2" w:rsidP="00A71358">
            <w:pPr>
              <w:spacing w:before="60" w:after="60"/>
              <w:jc w:val="center"/>
              <w:rPr>
                <w:rFonts w:ascii="Arial" w:hAnsi="Arial" w:cs="Arial"/>
              </w:rPr>
            </w:pPr>
            <w:r w:rsidRPr="003C43B2">
              <w:rPr>
                <w:rFonts w:ascii="Arial" w:hAnsi="Arial" w:cs="Arial"/>
              </w:rPr>
              <w:t>202.9</w:t>
            </w:r>
          </w:p>
        </w:tc>
        <w:tc>
          <w:tcPr>
            <w:tcW w:w="1428" w:type="dxa"/>
            <w:vAlign w:val="center"/>
          </w:tcPr>
          <w:p w14:paraId="5749CF1C" w14:textId="77777777" w:rsidR="003C43B2" w:rsidRPr="003C43B2" w:rsidRDefault="003C43B2" w:rsidP="00A71358">
            <w:pPr>
              <w:spacing w:before="60" w:after="60"/>
              <w:jc w:val="center"/>
              <w:rPr>
                <w:rFonts w:ascii="Arial" w:hAnsi="Arial" w:cs="Arial"/>
              </w:rPr>
            </w:pPr>
            <w:r w:rsidRPr="003C43B2">
              <w:rPr>
                <w:rFonts w:ascii="Arial" w:hAnsi="Arial" w:cs="Arial"/>
              </w:rPr>
              <w:t>66.30±3.51</w:t>
            </w:r>
          </w:p>
        </w:tc>
        <w:tc>
          <w:tcPr>
            <w:tcW w:w="1428" w:type="dxa"/>
            <w:vAlign w:val="center"/>
          </w:tcPr>
          <w:p w14:paraId="459B47ED" w14:textId="77777777" w:rsidR="003C43B2" w:rsidRPr="003C43B2" w:rsidRDefault="003C43B2" w:rsidP="00A71358">
            <w:pPr>
              <w:spacing w:before="60" w:after="60"/>
              <w:jc w:val="center"/>
              <w:rPr>
                <w:rFonts w:ascii="Arial" w:hAnsi="Arial" w:cs="Arial"/>
              </w:rPr>
            </w:pPr>
            <w:r w:rsidRPr="003C43B2">
              <w:rPr>
                <w:rFonts w:ascii="Arial" w:hAnsi="Arial" w:cs="Arial"/>
              </w:rPr>
              <w:t>48.55±3.27</w:t>
            </w:r>
          </w:p>
        </w:tc>
        <w:tc>
          <w:tcPr>
            <w:tcW w:w="1308" w:type="dxa"/>
            <w:vAlign w:val="center"/>
          </w:tcPr>
          <w:p w14:paraId="7123385F" w14:textId="77777777" w:rsidR="003C43B2" w:rsidRPr="003C43B2" w:rsidRDefault="003C43B2" w:rsidP="00A71358">
            <w:pPr>
              <w:spacing w:before="60" w:after="60"/>
              <w:jc w:val="center"/>
              <w:rPr>
                <w:rFonts w:ascii="Arial" w:hAnsi="Arial" w:cs="Arial"/>
              </w:rPr>
            </w:pPr>
            <w:r w:rsidRPr="003C43B2">
              <w:rPr>
                <w:rFonts w:ascii="Arial" w:hAnsi="Arial" w:cs="Arial"/>
              </w:rPr>
              <w:t>1.670±0.10</w:t>
            </w:r>
          </w:p>
        </w:tc>
        <w:tc>
          <w:tcPr>
            <w:tcW w:w="1188" w:type="dxa"/>
            <w:vAlign w:val="center"/>
          </w:tcPr>
          <w:p w14:paraId="6F367637" w14:textId="77777777" w:rsidR="003C43B2" w:rsidRPr="003C43B2" w:rsidRDefault="003C43B2" w:rsidP="00A71358">
            <w:pPr>
              <w:spacing w:before="60" w:after="60"/>
              <w:jc w:val="center"/>
              <w:rPr>
                <w:rFonts w:ascii="Arial" w:hAnsi="Arial" w:cs="Arial"/>
              </w:rPr>
            </w:pPr>
            <w:r w:rsidRPr="003C43B2">
              <w:rPr>
                <w:rFonts w:ascii="Arial" w:hAnsi="Arial" w:cs="Arial"/>
              </w:rPr>
              <w:t>0.28±0.01</w:t>
            </w:r>
          </w:p>
        </w:tc>
        <w:tc>
          <w:tcPr>
            <w:tcW w:w="1416" w:type="dxa"/>
            <w:vAlign w:val="center"/>
          </w:tcPr>
          <w:p w14:paraId="176216CA" w14:textId="77777777" w:rsidR="003C43B2" w:rsidRPr="003C43B2" w:rsidRDefault="003C43B2" w:rsidP="00A71358">
            <w:pPr>
              <w:spacing w:before="60" w:after="60"/>
              <w:jc w:val="center"/>
              <w:rPr>
                <w:rFonts w:ascii="Arial" w:hAnsi="Arial" w:cs="Arial"/>
              </w:rPr>
            </w:pPr>
            <w:r w:rsidRPr="003C43B2">
              <w:rPr>
                <w:rFonts w:ascii="Arial" w:hAnsi="Arial" w:cs="Arial"/>
                <w:color w:val="000000"/>
              </w:rPr>
              <w:t>86.82</w:t>
            </w:r>
            <w:r w:rsidRPr="003C43B2">
              <w:rPr>
                <w:rFonts w:ascii="Arial" w:hAnsi="Arial" w:cs="Arial"/>
              </w:rPr>
              <w:t>±0.90</w:t>
            </w:r>
          </w:p>
        </w:tc>
      </w:tr>
    </w:tbl>
    <w:p w14:paraId="0EF17886" w14:textId="77777777" w:rsidR="00B61AFF" w:rsidRPr="00B61AFF" w:rsidRDefault="00B61AFF" w:rsidP="00B61AFF">
      <w:pPr>
        <w:pStyle w:val="Body"/>
        <w:ind w:firstLine="720"/>
        <w:rPr>
          <w:rFonts w:ascii="Arial" w:hAnsi="Arial" w:cs="Arial"/>
          <w:lang w:val="en-IN"/>
        </w:rPr>
      </w:pPr>
    </w:p>
    <w:p w14:paraId="60A95BCF" w14:textId="77777777" w:rsidR="00B61AFF" w:rsidRPr="003C43B2" w:rsidRDefault="003C43B2" w:rsidP="003C43B2">
      <w:pPr>
        <w:pStyle w:val="Body"/>
        <w:rPr>
          <w:rFonts w:ascii="Arial" w:hAnsi="Arial" w:cs="Arial"/>
          <w:lang w:val="en-IN"/>
        </w:rPr>
      </w:pPr>
      <w:r w:rsidRPr="003C43B2">
        <w:rPr>
          <w:rFonts w:ascii="Arial" w:hAnsi="Arial" w:cs="Arial"/>
          <w:lang w:val="en-IN"/>
        </w:rPr>
        <w:t>3.</w:t>
      </w:r>
      <w:r>
        <w:rPr>
          <w:rFonts w:ascii="Arial" w:hAnsi="Arial" w:cs="Arial"/>
          <w:lang w:val="en-IN"/>
        </w:rPr>
        <w:t>1.</w:t>
      </w:r>
      <w:r w:rsidRPr="003C43B2">
        <w:rPr>
          <w:rFonts w:ascii="Arial" w:hAnsi="Arial" w:cs="Arial"/>
          <w:lang w:val="en-IN"/>
        </w:rPr>
        <w:t xml:space="preserve">8 </w:t>
      </w:r>
      <w:r w:rsidR="00B61AFF" w:rsidRPr="003C43B2">
        <w:rPr>
          <w:rFonts w:ascii="Arial" w:hAnsi="Arial" w:cs="Arial"/>
          <w:lang w:val="en-IN"/>
        </w:rPr>
        <w:t xml:space="preserve">Proximate Composition: </w:t>
      </w:r>
    </w:p>
    <w:p w14:paraId="5C33F7B4" w14:textId="77777777" w:rsidR="003C43B2" w:rsidRPr="00B61AFF" w:rsidRDefault="00B61AFF" w:rsidP="003C43B2">
      <w:pPr>
        <w:pStyle w:val="Body"/>
        <w:rPr>
          <w:rFonts w:ascii="Arial" w:hAnsi="Arial" w:cs="Arial"/>
          <w:lang w:val="en-IN"/>
        </w:rPr>
      </w:pPr>
      <w:r w:rsidRPr="00B61AFF">
        <w:rPr>
          <w:rFonts w:ascii="Arial" w:hAnsi="Arial" w:cs="Arial"/>
          <w:lang w:val="en-IN"/>
        </w:rPr>
        <w:t>The proximate composition of the experimental diets is presented in Figure 1. Moisture content ranged from 2.2% to 4.0% across treatments. Crude fat varied between 10.33% and 14.34%, while crude protein ranged from 38.44% to 42.80%. Ash content also showed variation, with the lowest value in T3 (3.8%) and the highest in T2 (9.8%). Overall, the nutrient profile of the diets remained within optimal ranges for carp culture, with minor variation attributed</w:t>
      </w:r>
      <w:r w:rsidR="003C43B2">
        <w:rPr>
          <w:rFonts w:ascii="Arial" w:hAnsi="Arial" w:cs="Arial"/>
          <w:lang w:val="en-IN"/>
        </w:rPr>
        <w:t xml:space="preserve"> </w:t>
      </w:r>
      <w:r w:rsidR="003C43B2" w:rsidRPr="00B61AFF">
        <w:rPr>
          <w:rFonts w:ascii="Arial" w:hAnsi="Arial" w:cs="Arial"/>
          <w:lang w:val="en-IN"/>
        </w:rPr>
        <w:t xml:space="preserve">to incremental inclusion of </w:t>
      </w:r>
      <w:r w:rsidR="003C43B2" w:rsidRPr="00B61AFF">
        <w:rPr>
          <w:rFonts w:ascii="Arial" w:hAnsi="Arial" w:cs="Arial"/>
          <w:i/>
          <w:iCs/>
          <w:lang w:val="en-IN"/>
        </w:rPr>
        <w:t xml:space="preserve">K. </w:t>
      </w:r>
      <w:proofErr w:type="spellStart"/>
      <w:proofErr w:type="gramStart"/>
      <w:r w:rsidR="003C43B2" w:rsidRPr="00B61AFF">
        <w:rPr>
          <w:rFonts w:ascii="Arial" w:hAnsi="Arial" w:cs="Arial"/>
          <w:i/>
          <w:iCs/>
          <w:lang w:val="en-IN"/>
        </w:rPr>
        <w:t>alvarezii</w:t>
      </w:r>
      <w:proofErr w:type="spellEnd"/>
      <w:r w:rsidR="003C43B2" w:rsidRPr="00B61AFF">
        <w:rPr>
          <w:rFonts w:ascii="Arial" w:hAnsi="Arial" w:cs="Arial"/>
          <w:i/>
          <w:iCs/>
          <w:lang w:val="en-IN"/>
        </w:rPr>
        <w:t xml:space="preserve"> </w:t>
      </w:r>
      <w:r w:rsidR="003C43B2" w:rsidRPr="00B61AFF">
        <w:rPr>
          <w:rFonts w:ascii="Arial" w:hAnsi="Arial" w:cs="Arial"/>
          <w:lang w:val="en-IN"/>
        </w:rPr>
        <w:t xml:space="preserve"> sap</w:t>
      </w:r>
      <w:proofErr w:type="gramEnd"/>
      <w:r w:rsidR="003C43B2" w:rsidRPr="00B61AFF">
        <w:rPr>
          <w:rFonts w:ascii="Arial" w:hAnsi="Arial" w:cs="Arial"/>
          <w:lang w:val="en-IN"/>
        </w:rPr>
        <w:t>.</w:t>
      </w:r>
    </w:p>
    <w:p w14:paraId="50B2969F" w14:textId="77777777" w:rsidR="003C43B2" w:rsidRDefault="003C43B2" w:rsidP="00B61AFF">
      <w:pPr>
        <w:pStyle w:val="Body"/>
        <w:rPr>
          <w:rFonts w:ascii="Arial" w:hAnsi="Arial" w:cs="Arial"/>
          <w:lang w:val="en-IN"/>
        </w:rPr>
      </w:pPr>
      <w:r w:rsidRPr="00B61AFF">
        <w:rPr>
          <w:rFonts w:ascii="Arial" w:hAnsi="Arial" w:cs="Arial"/>
          <w:b/>
          <w:bCs/>
          <w:noProof/>
          <w:lang w:val="en-IN"/>
        </w:rPr>
        <w:drawing>
          <wp:anchor distT="12132" distB="11373" distL="126463" distR="131024" simplePos="0" relativeHeight="251657216" behindDoc="0" locked="0" layoutInCell="1" allowOverlap="1" wp14:anchorId="30FDC255" wp14:editId="1215028F">
            <wp:simplePos x="0" y="0"/>
            <wp:positionH relativeFrom="margin">
              <wp:posOffset>312420</wp:posOffset>
            </wp:positionH>
            <wp:positionV relativeFrom="paragraph">
              <wp:posOffset>90805</wp:posOffset>
            </wp:positionV>
            <wp:extent cx="3878580" cy="2104390"/>
            <wp:effectExtent l="0" t="0" r="0" b="0"/>
            <wp:wrapSquare wrapText="bothSides"/>
            <wp:docPr id="3085207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page">
              <wp14:pctHeight>0</wp14:pctHeight>
            </wp14:sizeRelV>
          </wp:anchor>
        </w:drawing>
      </w:r>
    </w:p>
    <w:p w14:paraId="6E49309E" w14:textId="77777777" w:rsidR="003C43B2" w:rsidRDefault="003C43B2" w:rsidP="00B61AFF">
      <w:pPr>
        <w:pStyle w:val="Body"/>
        <w:rPr>
          <w:rFonts w:ascii="Arial" w:hAnsi="Arial" w:cs="Arial"/>
          <w:b/>
          <w:bCs/>
          <w:lang w:val="en-IN"/>
        </w:rPr>
      </w:pPr>
    </w:p>
    <w:p w14:paraId="08DB1BF5" w14:textId="77777777" w:rsidR="003C43B2" w:rsidRDefault="003C43B2" w:rsidP="00B61AFF">
      <w:pPr>
        <w:pStyle w:val="Body"/>
        <w:rPr>
          <w:rFonts w:ascii="Arial" w:hAnsi="Arial" w:cs="Arial"/>
          <w:b/>
          <w:bCs/>
          <w:lang w:val="en-IN"/>
        </w:rPr>
      </w:pPr>
    </w:p>
    <w:p w14:paraId="58CC3189" w14:textId="77777777" w:rsidR="003C43B2" w:rsidRDefault="003C43B2" w:rsidP="00B61AFF">
      <w:pPr>
        <w:pStyle w:val="Body"/>
        <w:rPr>
          <w:rFonts w:ascii="Arial" w:hAnsi="Arial" w:cs="Arial"/>
          <w:b/>
          <w:bCs/>
          <w:lang w:val="en-IN"/>
        </w:rPr>
      </w:pPr>
    </w:p>
    <w:p w14:paraId="2C954311" w14:textId="77777777" w:rsidR="003C43B2" w:rsidRDefault="003C43B2" w:rsidP="00B61AFF">
      <w:pPr>
        <w:pStyle w:val="Body"/>
        <w:rPr>
          <w:rFonts w:ascii="Arial" w:hAnsi="Arial" w:cs="Arial"/>
          <w:b/>
          <w:bCs/>
          <w:lang w:val="en-IN"/>
        </w:rPr>
      </w:pPr>
    </w:p>
    <w:p w14:paraId="753AA509" w14:textId="77777777" w:rsidR="003C43B2" w:rsidRDefault="003C43B2" w:rsidP="00B61AFF">
      <w:pPr>
        <w:pStyle w:val="Body"/>
        <w:rPr>
          <w:rFonts w:ascii="Arial" w:hAnsi="Arial" w:cs="Arial"/>
          <w:b/>
          <w:bCs/>
          <w:lang w:val="en-IN"/>
        </w:rPr>
      </w:pPr>
    </w:p>
    <w:p w14:paraId="65DA3D82" w14:textId="77777777" w:rsidR="003C43B2" w:rsidRDefault="003C43B2" w:rsidP="00B61AFF">
      <w:pPr>
        <w:pStyle w:val="Body"/>
        <w:rPr>
          <w:rFonts w:ascii="Arial" w:hAnsi="Arial" w:cs="Arial"/>
          <w:b/>
          <w:bCs/>
          <w:lang w:val="en-IN"/>
        </w:rPr>
      </w:pPr>
    </w:p>
    <w:p w14:paraId="00768C28" w14:textId="77777777" w:rsidR="003C43B2" w:rsidRDefault="003C43B2" w:rsidP="00B61AFF">
      <w:pPr>
        <w:pStyle w:val="Body"/>
        <w:rPr>
          <w:rFonts w:ascii="Arial" w:hAnsi="Arial" w:cs="Arial"/>
          <w:b/>
          <w:bCs/>
          <w:lang w:val="en-IN"/>
        </w:rPr>
      </w:pPr>
    </w:p>
    <w:p w14:paraId="5EEB8B88" w14:textId="77777777" w:rsidR="003C43B2" w:rsidRDefault="003C43B2" w:rsidP="00B61AFF">
      <w:pPr>
        <w:pStyle w:val="Body"/>
        <w:rPr>
          <w:rFonts w:ascii="Arial" w:hAnsi="Arial" w:cs="Arial"/>
          <w:lang w:val="en-IN"/>
        </w:rPr>
      </w:pPr>
      <w:r w:rsidRPr="00B61AFF">
        <w:rPr>
          <w:rFonts w:ascii="Arial" w:hAnsi="Arial" w:cs="Arial"/>
          <w:b/>
          <w:bCs/>
          <w:lang w:val="en-IN"/>
        </w:rPr>
        <w:t>Fig.1 Proximate Composition of Experimental diet (Dry weight basis</w:t>
      </w:r>
      <w:r>
        <w:rPr>
          <w:rFonts w:ascii="Arial" w:hAnsi="Arial" w:cs="Arial"/>
          <w:lang w:val="en-IN"/>
        </w:rPr>
        <w:t>)</w:t>
      </w:r>
    </w:p>
    <w:p w14:paraId="0D54D8AC" w14:textId="77777777" w:rsidR="00B61AFF" w:rsidRPr="00B61AFF" w:rsidRDefault="00B61AFF" w:rsidP="00B61AFF">
      <w:pPr>
        <w:pStyle w:val="Body"/>
        <w:rPr>
          <w:rFonts w:ascii="Arial" w:hAnsi="Arial" w:cs="Arial"/>
          <w:lang w:val="en-IN"/>
        </w:rPr>
      </w:pPr>
      <w:r w:rsidRPr="00B61AFF">
        <w:rPr>
          <w:rFonts w:ascii="Arial" w:hAnsi="Arial" w:cs="Arial"/>
          <w:lang w:val="en-IN"/>
        </w:rPr>
        <w:t xml:space="preserve">The proximate composition of </w:t>
      </w:r>
      <w:r w:rsidRPr="00B61AFF">
        <w:rPr>
          <w:rFonts w:ascii="Arial" w:hAnsi="Arial" w:cs="Arial"/>
          <w:i/>
          <w:iCs/>
          <w:lang w:val="en-IN"/>
        </w:rPr>
        <w:t xml:space="preserve">L. </w:t>
      </w:r>
      <w:proofErr w:type="spellStart"/>
      <w:r w:rsidRPr="00B61AFF">
        <w:rPr>
          <w:rFonts w:ascii="Arial" w:hAnsi="Arial" w:cs="Arial"/>
          <w:i/>
          <w:iCs/>
          <w:lang w:val="en-IN"/>
        </w:rPr>
        <w:t>rohita</w:t>
      </w:r>
      <w:proofErr w:type="spellEnd"/>
      <w:r w:rsidRPr="00B61AFF">
        <w:rPr>
          <w:rFonts w:ascii="Arial" w:hAnsi="Arial" w:cs="Arial"/>
          <w:i/>
          <w:iCs/>
          <w:lang w:val="en-IN"/>
        </w:rPr>
        <w:t xml:space="preserve"> </w:t>
      </w:r>
      <w:r w:rsidRPr="00B61AFF">
        <w:rPr>
          <w:rFonts w:ascii="Arial" w:hAnsi="Arial" w:cs="Arial"/>
          <w:lang w:val="en-IN"/>
        </w:rPr>
        <w:t xml:space="preserve">fingerlings fed diets supplemented with </w:t>
      </w:r>
      <w:proofErr w:type="spellStart"/>
      <w:r w:rsidRPr="00B61AFF">
        <w:rPr>
          <w:rFonts w:ascii="Arial" w:hAnsi="Arial" w:cs="Arial"/>
          <w:i/>
          <w:iCs/>
          <w:lang w:val="en-IN"/>
        </w:rPr>
        <w:t>Kappaphycus</w:t>
      </w:r>
      <w:proofErr w:type="spellEnd"/>
      <w:r w:rsidRPr="00B61AFF">
        <w:rPr>
          <w:rFonts w:ascii="Arial" w:hAnsi="Arial" w:cs="Arial"/>
          <w:i/>
          <w:iCs/>
          <w:lang w:val="en-IN"/>
        </w:rPr>
        <w:t xml:space="preserve"> </w:t>
      </w:r>
      <w:proofErr w:type="spellStart"/>
      <w:r w:rsidRPr="00B61AFF">
        <w:rPr>
          <w:rFonts w:ascii="Arial" w:hAnsi="Arial" w:cs="Arial"/>
          <w:i/>
          <w:iCs/>
          <w:lang w:val="en-IN"/>
        </w:rPr>
        <w:t>alvarezii</w:t>
      </w:r>
      <w:proofErr w:type="spellEnd"/>
      <w:r w:rsidRPr="00B61AFF">
        <w:rPr>
          <w:rFonts w:ascii="Arial" w:hAnsi="Arial" w:cs="Arial"/>
          <w:lang w:val="en-IN"/>
        </w:rPr>
        <w:t xml:space="preserve"> sap for 60 days is shown in Figure 2. Initial carcass protein content was 48.0%, which increased in all treatments and control at the end of the study. The final crude protein levels recorded were 50.0%, 52.0%, 51.8%, 51.6% and 52.9% for control, T1, T2, T3 and </w:t>
      </w:r>
      <w:r w:rsidRPr="00B61AFF">
        <w:rPr>
          <w:rFonts w:ascii="Arial" w:hAnsi="Arial" w:cs="Arial"/>
          <w:lang w:val="en-IN"/>
        </w:rPr>
        <w:lastRenderedPageBreak/>
        <w:t xml:space="preserve">T4, respectively. Similarly, crude fat content increased from an initial 10.0% to 12.89%, 11.55%, 12.9%, 12.14%, and 13.64% in control, T1, T2, T3 and T4, respectively. The progressive improvement in carcass protein and lipid deposition, particularly in T4, indicates enhanced nutrient assimilation and growth performance with dietary </w:t>
      </w:r>
      <w:r w:rsidRPr="00B61AFF">
        <w:rPr>
          <w:rFonts w:ascii="Arial" w:hAnsi="Arial" w:cs="Arial"/>
          <w:i/>
          <w:iCs/>
          <w:lang w:val="en-IN"/>
        </w:rPr>
        <w:t xml:space="preserve">K. </w:t>
      </w:r>
      <w:proofErr w:type="spellStart"/>
      <w:r w:rsidRPr="00B61AFF">
        <w:rPr>
          <w:rFonts w:ascii="Arial" w:hAnsi="Arial" w:cs="Arial"/>
          <w:i/>
          <w:iCs/>
          <w:lang w:val="en-IN"/>
        </w:rPr>
        <w:t>alvarezii</w:t>
      </w:r>
      <w:proofErr w:type="spellEnd"/>
      <w:r w:rsidRPr="00B61AFF">
        <w:rPr>
          <w:rFonts w:ascii="Arial" w:hAnsi="Arial" w:cs="Arial"/>
          <w:lang w:val="en-IN"/>
        </w:rPr>
        <w:t xml:space="preserve"> sap supplementation, with maximum improvement observed at 20% inclusion.</w:t>
      </w:r>
    </w:p>
    <w:p w14:paraId="0B08EB85" w14:textId="77777777" w:rsidR="00B61AFF" w:rsidRPr="00B61AFF" w:rsidRDefault="003C43B2" w:rsidP="00B61AFF">
      <w:pPr>
        <w:pStyle w:val="Body"/>
        <w:ind w:firstLine="720"/>
        <w:rPr>
          <w:rFonts w:ascii="Arial" w:hAnsi="Arial" w:cs="Arial"/>
          <w:lang w:val="en-IN"/>
        </w:rPr>
      </w:pPr>
      <w:r w:rsidRPr="00B61AFF">
        <w:rPr>
          <w:rFonts w:ascii="Arial" w:hAnsi="Arial" w:cs="Arial"/>
          <w:noProof/>
          <w:lang w:val="en-IN"/>
        </w:rPr>
        <w:drawing>
          <wp:inline distT="0" distB="0" distL="0" distR="0" wp14:anchorId="4B0FECF5" wp14:editId="3D025802">
            <wp:extent cx="4421505" cy="2423795"/>
            <wp:effectExtent l="0" t="0" r="0" b="0"/>
            <wp:docPr id="109651578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400729" w14:textId="77777777" w:rsidR="00B61AFF" w:rsidRPr="00B61AFF" w:rsidRDefault="00B61AFF" w:rsidP="00B61AFF">
      <w:pPr>
        <w:pStyle w:val="Body"/>
        <w:ind w:firstLine="720"/>
        <w:rPr>
          <w:rFonts w:ascii="Arial" w:hAnsi="Arial" w:cs="Arial"/>
          <w:b/>
          <w:bCs/>
          <w:lang w:val="en-IN"/>
        </w:rPr>
      </w:pPr>
      <w:r w:rsidRPr="00B61AFF">
        <w:rPr>
          <w:rFonts w:ascii="Arial" w:hAnsi="Arial" w:cs="Arial"/>
          <w:b/>
          <w:bCs/>
          <w:lang w:val="en-IN"/>
        </w:rPr>
        <w:t>Fig.2 Proximate Composition Fish body carcass (Dry weight basis)</w:t>
      </w:r>
    </w:p>
    <w:p w14:paraId="635F926C" w14:textId="77777777" w:rsidR="00B61AFF" w:rsidRPr="00B61AFF" w:rsidRDefault="003C43B2" w:rsidP="003C43B2">
      <w:pPr>
        <w:pStyle w:val="Body"/>
        <w:rPr>
          <w:rFonts w:ascii="Arial" w:hAnsi="Arial" w:cs="Arial"/>
          <w:b/>
          <w:bCs/>
          <w:lang w:val="en-IN"/>
        </w:rPr>
      </w:pPr>
      <w:r>
        <w:rPr>
          <w:rFonts w:ascii="Arial" w:hAnsi="Arial" w:cs="Arial"/>
          <w:b/>
          <w:bCs/>
          <w:lang w:val="en-IN"/>
        </w:rPr>
        <w:t xml:space="preserve">3.2 </w:t>
      </w:r>
      <w:r w:rsidR="00B61AFF" w:rsidRPr="00B61AFF">
        <w:rPr>
          <w:rFonts w:ascii="Arial" w:hAnsi="Arial" w:cs="Arial"/>
          <w:b/>
          <w:bCs/>
          <w:lang w:val="en-IN"/>
        </w:rPr>
        <w:t>Discussion</w:t>
      </w:r>
    </w:p>
    <w:p w14:paraId="6481340A" w14:textId="77777777" w:rsidR="00870425" w:rsidRPr="00870425" w:rsidRDefault="00870425" w:rsidP="00870425">
      <w:pPr>
        <w:pStyle w:val="Body"/>
        <w:spacing w:after="0"/>
        <w:ind w:firstLine="720"/>
        <w:rPr>
          <w:rFonts w:ascii="Arial" w:hAnsi="Arial" w:cs="Arial"/>
          <w:lang w:val="en-IN"/>
        </w:rPr>
      </w:pPr>
      <w:r w:rsidRPr="00870425">
        <w:rPr>
          <w:rFonts w:ascii="Arial" w:hAnsi="Arial" w:cs="Arial"/>
          <w:lang w:val="en-IN"/>
        </w:rPr>
        <w:t xml:space="preserve">The present study demonstrated that supplementation of </w:t>
      </w:r>
      <w:r w:rsidRPr="00870425">
        <w:rPr>
          <w:rFonts w:ascii="Arial" w:hAnsi="Arial" w:cs="Arial"/>
          <w:i/>
          <w:iCs/>
          <w:lang w:val="en-IN"/>
        </w:rPr>
        <w:t xml:space="preserve">K. </w:t>
      </w:r>
      <w:proofErr w:type="spellStart"/>
      <w:r w:rsidRPr="00870425">
        <w:rPr>
          <w:rFonts w:ascii="Arial" w:hAnsi="Arial" w:cs="Arial"/>
          <w:i/>
          <w:iCs/>
          <w:lang w:val="en-IN"/>
        </w:rPr>
        <w:t>alvarezii</w:t>
      </w:r>
      <w:proofErr w:type="spellEnd"/>
      <w:r w:rsidRPr="00870425">
        <w:rPr>
          <w:rFonts w:ascii="Arial" w:hAnsi="Arial" w:cs="Arial"/>
          <w:lang w:val="en-IN"/>
        </w:rPr>
        <w:t xml:space="preserve"> sap by coating a commercial carp feed improved growth performance and feed conversion efficiency in </w:t>
      </w:r>
      <w:r w:rsidRPr="00870425">
        <w:rPr>
          <w:rFonts w:ascii="Arial" w:hAnsi="Arial" w:cs="Arial"/>
          <w:i/>
          <w:iCs/>
          <w:lang w:val="en-IN"/>
        </w:rPr>
        <w:t xml:space="preserve">L. </w:t>
      </w:r>
      <w:proofErr w:type="spellStart"/>
      <w:r w:rsidRPr="00870425">
        <w:rPr>
          <w:rFonts w:ascii="Arial" w:hAnsi="Arial" w:cs="Arial"/>
          <w:i/>
          <w:iCs/>
          <w:lang w:val="en-IN"/>
        </w:rPr>
        <w:t>rohita</w:t>
      </w:r>
      <w:proofErr w:type="spellEnd"/>
      <w:r w:rsidRPr="00870425">
        <w:rPr>
          <w:rFonts w:ascii="Arial" w:hAnsi="Arial" w:cs="Arial"/>
          <w:lang w:val="en-IN"/>
        </w:rPr>
        <w:t xml:space="preserve">, particularly at 15% and 20% sap levels. Since the basal diet composition remained unchanged, the improvements observed here can be attributed to the </w:t>
      </w:r>
      <w:proofErr w:type="spellStart"/>
      <w:r w:rsidRPr="00870425">
        <w:rPr>
          <w:rFonts w:ascii="Arial" w:hAnsi="Arial" w:cs="Arial"/>
          <w:lang w:val="en-IN"/>
        </w:rPr>
        <w:t>biofunctional</w:t>
      </w:r>
      <w:proofErr w:type="spellEnd"/>
      <w:r w:rsidRPr="00870425">
        <w:rPr>
          <w:rFonts w:ascii="Arial" w:hAnsi="Arial" w:cs="Arial"/>
          <w:lang w:val="en-IN"/>
        </w:rPr>
        <w:t xml:space="preserve"> properties of the sap rather than changes in dietary protein or energy density. Similar findings were reported in </w:t>
      </w:r>
      <w:r w:rsidRPr="00870425">
        <w:rPr>
          <w:rFonts w:ascii="Arial" w:hAnsi="Arial" w:cs="Arial"/>
          <w:i/>
          <w:iCs/>
          <w:lang w:val="en-IN"/>
        </w:rPr>
        <w:t>Penaeus monodon</w:t>
      </w:r>
      <w:r w:rsidRPr="00870425">
        <w:rPr>
          <w:rFonts w:ascii="Arial" w:hAnsi="Arial" w:cs="Arial"/>
          <w:lang w:val="en-IN"/>
        </w:rPr>
        <w:t xml:space="preserve">, where sap-coated feeds enhanced growth, survival and reduced FCR compared to untreated commercial feed (Kotia et al., 2011). This reinforces that sap acts as a functional feed supplement, improving physiological feed utilization. The mechanism of action is closely tied to the form of seaweed used. In the present study, sap was produced by boiling fresh </w:t>
      </w:r>
      <w:r w:rsidRPr="00870425">
        <w:rPr>
          <w:rFonts w:ascii="Arial" w:hAnsi="Arial" w:cs="Arial"/>
          <w:i/>
          <w:iCs/>
          <w:lang w:val="en-IN"/>
        </w:rPr>
        <w:t xml:space="preserve">K. </w:t>
      </w:r>
      <w:proofErr w:type="spellStart"/>
      <w:r w:rsidRPr="00870425">
        <w:rPr>
          <w:rFonts w:ascii="Arial" w:hAnsi="Arial" w:cs="Arial"/>
          <w:i/>
          <w:iCs/>
          <w:lang w:val="en-IN"/>
        </w:rPr>
        <w:t>alvarezii</w:t>
      </w:r>
      <w:proofErr w:type="spellEnd"/>
      <w:r w:rsidRPr="00870425">
        <w:rPr>
          <w:rFonts w:ascii="Arial" w:hAnsi="Arial" w:cs="Arial"/>
          <w:lang w:val="en-IN"/>
        </w:rPr>
        <w:t xml:space="preserve">, extracting soluble carrageenan fractions, minerals and growth-promoting compounds, while leaving behind insoluble cell wall components. This is in contrast to studies where seaweed meal replaces a portion of the feed matrix. When whole </w:t>
      </w:r>
      <w:proofErr w:type="spellStart"/>
      <w:r w:rsidRPr="00870425">
        <w:rPr>
          <w:rFonts w:ascii="Arial" w:hAnsi="Arial" w:cs="Arial"/>
          <w:i/>
          <w:iCs/>
          <w:lang w:val="en-IN"/>
        </w:rPr>
        <w:t>Kappaphycus</w:t>
      </w:r>
      <w:proofErr w:type="spellEnd"/>
      <w:r w:rsidRPr="00870425">
        <w:rPr>
          <w:rFonts w:ascii="Arial" w:hAnsi="Arial" w:cs="Arial"/>
          <w:lang w:val="en-IN"/>
        </w:rPr>
        <w:t xml:space="preserve"> biomass is incorporated, the diet receives non-starch polysaccharides (NSP) that increase intestinal water-binding and digesta viscosity, reducing nutrient digestibility and growth at higher inclusion levels (</w:t>
      </w:r>
      <w:proofErr w:type="spellStart"/>
      <w:r w:rsidRPr="00870425">
        <w:rPr>
          <w:rFonts w:ascii="Arial" w:hAnsi="Arial" w:cs="Arial"/>
          <w:lang w:val="en-IN"/>
        </w:rPr>
        <w:t>Amirkolaie</w:t>
      </w:r>
      <w:proofErr w:type="spellEnd"/>
      <w:r w:rsidRPr="00870425">
        <w:rPr>
          <w:rFonts w:ascii="Arial" w:hAnsi="Arial" w:cs="Arial"/>
          <w:lang w:val="en-IN"/>
        </w:rPr>
        <w:t xml:space="preserve"> et al., 2005; </w:t>
      </w:r>
      <w:proofErr w:type="spellStart"/>
      <w:r w:rsidRPr="00870425">
        <w:rPr>
          <w:rFonts w:ascii="Arial" w:hAnsi="Arial" w:cs="Arial"/>
          <w:lang w:val="en-IN"/>
        </w:rPr>
        <w:t>Storebakken</w:t>
      </w:r>
      <w:proofErr w:type="spellEnd"/>
      <w:r w:rsidRPr="00870425">
        <w:rPr>
          <w:rFonts w:ascii="Arial" w:hAnsi="Arial" w:cs="Arial"/>
          <w:lang w:val="en-IN"/>
        </w:rPr>
        <w:t xml:space="preserve">, 1985; </w:t>
      </w:r>
      <w:proofErr w:type="spellStart"/>
      <w:r w:rsidRPr="00870425">
        <w:rPr>
          <w:rFonts w:ascii="Arial" w:hAnsi="Arial" w:cs="Arial"/>
          <w:lang w:val="en-IN"/>
        </w:rPr>
        <w:t>Shapawi</w:t>
      </w:r>
      <w:proofErr w:type="spellEnd"/>
      <w:r w:rsidRPr="00870425">
        <w:rPr>
          <w:rFonts w:ascii="Arial" w:hAnsi="Arial" w:cs="Arial"/>
          <w:lang w:val="en-IN"/>
        </w:rPr>
        <w:t xml:space="preserve"> et al., 2015). The absence of such NSP in sap explains why digestibility remained stable across treatments in the present study, even at 20% coating.  It is also notable that </w:t>
      </w:r>
      <w:proofErr w:type="spellStart"/>
      <w:r w:rsidRPr="00870425">
        <w:rPr>
          <w:rFonts w:ascii="Arial" w:hAnsi="Arial" w:cs="Arial"/>
          <w:lang w:val="en-IN"/>
        </w:rPr>
        <w:t>Shapawi</w:t>
      </w:r>
      <w:proofErr w:type="spellEnd"/>
      <w:r w:rsidRPr="00870425">
        <w:rPr>
          <w:rFonts w:ascii="Arial" w:hAnsi="Arial" w:cs="Arial"/>
          <w:lang w:val="en-IN"/>
        </w:rPr>
        <w:t xml:space="preserve"> et al. (2015) reported that increasing </w:t>
      </w:r>
      <w:r w:rsidRPr="00870425">
        <w:rPr>
          <w:rFonts w:ascii="Arial" w:hAnsi="Arial" w:cs="Arial"/>
          <w:i/>
          <w:iCs/>
          <w:lang w:val="en-IN"/>
        </w:rPr>
        <w:t xml:space="preserve">K. </w:t>
      </w:r>
      <w:proofErr w:type="spellStart"/>
      <w:r w:rsidRPr="00870425">
        <w:rPr>
          <w:rFonts w:ascii="Arial" w:hAnsi="Arial" w:cs="Arial"/>
          <w:i/>
          <w:iCs/>
          <w:lang w:val="en-IN"/>
        </w:rPr>
        <w:t>alvarezii</w:t>
      </w:r>
      <w:proofErr w:type="spellEnd"/>
      <w:r w:rsidRPr="00870425">
        <w:rPr>
          <w:rFonts w:ascii="Arial" w:hAnsi="Arial" w:cs="Arial"/>
          <w:lang w:val="en-IN"/>
        </w:rPr>
        <w:t xml:space="preserve"> meal inclusion in Asian seabass required adjustment of dietary starch to maintain energy balance due to nutrient dilution. In our study, sap coating did not dilute the feed, meaning no reformulation or compensatory nutritional balancing was necessary. This highlights sap as a supplementary bioactive enhancer, while meal acts as a bulk dietary ingredient. The dose-dependent efficiency observed here aligns with earlier findings where moderate seaweed supplementation improved growth and protein retention, while excessive inclusion had no additional benefit because of </w:t>
      </w:r>
      <w:proofErr w:type="spellStart"/>
      <w:r w:rsidRPr="00870425">
        <w:rPr>
          <w:rFonts w:ascii="Arial" w:hAnsi="Arial" w:cs="Arial"/>
          <w:lang w:val="en-IN"/>
        </w:rPr>
        <w:t>fiber</w:t>
      </w:r>
      <w:proofErr w:type="spellEnd"/>
      <w:r w:rsidRPr="00870425">
        <w:rPr>
          <w:rFonts w:ascii="Arial" w:hAnsi="Arial" w:cs="Arial"/>
          <w:lang w:val="en-IN"/>
        </w:rPr>
        <w:t xml:space="preserve">-associated constraints (El-Tawil, 2010). As sap contains only the soluble functional compounds, the positive effects were maintained </w:t>
      </w:r>
      <w:r w:rsidRPr="00870425">
        <w:rPr>
          <w:rFonts w:ascii="Arial" w:hAnsi="Arial" w:cs="Arial"/>
          <w:lang w:val="en-IN"/>
        </w:rPr>
        <w:lastRenderedPageBreak/>
        <w:t xml:space="preserve">even at higher coating levels, enabling greater metabolic response without compromising nutrient availability. The increase in carcass protein and lipid deposition at higher sap levels indicates improved nutrient retention efficiency. Kotia et al. (2011) similarly attributed enhanced biomass accumulation in shrimp to trace minerals and natural growth regulators present in </w:t>
      </w:r>
      <w:proofErr w:type="spellStart"/>
      <w:r w:rsidRPr="00870425">
        <w:rPr>
          <w:rFonts w:ascii="Arial" w:hAnsi="Arial" w:cs="Arial"/>
          <w:i/>
          <w:iCs/>
          <w:lang w:val="en-IN"/>
        </w:rPr>
        <w:t>Kappaphycus</w:t>
      </w:r>
      <w:proofErr w:type="spellEnd"/>
      <w:r w:rsidRPr="00870425">
        <w:rPr>
          <w:rFonts w:ascii="Arial" w:hAnsi="Arial" w:cs="Arial"/>
          <w:lang w:val="en-IN"/>
        </w:rPr>
        <w:t xml:space="preserve"> sap. Compounds such as zeatin, gibberellins and auxins are known to influence cellular metabolism and may support anabolic activity in fish tissues.</w:t>
      </w:r>
    </w:p>
    <w:p w14:paraId="4BB658AC" w14:textId="77777777" w:rsidR="00870425" w:rsidRPr="00870425" w:rsidRDefault="00870425" w:rsidP="00870425">
      <w:pPr>
        <w:pStyle w:val="Body"/>
        <w:spacing w:after="0"/>
        <w:ind w:firstLine="720"/>
        <w:rPr>
          <w:rFonts w:ascii="Arial" w:hAnsi="Arial" w:cs="Arial"/>
          <w:lang w:val="en-IN"/>
        </w:rPr>
      </w:pPr>
      <w:r w:rsidRPr="00870425">
        <w:rPr>
          <w:rFonts w:ascii="Arial" w:hAnsi="Arial" w:cs="Arial"/>
          <w:lang w:val="en-IN"/>
        </w:rPr>
        <w:t xml:space="preserve">Together, these results confirm that </w:t>
      </w:r>
      <w:r w:rsidRPr="00870425">
        <w:rPr>
          <w:rFonts w:ascii="Arial" w:hAnsi="Arial" w:cs="Arial"/>
          <w:i/>
          <w:iCs/>
          <w:lang w:val="en-IN"/>
        </w:rPr>
        <w:t xml:space="preserve">K. </w:t>
      </w:r>
      <w:proofErr w:type="spellStart"/>
      <w:r w:rsidRPr="00870425">
        <w:rPr>
          <w:rFonts w:ascii="Arial" w:hAnsi="Arial" w:cs="Arial"/>
          <w:i/>
          <w:iCs/>
          <w:lang w:val="en-IN"/>
        </w:rPr>
        <w:t>alvarezii</w:t>
      </w:r>
      <w:proofErr w:type="spellEnd"/>
      <w:r w:rsidRPr="00870425">
        <w:rPr>
          <w:rFonts w:ascii="Arial" w:hAnsi="Arial" w:cs="Arial"/>
          <w:lang w:val="en-IN"/>
        </w:rPr>
        <w:t xml:space="preserve"> sap functions as a </w:t>
      </w:r>
      <w:proofErr w:type="spellStart"/>
      <w:r w:rsidRPr="00870425">
        <w:rPr>
          <w:rFonts w:ascii="Arial" w:hAnsi="Arial" w:cs="Arial"/>
          <w:lang w:val="en-IN"/>
        </w:rPr>
        <w:t>biofunctional</w:t>
      </w:r>
      <w:proofErr w:type="spellEnd"/>
      <w:r w:rsidRPr="00870425">
        <w:rPr>
          <w:rFonts w:ascii="Arial" w:hAnsi="Arial" w:cs="Arial"/>
          <w:lang w:val="en-IN"/>
        </w:rPr>
        <w:t xml:space="preserve"> feed additive capable of enhancing growth performance and feed utilization without affecting digestibility or dietary formulation. In contrast to seaweed meal, sap avoids the detrimental effects associated with insoluble NSP-driven viscosity and nutrient dilution while delivering beneficial active compounds in a bioavailable form. Therefore, sap-based feed coating represents a practical, low-cost and farmer-friendly strategy for improving production performance in freshwater carp culture.</w:t>
      </w:r>
    </w:p>
    <w:p w14:paraId="2D748DAF" w14:textId="77777777" w:rsidR="00790ADA" w:rsidRPr="00FB3A86" w:rsidRDefault="00100263" w:rsidP="00441B6F">
      <w:pPr>
        <w:pStyle w:val="Body"/>
        <w:spacing w:after="0"/>
        <w:rPr>
          <w:rFonts w:ascii="Arial" w:hAnsi="Arial" w:cs="Arial"/>
        </w:rPr>
      </w:pPr>
      <w:r w:rsidRPr="00100263">
        <w:rPr>
          <w:rFonts w:ascii="Arial" w:hAnsi="Arial" w:cs="Arial"/>
        </w:rPr>
        <w:tab/>
      </w:r>
    </w:p>
    <w:p w14:paraId="6B6C4C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B3B092" w14:textId="77777777" w:rsidR="00790ADA" w:rsidRPr="00FB3A86" w:rsidRDefault="00790ADA" w:rsidP="00441B6F">
      <w:pPr>
        <w:pStyle w:val="ConcHead"/>
        <w:spacing w:after="0"/>
        <w:jc w:val="both"/>
        <w:rPr>
          <w:rFonts w:ascii="Arial" w:hAnsi="Arial" w:cs="Arial"/>
        </w:rPr>
      </w:pPr>
    </w:p>
    <w:p w14:paraId="6C899080" w14:textId="77777777" w:rsidR="00100263" w:rsidRDefault="003C43B2" w:rsidP="00C81E43">
      <w:pPr>
        <w:pStyle w:val="Body"/>
        <w:ind w:firstLine="720"/>
        <w:rPr>
          <w:rFonts w:ascii="Arial" w:hAnsi="Arial" w:cs="Arial"/>
        </w:rPr>
      </w:pPr>
      <w:r w:rsidRPr="00B61AFF">
        <w:rPr>
          <w:rFonts w:ascii="Arial" w:hAnsi="Arial" w:cs="Arial"/>
          <w:lang w:val="en-IN"/>
        </w:rPr>
        <w:t xml:space="preserve">The present study demonstrates that supplementation of </w:t>
      </w:r>
      <w:r w:rsidRPr="00B61AFF">
        <w:rPr>
          <w:rFonts w:ascii="Arial" w:hAnsi="Arial" w:cs="Arial"/>
          <w:i/>
          <w:iCs/>
          <w:lang w:val="en-IN"/>
        </w:rPr>
        <w:t xml:space="preserve">K. </w:t>
      </w:r>
      <w:proofErr w:type="spellStart"/>
      <w:proofErr w:type="gramStart"/>
      <w:r w:rsidRPr="00B61AFF">
        <w:rPr>
          <w:rFonts w:ascii="Arial" w:hAnsi="Arial" w:cs="Arial"/>
          <w:i/>
          <w:iCs/>
          <w:lang w:val="en-IN"/>
        </w:rPr>
        <w:t>alvarezii</w:t>
      </w:r>
      <w:proofErr w:type="spellEnd"/>
      <w:r w:rsidRPr="00B61AFF">
        <w:rPr>
          <w:rFonts w:ascii="Arial" w:hAnsi="Arial" w:cs="Arial"/>
          <w:i/>
          <w:iCs/>
          <w:lang w:val="en-IN"/>
        </w:rPr>
        <w:t xml:space="preserve"> </w:t>
      </w:r>
      <w:r w:rsidRPr="00B61AFF">
        <w:rPr>
          <w:rFonts w:ascii="Arial" w:hAnsi="Arial" w:cs="Arial"/>
          <w:lang w:val="en-IN"/>
        </w:rPr>
        <w:t xml:space="preserve"> sap</w:t>
      </w:r>
      <w:proofErr w:type="gramEnd"/>
      <w:r w:rsidRPr="00B61AFF">
        <w:rPr>
          <w:rFonts w:ascii="Arial" w:hAnsi="Arial" w:cs="Arial"/>
          <w:lang w:val="en-IN"/>
        </w:rPr>
        <w:t xml:space="preserve"> in the diet of </w:t>
      </w:r>
      <w:r w:rsidRPr="00B61AFF">
        <w:rPr>
          <w:rFonts w:ascii="Arial" w:hAnsi="Arial" w:cs="Arial"/>
          <w:i/>
          <w:iCs/>
          <w:lang w:val="en-IN"/>
        </w:rPr>
        <w:t xml:space="preserve">L. </w:t>
      </w:r>
      <w:proofErr w:type="spellStart"/>
      <w:r w:rsidRPr="00B61AFF">
        <w:rPr>
          <w:rFonts w:ascii="Arial" w:hAnsi="Arial" w:cs="Arial"/>
          <w:i/>
          <w:iCs/>
          <w:lang w:val="en-IN"/>
        </w:rPr>
        <w:t>rohita</w:t>
      </w:r>
      <w:proofErr w:type="spellEnd"/>
      <w:r w:rsidRPr="00B61AFF">
        <w:rPr>
          <w:rFonts w:ascii="Arial" w:hAnsi="Arial" w:cs="Arial"/>
          <w:i/>
          <w:iCs/>
          <w:lang w:val="en-IN"/>
        </w:rPr>
        <w:t xml:space="preserve"> </w:t>
      </w:r>
      <w:r w:rsidRPr="00B61AFF">
        <w:rPr>
          <w:rFonts w:ascii="Arial" w:hAnsi="Arial" w:cs="Arial"/>
          <w:lang w:val="en-IN"/>
        </w:rPr>
        <w:t xml:space="preserve">fingerlings significantly improved growth performance, feed utilization efficiency, and carcass nutrient composition without affecting survival or water quality. Sap-supplemented groups exhibited higher net weight gain, specific growth rate, and better feed conversion ratio compared to the control, with the 20% inclusion level (T4) showing the most pronounced improvement. Enhanced carcass protein and lipid levels further indicate improved nutrient assimilation and metabolic efficiency in fish fed sap-fortified diets. These findings highlight the potential of </w:t>
      </w:r>
      <w:r w:rsidRPr="00B61AFF">
        <w:rPr>
          <w:rFonts w:ascii="Arial" w:hAnsi="Arial" w:cs="Arial"/>
          <w:i/>
          <w:iCs/>
          <w:lang w:val="en-IN"/>
        </w:rPr>
        <w:t xml:space="preserve">K. </w:t>
      </w:r>
      <w:proofErr w:type="spellStart"/>
      <w:r w:rsidRPr="00B61AFF">
        <w:rPr>
          <w:rFonts w:ascii="Arial" w:hAnsi="Arial" w:cs="Arial"/>
          <w:i/>
          <w:iCs/>
          <w:lang w:val="en-IN"/>
        </w:rPr>
        <w:t>alvarezii</w:t>
      </w:r>
      <w:proofErr w:type="spellEnd"/>
      <w:r w:rsidRPr="00B61AFF">
        <w:rPr>
          <w:rFonts w:ascii="Arial" w:hAnsi="Arial" w:cs="Arial"/>
          <w:lang w:val="en-IN"/>
        </w:rPr>
        <w:t xml:space="preserve"> sap as a sustainable, plant-derived functional ingredient for carp aquaculture. While this study provides strong evidence of nutritional benefits, physiological and health responses such as haematology, immune status, antioxidant activity, and digestive enzyme profiling were not examined and should be addressed in future research to fully understand the bioactive potential of </w:t>
      </w:r>
      <w:r w:rsidRPr="00B61AFF">
        <w:rPr>
          <w:rFonts w:ascii="Arial" w:hAnsi="Arial" w:cs="Arial"/>
          <w:i/>
          <w:iCs/>
          <w:lang w:val="en-IN"/>
        </w:rPr>
        <w:t xml:space="preserve">K. </w:t>
      </w:r>
      <w:proofErr w:type="spellStart"/>
      <w:r w:rsidRPr="00B61AFF">
        <w:rPr>
          <w:rFonts w:ascii="Arial" w:hAnsi="Arial" w:cs="Arial"/>
          <w:i/>
          <w:iCs/>
          <w:lang w:val="en-IN"/>
        </w:rPr>
        <w:t>alvarezii</w:t>
      </w:r>
      <w:proofErr w:type="spellEnd"/>
      <w:r w:rsidRPr="00B61AFF">
        <w:rPr>
          <w:rFonts w:ascii="Arial" w:hAnsi="Arial" w:cs="Arial"/>
          <w:lang w:val="en-IN"/>
        </w:rPr>
        <w:t xml:space="preserve"> sap. Moreover, field-level validation and economic feasibility assessments are recommended to support its adoption in commercial aquafeeds. Overall, </w:t>
      </w:r>
      <w:r w:rsidRPr="00B61AFF">
        <w:rPr>
          <w:rFonts w:ascii="Arial" w:hAnsi="Arial" w:cs="Arial"/>
          <w:i/>
          <w:iCs/>
          <w:lang w:val="en-IN"/>
        </w:rPr>
        <w:t xml:space="preserve">K. </w:t>
      </w:r>
      <w:proofErr w:type="spellStart"/>
      <w:r w:rsidRPr="00B61AFF">
        <w:rPr>
          <w:rFonts w:ascii="Arial" w:hAnsi="Arial" w:cs="Arial"/>
          <w:i/>
          <w:iCs/>
          <w:lang w:val="en-IN"/>
        </w:rPr>
        <w:t>alvarezii</w:t>
      </w:r>
      <w:proofErr w:type="spellEnd"/>
      <w:r w:rsidRPr="00B61AFF">
        <w:rPr>
          <w:rFonts w:ascii="Arial" w:hAnsi="Arial" w:cs="Arial"/>
          <w:lang w:val="en-IN"/>
        </w:rPr>
        <w:t xml:space="preserve"> sap represents a promising natural additive that can contribute to eco-friendly and nutritionally efficient carp farming.</w:t>
      </w:r>
    </w:p>
    <w:p w14:paraId="7CD58327" w14:textId="77777777" w:rsidR="002B685A" w:rsidRDefault="002B685A" w:rsidP="00441B6F">
      <w:pPr>
        <w:pStyle w:val="ReferHead"/>
        <w:spacing w:after="0"/>
        <w:jc w:val="both"/>
        <w:rPr>
          <w:rFonts w:ascii="Arial" w:hAnsi="Arial" w:cs="Arial"/>
          <w:b w:val="0"/>
          <w:caps w:val="0"/>
          <w:sz w:val="20"/>
        </w:rPr>
      </w:pPr>
    </w:p>
    <w:p w14:paraId="261560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111BD9" w14:textId="77777777" w:rsidR="00790ADA" w:rsidRPr="00FB3A86" w:rsidRDefault="00790ADA" w:rsidP="00441B6F">
      <w:pPr>
        <w:pStyle w:val="ReferHead"/>
        <w:spacing w:after="0"/>
        <w:jc w:val="both"/>
        <w:rPr>
          <w:rFonts w:ascii="Arial" w:hAnsi="Arial" w:cs="Arial"/>
        </w:rPr>
      </w:pPr>
    </w:p>
    <w:p w14:paraId="03F7F095" w14:textId="1BEA26E9" w:rsidR="00FF57E9" w:rsidRDefault="00FF57E9" w:rsidP="00870425">
      <w:pPr>
        <w:pStyle w:val="Body"/>
        <w:numPr>
          <w:ilvl w:val="0"/>
          <w:numId w:val="31"/>
        </w:numPr>
      </w:pPr>
      <w:r w:rsidRPr="00FF57E9">
        <w:t xml:space="preserve">FAO. (2024). The State of World Fisheries and Aquaculture 2024: Blue transformation in action. Rome: Food and Agriculture Organization of the United Nations. </w:t>
      </w:r>
      <w:hyperlink r:id="rId16" w:history="1">
        <w:r w:rsidRPr="00D465BF">
          <w:rPr>
            <w:rStyle w:val="Hyperlink"/>
          </w:rPr>
          <w:t>https://doi.org/10.4060/cd0683en</w:t>
        </w:r>
      </w:hyperlink>
    </w:p>
    <w:p w14:paraId="30B4A351" w14:textId="3686CAAA" w:rsidR="00FF57E9" w:rsidRDefault="00FF57E9" w:rsidP="00870425">
      <w:pPr>
        <w:pStyle w:val="Body"/>
        <w:numPr>
          <w:ilvl w:val="0"/>
          <w:numId w:val="31"/>
        </w:numPr>
      </w:pPr>
      <w:r w:rsidRPr="00FF57E9">
        <w:t xml:space="preserve">FAO. (2022). The State of World Fisheries and Aquaculture 2022: Towards blue transformation. Rome: Food and Agriculture Organization of the United Nations. </w:t>
      </w:r>
      <w:hyperlink r:id="rId17" w:history="1">
        <w:r w:rsidRPr="00D465BF">
          <w:rPr>
            <w:rStyle w:val="Hyperlink"/>
          </w:rPr>
          <w:t>https://doi.org/10.4060/cc0461en</w:t>
        </w:r>
      </w:hyperlink>
    </w:p>
    <w:p w14:paraId="015FEDEB" w14:textId="031F43FC" w:rsidR="00FF57E9" w:rsidRDefault="00FF57E9" w:rsidP="00870425">
      <w:pPr>
        <w:pStyle w:val="Body"/>
        <w:numPr>
          <w:ilvl w:val="0"/>
          <w:numId w:val="31"/>
        </w:numPr>
      </w:pPr>
      <w:r w:rsidRPr="00FF57E9">
        <w:t xml:space="preserve">Naylor, R. L., Hardy, R. W., Buschmann, A. H., Bush, S. R., Cao, L., Klinger, D. H., Little, D. C., Lubchenco, J., Shumway, S. E., &amp; Troell, M. (2021). A 20-year retrospective review of global aquaculture. Nature, 591(7851), 551–563. </w:t>
      </w:r>
      <w:hyperlink r:id="rId18" w:history="1">
        <w:r w:rsidRPr="00D465BF">
          <w:rPr>
            <w:rStyle w:val="Hyperlink"/>
          </w:rPr>
          <w:t>https://doi.org/10.1038/s41586-021-03308-6</w:t>
        </w:r>
      </w:hyperlink>
    </w:p>
    <w:p w14:paraId="7E5BA0ED" w14:textId="27068650" w:rsidR="00FF57E9" w:rsidRDefault="00FF57E9" w:rsidP="00870425">
      <w:pPr>
        <w:pStyle w:val="Body"/>
        <w:numPr>
          <w:ilvl w:val="0"/>
          <w:numId w:val="31"/>
        </w:numPr>
      </w:pPr>
      <w:r w:rsidRPr="00FF57E9">
        <w:t xml:space="preserve">Jayasankar, P. (2018). Present status of freshwater aquaculture in India – A review. Indian Journal of Fisheries, 65(4), 157–165. </w:t>
      </w:r>
      <w:hyperlink r:id="rId19" w:history="1">
        <w:r w:rsidRPr="00D465BF">
          <w:rPr>
            <w:rStyle w:val="Hyperlink"/>
          </w:rPr>
          <w:t>https://doi.org/10.21077/ijf.2018.65.4.81300-20</w:t>
        </w:r>
      </w:hyperlink>
    </w:p>
    <w:p w14:paraId="6DB19C95" w14:textId="1F5CFA0A" w:rsidR="00FF57E9" w:rsidRDefault="00FF57E9" w:rsidP="00870425">
      <w:pPr>
        <w:pStyle w:val="Body"/>
        <w:numPr>
          <w:ilvl w:val="0"/>
          <w:numId w:val="31"/>
        </w:numPr>
      </w:pPr>
      <w:r w:rsidRPr="00FF57E9">
        <w:lastRenderedPageBreak/>
        <w:t xml:space="preserve">FAO. (2020). The State of World Fisheries and Aquaculture 2020: Sustainability in action. Rome: Food and Agriculture Organization of the United Nations. </w:t>
      </w:r>
      <w:hyperlink r:id="rId20" w:history="1">
        <w:r w:rsidRPr="00D465BF">
          <w:rPr>
            <w:rStyle w:val="Hyperlink"/>
          </w:rPr>
          <w:t>https://doi.org/10.4060/ca9229en</w:t>
        </w:r>
      </w:hyperlink>
    </w:p>
    <w:p w14:paraId="20CFB771" w14:textId="3E5FA13B" w:rsidR="00FF57E9" w:rsidRDefault="00FF57E9" w:rsidP="00870425">
      <w:pPr>
        <w:pStyle w:val="Body"/>
        <w:numPr>
          <w:ilvl w:val="0"/>
          <w:numId w:val="31"/>
        </w:numPr>
      </w:pPr>
      <w:r w:rsidRPr="00FF57E9">
        <w:t xml:space="preserve">Nissa, M. U., Reddy, P. J., Pinto, N., Sun, Z., Ghosh, B., Moritz, R. L., et al. (2022). The Peptide Atlas of </w:t>
      </w:r>
      <w:proofErr w:type="spellStart"/>
      <w:r w:rsidRPr="00FF57E9">
        <w:t>Labeo</w:t>
      </w:r>
      <w:proofErr w:type="spellEnd"/>
      <w:r w:rsidRPr="00FF57E9">
        <w:t xml:space="preserve"> </w:t>
      </w:r>
      <w:proofErr w:type="spellStart"/>
      <w:r w:rsidRPr="00FF57E9">
        <w:t>rohita</w:t>
      </w:r>
      <w:proofErr w:type="spellEnd"/>
      <w:r w:rsidRPr="00FF57E9">
        <w:t xml:space="preserve">: A resource for the aquaculture community. Scientific Data. </w:t>
      </w:r>
      <w:hyperlink r:id="rId21" w:history="1">
        <w:r w:rsidRPr="00D465BF">
          <w:rPr>
            <w:rStyle w:val="Hyperlink"/>
          </w:rPr>
          <w:t>https://doi.org/10.1038/s41597-022-01322-6</w:t>
        </w:r>
      </w:hyperlink>
    </w:p>
    <w:p w14:paraId="35DD136A" w14:textId="39A3ED70" w:rsidR="00FF57E9" w:rsidRDefault="00FF57E9" w:rsidP="00870425">
      <w:pPr>
        <w:pStyle w:val="Body"/>
        <w:numPr>
          <w:ilvl w:val="0"/>
          <w:numId w:val="31"/>
        </w:numPr>
      </w:pPr>
      <w:r w:rsidRPr="00FF57E9">
        <w:t xml:space="preserve">Pereira, R., Valente, L. M. P., Sousa-Pinto, I., &amp; Rema, P. (2012). Apparent digestibility of nutrients from seaweed in rainbow trout (Oncorhynchus mykiss) and Nile tilapia (Oreochromis niloticus). Algal Research, 1, 77–82. </w:t>
      </w:r>
      <w:hyperlink r:id="rId22" w:history="1">
        <w:r w:rsidRPr="00D465BF">
          <w:rPr>
            <w:rStyle w:val="Hyperlink"/>
          </w:rPr>
          <w:t>https://doi.org/10.1016/j.algal.2012.04.002</w:t>
        </w:r>
      </w:hyperlink>
    </w:p>
    <w:p w14:paraId="4C01CA80" w14:textId="184862FE" w:rsidR="00FF57E9" w:rsidRDefault="00FF57E9" w:rsidP="00870425">
      <w:pPr>
        <w:pStyle w:val="Body"/>
        <w:numPr>
          <w:ilvl w:val="0"/>
          <w:numId w:val="31"/>
        </w:numPr>
      </w:pPr>
      <w:r w:rsidRPr="00FF57E9">
        <w:t xml:space="preserve">Hardy, R. W. (2010). Utilization of plant proteins in fish diets: Effects of global demand and supplies of fishmeal. Aquaculture Research, 41, 770–776. </w:t>
      </w:r>
      <w:hyperlink r:id="rId23" w:history="1">
        <w:r w:rsidRPr="00D465BF">
          <w:rPr>
            <w:rStyle w:val="Hyperlink"/>
          </w:rPr>
          <w:t>https://doi.org/10.1111/j.1365-2109.2009.02349.x</w:t>
        </w:r>
      </w:hyperlink>
    </w:p>
    <w:p w14:paraId="15FA0659" w14:textId="31D9137A" w:rsidR="00FF57E9" w:rsidRPr="00FF57E9" w:rsidRDefault="00FF57E9" w:rsidP="00870425">
      <w:pPr>
        <w:pStyle w:val="Body"/>
        <w:numPr>
          <w:ilvl w:val="0"/>
          <w:numId w:val="31"/>
        </w:numPr>
      </w:pPr>
      <w:r w:rsidRPr="00FF57E9">
        <w:rPr>
          <w:lang w:val="de-DE"/>
        </w:rPr>
        <w:t xml:space="preserve">Ilias, N. N., Jamal, P., Jaswir, I., Sulaiman, S., Zainudin, Z., &amp; Azmi, A. S. (2015). Potentiality of selected seaweed for the production of nutritious fish feed using solid-state fermentation. Journal of Engineering Science and Technology, 3, 30–40. </w:t>
      </w:r>
      <w:r>
        <w:rPr>
          <w:lang w:val="de-DE"/>
        </w:rPr>
        <w:fldChar w:fldCharType="begin"/>
      </w:r>
      <w:r>
        <w:rPr>
          <w:lang w:val="de-DE"/>
        </w:rPr>
        <w:instrText>HYPERLINK "</w:instrText>
      </w:r>
      <w:r w:rsidRPr="00FF57E9">
        <w:rPr>
          <w:lang w:val="de-DE"/>
        </w:rPr>
        <w:instrText>http://jestec.taylors.edu.my/Special%20Issue%203_SOMCHE%202014%20&amp;%20RSCE%202014%20Conference,%20January%20(2015)%2030%20-%2040.pdf</w:instrText>
      </w:r>
      <w:r>
        <w:rPr>
          <w:lang w:val="de-DE"/>
        </w:rPr>
        <w:instrText>"</w:instrText>
      </w:r>
      <w:r>
        <w:rPr>
          <w:lang w:val="de-DE"/>
        </w:rPr>
        <w:fldChar w:fldCharType="separate"/>
      </w:r>
      <w:r w:rsidRPr="00D465BF">
        <w:rPr>
          <w:rStyle w:val="Hyperlink"/>
          <w:lang w:val="de-DE"/>
        </w:rPr>
        <w:t>http://jestec.taylors.edu.my/Special%20Issue%203_SOMCHE%202014%20&amp;%20RSCE%202014%20Conference,%20January%20(2015)%2030%20-%2040.pdf</w:t>
      </w:r>
      <w:r>
        <w:rPr>
          <w:lang w:val="de-DE"/>
        </w:rPr>
        <w:fldChar w:fldCharType="end"/>
      </w:r>
    </w:p>
    <w:p w14:paraId="33E952AF" w14:textId="1984138B" w:rsidR="00FF57E9" w:rsidRDefault="00FF57E9" w:rsidP="00870425">
      <w:pPr>
        <w:pStyle w:val="Body"/>
        <w:numPr>
          <w:ilvl w:val="0"/>
          <w:numId w:val="31"/>
        </w:numPr>
      </w:pPr>
      <w:r w:rsidRPr="00FF57E9">
        <w:t xml:space="preserve">Shields, R. J., &amp; </w:t>
      </w:r>
      <w:proofErr w:type="spellStart"/>
      <w:r w:rsidRPr="00FF57E9">
        <w:t>Lupatsch</w:t>
      </w:r>
      <w:proofErr w:type="spellEnd"/>
      <w:r w:rsidRPr="00FF57E9">
        <w:t xml:space="preserve">, I. (2012). Algae for aquaculture and animal feeds. In C. Posten &amp; C. Walter (Eds.), Microalgal Biotechnology: Integration and Economy (pp. 79–100). De Gruyter. </w:t>
      </w:r>
      <w:hyperlink r:id="rId24" w:history="1">
        <w:r w:rsidRPr="00D465BF">
          <w:rPr>
            <w:rStyle w:val="Hyperlink"/>
          </w:rPr>
          <w:t>https://doi.org/10.1515/9783110298321.79</w:t>
        </w:r>
      </w:hyperlink>
    </w:p>
    <w:p w14:paraId="7713DAEB" w14:textId="14C4C6C8" w:rsidR="00FF57E9" w:rsidRDefault="00FF57E9" w:rsidP="00870425">
      <w:pPr>
        <w:pStyle w:val="Body"/>
        <w:numPr>
          <w:ilvl w:val="0"/>
          <w:numId w:val="31"/>
        </w:numPr>
      </w:pPr>
      <w:r w:rsidRPr="00FF57E9">
        <w:t xml:space="preserve">Zemke-White, W. L., &amp; Ohno, M. (1999). World seaweed </w:t>
      </w:r>
      <w:proofErr w:type="spellStart"/>
      <w:r w:rsidRPr="00FF57E9">
        <w:t>utilisation</w:t>
      </w:r>
      <w:proofErr w:type="spellEnd"/>
      <w:r w:rsidRPr="00FF57E9">
        <w:t xml:space="preserve">: An end-of-century summary. Journal of Applied Phycology, 11, 369–376. </w:t>
      </w:r>
      <w:hyperlink r:id="rId25" w:history="1">
        <w:r w:rsidRPr="00D465BF">
          <w:rPr>
            <w:rStyle w:val="Hyperlink"/>
          </w:rPr>
          <w:t>https://doi.org/10.1023/A:1008197610793</w:t>
        </w:r>
      </w:hyperlink>
    </w:p>
    <w:p w14:paraId="2B33F64D" w14:textId="13CB9CFB" w:rsidR="00FF57E9" w:rsidRPr="00FF57E9" w:rsidRDefault="00FF57E9" w:rsidP="00870425">
      <w:pPr>
        <w:pStyle w:val="Body"/>
        <w:numPr>
          <w:ilvl w:val="0"/>
          <w:numId w:val="31"/>
        </w:numPr>
      </w:pPr>
      <w:r w:rsidRPr="00FF57E9">
        <w:rPr>
          <w:lang w:val="de-DE"/>
        </w:rPr>
        <w:t xml:space="preserve">Wikfors, G. H., &amp; Ohno, M. (2001). Impact of algae research in aquaculture. Journal of Phycology, 37, 968–974. </w:t>
      </w:r>
      <w:r>
        <w:rPr>
          <w:lang w:val="de-DE"/>
        </w:rPr>
        <w:fldChar w:fldCharType="begin"/>
      </w:r>
      <w:r>
        <w:rPr>
          <w:lang w:val="de-DE"/>
        </w:rPr>
        <w:instrText>HYPERLINK "</w:instrText>
      </w:r>
      <w:r w:rsidRPr="00FF57E9">
        <w:rPr>
          <w:lang w:val="de-DE"/>
        </w:rPr>
        <w:instrText>https://doi.org/10.1111/j.1529-8817.2001.tb09049.x</w:instrText>
      </w:r>
      <w:r>
        <w:rPr>
          <w:lang w:val="de-DE"/>
        </w:rPr>
        <w:instrText>"</w:instrText>
      </w:r>
      <w:r>
        <w:rPr>
          <w:lang w:val="de-DE"/>
        </w:rPr>
        <w:fldChar w:fldCharType="separate"/>
      </w:r>
      <w:r w:rsidRPr="00D465BF">
        <w:rPr>
          <w:rStyle w:val="Hyperlink"/>
          <w:lang w:val="de-DE"/>
        </w:rPr>
        <w:t>https://doi.org/10.1111/j.1529-8817.2001.tb09049.x</w:t>
      </w:r>
      <w:r>
        <w:rPr>
          <w:lang w:val="de-DE"/>
        </w:rPr>
        <w:fldChar w:fldCharType="end"/>
      </w:r>
    </w:p>
    <w:p w14:paraId="77A35F5C" w14:textId="54ADD0E6" w:rsidR="00870425" w:rsidRDefault="00870425" w:rsidP="00870425">
      <w:pPr>
        <w:pStyle w:val="Body"/>
        <w:numPr>
          <w:ilvl w:val="0"/>
          <w:numId w:val="31"/>
        </w:numPr>
      </w:pPr>
      <w:r>
        <w:t xml:space="preserve">Nakagawa, H. (1985). Usefulness of Chlorella extract for improvement of the physiological condition of cultured </w:t>
      </w:r>
      <w:proofErr w:type="spellStart"/>
      <w:r>
        <w:t>ayu</w:t>
      </w:r>
      <w:proofErr w:type="spellEnd"/>
      <w:r>
        <w:t xml:space="preserve"> (</w:t>
      </w:r>
      <w:proofErr w:type="spellStart"/>
      <w:r>
        <w:t>Plecoglossus</w:t>
      </w:r>
      <w:proofErr w:type="spellEnd"/>
      <w:r>
        <w:t xml:space="preserve"> </w:t>
      </w:r>
      <w:proofErr w:type="spellStart"/>
      <w:r>
        <w:t>altivelis</w:t>
      </w:r>
      <w:proofErr w:type="spellEnd"/>
      <w:r>
        <w:t xml:space="preserve">). Tethys, 11, 328–334. </w:t>
      </w:r>
    </w:p>
    <w:p w14:paraId="518E4009" w14:textId="77777777" w:rsidR="00870425" w:rsidRDefault="00870425" w:rsidP="00870425">
      <w:pPr>
        <w:pStyle w:val="Body"/>
        <w:numPr>
          <w:ilvl w:val="0"/>
          <w:numId w:val="31"/>
        </w:numPr>
      </w:pPr>
      <w:r>
        <w:t xml:space="preserve">El-Tawil, N. E. (2010). Effects of green seaweed (Ulva sp.) as feed supplements in red tilapia (Oreochromis sp.) diet on growth performance, feed utilization and body composition. Journal of the Arab Aquaculture Society, 5(2), 179–194. </w:t>
      </w:r>
    </w:p>
    <w:p w14:paraId="4D2DD9E0" w14:textId="0D1B2A36" w:rsidR="00FF57E9" w:rsidRDefault="00FF57E9" w:rsidP="00870425">
      <w:pPr>
        <w:pStyle w:val="Body"/>
        <w:numPr>
          <w:ilvl w:val="0"/>
          <w:numId w:val="31"/>
        </w:numPr>
      </w:pPr>
      <w:proofErr w:type="spellStart"/>
      <w:r w:rsidRPr="00FF57E9">
        <w:t>Kotiya</w:t>
      </w:r>
      <w:proofErr w:type="spellEnd"/>
      <w:r w:rsidRPr="00FF57E9">
        <w:t xml:space="preserve">, A. S., Gunalan, B., Solanki, J. B., </w:t>
      </w:r>
      <w:proofErr w:type="spellStart"/>
      <w:r w:rsidRPr="00FF57E9">
        <w:t>Jetani</w:t>
      </w:r>
      <w:proofErr w:type="spellEnd"/>
      <w:r w:rsidRPr="00FF57E9">
        <w:t xml:space="preserve">, K. L., &amp; Ramchandran, K. (2011). Comparison of Penaeus monodon (Crustacea, </w:t>
      </w:r>
      <w:proofErr w:type="spellStart"/>
      <w:r w:rsidRPr="00FF57E9">
        <w:t>Penaeidae</w:t>
      </w:r>
      <w:proofErr w:type="spellEnd"/>
      <w:r w:rsidRPr="00FF57E9">
        <w:t xml:space="preserve">) growth between commercial feed vs commercial shrimp feed supplemented with </w:t>
      </w:r>
      <w:proofErr w:type="spellStart"/>
      <w:r w:rsidRPr="00FF57E9">
        <w:t>Kappaphycus</w:t>
      </w:r>
      <w:proofErr w:type="spellEnd"/>
      <w:r w:rsidRPr="00FF57E9">
        <w:t xml:space="preserve"> </w:t>
      </w:r>
      <w:proofErr w:type="spellStart"/>
      <w:r w:rsidRPr="00FF57E9">
        <w:t>alvarezii</w:t>
      </w:r>
      <w:proofErr w:type="spellEnd"/>
      <w:r w:rsidRPr="00FF57E9">
        <w:t xml:space="preserve"> (Rhodophyta, </w:t>
      </w:r>
      <w:proofErr w:type="spellStart"/>
      <w:r w:rsidRPr="00FF57E9">
        <w:t>Solieriaceae</w:t>
      </w:r>
      <w:proofErr w:type="spellEnd"/>
      <w:r w:rsidRPr="00FF57E9">
        <w:t xml:space="preserve">) seaweed sap. AACL </w:t>
      </w:r>
      <w:proofErr w:type="spellStart"/>
      <w:r w:rsidRPr="00FF57E9">
        <w:t>Bioflux</w:t>
      </w:r>
      <w:proofErr w:type="spellEnd"/>
      <w:r w:rsidRPr="00FF57E9">
        <w:t xml:space="preserve">, 4(3), 292–300. </w:t>
      </w:r>
      <w:hyperlink r:id="rId26" w:history="1">
        <w:r w:rsidRPr="00D465BF">
          <w:rPr>
            <w:rStyle w:val="Hyperlink"/>
          </w:rPr>
          <w:t>http://www.bioflux.com.ro/aacl/volume-4-issue-3-2011/</w:t>
        </w:r>
      </w:hyperlink>
    </w:p>
    <w:p w14:paraId="5A4E38BD" w14:textId="60EF08B4" w:rsidR="00870425" w:rsidRDefault="00870425" w:rsidP="00870425">
      <w:pPr>
        <w:pStyle w:val="Body"/>
        <w:numPr>
          <w:ilvl w:val="0"/>
          <w:numId w:val="31"/>
        </w:numPr>
      </w:pPr>
      <w:r>
        <w:t xml:space="preserve">Singh, V. (2014). Effect of </w:t>
      </w:r>
      <w:proofErr w:type="spellStart"/>
      <w:r>
        <w:t>Gracillaria</w:t>
      </w:r>
      <w:proofErr w:type="spellEnd"/>
      <w:r>
        <w:t xml:space="preserve"> sap supplementation on growth, proximate composition and </w:t>
      </w:r>
      <w:proofErr w:type="spellStart"/>
      <w:r>
        <w:t>haematological</w:t>
      </w:r>
      <w:proofErr w:type="spellEnd"/>
      <w:r>
        <w:t xml:space="preserve"> parameters of </w:t>
      </w:r>
      <w:proofErr w:type="spellStart"/>
      <w:r>
        <w:t>Labeo</w:t>
      </w:r>
      <w:proofErr w:type="spellEnd"/>
      <w:r>
        <w:t xml:space="preserve"> </w:t>
      </w:r>
      <w:proofErr w:type="spellStart"/>
      <w:r>
        <w:t>rohita</w:t>
      </w:r>
      <w:proofErr w:type="spellEnd"/>
      <w:r>
        <w:t xml:space="preserve"> (</w:t>
      </w:r>
      <w:proofErr w:type="spellStart"/>
      <w:r>
        <w:t>M.F.Sc</w:t>
      </w:r>
      <w:proofErr w:type="spellEnd"/>
      <w:r>
        <w:t xml:space="preserve">. Thesis). Maharana Pratap University of Agriculture and Technology, Udaipur, India. </w:t>
      </w:r>
    </w:p>
    <w:p w14:paraId="2FB5B3F2" w14:textId="71C27F2C" w:rsidR="00FF57E9" w:rsidRDefault="00FF57E9" w:rsidP="00870425">
      <w:pPr>
        <w:pStyle w:val="Body"/>
        <w:numPr>
          <w:ilvl w:val="0"/>
          <w:numId w:val="31"/>
        </w:numPr>
      </w:pPr>
      <w:r w:rsidRPr="00FF57E9">
        <w:lastRenderedPageBreak/>
        <w:t xml:space="preserve">CMFRI. (2024). Marine fish landings in India 2023 (CMFRI Booklet Series No. 33/2024). Kochi: ICAR–Central Marine Fisheries Research Institute. </w:t>
      </w:r>
      <w:hyperlink r:id="rId27" w:history="1">
        <w:r w:rsidRPr="00D465BF">
          <w:rPr>
            <w:rStyle w:val="Hyperlink"/>
          </w:rPr>
          <w:t>https://eprints.cmfri.org.in/id/eprint/17000/</w:t>
        </w:r>
      </w:hyperlink>
    </w:p>
    <w:p w14:paraId="3D322764" w14:textId="0CB63987" w:rsidR="00FF57E9" w:rsidRDefault="00FF57E9" w:rsidP="00870425">
      <w:pPr>
        <w:pStyle w:val="Body"/>
        <w:numPr>
          <w:ilvl w:val="0"/>
          <w:numId w:val="31"/>
        </w:numPr>
      </w:pPr>
      <w:r w:rsidRPr="00FF57E9">
        <w:t xml:space="preserve">Sharma, A., Dubey, S., Singh, K., Mittal, R., Quille, P., &amp; </w:t>
      </w:r>
      <w:proofErr w:type="spellStart"/>
      <w:r w:rsidRPr="00FF57E9">
        <w:t>Rajauria</w:t>
      </w:r>
      <w:proofErr w:type="spellEnd"/>
      <w:r w:rsidRPr="00FF57E9">
        <w:t xml:space="preserve">, G. (2025). Innovative Processing and Industrial Applications of Seaweed. Phycology, 5(1), 10. </w:t>
      </w:r>
      <w:hyperlink r:id="rId28" w:history="1">
        <w:r w:rsidRPr="00D465BF">
          <w:rPr>
            <w:rStyle w:val="Hyperlink"/>
          </w:rPr>
          <w:t>https://doi.org/10.3390/phycology5010010</w:t>
        </w:r>
      </w:hyperlink>
    </w:p>
    <w:p w14:paraId="510DA85B" w14:textId="23B7193B" w:rsidR="00FF57E9" w:rsidRDefault="00FF57E9" w:rsidP="00870425">
      <w:pPr>
        <w:pStyle w:val="Body"/>
        <w:numPr>
          <w:ilvl w:val="0"/>
          <w:numId w:val="31"/>
        </w:numPr>
      </w:pPr>
      <w:r w:rsidRPr="00FF57E9">
        <w:t xml:space="preserve">American Public Health Association, American Water Works Association, &amp; Water Environment Federation. (2005). Standard methods for the examination of water and wastewater (21st ed.). </w:t>
      </w:r>
      <w:hyperlink r:id="rId29" w:history="1">
        <w:r w:rsidRPr="00D465BF">
          <w:rPr>
            <w:rStyle w:val="Hyperlink"/>
          </w:rPr>
          <w:t>https://www.standardmethods.org/</w:t>
        </w:r>
      </w:hyperlink>
      <w:r>
        <w:t>.</w:t>
      </w:r>
    </w:p>
    <w:p w14:paraId="13160A46" w14:textId="3A538A14" w:rsidR="00FF57E9" w:rsidRPr="00FF57E9" w:rsidRDefault="00FF57E9" w:rsidP="00870425">
      <w:pPr>
        <w:pStyle w:val="Body"/>
        <w:numPr>
          <w:ilvl w:val="0"/>
          <w:numId w:val="31"/>
        </w:numPr>
      </w:pPr>
      <w:r w:rsidRPr="00FF57E9">
        <w:rPr>
          <w:lang w:val="de-DE"/>
        </w:rPr>
        <w:t xml:space="preserve">Amirkolaie, A. K., Leenhouwers, J. I., Verreth, J. A. J., &amp; Schrama, J. W. (2005). Type of dietary fibre (soluble versus insoluble) influences digestion, faeces characteristics and faecal waste production in Nile tilapia (Oreochromis niloticus L.). Aquaculture Research, 36, 1157–1166. </w:t>
      </w:r>
      <w:r>
        <w:rPr>
          <w:lang w:val="de-DE"/>
        </w:rPr>
        <w:fldChar w:fldCharType="begin"/>
      </w:r>
      <w:r>
        <w:rPr>
          <w:lang w:val="de-DE"/>
        </w:rPr>
        <w:instrText>HYPERLINK "</w:instrText>
      </w:r>
      <w:r w:rsidRPr="00FF57E9">
        <w:rPr>
          <w:lang w:val="de-DE"/>
        </w:rPr>
        <w:instrText>https://doi.org/10.1111/j.1365-2109.2005.01330.x</w:instrText>
      </w:r>
      <w:r>
        <w:rPr>
          <w:lang w:val="de-DE"/>
        </w:rPr>
        <w:instrText>"</w:instrText>
      </w:r>
      <w:r>
        <w:rPr>
          <w:lang w:val="de-DE"/>
        </w:rPr>
        <w:fldChar w:fldCharType="separate"/>
      </w:r>
      <w:r w:rsidRPr="00D465BF">
        <w:rPr>
          <w:rStyle w:val="Hyperlink"/>
          <w:lang w:val="de-DE"/>
        </w:rPr>
        <w:t>https://doi.org/10.1111/j.1365-2109.2005.01330.x</w:t>
      </w:r>
      <w:r>
        <w:rPr>
          <w:lang w:val="de-DE"/>
        </w:rPr>
        <w:fldChar w:fldCharType="end"/>
      </w:r>
    </w:p>
    <w:p w14:paraId="1B0CC196" w14:textId="505D9CE8" w:rsidR="00FF57E9" w:rsidRPr="00FF57E9" w:rsidRDefault="00FF57E9" w:rsidP="00870425">
      <w:pPr>
        <w:pStyle w:val="Body"/>
        <w:numPr>
          <w:ilvl w:val="0"/>
          <w:numId w:val="31"/>
        </w:numPr>
        <w:spacing w:after="0"/>
        <w:rPr>
          <w:rFonts w:ascii="Arial" w:hAnsi="Arial" w:cs="Arial"/>
        </w:rPr>
      </w:pPr>
      <w:proofErr w:type="spellStart"/>
      <w:r w:rsidRPr="00FF57E9">
        <w:t>Storebakken</w:t>
      </w:r>
      <w:proofErr w:type="spellEnd"/>
      <w:r w:rsidRPr="00FF57E9">
        <w:t xml:space="preserve">, T. (1985). Binders in fish feeds: I. Effect of alginate and guar gum on growth, digestibility, feed intake and passage through the gastrointestinal tract of rainbow trout. Aquaculture, 47(1), 11–26. </w:t>
      </w:r>
      <w:hyperlink r:id="rId30" w:history="1">
        <w:r w:rsidRPr="00D465BF">
          <w:rPr>
            <w:rStyle w:val="Hyperlink"/>
          </w:rPr>
          <w:t>https://doi.org/10.1016/0044-8486(85)90004-3</w:t>
        </w:r>
      </w:hyperlink>
    </w:p>
    <w:p w14:paraId="1AE8D3F1" w14:textId="20CD8EB4" w:rsidR="00B01FCD" w:rsidRPr="00FF57E9" w:rsidRDefault="00FF57E9" w:rsidP="00FF57E9">
      <w:pPr>
        <w:pStyle w:val="Body"/>
        <w:numPr>
          <w:ilvl w:val="0"/>
          <w:numId w:val="31"/>
        </w:numPr>
        <w:spacing w:after="0"/>
        <w:rPr>
          <w:rFonts w:ascii="Arial" w:hAnsi="Arial" w:cs="Arial"/>
        </w:rPr>
      </w:pPr>
      <w:proofErr w:type="spellStart"/>
      <w:r w:rsidRPr="00FF57E9">
        <w:t>Shapawi</w:t>
      </w:r>
      <w:proofErr w:type="spellEnd"/>
      <w:r w:rsidRPr="00FF57E9">
        <w:t xml:space="preserve">, R., </w:t>
      </w:r>
      <w:proofErr w:type="spellStart"/>
      <w:r w:rsidRPr="00FF57E9">
        <w:t>Safiin</w:t>
      </w:r>
      <w:proofErr w:type="spellEnd"/>
      <w:r w:rsidRPr="00FF57E9">
        <w:t xml:space="preserve">, N. S. Z., &amp; </w:t>
      </w:r>
      <w:proofErr w:type="spellStart"/>
      <w:r w:rsidRPr="00FF57E9">
        <w:t>Senoo</w:t>
      </w:r>
      <w:proofErr w:type="spellEnd"/>
      <w:r w:rsidRPr="00FF57E9">
        <w:t xml:space="preserve">, S. (2015). Improving dietary red seaweed </w:t>
      </w:r>
      <w:proofErr w:type="spellStart"/>
      <w:r w:rsidRPr="00FF57E9">
        <w:t>Kappaphycus</w:t>
      </w:r>
      <w:proofErr w:type="spellEnd"/>
      <w:r w:rsidRPr="00FF57E9">
        <w:t xml:space="preserve"> </w:t>
      </w:r>
      <w:proofErr w:type="spellStart"/>
      <w:r w:rsidRPr="00FF57E9">
        <w:t>alvarezii</w:t>
      </w:r>
      <w:proofErr w:type="spellEnd"/>
      <w:r w:rsidRPr="00FF57E9">
        <w:t xml:space="preserve"> (Doty) Doty ex. P. Silva meal utilization in Asian seabass Lates calcarifer. Journal of Applied Phycology, 27, 1681–1688. </w:t>
      </w:r>
      <w:hyperlink r:id="rId31" w:history="1">
        <w:r w:rsidRPr="00D465BF">
          <w:rPr>
            <w:rStyle w:val="Hyperlink"/>
          </w:rPr>
          <w:t>https://doi.org/10.1007/s10811-014-0454-8</w:t>
        </w:r>
      </w:hyperlink>
    </w:p>
    <w:p w14:paraId="71E06496" w14:textId="77777777" w:rsidR="00FF57E9" w:rsidRPr="007E4201" w:rsidRDefault="00FF57E9" w:rsidP="00FF57E9">
      <w:pPr>
        <w:pStyle w:val="Body"/>
        <w:spacing w:after="0"/>
        <w:ind w:left="720"/>
        <w:rPr>
          <w:rFonts w:ascii="Arial" w:hAnsi="Arial" w:cs="Arial"/>
        </w:rPr>
      </w:pPr>
    </w:p>
    <w:sectPr w:rsidR="00FF57E9" w:rsidRPr="007E4201" w:rsidSect="003877C0">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3954" w14:textId="77777777" w:rsidR="00CC300B" w:rsidRDefault="00CC300B" w:rsidP="00C37E61">
      <w:r>
        <w:separator/>
      </w:r>
    </w:p>
  </w:endnote>
  <w:endnote w:type="continuationSeparator" w:id="0">
    <w:p w14:paraId="10694B2F" w14:textId="77777777" w:rsidR="00CC300B" w:rsidRDefault="00CC30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18D2" w14:textId="77777777" w:rsidR="003877C0" w:rsidRDefault="00387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AD1A" w14:textId="77777777" w:rsidR="003877C0" w:rsidRDefault="00387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A52D1" w14:textId="3C609774" w:rsidR="00754C9A" w:rsidRPr="00B205AF" w:rsidRDefault="00754C9A" w:rsidP="00B205A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CF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491FF" w14:textId="77777777" w:rsidR="00CC300B" w:rsidRDefault="00CC300B" w:rsidP="00C37E61">
      <w:r>
        <w:separator/>
      </w:r>
    </w:p>
  </w:footnote>
  <w:footnote w:type="continuationSeparator" w:id="0">
    <w:p w14:paraId="29615C66" w14:textId="77777777" w:rsidR="00CC300B" w:rsidRDefault="00CC30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098F" w14:textId="1C7D747A" w:rsidR="003877C0" w:rsidRDefault="003877C0">
    <w:pPr>
      <w:pStyle w:val="Header"/>
    </w:pPr>
    <w:r>
      <w:rPr>
        <w:noProof/>
      </w:rPr>
      <w:pict w14:anchorId="0B6AD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692B" w14:textId="237DFC65" w:rsidR="003877C0" w:rsidRDefault="003877C0">
    <w:pPr>
      <w:pStyle w:val="Header"/>
    </w:pPr>
    <w:r>
      <w:rPr>
        <w:noProof/>
      </w:rPr>
      <w:pict w14:anchorId="7AE44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8D80" w14:textId="675341F0" w:rsidR="00296529" w:rsidRPr="00296529" w:rsidRDefault="003877C0" w:rsidP="00296529">
    <w:pPr>
      <w:ind w:left="2160"/>
      <w:jc w:val="center"/>
      <w:rPr>
        <w:rFonts w:ascii="Times New Roman" w:eastAsia="Calibri" w:hAnsi="Times New Roman"/>
        <w:i/>
        <w:sz w:val="18"/>
        <w:szCs w:val="22"/>
      </w:rPr>
    </w:pPr>
    <w:r>
      <w:rPr>
        <w:noProof/>
      </w:rPr>
      <w:pict w14:anchorId="3CC83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1A3D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BC9E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1DD0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D637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6E6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A684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2671" w14:textId="69E53D5F" w:rsidR="003877C0" w:rsidRDefault="003877C0">
    <w:pPr>
      <w:pStyle w:val="Header"/>
    </w:pPr>
    <w:r>
      <w:rPr>
        <w:noProof/>
      </w:rPr>
      <w:pict w14:anchorId="0249F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73EF" w14:textId="5F44CADF" w:rsidR="003877C0" w:rsidRDefault="003877C0">
    <w:pPr>
      <w:pStyle w:val="Header"/>
    </w:pPr>
    <w:r>
      <w:rPr>
        <w:noProof/>
      </w:rPr>
      <w:pict w14:anchorId="2BC92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6844" w14:textId="06F306C0" w:rsidR="003877C0" w:rsidRDefault="003877C0">
    <w:pPr>
      <w:pStyle w:val="Header"/>
    </w:pPr>
    <w:r>
      <w:rPr>
        <w:noProof/>
      </w:rPr>
      <w:pict w14:anchorId="64861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524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155CD"/>
    <w:multiLevelType w:val="hybridMultilevel"/>
    <w:tmpl w:val="D3C02B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0263"/>
    <w:rsid w:val="00103357"/>
    <w:rsid w:val="00123C9F"/>
    <w:rsid w:val="00126190"/>
    <w:rsid w:val="00130F17"/>
    <w:rsid w:val="001320BF"/>
    <w:rsid w:val="00163BC4"/>
    <w:rsid w:val="00191062"/>
    <w:rsid w:val="00192B72"/>
    <w:rsid w:val="00195BFF"/>
    <w:rsid w:val="001A29D8"/>
    <w:rsid w:val="001A5CAA"/>
    <w:rsid w:val="001B0427"/>
    <w:rsid w:val="001D3A51"/>
    <w:rsid w:val="001E10D2"/>
    <w:rsid w:val="001E25B4"/>
    <w:rsid w:val="001E44FE"/>
    <w:rsid w:val="001E50FA"/>
    <w:rsid w:val="00200595"/>
    <w:rsid w:val="00204835"/>
    <w:rsid w:val="00231920"/>
    <w:rsid w:val="0023195C"/>
    <w:rsid w:val="0024282C"/>
    <w:rsid w:val="002460DC"/>
    <w:rsid w:val="00250985"/>
    <w:rsid w:val="002556F6"/>
    <w:rsid w:val="002576C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7C0"/>
    <w:rsid w:val="00390D64"/>
    <w:rsid w:val="0039224F"/>
    <w:rsid w:val="003A43A4"/>
    <w:rsid w:val="003A7E18"/>
    <w:rsid w:val="003C43B2"/>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6AD"/>
    <w:rsid w:val="006D30FF"/>
    <w:rsid w:val="006D6940"/>
    <w:rsid w:val="006F11EC"/>
    <w:rsid w:val="0070082C"/>
    <w:rsid w:val="007369E6"/>
    <w:rsid w:val="00746E59"/>
    <w:rsid w:val="00754C9A"/>
    <w:rsid w:val="0075599A"/>
    <w:rsid w:val="00761D52"/>
    <w:rsid w:val="0077749E"/>
    <w:rsid w:val="00790ADA"/>
    <w:rsid w:val="007D2288"/>
    <w:rsid w:val="007E088F"/>
    <w:rsid w:val="007E4201"/>
    <w:rsid w:val="007F7B32"/>
    <w:rsid w:val="00804BC2"/>
    <w:rsid w:val="008106EC"/>
    <w:rsid w:val="0081431A"/>
    <w:rsid w:val="0083216F"/>
    <w:rsid w:val="00860000"/>
    <w:rsid w:val="00863BD3"/>
    <w:rsid w:val="008641ED"/>
    <w:rsid w:val="00866D66"/>
    <w:rsid w:val="008671C6"/>
    <w:rsid w:val="00870425"/>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E3B"/>
    <w:rsid w:val="00AA6219"/>
    <w:rsid w:val="00AA74E0"/>
    <w:rsid w:val="00AB703F"/>
    <w:rsid w:val="00AC6BB8"/>
    <w:rsid w:val="00AE008F"/>
    <w:rsid w:val="00B01FCD"/>
    <w:rsid w:val="00B1776C"/>
    <w:rsid w:val="00B205AF"/>
    <w:rsid w:val="00B52583"/>
    <w:rsid w:val="00B52896"/>
    <w:rsid w:val="00B61AFF"/>
    <w:rsid w:val="00B7168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1E43"/>
    <w:rsid w:val="00C85588"/>
    <w:rsid w:val="00CC300B"/>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2B7A"/>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2ED0"/>
    <w:rsid w:val="00FB3A86"/>
    <w:rsid w:val="00FD36C8"/>
    <w:rsid w:val="00FF57E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D6D7F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95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38/s41586-021-03308-6" TargetMode="External"/><Relationship Id="rId26" Type="http://schemas.openxmlformats.org/officeDocument/2006/relationships/hyperlink" Target="http://www.bioflux.com.ro/aacl/volume-4-issue-3-2011/" TargetMode="External"/><Relationship Id="rId21" Type="http://schemas.openxmlformats.org/officeDocument/2006/relationships/hyperlink" Target="https://doi.org/10.1038/s41597-022-01322-6"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060/cc0461en" TargetMode="External"/><Relationship Id="rId25" Type="http://schemas.openxmlformats.org/officeDocument/2006/relationships/hyperlink" Target="https://doi.org/10.1023/A:1008197610793"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4060/cd0683en" TargetMode="External"/><Relationship Id="rId20" Type="http://schemas.openxmlformats.org/officeDocument/2006/relationships/hyperlink" Target="https://doi.org/10.4060/ca9229en" TargetMode="External"/><Relationship Id="rId29" Type="http://schemas.openxmlformats.org/officeDocument/2006/relationships/hyperlink" Target="https://www.standardmethod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15/9783110298321.79"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111/j.1365-2109.2009.02349.x" TargetMode="External"/><Relationship Id="rId28" Type="http://schemas.openxmlformats.org/officeDocument/2006/relationships/hyperlink" Target="https://doi.org/10.3390/phycology501001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1077/ijf.2018.65.4.81300-20" TargetMode="External"/><Relationship Id="rId31" Type="http://schemas.openxmlformats.org/officeDocument/2006/relationships/hyperlink" Target="https://doi.org/10.1007/s10811-014-045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algal.2012.04.002" TargetMode="External"/><Relationship Id="rId27" Type="http://schemas.openxmlformats.org/officeDocument/2006/relationships/hyperlink" Target="https://eprints.cmfri.org.in/id/eprint/17000/" TargetMode="External"/><Relationship Id="rId30" Type="http://schemas.openxmlformats.org/officeDocument/2006/relationships/hyperlink" Target="https://doi.org/10.1016/0044-8486(85)90004-3"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Education\Thesis%20data\charts%20and%20diagrams\pcrp.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Education\Thesis%20data\charts%20and%20diagrams\pcr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Proximate Composition of Experimental diet (Dry weight basis)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316749585406302E-2"/>
          <c:y val="0.34562541384454604"/>
          <c:w val="0.93034825870646765"/>
          <c:h val="0.55557044731110738"/>
        </c:manualLayout>
      </c:layout>
      <c:barChart>
        <c:barDir val="col"/>
        <c:grouping val="clustered"/>
        <c:varyColors val="0"/>
        <c:ser>
          <c:idx val="0"/>
          <c:order val="0"/>
          <c:tx>
            <c:strRef>
              <c:f>Sheet1!$B$3</c:f>
              <c:strCache>
                <c:ptCount val="1"/>
                <c:pt idx="0">
                  <c:v>Moisture</c:v>
                </c:pt>
              </c:strCache>
            </c:strRef>
          </c:tx>
          <c:spPr>
            <a:solidFill>
              <a:schemeClr val="accent1"/>
            </a:solidFill>
            <a:ln>
              <a:noFill/>
            </a:ln>
            <a:effectLst/>
          </c:spPr>
          <c:invertIfNegative val="0"/>
          <c:dLbls>
            <c:dLbl>
              <c:idx val="0"/>
              <c:layout>
                <c:manualLayout>
                  <c:x val="6.1538461538461443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5D9C127D-F6D7-47FE-9A7D-DE0D714EE495}"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n-US"/>
                      <a:t>  </a:t>
                    </a:r>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071-4E33-A147-F57D98AE4B67}"/>
                </c:ext>
              </c:extLst>
            </c:dLbl>
            <c:dLbl>
              <c:idx val="1"/>
              <c:layout>
                <c:manualLayout>
                  <c:x val="8.2051282051282051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4B7D338B-1324-4B01-8A32-E7529F39E832}"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071-4E33-A147-F57D98AE4B67}"/>
                </c:ext>
              </c:extLst>
            </c:dLbl>
            <c:dLbl>
              <c:idx val="2"/>
              <c:layout>
                <c:manualLayout>
                  <c:x val="8.2051282051282051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DFDD535C-B514-4328-9DBB-9711F49E7F43}"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071-4E33-A147-F57D98AE4B67}"/>
                </c:ext>
              </c:extLst>
            </c:dLbl>
            <c:dLbl>
              <c:idx val="3"/>
              <c:layout>
                <c:manualLayout>
                  <c:x val="8.2051282051281305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766C7317-7B8A-4273-B38E-A068FB37280B}"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071-4E33-A147-F57D98AE4B67}"/>
                </c:ext>
              </c:extLst>
            </c:dLbl>
            <c:dLbl>
              <c:idx val="4"/>
              <c:layout>
                <c:manualLayout>
                  <c:x val="8.2051282051280542E-3"/>
                  <c:y val="-1.4859672986868319E-16"/>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19A4FF33-E6F2-4F8F-A0DD-3DA46596F718}"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Sheet1!$B$4:$B$8</c:f>
              <c:numCache>
                <c:formatCode>General</c:formatCode>
                <c:ptCount val="5"/>
                <c:pt idx="0">
                  <c:v>2.6</c:v>
                </c:pt>
                <c:pt idx="1">
                  <c:v>2.6</c:v>
                </c:pt>
                <c:pt idx="2">
                  <c:v>2.2000000000000002</c:v>
                </c:pt>
                <c:pt idx="3">
                  <c:v>3.4</c:v>
                </c:pt>
                <c:pt idx="4">
                  <c:v>4</c:v>
                </c:pt>
              </c:numCache>
            </c:numRef>
          </c:val>
          <c:extLst>
            <c:ext xmlns:c16="http://schemas.microsoft.com/office/drawing/2014/chart" uri="{C3380CC4-5D6E-409C-BE32-E72D297353CC}">
              <c16:uniqueId val="{00000005-8071-4E33-A147-F57D98AE4B67}"/>
            </c:ext>
          </c:extLst>
        </c:ser>
        <c:ser>
          <c:idx val="1"/>
          <c:order val="1"/>
          <c:tx>
            <c:strRef>
              <c:f>Sheet1!$C$3</c:f>
              <c:strCache>
                <c:ptCount val="1"/>
                <c:pt idx="0">
                  <c:v>Ash</c:v>
                </c:pt>
              </c:strCache>
            </c:strRef>
          </c:tx>
          <c:spPr>
            <a:solidFill>
              <a:schemeClr val="accent2"/>
            </a:solidFill>
            <a:ln>
              <a:noFill/>
            </a:ln>
            <a:effectLst/>
          </c:spPr>
          <c:invertIfNegative val="0"/>
          <c:dLbls>
            <c:dLbl>
              <c:idx val="0"/>
              <c:layout>
                <c:manualLayout>
                  <c:x val="1.0256410256410256E-2"/>
                  <c:y val="-1.4859672986868319E-16"/>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0B7A7EF0-84D3-462C-B1AB-C6C1D04E2D42}"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071-4E33-A147-F57D98AE4B67}"/>
                </c:ext>
              </c:extLst>
            </c:dLbl>
            <c:dLbl>
              <c:idx val="1"/>
              <c:layout>
                <c:manualLayout>
                  <c:x val="8.2051282051282051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46B45FFD-9934-453A-87A5-9BAB71CFA77F}"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071-4E33-A147-F57D98AE4B67}"/>
                </c:ext>
              </c:extLst>
            </c:dLbl>
            <c:dLbl>
              <c:idx val="2"/>
              <c:layout>
                <c:manualLayout>
                  <c:x val="6.1538461538461538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C74FC6D5-2590-44EA-A7EC-4FAAF088274E}"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071-4E33-A147-F57D98AE4B67}"/>
                </c:ext>
              </c:extLst>
            </c:dLbl>
            <c:dLbl>
              <c:idx val="3"/>
              <c:layout>
                <c:manualLayout>
                  <c:x val="6.1538461538461538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7093EED1-C55B-4389-975C-BAD5F2593E5F}"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071-4E33-A147-F57D98AE4B67}"/>
                </c:ext>
              </c:extLst>
            </c:dLbl>
            <c:dLbl>
              <c:idx val="4"/>
              <c:layout>
                <c:manualLayout>
                  <c:x val="8.2051282051282051E-3"/>
                  <c:y val="-4.0526849037487338E-3"/>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A8B47CA9-5CCD-413E-A7F5-5A354379C9C0}"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Sheet1!$C$4:$C$8</c:f>
              <c:numCache>
                <c:formatCode>General</c:formatCode>
                <c:ptCount val="5"/>
                <c:pt idx="0">
                  <c:v>8.4</c:v>
                </c:pt>
                <c:pt idx="1">
                  <c:v>8.8000000000000007</c:v>
                </c:pt>
                <c:pt idx="2">
                  <c:v>9.8000000000000007</c:v>
                </c:pt>
                <c:pt idx="3">
                  <c:v>3.8</c:v>
                </c:pt>
                <c:pt idx="4">
                  <c:v>8.8000000000000007</c:v>
                </c:pt>
              </c:numCache>
            </c:numRef>
          </c:val>
          <c:extLst>
            <c:ext xmlns:c16="http://schemas.microsoft.com/office/drawing/2014/chart" uri="{C3380CC4-5D6E-409C-BE32-E72D297353CC}">
              <c16:uniqueId val="{0000000B-8071-4E33-A147-F57D98AE4B67}"/>
            </c:ext>
          </c:extLst>
        </c:ser>
        <c:ser>
          <c:idx val="2"/>
          <c:order val="2"/>
          <c:tx>
            <c:strRef>
              <c:f>Sheet1!$D$3</c:f>
              <c:strCache>
                <c:ptCount val="1"/>
                <c:pt idx="0">
                  <c:v>Fat</c:v>
                </c:pt>
              </c:strCache>
            </c:strRef>
          </c:tx>
          <c:spPr>
            <a:solidFill>
              <a:schemeClr val="accent3"/>
            </a:solidFill>
            <a:ln>
              <a:noFill/>
            </a:ln>
            <a:effectLst/>
          </c:spPr>
          <c:invertIfNegative val="0"/>
          <c:dLbls>
            <c:dLbl>
              <c:idx val="0"/>
              <c:layout>
                <c:manualLayout>
                  <c:x val="1.0256410256410237E-2"/>
                  <c:y val="-7.4298364934341596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D57211C7-A2E4-4CED-84A9-3CB879B1CDB5}"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8071-4E33-A147-F57D98AE4B67}"/>
                </c:ext>
              </c:extLst>
            </c:dLbl>
            <c:dLbl>
              <c:idx val="1"/>
              <c:layout>
                <c:manualLayout>
                  <c:x val="6.1538461538461165E-3"/>
                  <c:y val="-7.4298364934341596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B3292360-2477-4173-A31E-B6B2748BC229}"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071-4E33-A147-F57D98AE4B67}"/>
                </c:ext>
              </c:extLst>
            </c:dLbl>
            <c:dLbl>
              <c:idx val="2"/>
              <c:layout>
                <c:manualLayout>
                  <c:x val="8.2051282051282051E-3"/>
                  <c:y val="7.4298364934341596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0175F738-CB55-4162-9081-01071E0BBBD2}"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8071-4E33-A147-F57D98AE4B67}"/>
                </c:ext>
              </c:extLst>
            </c:dLbl>
            <c:dLbl>
              <c:idx val="3"/>
              <c:layout>
                <c:manualLayout>
                  <c:x val="6.1538461538460784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F540874E-7FC5-4A2D-AE5C-097079A67042}"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071-4E33-A147-F57D98AE4B67}"/>
                </c:ext>
              </c:extLst>
            </c:dLbl>
            <c:dLbl>
              <c:idx val="4"/>
              <c:layout>
                <c:manualLayout>
                  <c:x val="8.2051282051282051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C3CA8E15-7304-4C3D-9184-1BBF60D285CC}"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Sheet1!$D$4:$D$8</c:f>
              <c:numCache>
                <c:formatCode>General</c:formatCode>
                <c:ptCount val="5"/>
                <c:pt idx="0">
                  <c:v>10.53</c:v>
                </c:pt>
                <c:pt idx="1">
                  <c:v>10.33</c:v>
                </c:pt>
                <c:pt idx="2">
                  <c:v>14.34</c:v>
                </c:pt>
                <c:pt idx="3">
                  <c:v>10.4</c:v>
                </c:pt>
                <c:pt idx="4">
                  <c:v>10.93</c:v>
                </c:pt>
              </c:numCache>
            </c:numRef>
          </c:val>
          <c:extLst>
            <c:ext xmlns:c16="http://schemas.microsoft.com/office/drawing/2014/chart" uri="{C3380CC4-5D6E-409C-BE32-E72D297353CC}">
              <c16:uniqueId val="{00000011-8071-4E33-A147-F57D98AE4B67}"/>
            </c:ext>
          </c:extLst>
        </c:ser>
        <c:ser>
          <c:idx val="3"/>
          <c:order val="3"/>
          <c:tx>
            <c:strRef>
              <c:f>Sheet1!$E$3</c:f>
              <c:strCache>
                <c:ptCount val="1"/>
                <c:pt idx="0">
                  <c:v>Protein</c:v>
                </c:pt>
              </c:strCache>
            </c:strRef>
          </c:tx>
          <c:spPr>
            <a:solidFill>
              <a:schemeClr val="accent4"/>
            </a:solidFill>
            <a:ln>
              <a:noFill/>
            </a:ln>
            <a:effectLst/>
          </c:spPr>
          <c:invertIfNegative val="0"/>
          <c:dLbls>
            <c:dLbl>
              <c:idx val="0"/>
              <c:layout>
                <c:manualLayout>
                  <c:x val="8.2051282051282051E-3"/>
                  <c:y val="4.0526849037487338E-3"/>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2490A2B9-5C64-4CDF-94A0-62ABF8735E44}"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8071-4E33-A147-F57D98AE4B67}"/>
                </c:ext>
              </c:extLst>
            </c:dLbl>
            <c:dLbl>
              <c:idx val="1"/>
              <c:layout>
                <c:manualLayout>
                  <c:x val="6.1538461538461165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59D91406-418F-4140-86ED-33F32C5DF1A6}"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8071-4E33-A147-F57D98AE4B67}"/>
                </c:ext>
              </c:extLst>
            </c:dLbl>
            <c:dLbl>
              <c:idx val="2"/>
              <c:layout>
                <c:manualLayout>
                  <c:x val="1.2307692307692233E-2"/>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58312507-780B-4D9D-A9B8-3D5BD2EAB18C}"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8071-4E33-A147-F57D98AE4B67}"/>
                </c:ext>
              </c:extLst>
            </c:dLbl>
            <c:dLbl>
              <c:idx val="3"/>
              <c:layout>
                <c:manualLayout>
                  <c:x val="6.1538461538461538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2D7437C7-10BE-4B76-A1CA-92756B14C9EF}"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8071-4E33-A147-F57D98AE4B67}"/>
                </c:ext>
              </c:extLst>
            </c:dLbl>
            <c:dLbl>
              <c:idx val="4"/>
              <c:layout>
                <c:manualLayout>
                  <c:x val="6.1538461538461538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38ED98E7-EFB6-4A54-8B7A-24FF92DBF614}"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Sheet1!$E$4:$E$8</c:f>
              <c:numCache>
                <c:formatCode>General</c:formatCode>
                <c:ptCount val="5"/>
                <c:pt idx="0">
                  <c:v>42.8</c:v>
                </c:pt>
                <c:pt idx="1">
                  <c:v>38.44</c:v>
                </c:pt>
                <c:pt idx="2">
                  <c:v>42.8</c:v>
                </c:pt>
                <c:pt idx="3">
                  <c:v>42</c:v>
                </c:pt>
                <c:pt idx="4">
                  <c:v>40.4</c:v>
                </c:pt>
              </c:numCache>
            </c:numRef>
          </c:val>
          <c:extLst>
            <c:ext xmlns:c16="http://schemas.microsoft.com/office/drawing/2014/chart" uri="{C3380CC4-5D6E-409C-BE32-E72D297353CC}">
              <c16:uniqueId val="{00000017-8071-4E33-A147-F57D98AE4B67}"/>
            </c:ext>
          </c:extLst>
        </c:ser>
        <c:ser>
          <c:idx val="4"/>
          <c:order val="4"/>
          <c:tx>
            <c:strRef>
              <c:f>Sheet1!$F$3</c:f>
              <c:strCache>
                <c:ptCount val="1"/>
                <c:pt idx="0">
                  <c:v>NFE</c:v>
                </c:pt>
              </c:strCache>
            </c:strRef>
          </c:tx>
          <c:spPr>
            <a:solidFill>
              <a:schemeClr val="accent5"/>
            </a:solidFill>
            <a:ln>
              <a:noFill/>
            </a:ln>
            <a:effectLst/>
          </c:spPr>
          <c:invertIfNegative val="0"/>
          <c:dLbls>
            <c:dLbl>
              <c:idx val="0"/>
              <c:layout>
                <c:manualLayout>
                  <c:x val="1.0256410256410256E-2"/>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E75251F9-A00B-489C-B641-EB3B86A52257}"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8071-4E33-A147-F57D98AE4B67}"/>
                </c:ext>
              </c:extLst>
            </c:dLbl>
            <c:dLbl>
              <c:idx val="1"/>
              <c:layout>
                <c:manualLayout>
                  <c:x val="8.2051282051282051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8DE6D139-8E03-424F-AE70-5C340FE852DF}"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8071-4E33-A147-F57D98AE4B67}"/>
                </c:ext>
              </c:extLst>
            </c:dLbl>
            <c:dLbl>
              <c:idx val="2"/>
              <c:layout>
                <c:manualLayout>
                  <c:x val="8.2051282051281305E-3"/>
                  <c:y val="0"/>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C8619AB8-7D84-4152-A309-2F78D3A1609E}"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8071-4E33-A147-F57D98AE4B67}"/>
                </c:ext>
              </c:extLst>
            </c:dLbl>
            <c:dLbl>
              <c:idx val="3"/>
              <c:layout>
                <c:manualLayout>
                  <c:x val="1.0256410256410256E-2"/>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A841CC05-53CC-49B5-B049-68FE90DE14C9}"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8071-4E33-A147-F57D98AE4B67}"/>
                </c:ext>
              </c:extLst>
            </c:dLbl>
            <c:dLbl>
              <c:idx val="4"/>
              <c:layout>
                <c:manualLayout>
                  <c:x val="8.2051282051282051E-3"/>
                  <c:y val="-3.7149182467170798E-17"/>
                </c:manualLayout>
              </c:layout>
              <c:tx>
                <c:rich>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fld id="{747AB482-04FD-46E3-A5F3-67D624BFE516}" type="VALUE">
                      <a:rPr lang="en-US"/>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t>[VALUE]</a:t>
                    </a:fld>
                    <a:r>
                      <a:rPr lang="en-US"/>
                      <a:t> </a:t>
                    </a:r>
                    <a:r>
                      <a:rPr lang="en-US" sz="800" b="0" i="0" u="none" strike="noStrike" kern="1200" baseline="0">
                        <a:solidFill>
                          <a:sysClr val="windowText" lastClr="000000">
                            <a:lumMod val="50000"/>
                            <a:lumOff val="50000"/>
                          </a:sysClr>
                        </a:solidFill>
                      </a:rPr>
                      <a:t>%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endParaRPr lang="en-US"/>
                  </a:p>
                </c:rich>
              </c:tx>
              <c:spPr>
                <a:noFill/>
                <a:ln>
                  <a:noFill/>
                </a:ln>
                <a:effectLst/>
              </c:spPr>
              <c:txPr>
                <a:bodyPr rot="-5400000" spcFirstLastPara="1" vertOverflow="clip" horzOverflow="clip" vert="horz" wrap="square" lIns="38100" tIns="19050" rIns="38100" bIns="19050" anchor="ctr" anchorCtr="0">
                  <a:spAutoFit/>
                </a:bodyPr>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8071-4E33-A147-F57D98AE4B67}"/>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Sheet1!$A$4:$A$8</c:f>
              <c:strCache>
                <c:ptCount val="5"/>
                <c:pt idx="0">
                  <c:v>CR</c:v>
                </c:pt>
                <c:pt idx="1">
                  <c:v>T1</c:v>
                </c:pt>
                <c:pt idx="2">
                  <c:v>T2</c:v>
                </c:pt>
                <c:pt idx="3">
                  <c:v>T3</c:v>
                </c:pt>
                <c:pt idx="4">
                  <c:v>T4</c:v>
                </c:pt>
              </c:strCache>
            </c:strRef>
          </c:cat>
          <c:val>
            <c:numRef>
              <c:f>Sheet1!$F$4:$F$8</c:f>
              <c:numCache>
                <c:formatCode>General</c:formatCode>
                <c:ptCount val="5"/>
                <c:pt idx="0">
                  <c:v>35.67</c:v>
                </c:pt>
                <c:pt idx="1">
                  <c:v>39.83</c:v>
                </c:pt>
                <c:pt idx="2">
                  <c:v>30.86</c:v>
                </c:pt>
                <c:pt idx="3">
                  <c:v>40.4</c:v>
                </c:pt>
                <c:pt idx="4">
                  <c:v>35.869999999999997</c:v>
                </c:pt>
              </c:numCache>
            </c:numRef>
          </c:val>
          <c:extLst>
            <c:ext xmlns:c16="http://schemas.microsoft.com/office/drawing/2014/chart" uri="{C3380CC4-5D6E-409C-BE32-E72D297353CC}">
              <c16:uniqueId val="{0000001D-8071-4E33-A147-F57D98AE4B67}"/>
            </c:ext>
          </c:extLst>
        </c:ser>
        <c:dLbls>
          <c:dLblPos val="outEnd"/>
          <c:showLegendKey val="0"/>
          <c:showVal val="1"/>
          <c:showCatName val="0"/>
          <c:showSerName val="0"/>
          <c:showPercent val="0"/>
          <c:showBubbleSize val="0"/>
        </c:dLbls>
        <c:gapWidth val="444"/>
        <c:overlap val="-90"/>
        <c:axId val="226608256"/>
        <c:axId val="226597920"/>
      </c:barChart>
      <c:catAx>
        <c:axId val="226608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26597920"/>
        <c:crosses val="autoZero"/>
        <c:auto val="1"/>
        <c:lblAlgn val="ctr"/>
        <c:lblOffset val="100"/>
        <c:noMultiLvlLbl val="0"/>
      </c:catAx>
      <c:valAx>
        <c:axId val="226597920"/>
        <c:scaling>
          <c:orientation val="minMax"/>
        </c:scaling>
        <c:delete val="1"/>
        <c:axPos val="l"/>
        <c:numFmt formatCode="General" sourceLinked="1"/>
        <c:majorTickMark val="none"/>
        <c:minorTickMark val="none"/>
        <c:tickLblPos val="nextTo"/>
        <c:crossAx val="226608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Proximate Composition fish body carcass (Dry weight basis)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504273504273504E-2"/>
          <c:y val="0.28208081610807917"/>
          <c:w val="0.95299145299145294"/>
          <c:h val="0.62176374709083093"/>
        </c:manualLayout>
      </c:layout>
      <c:barChart>
        <c:barDir val="col"/>
        <c:grouping val="clustered"/>
        <c:varyColors val="0"/>
        <c:ser>
          <c:idx val="0"/>
          <c:order val="0"/>
          <c:tx>
            <c:strRef>
              <c:f>Sheet1!$B$15</c:f>
              <c:strCache>
                <c:ptCount val="1"/>
                <c:pt idx="0">
                  <c:v>Moisture</c:v>
                </c:pt>
              </c:strCache>
            </c:strRef>
          </c:tx>
          <c:spPr>
            <a:solidFill>
              <a:schemeClr val="accent1"/>
            </a:solidFill>
            <a:ln>
              <a:noFill/>
            </a:ln>
            <a:effectLst/>
          </c:spPr>
          <c:invertIfNegative val="0"/>
          <c:dLbls>
            <c:dLbl>
              <c:idx val="0"/>
              <c:tx>
                <c:rich>
                  <a:bodyPr/>
                  <a:lstStyle/>
                  <a:p>
                    <a:fld id="{F5B6FBD9-E7AD-4ED5-881E-9CEECD56448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20D-4E5C-BF0F-6F7574510506}"/>
                </c:ext>
              </c:extLst>
            </c:dLbl>
            <c:dLbl>
              <c:idx val="1"/>
              <c:tx>
                <c:rich>
                  <a:bodyPr/>
                  <a:lstStyle/>
                  <a:p>
                    <a:fld id="{EBEC1266-A68B-4BF8-8410-8BB736D7173E}"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20D-4E5C-BF0F-6F7574510506}"/>
                </c:ext>
              </c:extLst>
            </c:dLbl>
            <c:dLbl>
              <c:idx val="2"/>
              <c:tx>
                <c:rich>
                  <a:bodyPr/>
                  <a:lstStyle/>
                  <a:p>
                    <a:fld id="{4B519B5B-AE24-41F8-BEB0-8A9BAED47433}"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20D-4E5C-BF0F-6F7574510506}"/>
                </c:ext>
              </c:extLst>
            </c:dLbl>
            <c:dLbl>
              <c:idx val="3"/>
              <c:tx>
                <c:rich>
                  <a:bodyPr/>
                  <a:lstStyle/>
                  <a:p>
                    <a:fld id="{4279A6BA-6035-4331-BC2D-7B9B9CCA109C}"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20D-4E5C-BF0F-6F7574510506}"/>
                </c:ext>
              </c:extLst>
            </c:dLbl>
            <c:dLbl>
              <c:idx val="4"/>
              <c:tx>
                <c:rich>
                  <a:bodyPr/>
                  <a:lstStyle/>
                  <a:p>
                    <a:fld id="{0CE8B710-FDAE-4919-9F8F-A70FC81D564A}"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Sheet1!$B$16:$B$20</c:f>
              <c:numCache>
                <c:formatCode>General</c:formatCode>
                <c:ptCount val="5"/>
                <c:pt idx="0">
                  <c:v>2.8</c:v>
                </c:pt>
                <c:pt idx="1">
                  <c:v>1.5</c:v>
                </c:pt>
                <c:pt idx="2">
                  <c:v>1.3</c:v>
                </c:pt>
                <c:pt idx="3">
                  <c:v>1.8</c:v>
                </c:pt>
                <c:pt idx="4">
                  <c:v>3.6</c:v>
                </c:pt>
              </c:numCache>
            </c:numRef>
          </c:val>
          <c:extLst>
            <c:ext xmlns:c16="http://schemas.microsoft.com/office/drawing/2014/chart" uri="{C3380CC4-5D6E-409C-BE32-E72D297353CC}">
              <c16:uniqueId val="{00000005-A20D-4E5C-BF0F-6F7574510506}"/>
            </c:ext>
          </c:extLst>
        </c:ser>
        <c:ser>
          <c:idx val="1"/>
          <c:order val="1"/>
          <c:tx>
            <c:strRef>
              <c:f>Sheet1!$C$15</c:f>
              <c:strCache>
                <c:ptCount val="1"/>
                <c:pt idx="0">
                  <c:v>Ash</c:v>
                </c:pt>
              </c:strCache>
            </c:strRef>
          </c:tx>
          <c:spPr>
            <a:solidFill>
              <a:schemeClr val="accent2"/>
            </a:solidFill>
            <a:ln>
              <a:noFill/>
            </a:ln>
            <a:effectLst/>
          </c:spPr>
          <c:invertIfNegative val="0"/>
          <c:dLbls>
            <c:dLbl>
              <c:idx val="0"/>
              <c:tx>
                <c:rich>
                  <a:bodyPr/>
                  <a:lstStyle/>
                  <a:p>
                    <a:fld id="{E1DAFFFA-4DEB-41DB-8CD3-5B9F9133C82A}" type="VALUE">
                      <a:rPr lang="en-US"/>
                      <a:pPr/>
                      <a:t>[VALUE]</a:t>
                    </a:fld>
                    <a:r>
                      <a:rPr lang="en-US"/>
                      <a:t> %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20D-4E5C-BF0F-6F7574510506}"/>
                </c:ext>
              </c:extLst>
            </c:dLbl>
            <c:dLbl>
              <c:idx val="1"/>
              <c:tx>
                <c:rich>
                  <a:bodyPr/>
                  <a:lstStyle/>
                  <a:p>
                    <a:fld id="{831A5DE2-9768-44D9-8032-1F8A2005E9A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20D-4E5C-BF0F-6F7574510506}"/>
                </c:ext>
              </c:extLst>
            </c:dLbl>
            <c:dLbl>
              <c:idx val="2"/>
              <c:tx>
                <c:rich>
                  <a:bodyPr/>
                  <a:lstStyle/>
                  <a:p>
                    <a:fld id="{D50F5C16-92EC-4DBD-80A1-2DE5446A065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20D-4E5C-BF0F-6F7574510506}"/>
                </c:ext>
              </c:extLst>
            </c:dLbl>
            <c:dLbl>
              <c:idx val="3"/>
              <c:tx>
                <c:rich>
                  <a:bodyPr/>
                  <a:lstStyle/>
                  <a:p>
                    <a:fld id="{9CD5EE1B-42C5-4C63-878C-16E7E93F66D1}"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20D-4E5C-BF0F-6F7574510506}"/>
                </c:ext>
              </c:extLst>
            </c:dLbl>
            <c:dLbl>
              <c:idx val="4"/>
              <c:tx>
                <c:rich>
                  <a:bodyPr/>
                  <a:lstStyle/>
                  <a:p>
                    <a:fld id="{4A76A876-74EC-41A6-BE3B-0306102F2183}"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Sheet1!$C$16:$C$20</c:f>
              <c:numCache>
                <c:formatCode>General</c:formatCode>
                <c:ptCount val="5"/>
                <c:pt idx="0">
                  <c:v>12.6</c:v>
                </c:pt>
                <c:pt idx="1">
                  <c:v>13.2</c:v>
                </c:pt>
                <c:pt idx="2">
                  <c:v>13.06</c:v>
                </c:pt>
                <c:pt idx="3">
                  <c:v>14.06</c:v>
                </c:pt>
                <c:pt idx="4">
                  <c:v>15.2</c:v>
                </c:pt>
              </c:numCache>
            </c:numRef>
          </c:val>
          <c:extLst>
            <c:ext xmlns:c16="http://schemas.microsoft.com/office/drawing/2014/chart" uri="{C3380CC4-5D6E-409C-BE32-E72D297353CC}">
              <c16:uniqueId val="{0000000B-A20D-4E5C-BF0F-6F7574510506}"/>
            </c:ext>
          </c:extLst>
        </c:ser>
        <c:ser>
          <c:idx val="2"/>
          <c:order val="2"/>
          <c:tx>
            <c:strRef>
              <c:f>Sheet1!$D$15</c:f>
              <c:strCache>
                <c:ptCount val="1"/>
                <c:pt idx="0">
                  <c:v>Fat</c:v>
                </c:pt>
              </c:strCache>
            </c:strRef>
          </c:tx>
          <c:spPr>
            <a:solidFill>
              <a:schemeClr val="accent3"/>
            </a:solidFill>
            <a:ln>
              <a:noFill/>
            </a:ln>
            <a:effectLst/>
          </c:spPr>
          <c:invertIfNegative val="0"/>
          <c:dLbls>
            <c:dLbl>
              <c:idx val="0"/>
              <c:tx>
                <c:rich>
                  <a:bodyPr/>
                  <a:lstStyle/>
                  <a:p>
                    <a:fld id="{CAC53C70-FDCC-4B11-9A48-8EF1EA381AA1}" type="VALUE">
                      <a:rPr lang="en-US"/>
                      <a:pPr/>
                      <a:t>[VALUE]</a:t>
                    </a:fld>
                    <a:r>
                      <a:rPr lang="en-US"/>
                      <a:t> %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A20D-4E5C-BF0F-6F7574510506}"/>
                </c:ext>
              </c:extLst>
            </c:dLbl>
            <c:dLbl>
              <c:idx val="1"/>
              <c:tx>
                <c:rich>
                  <a:bodyPr/>
                  <a:lstStyle/>
                  <a:p>
                    <a:fld id="{67FAFE29-F9AF-4A04-A216-0E1A0C7FC5D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20D-4E5C-BF0F-6F7574510506}"/>
                </c:ext>
              </c:extLst>
            </c:dLbl>
            <c:dLbl>
              <c:idx val="2"/>
              <c:tx>
                <c:rich>
                  <a:bodyPr/>
                  <a:lstStyle/>
                  <a:p>
                    <a:fld id="{5CA09252-ACBD-48C8-B569-6060A6C725B9}"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A20D-4E5C-BF0F-6F7574510506}"/>
                </c:ext>
              </c:extLst>
            </c:dLbl>
            <c:dLbl>
              <c:idx val="3"/>
              <c:tx>
                <c:rich>
                  <a:bodyPr/>
                  <a:lstStyle/>
                  <a:p>
                    <a:fld id="{C94251D3-F319-4A8B-B9FA-7DEB313DF37F}"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A20D-4E5C-BF0F-6F7574510506}"/>
                </c:ext>
              </c:extLst>
            </c:dLbl>
            <c:dLbl>
              <c:idx val="4"/>
              <c:tx>
                <c:rich>
                  <a:bodyPr/>
                  <a:lstStyle/>
                  <a:p>
                    <a:fld id="{85064823-9F1B-4A53-99C6-5DD467BB22E0}"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Sheet1!$D$16:$D$20</c:f>
              <c:numCache>
                <c:formatCode>General</c:formatCode>
                <c:ptCount val="5"/>
                <c:pt idx="0">
                  <c:v>12.89</c:v>
                </c:pt>
                <c:pt idx="1">
                  <c:v>11.55</c:v>
                </c:pt>
                <c:pt idx="2">
                  <c:v>12.9</c:v>
                </c:pt>
                <c:pt idx="3">
                  <c:v>12.14</c:v>
                </c:pt>
                <c:pt idx="4">
                  <c:v>13.64</c:v>
                </c:pt>
              </c:numCache>
            </c:numRef>
          </c:val>
          <c:extLst>
            <c:ext xmlns:c16="http://schemas.microsoft.com/office/drawing/2014/chart" uri="{C3380CC4-5D6E-409C-BE32-E72D297353CC}">
              <c16:uniqueId val="{00000011-A20D-4E5C-BF0F-6F7574510506}"/>
            </c:ext>
          </c:extLst>
        </c:ser>
        <c:ser>
          <c:idx val="3"/>
          <c:order val="3"/>
          <c:tx>
            <c:strRef>
              <c:f>Sheet1!$E$15</c:f>
              <c:strCache>
                <c:ptCount val="1"/>
                <c:pt idx="0">
                  <c:v>Protein</c:v>
                </c:pt>
              </c:strCache>
            </c:strRef>
          </c:tx>
          <c:spPr>
            <a:solidFill>
              <a:schemeClr val="accent4"/>
            </a:solidFill>
            <a:ln>
              <a:noFill/>
            </a:ln>
            <a:effectLst/>
          </c:spPr>
          <c:invertIfNegative val="0"/>
          <c:dLbls>
            <c:dLbl>
              <c:idx val="0"/>
              <c:tx>
                <c:rich>
                  <a:bodyPr/>
                  <a:lstStyle/>
                  <a:p>
                    <a:fld id="{708843DD-48CF-436C-98F4-0D55374FC07F}"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A20D-4E5C-BF0F-6F7574510506}"/>
                </c:ext>
              </c:extLst>
            </c:dLbl>
            <c:dLbl>
              <c:idx val="1"/>
              <c:tx>
                <c:rich>
                  <a:bodyPr/>
                  <a:lstStyle/>
                  <a:p>
                    <a:fld id="{74521BEB-FB2F-463C-B087-44960EA4112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A20D-4E5C-BF0F-6F7574510506}"/>
                </c:ext>
              </c:extLst>
            </c:dLbl>
            <c:dLbl>
              <c:idx val="2"/>
              <c:tx>
                <c:rich>
                  <a:bodyPr/>
                  <a:lstStyle/>
                  <a:p>
                    <a:fld id="{D19936AF-7575-4DC5-A011-128FF290B6E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A20D-4E5C-BF0F-6F7574510506}"/>
                </c:ext>
              </c:extLst>
            </c:dLbl>
            <c:dLbl>
              <c:idx val="3"/>
              <c:tx>
                <c:rich>
                  <a:bodyPr/>
                  <a:lstStyle/>
                  <a:p>
                    <a:fld id="{1D9C6300-ACAB-4F9C-BDC0-8DF5A2502FAC}"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A20D-4E5C-BF0F-6F7574510506}"/>
                </c:ext>
              </c:extLst>
            </c:dLbl>
            <c:dLbl>
              <c:idx val="4"/>
              <c:tx>
                <c:rich>
                  <a:bodyPr/>
                  <a:lstStyle/>
                  <a:p>
                    <a:fld id="{20ABEB2E-06EA-434D-A86F-31353A9D76D7}"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Sheet1!$E$16:$E$20</c:f>
              <c:numCache>
                <c:formatCode>General</c:formatCode>
                <c:ptCount val="5"/>
                <c:pt idx="0">
                  <c:v>50</c:v>
                </c:pt>
                <c:pt idx="1">
                  <c:v>52</c:v>
                </c:pt>
                <c:pt idx="2">
                  <c:v>51.8</c:v>
                </c:pt>
                <c:pt idx="3">
                  <c:v>51.6</c:v>
                </c:pt>
                <c:pt idx="4">
                  <c:v>52.9</c:v>
                </c:pt>
              </c:numCache>
            </c:numRef>
          </c:val>
          <c:extLst>
            <c:ext xmlns:c16="http://schemas.microsoft.com/office/drawing/2014/chart" uri="{C3380CC4-5D6E-409C-BE32-E72D297353CC}">
              <c16:uniqueId val="{00000017-A20D-4E5C-BF0F-6F7574510506}"/>
            </c:ext>
          </c:extLst>
        </c:ser>
        <c:ser>
          <c:idx val="4"/>
          <c:order val="4"/>
          <c:tx>
            <c:strRef>
              <c:f>Sheet1!$F$15</c:f>
              <c:strCache>
                <c:ptCount val="1"/>
                <c:pt idx="0">
                  <c:v>NFE</c:v>
                </c:pt>
              </c:strCache>
            </c:strRef>
          </c:tx>
          <c:spPr>
            <a:solidFill>
              <a:schemeClr val="accent5"/>
            </a:solidFill>
            <a:ln>
              <a:noFill/>
            </a:ln>
            <a:effectLst/>
          </c:spPr>
          <c:invertIfNegative val="0"/>
          <c:dLbls>
            <c:dLbl>
              <c:idx val="0"/>
              <c:tx>
                <c:rich>
                  <a:bodyPr/>
                  <a:lstStyle/>
                  <a:p>
                    <a:fld id="{172687F8-785D-48C0-943F-58D571F9110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A20D-4E5C-BF0F-6F7574510506}"/>
                </c:ext>
              </c:extLst>
            </c:dLbl>
            <c:dLbl>
              <c:idx val="1"/>
              <c:tx>
                <c:rich>
                  <a:bodyPr/>
                  <a:lstStyle/>
                  <a:p>
                    <a:fld id="{DFDC7F83-F83C-405E-A96D-FF0B9BA40BF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A20D-4E5C-BF0F-6F7574510506}"/>
                </c:ext>
              </c:extLst>
            </c:dLbl>
            <c:dLbl>
              <c:idx val="2"/>
              <c:tx>
                <c:rich>
                  <a:bodyPr/>
                  <a:lstStyle/>
                  <a:p>
                    <a:fld id="{F08EECB7-8BAF-482E-ACE0-3FD60FFEBDC4}"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A20D-4E5C-BF0F-6F7574510506}"/>
                </c:ext>
              </c:extLst>
            </c:dLbl>
            <c:dLbl>
              <c:idx val="3"/>
              <c:tx>
                <c:rich>
                  <a:bodyPr/>
                  <a:lstStyle/>
                  <a:p>
                    <a:fld id="{CF8DA162-D4DD-4B14-B997-052F119705D8}"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A20D-4E5C-BF0F-6F7574510506}"/>
                </c:ext>
              </c:extLst>
            </c:dLbl>
            <c:dLbl>
              <c:idx val="4"/>
              <c:tx>
                <c:rich>
                  <a:bodyPr/>
                  <a:lstStyle/>
                  <a:p>
                    <a:fld id="{45734D3D-ABA7-46A6-8BE6-BD2367FCF423}"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A20D-4E5C-BF0F-6F7574510506}"/>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Sheet1!$A$16:$A$20</c:f>
              <c:strCache>
                <c:ptCount val="5"/>
                <c:pt idx="0">
                  <c:v>CR</c:v>
                </c:pt>
                <c:pt idx="1">
                  <c:v>T1</c:v>
                </c:pt>
                <c:pt idx="2">
                  <c:v>T2</c:v>
                </c:pt>
                <c:pt idx="3">
                  <c:v>T3</c:v>
                </c:pt>
                <c:pt idx="4">
                  <c:v>T4</c:v>
                </c:pt>
              </c:strCache>
            </c:strRef>
          </c:cat>
          <c:val>
            <c:numRef>
              <c:f>Sheet1!$F$16:$F$20</c:f>
              <c:numCache>
                <c:formatCode>General</c:formatCode>
                <c:ptCount val="5"/>
                <c:pt idx="0">
                  <c:v>21.71</c:v>
                </c:pt>
                <c:pt idx="1">
                  <c:v>21.75</c:v>
                </c:pt>
                <c:pt idx="2">
                  <c:v>20.94</c:v>
                </c:pt>
                <c:pt idx="3">
                  <c:v>20.399999999999999</c:v>
                </c:pt>
                <c:pt idx="4">
                  <c:v>14.66</c:v>
                </c:pt>
              </c:numCache>
            </c:numRef>
          </c:val>
          <c:extLst>
            <c:ext xmlns:c16="http://schemas.microsoft.com/office/drawing/2014/chart" uri="{C3380CC4-5D6E-409C-BE32-E72D297353CC}">
              <c16:uniqueId val="{0000001D-A20D-4E5C-BF0F-6F7574510506}"/>
            </c:ext>
          </c:extLst>
        </c:ser>
        <c:dLbls>
          <c:dLblPos val="outEnd"/>
          <c:showLegendKey val="0"/>
          <c:showVal val="1"/>
          <c:showCatName val="0"/>
          <c:showSerName val="0"/>
          <c:showPercent val="0"/>
          <c:showBubbleSize val="0"/>
        </c:dLbls>
        <c:gapWidth val="444"/>
        <c:overlap val="-90"/>
        <c:axId val="414098352"/>
        <c:axId val="306701392"/>
      </c:barChart>
      <c:catAx>
        <c:axId val="414098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6701392"/>
        <c:crosses val="autoZero"/>
        <c:auto val="1"/>
        <c:lblAlgn val="ctr"/>
        <c:lblOffset val="100"/>
        <c:noMultiLvlLbl val="0"/>
      </c:catAx>
      <c:valAx>
        <c:axId val="306701392"/>
        <c:scaling>
          <c:orientation val="minMax"/>
        </c:scaling>
        <c:delete val="1"/>
        <c:axPos val="l"/>
        <c:numFmt formatCode="General" sourceLinked="1"/>
        <c:majorTickMark val="none"/>
        <c:minorTickMark val="none"/>
        <c:tickLblPos val="nextTo"/>
        <c:crossAx val="414098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F399-CC08-4B0B-A469-A139FB57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10</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2025-12-13T06:46:00Z</dcterms:modified>
</cp:coreProperties>
</file>