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906F8" w14:textId="77777777" w:rsidR="00C5262B" w:rsidRPr="00194CE7" w:rsidRDefault="00C5262B" w:rsidP="009600FF">
      <w:pPr>
        <w:spacing w:line="240" w:lineRule="auto"/>
        <w:jc w:val="center"/>
        <w:rPr>
          <w:rFonts w:ascii="Arial" w:hAnsi="Arial" w:cs="Arial"/>
          <w:b/>
          <w:bCs/>
          <w:i/>
          <w:sz w:val="32"/>
          <w:highlight w:val="yellow"/>
          <w:u w:val="single"/>
        </w:rPr>
      </w:pPr>
      <w:r w:rsidRPr="00194CE7">
        <w:rPr>
          <w:rFonts w:ascii="Arial" w:hAnsi="Arial" w:cs="Arial"/>
          <w:b/>
          <w:bCs/>
          <w:i/>
          <w:sz w:val="32"/>
          <w:highlight w:val="yellow"/>
          <w:u w:val="single"/>
        </w:rPr>
        <w:t>Case Study</w:t>
      </w:r>
    </w:p>
    <w:p w14:paraId="3336DCD0" w14:textId="14053CB7" w:rsidR="00BB78B9" w:rsidRPr="00194CE7" w:rsidRDefault="00C5262B" w:rsidP="00C5262B">
      <w:pPr>
        <w:spacing w:line="240" w:lineRule="auto"/>
        <w:jc w:val="right"/>
        <w:rPr>
          <w:rFonts w:ascii="Arial" w:hAnsi="Arial" w:cs="Arial"/>
          <w:b/>
          <w:bCs/>
          <w:sz w:val="32"/>
          <w:highlight w:val="yellow"/>
        </w:rPr>
      </w:pPr>
      <w:proofErr w:type="spellStart"/>
      <w:r w:rsidRPr="00194CE7">
        <w:rPr>
          <w:rFonts w:ascii="Arial" w:hAnsi="Arial" w:cs="Arial"/>
          <w:b/>
          <w:bCs/>
          <w:sz w:val="32"/>
          <w:highlight w:val="yellow"/>
        </w:rPr>
        <w:t>Clinico</w:t>
      </w:r>
      <w:proofErr w:type="spellEnd"/>
      <w:r w:rsidRPr="00194CE7">
        <w:rPr>
          <w:rFonts w:ascii="Arial" w:hAnsi="Arial" w:cs="Arial"/>
          <w:b/>
          <w:bCs/>
          <w:sz w:val="32"/>
          <w:highlight w:val="yellow"/>
        </w:rPr>
        <w:t xml:space="preserve">-Pathological and Molecular Diagnosis of </w:t>
      </w:r>
      <w:proofErr w:type="spellStart"/>
      <w:r w:rsidRPr="00194CE7">
        <w:rPr>
          <w:rFonts w:ascii="Arial" w:hAnsi="Arial" w:cs="Arial"/>
          <w:b/>
          <w:bCs/>
          <w:sz w:val="32"/>
          <w:highlight w:val="yellow"/>
        </w:rPr>
        <w:t>Ccpp</w:t>
      </w:r>
      <w:proofErr w:type="spellEnd"/>
      <w:r w:rsidRPr="00194CE7">
        <w:rPr>
          <w:rFonts w:ascii="Arial" w:hAnsi="Arial" w:cs="Arial"/>
          <w:b/>
          <w:bCs/>
          <w:sz w:val="32"/>
          <w:highlight w:val="yellow"/>
        </w:rPr>
        <w:t xml:space="preserve"> In Goats </w:t>
      </w:r>
      <w:r w:rsidR="00912307" w:rsidRPr="00194CE7">
        <w:rPr>
          <w:rFonts w:ascii="Arial" w:hAnsi="Arial" w:cs="Arial"/>
          <w:b/>
          <w:bCs/>
          <w:sz w:val="32"/>
          <w:highlight w:val="yellow"/>
        </w:rPr>
        <w:t>-</w:t>
      </w:r>
      <w:r w:rsidR="00AD6CB7" w:rsidRPr="00194CE7">
        <w:rPr>
          <w:rFonts w:ascii="Arial" w:hAnsi="Arial" w:cs="Arial"/>
          <w:b/>
          <w:bCs/>
          <w:sz w:val="32"/>
          <w:highlight w:val="yellow"/>
        </w:rPr>
        <w:t xml:space="preserve"> A</w:t>
      </w:r>
      <w:r w:rsidR="00912307" w:rsidRPr="00194CE7">
        <w:rPr>
          <w:rFonts w:ascii="Arial" w:hAnsi="Arial" w:cs="Arial"/>
          <w:b/>
          <w:bCs/>
          <w:sz w:val="32"/>
          <w:highlight w:val="yellow"/>
        </w:rPr>
        <w:t xml:space="preserve"> Case </w:t>
      </w:r>
      <w:r w:rsidR="00AD6CB7" w:rsidRPr="00194CE7">
        <w:rPr>
          <w:rFonts w:ascii="Arial" w:hAnsi="Arial" w:cs="Arial"/>
          <w:b/>
          <w:bCs/>
          <w:sz w:val="32"/>
          <w:highlight w:val="yellow"/>
        </w:rPr>
        <w:t>study</w:t>
      </w:r>
    </w:p>
    <w:p w14:paraId="284FBE64" w14:textId="63CD261F" w:rsidR="00C5262B" w:rsidRPr="00C5262B" w:rsidRDefault="00C5262B" w:rsidP="00C5262B">
      <w:pPr>
        <w:spacing w:after="0" w:line="240" w:lineRule="auto"/>
        <w:jc w:val="right"/>
        <w:rPr>
          <w:rFonts w:ascii="Arial" w:hAnsi="Arial" w:cs="Arial"/>
          <w:sz w:val="20"/>
        </w:rPr>
      </w:pPr>
      <w:r w:rsidRPr="00C5262B">
        <w:rPr>
          <w:rFonts w:ascii="Arial" w:hAnsi="Arial" w:cs="Arial"/>
          <w:sz w:val="20"/>
        </w:rPr>
        <w:t xml:space="preserve"> </w:t>
      </w:r>
    </w:p>
    <w:p w14:paraId="2761F900" w14:textId="4A442533" w:rsidR="002A74FB" w:rsidRPr="00C5262B" w:rsidRDefault="002A74FB" w:rsidP="00C5262B">
      <w:pPr>
        <w:spacing w:after="0" w:line="240" w:lineRule="auto"/>
        <w:jc w:val="right"/>
        <w:rPr>
          <w:rFonts w:ascii="Arial" w:hAnsi="Arial" w:cs="Arial"/>
          <w:bCs/>
          <w:sz w:val="20"/>
        </w:rPr>
      </w:pPr>
    </w:p>
    <w:p w14:paraId="037941CB" w14:textId="536AF3B4" w:rsidR="00F959F7" w:rsidRPr="00177A0B" w:rsidRDefault="00177A0B" w:rsidP="00177A0B">
      <w:pPr>
        <w:spacing w:line="240" w:lineRule="auto"/>
        <w:jc w:val="center"/>
        <w:rPr>
          <w:rFonts w:ascii="Arial" w:hAnsi="Arial" w:cs="Arial"/>
          <w:b/>
          <w:bCs/>
          <w:szCs w:val="20"/>
        </w:rPr>
      </w:pPr>
      <w:r w:rsidRPr="00177A0B">
        <w:rPr>
          <w:rFonts w:ascii="Arial" w:hAnsi="Arial" w:cs="Arial"/>
          <w:b/>
          <w:bCs/>
          <w:szCs w:val="20"/>
        </w:rPr>
        <w:t>ABSTRACT</w:t>
      </w:r>
    </w:p>
    <w:p w14:paraId="1CECA40C" w14:textId="77777777" w:rsidR="001F3A27" w:rsidRPr="001F3A27" w:rsidRDefault="001F3A27" w:rsidP="001F3A27">
      <w:pPr>
        <w:pStyle w:val="NormalWeb"/>
        <w:jc w:val="both"/>
        <w:rPr>
          <w:rFonts w:ascii="Arial" w:hAnsi="Arial" w:cs="Arial"/>
          <w:sz w:val="20"/>
          <w:highlight w:val="yellow"/>
        </w:rPr>
      </w:pPr>
      <w:r w:rsidRPr="001F3A27">
        <w:rPr>
          <w:rFonts w:ascii="Arial" w:hAnsi="Arial" w:cs="Arial"/>
          <w:sz w:val="20"/>
          <w:highlight w:val="yellow"/>
        </w:rPr>
        <w:t xml:space="preserve">Contagious caprine pleuropneumonia (CCPP) is a highly contagious and economically important respiratory disease of goats caused by </w:t>
      </w:r>
      <w:r w:rsidRPr="001F3A27">
        <w:rPr>
          <w:rStyle w:val="Emphasis"/>
          <w:rFonts w:ascii="Arial" w:eastAsiaTheme="majorEastAsia" w:hAnsi="Arial" w:cs="Arial"/>
          <w:sz w:val="20"/>
          <w:highlight w:val="yellow"/>
        </w:rPr>
        <w:t xml:space="preserve">Mycoplasma </w:t>
      </w:r>
      <w:proofErr w:type="spellStart"/>
      <w:r w:rsidRPr="001F3A27">
        <w:rPr>
          <w:rStyle w:val="Emphasis"/>
          <w:rFonts w:ascii="Arial" w:eastAsiaTheme="majorEastAsia" w:hAnsi="Arial" w:cs="Arial"/>
          <w:sz w:val="20"/>
          <w:highlight w:val="yellow"/>
        </w:rPr>
        <w:t>capricolum</w:t>
      </w:r>
      <w:proofErr w:type="spellEnd"/>
      <w:r w:rsidRPr="001F3A27">
        <w:rPr>
          <w:rFonts w:ascii="Arial" w:hAnsi="Arial" w:cs="Arial"/>
          <w:sz w:val="20"/>
          <w:highlight w:val="yellow"/>
        </w:rPr>
        <w:t xml:space="preserve"> subsp. </w:t>
      </w:r>
      <w:proofErr w:type="spellStart"/>
      <w:r w:rsidRPr="001F3A27">
        <w:rPr>
          <w:rStyle w:val="Emphasis"/>
          <w:rFonts w:ascii="Arial" w:eastAsiaTheme="majorEastAsia" w:hAnsi="Arial" w:cs="Arial"/>
          <w:sz w:val="20"/>
          <w:highlight w:val="yellow"/>
        </w:rPr>
        <w:t>capripneumoniae</w:t>
      </w:r>
      <w:proofErr w:type="spellEnd"/>
      <w:r w:rsidRPr="001F3A27">
        <w:rPr>
          <w:rFonts w:ascii="Arial" w:hAnsi="Arial" w:cs="Arial"/>
          <w:sz w:val="20"/>
          <w:highlight w:val="yellow"/>
        </w:rPr>
        <w:t xml:space="preserve"> (</w:t>
      </w:r>
      <w:proofErr w:type="spellStart"/>
      <w:r w:rsidRPr="001F3A27">
        <w:rPr>
          <w:rFonts w:ascii="Arial" w:hAnsi="Arial" w:cs="Arial"/>
          <w:sz w:val="20"/>
          <w:highlight w:val="yellow"/>
        </w:rPr>
        <w:t>Mccp</w:t>
      </w:r>
      <w:proofErr w:type="spellEnd"/>
      <w:r w:rsidRPr="001F3A27">
        <w:rPr>
          <w:rFonts w:ascii="Arial" w:hAnsi="Arial" w:cs="Arial"/>
          <w:sz w:val="20"/>
          <w:highlight w:val="yellow"/>
        </w:rPr>
        <w:t xml:space="preserve">). The present case study reports the </w:t>
      </w:r>
      <w:proofErr w:type="spellStart"/>
      <w:r w:rsidRPr="001F3A27">
        <w:rPr>
          <w:rFonts w:ascii="Arial" w:hAnsi="Arial" w:cs="Arial"/>
          <w:sz w:val="20"/>
          <w:highlight w:val="yellow"/>
        </w:rPr>
        <w:t>clinico</w:t>
      </w:r>
      <w:proofErr w:type="spellEnd"/>
      <w:r w:rsidRPr="001F3A27">
        <w:rPr>
          <w:rFonts w:ascii="Arial" w:hAnsi="Arial" w:cs="Arial"/>
          <w:sz w:val="20"/>
          <w:highlight w:val="yellow"/>
        </w:rPr>
        <w:t xml:space="preserve">-pathological and molecular confirmation of CCPP in three goat flocks from </w:t>
      </w:r>
      <w:proofErr w:type="spellStart"/>
      <w:r w:rsidRPr="001F3A27">
        <w:rPr>
          <w:rFonts w:ascii="Arial" w:hAnsi="Arial" w:cs="Arial"/>
          <w:sz w:val="20"/>
          <w:highlight w:val="yellow"/>
        </w:rPr>
        <w:t>Thotaravulapadu</w:t>
      </w:r>
      <w:proofErr w:type="spellEnd"/>
      <w:r w:rsidRPr="001F3A27">
        <w:rPr>
          <w:rFonts w:ascii="Arial" w:hAnsi="Arial" w:cs="Arial"/>
          <w:sz w:val="20"/>
          <w:highlight w:val="yellow"/>
        </w:rPr>
        <w:t xml:space="preserve"> village, NTR district, Andhra Pradesh. Eleven goats of different age groups exhibited classical clinical signs including severe respiratory distress, </w:t>
      </w:r>
      <w:proofErr w:type="spellStart"/>
      <w:r w:rsidRPr="001F3A27">
        <w:rPr>
          <w:rFonts w:ascii="Arial" w:hAnsi="Arial" w:cs="Arial"/>
          <w:sz w:val="20"/>
          <w:highlight w:val="yellow"/>
        </w:rPr>
        <w:t>sero</w:t>
      </w:r>
      <w:proofErr w:type="spellEnd"/>
      <w:r w:rsidRPr="001F3A27">
        <w:rPr>
          <w:rFonts w:ascii="Arial" w:hAnsi="Arial" w:cs="Arial"/>
          <w:sz w:val="20"/>
          <w:highlight w:val="yellow"/>
        </w:rPr>
        <w:t xml:space="preserve">-mucoid nasal discharge, coughing, dyspnoea, pyrexia, and general malaise. Three four-month-old kids that succumbed to the disease were subjected to detailed necropsy examination. Gross pathological findings revealed hydrothorax, bilateral fibrinous pleuritis, lung consolidation with characteristic marbling, and fibrinous pericarditis. Histopathological examination of lung tissues showed fibrin deposition, severe congestion, necrosis, sequestration, and infiltration of polymorphonuclear and mononuclear cells in alveoli and interlobular septa, along with fibrinous pleuritis. Molecular diagnosis was performed using polymerase chain reaction (PCR) targeting the </w:t>
      </w:r>
      <w:proofErr w:type="spellStart"/>
      <w:r w:rsidRPr="001F3A27">
        <w:rPr>
          <w:rStyle w:val="Emphasis"/>
          <w:rFonts w:ascii="Arial" w:eastAsiaTheme="majorEastAsia" w:hAnsi="Arial" w:cs="Arial"/>
          <w:sz w:val="20"/>
          <w:highlight w:val="yellow"/>
        </w:rPr>
        <w:t>arcD</w:t>
      </w:r>
      <w:proofErr w:type="spellEnd"/>
      <w:r w:rsidRPr="001F3A27">
        <w:rPr>
          <w:rFonts w:ascii="Arial" w:hAnsi="Arial" w:cs="Arial"/>
          <w:sz w:val="20"/>
          <w:highlight w:val="yellow"/>
        </w:rPr>
        <w:t xml:space="preserve"> gene of </w:t>
      </w:r>
      <w:proofErr w:type="spellStart"/>
      <w:r w:rsidRPr="001F3A27">
        <w:rPr>
          <w:rFonts w:ascii="Arial" w:hAnsi="Arial" w:cs="Arial"/>
          <w:sz w:val="20"/>
          <w:highlight w:val="yellow"/>
        </w:rPr>
        <w:t>Mccp</w:t>
      </w:r>
      <w:proofErr w:type="spellEnd"/>
      <w:r w:rsidRPr="001F3A27">
        <w:rPr>
          <w:rFonts w:ascii="Arial" w:hAnsi="Arial" w:cs="Arial"/>
          <w:sz w:val="20"/>
          <w:highlight w:val="yellow"/>
        </w:rPr>
        <w:t xml:space="preserve">, which yielded a specific 316 bp amplicon from lung tissue samples, confirming the presence of the pathogen. Based on the integration of clinical signs, gross and histopathological lesions, and molecular evidence, the diagnosis of CCPP was conclusively established. This case study highlights the importance of rapid </w:t>
      </w:r>
      <w:proofErr w:type="spellStart"/>
      <w:r w:rsidRPr="001F3A27">
        <w:rPr>
          <w:rFonts w:ascii="Arial" w:hAnsi="Arial" w:cs="Arial"/>
          <w:sz w:val="20"/>
          <w:highlight w:val="yellow"/>
        </w:rPr>
        <w:t>clinico</w:t>
      </w:r>
      <w:proofErr w:type="spellEnd"/>
      <w:r w:rsidRPr="001F3A27">
        <w:rPr>
          <w:rFonts w:ascii="Arial" w:hAnsi="Arial" w:cs="Arial"/>
          <w:sz w:val="20"/>
          <w:highlight w:val="yellow"/>
        </w:rPr>
        <w:t>-pathological assessment combined with molecular diagnostics for accurate confirmation of CCPP, which is crucial for timely disease control and prevention in endemic regions.</w:t>
      </w:r>
    </w:p>
    <w:p w14:paraId="3D5E1782" w14:textId="77777777" w:rsidR="001F3A27" w:rsidRPr="001F3A27" w:rsidRDefault="001F3A27" w:rsidP="001F3A27">
      <w:pPr>
        <w:pStyle w:val="NormalWeb"/>
        <w:jc w:val="both"/>
        <w:rPr>
          <w:rFonts w:ascii="Arial" w:hAnsi="Arial" w:cs="Arial"/>
          <w:i/>
          <w:sz w:val="20"/>
        </w:rPr>
      </w:pPr>
      <w:r w:rsidRPr="001F3A27">
        <w:rPr>
          <w:rStyle w:val="Strong"/>
          <w:rFonts w:ascii="Arial" w:eastAsiaTheme="majorEastAsia" w:hAnsi="Arial" w:cs="Arial"/>
          <w:i/>
          <w:sz w:val="20"/>
          <w:highlight w:val="yellow"/>
        </w:rPr>
        <w:t>Keywords:</w:t>
      </w:r>
      <w:r w:rsidRPr="001F3A27">
        <w:rPr>
          <w:rFonts w:ascii="Arial" w:hAnsi="Arial" w:cs="Arial"/>
          <w:i/>
          <w:sz w:val="20"/>
          <w:highlight w:val="yellow"/>
        </w:rPr>
        <w:t xml:space="preserve"> CCPP; Goat; </w:t>
      </w:r>
      <w:r w:rsidRPr="001F3A27">
        <w:rPr>
          <w:rStyle w:val="Emphasis"/>
          <w:rFonts w:ascii="Arial" w:eastAsiaTheme="majorEastAsia" w:hAnsi="Arial" w:cs="Arial"/>
          <w:i w:val="0"/>
          <w:sz w:val="20"/>
          <w:highlight w:val="yellow"/>
        </w:rPr>
        <w:t xml:space="preserve">Mycoplasma </w:t>
      </w:r>
      <w:proofErr w:type="spellStart"/>
      <w:r w:rsidRPr="001F3A27">
        <w:rPr>
          <w:rStyle w:val="Emphasis"/>
          <w:rFonts w:ascii="Arial" w:eastAsiaTheme="majorEastAsia" w:hAnsi="Arial" w:cs="Arial"/>
          <w:i w:val="0"/>
          <w:sz w:val="20"/>
          <w:highlight w:val="yellow"/>
        </w:rPr>
        <w:t>capricolum</w:t>
      </w:r>
      <w:proofErr w:type="spellEnd"/>
      <w:r w:rsidRPr="001F3A27">
        <w:rPr>
          <w:rFonts w:ascii="Arial" w:hAnsi="Arial" w:cs="Arial"/>
          <w:i/>
          <w:sz w:val="20"/>
          <w:highlight w:val="yellow"/>
        </w:rPr>
        <w:t xml:space="preserve"> subsp. </w:t>
      </w:r>
      <w:proofErr w:type="spellStart"/>
      <w:r w:rsidRPr="001F3A27">
        <w:rPr>
          <w:rStyle w:val="Emphasis"/>
          <w:rFonts w:ascii="Arial" w:eastAsiaTheme="majorEastAsia" w:hAnsi="Arial" w:cs="Arial"/>
          <w:i w:val="0"/>
          <w:sz w:val="20"/>
          <w:highlight w:val="yellow"/>
        </w:rPr>
        <w:t>capripneumoniae</w:t>
      </w:r>
      <w:proofErr w:type="spellEnd"/>
      <w:r w:rsidRPr="001F3A27">
        <w:rPr>
          <w:rFonts w:ascii="Arial" w:hAnsi="Arial" w:cs="Arial"/>
          <w:i/>
          <w:sz w:val="20"/>
          <w:highlight w:val="yellow"/>
        </w:rPr>
        <w:t>; Marbling; PCR; Pathology</w:t>
      </w:r>
    </w:p>
    <w:p w14:paraId="77E280C3" w14:textId="5DB8A413" w:rsidR="00F959F7" w:rsidRPr="00177A0B" w:rsidRDefault="001F3A27" w:rsidP="001F3A27">
      <w:pPr>
        <w:pStyle w:val="ListParagraph"/>
        <w:numPr>
          <w:ilvl w:val="0"/>
          <w:numId w:val="5"/>
        </w:numPr>
        <w:spacing w:after="0" w:line="240" w:lineRule="auto"/>
        <w:jc w:val="both"/>
        <w:rPr>
          <w:rFonts w:ascii="Arial" w:hAnsi="Arial" w:cs="Arial"/>
          <w:b/>
          <w:bCs/>
          <w:szCs w:val="20"/>
        </w:rPr>
      </w:pPr>
      <w:r w:rsidRPr="00177A0B">
        <w:rPr>
          <w:rFonts w:ascii="Arial" w:hAnsi="Arial" w:cs="Arial"/>
          <w:b/>
          <w:bCs/>
          <w:szCs w:val="20"/>
        </w:rPr>
        <w:t xml:space="preserve"> </w:t>
      </w:r>
      <w:r w:rsidR="00F959F7" w:rsidRPr="00177A0B">
        <w:rPr>
          <w:rFonts w:ascii="Arial" w:hAnsi="Arial" w:cs="Arial"/>
          <w:b/>
          <w:bCs/>
          <w:szCs w:val="20"/>
        </w:rPr>
        <w:t>INTRODUCTION</w:t>
      </w:r>
    </w:p>
    <w:p w14:paraId="020380D1" w14:textId="77777777" w:rsidR="004E5BF9" w:rsidRDefault="00F959F7" w:rsidP="00177A0B">
      <w:pPr>
        <w:spacing w:line="240" w:lineRule="auto"/>
        <w:jc w:val="both"/>
        <w:rPr>
          <w:rFonts w:ascii="Arial" w:hAnsi="Arial" w:cs="Arial"/>
          <w:sz w:val="20"/>
          <w:szCs w:val="20"/>
        </w:rPr>
      </w:pPr>
      <w:r w:rsidRPr="00177A0B">
        <w:rPr>
          <w:rFonts w:ascii="Arial" w:hAnsi="Arial" w:cs="Arial"/>
          <w:sz w:val="20"/>
          <w:szCs w:val="20"/>
        </w:rPr>
        <w:t>In India sheep and goat farming is actively promoted by the government itself as a means to enhance livelihood security and achieve food security. These forms are now playing crucial role as the backbone of the rural economy in India, playing a vital role in improving the livelihood security and socio-economic status of rural and peri-urban communities, especially in developing countries across Africa and Asia. In these regions, outbreaks of CCPP can result in morbidity rates approaching 100% and mortality ranging from 60–80%, leading to severe production losses, trade restrictions, and disruption of rural economies (</w:t>
      </w:r>
      <w:proofErr w:type="spellStart"/>
      <w:r w:rsidRPr="00177A0B">
        <w:rPr>
          <w:rFonts w:ascii="Arial" w:hAnsi="Arial" w:cs="Arial"/>
          <w:sz w:val="20"/>
          <w:szCs w:val="20"/>
        </w:rPr>
        <w:t>Thiaucourt</w:t>
      </w:r>
      <w:proofErr w:type="spellEnd"/>
      <w:r w:rsidRPr="00177A0B">
        <w:rPr>
          <w:rFonts w:ascii="Arial" w:hAnsi="Arial" w:cs="Arial"/>
          <w:sz w:val="20"/>
          <w:szCs w:val="20"/>
        </w:rPr>
        <w:t xml:space="preserve"> </w:t>
      </w:r>
      <w:r w:rsidRPr="00177A0B">
        <w:rPr>
          <w:rFonts w:ascii="Arial" w:hAnsi="Arial" w:cs="Arial"/>
          <w:i/>
          <w:iCs/>
          <w:sz w:val="20"/>
          <w:szCs w:val="20"/>
        </w:rPr>
        <w:t>et al.,</w:t>
      </w:r>
      <w:r w:rsidRPr="00177A0B">
        <w:rPr>
          <w:rFonts w:ascii="Arial" w:hAnsi="Arial" w:cs="Arial"/>
          <w:sz w:val="20"/>
          <w:szCs w:val="20"/>
        </w:rPr>
        <w:t xml:space="preserve"> 1996). Contagious caprine pleuropneumonia (CCPP) is a serious disease of goat with high morbidity and mortality rates. It is recognized as one of the most economically devastating </w:t>
      </w:r>
      <w:proofErr w:type="spellStart"/>
      <w:r w:rsidRPr="00177A0B">
        <w:rPr>
          <w:rFonts w:ascii="Arial" w:hAnsi="Arial" w:cs="Arial"/>
          <w:sz w:val="20"/>
          <w:szCs w:val="20"/>
        </w:rPr>
        <w:t>mycoplasmal</w:t>
      </w:r>
      <w:proofErr w:type="spellEnd"/>
      <w:r w:rsidRPr="00177A0B">
        <w:rPr>
          <w:rFonts w:ascii="Arial" w:hAnsi="Arial" w:cs="Arial"/>
          <w:sz w:val="20"/>
          <w:szCs w:val="20"/>
        </w:rPr>
        <w:t xml:space="preserve"> diseases of goats and is listed by the World Organisation for Animal Health (WOAH, formerly OIE) as a notifiable transboundary animal disease due to its rapid spread and serious socio-economic consequences (WOAH, 2022). </w:t>
      </w:r>
    </w:p>
    <w:p w14:paraId="789DC1B9" w14:textId="77777777" w:rsidR="004E5BF9" w:rsidRDefault="004E5BF9" w:rsidP="00177A0B">
      <w:pPr>
        <w:spacing w:line="240" w:lineRule="auto"/>
        <w:ind w:firstLine="720"/>
        <w:jc w:val="both"/>
        <w:rPr>
          <w:rFonts w:ascii="Arial" w:hAnsi="Arial" w:cs="Arial"/>
          <w:sz w:val="20"/>
        </w:rPr>
      </w:pPr>
      <w:r w:rsidRPr="004E5BF9">
        <w:rPr>
          <w:rFonts w:ascii="Arial" w:hAnsi="Arial" w:cs="Arial"/>
          <w:sz w:val="20"/>
          <w:highlight w:val="yellow"/>
        </w:rPr>
        <w:t xml:space="preserve">Diagnosis of contagious caprine pleuropneumonia is often complicated by the non-specific nature of early clinical signs and its close resemblance to other caprine respiratory diseases such as pasteurellosis, </w:t>
      </w:r>
      <w:proofErr w:type="spellStart"/>
      <w:r w:rsidRPr="004E5BF9">
        <w:rPr>
          <w:rFonts w:ascii="Arial" w:hAnsi="Arial" w:cs="Arial"/>
          <w:sz w:val="20"/>
          <w:highlight w:val="yellow"/>
        </w:rPr>
        <w:t>peste</w:t>
      </w:r>
      <w:proofErr w:type="spellEnd"/>
      <w:r w:rsidRPr="004E5BF9">
        <w:rPr>
          <w:rFonts w:ascii="Arial" w:hAnsi="Arial" w:cs="Arial"/>
          <w:sz w:val="20"/>
          <w:highlight w:val="yellow"/>
        </w:rPr>
        <w:t xml:space="preserve"> des petits ruminants, and contagious agalactia. Field diagnosis based solely on clinical manifestations and gross lesions may therefore lead to misdiagnosis and delayed control measures (Nicholas et al., 2008; Nicholas and Churchward, 2012). Conventional isolation of </w:t>
      </w:r>
      <w:r w:rsidRPr="004E5BF9">
        <w:rPr>
          <w:rStyle w:val="Emphasis"/>
          <w:rFonts w:ascii="Arial" w:hAnsi="Arial" w:cs="Arial"/>
          <w:sz w:val="20"/>
          <w:highlight w:val="yellow"/>
        </w:rPr>
        <w:t xml:space="preserve">Mycoplasma </w:t>
      </w:r>
      <w:proofErr w:type="spellStart"/>
      <w:r w:rsidRPr="004E5BF9">
        <w:rPr>
          <w:rStyle w:val="Emphasis"/>
          <w:rFonts w:ascii="Arial" w:hAnsi="Arial" w:cs="Arial"/>
          <w:sz w:val="20"/>
          <w:highlight w:val="yellow"/>
        </w:rPr>
        <w:t>capricolum</w:t>
      </w:r>
      <w:proofErr w:type="spellEnd"/>
      <w:r w:rsidRPr="004E5BF9">
        <w:rPr>
          <w:rFonts w:ascii="Arial" w:hAnsi="Arial" w:cs="Arial"/>
          <w:sz w:val="20"/>
          <w:highlight w:val="yellow"/>
        </w:rPr>
        <w:t xml:space="preserve"> subsp. </w:t>
      </w:r>
      <w:proofErr w:type="spellStart"/>
      <w:r w:rsidRPr="004E5BF9">
        <w:rPr>
          <w:rStyle w:val="Emphasis"/>
          <w:rFonts w:ascii="Arial" w:hAnsi="Arial" w:cs="Arial"/>
          <w:sz w:val="20"/>
          <w:highlight w:val="yellow"/>
        </w:rPr>
        <w:t>capripneumoniae</w:t>
      </w:r>
      <w:proofErr w:type="spellEnd"/>
      <w:r w:rsidRPr="004E5BF9">
        <w:rPr>
          <w:rFonts w:ascii="Arial" w:hAnsi="Arial" w:cs="Arial"/>
          <w:sz w:val="20"/>
          <w:highlight w:val="yellow"/>
        </w:rPr>
        <w:t xml:space="preserve"> is laborious and time-consuming due to the fastidious growth requirements of the organism (</w:t>
      </w:r>
      <w:proofErr w:type="spellStart"/>
      <w:r w:rsidRPr="004E5BF9">
        <w:rPr>
          <w:rFonts w:ascii="Arial" w:hAnsi="Arial" w:cs="Arial"/>
          <w:sz w:val="20"/>
          <w:highlight w:val="yellow"/>
        </w:rPr>
        <w:t>Bölske</w:t>
      </w:r>
      <w:proofErr w:type="spellEnd"/>
      <w:r w:rsidRPr="004E5BF9">
        <w:rPr>
          <w:rFonts w:ascii="Arial" w:hAnsi="Arial" w:cs="Arial"/>
          <w:sz w:val="20"/>
          <w:highlight w:val="yellow"/>
        </w:rPr>
        <w:t xml:space="preserve"> et al., 1996; </w:t>
      </w:r>
      <w:proofErr w:type="spellStart"/>
      <w:r w:rsidRPr="004E5BF9">
        <w:rPr>
          <w:rFonts w:ascii="Arial" w:hAnsi="Arial" w:cs="Arial"/>
          <w:sz w:val="20"/>
          <w:highlight w:val="yellow"/>
        </w:rPr>
        <w:t>Thiaucourt</w:t>
      </w:r>
      <w:proofErr w:type="spellEnd"/>
      <w:r w:rsidRPr="004E5BF9">
        <w:rPr>
          <w:rFonts w:ascii="Arial" w:hAnsi="Arial" w:cs="Arial"/>
          <w:sz w:val="20"/>
          <w:highlight w:val="yellow"/>
        </w:rPr>
        <w:t xml:space="preserve"> and </w:t>
      </w:r>
      <w:proofErr w:type="spellStart"/>
      <w:r w:rsidRPr="004E5BF9">
        <w:rPr>
          <w:rFonts w:ascii="Arial" w:hAnsi="Arial" w:cs="Arial"/>
          <w:sz w:val="20"/>
          <w:highlight w:val="yellow"/>
        </w:rPr>
        <w:t>Bölske</w:t>
      </w:r>
      <w:proofErr w:type="spellEnd"/>
      <w:r w:rsidRPr="004E5BF9">
        <w:rPr>
          <w:rFonts w:ascii="Arial" w:hAnsi="Arial" w:cs="Arial"/>
          <w:sz w:val="20"/>
          <w:highlight w:val="yellow"/>
        </w:rPr>
        <w:t xml:space="preserve">, 1996). Consequently, confirmatory diagnosis increasingly relies on the integration of pathological examination with molecular techniques. Histopathology provides valuable insights into disease pathogenesis and lesion progression, while polymerase chain reaction (PCR) targeting specific genes such as </w:t>
      </w:r>
      <w:proofErr w:type="spellStart"/>
      <w:r w:rsidRPr="004E5BF9">
        <w:rPr>
          <w:rStyle w:val="Emphasis"/>
          <w:rFonts w:ascii="Arial" w:hAnsi="Arial" w:cs="Arial"/>
          <w:sz w:val="20"/>
          <w:highlight w:val="yellow"/>
        </w:rPr>
        <w:t>arcD</w:t>
      </w:r>
      <w:proofErr w:type="spellEnd"/>
      <w:r w:rsidRPr="004E5BF9">
        <w:rPr>
          <w:rFonts w:ascii="Arial" w:hAnsi="Arial" w:cs="Arial"/>
          <w:sz w:val="20"/>
          <w:highlight w:val="yellow"/>
        </w:rPr>
        <w:t xml:space="preserve"> enables rapid, sensitive, and specific detection of the pathogen directly from clinical samples (</w:t>
      </w:r>
      <w:proofErr w:type="spellStart"/>
      <w:r w:rsidRPr="004E5BF9">
        <w:rPr>
          <w:rFonts w:ascii="Arial" w:hAnsi="Arial" w:cs="Arial"/>
          <w:sz w:val="20"/>
          <w:highlight w:val="yellow"/>
        </w:rPr>
        <w:t>Woubit</w:t>
      </w:r>
      <w:proofErr w:type="spellEnd"/>
      <w:r w:rsidRPr="004E5BF9">
        <w:rPr>
          <w:rFonts w:ascii="Arial" w:hAnsi="Arial" w:cs="Arial"/>
          <w:sz w:val="20"/>
          <w:highlight w:val="yellow"/>
        </w:rPr>
        <w:t xml:space="preserve"> et al., 2004; Abraham et al., 2015). An integrated </w:t>
      </w:r>
      <w:proofErr w:type="spellStart"/>
      <w:r w:rsidRPr="004E5BF9">
        <w:rPr>
          <w:rFonts w:ascii="Arial" w:hAnsi="Arial" w:cs="Arial"/>
          <w:sz w:val="20"/>
          <w:highlight w:val="yellow"/>
        </w:rPr>
        <w:t>clinico</w:t>
      </w:r>
      <w:proofErr w:type="spellEnd"/>
      <w:r w:rsidRPr="004E5BF9">
        <w:rPr>
          <w:rFonts w:ascii="Arial" w:hAnsi="Arial" w:cs="Arial"/>
          <w:sz w:val="20"/>
          <w:highlight w:val="yellow"/>
        </w:rPr>
        <w:t>-pathological and molecular diagnostic approach is therefore essential for accurate confirmation of CCPP, particularly in endemic regions where early intervention is critical to limit disease spread and economic losses (</w:t>
      </w:r>
      <w:proofErr w:type="spellStart"/>
      <w:r w:rsidRPr="004E5BF9">
        <w:rPr>
          <w:rFonts w:ascii="Arial" w:hAnsi="Arial" w:cs="Arial"/>
          <w:sz w:val="20"/>
          <w:highlight w:val="yellow"/>
        </w:rPr>
        <w:t>Yatoo</w:t>
      </w:r>
      <w:proofErr w:type="spellEnd"/>
      <w:r w:rsidRPr="004E5BF9">
        <w:rPr>
          <w:rFonts w:ascii="Arial" w:hAnsi="Arial" w:cs="Arial"/>
          <w:sz w:val="20"/>
          <w:highlight w:val="yellow"/>
        </w:rPr>
        <w:t xml:space="preserve"> et al., 2018; WOAH, 2022).</w:t>
      </w:r>
    </w:p>
    <w:p w14:paraId="14F8865A" w14:textId="2B8DC3D0" w:rsidR="00F959F7" w:rsidRPr="00177A0B" w:rsidRDefault="00F959F7" w:rsidP="00177A0B">
      <w:pPr>
        <w:spacing w:line="240" w:lineRule="auto"/>
        <w:ind w:firstLine="720"/>
        <w:jc w:val="both"/>
        <w:rPr>
          <w:rFonts w:ascii="Arial" w:hAnsi="Arial" w:cs="Arial"/>
          <w:sz w:val="20"/>
          <w:szCs w:val="20"/>
        </w:rPr>
      </w:pPr>
      <w:r w:rsidRPr="00177A0B">
        <w:rPr>
          <w:rFonts w:ascii="Arial" w:hAnsi="Arial" w:cs="Arial"/>
          <w:sz w:val="20"/>
          <w:szCs w:val="20"/>
        </w:rPr>
        <w:t xml:space="preserve">CCPP is caused by </w:t>
      </w:r>
      <w:r w:rsidRPr="00177A0B">
        <w:rPr>
          <w:rFonts w:ascii="Arial" w:hAnsi="Arial" w:cs="Arial"/>
          <w:i/>
          <w:iCs/>
          <w:sz w:val="20"/>
          <w:szCs w:val="20"/>
        </w:rPr>
        <w:t xml:space="preserve">Mycoplasma </w:t>
      </w:r>
      <w:proofErr w:type="spellStart"/>
      <w:r w:rsidRPr="00177A0B">
        <w:rPr>
          <w:rFonts w:ascii="Arial" w:hAnsi="Arial" w:cs="Arial"/>
          <w:i/>
          <w:iCs/>
          <w:sz w:val="20"/>
          <w:szCs w:val="20"/>
        </w:rPr>
        <w:t>capricolum</w:t>
      </w:r>
      <w:proofErr w:type="spellEnd"/>
      <w:r w:rsidRPr="00177A0B">
        <w:rPr>
          <w:rFonts w:ascii="Arial" w:hAnsi="Arial" w:cs="Arial"/>
          <w:i/>
          <w:iCs/>
          <w:sz w:val="20"/>
          <w:szCs w:val="20"/>
        </w:rPr>
        <w:t xml:space="preserve"> subsp. </w:t>
      </w:r>
      <w:proofErr w:type="spellStart"/>
      <w:r w:rsidRPr="00177A0B">
        <w:rPr>
          <w:rFonts w:ascii="Arial" w:hAnsi="Arial" w:cs="Arial"/>
          <w:i/>
          <w:iCs/>
          <w:sz w:val="20"/>
          <w:szCs w:val="20"/>
        </w:rPr>
        <w:t>capripneumoniae</w:t>
      </w:r>
      <w:proofErr w:type="spellEnd"/>
      <w:r w:rsidRPr="00177A0B">
        <w:rPr>
          <w:rFonts w:ascii="Arial" w:hAnsi="Arial" w:cs="Arial"/>
          <w:i/>
          <w:iCs/>
          <w:sz w:val="20"/>
          <w:szCs w:val="20"/>
        </w:rPr>
        <w:t xml:space="preserve"> (</w:t>
      </w:r>
      <w:proofErr w:type="spellStart"/>
      <w:r w:rsidRPr="00177A0B">
        <w:rPr>
          <w:rFonts w:ascii="Arial" w:hAnsi="Arial" w:cs="Arial"/>
          <w:i/>
          <w:iCs/>
          <w:sz w:val="20"/>
          <w:szCs w:val="20"/>
        </w:rPr>
        <w:t>Mccp</w:t>
      </w:r>
      <w:proofErr w:type="spellEnd"/>
      <w:r w:rsidRPr="00177A0B">
        <w:rPr>
          <w:rFonts w:ascii="Arial" w:hAnsi="Arial" w:cs="Arial"/>
          <w:i/>
          <w:iCs/>
          <w:sz w:val="20"/>
          <w:szCs w:val="20"/>
        </w:rPr>
        <w:t xml:space="preserve">) </w:t>
      </w:r>
      <w:r w:rsidRPr="00177A0B">
        <w:rPr>
          <w:rFonts w:ascii="Arial" w:hAnsi="Arial" w:cs="Arial"/>
          <w:sz w:val="20"/>
          <w:szCs w:val="20"/>
        </w:rPr>
        <w:t>which was previously known as Mycoplasma F38 strain (</w:t>
      </w:r>
      <w:proofErr w:type="spellStart"/>
      <w:r w:rsidR="008E5AA1" w:rsidRPr="00177A0B">
        <w:rPr>
          <w:rFonts w:ascii="Arial" w:hAnsi="Arial" w:cs="Arial"/>
          <w:sz w:val="20"/>
          <w:szCs w:val="20"/>
        </w:rPr>
        <w:t>Bascuñana</w:t>
      </w:r>
      <w:proofErr w:type="spellEnd"/>
      <w:r w:rsidRPr="00177A0B">
        <w:rPr>
          <w:rFonts w:ascii="Arial" w:hAnsi="Arial" w:cs="Arial"/>
          <w:sz w:val="20"/>
          <w:szCs w:val="20"/>
        </w:rPr>
        <w:t xml:space="preserve"> </w:t>
      </w:r>
      <w:r w:rsidRPr="00177A0B">
        <w:rPr>
          <w:rFonts w:ascii="Arial" w:hAnsi="Arial" w:cs="Arial"/>
          <w:i/>
          <w:iCs/>
          <w:sz w:val="20"/>
          <w:szCs w:val="20"/>
        </w:rPr>
        <w:t>et al</w:t>
      </w:r>
      <w:r w:rsidRPr="00177A0B">
        <w:rPr>
          <w:rFonts w:ascii="Arial" w:hAnsi="Arial" w:cs="Arial"/>
          <w:sz w:val="20"/>
          <w:szCs w:val="20"/>
        </w:rPr>
        <w:t xml:space="preserve">.,1994, </w:t>
      </w:r>
      <w:proofErr w:type="spellStart"/>
      <w:r w:rsidRPr="00177A0B">
        <w:rPr>
          <w:rFonts w:ascii="Arial" w:hAnsi="Arial" w:cs="Arial"/>
          <w:sz w:val="20"/>
          <w:szCs w:val="20"/>
        </w:rPr>
        <w:t>Bolske</w:t>
      </w:r>
      <w:proofErr w:type="spellEnd"/>
      <w:r w:rsidRPr="00177A0B">
        <w:rPr>
          <w:rFonts w:ascii="Arial" w:hAnsi="Arial" w:cs="Arial"/>
          <w:sz w:val="20"/>
          <w:szCs w:val="20"/>
        </w:rPr>
        <w:t xml:space="preserve"> </w:t>
      </w:r>
      <w:r w:rsidRPr="00177A0B">
        <w:rPr>
          <w:rFonts w:ascii="Arial" w:hAnsi="Arial" w:cs="Arial"/>
          <w:i/>
          <w:iCs/>
          <w:sz w:val="20"/>
          <w:szCs w:val="20"/>
        </w:rPr>
        <w:t>et al</w:t>
      </w:r>
      <w:r w:rsidRPr="00177A0B">
        <w:rPr>
          <w:rFonts w:ascii="Arial" w:hAnsi="Arial" w:cs="Arial"/>
          <w:sz w:val="20"/>
          <w:szCs w:val="20"/>
        </w:rPr>
        <w:t xml:space="preserve">., 1996 and Abraham </w:t>
      </w:r>
      <w:r w:rsidRPr="00177A0B">
        <w:rPr>
          <w:rFonts w:ascii="Arial" w:hAnsi="Arial" w:cs="Arial"/>
          <w:i/>
          <w:iCs/>
          <w:sz w:val="20"/>
          <w:szCs w:val="20"/>
        </w:rPr>
        <w:lastRenderedPageBreak/>
        <w:t>et al</w:t>
      </w:r>
      <w:r w:rsidRPr="00177A0B">
        <w:rPr>
          <w:rFonts w:ascii="Arial" w:hAnsi="Arial" w:cs="Arial"/>
          <w:sz w:val="20"/>
          <w:szCs w:val="20"/>
        </w:rPr>
        <w:t xml:space="preserve">., 2015). The disease is characterized by acute fibrinous pleuropneumonia, severe respiratory distress, and high mortality, particularly in naïve goat populations (Nicholas </w:t>
      </w:r>
      <w:r w:rsidRPr="00177A0B">
        <w:rPr>
          <w:rFonts w:ascii="Arial" w:hAnsi="Arial" w:cs="Arial"/>
          <w:i/>
          <w:iCs/>
          <w:sz w:val="20"/>
          <w:szCs w:val="20"/>
        </w:rPr>
        <w:t>et al.,</w:t>
      </w:r>
      <w:r w:rsidRPr="00177A0B">
        <w:rPr>
          <w:rFonts w:ascii="Arial" w:hAnsi="Arial" w:cs="Arial"/>
          <w:sz w:val="20"/>
          <w:szCs w:val="20"/>
        </w:rPr>
        <w:t xml:space="preserve"> 2008). The principal lesion at necropsy is fibrinous pleuropneumonia with massive lung consolidation, accompanied by accumulation of straw-coloured pleural fluid.  Affected goats are characterized by fever, coughing and severe respiratory signs with pneumonic changes causing a fatal condition (Abraham </w:t>
      </w:r>
      <w:r w:rsidRPr="00177A0B">
        <w:rPr>
          <w:rFonts w:ascii="Arial" w:hAnsi="Arial" w:cs="Arial"/>
          <w:i/>
          <w:iCs/>
          <w:sz w:val="20"/>
          <w:szCs w:val="20"/>
        </w:rPr>
        <w:t>et al</w:t>
      </w:r>
      <w:r w:rsidRPr="00177A0B">
        <w:rPr>
          <w:rFonts w:ascii="Arial" w:hAnsi="Arial" w:cs="Arial"/>
          <w:sz w:val="20"/>
          <w:szCs w:val="20"/>
        </w:rPr>
        <w:t xml:space="preserve">., 2015 and </w:t>
      </w:r>
      <w:proofErr w:type="spellStart"/>
      <w:r w:rsidRPr="00177A0B">
        <w:rPr>
          <w:rFonts w:ascii="Arial" w:hAnsi="Arial" w:cs="Arial"/>
          <w:sz w:val="20"/>
          <w:szCs w:val="20"/>
        </w:rPr>
        <w:t>Yatoo</w:t>
      </w:r>
      <w:proofErr w:type="spellEnd"/>
      <w:r w:rsidRPr="00177A0B">
        <w:rPr>
          <w:rFonts w:ascii="Arial" w:hAnsi="Arial" w:cs="Arial"/>
          <w:sz w:val="20"/>
          <w:szCs w:val="20"/>
        </w:rPr>
        <w:t xml:space="preserve"> </w:t>
      </w:r>
      <w:r w:rsidRPr="00177A0B">
        <w:rPr>
          <w:rFonts w:ascii="Arial" w:hAnsi="Arial" w:cs="Arial"/>
          <w:i/>
          <w:iCs/>
          <w:sz w:val="20"/>
          <w:szCs w:val="20"/>
        </w:rPr>
        <w:t>et al</w:t>
      </w:r>
      <w:r w:rsidRPr="00177A0B">
        <w:rPr>
          <w:rFonts w:ascii="Arial" w:hAnsi="Arial" w:cs="Arial"/>
          <w:sz w:val="20"/>
          <w:szCs w:val="20"/>
        </w:rPr>
        <w:t>., 2019). Due to the fastidious nature of the causative organism and similarities with other caprine respiratory diseases, definitive diagnosis remains challenging and requires laboratory confirmation using serological and molecular techniques such as competitive ELISA and PCR. Despite advances in diagnostic tools and vaccination strategies, control of CCPP remains difficult in endemic regions due to limited surveillance, unrestricted animal movement, and inadequate awareness among farmers. Effective prevention relies on early detection, quarantine measures, vaccination, and strengthening of disease reporting systems (WOAH, 2022). In view of the growing importance of goats in food security and poverty alleviation, a comprehensive understanding of the epidemiology, pathogenesis, diagnosis, and control measures of CCPP is essential. Hence, confirmative diagnosis of CCPP is essential and should be rapid for this devasting disease in endemic areas, to lower the morbidity and mortality rates (</w:t>
      </w:r>
      <w:proofErr w:type="spellStart"/>
      <w:r w:rsidRPr="00177A0B">
        <w:rPr>
          <w:rFonts w:ascii="Arial" w:hAnsi="Arial" w:cs="Arial"/>
          <w:color w:val="000000" w:themeColor="text1"/>
          <w:sz w:val="20"/>
          <w:szCs w:val="20"/>
        </w:rPr>
        <w:t>Yatoo</w:t>
      </w:r>
      <w:proofErr w:type="spellEnd"/>
      <w:r w:rsidRPr="00177A0B">
        <w:rPr>
          <w:rFonts w:ascii="Arial" w:hAnsi="Arial" w:cs="Arial"/>
          <w:color w:val="000000" w:themeColor="text1"/>
          <w:sz w:val="20"/>
          <w:szCs w:val="20"/>
        </w:rPr>
        <w:t xml:space="preserve"> </w:t>
      </w:r>
      <w:r w:rsidRPr="00177A0B">
        <w:rPr>
          <w:rFonts w:ascii="Arial" w:hAnsi="Arial" w:cs="Arial"/>
          <w:i/>
          <w:iCs/>
          <w:color w:val="000000" w:themeColor="text1"/>
          <w:sz w:val="20"/>
          <w:szCs w:val="20"/>
        </w:rPr>
        <w:t>et al</w:t>
      </w:r>
      <w:r w:rsidRPr="00177A0B">
        <w:rPr>
          <w:rFonts w:ascii="Arial" w:hAnsi="Arial" w:cs="Arial"/>
          <w:color w:val="000000" w:themeColor="text1"/>
          <w:sz w:val="20"/>
          <w:szCs w:val="20"/>
        </w:rPr>
        <w:t xml:space="preserve">., 2018 and </w:t>
      </w:r>
      <w:proofErr w:type="spellStart"/>
      <w:r w:rsidRPr="00177A0B">
        <w:rPr>
          <w:rFonts w:ascii="Arial" w:hAnsi="Arial" w:cs="Arial"/>
          <w:color w:val="000000" w:themeColor="text1"/>
          <w:sz w:val="20"/>
          <w:szCs w:val="20"/>
        </w:rPr>
        <w:t>Parray</w:t>
      </w:r>
      <w:proofErr w:type="spellEnd"/>
      <w:r w:rsidRPr="00177A0B">
        <w:rPr>
          <w:rFonts w:ascii="Arial" w:hAnsi="Arial" w:cs="Arial"/>
          <w:color w:val="000000" w:themeColor="text1"/>
          <w:sz w:val="20"/>
          <w:szCs w:val="20"/>
        </w:rPr>
        <w:t xml:space="preserve"> </w:t>
      </w:r>
      <w:r w:rsidRPr="00177A0B">
        <w:rPr>
          <w:rFonts w:ascii="Arial" w:hAnsi="Arial" w:cs="Arial"/>
          <w:i/>
          <w:iCs/>
          <w:color w:val="000000" w:themeColor="text1"/>
          <w:sz w:val="20"/>
          <w:szCs w:val="20"/>
        </w:rPr>
        <w:t>et al</w:t>
      </w:r>
      <w:r w:rsidRPr="00177A0B">
        <w:rPr>
          <w:rFonts w:ascii="Arial" w:hAnsi="Arial" w:cs="Arial"/>
          <w:color w:val="000000" w:themeColor="text1"/>
          <w:sz w:val="20"/>
          <w:szCs w:val="20"/>
        </w:rPr>
        <w:t>., 2019)</w:t>
      </w:r>
      <w:r w:rsidRPr="00177A0B">
        <w:rPr>
          <w:rFonts w:ascii="Arial" w:hAnsi="Arial" w:cs="Arial"/>
          <w:sz w:val="20"/>
          <w:szCs w:val="20"/>
        </w:rPr>
        <w:t xml:space="preserve">. So, the current case study will provide insights of clinic-pathological and molecular confirmation of CCPP in Goats. </w:t>
      </w:r>
    </w:p>
    <w:p w14:paraId="1D46EF08" w14:textId="432684B8" w:rsidR="00F959F7" w:rsidRPr="00177A0B" w:rsidRDefault="00F959F7" w:rsidP="00177A0B">
      <w:pPr>
        <w:spacing w:after="0" w:line="240" w:lineRule="auto"/>
        <w:jc w:val="both"/>
        <w:rPr>
          <w:rFonts w:ascii="Arial" w:hAnsi="Arial" w:cs="Arial"/>
          <w:b/>
          <w:bCs/>
          <w:sz w:val="20"/>
          <w:szCs w:val="20"/>
        </w:rPr>
      </w:pPr>
      <w:r w:rsidRPr="00177A0B">
        <w:rPr>
          <w:rFonts w:ascii="Arial" w:hAnsi="Arial" w:cs="Arial"/>
          <w:b/>
          <w:bCs/>
          <w:sz w:val="20"/>
          <w:szCs w:val="20"/>
        </w:rPr>
        <w:t>HISTORY AND OBSERVATIONS</w:t>
      </w:r>
    </w:p>
    <w:p w14:paraId="454CD28F" w14:textId="744A8034" w:rsidR="00F959F7" w:rsidRPr="00177A0B" w:rsidRDefault="00F959F7" w:rsidP="00177A0B">
      <w:pPr>
        <w:spacing w:line="240" w:lineRule="auto"/>
        <w:jc w:val="both"/>
        <w:rPr>
          <w:rFonts w:ascii="Arial" w:hAnsi="Arial" w:cs="Arial"/>
          <w:sz w:val="20"/>
          <w:szCs w:val="20"/>
        </w:rPr>
      </w:pPr>
      <w:r w:rsidRPr="00177A0B">
        <w:rPr>
          <w:rFonts w:ascii="Arial" w:hAnsi="Arial" w:cs="Arial"/>
          <w:sz w:val="20"/>
          <w:szCs w:val="20"/>
        </w:rPr>
        <w:t xml:space="preserve">In the present study eleven goats of different age group among three goat flocks in </w:t>
      </w:r>
      <w:proofErr w:type="spellStart"/>
      <w:r w:rsidRPr="00177A0B">
        <w:rPr>
          <w:rFonts w:ascii="Arial" w:hAnsi="Arial" w:cs="Arial"/>
          <w:sz w:val="20"/>
          <w:szCs w:val="20"/>
        </w:rPr>
        <w:t>Thotaravulapadu</w:t>
      </w:r>
      <w:proofErr w:type="spellEnd"/>
      <w:r w:rsidRPr="00177A0B">
        <w:rPr>
          <w:rFonts w:ascii="Arial" w:hAnsi="Arial" w:cs="Arial"/>
          <w:sz w:val="20"/>
          <w:szCs w:val="20"/>
        </w:rPr>
        <w:t xml:space="preserve"> village, NTR district, Andhra Pradesh presented with history of clinical signs like respiratory distress, with </w:t>
      </w:r>
      <w:proofErr w:type="spellStart"/>
      <w:r w:rsidRPr="00177A0B">
        <w:rPr>
          <w:rFonts w:ascii="Arial" w:hAnsi="Arial" w:cs="Arial"/>
          <w:sz w:val="20"/>
          <w:szCs w:val="20"/>
        </w:rPr>
        <w:t>sero</w:t>
      </w:r>
      <w:proofErr w:type="spellEnd"/>
      <w:r w:rsidRPr="00177A0B">
        <w:rPr>
          <w:rFonts w:ascii="Arial" w:hAnsi="Arial" w:cs="Arial"/>
          <w:sz w:val="20"/>
          <w:szCs w:val="20"/>
        </w:rPr>
        <w:t xml:space="preserve">-mucoid nasal discharges, coughing, dyspnoea, pyrexia and </w:t>
      </w:r>
      <w:r w:rsidRPr="001F3A27">
        <w:rPr>
          <w:rFonts w:ascii="Arial" w:hAnsi="Arial" w:cs="Arial"/>
          <w:sz w:val="20"/>
          <w:szCs w:val="20"/>
          <w:highlight w:val="yellow"/>
        </w:rPr>
        <w:t>general malaise (Fig.</w:t>
      </w:r>
      <w:r w:rsidR="001F3A27">
        <w:rPr>
          <w:rFonts w:ascii="Arial" w:hAnsi="Arial" w:cs="Arial"/>
          <w:sz w:val="20"/>
          <w:szCs w:val="20"/>
          <w:highlight w:val="yellow"/>
        </w:rPr>
        <w:t xml:space="preserve"> </w:t>
      </w:r>
      <w:r w:rsidRPr="001F3A27">
        <w:rPr>
          <w:rFonts w:ascii="Arial" w:hAnsi="Arial" w:cs="Arial"/>
          <w:sz w:val="20"/>
          <w:szCs w:val="20"/>
          <w:highlight w:val="yellow"/>
        </w:rPr>
        <w:t xml:space="preserve">1). </w:t>
      </w:r>
      <w:r w:rsidRPr="00177A0B">
        <w:rPr>
          <w:rFonts w:ascii="Arial" w:hAnsi="Arial" w:cs="Arial"/>
          <w:sz w:val="20"/>
          <w:szCs w:val="20"/>
        </w:rPr>
        <w:t xml:space="preserve">Among them, three kids of age four months died and were brought for postmortem examination. At necropsy, external examination showed muco-purulent discharges from nostrils and skin eruptions on the rim of nostrils. Internal examination revealed approximately 100ml of tan yellow coloured serous fluid in thoracic cavity and fibrinous pleural </w:t>
      </w:r>
      <w:r w:rsidRPr="001F3A27">
        <w:rPr>
          <w:rFonts w:ascii="Arial" w:hAnsi="Arial" w:cs="Arial"/>
          <w:sz w:val="20"/>
          <w:szCs w:val="20"/>
          <w:highlight w:val="yellow"/>
        </w:rPr>
        <w:t>adhesions bilaterally (Fig.</w:t>
      </w:r>
      <w:r w:rsidR="001F3A27" w:rsidRPr="001F3A27">
        <w:rPr>
          <w:rFonts w:ascii="Arial" w:hAnsi="Arial" w:cs="Arial"/>
          <w:sz w:val="20"/>
          <w:szCs w:val="20"/>
          <w:highlight w:val="yellow"/>
        </w:rPr>
        <w:t xml:space="preserve"> </w:t>
      </w:r>
      <w:r w:rsidRPr="001F3A27">
        <w:rPr>
          <w:rFonts w:ascii="Arial" w:hAnsi="Arial" w:cs="Arial"/>
          <w:sz w:val="20"/>
          <w:szCs w:val="20"/>
          <w:highlight w:val="yellow"/>
        </w:rPr>
        <w:t xml:space="preserve">2). </w:t>
      </w:r>
      <w:r w:rsidRPr="00177A0B">
        <w:rPr>
          <w:rFonts w:ascii="Arial" w:hAnsi="Arial" w:cs="Arial"/>
          <w:sz w:val="20"/>
          <w:szCs w:val="20"/>
        </w:rPr>
        <w:t xml:space="preserve">Grossly, lungs exhibited lobes of consolidation and widened interlobular septa with jelly </w:t>
      </w:r>
      <w:r w:rsidRPr="001F3A27">
        <w:rPr>
          <w:rFonts w:ascii="Arial" w:hAnsi="Arial" w:cs="Arial"/>
          <w:sz w:val="20"/>
          <w:szCs w:val="20"/>
          <w:highlight w:val="yellow"/>
        </w:rPr>
        <w:t>like material giving marbling appearance (Fig.</w:t>
      </w:r>
      <w:r w:rsidR="001F3A27" w:rsidRPr="001F3A27">
        <w:rPr>
          <w:rFonts w:ascii="Arial" w:hAnsi="Arial" w:cs="Arial"/>
          <w:sz w:val="20"/>
          <w:szCs w:val="20"/>
          <w:highlight w:val="yellow"/>
        </w:rPr>
        <w:t xml:space="preserve"> </w:t>
      </w:r>
      <w:r w:rsidRPr="00177A0B">
        <w:rPr>
          <w:rFonts w:ascii="Arial" w:hAnsi="Arial" w:cs="Arial"/>
          <w:sz w:val="20"/>
          <w:szCs w:val="20"/>
        </w:rPr>
        <w:t xml:space="preserve">3). Pericardial sac contained approximately 40ml of serous fluid along with deposition of fibrin on </w:t>
      </w:r>
      <w:r w:rsidRPr="001F3A27">
        <w:rPr>
          <w:rFonts w:ascii="Arial" w:hAnsi="Arial" w:cs="Arial"/>
          <w:sz w:val="20"/>
          <w:szCs w:val="20"/>
          <w:highlight w:val="yellow"/>
        </w:rPr>
        <w:t>pericardium (Fig.</w:t>
      </w:r>
      <w:r w:rsidR="001F3A27" w:rsidRPr="001F3A27">
        <w:rPr>
          <w:rFonts w:ascii="Arial" w:hAnsi="Arial" w:cs="Arial"/>
          <w:sz w:val="20"/>
          <w:szCs w:val="20"/>
          <w:highlight w:val="yellow"/>
        </w:rPr>
        <w:t xml:space="preserve"> </w:t>
      </w:r>
      <w:r w:rsidRPr="001F3A27">
        <w:rPr>
          <w:rFonts w:ascii="Arial" w:hAnsi="Arial" w:cs="Arial"/>
          <w:sz w:val="20"/>
          <w:szCs w:val="20"/>
          <w:highlight w:val="yellow"/>
        </w:rPr>
        <w:t>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5"/>
        <w:gridCol w:w="4411"/>
      </w:tblGrid>
      <w:tr w:rsidR="00F959F7" w:rsidRPr="00177A0B" w14:paraId="5970AEA4" w14:textId="77777777" w:rsidTr="00A3458E">
        <w:tc>
          <w:tcPr>
            <w:tcW w:w="4508" w:type="dxa"/>
          </w:tcPr>
          <w:p w14:paraId="2F368AD2" w14:textId="77777777" w:rsidR="00F959F7" w:rsidRPr="00177A0B" w:rsidRDefault="00F959F7" w:rsidP="00177A0B">
            <w:pPr>
              <w:jc w:val="center"/>
              <w:rPr>
                <w:rFonts w:ascii="Arial" w:hAnsi="Arial" w:cs="Arial"/>
                <w:sz w:val="20"/>
                <w:szCs w:val="20"/>
              </w:rPr>
            </w:pPr>
            <w:r w:rsidRPr="00177A0B">
              <w:rPr>
                <w:rFonts w:ascii="Arial" w:hAnsi="Arial" w:cs="Arial"/>
                <w:noProof/>
                <w:sz w:val="20"/>
                <w:szCs w:val="20"/>
              </w:rPr>
              <w:drawing>
                <wp:inline distT="0" distB="0" distL="0" distR="0" wp14:anchorId="74D578BD" wp14:editId="3C85E8EA">
                  <wp:extent cx="2743200" cy="1958340"/>
                  <wp:effectExtent l="0" t="0" r="0" b="3810"/>
                  <wp:docPr id="1821971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200" cy="1958340"/>
                          </a:xfrm>
                          <a:prstGeom prst="rect">
                            <a:avLst/>
                          </a:prstGeom>
                          <a:noFill/>
                          <a:ln>
                            <a:noFill/>
                          </a:ln>
                        </pic:spPr>
                      </pic:pic>
                    </a:graphicData>
                  </a:graphic>
                </wp:inline>
              </w:drawing>
            </w:r>
          </w:p>
        </w:tc>
        <w:tc>
          <w:tcPr>
            <w:tcW w:w="4508" w:type="dxa"/>
          </w:tcPr>
          <w:p w14:paraId="5A787015" w14:textId="77777777" w:rsidR="00F959F7" w:rsidRPr="00177A0B" w:rsidRDefault="00F959F7" w:rsidP="00177A0B">
            <w:pPr>
              <w:jc w:val="center"/>
              <w:rPr>
                <w:rFonts w:ascii="Arial" w:hAnsi="Arial" w:cs="Arial"/>
                <w:sz w:val="20"/>
                <w:szCs w:val="20"/>
              </w:rPr>
            </w:pPr>
            <w:r w:rsidRPr="00177A0B">
              <w:rPr>
                <w:rFonts w:ascii="Arial" w:hAnsi="Arial" w:cs="Arial"/>
                <w:noProof/>
                <w:sz w:val="20"/>
                <w:szCs w:val="20"/>
              </w:rPr>
              <w:drawing>
                <wp:inline distT="0" distB="0" distL="0" distR="0" wp14:anchorId="78453564" wp14:editId="121E3C1C">
                  <wp:extent cx="1972234" cy="2629715"/>
                  <wp:effectExtent l="0" t="5080" r="4445" b="4445"/>
                  <wp:docPr id="6262794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1972234" cy="2629715"/>
                          </a:xfrm>
                          <a:prstGeom prst="rect">
                            <a:avLst/>
                          </a:prstGeom>
                          <a:noFill/>
                          <a:ln>
                            <a:noFill/>
                          </a:ln>
                        </pic:spPr>
                      </pic:pic>
                    </a:graphicData>
                  </a:graphic>
                </wp:inline>
              </w:drawing>
            </w:r>
          </w:p>
        </w:tc>
      </w:tr>
      <w:tr w:rsidR="00F959F7" w:rsidRPr="00177A0B" w14:paraId="3A16F6B7" w14:textId="77777777" w:rsidTr="00A3458E">
        <w:tc>
          <w:tcPr>
            <w:tcW w:w="4508" w:type="dxa"/>
          </w:tcPr>
          <w:p w14:paraId="52E8C1B0" w14:textId="77777777" w:rsidR="00F959F7" w:rsidRPr="001F3A27" w:rsidRDefault="00F959F7" w:rsidP="001F3A27">
            <w:pPr>
              <w:jc w:val="center"/>
              <w:rPr>
                <w:rFonts w:ascii="Arial" w:hAnsi="Arial" w:cs="Arial"/>
                <w:b/>
                <w:sz w:val="20"/>
                <w:szCs w:val="20"/>
                <w:highlight w:val="yellow"/>
              </w:rPr>
            </w:pPr>
            <w:r w:rsidRPr="001F3A27">
              <w:rPr>
                <w:rFonts w:ascii="Arial" w:hAnsi="Arial" w:cs="Arial"/>
                <w:b/>
                <w:sz w:val="20"/>
                <w:szCs w:val="20"/>
                <w:highlight w:val="yellow"/>
              </w:rPr>
              <w:t xml:space="preserve">Fig 1: CCPP effected goat with </w:t>
            </w:r>
            <w:proofErr w:type="spellStart"/>
            <w:r w:rsidRPr="001F3A27">
              <w:rPr>
                <w:rFonts w:ascii="Arial" w:hAnsi="Arial" w:cs="Arial"/>
                <w:b/>
                <w:sz w:val="20"/>
                <w:szCs w:val="20"/>
                <w:highlight w:val="yellow"/>
              </w:rPr>
              <w:t>sero</w:t>
            </w:r>
            <w:proofErr w:type="spellEnd"/>
            <w:r w:rsidRPr="001F3A27">
              <w:rPr>
                <w:rFonts w:ascii="Arial" w:hAnsi="Arial" w:cs="Arial"/>
                <w:b/>
                <w:sz w:val="20"/>
                <w:szCs w:val="20"/>
                <w:highlight w:val="yellow"/>
              </w:rPr>
              <w:t>-mucoid nasal discharges</w:t>
            </w:r>
          </w:p>
        </w:tc>
        <w:tc>
          <w:tcPr>
            <w:tcW w:w="4508" w:type="dxa"/>
          </w:tcPr>
          <w:p w14:paraId="465B5D4C" w14:textId="77777777" w:rsidR="00F959F7" w:rsidRPr="001F3A27" w:rsidRDefault="00F959F7" w:rsidP="001F3A27">
            <w:pPr>
              <w:jc w:val="center"/>
              <w:rPr>
                <w:rFonts w:ascii="Arial" w:hAnsi="Arial" w:cs="Arial"/>
                <w:b/>
                <w:sz w:val="20"/>
                <w:szCs w:val="20"/>
                <w:highlight w:val="yellow"/>
              </w:rPr>
            </w:pPr>
            <w:r w:rsidRPr="001F3A27">
              <w:rPr>
                <w:rFonts w:ascii="Arial" w:hAnsi="Arial" w:cs="Arial"/>
                <w:b/>
                <w:sz w:val="20"/>
                <w:szCs w:val="20"/>
                <w:highlight w:val="yellow"/>
              </w:rPr>
              <w:t>Fig 2: Thoracic cavity: presence of yellow coloured serous fluid and bilateral fibrinous pleuritis</w:t>
            </w:r>
          </w:p>
        </w:tc>
      </w:tr>
      <w:tr w:rsidR="00F959F7" w:rsidRPr="00177A0B" w14:paraId="75D96943" w14:textId="77777777" w:rsidTr="00A3458E">
        <w:tc>
          <w:tcPr>
            <w:tcW w:w="4508" w:type="dxa"/>
          </w:tcPr>
          <w:p w14:paraId="1E03969C" w14:textId="77777777" w:rsidR="00F959F7" w:rsidRPr="00177A0B" w:rsidRDefault="00F959F7" w:rsidP="00177A0B">
            <w:pPr>
              <w:jc w:val="center"/>
              <w:rPr>
                <w:rFonts w:ascii="Arial" w:hAnsi="Arial" w:cs="Arial"/>
                <w:sz w:val="20"/>
                <w:szCs w:val="20"/>
              </w:rPr>
            </w:pPr>
            <w:r w:rsidRPr="00177A0B">
              <w:rPr>
                <w:rFonts w:ascii="Arial" w:hAnsi="Arial" w:cs="Arial"/>
                <w:noProof/>
                <w:sz w:val="20"/>
                <w:szCs w:val="20"/>
              </w:rPr>
              <w:lastRenderedPageBreak/>
              <w:drawing>
                <wp:inline distT="0" distB="0" distL="0" distR="0" wp14:anchorId="2CF4BE89" wp14:editId="61B48624">
                  <wp:extent cx="2281865" cy="2846592"/>
                  <wp:effectExtent l="3493" t="0" r="7937" b="7938"/>
                  <wp:docPr id="21069500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6757" r="11026"/>
                          <a:stretch>
                            <a:fillRect/>
                          </a:stretch>
                        </pic:blipFill>
                        <pic:spPr bwMode="auto">
                          <a:xfrm rot="5400000">
                            <a:off x="0" y="0"/>
                            <a:ext cx="2381636" cy="29710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8" w:type="dxa"/>
          </w:tcPr>
          <w:p w14:paraId="0AB5A722" w14:textId="77777777" w:rsidR="00F959F7" w:rsidRPr="00177A0B" w:rsidRDefault="00F959F7" w:rsidP="00177A0B">
            <w:pPr>
              <w:jc w:val="center"/>
              <w:rPr>
                <w:rFonts w:ascii="Arial" w:hAnsi="Arial" w:cs="Arial"/>
                <w:sz w:val="20"/>
                <w:szCs w:val="20"/>
              </w:rPr>
            </w:pPr>
            <w:r w:rsidRPr="00177A0B">
              <w:rPr>
                <w:rFonts w:ascii="Arial" w:hAnsi="Arial" w:cs="Arial"/>
                <w:noProof/>
                <w:sz w:val="20"/>
                <w:szCs w:val="20"/>
              </w:rPr>
              <w:drawing>
                <wp:inline distT="0" distB="0" distL="0" distR="0" wp14:anchorId="2944BB68" wp14:editId="4CD646B8">
                  <wp:extent cx="2301166" cy="2722548"/>
                  <wp:effectExtent l="0" t="1270" r="3175" b="3175"/>
                  <wp:docPr id="1178161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2349242" cy="2779427"/>
                          </a:xfrm>
                          <a:prstGeom prst="rect">
                            <a:avLst/>
                          </a:prstGeom>
                          <a:noFill/>
                          <a:ln>
                            <a:noFill/>
                          </a:ln>
                        </pic:spPr>
                      </pic:pic>
                    </a:graphicData>
                  </a:graphic>
                </wp:inline>
              </w:drawing>
            </w:r>
          </w:p>
        </w:tc>
      </w:tr>
      <w:tr w:rsidR="00F959F7" w:rsidRPr="00177A0B" w14:paraId="140C58EA" w14:textId="77777777" w:rsidTr="00A3458E">
        <w:tc>
          <w:tcPr>
            <w:tcW w:w="4508" w:type="dxa"/>
          </w:tcPr>
          <w:p w14:paraId="30A82C19" w14:textId="77777777" w:rsidR="00F959F7" w:rsidRPr="001F3A27" w:rsidRDefault="00F959F7" w:rsidP="001F3A27">
            <w:pPr>
              <w:jc w:val="center"/>
              <w:rPr>
                <w:rFonts w:ascii="Arial" w:hAnsi="Arial" w:cs="Arial"/>
                <w:b/>
                <w:sz w:val="20"/>
                <w:szCs w:val="20"/>
                <w:highlight w:val="yellow"/>
              </w:rPr>
            </w:pPr>
            <w:r w:rsidRPr="001F3A27">
              <w:rPr>
                <w:rFonts w:ascii="Arial" w:hAnsi="Arial" w:cs="Arial"/>
                <w:b/>
                <w:sz w:val="20"/>
                <w:szCs w:val="20"/>
                <w:highlight w:val="yellow"/>
              </w:rPr>
              <w:t>Fig 3: Marbling appearance of lungs</w:t>
            </w:r>
          </w:p>
        </w:tc>
        <w:tc>
          <w:tcPr>
            <w:tcW w:w="4508" w:type="dxa"/>
          </w:tcPr>
          <w:p w14:paraId="3EB07F31" w14:textId="77777777" w:rsidR="00F959F7" w:rsidRPr="001F3A27" w:rsidRDefault="00F959F7" w:rsidP="001F3A27">
            <w:pPr>
              <w:jc w:val="center"/>
              <w:rPr>
                <w:rFonts w:ascii="Arial" w:hAnsi="Arial" w:cs="Arial"/>
                <w:b/>
                <w:sz w:val="20"/>
                <w:szCs w:val="20"/>
                <w:highlight w:val="yellow"/>
              </w:rPr>
            </w:pPr>
            <w:r w:rsidRPr="001F3A27">
              <w:rPr>
                <w:rFonts w:ascii="Arial" w:hAnsi="Arial" w:cs="Arial"/>
                <w:b/>
                <w:sz w:val="20"/>
                <w:szCs w:val="20"/>
                <w:highlight w:val="yellow"/>
              </w:rPr>
              <w:t>Fig 4: Fibrinous pericarditis</w:t>
            </w:r>
          </w:p>
        </w:tc>
      </w:tr>
    </w:tbl>
    <w:p w14:paraId="38BBC1E1" w14:textId="2EE668DD" w:rsidR="00F959F7" w:rsidRPr="00177A0B" w:rsidRDefault="00F959F7" w:rsidP="00177A0B">
      <w:pPr>
        <w:pStyle w:val="ListParagraph"/>
        <w:numPr>
          <w:ilvl w:val="0"/>
          <w:numId w:val="5"/>
        </w:numPr>
        <w:spacing w:before="240" w:after="0" w:line="240" w:lineRule="auto"/>
        <w:jc w:val="both"/>
        <w:rPr>
          <w:rFonts w:ascii="Arial" w:hAnsi="Arial" w:cs="Arial"/>
          <w:b/>
          <w:bCs/>
          <w:szCs w:val="20"/>
        </w:rPr>
      </w:pPr>
      <w:r w:rsidRPr="00177A0B">
        <w:rPr>
          <w:rFonts w:ascii="Arial" w:hAnsi="Arial" w:cs="Arial"/>
          <w:b/>
          <w:bCs/>
          <w:szCs w:val="20"/>
        </w:rPr>
        <w:t>MATERIAL AND METHODS</w:t>
      </w:r>
    </w:p>
    <w:p w14:paraId="3FCBBE1A" w14:textId="77777777" w:rsidR="004E5BF9" w:rsidRPr="00F965EF" w:rsidRDefault="004E5BF9" w:rsidP="00F965EF">
      <w:pPr>
        <w:pStyle w:val="Heading3"/>
        <w:jc w:val="both"/>
        <w:rPr>
          <w:rFonts w:ascii="Arial" w:hAnsi="Arial" w:cs="Arial"/>
          <w:color w:val="auto"/>
          <w:sz w:val="20"/>
          <w:szCs w:val="20"/>
          <w:highlight w:val="yellow"/>
        </w:rPr>
      </w:pPr>
      <w:r w:rsidRPr="00F965EF">
        <w:rPr>
          <w:rStyle w:val="Strong"/>
          <w:rFonts w:ascii="Arial" w:hAnsi="Arial" w:cs="Arial"/>
          <w:bCs w:val="0"/>
          <w:color w:val="auto"/>
          <w:sz w:val="20"/>
          <w:szCs w:val="20"/>
          <w:highlight w:val="yellow"/>
        </w:rPr>
        <w:t>Study Area and Case History</w:t>
      </w:r>
    </w:p>
    <w:p w14:paraId="0648B0AF" w14:textId="77777777" w:rsidR="004E5BF9" w:rsidRPr="00F965EF" w:rsidRDefault="004E5BF9" w:rsidP="00F965EF">
      <w:pPr>
        <w:pStyle w:val="NormalWeb"/>
        <w:jc w:val="both"/>
        <w:rPr>
          <w:rFonts w:ascii="Arial" w:hAnsi="Arial" w:cs="Arial"/>
          <w:sz w:val="20"/>
          <w:szCs w:val="20"/>
          <w:highlight w:val="yellow"/>
        </w:rPr>
      </w:pPr>
      <w:r w:rsidRPr="00F965EF">
        <w:rPr>
          <w:rFonts w:ascii="Arial" w:hAnsi="Arial" w:cs="Arial"/>
          <w:sz w:val="20"/>
          <w:szCs w:val="20"/>
          <w:highlight w:val="yellow"/>
        </w:rPr>
        <w:t xml:space="preserve">The present investigation was conducted in </w:t>
      </w:r>
      <w:proofErr w:type="spellStart"/>
      <w:r w:rsidRPr="00F965EF">
        <w:rPr>
          <w:rFonts w:ascii="Arial" w:hAnsi="Arial" w:cs="Arial"/>
          <w:sz w:val="20"/>
          <w:szCs w:val="20"/>
          <w:highlight w:val="yellow"/>
        </w:rPr>
        <w:t>Thotaravulapadu</w:t>
      </w:r>
      <w:proofErr w:type="spellEnd"/>
      <w:r w:rsidRPr="00F965EF">
        <w:rPr>
          <w:rFonts w:ascii="Arial" w:hAnsi="Arial" w:cs="Arial"/>
          <w:sz w:val="20"/>
          <w:szCs w:val="20"/>
          <w:highlight w:val="yellow"/>
        </w:rPr>
        <w:t xml:space="preserve"> village, NTR district, Andhra Pradesh, India. The study involved three goat flocks where an outbreak of a severe respiratory disease was reported. A total of eleven goats of different age groups exhibited clinical signs suggestive of contagious caprine pleuropneumonia (CCPP), including respiratory distress, </w:t>
      </w:r>
      <w:proofErr w:type="spellStart"/>
      <w:r w:rsidRPr="00F965EF">
        <w:rPr>
          <w:rFonts w:ascii="Arial" w:hAnsi="Arial" w:cs="Arial"/>
          <w:sz w:val="20"/>
          <w:szCs w:val="20"/>
          <w:highlight w:val="yellow"/>
        </w:rPr>
        <w:t>sero</w:t>
      </w:r>
      <w:proofErr w:type="spellEnd"/>
      <w:r w:rsidRPr="00F965EF">
        <w:rPr>
          <w:rFonts w:ascii="Arial" w:hAnsi="Arial" w:cs="Arial"/>
          <w:sz w:val="20"/>
          <w:szCs w:val="20"/>
          <w:highlight w:val="yellow"/>
        </w:rPr>
        <w:t>-mucoid nasal discharge, coughing, dyspnoea, pyrexia, and general malaise. Among the affected animals, three four-month-old kids succumbed to the illness and were submitted for detailed postmortem examination.</w:t>
      </w:r>
    </w:p>
    <w:p w14:paraId="29296479" w14:textId="77777777" w:rsidR="004E5BF9" w:rsidRPr="00F965EF" w:rsidRDefault="004E5BF9" w:rsidP="00F965EF">
      <w:pPr>
        <w:pStyle w:val="Heading3"/>
        <w:jc w:val="both"/>
        <w:rPr>
          <w:rFonts w:ascii="Arial" w:hAnsi="Arial" w:cs="Arial"/>
          <w:color w:val="auto"/>
          <w:sz w:val="20"/>
          <w:szCs w:val="20"/>
          <w:highlight w:val="yellow"/>
        </w:rPr>
      </w:pPr>
      <w:r w:rsidRPr="00F965EF">
        <w:rPr>
          <w:rStyle w:val="Strong"/>
          <w:rFonts w:ascii="Arial" w:hAnsi="Arial" w:cs="Arial"/>
          <w:bCs w:val="0"/>
          <w:color w:val="auto"/>
          <w:sz w:val="20"/>
          <w:szCs w:val="20"/>
          <w:highlight w:val="yellow"/>
        </w:rPr>
        <w:t>Postmortem Examination</w:t>
      </w:r>
    </w:p>
    <w:p w14:paraId="34003F8A" w14:textId="77777777" w:rsidR="004E5BF9" w:rsidRPr="00F965EF" w:rsidRDefault="004E5BF9" w:rsidP="00F965EF">
      <w:pPr>
        <w:pStyle w:val="NormalWeb"/>
        <w:jc w:val="both"/>
        <w:rPr>
          <w:rFonts w:ascii="Arial" w:hAnsi="Arial" w:cs="Arial"/>
          <w:sz w:val="20"/>
          <w:szCs w:val="20"/>
          <w:highlight w:val="yellow"/>
        </w:rPr>
      </w:pPr>
      <w:r w:rsidRPr="00F965EF">
        <w:rPr>
          <w:rFonts w:ascii="Arial" w:hAnsi="Arial" w:cs="Arial"/>
          <w:sz w:val="20"/>
          <w:szCs w:val="20"/>
          <w:highlight w:val="yellow"/>
        </w:rPr>
        <w:t xml:space="preserve">A systematic necropsy was performed on all three deceased goats following standard veterinary necropsy procedures. External examination focused on the presence of nasal discharges, skin lesions around the nostrils, and general body condition. Internal examination emphasized the thoracic cavity, lungs, heart, and associated </w:t>
      </w:r>
      <w:proofErr w:type="spellStart"/>
      <w:r w:rsidRPr="00F965EF">
        <w:rPr>
          <w:rFonts w:ascii="Arial" w:hAnsi="Arial" w:cs="Arial"/>
          <w:sz w:val="20"/>
          <w:szCs w:val="20"/>
          <w:highlight w:val="yellow"/>
        </w:rPr>
        <w:t>serosal</w:t>
      </w:r>
      <w:proofErr w:type="spellEnd"/>
      <w:r w:rsidRPr="00F965EF">
        <w:rPr>
          <w:rFonts w:ascii="Arial" w:hAnsi="Arial" w:cs="Arial"/>
          <w:sz w:val="20"/>
          <w:szCs w:val="20"/>
          <w:highlight w:val="yellow"/>
        </w:rPr>
        <w:t xml:space="preserve"> membranes. Particular attention was given to the presence of pleural and pericardial effusions, pleural adhesions, lung consolidation, and any characteristic lesions such as marbling of lung tissue. Gross pathological findings were carefully documented and photographed for further analysis.</w:t>
      </w:r>
    </w:p>
    <w:p w14:paraId="70810DC5" w14:textId="77777777" w:rsidR="004E5BF9" w:rsidRPr="00F965EF" w:rsidRDefault="004E5BF9" w:rsidP="00F965EF">
      <w:pPr>
        <w:pStyle w:val="Heading3"/>
        <w:jc w:val="both"/>
        <w:rPr>
          <w:rFonts w:ascii="Arial" w:hAnsi="Arial" w:cs="Arial"/>
          <w:color w:val="auto"/>
          <w:sz w:val="20"/>
          <w:szCs w:val="20"/>
          <w:highlight w:val="yellow"/>
        </w:rPr>
      </w:pPr>
      <w:r w:rsidRPr="00F965EF">
        <w:rPr>
          <w:rStyle w:val="Strong"/>
          <w:rFonts w:ascii="Arial" w:hAnsi="Arial" w:cs="Arial"/>
          <w:bCs w:val="0"/>
          <w:color w:val="auto"/>
          <w:sz w:val="20"/>
          <w:szCs w:val="20"/>
          <w:highlight w:val="yellow"/>
        </w:rPr>
        <w:t>Collection of Tissue Samples</w:t>
      </w:r>
    </w:p>
    <w:p w14:paraId="21FA2E96" w14:textId="77777777" w:rsidR="004E5BF9" w:rsidRPr="00F965EF" w:rsidRDefault="004E5BF9" w:rsidP="00F965EF">
      <w:pPr>
        <w:pStyle w:val="NormalWeb"/>
        <w:jc w:val="both"/>
        <w:rPr>
          <w:rFonts w:ascii="Arial" w:hAnsi="Arial" w:cs="Arial"/>
          <w:sz w:val="20"/>
          <w:szCs w:val="20"/>
          <w:highlight w:val="yellow"/>
        </w:rPr>
      </w:pPr>
      <w:r w:rsidRPr="00F965EF">
        <w:rPr>
          <w:rFonts w:ascii="Arial" w:hAnsi="Arial" w:cs="Arial"/>
          <w:sz w:val="20"/>
          <w:szCs w:val="20"/>
          <w:highlight w:val="yellow"/>
        </w:rPr>
        <w:t>Representative tissue samples from lungs, heart, liver, and trachea were collected immediately after necropsy. For histopathological examination, tissue samples approximately 2–3 mm in thickness were fixed in 10% neutral buffered formalin. Separate lung tissue samples were collected aseptically and stored at −20°C for molecular analysis to avoid DNA degradation.</w:t>
      </w:r>
    </w:p>
    <w:p w14:paraId="663BCE09" w14:textId="77777777" w:rsidR="004E5BF9" w:rsidRPr="00F965EF" w:rsidRDefault="004E5BF9" w:rsidP="00F965EF">
      <w:pPr>
        <w:pStyle w:val="Heading3"/>
        <w:jc w:val="both"/>
        <w:rPr>
          <w:rFonts w:ascii="Arial" w:hAnsi="Arial" w:cs="Arial"/>
          <w:color w:val="auto"/>
          <w:sz w:val="20"/>
          <w:szCs w:val="20"/>
          <w:highlight w:val="yellow"/>
        </w:rPr>
      </w:pPr>
      <w:r w:rsidRPr="00F965EF">
        <w:rPr>
          <w:rStyle w:val="Strong"/>
          <w:rFonts w:ascii="Arial" w:hAnsi="Arial" w:cs="Arial"/>
          <w:bCs w:val="0"/>
          <w:color w:val="auto"/>
          <w:sz w:val="20"/>
          <w:szCs w:val="20"/>
          <w:highlight w:val="yellow"/>
        </w:rPr>
        <w:t>Histopathological Processing and Examination</w:t>
      </w:r>
    </w:p>
    <w:p w14:paraId="1F5C1B8B" w14:textId="77777777" w:rsidR="004E5BF9" w:rsidRPr="00F965EF" w:rsidRDefault="004E5BF9" w:rsidP="00F965EF">
      <w:pPr>
        <w:pStyle w:val="NormalWeb"/>
        <w:jc w:val="both"/>
        <w:rPr>
          <w:rFonts w:ascii="Arial" w:hAnsi="Arial" w:cs="Arial"/>
          <w:sz w:val="20"/>
          <w:szCs w:val="20"/>
          <w:highlight w:val="yellow"/>
        </w:rPr>
      </w:pPr>
      <w:r w:rsidRPr="00F965EF">
        <w:rPr>
          <w:rFonts w:ascii="Arial" w:hAnsi="Arial" w:cs="Arial"/>
          <w:sz w:val="20"/>
          <w:szCs w:val="20"/>
          <w:highlight w:val="yellow"/>
        </w:rPr>
        <w:t xml:space="preserve">Formalin-fixed tissue samples were processed following routine paraffin embedding techniques. Briefly, tissues were washed under running tap water to remove excess formalin, dehydrated through ascending grades of alcohol, cleared in xylol, and embedded in paraffin wax. Sections of 3–4 µm thickness were cut using a semi-automatic microtome. The tissue sections were mounted on glass slides and stained with </w:t>
      </w:r>
      <w:proofErr w:type="spellStart"/>
      <w:r w:rsidRPr="00F965EF">
        <w:rPr>
          <w:rFonts w:ascii="Arial" w:hAnsi="Arial" w:cs="Arial"/>
          <w:sz w:val="20"/>
          <w:szCs w:val="20"/>
          <w:highlight w:val="yellow"/>
        </w:rPr>
        <w:t>hematoxylin</w:t>
      </w:r>
      <w:proofErr w:type="spellEnd"/>
      <w:r w:rsidRPr="00F965EF">
        <w:rPr>
          <w:rFonts w:ascii="Arial" w:hAnsi="Arial" w:cs="Arial"/>
          <w:sz w:val="20"/>
          <w:szCs w:val="20"/>
          <w:highlight w:val="yellow"/>
        </w:rPr>
        <w:t xml:space="preserve"> and eosin (H&amp;E) following standard protocols (Luna, 1968). Stained sections were examined under a light microscope for histopathological changes, including inflammatory cell infiltration, fibrin deposition, necrosis, sequestration, and involvement of pleura and pericardium.</w:t>
      </w:r>
    </w:p>
    <w:p w14:paraId="375F20F6" w14:textId="77777777" w:rsidR="004E5BF9" w:rsidRPr="00F965EF" w:rsidRDefault="004E5BF9" w:rsidP="00F965EF">
      <w:pPr>
        <w:pStyle w:val="Heading3"/>
        <w:jc w:val="both"/>
        <w:rPr>
          <w:rFonts w:ascii="Arial" w:hAnsi="Arial" w:cs="Arial"/>
          <w:color w:val="auto"/>
          <w:sz w:val="20"/>
          <w:szCs w:val="20"/>
          <w:highlight w:val="yellow"/>
        </w:rPr>
      </w:pPr>
      <w:r w:rsidRPr="00F965EF">
        <w:rPr>
          <w:rStyle w:val="Strong"/>
          <w:rFonts w:ascii="Arial" w:hAnsi="Arial" w:cs="Arial"/>
          <w:bCs w:val="0"/>
          <w:color w:val="auto"/>
          <w:sz w:val="20"/>
          <w:szCs w:val="20"/>
          <w:highlight w:val="yellow"/>
        </w:rPr>
        <w:lastRenderedPageBreak/>
        <w:t>Molecular Diagnosis</w:t>
      </w:r>
    </w:p>
    <w:p w14:paraId="57805B07" w14:textId="77777777" w:rsidR="004E5BF9" w:rsidRPr="00F965EF" w:rsidRDefault="004E5BF9" w:rsidP="00F965EF">
      <w:pPr>
        <w:pStyle w:val="Heading4"/>
        <w:jc w:val="both"/>
        <w:rPr>
          <w:rFonts w:ascii="Arial" w:hAnsi="Arial" w:cs="Arial"/>
          <w:color w:val="auto"/>
          <w:sz w:val="20"/>
          <w:szCs w:val="20"/>
          <w:highlight w:val="yellow"/>
        </w:rPr>
      </w:pPr>
      <w:r w:rsidRPr="00F965EF">
        <w:rPr>
          <w:rStyle w:val="Strong"/>
          <w:rFonts w:ascii="Arial" w:hAnsi="Arial" w:cs="Arial"/>
          <w:bCs w:val="0"/>
          <w:color w:val="auto"/>
          <w:sz w:val="20"/>
          <w:szCs w:val="20"/>
          <w:highlight w:val="yellow"/>
        </w:rPr>
        <w:t>DNA Extraction</w:t>
      </w:r>
    </w:p>
    <w:p w14:paraId="7230F754" w14:textId="77777777" w:rsidR="004E5BF9" w:rsidRPr="00F965EF" w:rsidRDefault="004E5BF9" w:rsidP="00F965EF">
      <w:pPr>
        <w:pStyle w:val="NormalWeb"/>
        <w:jc w:val="both"/>
        <w:rPr>
          <w:rFonts w:ascii="Arial" w:hAnsi="Arial" w:cs="Arial"/>
          <w:sz w:val="20"/>
          <w:szCs w:val="20"/>
          <w:highlight w:val="yellow"/>
        </w:rPr>
      </w:pPr>
      <w:r w:rsidRPr="00F965EF">
        <w:rPr>
          <w:rFonts w:ascii="Arial" w:hAnsi="Arial" w:cs="Arial"/>
          <w:sz w:val="20"/>
          <w:szCs w:val="20"/>
          <w:highlight w:val="yellow"/>
        </w:rPr>
        <w:t xml:space="preserve">Genomic DNA was extracted from frozen lung tissue samples using the </w:t>
      </w:r>
      <w:proofErr w:type="spellStart"/>
      <w:r w:rsidRPr="00F965EF">
        <w:rPr>
          <w:rFonts w:ascii="Arial" w:hAnsi="Arial" w:cs="Arial"/>
          <w:sz w:val="20"/>
          <w:szCs w:val="20"/>
          <w:highlight w:val="yellow"/>
        </w:rPr>
        <w:t>HiPurA</w:t>
      </w:r>
      <w:proofErr w:type="spellEnd"/>
      <w:r w:rsidRPr="00F965EF">
        <w:rPr>
          <w:rFonts w:ascii="Arial" w:hAnsi="Arial" w:cs="Arial"/>
          <w:sz w:val="20"/>
          <w:szCs w:val="20"/>
          <w:highlight w:val="yellow"/>
        </w:rPr>
        <w:t>® Mammalian Genomic DNA Purification Kit (</w:t>
      </w:r>
      <w:proofErr w:type="spellStart"/>
      <w:r w:rsidRPr="00F965EF">
        <w:rPr>
          <w:rFonts w:ascii="Arial" w:hAnsi="Arial" w:cs="Arial"/>
          <w:sz w:val="20"/>
          <w:szCs w:val="20"/>
          <w:highlight w:val="yellow"/>
        </w:rPr>
        <w:t>HiMedia</w:t>
      </w:r>
      <w:proofErr w:type="spellEnd"/>
      <w:r w:rsidRPr="00F965EF">
        <w:rPr>
          <w:rFonts w:ascii="Arial" w:hAnsi="Arial" w:cs="Arial"/>
          <w:sz w:val="20"/>
          <w:szCs w:val="20"/>
          <w:highlight w:val="yellow"/>
        </w:rPr>
        <w:t xml:space="preserve"> Laboratories, India) following the manufacturer’s instructions. The extracted DNA was quantified and assessed for purity before being used as a template for polymerase chain reaction (PCR).</w:t>
      </w:r>
    </w:p>
    <w:p w14:paraId="5B8D3EE9" w14:textId="77777777" w:rsidR="004E5BF9" w:rsidRPr="00F965EF" w:rsidRDefault="004E5BF9" w:rsidP="00F965EF">
      <w:pPr>
        <w:pStyle w:val="Heading4"/>
        <w:jc w:val="both"/>
        <w:rPr>
          <w:rFonts w:ascii="Arial" w:hAnsi="Arial" w:cs="Arial"/>
          <w:color w:val="auto"/>
          <w:sz w:val="20"/>
          <w:szCs w:val="20"/>
          <w:highlight w:val="yellow"/>
        </w:rPr>
      </w:pPr>
      <w:r w:rsidRPr="00F965EF">
        <w:rPr>
          <w:rStyle w:val="Strong"/>
          <w:rFonts w:ascii="Arial" w:hAnsi="Arial" w:cs="Arial"/>
          <w:bCs w:val="0"/>
          <w:color w:val="auto"/>
          <w:sz w:val="20"/>
          <w:szCs w:val="20"/>
          <w:highlight w:val="yellow"/>
        </w:rPr>
        <w:t>Polymerase Chain Reaction (PCR)</w:t>
      </w:r>
    </w:p>
    <w:p w14:paraId="54B351FA" w14:textId="77777777" w:rsidR="004E5BF9" w:rsidRPr="00F965EF" w:rsidRDefault="004E5BF9" w:rsidP="00F965EF">
      <w:pPr>
        <w:pStyle w:val="NormalWeb"/>
        <w:jc w:val="both"/>
        <w:rPr>
          <w:rFonts w:ascii="Arial" w:hAnsi="Arial" w:cs="Arial"/>
          <w:sz w:val="20"/>
          <w:szCs w:val="20"/>
          <w:highlight w:val="yellow"/>
        </w:rPr>
      </w:pPr>
      <w:r w:rsidRPr="00F965EF">
        <w:rPr>
          <w:rFonts w:ascii="Arial" w:hAnsi="Arial" w:cs="Arial"/>
          <w:sz w:val="20"/>
          <w:szCs w:val="20"/>
          <w:highlight w:val="yellow"/>
        </w:rPr>
        <w:t xml:space="preserve">Molecular detection of </w:t>
      </w:r>
      <w:r w:rsidRPr="00F965EF">
        <w:rPr>
          <w:rStyle w:val="Emphasis"/>
          <w:rFonts w:ascii="Arial" w:eastAsiaTheme="majorEastAsia" w:hAnsi="Arial" w:cs="Arial"/>
          <w:sz w:val="20"/>
          <w:szCs w:val="20"/>
          <w:highlight w:val="yellow"/>
        </w:rPr>
        <w:t xml:space="preserve">Mycoplasma </w:t>
      </w:r>
      <w:proofErr w:type="spellStart"/>
      <w:r w:rsidRPr="00F965EF">
        <w:rPr>
          <w:rStyle w:val="Emphasis"/>
          <w:rFonts w:ascii="Arial" w:eastAsiaTheme="majorEastAsia" w:hAnsi="Arial" w:cs="Arial"/>
          <w:sz w:val="20"/>
          <w:szCs w:val="20"/>
          <w:highlight w:val="yellow"/>
        </w:rPr>
        <w:t>capricolum</w:t>
      </w:r>
      <w:proofErr w:type="spellEnd"/>
      <w:r w:rsidRPr="00F965EF">
        <w:rPr>
          <w:rFonts w:ascii="Arial" w:hAnsi="Arial" w:cs="Arial"/>
          <w:sz w:val="20"/>
          <w:szCs w:val="20"/>
          <w:highlight w:val="yellow"/>
        </w:rPr>
        <w:t xml:space="preserve"> subsp. </w:t>
      </w:r>
      <w:proofErr w:type="spellStart"/>
      <w:r w:rsidRPr="00F965EF">
        <w:rPr>
          <w:rStyle w:val="Emphasis"/>
          <w:rFonts w:ascii="Arial" w:eastAsiaTheme="majorEastAsia" w:hAnsi="Arial" w:cs="Arial"/>
          <w:sz w:val="20"/>
          <w:szCs w:val="20"/>
          <w:highlight w:val="yellow"/>
        </w:rPr>
        <w:t>capripneumoniae</w:t>
      </w:r>
      <w:proofErr w:type="spellEnd"/>
      <w:r w:rsidRPr="00F965EF">
        <w:rPr>
          <w:rFonts w:ascii="Arial" w:hAnsi="Arial" w:cs="Arial"/>
          <w:sz w:val="20"/>
          <w:szCs w:val="20"/>
          <w:highlight w:val="yellow"/>
        </w:rPr>
        <w:t xml:space="preserve"> was carried out by PCR targeting the </w:t>
      </w:r>
      <w:proofErr w:type="spellStart"/>
      <w:r w:rsidRPr="00F965EF">
        <w:rPr>
          <w:rStyle w:val="Emphasis"/>
          <w:rFonts w:ascii="Arial" w:eastAsiaTheme="majorEastAsia" w:hAnsi="Arial" w:cs="Arial"/>
          <w:sz w:val="20"/>
          <w:szCs w:val="20"/>
          <w:highlight w:val="yellow"/>
        </w:rPr>
        <w:t>arcD</w:t>
      </w:r>
      <w:proofErr w:type="spellEnd"/>
      <w:r w:rsidRPr="00F965EF">
        <w:rPr>
          <w:rFonts w:ascii="Arial" w:hAnsi="Arial" w:cs="Arial"/>
          <w:sz w:val="20"/>
          <w:szCs w:val="20"/>
          <w:highlight w:val="yellow"/>
        </w:rPr>
        <w:t xml:space="preserve"> gene, a species-specific marker. PCR amplification was performed using primers described by Abraham et al. (2015). The forward primer sequence was 5′-ATCATTTTTAATCCCTTCAAG-3′ and the reverse primer sequence was 5′-TACTATGAGTAATTATAATATATGCAA-3′.</w:t>
      </w:r>
    </w:p>
    <w:p w14:paraId="7E5CBBC8" w14:textId="77777777" w:rsidR="004E5BF9" w:rsidRPr="00F965EF" w:rsidRDefault="004E5BF9" w:rsidP="00F965EF">
      <w:pPr>
        <w:pStyle w:val="NormalWeb"/>
        <w:jc w:val="both"/>
        <w:rPr>
          <w:rFonts w:ascii="Arial" w:hAnsi="Arial" w:cs="Arial"/>
          <w:sz w:val="20"/>
          <w:szCs w:val="20"/>
          <w:highlight w:val="yellow"/>
        </w:rPr>
      </w:pPr>
      <w:r w:rsidRPr="00F965EF">
        <w:rPr>
          <w:rFonts w:ascii="Arial" w:hAnsi="Arial" w:cs="Arial"/>
          <w:sz w:val="20"/>
          <w:szCs w:val="20"/>
          <w:highlight w:val="yellow"/>
        </w:rPr>
        <w:t>The PCR reaction mixture contained template DNA, primers, PCR master mix, and nuclease-free water in appropriate concentrations. Amplification was carried out under optimized cycling conditions consisting of initial denaturation, followed by repeated cycles of denaturation, annealing, and extension, and a final extension step.</w:t>
      </w:r>
    </w:p>
    <w:p w14:paraId="0DE1E461" w14:textId="77777777" w:rsidR="004E5BF9" w:rsidRPr="00F965EF" w:rsidRDefault="004E5BF9" w:rsidP="00F965EF">
      <w:pPr>
        <w:pStyle w:val="Heading3"/>
        <w:jc w:val="both"/>
        <w:rPr>
          <w:rFonts w:ascii="Arial" w:hAnsi="Arial" w:cs="Arial"/>
          <w:color w:val="auto"/>
          <w:sz w:val="20"/>
          <w:szCs w:val="20"/>
          <w:highlight w:val="yellow"/>
        </w:rPr>
      </w:pPr>
      <w:r w:rsidRPr="00F965EF">
        <w:rPr>
          <w:rStyle w:val="Strong"/>
          <w:rFonts w:ascii="Arial" w:hAnsi="Arial" w:cs="Arial"/>
          <w:bCs w:val="0"/>
          <w:color w:val="auto"/>
          <w:sz w:val="20"/>
          <w:szCs w:val="20"/>
          <w:highlight w:val="yellow"/>
        </w:rPr>
        <w:t>Agarose Gel Electrophoresis</w:t>
      </w:r>
    </w:p>
    <w:p w14:paraId="2E0302B4" w14:textId="77777777" w:rsidR="004E5BF9" w:rsidRPr="00F965EF" w:rsidRDefault="004E5BF9" w:rsidP="00F965EF">
      <w:pPr>
        <w:pStyle w:val="NormalWeb"/>
        <w:jc w:val="both"/>
        <w:rPr>
          <w:rFonts w:ascii="Arial" w:hAnsi="Arial" w:cs="Arial"/>
          <w:sz w:val="20"/>
          <w:szCs w:val="20"/>
          <w:highlight w:val="yellow"/>
        </w:rPr>
      </w:pPr>
      <w:r w:rsidRPr="00F965EF">
        <w:rPr>
          <w:rFonts w:ascii="Arial" w:hAnsi="Arial" w:cs="Arial"/>
          <w:sz w:val="20"/>
          <w:szCs w:val="20"/>
          <w:highlight w:val="yellow"/>
        </w:rPr>
        <w:t xml:space="preserve">PCR products were subjected to electrophoresis on 1.5% agarose gel containing ethidium bromide. A 100 bp DNA ladder was used as a molecular size marker. The gel was visualized under ultraviolet illumination using a gel documentation system, and the presence of a specific 316 bp amplicon was considered confirmatory for </w:t>
      </w:r>
      <w:r w:rsidRPr="00F965EF">
        <w:rPr>
          <w:rStyle w:val="Emphasis"/>
          <w:rFonts w:ascii="Arial" w:eastAsiaTheme="majorEastAsia" w:hAnsi="Arial" w:cs="Arial"/>
          <w:sz w:val="20"/>
          <w:szCs w:val="20"/>
          <w:highlight w:val="yellow"/>
        </w:rPr>
        <w:t xml:space="preserve">Mycoplasma </w:t>
      </w:r>
      <w:proofErr w:type="spellStart"/>
      <w:r w:rsidRPr="00F965EF">
        <w:rPr>
          <w:rStyle w:val="Emphasis"/>
          <w:rFonts w:ascii="Arial" w:eastAsiaTheme="majorEastAsia" w:hAnsi="Arial" w:cs="Arial"/>
          <w:sz w:val="20"/>
          <w:szCs w:val="20"/>
          <w:highlight w:val="yellow"/>
        </w:rPr>
        <w:t>capricolum</w:t>
      </w:r>
      <w:proofErr w:type="spellEnd"/>
      <w:r w:rsidRPr="00F965EF">
        <w:rPr>
          <w:rFonts w:ascii="Arial" w:hAnsi="Arial" w:cs="Arial"/>
          <w:sz w:val="20"/>
          <w:szCs w:val="20"/>
          <w:highlight w:val="yellow"/>
        </w:rPr>
        <w:t xml:space="preserve"> subsp. </w:t>
      </w:r>
      <w:proofErr w:type="spellStart"/>
      <w:r w:rsidRPr="00F965EF">
        <w:rPr>
          <w:rStyle w:val="Emphasis"/>
          <w:rFonts w:ascii="Arial" w:eastAsiaTheme="majorEastAsia" w:hAnsi="Arial" w:cs="Arial"/>
          <w:sz w:val="20"/>
          <w:szCs w:val="20"/>
          <w:highlight w:val="yellow"/>
        </w:rPr>
        <w:t>capripneumoniae</w:t>
      </w:r>
      <w:proofErr w:type="spellEnd"/>
      <w:r w:rsidRPr="00F965EF">
        <w:rPr>
          <w:rFonts w:ascii="Arial" w:hAnsi="Arial" w:cs="Arial"/>
          <w:sz w:val="20"/>
          <w:szCs w:val="20"/>
          <w:highlight w:val="yellow"/>
        </w:rPr>
        <w:t>.</w:t>
      </w:r>
    </w:p>
    <w:p w14:paraId="37AD6E01" w14:textId="77777777" w:rsidR="004E5BF9" w:rsidRPr="00F965EF" w:rsidRDefault="004E5BF9" w:rsidP="00F965EF">
      <w:pPr>
        <w:pStyle w:val="Heading3"/>
        <w:jc w:val="both"/>
        <w:rPr>
          <w:rFonts w:ascii="Arial" w:hAnsi="Arial" w:cs="Arial"/>
          <w:color w:val="auto"/>
          <w:sz w:val="20"/>
          <w:szCs w:val="20"/>
          <w:highlight w:val="yellow"/>
        </w:rPr>
      </w:pPr>
      <w:r w:rsidRPr="00F965EF">
        <w:rPr>
          <w:rStyle w:val="Strong"/>
          <w:rFonts w:ascii="Arial" w:hAnsi="Arial" w:cs="Arial"/>
          <w:bCs w:val="0"/>
          <w:color w:val="auto"/>
          <w:sz w:val="20"/>
          <w:szCs w:val="20"/>
          <w:highlight w:val="yellow"/>
        </w:rPr>
        <w:t>Diagnostic Criteria</w:t>
      </w:r>
    </w:p>
    <w:p w14:paraId="1361F143" w14:textId="77777777" w:rsidR="004E5BF9" w:rsidRPr="00F965EF" w:rsidRDefault="004E5BF9" w:rsidP="00F965EF">
      <w:pPr>
        <w:pStyle w:val="NormalWeb"/>
        <w:jc w:val="both"/>
        <w:rPr>
          <w:rFonts w:ascii="Arial" w:hAnsi="Arial" w:cs="Arial"/>
          <w:sz w:val="20"/>
          <w:szCs w:val="20"/>
        </w:rPr>
      </w:pPr>
      <w:r w:rsidRPr="00F965EF">
        <w:rPr>
          <w:rFonts w:ascii="Arial" w:hAnsi="Arial" w:cs="Arial"/>
          <w:sz w:val="20"/>
          <w:szCs w:val="20"/>
          <w:highlight w:val="yellow"/>
        </w:rPr>
        <w:t xml:space="preserve">The diagnosis of contagious caprine pleuropneumonia was established based on a combination of clinical history, characteristic gross pathological lesions, histopathological findings, and molecular confirmation by PCR targeting the </w:t>
      </w:r>
      <w:proofErr w:type="spellStart"/>
      <w:r w:rsidRPr="00F965EF">
        <w:rPr>
          <w:rStyle w:val="Emphasis"/>
          <w:rFonts w:ascii="Arial" w:eastAsiaTheme="majorEastAsia" w:hAnsi="Arial" w:cs="Arial"/>
          <w:sz w:val="20"/>
          <w:szCs w:val="20"/>
          <w:highlight w:val="yellow"/>
        </w:rPr>
        <w:t>arcD</w:t>
      </w:r>
      <w:proofErr w:type="spellEnd"/>
      <w:r w:rsidRPr="00F965EF">
        <w:rPr>
          <w:rFonts w:ascii="Arial" w:hAnsi="Arial" w:cs="Arial"/>
          <w:sz w:val="20"/>
          <w:szCs w:val="20"/>
          <w:highlight w:val="yellow"/>
        </w:rPr>
        <w:t xml:space="preserve"> gene of </w:t>
      </w:r>
      <w:r w:rsidRPr="00F965EF">
        <w:rPr>
          <w:rStyle w:val="Emphasis"/>
          <w:rFonts w:ascii="Arial" w:eastAsiaTheme="majorEastAsia" w:hAnsi="Arial" w:cs="Arial"/>
          <w:sz w:val="20"/>
          <w:szCs w:val="20"/>
          <w:highlight w:val="yellow"/>
        </w:rPr>
        <w:t xml:space="preserve">Mycoplasma </w:t>
      </w:r>
      <w:proofErr w:type="spellStart"/>
      <w:r w:rsidRPr="00F965EF">
        <w:rPr>
          <w:rStyle w:val="Emphasis"/>
          <w:rFonts w:ascii="Arial" w:eastAsiaTheme="majorEastAsia" w:hAnsi="Arial" w:cs="Arial"/>
          <w:sz w:val="20"/>
          <w:szCs w:val="20"/>
          <w:highlight w:val="yellow"/>
        </w:rPr>
        <w:t>capricolum</w:t>
      </w:r>
      <w:proofErr w:type="spellEnd"/>
      <w:r w:rsidRPr="00F965EF">
        <w:rPr>
          <w:rFonts w:ascii="Arial" w:hAnsi="Arial" w:cs="Arial"/>
          <w:sz w:val="20"/>
          <w:szCs w:val="20"/>
          <w:highlight w:val="yellow"/>
        </w:rPr>
        <w:t xml:space="preserve"> subsp. </w:t>
      </w:r>
      <w:proofErr w:type="spellStart"/>
      <w:r w:rsidRPr="00F965EF">
        <w:rPr>
          <w:rStyle w:val="Emphasis"/>
          <w:rFonts w:ascii="Arial" w:eastAsiaTheme="majorEastAsia" w:hAnsi="Arial" w:cs="Arial"/>
          <w:sz w:val="20"/>
          <w:szCs w:val="20"/>
          <w:highlight w:val="yellow"/>
        </w:rPr>
        <w:t>capripneumoniae</w:t>
      </w:r>
      <w:proofErr w:type="spellEnd"/>
      <w:r w:rsidRPr="00F965EF">
        <w:rPr>
          <w:rFonts w:ascii="Arial" w:hAnsi="Arial" w:cs="Arial"/>
          <w:sz w:val="20"/>
          <w:szCs w:val="20"/>
          <w:highlight w:val="yellow"/>
        </w:rPr>
        <w:t>.</w:t>
      </w:r>
    </w:p>
    <w:p w14:paraId="34C3589F" w14:textId="6BF2EEA4" w:rsidR="00F959F7" w:rsidRPr="00177A0B" w:rsidRDefault="00F959F7" w:rsidP="00177A0B">
      <w:pPr>
        <w:pStyle w:val="ListParagraph"/>
        <w:numPr>
          <w:ilvl w:val="0"/>
          <w:numId w:val="5"/>
        </w:numPr>
        <w:spacing w:before="240" w:after="0" w:line="240" w:lineRule="auto"/>
        <w:jc w:val="both"/>
        <w:rPr>
          <w:rFonts w:ascii="Arial" w:hAnsi="Arial" w:cs="Arial"/>
          <w:b/>
          <w:bCs/>
          <w:szCs w:val="20"/>
        </w:rPr>
      </w:pPr>
      <w:r w:rsidRPr="00177A0B">
        <w:rPr>
          <w:rFonts w:ascii="Arial" w:hAnsi="Arial" w:cs="Arial"/>
          <w:b/>
          <w:bCs/>
          <w:szCs w:val="20"/>
        </w:rPr>
        <w:t xml:space="preserve">RESULTS </w:t>
      </w:r>
    </w:p>
    <w:p w14:paraId="452BA680" w14:textId="77777777" w:rsidR="00F959F7" w:rsidRPr="00177A0B" w:rsidRDefault="00F959F7" w:rsidP="00177A0B">
      <w:pPr>
        <w:spacing w:after="0" w:line="240" w:lineRule="auto"/>
        <w:jc w:val="both"/>
        <w:rPr>
          <w:rFonts w:ascii="Arial" w:hAnsi="Arial" w:cs="Arial"/>
          <w:b/>
          <w:bCs/>
          <w:sz w:val="20"/>
          <w:szCs w:val="20"/>
        </w:rPr>
      </w:pPr>
      <w:r w:rsidRPr="00177A0B">
        <w:rPr>
          <w:rFonts w:ascii="Arial" w:hAnsi="Arial" w:cs="Arial"/>
          <w:b/>
          <w:bCs/>
          <w:sz w:val="20"/>
          <w:szCs w:val="20"/>
        </w:rPr>
        <w:t>Histopathological lesions</w:t>
      </w:r>
    </w:p>
    <w:p w14:paraId="369F5511" w14:textId="1616E220" w:rsidR="00F959F7" w:rsidRPr="00177A0B" w:rsidRDefault="00F959F7" w:rsidP="00177A0B">
      <w:pPr>
        <w:spacing w:after="0" w:line="240" w:lineRule="auto"/>
        <w:jc w:val="both"/>
        <w:rPr>
          <w:rFonts w:ascii="Arial" w:hAnsi="Arial" w:cs="Arial"/>
          <w:sz w:val="20"/>
          <w:szCs w:val="20"/>
        </w:rPr>
      </w:pPr>
      <w:r w:rsidRPr="00177A0B">
        <w:rPr>
          <w:rFonts w:ascii="Arial" w:hAnsi="Arial" w:cs="Arial"/>
          <w:sz w:val="20"/>
          <w:szCs w:val="20"/>
        </w:rPr>
        <w:t>Almost all the lung sections revealed presence of fibrin and mixed leucocytic infiltrates in the alveoli and bronchioles. Several sections exhibited multiple focal areas of severe necrosis of lung parenchyma and these were surrounded by numerous polymorphonuclear cells and mononuclear cells. Further these necrotic areas were encircled by one to two layers of fibroblasts in few sections (</w:t>
      </w:r>
      <w:r w:rsidRPr="001F3A27">
        <w:rPr>
          <w:rFonts w:ascii="Arial" w:hAnsi="Arial" w:cs="Arial"/>
          <w:sz w:val="20"/>
          <w:szCs w:val="20"/>
          <w:highlight w:val="yellow"/>
        </w:rPr>
        <w:t>Sequestration) (Fig</w:t>
      </w:r>
      <w:r w:rsidR="001F3A27" w:rsidRPr="001F3A27">
        <w:rPr>
          <w:rFonts w:ascii="Arial" w:hAnsi="Arial" w:cs="Arial"/>
          <w:sz w:val="20"/>
          <w:szCs w:val="20"/>
          <w:highlight w:val="yellow"/>
        </w:rPr>
        <w:t>.</w:t>
      </w:r>
      <w:r w:rsidRPr="00177A0B">
        <w:rPr>
          <w:rFonts w:ascii="Arial" w:hAnsi="Arial" w:cs="Arial"/>
          <w:sz w:val="20"/>
          <w:szCs w:val="20"/>
        </w:rPr>
        <w:t xml:space="preserve"> 5 </w:t>
      </w:r>
      <w:r w:rsidRPr="001F3A27">
        <w:rPr>
          <w:rFonts w:ascii="Arial" w:hAnsi="Arial" w:cs="Arial"/>
          <w:sz w:val="20"/>
          <w:szCs w:val="20"/>
          <w:highlight w:val="yellow"/>
        </w:rPr>
        <w:t xml:space="preserve">and </w:t>
      </w:r>
      <w:r w:rsidR="001F3A27" w:rsidRPr="001F3A27">
        <w:rPr>
          <w:rFonts w:ascii="Arial" w:hAnsi="Arial" w:cs="Arial"/>
          <w:sz w:val="20"/>
          <w:szCs w:val="20"/>
          <w:highlight w:val="yellow"/>
        </w:rPr>
        <w:t xml:space="preserve">Fig. </w:t>
      </w:r>
      <w:r w:rsidRPr="001F3A27">
        <w:rPr>
          <w:rFonts w:ascii="Arial" w:hAnsi="Arial" w:cs="Arial"/>
          <w:sz w:val="20"/>
          <w:szCs w:val="20"/>
          <w:highlight w:val="yellow"/>
        </w:rPr>
        <w:t>6).</w:t>
      </w:r>
      <w:r w:rsidRPr="00177A0B">
        <w:rPr>
          <w:rFonts w:ascii="Arial" w:hAnsi="Arial" w:cs="Arial"/>
          <w:sz w:val="20"/>
          <w:szCs w:val="20"/>
        </w:rPr>
        <w:t xml:space="preserve"> Few sections showed infiltration of inflammatory cells predominately macrophages within the peribronchiolar and alveolar subepithelial </w:t>
      </w:r>
      <w:r w:rsidRPr="001F3A27">
        <w:rPr>
          <w:rFonts w:ascii="Arial" w:hAnsi="Arial" w:cs="Arial"/>
          <w:sz w:val="20"/>
          <w:szCs w:val="20"/>
          <w:highlight w:val="yellow"/>
        </w:rPr>
        <w:t>areas (Fig</w:t>
      </w:r>
      <w:r w:rsidR="001F3A27" w:rsidRPr="001F3A27">
        <w:rPr>
          <w:rFonts w:ascii="Arial" w:hAnsi="Arial" w:cs="Arial"/>
          <w:sz w:val="20"/>
          <w:szCs w:val="20"/>
          <w:highlight w:val="yellow"/>
        </w:rPr>
        <w:t xml:space="preserve">. </w:t>
      </w:r>
      <w:r w:rsidRPr="001F3A27">
        <w:rPr>
          <w:rFonts w:ascii="Arial" w:hAnsi="Arial" w:cs="Arial"/>
          <w:sz w:val="20"/>
          <w:szCs w:val="20"/>
          <w:highlight w:val="yellow"/>
        </w:rPr>
        <w:t>7).</w:t>
      </w:r>
      <w:r w:rsidRPr="00177A0B">
        <w:rPr>
          <w:rFonts w:ascii="Arial" w:hAnsi="Arial" w:cs="Arial"/>
          <w:sz w:val="20"/>
          <w:szCs w:val="20"/>
        </w:rPr>
        <w:t xml:space="preserve"> All the sections demonstrated dilated interlobular septa containing </w:t>
      </w:r>
      <w:proofErr w:type="spellStart"/>
      <w:r w:rsidRPr="00177A0B">
        <w:rPr>
          <w:rFonts w:ascii="Arial" w:hAnsi="Arial" w:cs="Arial"/>
          <w:sz w:val="20"/>
          <w:szCs w:val="20"/>
        </w:rPr>
        <w:t>edema</w:t>
      </w:r>
      <w:proofErr w:type="spellEnd"/>
      <w:r w:rsidRPr="00177A0B">
        <w:rPr>
          <w:rFonts w:ascii="Arial" w:hAnsi="Arial" w:cs="Arial"/>
          <w:sz w:val="20"/>
          <w:szCs w:val="20"/>
        </w:rPr>
        <w:t xml:space="preserve">, fibrin and inflammatory cells and the lesions extended to pleural surface resulting in fibrinous pleuritis. Sections from heart showed fibrin deposition along with numerous PMNs in </w:t>
      </w:r>
      <w:r w:rsidRPr="001F3A27">
        <w:rPr>
          <w:rFonts w:ascii="Arial" w:hAnsi="Arial" w:cs="Arial"/>
          <w:sz w:val="20"/>
          <w:szCs w:val="20"/>
          <w:highlight w:val="yellow"/>
        </w:rPr>
        <w:t>pericardium (Fig.</w:t>
      </w:r>
      <w:r w:rsidR="001F3A27" w:rsidRPr="001F3A27">
        <w:rPr>
          <w:rFonts w:ascii="Arial" w:hAnsi="Arial" w:cs="Arial"/>
          <w:sz w:val="20"/>
          <w:szCs w:val="20"/>
          <w:highlight w:val="yellow"/>
        </w:rPr>
        <w:t xml:space="preserve"> </w:t>
      </w:r>
      <w:r w:rsidRPr="001F3A27">
        <w:rPr>
          <w:rFonts w:ascii="Arial" w:hAnsi="Arial" w:cs="Arial"/>
          <w:sz w:val="20"/>
          <w:szCs w:val="20"/>
          <w:highlight w:val="yellow"/>
        </w:rPr>
        <w:t>8).</w:t>
      </w:r>
      <w:r w:rsidRPr="00177A0B">
        <w:rPr>
          <w:rFonts w:ascii="Arial" w:hAnsi="Arial" w:cs="Arial"/>
          <w:sz w:val="20"/>
          <w:szCs w:val="20"/>
        </w:rPr>
        <w:t xml:space="preserve"> Degenerative changes in hepatocytes were also noticed in liver along with severe congestion.</w:t>
      </w:r>
    </w:p>
    <w:p w14:paraId="198F3B7B" w14:textId="77777777" w:rsidR="00F959F7" w:rsidRPr="00177A0B" w:rsidRDefault="00F959F7" w:rsidP="00177A0B">
      <w:pPr>
        <w:spacing w:after="0" w:line="240" w:lineRule="auto"/>
        <w:jc w:val="both"/>
        <w:rPr>
          <w:rFonts w:ascii="Arial" w:hAnsi="Arial" w:cs="Arial"/>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2"/>
        <w:gridCol w:w="4484"/>
      </w:tblGrid>
      <w:tr w:rsidR="00F959F7" w:rsidRPr="00177A0B" w14:paraId="01D87F75" w14:textId="77777777" w:rsidTr="00A3458E">
        <w:tc>
          <w:tcPr>
            <w:tcW w:w="4508" w:type="dxa"/>
          </w:tcPr>
          <w:p w14:paraId="26E98A0B" w14:textId="77777777" w:rsidR="00F959F7" w:rsidRPr="00177A0B" w:rsidRDefault="00F959F7" w:rsidP="00177A0B">
            <w:pPr>
              <w:jc w:val="center"/>
              <w:rPr>
                <w:rFonts w:ascii="Arial" w:hAnsi="Arial" w:cs="Arial"/>
                <w:sz w:val="20"/>
                <w:szCs w:val="20"/>
              </w:rPr>
            </w:pPr>
            <w:r w:rsidRPr="00177A0B">
              <w:rPr>
                <w:rFonts w:ascii="Arial" w:hAnsi="Arial" w:cs="Arial"/>
                <w:noProof/>
                <w:sz w:val="20"/>
                <w:szCs w:val="20"/>
              </w:rPr>
              <w:lastRenderedPageBreak/>
              <w:drawing>
                <wp:inline distT="0" distB="0" distL="0" distR="0" wp14:anchorId="5363D4B0" wp14:editId="37E34798">
                  <wp:extent cx="2747819" cy="2119746"/>
                  <wp:effectExtent l="0" t="0" r="0" b="0"/>
                  <wp:docPr id="12133969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14957" cy="2171538"/>
                          </a:xfrm>
                          <a:prstGeom prst="rect">
                            <a:avLst/>
                          </a:prstGeom>
                          <a:noFill/>
                          <a:ln>
                            <a:noFill/>
                          </a:ln>
                        </pic:spPr>
                      </pic:pic>
                    </a:graphicData>
                  </a:graphic>
                </wp:inline>
              </w:drawing>
            </w:r>
          </w:p>
        </w:tc>
        <w:tc>
          <w:tcPr>
            <w:tcW w:w="4508" w:type="dxa"/>
          </w:tcPr>
          <w:p w14:paraId="68618FDA" w14:textId="77777777" w:rsidR="00F959F7" w:rsidRPr="00177A0B" w:rsidRDefault="00F959F7" w:rsidP="00177A0B">
            <w:pPr>
              <w:jc w:val="center"/>
              <w:rPr>
                <w:rFonts w:ascii="Arial" w:hAnsi="Arial" w:cs="Arial"/>
                <w:sz w:val="20"/>
                <w:szCs w:val="20"/>
              </w:rPr>
            </w:pPr>
            <w:r w:rsidRPr="00177A0B">
              <w:rPr>
                <w:rFonts w:ascii="Arial" w:hAnsi="Arial" w:cs="Arial"/>
                <w:noProof/>
                <w:sz w:val="20"/>
                <w:szCs w:val="20"/>
              </w:rPr>
              <w:drawing>
                <wp:inline distT="0" distB="0" distL="0" distR="0" wp14:anchorId="253E5C06" wp14:editId="645D28CB">
                  <wp:extent cx="2735304" cy="2161309"/>
                  <wp:effectExtent l="0" t="0" r="8255" b="0"/>
                  <wp:docPr id="20276900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06052" cy="2217210"/>
                          </a:xfrm>
                          <a:prstGeom prst="rect">
                            <a:avLst/>
                          </a:prstGeom>
                          <a:noFill/>
                          <a:ln>
                            <a:noFill/>
                          </a:ln>
                        </pic:spPr>
                      </pic:pic>
                    </a:graphicData>
                  </a:graphic>
                </wp:inline>
              </w:drawing>
            </w:r>
          </w:p>
        </w:tc>
      </w:tr>
      <w:tr w:rsidR="00F959F7" w:rsidRPr="00177A0B" w14:paraId="1F1CB6DB" w14:textId="77777777" w:rsidTr="00A3458E">
        <w:tc>
          <w:tcPr>
            <w:tcW w:w="4508" w:type="dxa"/>
          </w:tcPr>
          <w:p w14:paraId="699E5623" w14:textId="3DB3F850" w:rsidR="00F959F7" w:rsidRPr="001F3A27" w:rsidRDefault="00F959F7" w:rsidP="00177A0B">
            <w:pPr>
              <w:jc w:val="both"/>
              <w:rPr>
                <w:rFonts w:ascii="Arial" w:hAnsi="Arial" w:cs="Arial"/>
                <w:b/>
                <w:sz w:val="20"/>
                <w:szCs w:val="20"/>
                <w:highlight w:val="yellow"/>
              </w:rPr>
            </w:pPr>
            <w:r w:rsidRPr="001F3A27">
              <w:rPr>
                <w:rFonts w:ascii="Arial" w:hAnsi="Arial" w:cs="Arial"/>
                <w:b/>
                <w:sz w:val="20"/>
                <w:szCs w:val="20"/>
                <w:highlight w:val="yellow"/>
              </w:rPr>
              <w:t>Fig</w:t>
            </w:r>
            <w:r w:rsidR="00177A0B" w:rsidRPr="001F3A27">
              <w:rPr>
                <w:rFonts w:ascii="Arial" w:hAnsi="Arial" w:cs="Arial"/>
                <w:b/>
                <w:sz w:val="20"/>
                <w:szCs w:val="20"/>
                <w:highlight w:val="yellow"/>
              </w:rPr>
              <w:t xml:space="preserve">. </w:t>
            </w:r>
            <w:r w:rsidRPr="001F3A27">
              <w:rPr>
                <w:rFonts w:ascii="Arial" w:hAnsi="Arial" w:cs="Arial"/>
                <w:b/>
                <w:sz w:val="20"/>
                <w:szCs w:val="20"/>
                <w:highlight w:val="yellow"/>
              </w:rPr>
              <w:t>5: Multifocal areas of necrosis and sequestration in lung parenchyma H&amp;E,100x.</w:t>
            </w:r>
          </w:p>
        </w:tc>
        <w:tc>
          <w:tcPr>
            <w:tcW w:w="4508" w:type="dxa"/>
          </w:tcPr>
          <w:p w14:paraId="2E8E76F2" w14:textId="77777777" w:rsidR="00F959F7" w:rsidRPr="001F3A27" w:rsidRDefault="00F959F7" w:rsidP="00177A0B">
            <w:pPr>
              <w:jc w:val="both"/>
              <w:rPr>
                <w:rFonts w:ascii="Arial" w:hAnsi="Arial" w:cs="Arial"/>
                <w:b/>
                <w:sz w:val="20"/>
                <w:szCs w:val="20"/>
                <w:highlight w:val="yellow"/>
              </w:rPr>
            </w:pPr>
            <w:r w:rsidRPr="001F3A27">
              <w:rPr>
                <w:rFonts w:ascii="Arial" w:hAnsi="Arial" w:cs="Arial"/>
                <w:b/>
                <w:sz w:val="20"/>
                <w:szCs w:val="20"/>
                <w:highlight w:val="yellow"/>
              </w:rPr>
              <w:t>Fig</w:t>
            </w:r>
            <w:r w:rsidR="00177A0B" w:rsidRPr="001F3A27">
              <w:rPr>
                <w:rFonts w:ascii="Arial" w:hAnsi="Arial" w:cs="Arial"/>
                <w:b/>
                <w:sz w:val="20"/>
                <w:szCs w:val="20"/>
                <w:highlight w:val="yellow"/>
              </w:rPr>
              <w:t>.</w:t>
            </w:r>
            <w:r w:rsidRPr="001F3A27">
              <w:rPr>
                <w:rFonts w:ascii="Arial" w:hAnsi="Arial" w:cs="Arial"/>
                <w:b/>
                <w:sz w:val="20"/>
                <w:szCs w:val="20"/>
                <w:highlight w:val="yellow"/>
              </w:rPr>
              <w:t xml:space="preserve"> 6:</w:t>
            </w:r>
            <w:r w:rsidRPr="001F3A27">
              <w:rPr>
                <w:rFonts w:ascii="Arial" w:eastAsiaTheme="minorEastAsia" w:hAnsi="Arial" w:cs="Arial"/>
                <w:b/>
                <w:color w:val="000000" w:themeColor="text1"/>
                <w:kern w:val="24"/>
                <w:sz w:val="20"/>
                <w:szCs w:val="20"/>
                <w:highlight w:val="yellow"/>
                <w:lang w:eastAsia="en-IN"/>
                <w14:ligatures w14:val="none"/>
              </w:rPr>
              <w:t xml:space="preserve"> </w:t>
            </w:r>
            <w:r w:rsidRPr="001F3A27">
              <w:rPr>
                <w:rFonts w:ascii="Arial" w:hAnsi="Arial" w:cs="Arial"/>
                <w:b/>
                <w:sz w:val="20"/>
                <w:szCs w:val="20"/>
                <w:highlight w:val="yellow"/>
              </w:rPr>
              <w:t>Numerous PMNs and mononuclear cells in alveoli, H&amp;E, 400x.</w:t>
            </w:r>
          </w:p>
          <w:p w14:paraId="7A5B641D" w14:textId="43AF1391" w:rsidR="001F3A27" w:rsidRPr="001F3A27" w:rsidRDefault="001F3A27" w:rsidP="00177A0B">
            <w:pPr>
              <w:jc w:val="both"/>
              <w:rPr>
                <w:rFonts w:ascii="Arial" w:hAnsi="Arial" w:cs="Arial"/>
                <w:b/>
                <w:sz w:val="20"/>
                <w:szCs w:val="20"/>
                <w:highlight w:val="yellow"/>
              </w:rPr>
            </w:pPr>
          </w:p>
        </w:tc>
      </w:tr>
      <w:tr w:rsidR="00F959F7" w:rsidRPr="00177A0B" w14:paraId="2E426273" w14:textId="77777777" w:rsidTr="00A3458E">
        <w:tc>
          <w:tcPr>
            <w:tcW w:w="4508" w:type="dxa"/>
          </w:tcPr>
          <w:p w14:paraId="2B9FAF06" w14:textId="77777777" w:rsidR="00F959F7" w:rsidRPr="00177A0B" w:rsidRDefault="00F959F7" w:rsidP="00177A0B">
            <w:pPr>
              <w:jc w:val="center"/>
              <w:rPr>
                <w:rFonts w:ascii="Arial" w:hAnsi="Arial" w:cs="Arial"/>
                <w:sz w:val="20"/>
                <w:szCs w:val="20"/>
              </w:rPr>
            </w:pPr>
            <w:r w:rsidRPr="00177A0B">
              <w:rPr>
                <w:rFonts w:ascii="Arial" w:hAnsi="Arial" w:cs="Arial"/>
                <w:noProof/>
                <w:sz w:val="20"/>
                <w:szCs w:val="20"/>
              </w:rPr>
              <w:drawing>
                <wp:inline distT="0" distB="0" distL="0" distR="0" wp14:anchorId="64F2F30C" wp14:editId="57630480">
                  <wp:extent cx="2791375" cy="2265218"/>
                  <wp:effectExtent l="0" t="0" r="9525" b="1905"/>
                  <wp:docPr id="18876199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58521" cy="2319708"/>
                          </a:xfrm>
                          <a:prstGeom prst="rect">
                            <a:avLst/>
                          </a:prstGeom>
                          <a:noFill/>
                          <a:ln>
                            <a:noFill/>
                          </a:ln>
                        </pic:spPr>
                      </pic:pic>
                    </a:graphicData>
                  </a:graphic>
                </wp:inline>
              </w:drawing>
            </w:r>
          </w:p>
        </w:tc>
        <w:tc>
          <w:tcPr>
            <w:tcW w:w="4508" w:type="dxa"/>
          </w:tcPr>
          <w:p w14:paraId="280A4D40" w14:textId="77777777" w:rsidR="00F959F7" w:rsidRPr="00177A0B" w:rsidRDefault="00F959F7" w:rsidP="00177A0B">
            <w:pPr>
              <w:jc w:val="center"/>
              <w:rPr>
                <w:rFonts w:ascii="Arial" w:hAnsi="Arial" w:cs="Arial"/>
                <w:sz w:val="20"/>
                <w:szCs w:val="20"/>
              </w:rPr>
            </w:pPr>
            <w:r w:rsidRPr="00177A0B">
              <w:rPr>
                <w:rFonts w:ascii="Arial" w:hAnsi="Arial" w:cs="Arial"/>
                <w:noProof/>
                <w:sz w:val="20"/>
                <w:szCs w:val="20"/>
              </w:rPr>
              <w:drawing>
                <wp:inline distT="0" distB="0" distL="0" distR="0" wp14:anchorId="0CB086FB" wp14:editId="6B3714E9">
                  <wp:extent cx="2759891" cy="2195946"/>
                  <wp:effectExtent l="0" t="0" r="2540" b="0"/>
                  <wp:docPr id="152860537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27320" cy="2249597"/>
                          </a:xfrm>
                          <a:prstGeom prst="rect">
                            <a:avLst/>
                          </a:prstGeom>
                          <a:noFill/>
                          <a:ln>
                            <a:noFill/>
                          </a:ln>
                        </pic:spPr>
                      </pic:pic>
                    </a:graphicData>
                  </a:graphic>
                </wp:inline>
              </w:drawing>
            </w:r>
          </w:p>
        </w:tc>
      </w:tr>
      <w:tr w:rsidR="00F959F7" w:rsidRPr="00177A0B" w14:paraId="6F865CD6" w14:textId="77777777" w:rsidTr="00A3458E">
        <w:tc>
          <w:tcPr>
            <w:tcW w:w="4508" w:type="dxa"/>
          </w:tcPr>
          <w:p w14:paraId="43C79338" w14:textId="5F9E3EBA" w:rsidR="00F959F7" w:rsidRPr="001F3A27" w:rsidRDefault="00F959F7" w:rsidP="00177A0B">
            <w:pPr>
              <w:jc w:val="both"/>
              <w:rPr>
                <w:rFonts w:ascii="Arial" w:hAnsi="Arial" w:cs="Arial"/>
                <w:b/>
                <w:noProof/>
                <w:sz w:val="20"/>
                <w:szCs w:val="20"/>
              </w:rPr>
            </w:pPr>
            <w:r w:rsidRPr="001F3A27">
              <w:rPr>
                <w:rFonts w:ascii="Arial" w:hAnsi="Arial" w:cs="Arial"/>
                <w:b/>
                <w:sz w:val="20"/>
                <w:szCs w:val="20"/>
                <w:highlight w:val="yellow"/>
              </w:rPr>
              <w:t>Fig</w:t>
            </w:r>
            <w:r w:rsidR="00177A0B" w:rsidRPr="001F3A27">
              <w:rPr>
                <w:rFonts w:ascii="Arial" w:hAnsi="Arial" w:cs="Arial"/>
                <w:b/>
                <w:sz w:val="20"/>
                <w:szCs w:val="20"/>
                <w:highlight w:val="yellow"/>
              </w:rPr>
              <w:t xml:space="preserve">. </w:t>
            </w:r>
            <w:r w:rsidRPr="001F3A27">
              <w:rPr>
                <w:rFonts w:ascii="Arial" w:hAnsi="Arial" w:cs="Arial"/>
                <w:b/>
                <w:sz w:val="20"/>
                <w:szCs w:val="20"/>
                <w:highlight w:val="yellow"/>
              </w:rPr>
              <w:t>7: Infiltration of inflammatory cells within the peribronchiolar and alveolar subepithelial regions, H&amp;E,100x.</w:t>
            </w:r>
          </w:p>
        </w:tc>
        <w:tc>
          <w:tcPr>
            <w:tcW w:w="4508" w:type="dxa"/>
          </w:tcPr>
          <w:p w14:paraId="5A67A315" w14:textId="54D95B82" w:rsidR="00F959F7" w:rsidRPr="001F3A27" w:rsidRDefault="00F959F7" w:rsidP="00177A0B">
            <w:pPr>
              <w:jc w:val="both"/>
              <w:rPr>
                <w:rFonts w:ascii="Arial" w:hAnsi="Arial" w:cs="Arial"/>
                <w:b/>
                <w:sz w:val="20"/>
                <w:szCs w:val="20"/>
                <w:highlight w:val="yellow"/>
              </w:rPr>
            </w:pPr>
            <w:r w:rsidRPr="001F3A27">
              <w:rPr>
                <w:rFonts w:ascii="Arial" w:hAnsi="Arial" w:cs="Arial"/>
                <w:b/>
                <w:sz w:val="20"/>
                <w:szCs w:val="20"/>
                <w:highlight w:val="yellow"/>
              </w:rPr>
              <w:t>Fig</w:t>
            </w:r>
            <w:r w:rsidR="00177A0B" w:rsidRPr="001F3A27">
              <w:rPr>
                <w:rFonts w:ascii="Arial" w:hAnsi="Arial" w:cs="Arial"/>
                <w:b/>
                <w:sz w:val="20"/>
                <w:szCs w:val="20"/>
                <w:highlight w:val="yellow"/>
              </w:rPr>
              <w:t>.</w:t>
            </w:r>
            <w:r w:rsidRPr="001F3A27">
              <w:rPr>
                <w:rFonts w:ascii="Arial" w:hAnsi="Arial" w:cs="Arial"/>
                <w:b/>
                <w:sz w:val="20"/>
                <w:szCs w:val="20"/>
                <w:highlight w:val="yellow"/>
              </w:rPr>
              <w:t xml:space="preserve"> 8: Fibrin deposition along with numerous inflammatory cells in pericardium, H&amp;E, 400x.</w:t>
            </w:r>
          </w:p>
          <w:p w14:paraId="54E8515E" w14:textId="77777777" w:rsidR="00F959F7" w:rsidRPr="00177A0B" w:rsidRDefault="00F959F7" w:rsidP="00177A0B">
            <w:pPr>
              <w:jc w:val="both"/>
              <w:rPr>
                <w:rFonts w:ascii="Arial" w:hAnsi="Arial" w:cs="Arial"/>
                <w:noProof/>
                <w:sz w:val="20"/>
                <w:szCs w:val="20"/>
              </w:rPr>
            </w:pPr>
          </w:p>
        </w:tc>
      </w:tr>
    </w:tbl>
    <w:p w14:paraId="10A467D8" w14:textId="77777777" w:rsidR="00F959F7" w:rsidRPr="00177A0B" w:rsidRDefault="00F959F7" w:rsidP="00177A0B">
      <w:pPr>
        <w:spacing w:line="240" w:lineRule="auto"/>
        <w:rPr>
          <w:rFonts w:ascii="Arial" w:hAnsi="Arial" w:cs="Arial"/>
          <w:b/>
          <w:bCs/>
          <w:sz w:val="20"/>
          <w:szCs w:val="20"/>
        </w:rPr>
      </w:pPr>
    </w:p>
    <w:p w14:paraId="0E3084BE" w14:textId="77777777" w:rsidR="00F959F7" w:rsidRPr="00177A0B" w:rsidRDefault="00F959F7" w:rsidP="00177A0B">
      <w:pPr>
        <w:spacing w:before="240" w:after="0" w:line="240" w:lineRule="auto"/>
        <w:jc w:val="both"/>
        <w:rPr>
          <w:rFonts w:ascii="Arial" w:hAnsi="Arial" w:cs="Arial"/>
          <w:b/>
          <w:bCs/>
          <w:sz w:val="20"/>
          <w:szCs w:val="20"/>
        </w:rPr>
      </w:pPr>
      <w:r w:rsidRPr="00177A0B">
        <w:rPr>
          <w:rFonts w:ascii="Arial" w:hAnsi="Arial" w:cs="Arial"/>
          <w:b/>
          <w:bCs/>
          <w:sz w:val="20"/>
          <w:szCs w:val="20"/>
        </w:rPr>
        <w:t>Polymerase chain reaction</w:t>
      </w:r>
    </w:p>
    <w:p w14:paraId="76611422" w14:textId="77777777" w:rsidR="00F959F7" w:rsidRPr="00177A0B" w:rsidRDefault="00F959F7" w:rsidP="00177A0B">
      <w:pPr>
        <w:spacing w:line="240" w:lineRule="auto"/>
        <w:jc w:val="both"/>
        <w:rPr>
          <w:rFonts w:ascii="Arial" w:hAnsi="Arial" w:cs="Arial"/>
          <w:sz w:val="20"/>
          <w:szCs w:val="20"/>
        </w:rPr>
      </w:pPr>
      <w:bookmarkStart w:id="0" w:name="_Hlk183636327"/>
      <w:r w:rsidRPr="00177A0B">
        <w:rPr>
          <w:rFonts w:ascii="Arial" w:eastAsia="Calibri" w:hAnsi="Arial" w:cs="Arial"/>
          <w:sz w:val="20"/>
          <w:szCs w:val="20"/>
        </w:rPr>
        <w:t xml:space="preserve">In the present study, molecular diagnosis of CCPP in affected goat was carried out by amplification of </w:t>
      </w:r>
      <w:proofErr w:type="spellStart"/>
      <w:r w:rsidRPr="00177A0B">
        <w:rPr>
          <w:rFonts w:ascii="Arial" w:hAnsi="Arial" w:cs="Arial"/>
          <w:sz w:val="20"/>
          <w:szCs w:val="20"/>
        </w:rPr>
        <w:t>arcD</w:t>
      </w:r>
      <w:proofErr w:type="spellEnd"/>
      <w:r w:rsidRPr="00177A0B">
        <w:rPr>
          <w:rFonts w:ascii="Arial" w:eastAsia="Calibri" w:hAnsi="Arial" w:cs="Arial"/>
          <w:sz w:val="20"/>
          <w:szCs w:val="20"/>
        </w:rPr>
        <w:t xml:space="preserve"> gene of </w:t>
      </w:r>
      <w:proofErr w:type="spellStart"/>
      <w:r w:rsidRPr="00177A0B">
        <w:rPr>
          <w:rFonts w:ascii="Arial" w:hAnsi="Arial" w:cs="Arial"/>
          <w:i/>
          <w:iCs/>
          <w:sz w:val="20"/>
          <w:szCs w:val="20"/>
        </w:rPr>
        <w:t>Mccp</w:t>
      </w:r>
      <w:proofErr w:type="spellEnd"/>
      <w:r w:rsidRPr="00177A0B">
        <w:rPr>
          <w:rFonts w:ascii="Arial" w:eastAsia="Calibri" w:hAnsi="Arial" w:cs="Arial"/>
          <w:sz w:val="20"/>
          <w:szCs w:val="20"/>
        </w:rPr>
        <w:t xml:space="preserve"> using specific primers</w:t>
      </w:r>
      <w:bookmarkEnd w:id="0"/>
      <w:r w:rsidRPr="00177A0B">
        <w:rPr>
          <w:rFonts w:ascii="Arial" w:eastAsia="Calibri" w:hAnsi="Arial" w:cs="Arial"/>
          <w:sz w:val="20"/>
          <w:szCs w:val="20"/>
        </w:rPr>
        <w:t xml:space="preserve">. The genomic DNA extracted from lung samples from dead goat were used for amplification and the positive samples yielded expected bands. On electrophoretic analysis, amplicons of 316bp size of </w:t>
      </w:r>
      <w:proofErr w:type="spellStart"/>
      <w:r w:rsidRPr="00177A0B">
        <w:rPr>
          <w:rFonts w:ascii="Arial" w:hAnsi="Arial" w:cs="Arial"/>
          <w:sz w:val="20"/>
          <w:szCs w:val="20"/>
        </w:rPr>
        <w:t>arcD</w:t>
      </w:r>
      <w:proofErr w:type="spellEnd"/>
      <w:r w:rsidRPr="00177A0B">
        <w:rPr>
          <w:rFonts w:ascii="Arial" w:eastAsia="Calibri" w:hAnsi="Arial" w:cs="Arial"/>
          <w:sz w:val="20"/>
          <w:szCs w:val="20"/>
        </w:rPr>
        <w:t xml:space="preserve"> gene </w:t>
      </w:r>
      <w:r w:rsidRPr="00177A0B">
        <w:rPr>
          <w:rFonts w:ascii="Arial" w:hAnsi="Arial" w:cs="Arial"/>
          <w:sz w:val="20"/>
          <w:szCs w:val="20"/>
        </w:rPr>
        <w:t>(Fig. 9)</w:t>
      </w:r>
      <w:r w:rsidRPr="00177A0B">
        <w:rPr>
          <w:rFonts w:ascii="Arial" w:eastAsia="Calibri" w:hAnsi="Arial" w:cs="Arial"/>
          <w:sz w:val="20"/>
          <w:szCs w:val="20"/>
        </w:rPr>
        <w:t xml:space="preserve"> were obtained confirming the presence of </w:t>
      </w:r>
      <w:proofErr w:type="spellStart"/>
      <w:r w:rsidRPr="00177A0B">
        <w:rPr>
          <w:rFonts w:ascii="Arial" w:hAnsi="Arial" w:cs="Arial"/>
          <w:i/>
          <w:iCs/>
          <w:sz w:val="20"/>
          <w:szCs w:val="20"/>
        </w:rPr>
        <w:t>Mccp</w:t>
      </w:r>
      <w:proofErr w:type="spellEnd"/>
      <w:r w:rsidRPr="00177A0B">
        <w:rPr>
          <w:rFonts w:ascii="Arial" w:hAnsi="Arial" w:cs="Arial"/>
          <w:i/>
          <w:iCs/>
          <w:sz w:val="20"/>
          <w:szCs w:val="20"/>
        </w:rPr>
        <w:t xml:space="preserve"> </w:t>
      </w:r>
      <w:r w:rsidRPr="00177A0B">
        <w:rPr>
          <w:rFonts w:ascii="Arial" w:hAnsi="Arial" w:cs="Arial"/>
          <w:sz w:val="20"/>
          <w:szCs w:val="20"/>
        </w:rPr>
        <w:t>in lung samples.</w:t>
      </w:r>
    </w:p>
    <w:p w14:paraId="2933517E" w14:textId="77777777" w:rsidR="00F959F7" w:rsidRPr="00177A0B" w:rsidRDefault="00F959F7" w:rsidP="00177A0B">
      <w:pPr>
        <w:spacing w:line="240" w:lineRule="auto"/>
        <w:jc w:val="center"/>
        <w:rPr>
          <w:rFonts w:ascii="Arial" w:hAnsi="Arial" w:cs="Arial"/>
          <w:sz w:val="20"/>
          <w:szCs w:val="20"/>
        </w:rPr>
      </w:pPr>
      <w:r w:rsidRPr="00177A0B">
        <w:rPr>
          <w:rFonts w:ascii="Arial" w:hAnsi="Arial" w:cs="Arial"/>
          <w:noProof/>
          <w:sz w:val="20"/>
          <w:szCs w:val="20"/>
        </w:rPr>
        <w:drawing>
          <wp:inline distT="0" distB="0" distL="0" distR="0" wp14:anchorId="3B2A24A8" wp14:editId="5ACD1E2A">
            <wp:extent cx="3249450" cy="1999661"/>
            <wp:effectExtent l="0" t="0" r="8255" b="635"/>
            <wp:docPr id="18" name="Picture 17">
              <a:extLst xmlns:a="http://schemas.openxmlformats.org/drawingml/2006/main">
                <a:ext uri="{FF2B5EF4-FFF2-40B4-BE49-F238E27FC236}">
                  <a16:creationId xmlns:a16="http://schemas.microsoft.com/office/drawing/2014/main" id="{7B49DC46-7632-D6B0-0C9D-534105B5D4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7B49DC46-7632-D6B0-0C9D-534105B5D451}"/>
                        </a:ext>
                      </a:extLst>
                    </pic:cNvPr>
                    <pic:cNvPicPr>
                      <a:picLocks noChangeAspect="1"/>
                    </pic:cNvPicPr>
                  </pic:nvPicPr>
                  <pic:blipFill>
                    <a:blip r:embed="rId16"/>
                    <a:stretch>
                      <a:fillRect/>
                    </a:stretch>
                  </pic:blipFill>
                  <pic:spPr>
                    <a:xfrm>
                      <a:off x="0" y="0"/>
                      <a:ext cx="3249450" cy="1999661"/>
                    </a:xfrm>
                    <a:prstGeom prst="rect">
                      <a:avLst/>
                    </a:prstGeom>
                  </pic:spPr>
                </pic:pic>
              </a:graphicData>
            </a:graphic>
          </wp:inline>
        </w:drawing>
      </w:r>
    </w:p>
    <w:p w14:paraId="30CA0C84" w14:textId="7D6FCDCA" w:rsidR="00F959F7" w:rsidRPr="00F965EF" w:rsidRDefault="00F959F7" w:rsidP="00177A0B">
      <w:pPr>
        <w:spacing w:line="240" w:lineRule="auto"/>
        <w:ind w:firstLine="720"/>
        <w:jc w:val="center"/>
        <w:rPr>
          <w:rFonts w:ascii="Arial" w:hAnsi="Arial" w:cs="Arial"/>
          <w:b/>
          <w:sz w:val="20"/>
          <w:szCs w:val="20"/>
        </w:rPr>
      </w:pPr>
      <w:r w:rsidRPr="00F965EF">
        <w:rPr>
          <w:rFonts w:ascii="Arial" w:hAnsi="Arial" w:cs="Arial"/>
          <w:b/>
          <w:sz w:val="20"/>
          <w:szCs w:val="20"/>
          <w:highlight w:val="yellow"/>
        </w:rPr>
        <w:t>Fig</w:t>
      </w:r>
      <w:r w:rsidR="00177A0B" w:rsidRPr="00F965EF">
        <w:rPr>
          <w:rFonts w:ascii="Arial" w:hAnsi="Arial" w:cs="Arial"/>
          <w:b/>
          <w:sz w:val="20"/>
          <w:szCs w:val="20"/>
          <w:highlight w:val="yellow"/>
        </w:rPr>
        <w:t>.</w:t>
      </w:r>
      <w:r w:rsidRPr="00F965EF">
        <w:rPr>
          <w:rFonts w:ascii="Arial" w:hAnsi="Arial" w:cs="Arial"/>
          <w:b/>
          <w:sz w:val="20"/>
          <w:szCs w:val="20"/>
          <w:highlight w:val="yellow"/>
        </w:rPr>
        <w:t xml:space="preserve"> 9: Agarose gel electrophoresis showing amplified </w:t>
      </w:r>
      <w:proofErr w:type="spellStart"/>
      <w:r w:rsidRPr="00F965EF">
        <w:rPr>
          <w:rFonts w:ascii="Arial" w:hAnsi="Arial" w:cs="Arial"/>
          <w:b/>
          <w:sz w:val="20"/>
          <w:szCs w:val="20"/>
          <w:highlight w:val="yellow"/>
        </w:rPr>
        <w:t>arcD</w:t>
      </w:r>
      <w:proofErr w:type="spellEnd"/>
      <w:r w:rsidRPr="00F965EF">
        <w:rPr>
          <w:rFonts w:ascii="Arial" w:hAnsi="Arial" w:cs="Arial"/>
          <w:b/>
          <w:sz w:val="20"/>
          <w:szCs w:val="20"/>
          <w:highlight w:val="yellow"/>
        </w:rPr>
        <w:t xml:space="preserve"> gene fragment of </w:t>
      </w:r>
      <w:proofErr w:type="spellStart"/>
      <w:r w:rsidRPr="00F965EF">
        <w:rPr>
          <w:rFonts w:ascii="Arial" w:hAnsi="Arial" w:cs="Arial"/>
          <w:b/>
          <w:sz w:val="20"/>
          <w:szCs w:val="20"/>
          <w:highlight w:val="yellow"/>
        </w:rPr>
        <w:t>Mccp</w:t>
      </w:r>
      <w:proofErr w:type="spellEnd"/>
    </w:p>
    <w:p w14:paraId="524EF134" w14:textId="79084588" w:rsidR="00F959F7" w:rsidRPr="00177A0B" w:rsidRDefault="00F959F7" w:rsidP="00177A0B">
      <w:pPr>
        <w:pStyle w:val="ListParagraph"/>
        <w:numPr>
          <w:ilvl w:val="0"/>
          <w:numId w:val="5"/>
        </w:numPr>
        <w:spacing w:line="240" w:lineRule="auto"/>
        <w:rPr>
          <w:rFonts w:ascii="Arial" w:hAnsi="Arial" w:cs="Arial"/>
          <w:b/>
          <w:bCs/>
          <w:sz w:val="20"/>
          <w:szCs w:val="20"/>
        </w:rPr>
      </w:pPr>
      <w:r w:rsidRPr="00177A0B">
        <w:rPr>
          <w:rFonts w:ascii="Arial" w:hAnsi="Arial" w:cs="Arial"/>
          <w:b/>
          <w:bCs/>
          <w:szCs w:val="20"/>
        </w:rPr>
        <w:lastRenderedPageBreak/>
        <w:t>DISCUSSION</w:t>
      </w:r>
      <w:r w:rsidRPr="00177A0B">
        <w:rPr>
          <w:rFonts w:ascii="Arial" w:hAnsi="Arial" w:cs="Arial"/>
          <w:b/>
          <w:bCs/>
          <w:sz w:val="20"/>
          <w:szCs w:val="20"/>
        </w:rPr>
        <w:t xml:space="preserve"> </w:t>
      </w:r>
    </w:p>
    <w:p w14:paraId="39883C25" w14:textId="5BE7451A" w:rsidR="00F959F7" w:rsidRPr="00177A0B" w:rsidRDefault="00F959F7" w:rsidP="00177A0B">
      <w:pPr>
        <w:spacing w:after="0" w:line="240" w:lineRule="auto"/>
        <w:jc w:val="both"/>
        <w:rPr>
          <w:rFonts w:ascii="Arial" w:hAnsi="Arial" w:cs="Arial"/>
          <w:sz w:val="20"/>
          <w:szCs w:val="20"/>
        </w:rPr>
      </w:pPr>
      <w:r w:rsidRPr="00177A0B">
        <w:rPr>
          <w:rFonts w:ascii="Arial" w:hAnsi="Arial" w:cs="Arial"/>
          <w:sz w:val="20"/>
          <w:szCs w:val="20"/>
        </w:rPr>
        <w:t xml:space="preserve">The current study on an outbreak of Contagious Caprine Pleuropneumonia (CCPP) affecting eleven goats of varying age groups across three flocks in </w:t>
      </w:r>
      <w:proofErr w:type="spellStart"/>
      <w:r w:rsidRPr="00177A0B">
        <w:rPr>
          <w:rFonts w:ascii="Arial" w:hAnsi="Arial" w:cs="Arial"/>
          <w:sz w:val="20"/>
          <w:szCs w:val="20"/>
        </w:rPr>
        <w:t>Thotaravulapadu</w:t>
      </w:r>
      <w:proofErr w:type="spellEnd"/>
      <w:r w:rsidRPr="00177A0B">
        <w:rPr>
          <w:rFonts w:ascii="Arial" w:hAnsi="Arial" w:cs="Arial"/>
          <w:sz w:val="20"/>
          <w:szCs w:val="20"/>
        </w:rPr>
        <w:t xml:space="preserve"> village, NTR district, Andhra Pradesh, offers comprehensive insights. The affected animals exhibited typical clinical signs, including respiratory distress, </w:t>
      </w:r>
      <w:proofErr w:type="spellStart"/>
      <w:r w:rsidRPr="00177A0B">
        <w:rPr>
          <w:rFonts w:ascii="Arial" w:hAnsi="Arial" w:cs="Arial"/>
          <w:sz w:val="20"/>
          <w:szCs w:val="20"/>
        </w:rPr>
        <w:t>sero</w:t>
      </w:r>
      <w:proofErr w:type="spellEnd"/>
      <w:r w:rsidRPr="00177A0B">
        <w:rPr>
          <w:rFonts w:ascii="Arial" w:hAnsi="Arial" w:cs="Arial"/>
          <w:sz w:val="20"/>
          <w:szCs w:val="20"/>
        </w:rPr>
        <w:t xml:space="preserve">-mucoid nasal discharge, coughing, </w:t>
      </w:r>
      <w:proofErr w:type="spellStart"/>
      <w:r w:rsidRPr="00177A0B">
        <w:rPr>
          <w:rFonts w:ascii="Arial" w:hAnsi="Arial" w:cs="Arial"/>
          <w:sz w:val="20"/>
          <w:szCs w:val="20"/>
        </w:rPr>
        <w:t>dyspnea</w:t>
      </w:r>
      <w:proofErr w:type="spellEnd"/>
      <w:r w:rsidRPr="00177A0B">
        <w:rPr>
          <w:rFonts w:ascii="Arial" w:hAnsi="Arial" w:cs="Arial"/>
          <w:sz w:val="20"/>
          <w:szCs w:val="20"/>
        </w:rPr>
        <w:t>, pyrexia, and general malaise are considered as hallmark indicators of CCPP, a disease known for its high morbidity and mortality rates in goats (</w:t>
      </w:r>
      <w:proofErr w:type="spellStart"/>
      <w:r w:rsidRPr="00177A0B">
        <w:rPr>
          <w:rFonts w:ascii="Arial" w:hAnsi="Arial" w:cs="Arial"/>
          <w:sz w:val="20"/>
          <w:szCs w:val="20"/>
        </w:rPr>
        <w:t>Kusiluka</w:t>
      </w:r>
      <w:proofErr w:type="spellEnd"/>
      <w:r w:rsidRPr="00177A0B">
        <w:rPr>
          <w:rFonts w:ascii="Arial" w:hAnsi="Arial" w:cs="Arial"/>
          <w:sz w:val="20"/>
          <w:szCs w:val="20"/>
        </w:rPr>
        <w:t xml:space="preserve"> </w:t>
      </w:r>
      <w:r w:rsidRPr="00177A0B">
        <w:rPr>
          <w:rFonts w:ascii="Arial" w:hAnsi="Arial" w:cs="Arial"/>
          <w:i/>
          <w:iCs/>
          <w:sz w:val="20"/>
          <w:szCs w:val="20"/>
        </w:rPr>
        <w:t>et al</w:t>
      </w:r>
      <w:r w:rsidRPr="00177A0B">
        <w:rPr>
          <w:rFonts w:ascii="Arial" w:hAnsi="Arial" w:cs="Arial"/>
          <w:sz w:val="20"/>
          <w:szCs w:val="20"/>
        </w:rPr>
        <w:t xml:space="preserve">. 2000, Tharwat </w:t>
      </w:r>
      <w:r w:rsidRPr="00177A0B">
        <w:rPr>
          <w:rFonts w:ascii="Arial" w:hAnsi="Arial" w:cs="Arial"/>
          <w:i/>
          <w:iCs/>
          <w:sz w:val="20"/>
          <w:szCs w:val="20"/>
        </w:rPr>
        <w:t>et al.,</w:t>
      </w:r>
      <w:r w:rsidRPr="00177A0B">
        <w:rPr>
          <w:rFonts w:ascii="Arial" w:hAnsi="Arial" w:cs="Arial"/>
          <w:sz w:val="20"/>
          <w:szCs w:val="20"/>
        </w:rPr>
        <w:t xml:space="preserve"> 2017, </w:t>
      </w:r>
      <w:r w:rsidR="00177A0B" w:rsidRPr="00177A0B">
        <w:rPr>
          <w:rFonts w:ascii="Arial" w:hAnsi="Arial" w:cs="Arial"/>
          <w:sz w:val="20"/>
          <w:szCs w:val="20"/>
        </w:rPr>
        <w:t xml:space="preserve">Iqbal </w:t>
      </w:r>
      <w:proofErr w:type="spellStart"/>
      <w:r w:rsidR="00177A0B" w:rsidRPr="00177A0B">
        <w:rPr>
          <w:rFonts w:ascii="Arial" w:hAnsi="Arial" w:cs="Arial"/>
          <w:sz w:val="20"/>
          <w:szCs w:val="20"/>
        </w:rPr>
        <w:t>Yatoo</w:t>
      </w:r>
      <w:proofErr w:type="spellEnd"/>
      <w:r w:rsidRPr="00177A0B">
        <w:rPr>
          <w:rFonts w:ascii="Arial" w:hAnsi="Arial" w:cs="Arial"/>
          <w:sz w:val="20"/>
          <w:szCs w:val="20"/>
        </w:rPr>
        <w:t xml:space="preserve"> </w:t>
      </w:r>
      <w:r w:rsidRPr="00177A0B">
        <w:rPr>
          <w:rFonts w:ascii="Arial" w:hAnsi="Arial" w:cs="Arial"/>
          <w:i/>
          <w:iCs/>
          <w:sz w:val="20"/>
          <w:szCs w:val="20"/>
        </w:rPr>
        <w:t>et al</w:t>
      </w:r>
      <w:r w:rsidRPr="00177A0B">
        <w:rPr>
          <w:rFonts w:ascii="Arial" w:hAnsi="Arial" w:cs="Arial"/>
          <w:sz w:val="20"/>
          <w:szCs w:val="20"/>
        </w:rPr>
        <w:t xml:space="preserve">., 2019, Dhaygude </w:t>
      </w:r>
      <w:r w:rsidRPr="00177A0B">
        <w:rPr>
          <w:rFonts w:ascii="Arial" w:hAnsi="Arial" w:cs="Arial"/>
          <w:i/>
          <w:iCs/>
          <w:sz w:val="20"/>
          <w:szCs w:val="20"/>
        </w:rPr>
        <w:t>et al</w:t>
      </w:r>
      <w:r w:rsidRPr="00177A0B">
        <w:rPr>
          <w:rFonts w:ascii="Arial" w:hAnsi="Arial" w:cs="Arial"/>
          <w:sz w:val="20"/>
          <w:szCs w:val="20"/>
        </w:rPr>
        <w:t xml:space="preserve">., 2023 and Esmaeili and Joghataei, 2024).  These symptoms are directly linked to the pathogenesis initiated by the inhalation of </w:t>
      </w:r>
      <w:r w:rsidRPr="00177A0B">
        <w:rPr>
          <w:rFonts w:ascii="Arial" w:hAnsi="Arial" w:cs="Arial"/>
          <w:i/>
          <w:iCs/>
          <w:sz w:val="20"/>
          <w:szCs w:val="20"/>
        </w:rPr>
        <w:t xml:space="preserve">Mycoplasma </w:t>
      </w:r>
      <w:proofErr w:type="spellStart"/>
      <w:r w:rsidRPr="00177A0B">
        <w:rPr>
          <w:rFonts w:ascii="Arial" w:hAnsi="Arial" w:cs="Arial"/>
          <w:i/>
          <w:iCs/>
          <w:sz w:val="20"/>
          <w:szCs w:val="20"/>
        </w:rPr>
        <w:t>capricolum</w:t>
      </w:r>
      <w:proofErr w:type="spellEnd"/>
      <w:r w:rsidRPr="00177A0B">
        <w:rPr>
          <w:rFonts w:ascii="Arial" w:hAnsi="Arial" w:cs="Arial"/>
          <w:sz w:val="20"/>
          <w:szCs w:val="20"/>
        </w:rPr>
        <w:t xml:space="preserve"> subsp. </w:t>
      </w:r>
      <w:proofErr w:type="spellStart"/>
      <w:r w:rsidRPr="00177A0B">
        <w:rPr>
          <w:rFonts w:ascii="Arial" w:hAnsi="Arial" w:cs="Arial"/>
          <w:i/>
          <w:iCs/>
          <w:sz w:val="20"/>
          <w:szCs w:val="20"/>
        </w:rPr>
        <w:t>capripneumoniae</w:t>
      </w:r>
      <w:proofErr w:type="spellEnd"/>
      <w:r w:rsidRPr="00177A0B">
        <w:rPr>
          <w:rFonts w:ascii="Arial" w:hAnsi="Arial" w:cs="Arial"/>
          <w:sz w:val="20"/>
          <w:szCs w:val="20"/>
        </w:rPr>
        <w:t xml:space="preserve"> (</w:t>
      </w:r>
      <w:proofErr w:type="spellStart"/>
      <w:r w:rsidRPr="00177A0B">
        <w:rPr>
          <w:rFonts w:ascii="Arial" w:hAnsi="Arial" w:cs="Arial"/>
          <w:sz w:val="20"/>
          <w:szCs w:val="20"/>
        </w:rPr>
        <w:t>Mccp</w:t>
      </w:r>
      <w:proofErr w:type="spellEnd"/>
      <w:r w:rsidRPr="00177A0B">
        <w:rPr>
          <w:rFonts w:ascii="Arial" w:hAnsi="Arial" w:cs="Arial"/>
          <w:sz w:val="20"/>
          <w:szCs w:val="20"/>
        </w:rPr>
        <w:t xml:space="preserve">), the causative agent of CCPP. Upon inhalation, </w:t>
      </w:r>
      <w:proofErr w:type="spellStart"/>
      <w:r w:rsidRPr="00177A0B">
        <w:rPr>
          <w:rFonts w:ascii="Arial" w:hAnsi="Arial" w:cs="Arial"/>
          <w:sz w:val="20"/>
          <w:szCs w:val="20"/>
        </w:rPr>
        <w:t>Mccp</w:t>
      </w:r>
      <w:proofErr w:type="spellEnd"/>
      <w:r w:rsidRPr="00177A0B">
        <w:rPr>
          <w:rFonts w:ascii="Arial" w:hAnsi="Arial" w:cs="Arial"/>
          <w:sz w:val="20"/>
          <w:szCs w:val="20"/>
        </w:rPr>
        <w:t xml:space="preserve"> colonizes the respiratory tract, adhering to the ciliated epithelium of the lungs (</w:t>
      </w:r>
      <w:r w:rsidR="00177A0B" w:rsidRPr="00177A0B">
        <w:rPr>
          <w:rFonts w:ascii="Arial" w:hAnsi="Arial" w:cs="Arial"/>
          <w:sz w:val="20"/>
          <w:szCs w:val="20"/>
        </w:rPr>
        <w:t xml:space="preserve">Iqbal </w:t>
      </w:r>
      <w:proofErr w:type="spellStart"/>
      <w:r w:rsidR="00177A0B" w:rsidRPr="00177A0B">
        <w:rPr>
          <w:rFonts w:ascii="Arial" w:hAnsi="Arial" w:cs="Arial"/>
          <w:sz w:val="20"/>
          <w:szCs w:val="20"/>
        </w:rPr>
        <w:t>Yatoo</w:t>
      </w:r>
      <w:proofErr w:type="spellEnd"/>
      <w:r w:rsidR="00177A0B" w:rsidRPr="00177A0B">
        <w:rPr>
          <w:rFonts w:ascii="Arial" w:hAnsi="Arial" w:cs="Arial"/>
          <w:sz w:val="20"/>
          <w:szCs w:val="20"/>
        </w:rPr>
        <w:t xml:space="preserve"> </w:t>
      </w:r>
      <w:r w:rsidRPr="00177A0B">
        <w:rPr>
          <w:rFonts w:ascii="Arial" w:hAnsi="Arial" w:cs="Arial"/>
          <w:i/>
          <w:iCs/>
          <w:sz w:val="20"/>
          <w:szCs w:val="20"/>
        </w:rPr>
        <w:t>et al</w:t>
      </w:r>
      <w:r w:rsidRPr="00177A0B">
        <w:rPr>
          <w:rFonts w:ascii="Arial" w:hAnsi="Arial" w:cs="Arial"/>
          <w:sz w:val="20"/>
          <w:szCs w:val="20"/>
        </w:rPr>
        <w:t xml:space="preserve">.,2019). </w:t>
      </w:r>
    </w:p>
    <w:p w14:paraId="3A7832A1" w14:textId="50ED3115" w:rsidR="00F959F7" w:rsidRPr="00177A0B" w:rsidRDefault="00F959F7" w:rsidP="00177A0B">
      <w:pPr>
        <w:spacing w:line="240" w:lineRule="auto"/>
        <w:ind w:firstLine="720"/>
        <w:jc w:val="both"/>
        <w:rPr>
          <w:rFonts w:ascii="Arial" w:hAnsi="Arial" w:cs="Arial"/>
          <w:sz w:val="20"/>
          <w:szCs w:val="20"/>
        </w:rPr>
      </w:pPr>
      <w:r w:rsidRPr="00177A0B">
        <w:rPr>
          <w:rFonts w:ascii="Arial" w:hAnsi="Arial" w:cs="Arial"/>
          <w:sz w:val="20"/>
          <w:szCs w:val="20"/>
        </w:rPr>
        <w:t xml:space="preserve">Postmortem examinations of three deceased kids revealed characteristic lesions of CCPP, including muco-purulent nasal discharges, skin eruptions around the nostrils, accumulation of approximately 100 ml of tan-yellow serous fluid in the thoracic cavity, bilateral pleural adhesions with fibrin deposition, consolidated lungs with widened interlobular septa containing jelly-like material, and about 40 ml of serous fluid in the pericardial sac with fibrin deposition on the pericardium, which were also reported similarly by Dhaygude </w:t>
      </w:r>
      <w:r w:rsidRPr="00177A0B">
        <w:rPr>
          <w:rFonts w:ascii="Arial" w:hAnsi="Arial" w:cs="Arial"/>
          <w:i/>
          <w:iCs/>
          <w:sz w:val="20"/>
          <w:szCs w:val="20"/>
        </w:rPr>
        <w:t>et al</w:t>
      </w:r>
      <w:r w:rsidRPr="00177A0B">
        <w:rPr>
          <w:rFonts w:ascii="Arial" w:hAnsi="Arial" w:cs="Arial"/>
          <w:sz w:val="20"/>
          <w:szCs w:val="20"/>
        </w:rPr>
        <w:t xml:space="preserve">. (2023). </w:t>
      </w:r>
      <w:r w:rsidRPr="00177A0B">
        <w:rPr>
          <w:rFonts w:ascii="Arial" w:hAnsi="Arial" w:cs="Arial"/>
          <w:sz w:val="20"/>
          <w:szCs w:val="20"/>
          <w:lang w:val="en-US"/>
        </w:rPr>
        <w:t xml:space="preserve">The marked gross lesions like hydrothorax, pleural thickening, pleural adhesion, consolidation of lobes of the lung and characteristic marbling observed in the present case are in accordance with the previous observations (Nicholas </w:t>
      </w:r>
      <w:r w:rsidRPr="00177A0B">
        <w:rPr>
          <w:rFonts w:ascii="Arial" w:hAnsi="Arial" w:cs="Arial"/>
          <w:i/>
          <w:iCs/>
          <w:sz w:val="20"/>
          <w:szCs w:val="20"/>
          <w:lang w:val="en-US"/>
        </w:rPr>
        <w:t>et al.</w:t>
      </w:r>
      <w:r w:rsidRPr="00177A0B">
        <w:rPr>
          <w:rFonts w:ascii="Arial" w:hAnsi="Arial" w:cs="Arial"/>
          <w:sz w:val="20"/>
          <w:szCs w:val="20"/>
          <w:lang w:val="en-US"/>
        </w:rPr>
        <w:t xml:space="preserve">, 2008; OIE, 2008, Sasikala </w:t>
      </w:r>
      <w:r w:rsidRPr="00177A0B">
        <w:rPr>
          <w:rFonts w:ascii="Arial" w:hAnsi="Arial" w:cs="Arial"/>
          <w:i/>
          <w:iCs/>
          <w:sz w:val="20"/>
          <w:szCs w:val="20"/>
          <w:lang w:val="en-US"/>
        </w:rPr>
        <w:t>et al</w:t>
      </w:r>
      <w:r w:rsidRPr="00177A0B">
        <w:rPr>
          <w:rFonts w:ascii="Arial" w:hAnsi="Arial" w:cs="Arial"/>
          <w:sz w:val="20"/>
          <w:szCs w:val="20"/>
          <w:lang w:val="en-US"/>
        </w:rPr>
        <w:t xml:space="preserve">., 2020). </w:t>
      </w:r>
      <w:r w:rsidRPr="00177A0B">
        <w:rPr>
          <w:rFonts w:ascii="Arial" w:hAnsi="Arial" w:cs="Arial"/>
          <w:sz w:val="20"/>
          <w:szCs w:val="20"/>
        </w:rPr>
        <w:t xml:space="preserve">Colonization of bacteria in ciliated epithelium triggers an inflammatory response characterized by the release of cytokines such as tumour necrosis factor and interleukins, leading to vasculitis and </w:t>
      </w:r>
      <w:proofErr w:type="spellStart"/>
      <w:r w:rsidRPr="00177A0B">
        <w:rPr>
          <w:rFonts w:ascii="Arial" w:hAnsi="Arial" w:cs="Arial"/>
          <w:sz w:val="20"/>
          <w:szCs w:val="20"/>
        </w:rPr>
        <w:t>fibrino</w:t>
      </w:r>
      <w:proofErr w:type="spellEnd"/>
      <w:r w:rsidRPr="00177A0B">
        <w:rPr>
          <w:rFonts w:ascii="Arial" w:hAnsi="Arial" w:cs="Arial"/>
          <w:sz w:val="20"/>
          <w:szCs w:val="20"/>
        </w:rPr>
        <w:t xml:space="preserve"> cellular exudation. (Elhassan and Salama 2018, </w:t>
      </w:r>
      <w:r w:rsidR="00177A0B" w:rsidRPr="00177A0B">
        <w:rPr>
          <w:rFonts w:ascii="Arial" w:hAnsi="Arial" w:cs="Arial"/>
          <w:sz w:val="20"/>
          <w:szCs w:val="20"/>
        </w:rPr>
        <w:t xml:space="preserve">Iqbal </w:t>
      </w:r>
      <w:proofErr w:type="spellStart"/>
      <w:r w:rsidR="00177A0B" w:rsidRPr="00177A0B">
        <w:rPr>
          <w:rFonts w:ascii="Arial" w:hAnsi="Arial" w:cs="Arial"/>
          <w:sz w:val="20"/>
          <w:szCs w:val="20"/>
        </w:rPr>
        <w:t>Yatoo</w:t>
      </w:r>
      <w:proofErr w:type="spellEnd"/>
      <w:r w:rsidRPr="00177A0B">
        <w:rPr>
          <w:rFonts w:ascii="Arial" w:hAnsi="Arial" w:cs="Arial"/>
          <w:sz w:val="20"/>
          <w:szCs w:val="20"/>
        </w:rPr>
        <w:t xml:space="preserve"> </w:t>
      </w:r>
      <w:r w:rsidRPr="00177A0B">
        <w:rPr>
          <w:rFonts w:ascii="Arial" w:hAnsi="Arial" w:cs="Arial"/>
          <w:i/>
          <w:iCs/>
          <w:sz w:val="20"/>
          <w:szCs w:val="20"/>
        </w:rPr>
        <w:t>et al</w:t>
      </w:r>
      <w:r w:rsidRPr="00177A0B">
        <w:rPr>
          <w:rFonts w:ascii="Arial" w:hAnsi="Arial" w:cs="Arial"/>
          <w:sz w:val="20"/>
          <w:szCs w:val="20"/>
        </w:rPr>
        <w:t xml:space="preserve">., 2019, </w:t>
      </w:r>
      <w:proofErr w:type="spellStart"/>
      <w:r w:rsidRPr="00177A0B">
        <w:rPr>
          <w:rFonts w:ascii="Arial" w:hAnsi="Arial" w:cs="Arial"/>
          <w:sz w:val="20"/>
          <w:szCs w:val="20"/>
        </w:rPr>
        <w:t>Parray</w:t>
      </w:r>
      <w:proofErr w:type="spellEnd"/>
      <w:r w:rsidRPr="00177A0B">
        <w:rPr>
          <w:rFonts w:ascii="Arial" w:hAnsi="Arial" w:cs="Arial"/>
          <w:sz w:val="20"/>
          <w:szCs w:val="20"/>
        </w:rPr>
        <w:t xml:space="preserve"> </w:t>
      </w:r>
      <w:r w:rsidRPr="00177A0B">
        <w:rPr>
          <w:rFonts w:ascii="Arial" w:hAnsi="Arial" w:cs="Arial"/>
          <w:i/>
          <w:iCs/>
          <w:sz w:val="20"/>
          <w:szCs w:val="20"/>
        </w:rPr>
        <w:t>et al.,</w:t>
      </w:r>
      <w:r w:rsidRPr="00177A0B">
        <w:rPr>
          <w:rFonts w:ascii="Arial" w:hAnsi="Arial" w:cs="Arial"/>
          <w:sz w:val="20"/>
          <w:szCs w:val="20"/>
        </w:rPr>
        <w:t xml:space="preserve"> 2019 and Sasikala </w:t>
      </w:r>
      <w:r w:rsidRPr="00177A0B">
        <w:rPr>
          <w:rFonts w:ascii="Arial" w:hAnsi="Arial" w:cs="Arial"/>
          <w:i/>
          <w:iCs/>
          <w:sz w:val="20"/>
          <w:szCs w:val="20"/>
        </w:rPr>
        <w:t>et al</w:t>
      </w:r>
      <w:r w:rsidRPr="00177A0B">
        <w:rPr>
          <w:rFonts w:ascii="Arial" w:hAnsi="Arial" w:cs="Arial"/>
          <w:sz w:val="20"/>
          <w:szCs w:val="20"/>
        </w:rPr>
        <w:t xml:space="preserve">., 2020). </w:t>
      </w:r>
    </w:p>
    <w:p w14:paraId="303B2680" w14:textId="77777777" w:rsidR="00F959F7" w:rsidRPr="00177A0B" w:rsidRDefault="00F959F7" w:rsidP="00177A0B">
      <w:pPr>
        <w:spacing w:line="240" w:lineRule="auto"/>
        <w:ind w:firstLine="720"/>
        <w:jc w:val="both"/>
        <w:rPr>
          <w:rFonts w:ascii="Arial" w:hAnsi="Arial" w:cs="Arial"/>
          <w:sz w:val="20"/>
          <w:szCs w:val="20"/>
        </w:rPr>
      </w:pPr>
      <w:r w:rsidRPr="00177A0B">
        <w:rPr>
          <w:rFonts w:ascii="Arial" w:hAnsi="Arial" w:cs="Arial"/>
          <w:sz w:val="20"/>
          <w:szCs w:val="20"/>
          <w:lang w:val="en-US"/>
        </w:rPr>
        <w:t xml:space="preserve">In corroboration with the earlier reports, histopathology of lung sections revealed severe congestion, multifocal necrotic areas along with infiltration of numerous PMNs and mononuclear cells encircled by one to two layers of fibroblasts (Abraham </w:t>
      </w:r>
      <w:r w:rsidRPr="00177A0B">
        <w:rPr>
          <w:rFonts w:ascii="Arial" w:hAnsi="Arial" w:cs="Arial"/>
          <w:i/>
          <w:iCs/>
          <w:sz w:val="20"/>
          <w:szCs w:val="20"/>
          <w:lang w:val="en-US"/>
        </w:rPr>
        <w:t>et al</w:t>
      </w:r>
      <w:r w:rsidRPr="00177A0B">
        <w:rPr>
          <w:rFonts w:ascii="Arial" w:hAnsi="Arial" w:cs="Arial"/>
          <w:sz w:val="20"/>
          <w:szCs w:val="20"/>
          <w:lang w:val="en-US"/>
        </w:rPr>
        <w:t>., 2015 and Nicholas and Churchward, 2012).</w:t>
      </w:r>
      <w:r w:rsidRPr="00177A0B">
        <w:rPr>
          <w:rFonts w:ascii="Arial" w:hAnsi="Arial" w:cs="Arial"/>
          <w:sz w:val="20"/>
          <w:szCs w:val="20"/>
        </w:rPr>
        <w:t xml:space="preserve"> Further, the dilated interlobular septa containing </w:t>
      </w:r>
      <w:proofErr w:type="spellStart"/>
      <w:r w:rsidRPr="00177A0B">
        <w:rPr>
          <w:rFonts w:ascii="Arial" w:hAnsi="Arial" w:cs="Arial"/>
          <w:sz w:val="20"/>
          <w:szCs w:val="20"/>
        </w:rPr>
        <w:t>edema</w:t>
      </w:r>
      <w:proofErr w:type="spellEnd"/>
      <w:r w:rsidRPr="00177A0B">
        <w:rPr>
          <w:rFonts w:ascii="Arial" w:hAnsi="Arial" w:cs="Arial"/>
          <w:sz w:val="20"/>
          <w:szCs w:val="20"/>
        </w:rPr>
        <w:t>, fibrin and inflammatory cells and the extended lesions to pleural surface resulting in fibrinous pleuritis</w:t>
      </w:r>
      <w:r w:rsidRPr="00177A0B">
        <w:rPr>
          <w:rFonts w:ascii="Arial" w:hAnsi="Arial" w:cs="Arial"/>
          <w:sz w:val="20"/>
          <w:szCs w:val="20"/>
          <w:lang w:val="en-US"/>
        </w:rPr>
        <w:t xml:space="preserve"> were in agreement with (</w:t>
      </w:r>
      <w:proofErr w:type="spellStart"/>
      <w:r w:rsidRPr="00177A0B">
        <w:rPr>
          <w:rFonts w:ascii="Arial" w:hAnsi="Arial" w:cs="Arial"/>
          <w:sz w:val="20"/>
          <w:szCs w:val="20"/>
        </w:rPr>
        <w:t>Parray</w:t>
      </w:r>
      <w:proofErr w:type="spellEnd"/>
      <w:r w:rsidRPr="00177A0B">
        <w:rPr>
          <w:rFonts w:ascii="Arial" w:hAnsi="Arial" w:cs="Arial"/>
          <w:sz w:val="20"/>
          <w:szCs w:val="20"/>
        </w:rPr>
        <w:t xml:space="preserve"> </w:t>
      </w:r>
      <w:r w:rsidRPr="00177A0B">
        <w:rPr>
          <w:rFonts w:ascii="Arial" w:hAnsi="Arial" w:cs="Arial"/>
          <w:i/>
          <w:iCs/>
          <w:sz w:val="20"/>
          <w:szCs w:val="20"/>
        </w:rPr>
        <w:t>et al.,</w:t>
      </w:r>
      <w:r w:rsidRPr="00177A0B">
        <w:rPr>
          <w:rFonts w:ascii="Arial" w:hAnsi="Arial" w:cs="Arial"/>
          <w:sz w:val="20"/>
          <w:szCs w:val="20"/>
        </w:rPr>
        <w:t xml:space="preserve"> 2019 and Sasikala </w:t>
      </w:r>
      <w:r w:rsidRPr="00177A0B">
        <w:rPr>
          <w:rFonts w:ascii="Arial" w:hAnsi="Arial" w:cs="Arial"/>
          <w:i/>
          <w:iCs/>
          <w:sz w:val="20"/>
          <w:szCs w:val="20"/>
        </w:rPr>
        <w:t>et al</w:t>
      </w:r>
      <w:r w:rsidRPr="00177A0B">
        <w:rPr>
          <w:rFonts w:ascii="Arial" w:hAnsi="Arial" w:cs="Arial"/>
          <w:sz w:val="20"/>
          <w:szCs w:val="20"/>
        </w:rPr>
        <w:t xml:space="preserve">., 2020). </w:t>
      </w:r>
      <w:r w:rsidRPr="00177A0B">
        <w:rPr>
          <w:rFonts w:ascii="Arial" w:hAnsi="Arial" w:cs="Arial"/>
          <w:sz w:val="20"/>
          <w:szCs w:val="20"/>
          <w:lang w:val="en-US"/>
        </w:rPr>
        <w:t>Unilateral lung involvement and marbling are a characteristic feature of CBPP and rarely seen in CCPP but it was more prominent in the present case (</w:t>
      </w:r>
      <w:proofErr w:type="spellStart"/>
      <w:r w:rsidRPr="00177A0B">
        <w:rPr>
          <w:rFonts w:ascii="Arial" w:hAnsi="Arial" w:cs="Arial"/>
          <w:sz w:val="20"/>
          <w:szCs w:val="20"/>
          <w:lang w:val="en-US"/>
        </w:rPr>
        <w:t>Radostatis</w:t>
      </w:r>
      <w:proofErr w:type="spellEnd"/>
      <w:r w:rsidRPr="00177A0B">
        <w:rPr>
          <w:rFonts w:ascii="Arial" w:hAnsi="Arial" w:cs="Arial"/>
          <w:sz w:val="20"/>
          <w:szCs w:val="20"/>
          <w:lang w:val="en-US"/>
        </w:rPr>
        <w:t xml:space="preserve"> </w:t>
      </w:r>
      <w:r w:rsidRPr="00177A0B">
        <w:rPr>
          <w:rFonts w:ascii="Arial" w:hAnsi="Arial" w:cs="Arial"/>
          <w:i/>
          <w:iCs/>
          <w:sz w:val="20"/>
          <w:szCs w:val="20"/>
          <w:lang w:val="en-US"/>
        </w:rPr>
        <w:t>et al.</w:t>
      </w:r>
      <w:r w:rsidRPr="00177A0B">
        <w:rPr>
          <w:rFonts w:ascii="Arial" w:hAnsi="Arial" w:cs="Arial"/>
          <w:sz w:val="20"/>
          <w:szCs w:val="20"/>
          <w:lang w:val="en-US"/>
        </w:rPr>
        <w:t xml:space="preserve">, 2000, Sasikala </w:t>
      </w:r>
      <w:r w:rsidRPr="00177A0B">
        <w:rPr>
          <w:rFonts w:ascii="Arial" w:hAnsi="Arial" w:cs="Arial"/>
          <w:i/>
          <w:iCs/>
          <w:sz w:val="20"/>
          <w:szCs w:val="20"/>
          <w:lang w:val="en-US"/>
        </w:rPr>
        <w:t>et al</w:t>
      </w:r>
      <w:r w:rsidRPr="00177A0B">
        <w:rPr>
          <w:rFonts w:ascii="Arial" w:hAnsi="Arial" w:cs="Arial"/>
          <w:sz w:val="20"/>
          <w:szCs w:val="20"/>
          <w:lang w:val="en-US"/>
        </w:rPr>
        <w:t>., 2020).</w:t>
      </w:r>
    </w:p>
    <w:p w14:paraId="6840D86F" w14:textId="77777777" w:rsidR="00F959F7" w:rsidRPr="00177A0B" w:rsidRDefault="00F959F7" w:rsidP="00177A0B">
      <w:pPr>
        <w:spacing w:after="0" w:line="240" w:lineRule="auto"/>
        <w:ind w:firstLine="720"/>
        <w:jc w:val="both"/>
        <w:rPr>
          <w:rFonts w:ascii="Arial" w:hAnsi="Arial" w:cs="Arial"/>
          <w:sz w:val="20"/>
          <w:szCs w:val="20"/>
        </w:rPr>
      </w:pPr>
      <w:r w:rsidRPr="00177A0B">
        <w:rPr>
          <w:rFonts w:ascii="Arial" w:hAnsi="Arial" w:cs="Arial"/>
          <w:sz w:val="20"/>
          <w:szCs w:val="20"/>
        </w:rPr>
        <w:t xml:space="preserve">An outbreak of CCPP in a goat farm of Kerala was reported by Abraham </w:t>
      </w:r>
      <w:r w:rsidRPr="00177A0B">
        <w:rPr>
          <w:rFonts w:ascii="Arial" w:hAnsi="Arial" w:cs="Arial"/>
          <w:i/>
          <w:iCs/>
          <w:sz w:val="20"/>
          <w:szCs w:val="20"/>
        </w:rPr>
        <w:t>et al.</w:t>
      </w:r>
      <w:r w:rsidRPr="00177A0B">
        <w:rPr>
          <w:rFonts w:ascii="Arial" w:hAnsi="Arial" w:cs="Arial"/>
          <w:sz w:val="20"/>
          <w:szCs w:val="20"/>
        </w:rPr>
        <w:t xml:space="preserve"> (2015) based on PCR amplification of the </w:t>
      </w:r>
      <w:proofErr w:type="spellStart"/>
      <w:r w:rsidRPr="00177A0B">
        <w:rPr>
          <w:rFonts w:ascii="Arial" w:hAnsi="Arial" w:cs="Arial"/>
          <w:sz w:val="20"/>
          <w:szCs w:val="20"/>
        </w:rPr>
        <w:t>arcD</w:t>
      </w:r>
      <w:proofErr w:type="spellEnd"/>
      <w:r w:rsidRPr="00177A0B">
        <w:rPr>
          <w:rFonts w:ascii="Arial" w:hAnsi="Arial" w:cs="Arial"/>
          <w:sz w:val="20"/>
          <w:szCs w:val="20"/>
        </w:rPr>
        <w:t xml:space="preserve"> gene and as similar report by Abdollahi </w:t>
      </w:r>
      <w:r w:rsidRPr="00177A0B">
        <w:rPr>
          <w:rFonts w:ascii="Arial" w:hAnsi="Arial" w:cs="Arial"/>
          <w:i/>
          <w:iCs/>
          <w:sz w:val="20"/>
          <w:szCs w:val="20"/>
        </w:rPr>
        <w:t xml:space="preserve">et al. </w:t>
      </w:r>
      <w:r w:rsidRPr="00177A0B">
        <w:rPr>
          <w:rFonts w:ascii="Arial" w:hAnsi="Arial" w:cs="Arial"/>
          <w:sz w:val="20"/>
          <w:szCs w:val="20"/>
        </w:rPr>
        <w:t xml:space="preserve">(2023), in the current study, the molecular diagnosis of the presence of the pathogen in lung samples was done through Polymerase Chain Reaction (PCR) targeting the </w:t>
      </w:r>
      <w:proofErr w:type="spellStart"/>
      <w:r w:rsidRPr="00177A0B">
        <w:rPr>
          <w:rFonts w:ascii="Arial" w:hAnsi="Arial" w:cs="Arial"/>
          <w:sz w:val="20"/>
          <w:szCs w:val="20"/>
        </w:rPr>
        <w:t>arcD</w:t>
      </w:r>
      <w:proofErr w:type="spellEnd"/>
      <w:r w:rsidRPr="00177A0B">
        <w:rPr>
          <w:rFonts w:ascii="Arial" w:hAnsi="Arial" w:cs="Arial"/>
          <w:sz w:val="20"/>
          <w:szCs w:val="20"/>
        </w:rPr>
        <w:t xml:space="preserve"> gene of </w:t>
      </w:r>
      <w:proofErr w:type="spellStart"/>
      <w:r w:rsidRPr="00177A0B">
        <w:rPr>
          <w:rFonts w:ascii="Arial" w:hAnsi="Arial" w:cs="Arial"/>
          <w:sz w:val="20"/>
          <w:szCs w:val="20"/>
        </w:rPr>
        <w:t>Mccp</w:t>
      </w:r>
      <w:proofErr w:type="spellEnd"/>
      <w:r w:rsidRPr="00177A0B">
        <w:rPr>
          <w:rFonts w:ascii="Arial" w:hAnsi="Arial" w:cs="Arial"/>
          <w:sz w:val="20"/>
          <w:szCs w:val="20"/>
        </w:rPr>
        <w:t xml:space="preserve"> confirmed, with the amplification of a 316 bp fragment. This gene exhibits significant sequence divergence compared to homologous regions in closely related species within the </w:t>
      </w:r>
      <w:r w:rsidRPr="00177A0B">
        <w:rPr>
          <w:rFonts w:ascii="Arial" w:hAnsi="Arial" w:cs="Arial"/>
          <w:i/>
          <w:iCs/>
          <w:sz w:val="20"/>
          <w:szCs w:val="20"/>
        </w:rPr>
        <w:t>Mycoplasma mycoides</w:t>
      </w:r>
      <w:r w:rsidRPr="00177A0B">
        <w:rPr>
          <w:rFonts w:ascii="Arial" w:hAnsi="Arial" w:cs="Arial"/>
          <w:sz w:val="20"/>
          <w:szCs w:val="20"/>
        </w:rPr>
        <w:t xml:space="preserve"> cluster. Due to this high variability, the </w:t>
      </w:r>
      <w:proofErr w:type="spellStart"/>
      <w:r w:rsidRPr="00177A0B">
        <w:rPr>
          <w:rFonts w:ascii="Arial" w:hAnsi="Arial" w:cs="Arial"/>
          <w:sz w:val="20"/>
          <w:szCs w:val="20"/>
        </w:rPr>
        <w:t>arcD</w:t>
      </w:r>
      <w:proofErr w:type="spellEnd"/>
      <w:r w:rsidRPr="00177A0B">
        <w:rPr>
          <w:rFonts w:ascii="Arial" w:hAnsi="Arial" w:cs="Arial"/>
          <w:sz w:val="20"/>
          <w:szCs w:val="20"/>
        </w:rPr>
        <w:t xml:space="preserve"> gene serves as a specific and reliable target for PCR-based diagnostics, enabling accurate identification of </w:t>
      </w:r>
      <w:proofErr w:type="spellStart"/>
      <w:r w:rsidRPr="00177A0B">
        <w:rPr>
          <w:rFonts w:ascii="Arial" w:hAnsi="Arial" w:cs="Arial"/>
          <w:sz w:val="20"/>
          <w:szCs w:val="20"/>
        </w:rPr>
        <w:t>Mccp</w:t>
      </w:r>
      <w:proofErr w:type="spellEnd"/>
      <w:r w:rsidRPr="00177A0B">
        <w:rPr>
          <w:rFonts w:ascii="Arial" w:hAnsi="Arial" w:cs="Arial"/>
          <w:sz w:val="20"/>
          <w:szCs w:val="20"/>
        </w:rPr>
        <w:t xml:space="preserve"> and differentiation from other mycoplasmas that may cause similar clinical signs in goats (</w:t>
      </w:r>
      <w:proofErr w:type="spellStart"/>
      <w:r w:rsidRPr="00177A0B">
        <w:rPr>
          <w:rFonts w:ascii="Arial" w:hAnsi="Arial" w:cs="Arial"/>
          <w:sz w:val="20"/>
          <w:szCs w:val="20"/>
        </w:rPr>
        <w:t>Woubit</w:t>
      </w:r>
      <w:proofErr w:type="spellEnd"/>
      <w:r w:rsidRPr="00177A0B">
        <w:rPr>
          <w:rFonts w:ascii="Arial" w:hAnsi="Arial" w:cs="Arial"/>
          <w:sz w:val="20"/>
          <w:szCs w:val="20"/>
        </w:rPr>
        <w:t xml:space="preserve"> </w:t>
      </w:r>
      <w:r w:rsidRPr="00177A0B">
        <w:rPr>
          <w:rFonts w:ascii="Arial" w:hAnsi="Arial" w:cs="Arial"/>
          <w:i/>
          <w:iCs/>
          <w:sz w:val="20"/>
          <w:szCs w:val="20"/>
        </w:rPr>
        <w:t>et al</w:t>
      </w:r>
      <w:r w:rsidRPr="00177A0B">
        <w:rPr>
          <w:rFonts w:ascii="Arial" w:hAnsi="Arial" w:cs="Arial"/>
          <w:sz w:val="20"/>
          <w:szCs w:val="20"/>
        </w:rPr>
        <w:t xml:space="preserve">., 2004). </w:t>
      </w:r>
    </w:p>
    <w:p w14:paraId="1ABC15A9" w14:textId="32387E6B" w:rsidR="00F959F7" w:rsidRPr="00177A0B" w:rsidRDefault="00F959F7" w:rsidP="00177A0B">
      <w:pPr>
        <w:pStyle w:val="ListParagraph"/>
        <w:numPr>
          <w:ilvl w:val="0"/>
          <w:numId w:val="5"/>
        </w:numPr>
        <w:spacing w:before="240" w:after="0" w:line="240" w:lineRule="auto"/>
        <w:jc w:val="both"/>
        <w:rPr>
          <w:rFonts w:ascii="Arial" w:hAnsi="Arial" w:cs="Arial"/>
          <w:szCs w:val="20"/>
        </w:rPr>
      </w:pPr>
      <w:r w:rsidRPr="00177A0B">
        <w:rPr>
          <w:rFonts w:ascii="Arial" w:hAnsi="Arial" w:cs="Arial"/>
          <w:b/>
          <w:bCs/>
          <w:szCs w:val="20"/>
        </w:rPr>
        <w:t>CONCLUSION</w:t>
      </w:r>
      <w:r w:rsidRPr="00177A0B">
        <w:rPr>
          <w:rFonts w:ascii="Arial" w:hAnsi="Arial" w:cs="Arial"/>
          <w:szCs w:val="20"/>
        </w:rPr>
        <w:t xml:space="preserve"> </w:t>
      </w:r>
    </w:p>
    <w:p w14:paraId="6C867A1A" w14:textId="719EDEB6" w:rsidR="001F3A27" w:rsidRPr="001F3A27" w:rsidRDefault="001F3A27" w:rsidP="001F3A27">
      <w:pPr>
        <w:pStyle w:val="NoSpacing"/>
        <w:jc w:val="both"/>
        <w:rPr>
          <w:rFonts w:ascii="Arial" w:hAnsi="Arial" w:cs="Arial"/>
          <w:sz w:val="20"/>
          <w:lang w:eastAsia="en-IN" w:bidi="ar-SA"/>
        </w:rPr>
      </w:pPr>
      <w:r w:rsidRPr="001F3A27">
        <w:rPr>
          <w:rFonts w:ascii="Arial" w:hAnsi="Arial" w:cs="Arial"/>
          <w:sz w:val="20"/>
          <w:highlight w:val="yellow"/>
          <w:lang w:eastAsia="en-IN" w:bidi="ar-SA"/>
        </w:rPr>
        <w:t xml:space="preserve">The present case study conclusively confirms the occurrence of contagious caprine pleuropneumonia in goat flocks from NTR district, Andhra Pradesh, through a combination of clinical observations, gross and histopathological findings, and molecular diagnosis. The affected goats exhibited characteristic respiratory signs, while necropsy revealed hallmark lesions such as fibrinous pleuropneumonia, lung consolidation with marbling, hydrothorax, and fibrinous pericarditis. Histopathological examination further substantiated the diagnosis by demonstrating severe inflammatory responses, fibrin deposition, necrosis, and sequestration in lung tissues. Molecular confirmation by PCR amplification of the </w:t>
      </w:r>
      <w:proofErr w:type="spellStart"/>
      <w:r w:rsidRPr="001F3A27">
        <w:rPr>
          <w:rFonts w:ascii="Arial" w:hAnsi="Arial" w:cs="Arial"/>
          <w:i/>
          <w:iCs/>
          <w:sz w:val="20"/>
          <w:highlight w:val="yellow"/>
          <w:lang w:eastAsia="en-IN" w:bidi="ar-SA"/>
        </w:rPr>
        <w:t>arcD</w:t>
      </w:r>
      <w:proofErr w:type="spellEnd"/>
      <w:r w:rsidRPr="001F3A27">
        <w:rPr>
          <w:rFonts w:ascii="Arial" w:hAnsi="Arial" w:cs="Arial"/>
          <w:sz w:val="20"/>
          <w:highlight w:val="yellow"/>
          <w:lang w:eastAsia="en-IN" w:bidi="ar-SA"/>
        </w:rPr>
        <w:t xml:space="preserve"> gene of </w:t>
      </w:r>
      <w:r w:rsidRPr="001F3A27">
        <w:rPr>
          <w:rFonts w:ascii="Arial" w:hAnsi="Arial" w:cs="Arial"/>
          <w:i/>
          <w:iCs/>
          <w:sz w:val="20"/>
          <w:highlight w:val="yellow"/>
          <w:lang w:eastAsia="en-IN" w:bidi="ar-SA"/>
        </w:rPr>
        <w:t xml:space="preserve">Mycoplasma </w:t>
      </w:r>
      <w:proofErr w:type="spellStart"/>
      <w:r w:rsidRPr="001F3A27">
        <w:rPr>
          <w:rFonts w:ascii="Arial" w:hAnsi="Arial" w:cs="Arial"/>
          <w:i/>
          <w:iCs/>
          <w:sz w:val="20"/>
          <w:highlight w:val="yellow"/>
          <w:lang w:eastAsia="en-IN" w:bidi="ar-SA"/>
        </w:rPr>
        <w:t>capricolum</w:t>
      </w:r>
      <w:proofErr w:type="spellEnd"/>
      <w:r w:rsidRPr="001F3A27">
        <w:rPr>
          <w:rFonts w:ascii="Arial" w:hAnsi="Arial" w:cs="Arial"/>
          <w:sz w:val="20"/>
          <w:highlight w:val="yellow"/>
          <w:lang w:eastAsia="en-IN" w:bidi="ar-SA"/>
        </w:rPr>
        <w:t xml:space="preserve"> subsp. </w:t>
      </w:r>
      <w:proofErr w:type="spellStart"/>
      <w:r w:rsidRPr="001F3A27">
        <w:rPr>
          <w:rFonts w:ascii="Arial" w:hAnsi="Arial" w:cs="Arial"/>
          <w:i/>
          <w:iCs/>
          <w:sz w:val="20"/>
          <w:highlight w:val="yellow"/>
          <w:lang w:eastAsia="en-IN" w:bidi="ar-SA"/>
        </w:rPr>
        <w:t>capripneumoniae</w:t>
      </w:r>
      <w:proofErr w:type="spellEnd"/>
      <w:r w:rsidRPr="001F3A27">
        <w:rPr>
          <w:rFonts w:ascii="Arial" w:hAnsi="Arial" w:cs="Arial"/>
          <w:sz w:val="20"/>
          <w:highlight w:val="yellow"/>
          <w:lang w:eastAsia="en-IN" w:bidi="ar-SA"/>
        </w:rPr>
        <w:t xml:space="preserve"> provided definitive evidence of the etiological agent. The study emphasizes that reliance solely on clinical signs may be misleading due to similarities with other caprine respiratory diseases. Therefore, an integrated diagnostic approach combining pathology and molecular techniques is essential for accurate and early detection of CCPP. Prompt diagnosis is critical to implement control measures such as quarantine, movement restriction, and vaccination to reduce morbidity, mortality, and economic losses. The findings reinforce the need for heightened disease surveillance, farmer awareness, and laboratory diagnostic capacity in endemic regions to prevent future outbreaks and safeguard goat production systems.</w:t>
      </w:r>
    </w:p>
    <w:p w14:paraId="710C4889" w14:textId="77777777" w:rsidR="001F3A27" w:rsidRDefault="001F3A27" w:rsidP="00177A0B">
      <w:pPr>
        <w:spacing w:after="0" w:line="240" w:lineRule="auto"/>
        <w:jc w:val="both"/>
        <w:rPr>
          <w:rFonts w:ascii="Arial" w:hAnsi="Arial" w:cs="Arial"/>
          <w:b/>
          <w:szCs w:val="20"/>
        </w:rPr>
      </w:pPr>
    </w:p>
    <w:p w14:paraId="20F328FB" w14:textId="4EA6D37D" w:rsidR="00F959F7" w:rsidRPr="00177A0B" w:rsidRDefault="00177A0B" w:rsidP="00177A0B">
      <w:pPr>
        <w:spacing w:after="0" w:line="240" w:lineRule="auto"/>
        <w:jc w:val="both"/>
        <w:rPr>
          <w:rFonts w:ascii="Arial" w:hAnsi="Arial" w:cs="Arial"/>
          <w:b/>
          <w:szCs w:val="20"/>
        </w:rPr>
      </w:pPr>
      <w:r w:rsidRPr="00177A0B">
        <w:rPr>
          <w:rFonts w:ascii="Arial" w:hAnsi="Arial" w:cs="Arial"/>
          <w:b/>
          <w:szCs w:val="20"/>
        </w:rPr>
        <w:t>ACKNOWLEDGEMENTS</w:t>
      </w:r>
    </w:p>
    <w:p w14:paraId="2B77DB0F" w14:textId="611F1956" w:rsidR="00F959F7" w:rsidRPr="00177A0B" w:rsidRDefault="00F959F7" w:rsidP="00177A0B">
      <w:pPr>
        <w:spacing w:line="240" w:lineRule="auto"/>
        <w:jc w:val="both"/>
        <w:rPr>
          <w:rFonts w:ascii="Arial" w:hAnsi="Arial" w:cs="Arial"/>
          <w:sz w:val="20"/>
          <w:szCs w:val="20"/>
        </w:rPr>
      </w:pPr>
      <w:r w:rsidRPr="00177A0B">
        <w:rPr>
          <w:rFonts w:ascii="Arial" w:hAnsi="Arial" w:cs="Arial"/>
          <w:sz w:val="20"/>
          <w:szCs w:val="20"/>
        </w:rPr>
        <w:t xml:space="preserve">The authors are thankful to the NTR College of Veterinary Science, </w:t>
      </w:r>
      <w:proofErr w:type="spellStart"/>
      <w:r w:rsidRPr="00177A0B">
        <w:rPr>
          <w:rFonts w:ascii="Arial" w:hAnsi="Arial" w:cs="Arial"/>
          <w:sz w:val="20"/>
          <w:szCs w:val="20"/>
        </w:rPr>
        <w:t>Gannavaram</w:t>
      </w:r>
      <w:proofErr w:type="spellEnd"/>
      <w:r w:rsidRPr="00177A0B">
        <w:rPr>
          <w:rFonts w:ascii="Arial" w:hAnsi="Arial" w:cs="Arial"/>
          <w:sz w:val="20"/>
          <w:szCs w:val="20"/>
        </w:rPr>
        <w:t>, SVVU and VBRI, Vijayawada.</w:t>
      </w:r>
    </w:p>
    <w:p w14:paraId="253FEB51" w14:textId="5B558AEE" w:rsidR="00F959F7" w:rsidRPr="00F959F7" w:rsidRDefault="00177A0B" w:rsidP="00F959F7">
      <w:pPr>
        <w:rPr>
          <w:rFonts w:ascii="Arial" w:eastAsia="Calibri" w:hAnsi="Arial" w:cs="Arial"/>
          <w:b/>
          <w:highlight w:val="yellow"/>
          <w:lang w:val="en-US"/>
        </w:rPr>
      </w:pPr>
      <w:r w:rsidRPr="00F959F7">
        <w:rPr>
          <w:rFonts w:ascii="Arial" w:eastAsia="Calibri" w:hAnsi="Arial" w:cs="Arial"/>
          <w:b/>
          <w:highlight w:val="yellow"/>
          <w:lang w:val="en-US"/>
        </w:rPr>
        <w:t>DISCLAIMER (ARTIFICIAL INTELLIGENCE)</w:t>
      </w:r>
    </w:p>
    <w:p w14:paraId="6BD50BFB" w14:textId="77777777" w:rsidR="00F959F7" w:rsidRPr="00F959F7" w:rsidRDefault="00F959F7" w:rsidP="00F959F7">
      <w:pPr>
        <w:jc w:val="both"/>
        <w:rPr>
          <w:rFonts w:ascii="Arial" w:eastAsia="Calibri" w:hAnsi="Arial" w:cs="Arial"/>
          <w:sz w:val="20"/>
          <w:highlight w:val="yellow"/>
          <w:lang w:val="en-US"/>
        </w:rPr>
      </w:pPr>
      <w:r w:rsidRPr="00F959F7">
        <w:rPr>
          <w:rFonts w:ascii="Arial" w:eastAsia="Calibri" w:hAnsi="Arial" w:cs="Arial"/>
          <w:sz w:val="20"/>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301B98EE" w14:textId="3233A77C" w:rsidR="00F959F7" w:rsidRPr="00F959F7" w:rsidRDefault="00F959F7" w:rsidP="00F959F7">
      <w:pPr>
        <w:spacing w:after="0" w:line="240" w:lineRule="auto"/>
        <w:jc w:val="both"/>
        <w:rPr>
          <w:rFonts w:ascii="Arial" w:hAnsi="Arial" w:cs="Arial"/>
          <w:b/>
          <w:bCs/>
        </w:rPr>
      </w:pPr>
      <w:r w:rsidRPr="00F959F7">
        <w:rPr>
          <w:rFonts w:ascii="Arial" w:hAnsi="Arial" w:cs="Arial"/>
          <w:b/>
          <w:bCs/>
        </w:rPr>
        <w:t>REFERENCES</w:t>
      </w:r>
    </w:p>
    <w:p w14:paraId="33E4D745" w14:textId="77777777" w:rsidR="00F959F7" w:rsidRPr="00E83597" w:rsidRDefault="00F959F7" w:rsidP="00E83597">
      <w:pPr>
        <w:pStyle w:val="ListParagraph"/>
        <w:numPr>
          <w:ilvl w:val="0"/>
          <w:numId w:val="7"/>
        </w:numPr>
        <w:spacing w:after="0" w:line="240" w:lineRule="auto"/>
        <w:jc w:val="both"/>
        <w:rPr>
          <w:rFonts w:ascii="Arial" w:hAnsi="Arial" w:cs="Arial"/>
          <w:sz w:val="20"/>
          <w:szCs w:val="20"/>
          <w:highlight w:val="yellow"/>
          <w:lang w:val="pt-BR"/>
        </w:rPr>
      </w:pPr>
      <w:r w:rsidRPr="00E83597">
        <w:rPr>
          <w:rFonts w:ascii="Arial" w:hAnsi="Arial" w:cs="Arial"/>
          <w:sz w:val="20"/>
          <w:szCs w:val="20"/>
          <w:highlight w:val="yellow"/>
        </w:rPr>
        <w:t xml:space="preserve">Abdollahi, M., </w:t>
      </w:r>
      <w:proofErr w:type="spellStart"/>
      <w:r w:rsidRPr="00E83597">
        <w:rPr>
          <w:rFonts w:ascii="Arial" w:hAnsi="Arial" w:cs="Arial"/>
          <w:sz w:val="20"/>
          <w:szCs w:val="20"/>
          <w:highlight w:val="yellow"/>
        </w:rPr>
        <w:t>Lotfollahzadeh</w:t>
      </w:r>
      <w:proofErr w:type="spellEnd"/>
      <w:r w:rsidRPr="00E83597">
        <w:rPr>
          <w:rFonts w:ascii="Arial" w:hAnsi="Arial" w:cs="Arial"/>
          <w:sz w:val="20"/>
          <w:szCs w:val="20"/>
          <w:highlight w:val="yellow"/>
        </w:rPr>
        <w:t xml:space="preserve">, S., Shirazi, M. H. N., </w:t>
      </w:r>
      <w:proofErr w:type="spellStart"/>
      <w:r w:rsidRPr="00E83597">
        <w:rPr>
          <w:rFonts w:ascii="Arial" w:hAnsi="Arial" w:cs="Arial"/>
          <w:sz w:val="20"/>
          <w:szCs w:val="20"/>
          <w:highlight w:val="yellow"/>
        </w:rPr>
        <w:t>Shokrpoor</w:t>
      </w:r>
      <w:proofErr w:type="spellEnd"/>
      <w:r w:rsidRPr="00E83597">
        <w:rPr>
          <w:rFonts w:ascii="Arial" w:hAnsi="Arial" w:cs="Arial"/>
          <w:sz w:val="20"/>
          <w:szCs w:val="20"/>
          <w:highlight w:val="yellow"/>
        </w:rPr>
        <w:t xml:space="preserve">, S., </w:t>
      </w:r>
      <w:proofErr w:type="spellStart"/>
      <w:r w:rsidRPr="00E83597">
        <w:rPr>
          <w:rFonts w:ascii="Arial" w:hAnsi="Arial" w:cs="Arial"/>
          <w:sz w:val="20"/>
          <w:szCs w:val="20"/>
          <w:highlight w:val="yellow"/>
        </w:rPr>
        <w:t>Moosakhani</w:t>
      </w:r>
      <w:proofErr w:type="spellEnd"/>
      <w:r w:rsidRPr="00E83597">
        <w:rPr>
          <w:rFonts w:ascii="Arial" w:hAnsi="Arial" w:cs="Arial"/>
          <w:sz w:val="20"/>
          <w:szCs w:val="20"/>
          <w:highlight w:val="yellow"/>
        </w:rPr>
        <w:t xml:space="preserve">, F., &amp; Nasr, M. P. (2023). First identification of Mycoplasma </w:t>
      </w:r>
      <w:proofErr w:type="spellStart"/>
      <w:r w:rsidRPr="00E83597">
        <w:rPr>
          <w:rFonts w:ascii="Arial" w:hAnsi="Arial" w:cs="Arial"/>
          <w:sz w:val="20"/>
          <w:szCs w:val="20"/>
          <w:highlight w:val="yellow"/>
        </w:rPr>
        <w:t>capricolum</w:t>
      </w:r>
      <w:proofErr w:type="spellEnd"/>
      <w:r w:rsidRPr="00E83597">
        <w:rPr>
          <w:rFonts w:ascii="Arial" w:hAnsi="Arial" w:cs="Arial"/>
          <w:sz w:val="20"/>
          <w:szCs w:val="20"/>
          <w:highlight w:val="yellow"/>
        </w:rPr>
        <w:t xml:space="preserve"> subspecies </w:t>
      </w:r>
      <w:proofErr w:type="spellStart"/>
      <w:r w:rsidRPr="00E83597">
        <w:rPr>
          <w:rFonts w:ascii="Arial" w:hAnsi="Arial" w:cs="Arial"/>
          <w:sz w:val="20"/>
          <w:szCs w:val="20"/>
          <w:highlight w:val="yellow"/>
        </w:rPr>
        <w:t>capripneumoniae</w:t>
      </w:r>
      <w:proofErr w:type="spellEnd"/>
      <w:r w:rsidRPr="00E83597">
        <w:rPr>
          <w:rFonts w:ascii="Arial" w:hAnsi="Arial" w:cs="Arial"/>
          <w:sz w:val="20"/>
          <w:szCs w:val="20"/>
          <w:highlight w:val="yellow"/>
        </w:rPr>
        <w:t xml:space="preserve"> in goats in Iran. </w:t>
      </w:r>
      <w:r w:rsidRPr="00E83597">
        <w:rPr>
          <w:rFonts w:ascii="Arial" w:hAnsi="Arial" w:cs="Arial"/>
          <w:i/>
          <w:sz w:val="20"/>
          <w:szCs w:val="20"/>
          <w:highlight w:val="yellow"/>
        </w:rPr>
        <w:t>Veterinary Research Forum, 14</w:t>
      </w:r>
      <w:r w:rsidRPr="00E83597">
        <w:rPr>
          <w:rFonts w:ascii="Arial" w:hAnsi="Arial" w:cs="Arial"/>
          <w:sz w:val="20"/>
          <w:szCs w:val="20"/>
          <w:highlight w:val="yellow"/>
        </w:rPr>
        <w:t xml:space="preserve">(2), 109-112. </w:t>
      </w:r>
      <w:hyperlink r:id="rId17" w:history="1">
        <w:r w:rsidRPr="00E83597">
          <w:rPr>
            <w:rStyle w:val="Hyperlink"/>
            <w:rFonts w:ascii="Arial" w:hAnsi="Arial" w:cs="Arial"/>
            <w:sz w:val="20"/>
            <w:szCs w:val="20"/>
            <w:highlight w:val="yellow"/>
            <w:lang w:val="pt-BR"/>
          </w:rPr>
          <w:t>https://doi.org/10.30466/vrf.2022.555079.3496</w:t>
        </w:r>
      </w:hyperlink>
    </w:p>
    <w:p w14:paraId="7AB71C65" w14:textId="77777777" w:rsidR="00F959F7" w:rsidRPr="00E83597" w:rsidRDefault="00F959F7" w:rsidP="00E83597">
      <w:pPr>
        <w:pStyle w:val="ListParagraph"/>
        <w:numPr>
          <w:ilvl w:val="0"/>
          <w:numId w:val="7"/>
        </w:numPr>
        <w:spacing w:after="0" w:line="240" w:lineRule="auto"/>
        <w:jc w:val="both"/>
        <w:rPr>
          <w:rFonts w:ascii="Arial" w:hAnsi="Arial" w:cs="Arial"/>
          <w:sz w:val="20"/>
          <w:szCs w:val="20"/>
          <w:highlight w:val="yellow"/>
        </w:rPr>
      </w:pPr>
      <w:r w:rsidRPr="00E83597">
        <w:rPr>
          <w:rFonts w:ascii="Arial" w:hAnsi="Arial" w:cs="Arial"/>
          <w:sz w:val="20"/>
          <w:szCs w:val="20"/>
          <w:highlight w:val="yellow"/>
          <w:lang w:val="pt-BR"/>
        </w:rPr>
        <w:t xml:space="preserve">Abraham, S. S., Asha, T. T., Julie, B., Prathiush, P. R., Nandakumar, S., &amp; Prasad, P. M. (2015). </w:t>
      </w:r>
      <w:r w:rsidRPr="00E83597">
        <w:rPr>
          <w:rFonts w:ascii="Arial" w:hAnsi="Arial" w:cs="Arial"/>
          <w:sz w:val="20"/>
          <w:szCs w:val="20"/>
          <w:highlight w:val="yellow"/>
        </w:rPr>
        <w:t xml:space="preserve">Pathological and molecular characterization of contagious caprine pleuropneumonia (CCPP) outbreak in Kerala. </w:t>
      </w:r>
      <w:r w:rsidRPr="00E83597">
        <w:rPr>
          <w:rFonts w:ascii="Arial" w:hAnsi="Arial" w:cs="Arial"/>
          <w:i/>
          <w:sz w:val="20"/>
          <w:szCs w:val="20"/>
          <w:highlight w:val="yellow"/>
        </w:rPr>
        <w:t>Indian Journal of Veterinary Pathology, 39</w:t>
      </w:r>
      <w:r w:rsidRPr="00E83597">
        <w:rPr>
          <w:rFonts w:ascii="Arial" w:hAnsi="Arial" w:cs="Arial"/>
          <w:sz w:val="20"/>
          <w:szCs w:val="20"/>
          <w:highlight w:val="yellow"/>
        </w:rPr>
        <w:t xml:space="preserve">, 121-124. </w:t>
      </w:r>
      <w:hyperlink r:id="rId18" w:history="1">
        <w:r w:rsidRPr="00E83597">
          <w:rPr>
            <w:rStyle w:val="Hyperlink"/>
            <w:rFonts w:ascii="Arial" w:hAnsi="Arial" w:cs="Arial"/>
            <w:sz w:val="20"/>
            <w:szCs w:val="20"/>
            <w:highlight w:val="yellow"/>
          </w:rPr>
          <w:t>https://doi.org/10.5958/0973-970X.2015.00028.0</w:t>
        </w:r>
      </w:hyperlink>
    </w:p>
    <w:p w14:paraId="0D7A493D" w14:textId="77777777" w:rsidR="00F959F7" w:rsidRPr="00E83597" w:rsidRDefault="00F959F7" w:rsidP="00E83597">
      <w:pPr>
        <w:pStyle w:val="ListParagraph"/>
        <w:numPr>
          <w:ilvl w:val="0"/>
          <w:numId w:val="7"/>
        </w:numPr>
        <w:spacing w:after="0" w:line="240" w:lineRule="auto"/>
        <w:jc w:val="both"/>
        <w:rPr>
          <w:rFonts w:ascii="Arial" w:hAnsi="Arial" w:cs="Arial"/>
          <w:sz w:val="20"/>
          <w:szCs w:val="20"/>
          <w:highlight w:val="yellow"/>
        </w:rPr>
      </w:pPr>
      <w:proofErr w:type="spellStart"/>
      <w:r w:rsidRPr="00E83597">
        <w:rPr>
          <w:rFonts w:ascii="Arial" w:hAnsi="Arial" w:cs="Arial"/>
          <w:sz w:val="20"/>
          <w:szCs w:val="20"/>
          <w:highlight w:val="yellow"/>
        </w:rPr>
        <w:t>Bascuñana</w:t>
      </w:r>
      <w:proofErr w:type="spellEnd"/>
      <w:r w:rsidRPr="00E83597">
        <w:rPr>
          <w:rFonts w:ascii="Arial" w:hAnsi="Arial" w:cs="Arial"/>
          <w:sz w:val="20"/>
          <w:szCs w:val="20"/>
          <w:highlight w:val="yellow"/>
        </w:rPr>
        <w:t xml:space="preserve">, C. R., Mattsson, J. G., </w:t>
      </w:r>
      <w:proofErr w:type="spellStart"/>
      <w:r w:rsidRPr="00E83597">
        <w:rPr>
          <w:rFonts w:ascii="Arial" w:hAnsi="Arial" w:cs="Arial"/>
          <w:sz w:val="20"/>
          <w:szCs w:val="20"/>
          <w:highlight w:val="yellow"/>
        </w:rPr>
        <w:t>Bölske</w:t>
      </w:r>
      <w:proofErr w:type="spellEnd"/>
      <w:r w:rsidRPr="00E83597">
        <w:rPr>
          <w:rFonts w:ascii="Arial" w:hAnsi="Arial" w:cs="Arial"/>
          <w:sz w:val="20"/>
          <w:szCs w:val="20"/>
          <w:highlight w:val="yellow"/>
        </w:rPr>
        <w:t xml:space="preserve">, G., &amp; Johansson, K. E. (1994). Characterization of the 16S rRNA genes from Mycoplasma sp. strain F38 and development of an identification system based on PCR. Journal of Bacteriology, 176(9), 2577-2586. </w:t>
      </w:r>
      <w:hyperlink r:id="rId19" w:history="1">
        <w:r w:rsidRPr="00E83597">
          <w:rPr>
            <w:rStyle w:val="Hyperlink"/>
            <w:rFonts w:ascii="Arial" w:hAnsi="Arial" w:cs="Arial"/>
            <w:sz w:val="20"/>
            <w:szCs w:val="20"/>
            <w:highlight w:val="yellow"/>
          </w:rPr>
          <w:t>https://doi.org/10.1128/jb.176.9.2577-2586.1994</w:t>
        </w:r>
      </w:hyperlink>
    </w:p>
    <w:p w14:paraId="02349E6B" w14:textId="77777777" w:rsidR="00F959F7" w:rsidRPr="00E83597" w:rsidRDefault="00F959F7" w:rsidP="00E83597">
      <w:pPr>
        <w:pStyle w:val="ListParagraph"/>
        <w:numPr>
          <w:ilvl w:val="0"/>
          <w:numId w:val="7"/>
        </w:numPr>
        <w:spacing w:after="0" w:line="240" w:lineRule="auto"/>
        <w:jc w:val="both"/>
        <w:rPr>
          <w:rFonts w:ascii="Arial" w:hAnsi="Arial" w:cs="Arial"/>
          <w:sz w:val="20"/>
          <w:szCs w:val="20"/>
          <w:highlight w:val="yellow"/>
        </w:rPr>
      </w:pPr>
      <w:proofErr w:type="spellStart"/>
      <w:r w:rsidRPr="00E83597">
        <w:rPr>
          <w:rFonts w:ascii="Arial" w:hAnsi="Arial" w:cs="Arial"/>
          <w:sz w:val="20"/>
          <w:szCs w:val="20"/>
          <w:highlight w:val="yellow"/>
        </w:rPr>
        <w:t>Bölske</w:t>
      </w:r>
      <w:proofErr w:type="spellEnd"/>
      <w:r w:rsidRPr="00E83597">
        <w:rPr>
          <w:rFonts w:ascii="Arial" w:hAnsi="Arial" w:cs="Arial"/>
          <w:sz w:val="20"/>
          <w:szCs w:val="20"/>
          <w:highlight w:val="yellow"/>
        </w:rPr>
        <w:t xml:space="preserve">, G., Mattsson, J. G., </w:t>
      </w:r>
      <w:proofErr w:type="spellStart"/>
      <w:r w:rsidRPr="00E83597">
        <w:rPr>
          <w:rFonts w:ascii="Arial" w:hAnsi="Arial" w:cs="Arial"/>
          <w:sz w:val="20"/>
          <w:szCs w:val="20"/>
          <w:highlight w:val="yellow"/>
        </w:rPr>
        <w:t>Bascuñana</w:t>
      </w:r>
      <w:proofErr w:type="spellEnd"/>
      <w:r w:rsidRPr="00E83597">
        <w:rPr>
          <w:rFonts w:ascii="Arial" w:hAnsi="Arial" w:cs="Arial"/>
          <w:sz w:val="20"/>
          <w:szCs w:val="20"/>
          <w:highlight w:val="yellow"/>
        </w:rPr>
        <w:t xml:space="preserve">, C. R., Bergström, K., Wesonga, H., &amp; Johansson, K. E. (1996). Diagnosis of contagious caprine pleuropneumonia by detection and identification of Mycoplasma </w:t>
      </w:r>
      <w:proofErr w:type="spellStart"/>
      <w:r w:rsidRPr="00E83597">
        <w:rPr>
          <w:rFonts w:ascii="Arial" w:hAnsi="Arial" w:cs="Arial"/>
          <w:sz w:val="20"/>
          <w:szCs w:val="20"/>
          <w:highlight w:val="yellow"/>
        </w:rPr>
        <w:t>capricolum</w:t>
      </w:r>
      <w:proofErr w:type="spellEnd"/>
      <w:r w:rsidRPr="00E83597">
        <w:rPr>
          <w:rFonts w:ascii="Arial" w:hAnsi="Arial" w:cs="Arial"/>
          <w:sz w:val="20"/>
          <w:szCs w:val="20"/>
          <w:highlight w:val="yellow"/>
        </w:rPr>
        <w:t xml:space="preserve"> subsp. </w:t>
      </w:r>
      <w:proofErr w:type="spellStart"/>
      <w:r w:rsidRPr="00E83597">
        <w:rPr>
          <w:rFonts w:ascii="Arial" w:hAnsi="Arial" w:cs="Arial"/>
          <w:sz w:val="20"/>
          <w:szCs w:val="20"/>
          <w:highlight w:val="yellow"/>
        </w:rPr>
        <w:t>capripneumoniae</w:t>
      </w:r>
      <w:proofErr w:type="spellEnd"/>
      <w:r w:rsidRPr="00E83597">
        <w:rPr>
          <w:rFonts w:ascii="Arial" w:hAnsi="Arial" w:cs="Arial"/>
          <w:sz w:val="20"/>
          <w:szCs w:val="20"/>
          <w:highlight w:val="yellow"/>
        </w:rPr>
        <w:t xml:space="preserve"> by PCR and restriction enzyme analysis. </w:t>
      </w:r>
      <w:r w:rsidRPr="00E83597">
        <w:rPr>
          <w:rFonts w:ascii="Arial" w:hAnsi="Arial" w:cs="Arial"/>
          <w:i/>
          <w:sz w:val="20"/>
          <w:szCs w:val="20"/>
          <w:highlight w:val="yellow"/>
        </w:rPr>
        <w:t>Journal of Clinical Microbiology, 34</w:t>
      </w:r>
      <w:r w:rsidRPr="00E83597">
        <w:rPr>
          <w:rFonts w:ascii="Arial" w:hAnsi="Arial" w:cs="Arial"/>
          <w:sz w:val="20"/>
          <w:szCs w:val="20"/>
          <w:highlight w:val="yellow"/>
        </w:rPr>
        <w:t xml:space="preserve">(4), 785-791. </w:t>
      </w:r>
      <w:hyperlink r:id="rId20" w:history="1">
        <w:r w:rsidRPr="00E83597">
          <w:rPr>
            <w:rStyle w:val="Hyperlink"/>
            <w:rFonts w:ascii="Arial" w:hAnsi="Arial" w:cs="Arial"/>
            <w:sz w:val="20"/>
            <w:szCs w:val="20"/>
            <w:highlight w:val="yellow"/>
          </w:rPr>
          <w:t>https://doi.org/10.1128/jcm.34.4.785-791.1996</w:t>
        </w:r>
      </w:hyperlink>
    </w:p>
    <w:p w14:paraId="2F9C142B" w14:textId="77777777" w:rsidR="00F959F7" w:rsidRPr="00E83597" w:rsidRDefault="00F959F7" w:rsidP="00E83597">
      <w:pPr>
        <w:pStyle w:val="ListParagraph"/>
        <w:numPr>
          <w:ilvl w:val="0"/>
          <w:numId w:val="7"/>
        </w:numPr>
        <w:spacing w:after="0" w:line="240" w:lineRule="auto"/>
        <w:jc w:val="both"/>
        <w:rPr>
          <w:rFonts w:ascii="Arial" w:hAnsi="Arial" w:cs="Arial"/>
          <w:sz w:val="20"/>
          <w:szCs w:val="20"/>
          <w:highlight w:val="yellow"/>
          <w:lang w:val="pt-BR"/>
        </w:rPr>
      </w:pPr>
      <w:r w:rsidRPr="00E83597">
        <w:rPr>
          <w:rFonts w:ascii="Arial" w:hAnsi="Arial" w:cs="Arial"/>
          <w:sz w:val="20"/>
          <w:szCs w:val="20"/>
          <w:highlight w:val="yellow"/>
        </w:rPr>
        <w:t xml:space="preserve">Dhaygude, V., Kamdi, B., </w:t>
      </w:r>
      <w:proofErr w:type="spellStart"/>
      <w:r w:rsidRPr="00E83597">
        <w:rPr>
          <w:rFonts w:ascii="Arial" w:hAnsi="Arial" w:cs="Arial"/>
          <w:sz w:val="20"/>
          <w:szCs w:val="20"/>
          <w:highlight w:val="yellow"/>
        </w:rPr>
        <w:t>Barate</w:t>
      </w:r>
      <w:proofErr w:type="spellEnd"/>
      <w:r w:rsidRPr="00E83597">
        <w:rPr>
          <w:rFonts w:ascii="Arial" w:hAnsi="Arial" w:cs="Arial"/>
          <w:sz w:val="20"/>
          <w:szCs w:val="20"/>
          <w:highlight w:val="yellow"/>
        </w:rPr>
        <w:t xml:space="preserve">, A., </w:t>
      </w:r>
      <w:proofErr w:type="spellStart"/>
      <w:r w:rsidRPr="00E83597">
        <w:rPr>
          <w:rFonts w:ascii="Arial" w:hAnsi="Arial" w:cs="Arial"/>
          <w:sz w:val="20"/>
          <w:szCs w:val="20"/>
          <w:highlight w:val="yellow"/>
        </w:rPr>
        <w:t>Sukare</w:t>
      </w:r>
      <w:proofErr w:type="spellEnd"/>
      <w:r w:rsidRPr="00E83597">
        <w:rPr>
          <w:rFonts w:ascii="Arial" w:hAnsi="Arial" w:cs="Arial"/>
          <w:sz w:val="20"/>
          <w:szCs w:val="20"/>
          <w:highlight w:val="yellow"/>
        </w:rPr>
        <w:t xml:space="preserve">, J., Sabharwal, D., </w:t>
      </w:r>
      <w:proofErr w:type="spellStart"/>
      <w:r w:rsidRPr="00E83597">
        <w:rPr>
          <w:rFonts w:ascii="Arial" w:hAnsi="Arial" w:cs="Arial"/>
          <w:sz w:val="20"/>
          <w:szCs w:val="20"/>
          <w:highlight w:val="yellow"/>
        </w:rPr>
        <w:t>Tumlam</w:t>
      </w:r>
      <w:proofErr w:type="spellEnd"/>
      <w:r w:rsidRPr="00E83597">
        <w:rPr>
          <w:rFonts w:ascii="Arial" w:hAnsi="Arial" w:cs="Arial"/>
          <w:sz w:val="20"/>
          <w:szCs w:val="20"/>
          <w:highlight w:val="yellow"/>
        </w:rPr>
        <w:t>, U., &amp; Mote, C. (2023). Pathological and molecular diagnosis of contagious caprine pleuropneumonia (CCPP) in naturally infected goats (</w:t>
      </w:r>
      <w:r w:rsidRPr="00E83597">
        <w:rPr>
          <w:rFonts w:ascii="Arial" w:hAnsi="Arial" w:cs="Arial"/>
          <w:i/>
          <w:sz w:val="20"/>
          <w:szCs w:val="20"/>
          <w:highlight w:val="yellow"/>
        </w:rPr>
        <w:t xml:space="preserve">Capra </w:t>
      </w:r>
      <w:proofErr w:type="spellStart"/>
      <w:r w:rsidRPr="00E83597">
        <w:rPr>
          <w:rFonts w:ascii="Arial" w:hAnsi="Arial" w:cs="Arial"/>
          <w:i/>
          <w:sz w:val="20"/>
          <w:szCs w:val="20"/>
          <w:highlight w:val="yellow"/>
        </w:rPr>
        <w:t>hircus</w:t>
      </w:r>
      <w:proofErr w:type="spellEnd"/>
      <w:r w:rsidRPr="00E83597">
        <w:rPr>
          <w:rFonts w:ascii="Arial" w:hAnsi="Arial" w:cs="Arial"/>
          <w:sz w:val="20"/>
          <w:szCs w:val="20"/>
          <w:highlight w:val="yellow"/>
        </w:rPr>
        <w:t xml:space="preserve">) from Maharashtra, India. </w:t>
      </w:r>
      <w:r w:rsidRPr="00E83597">
        <w:rPr>
          <w:rFonts w:ascii="Arial" w:hAnsi="Arial" w:cs="Arial"/>
          <w:i/>
          <w:sz w:val="20"/>
          <w:szCs w:val="20"/>
          <w:highlight w:val="yellow"/>
        </w:rPr>
        <w:t>Emerging Animal Species, 7</w:t>
      </w:r>
      <w:r w:rsidRPr="00E83597">
        <w:rPr>
          <w:rFonts w:ascii="Arial" w:hAnsi="Arial" w:cs="Arial"/>
          <w:sz w:val="20"/>
          <w:szCs w:val="20"/>
          <w:highlight w:val="yellow"/>
        </w:rPr>
        <w:t xml:space="preserve">, 100024. </w:t>
      </w:r>
      <w:hyperlink r:id="rId21" w:history="1">
        <w:r w:rsidRPr="00E83597">
          <w:rPr>
            <w:rStyle w:val="Hyperlink"/>
            <w:rFonts w:ascii="Arial" w:hAnsi="Arial" w:cs="Arial"/>
            <w:sz w:val="20"/>
            <w:szCs w:val="20"/>
            <w:highlight w:val="yellow"/>
            <w:lang w:val="pt-BR"/>
          </w:rPr>
          <w:t>https://doi.org/10.1016/j.eas.2023.100024</w:t>
        </w:r>
      </w:hyperlink>
    </w:p>
    <w:p w14:paraId="571C6D55" w14:textId="77777777" w:rsidR="00F959F7" w:rsidRPr="00E83597" w:rsidRDefault="00F959F7" w:rsidP="00E83597">
      <w:pPr>
        <w:pStyle w:val="ListParagraph"/>
        <w:numPr>
          <w:ilvl w:val="0"/>
          <w:numId w:val="7"/>
        </w:numPr>
        <w:spacing w:after="0" w:line="240" w:lineRule="auto"/>
        <w:jc w:val="both"/>
        <w:rPr>
          <w:rFonts w:ascii="Arial" w:hAnsi="Arial" w:cs="Arial"/>
          <w:sz w:val="20"/>
          <w:szCs w:val="20"/>
          <w:highlight w:val="yellow"/>
        </w:rPr>
      </w:pPr>
      <w:r w:rsidRPr="00E83597">
        <w:rPr>
          <w:rFonts w:ascii="Arial" w:hAnsi="Arial" w:cs="Arial"/>
          <w:sz w:val="20"/>
          <w:szCs w:val="20"/>
          <w:highlight w:val="yellow"/>
          <w:lang w:val="pt-BR"/>
        </w:rPr>
        <w:t xml:space="preserve">Elhassan, M. A., &amp; Salama, A. O. (2018). </w:t>
      </w:r>
      <w:r w:rsidRPr="00E83597">
        <w:rPr>
          <w:rFonts w:ascii="Arial" w:hAnsi="Arial" w:cs="Arial"/>
          <w:sz w:val="20"/>
          <w:szCs w:val="20"/>
          <w:highlight w:val="yellow"/>
        </w:rPr>
        <w:t xml:space="preserve">Clinical and laboratory diagnosis of contagious caprine pleuropneumonia in Qassim region, Saudi Arabia: a comparative study. </w:t>
      </w:r>
      <w:r w:rsidRPr="00E83597">
        <w:rPr>
          <w:rFonts w:ascii="Arial" w:hAnsi="Arial" w:cs="Arial"/>
          <w:i/>
          <w:sz w:val="20"/>
          <w:szCs w:val="20"/>
          <w:highlight w:val="yellow"/>
        </w:rPr>
        <w:t>Tropical Biomedicine, 35</w:t>
      </w:r>
      <w:r w:rsidRPr="00E83597">
        <w:rPr>
          <w:rFonts w:ascii="Arial" w:hAnsi="Arial" w:cs="Arial"/>
          <w:sz w:val="20"/>
          <w:szCs w:val="20"/>
          <w:highlight w:val="yellow"/>
        </w:rPr>
        <w:t xml:space="preserve">(1), 67–75. </w:t>
      </w:r>
      <w:hyperlink r:id="rId22" w:history="1">
        <w:r w:rsidRPr="00E83597">
          <w:rPr>
            <w:rStyle w:val="Hyperlink"/>
            <w:rFonts w:ascii="Arial" w:hAnsi="Arial" w:cs="Arial"/>
            <w:sz w:val="20"/>
            <w:szCs w:val="20"/>
            <w:highlight w:val="yellow"/>
          </w:rPr>
          <w:t>https://msptm.org/files/journals/1/articles/100/public/100-299-1-PB.pdf</w:t>
        </w:r>
      </w:hyperlink>
    </w:p>
    <w:p w14:paraId="738B42A3" w14:textId="77777777" w:rsidR="00F959F7" w:rsidRPr="00E83597" w:rsidRDefault="00F959F7" w:rsidP="00E83597">
      <w:pPr>
        <w:pStyle w:val="ListParagraph"/>
        <w:numPr>
          <w:ilvl w:val="0"/>
          <w:numId w:val="7"/>
        </w:numPr>
        <w:spacing w:after="0" w:line="240" w:lineRule="auto"/>
        <w:jc w:val="both"/>
        <w:rPr>
          <w:rFonts w:ascii="Arial" w:hAnsi="Arial" w:cs="Arial"/>
          <w:sz w:val="20"/>
          <w:szCs w:val="20"/>
          <w:highlight w:val="yellow"/>
          <w:lang w:val="pt-BR"/>
        </w:rPr>
      </w:pPr>
      <w:r w:rsidRPr="00E83597">
        <w:rPr>
          <w:rFonts w:ascii="Arial" w:hAnsi="Arial" w:cs="Arial"/>
          <w:sz w:val="20"/>
          <w:szCs w:val="20"/>
          <w:highlight w:val="yellow"/>
          <w:lang w:val="pt-BR"/>
        </w:rPr>
        <w:t xml:space="preserve">Esmaeili, H., &amp; Joghataei, S. M. (2024). </w:t>
      </w:r>
      <w:r w:rsidRPr="00E83597">
        <w:rPr>
          <w:rFonts w:ascii="Arial" w:hAnsi="Arial" w:cs="Arial"/>
          <w:sz w:val="20"/>
          <w:szCs w:val="20"/>
          <w:highlight w:val="yellow"/>
        </w:rPr>
        <w:t xml:space="preserve">Detection of Contagious Caprine Pleuropneumonia in Three Provinces of Iran: 2017-2018. </w:t>
      </w:r>
      <w:r w:rsidRPr="00E83597">
        <w:rPr>
          <w:rFonts w:ascii="Arial" w:hAnsi="Arial" w:cs="Arial"/>
          <w:i/>
          <w:sz w:val="20"/>
          <w:szCs w:val="20"/>
          <w:highlight w:val="yellow"/>
        </w:rPr>
        <w:t>Archives of Razi Institute, 79</w:t>
      </w:r>
      <w:r w:rsidRPr="00E83597">
        <w:rPr>
          <w:rFonts w:ascii="Arial" w:hAnsi="Arial" w:cs="Arial"/>
          <w:sz w:val="20"/>
          <w:szCs w:val="20"/>
          <w:highlight w:val="yellow"/>
        </w:rPr>
        <w:t xml:space="preserve">(6), 1263-1270. </w:t>
      </w:r>
      <w:hyperlink r:id="rId23" w:history="1">
        <w:r w:rsidRPr="00E83597">
          <w:rPr>
            <w:rStyle w:val="Hyperlink"/>
            <w:rFonts w:ascii="Arial" w:hAnsi="Arial" w:cs="Arial"/>
            <w:sz w:val="20"/>
            <w:szCs w:val="20"/>
            <w:highlight w:val="yellow"/>
            <w:lang w:val="pt-BR"/>
          </w:rPr>
          <w:t>https://doi.org/10.32592/ARI.2024.79.6.1263</w:t>
        </w:r>
      </w:hyperlink>
    </w:p>
    <w:p w14:paraId="408849BF" w14:textId="77777777" w:rsidR="00F959F7" w:rsidRPr="00E83597" w:rsidRDefault="00F959F7" w:rsidP="00E83597">
      <w:pPr>
        <w:pStyle w:val="ListParagraph"/>
        <w:numPr>
          <w:ilvl w:val="0"/>
          <w:numId w:val="7"/>
        </w:numPr>
        <w:spacing w:after="0" w:line="240" w:lineRule="auto"/>
        <w:jc w:val="both"/>
        <w:rPr>
          <w:rFonts w:ascii="Arial" w:hAnsi="Arial" w:cs="Arial"/>
          <w:sz w:val="20"/>
          <w:szCs w:val="20"/>
          <w:highlight w:val="yellow"/>
        </w:rPr>
      </w:pPr>
      <w:r w:rsidRPr="00E83597">
        <w:rPr>
          <w:rFonts w:ascii="Arial" w:hAnsi="Arial" w:cs="Arial"/>
          <w:sz w:val="20"/>
          <w:szCs w:val="20"/>
          <w:highlight w:val="yellow"/>
        </w:rPr>
        <w:t xml:space="preserve">Iqbal </w:t>
      </w:r>
      <w:proofErr w:type="spellStart"/>
      <w:r w:rsidRPr="00E83597">
        <w:rPr>
          <w:rFonts w:ascii="Arial" w:hAnsi="Arial" w:cs="Arial"/>
          <w:sz w:val="20"/>
          <w:szCs w:val="20"/>
          <w:highlight w:val="yellow"/>
        </w:rPr>
        <w:t>Yatoo</w:t>
      </w:r>
      <w:proofErr w:type="spellEnd"/>
      <w:r w:rsidRPr="00E83597">
        <w:rPr>
          <w:rFonts w:ascii="Arial" w:hAnsi="Arial" w:cs="Arial"/>
          <w:sz w:val="20"/>
          <w:szCs w:val="20"/>
          <w:highlight w:val="yellow"/>
        </w:rPr>
        <w:t xml:space="preserve"> M., </w:t>
      </w:r>
      <w:proofErr w:type="spellStart"/>
      <w:r w:rsidRPr="00E83597">
        <w:rPr>
          <w:rFonts w:ascii="Arial" w:hAnsi="Arial" w:cs="Arial"/>
          <w:sz w:val="20"/>
          <w:szCs w:val="20"/>
          <w:highlight w:val="yellow"/>
        </w:rPr>
        <w:t>Raffiq</w:t>
      </w:r>
      <w:proofErr w:type="spellEnd"/>
      <w:r w:rsidRPr="00E83597">
        <w:rPr>
          <w:rFonts w:ascii="Arial" w:hAnsi="Arial" w:cs="Arial"/>
          <w:sz w:val="20"/>
          <w:szCs w:val="20"/>
          <w:highlight w:val="yellow"/>
        </w:rPr>
        <w:t xml:space="preserve"> Parray, O., Tauseef Bashir, S., Muheet, Ahmed Bhat, R., Gopalakrishnan, A., ... &amp; Vir Singh, S. (2019). Contagious caprine pleuropneumonia–a comprehensive review. </w:t>
      </w:r>
      <w:r w:rsidRPr="00E83597">
        <w:rPr>
          <w:rFonts w:ascii="Arial" w:hAnsi="Arial" w:cs="Arial"/>
          <w:i/>
          <w:iCs/>
          <w:sz w:val="20"/>
          <w:szCs w:val="20"/>
          <w:highlight w:val="yellow"/>
        </w:rPr>
        <w:t>Veterinary Quarterly</w:t>
      </w:r>
      <w:r w:rsidRPr="00E83597">
        <w:rPr>
          <w:rFonts w:ascii="Arial" w:hAnsi="Arial" w:cs="Arial"/>
          <w:sz w:val="20"/>
          <w:szCs w:val="20"/>
          <w:highlight w:val="yellow"/>
        </w:rPr>
        <w:t>, </w:t>
      </w:r>
      <w:r w:rsidRPr="00E83597">
        <w:rPr>
          <w:rFonts w:ascii="Arial" w:hAnsi="Arial" w:cs="Arial"/>
          <w:i/>
          <w:iCs/>
          <w:sz w:val="20"/>
          <w:szCs w:val="20"/>
          <w:highlight w:val="yellow"/>
        </w:rPr>
        <w:t>39</w:t>
      </w:r>
      <w:r w:rsidRPr="00E83597">
        <w:rPr>
          <w:rFonts w:ascii="Arial" w:hAnsi="Arial" w:cs="Arial"/>
          <w:sz w:val="20"/>
          <w:szCs w:val="20"/>
          <w:highlight w:val="yellow"/>
        </w:rPr>
        <w:t>(1), 1-25.</w:t>
      </w:r>
    </w:p>
    <w:p w14:paraId="6033D20D" w14:textId="77777777" w:rsidR="00F959F7" w:rsidRPr="00E83597" w:rsidRDefault="00F959F7" w:rsidP="00E83597">
      <w:pPr>
        <w:pStyle w:val="ListParagraph"/>
        <w:numPr>
          <w:ilvl w:val="0"/>
          <w:numId w:val="7"/>
        </w:numPr>
        <w:spacing w:after="0" w:line="240" w:lineRule="auto"/>
        <w:jc w:val="both"/>
        <w:rPr>
          <w:rFonts w:ascii="Arial" w:hAnsi="Arial" w:cs="Arial"/>
          <w:sz w:val="20"/>
          <w:szCs w:val="20"/>
          <w:highlight w:val="yellow"/>
        </w:rPr>
      </w:pPr>
      <w:proofErr w:type="spellStart"/>
      <w:r w:rsidRPr="00E83597">
        <w:rPr>
          <w:rFonts w:ascii="Arial" w:hAnsi="Arial" w:cs="Arial"/>
          <w:sz w:val="20"/>
          <w:szCs w:val="20"/>
          <w:highlight w:val="yellow"/>
        </w:rPr>
        <w:t>Kusiluka</w:t>
      </w:r>
      <w:proofErr w:type="spellEnd"/>
      <w:r w:rsidRPr="00E83597">
        <w:rPr>
          <w:rFonts w:ascii="Arial" w:hAnsi="Arial" w:cs="Arial"/>
          <w:sz w:val="20"/>
          <w:szCs w:val="20"/>
          <w:highlight w:val="yellow"/>
        </w:rPr>
        <w:t xml:space="preserve">, L. J., </w:t>
      </w:r>
      <w:proofErr w:type="spellStart"/>
      <w:r w:rsidRPr="00E83597">
        <w:rPr>
          <w:rFonts w:ascii="Arial" w:hAnsi="Arial" w:cs="Arial"/>
          <w:sz w:val="20"/>
          <w:szCs w:val="20"/>
          <w:highlight w:val="yellow"/>
        </w:rPr>
        <w:t>Semuguruka</w:t>
      </w:r>
      <w:proofErr w:type="spellEnd"/>
      <w:r w:rsidRPr="00E83597">
        <w:rPr>
          <w:rFonts w:ascii="Arial" w:hAnsi="Arial" w:cs="Arial"/>
          <w:sz w:val="20"/>
          <w:szCs w:val="20"/>
          <w:highlight w:val="yellow"/>
        </w:rPr>
        <w:t xml:space="preserve">, W. D., </w:t>
      </w:r>
      <w:proofErr w:type="spellStart"/>
      <w:r w:rsidRPr="00E83597">
        <w:rPr>
          <w:rFonts w:ascii="Arial" w:hAnsi="Arial" w:cs="Arial"/>
          <w:sz w:val="20"/>
          <w:szCs w:val="20"/>
          <w:highlight w:val="yellow"/>
        </w:rPr>
        <w:t>Kazwala</w:t>
      </w:r>
      <w:proofErr w:type="spellEnd"/>
      <w:r w:rsidRPr="00E83597">
        <w:rPr>
          <w:rFonts w:ascii="Arial" w:hAnsi="Arial" w:cs="Arial"/>
          <w:sz w:val="20"/>
          <w:szCs w:val="20"/>
          <w:highlight w:val="yellow"/>
        </w:rPr>
        <w:t xml:space="preserve">, R. R., </w:t>
      </w:r>
      <w:proofErr w:type="spellStart"/>
      <w:r w:rsidRPr="00E83597">
        <w:rPr>
          <w:rFonts w:ascii="Arial" w:hAnsi="Arial" w:cs="Arial"/>
          <w:sz w:val="20"/>
          <w:szCs w:val="20"/>
          <w:highlight w:val="yellow"/>
        </w:rPr>
        <w:t>Ojeniy</w:t>
      </w:r>
      <w:proofErr w:type="spellEnd"/>
      <w:r w:rsidRPr="00E83597">
        <w:rPr>
          <w:rFonts w:ascii="Arial" w:hAnsi="Arial" w:cs="Arial"/>
          <w:sz w:val="20"/>
          <w:szCs w:val="20"/>
          <w:highlight w:val="yellow"/>
        </w:rPr>
        <w:t xml:space="preserve">, B., &amp; Friis, N. F. (2000). Demonstration of Mycoplasma </w:t>
      </w:r>
      <w:proofErr w:type="spellStart"/>
      <w:r w:rsidRPr="00E83597">
        <w:rPr>
          <w:rFonts w:ascii="Arial" w:hAnsi="Arial" w:cs="Arial"/>
          <w:sz w:val="20"/>
          <w:szCs w:val="20"/>
          <w:highlight w:val="yellow"/>
        </w:rPr>
        <w:t>capricolum</w:t>
      </w:r>
      <w:proofErr w:type="spellEnd"/>
      <w:r w:rsidRPr="00E83597">
        <w:rPr>
          <w:rFonts w:ascii="Arial" w:hAnsi="Arial" w:cs="Arial"/>
          <w:sz w:val="20"/>
          <w:szCs w:val="20"/>
          <w:highlight w:val="yellow"/>
        </w:rPr>
        <w:t xml:space="preserve"> subsp. </w:t>
      </w:r>
      <w:proofErr w:type="spellStart"/>
      <w:r w:rsidRPr="00E83597">
        <w:rPr>
          <w:rFonts w:ascii="Arial" w:hAnsi="Arial" w:cs="Arial"/>
          <w:sz w:val="20"/>
          <w:szCs w:val="20"/>
          <w:highlight w:val="yellow"/>
        </w:rPr>
        <w:t>Capripneumoniae</w:t>
      </w:r>
      <w:proofErr w:type="spellEnd"/>
      <w:r w:rsidRPr="00E83597">
        <w:rPr>
          <w:rFonts w:ascii="Arial" w:hAnsi="Arial" w:cs="Arial"/>
          <w:sz w:val="20"/>
          <w:szCs w:val="20"/>
          <w:highlight w:val="yellow"/>
        </w:rPr>
        <w:t xml:space="preserve"> and Mycoplasma mycoides subsp. mycoides, small colony type in outbreaks of caprine pleuropneumonia in eastern Tanzania. </w:t>
      </w:r>
      <w:r w:rsidRPr="00E83597">
        <w:rPr>
          <w:rFonts w:ascii="Arial" w:hAnsi="Arial" w:cs="Arial"/>
          <w:i/>
          <w:sz w:val="20"/>
          <w:szCs w:val="20"/>
          <w:highlight w:val="yellow"/>
        </w:rPr>
        <w:t xml:space="preserve">Acta </w:t>
      </w:r>
      <w:proofErr w:type="spellStart"/>
      <w:r w:rsidRPr="00E83597">
        <w:rPr>
          <w:rFonts w:ascii="Arial" w:hAnsi="Arial" w:cs="Arial"/>
          <w:i/>
          <w:sz w:val="20"/>
          <w:szCs w:val="20"/>
          <w:highlight w:val="yellow"/>
        </w:rPr>
        <w:t>Veterinaria</w:t>
      </w:r>
      <w:proofErr w:type="spellEnd"/>
      <w:r w:rsidRPr="00E83597">
        <w:rPr>
          <w:rFonts w:ascii="Arial" w:hAnsi="Arial" w:cs="Arial"/>
          <w:i/>
          <w:sz w:val="20"/>
          <w:szCs w:val="20"/>
          <w:highlight w:val="yellow"/>
        </w:rPr>
        <w:t xml:space="preserve"> Scandinavica, 41</w:t>
      </w:r>
      <w:r w:rsidRPr="00E83597">
        <w:rPr>
          <w:rFonts w:ascii="Arial" w:hAnsi="Arial" w:cs="Arial"/>
          <w:sz w:val="20"/>
          <w:szCs w:val="20"/>
          <w:highlight w:val="yellow"/>
        </w:rPr>
        <w:t xml:space="preserve">(3), 311-319. </w:t>
      </w:r>
      <w:hyperlink r:id="rId24" w:history="1">
        <w:r w:rsidRPr="00E83597">
          <w:rPr>
            <w:rStyle w:val="Hyperlink"/>
            <w:rFonts w:ascii="Arial" w:hAnsi="Arial" w:cs="Arial"/>
            <w:sz w:val="20"/>
            <w:szCs w:val="20"/>
            <w:highlight w:val="yellow"/>
          </w:rPr>
          <w:t>https://doi.org/10.1186/BF03549639</w:t>
        </w:r>
      </w:hyperlink>
    </w:p>
    <w:p w14:paraId="3F0E3249" w14:textId="704B0A48" w:rsidR="00F959F7" w:rsidRPr="00E83597" w:rsidRDefault="00F959F7" w:rsidP="00E83597">
      <w:pPr>
        <w:pStyle w:val="ListParagraph"/>
        <w:numPr>
          <w:ilvl w:val="0"/>
          <w:numId w:val="7"/>
        </w:numPr>
        <w:spacing w:after="0" w:line="240" w:lineRule="auto"/>
        <w:jc w:val="both"/>
        <w:rPr>
          <w:rFonts w:ascii="Arial" w:hAnsi="Arial" w:cs="Arial"/>
          <w:sz w:val="20"/>
          <w:szCs w:val="20"/>
          <w:highlight w:val="yellow"/>
        </w:rPr>
      </w:pPr>
      <w:r w:rsidRPr="00E83597">
        <w:rPr>
          <w:rFonts w:ascii="Arial" w:hAnsi="Arial" w:cs="Arial"/>
          <w:sz w:val="20"/>
          <w:szCs w:val="20"/>
          <w:highlight w:val="yellow"/>
        </w:rPr>
        <w:t>Luna, L. G. (1968). Manual of histologic staining methods of the Armed Forces Institute of Pathology (3rd ed.). McGraw-Hill Book Co.</w:t>
      </w:r>
    </w:p>
    <w:p w14:paraId="30101770" w14:textId="77777777" w:rsidR="00F959F7" w:rsidRPr="00E83597" w:rsidRDefault="00F959F7" w:rsidP="00E83597">
      <w:pPr>
        <w:pStyle w:val="ListParagraph"/>
        <w:numPr>
          <w:ilvl w:val="0"/>
          <w:numId w:val="7"/>
        </w:numPr>
        <w:spacing w:after="0" w:line="240" w:lineRule="auto"/>
        <w:jc w:val="both"/>
        <w:rPr>
          <w:rFonts w:ascii="Arial" w:hAnsi="Arial" w:cs="Arial"/>
          <w:sz w:val="20"/>
          <w:szCs w:val="20"/>
          <w:highlight w:val="yellow"/>
        </w:rPr>
      </w:pPr>
      <w:r w:rsidRPr="00E83597">
        <w:rPr>
          <w:rFonts w:ascii="Arial" w:hAnsi="Arial" w:cs="Arial"/>
          <w:sz w:val="20"/>
          <w:szCs w:val="20"/>
          <w:highlight w:val="yellow"/>
        </w:rPr>
        <w:t xml:space="preserve">Nicholas, R., &amp; Churchward, C. (2012). Contagious caprine pleuropneumonia: new aspects of an old disease. Transboundary and Emerging Diseases, 59(3), 189-196. </w:t>
      </w:r>
      <w:hyperlink r:id="rId25" w:history="1">
        <w:r w:rsidRPr="00E83597">
          <w:rPr>
            <w:rStyle w:val="Hyperlink"/>
            <w:rFonts w:ascii="Arial" w:hAnsi="Arial" w:cs="Arial"/>
            <w:sz w:val="20"/>
            <w:szCs w:val="20"/>
            <w:highlight w:val="yellow"/>
          </w:rPr>
          <w:t>https://doi.org/10.1111/j.1865-1682.2011.01262.x</w:t>
        </w:r>
      </w:hyperlink>
    </w:p>
    <w:p w14:paraId="745FF0C9" w14:textId="7451C066" w:rsidR="00F959F7" w:rsidRPr="00E83597" w:rsidRDefault="00F959F7" w:rsidP="00E83597">
      <w:pPr>
        <w:pStyle w:val="ListParagraph"/>
        <w:numPr>
          <w:ilvl w:val="0"/>
          <w:numId w:val="7"/>
        </w:numPr>
        <w:spacing w:after="0" w:line="240" w:lineRule="auto"/>
        <w:jc w:val="both"/>
        <w:rPr>
          <w:rFonts w:ascii="Arial" w:hAnsi="Arial" w:cs="Arial"/>
          <w:sz w:val="20"/>
          <w:szCs w:val="20"/>
          <w:highlight w:val="yellow"/>
        </w:rPr>
      </w:pPr>
      <w:r w:rsidRPr="00E83597">
        <w:rPr>
          <w:rFonts w:ascii="Arial" w:hAnsi="Arial" w:cs="Arial"/>
          <w:sz w:val="20"/>
          <w:szCs w:val="20"/>
          <w:highlight w:val="yellow"/>
        </w:rPr>
        <w:t xml:space="preserve">Nicholas, R., Ayling, R., &amp; McAuliffe, L. (2008). Contagious caprine pleuropneumonia. In R. Nicholas, R. Ayling, &amp; L. McAuliffe (Eds.), Mycoplasma Diseases of Ruminants (pp. 116–129). Commonwealth Agricultural Bureaux International. </w:t>
      </w:r>
      <w:hyperlink r:id="rId26" w:history="1">
        <w:r w:rsidRPr="00E83597">
          <w:rPr>
            <w:rStyle w:val="Hyperlink"/>
            <w:rFonts w:ascii="Arial" w:hAnsi="Arial" w:cs="Arial"/>
            <w:sz w:val="20"/>
            <w:szCs w:val="20"/>
            <w:highlight w:val="yellow"/>
          </w:rPr>
          <w:t>https://doi.org/10.1079/9780851990125.0000</w:t>
        </w:r>
      </w:hyperlink>
    </w:p>
    <w:p w14:paraId="2355F576" w14:textId="77777777" w:rsidR="00F959F7" w:rsidRPr="00E83597" w:rsidRDefault="00F959F7" w:rsidP="00E83597">
      <w:pPr>
        <w:pStyle w:val="ListParagraph"/>
        <w:numPr>
          <w:ilvl w:val="0"/>
          <w:numId w:val="7"/>
        </w:numPr>
        <w:spacing w:after="0" w:line="240" w:lineRule="auto"/>
        <w:jc w:val="both"/>
        <w:rPr>
          <w:rFonts w:ascii="Arial" w:hAnsi="Arial" w:cs="Arial"/>
          <w:sz w:val="20"/>
          <w:szCs w:val="20"/>
          <w:highlight w:val="yellow"/>
        </w:rPr>
      </w:pPr>
      <w:r w:rsidRPr="00E83597">
        <w:rPr>
          <w:rFonts w:ascii="Arial" w:hAnsi="Arial" w:cs="Arial"/>
          <w:sz w:val="20"/>
          <w:szCs w:val="20"/>
          <w:highlight w:val="yellow"/>
        </w:rPr>
        <w:t>OIE 2008: </w:t>
      </w:r>
      <w:r w:rsidRPr="00E83597">
        <w:rPr>
          <w:rFonts w:ascii="Arial" w:hAnsi="Arial" w:cs="Arial"/>
          <w:i/>
          <w:iCs/>
          <w:sz w:val="20"/>
          <w:szCs w:val="20"/>
          <w:highlight w:val="yellow"/>
        </w:rPr>
        <w:t>World Animal Health in 2006</w:t>
      </w:r>
      <w:r w:rsidRPr="00E83597">
        <w:rPr>
          <w:rFonts w:ascii="Arial" w:hAnsi="Arial" w:cs="Arial"/>
          <w:sz w:val="20"/>
          <w:szCs w:val="20"/>
          <w:highlight w:val="yellow"/>
        </w:rPr>
        <w:t>. World Organisation for Animal Health, Paris.</w:t>
      </w:r>
    </w:p>
    <w:p w14:paraId="7744962E" w14:textId="77777777" w:rsidR="00F959F7" w:rsidRPr="00E83597" w:rsidRDefault="00F959F7" w:rsidP="00E83597">
      <w:pPr>
        <w:pStyle w:val="ListParagraph"/>
        <w:numPr>
          <w:ilvl w:val="0"/>
          <w:numId w:val="7"/>
        </w:numPr>
        <w:spacing w:after="0" w:line="240" w:lineRule="auto"/>
        <w:jc w:val="both"/>
        <w:rPr>
          <w:rFonts w:ascii="Arial" w:hAnsi="Arial" w:cs="Arial"/>
          <w:sz w:val="20"/>
          <w:szCs w:val="20"/>
          <w:highlight w:val="yellow"/>
        </w:rPr>
      </w:pPr>
      <w:proofErr w:type="spellStart"/>
      <w:r w:rsidRPr="00E83597">
        <w:rPr>
          <w:rFonts w:ascii="Arial" w:hAnsi="Arial" w:cs="Arial"/>
          <w:sz w:val="20"/>
          <w:szCs w:val="20"/>
          <w:highlight w:val="yellow"/>
        </w:rPr>
        <w:t>Parray</w:t>
      </w:r>
      <w:proofErr w:type="spellEnd"/>
      <w:r w:rsidRPr="00E83597">
        <w:rPr>
          <w:rFonts w:ascii="Arial" w:hAnsi="Arial" w:cs="Arial"/>
          <w:sz w:val="20"/>
          <w:szCs w:val="20"/>
          <w:highlight w:val="yellow"/>
        </w:rPr>
        <w:t xml:space="preserve">, O. R., </w:t>
      </w:r>
      <w:proofErr w:type="spellStart"/>
      <w:r w:rsidRPr="00E83597">
        <w:rPr>
          <w:rFonts w:ascii="Arial" w:hAnsi="Arial" w:cs="Arial"/>
          <w:sz w:val="20"/>
          <w:szCs w:val="20"/>
          <w:highlight w:val="yellow"/>
        </w:rPr>
        <w:t>Yatoo</w:t>
      </w:r>
      <w:proofErr w:type="spellEnd"/>
      <w:r w:rsidRPr="00E83597">
        <w:rPr>
          <w:rFonts w:ascii="Arial" w:hAnsi="Arial" w:cs="Arial"/>
          <w:sz w:val="20"/>
          <w:szCs w:val="20"/>
          <w:highlight w:val="yellow"/>
        </w:rPr>
        <w:t xml:space="preserve">, M. I., Muheet, Bhat, R. A., Malik, H. U., Bashir, S. T., &amp; </w:t>
      </w:r>
      <w:proofErr w:type="spellStart"/>
      <w:r w:rsidRPr="00E83597">
        <w:rPr>
          <w:rFonts w:ascii="Arial" w:hAnsi="Arial" w:cs="Arial"/>
          <w:sz w:val="20"/>
          <w:szCs w:val="20"/>
          <w:highlight w:val="yellow"/>
        </w:rPr>
        <w:t>Magray</w:t>
      </w:r>
      <w:proofErr w:type="spellEnd"/>
      <w:r w:rsidRPr="00E83597">
        <w:rPr>
          <w:rFonts w:ascii="Arial" w:hAnsi="Arial" w:cs="Arial"/>
          <w:sz w:val="20"/>
          <w:szCs w:val="20"/>
          <w:highlight w:val="yellow"/>
        </w:rPr>
        <w:t xml:space="preserve">, S. N. (2019). </w:t>
      </w:r>
      <w:proofErr w:type="spellStart"/>
      <w:r w:rsidRPr="00E83597">
        <w:rPr>
          <w:rFonts w:ascii="Arial" w:hAnsi="Arial" w:cs="Arial"/>
          <w:sz w:val="20"/>
          <w:szCs w:val="20"/>
          <w:highlight w:val="yellow"/>
        </w:rPr>
        <w:t>Seroepidemiology</w:t>
      </w:r>
      <w:proofErr w:type="spellEnd"/>
      <w:r w:rsidRPr="00E83597">
        <w:rPr>
          <w:rFonts w:ascii="Arial" w:hAnsi="Arial" w:cs="Arial"/>
          <w:sz w:val="20"/>
          <w:szCs w:val="20"/>
          <w:highlight w:val="yellow"/>
        </w:rPr>
        <w:t xml:space="preserve"> and risk factor analysis of contagious caprine pleuropneumonia in </w:t>
      </w:r>
      <w:r w:rsidRPr="00E83597">
        <w:rPr>
          <w:rFonts w:ascii="Arial" w:hAnsi="Arial" w:cs="Arial"/>
          <w:sz w:val="20"/>
          <w:szCs w:val="20"/>
          <w:highlight w:val="yellow"/>
        </w:rPr>
        <w:lastRenderedPageBreak/>
        <w:t xml:space="preserve">Himalayan Pashmina goats. </w:t>
      </w:r>
      <w:r w:rsidRPr="00E83597">
        <w:rPr>
          <w:rFonts w:ascii="Arial" w:hAnsi="Arial" w:cs="Arial"/>
          <w:i/>
          <w:sz w:val="20"/>
          <w:szCs w:val="20"/>
          <w:highlight w:val="yellow"/>
        </w:rPr>
        <w:t>Small Ruminant Research, 171,</w:t>
      </w:r>
      <w:r w:rsidRPr="00E83597">
        <w:rPr>
          <w:rFonts w:ascii="Arial" w:hAnsi="Arial" w:cs="Arial"/>
          <w:sz w:val="20"/>
          <w:szCs w:val="20"/>
          <w:highlight w:val="yellow"/>
        </w:rPr>
        <w:t xml:space="preserve"> 23–36. </w:t>
      </w:r>
      <w:hyperlink r:id="rId27" w:history="1">
        <w:r w:rsidRPr="00E83597">
          <w:rPr>
            <w:rStyle w:val="Hyperlink"/>
            <w:rFonts w:ascii="Arial" w:hAnsi="Arial" w:cs="Arial"/>
            <w:sz w:val="20"/>
            <w:szCs w:val="20"/>
            <w:highlight w:val="yellow"/>
          </w:rPr>
          <w:t>https://doi.org/10.1016/j.smallrumres.2018.12.004</w:t>
        </w:r>
      </w:hyperlink>
    </w:p>
    <w:p w14:paraId="168BE02D" w14:textId="77777777" w:rsidR="00F959F7" w:rsidRPr="00E83597" w:rsidRDefault="00F959F7" w:rsidP="00E83597">
      <w:pPr>
        <w:pStyle w:val="ListParagraph"/>
        <w:numPr>
          <w:ilvl w:val="0"/>
          <w:numId w:val="7"/>
        </w:numPr>
        <w:spacing w:after="0" w:line="240" w:lineRule="auto"/>
        <w:jc w:val="both"/>
        <w:rPr>
          <w:rFonts w:ascii="Arial" w:hAnsi="Arial" w:cs="Arial"/>
          <w:sz w:val="20"/>
          <w:szCs w:val="20"/>
          <w:highlight w:val="yellow"/>
        </w:rPr>
      </w:pPr>
      <w:proofErr w:type="spellStart"/>
      <w:r w:rsidRPr="00E83597">
        <w:rPr>
          <w:rFonts w:ascii="Arial" w:hAnsi="Arial" w:cs="Arial"/>
          <w:sz w:val="20"/>
          <w:szCs w:val="20"/>
          <w:highlight w:val="yellow"/>
        </w:rPr>
        <w:t>Radostits</w:t>
      </w:r>
      <w:proofErr w:type="spellEnd"/>
      <w:r w:rsidRPr="00E83597">
        <w:rPr>
          <w:rFonts w:ascii="Arial" w:hAnsi="Arial" w:cs="Arial"/>
          <w:sz w:val="20"/>
          <w:szCs w:val="20"/>
          <w:highlight w:val="yellow"/>
        </w:rPr>
        <w:t xml:space="preserve">, O. M., Gay, C. C., Blood, D. C., &amp; Hinchcliff, K. W. (2000). Disease caused by Mycoplasma. In O. M. </w:t>
      </w:r>
      <w:proofErr w:type="spellStart"/>
      <w:r w:rsidRPr="00E83597">
        <w:rPr>
          <w:rFonts w:ascii="Arial" w:hAnsi="Arial" w:cs="Arial"/>
          <w:sz w:val="20"/>
          <w:szCs w:val="20"/>
          <w:highlight w:val="yellow"/>
        </w:rPr>
        <w:t>Radostits</w:t>
      </w:r>
      <w:proofErr w:type="spellEnd"/>
      <w:r w:rsidRPr="00E83597">
        <w:rPr>
          <w:rFonts w:ascii="Arial" w:hAnsi="Arial" w:cs="Arial"/>
          <w:sz w:val="20"/>
          <w:szCs w:val="20"/>
          <w:highlight w:val="yellow"/>
        </w:rPr>
        <w:t>, C. C. Gay, D. C. Blood, &amp; K. W. Hinchcliff (Eds.), Veterinary Medicine: A textbook of the diseases of cattle, sheep, pigs, goats and horses (9th ed., pp. 748–785). W.B. Saunders Company Ltd.</w:t>
      </w:r>
    </w:p>
    <w:p w14:paraId="6B9184B2" w14:textId="77777777" w:rsidR="00F959F7" w:rsidRPr="00E83597" w:rsidRDefault="00F959F7" w:rsidP="00E83597">
      <w:pPr>
        <w:pStyle w:val="ListParagraph"/>
        <w:numPr>
          <w:ilvl w:val="0"/>
          <w:numId w:val="7"/>
        </w:numPr>
        <w:spacing w:after="0" w:line="240" w:lineRule="auto"/>
        <w:jc w:val="both"/>
        <w:rPr>
          <w:rFonts w:ascii="Arial" w:hAnsi="Arial" w:cs="Arial"/>
          <w:sz w:val="20"/>
          <w:szCs w:val="20"/>
          <w:highlight w:val="yellow"/>
        </w:rPr>
      </w:pPr>
      <w:r w:rsidRPr="00E83597">
        <w:rPr>
          <w:rFonts w:ascii="Arial" w:hAnsi="Arial" w:cs="Arial"/>
          <w:sz w:val="20"/>
          <w:szCs w:val="20"/>
          <w:highlight w:val="yellow"/>
        </w:rPr>
        <w:t xml:space="preserve">Sasikala, M., Selvaraj, J., Prasath, N. B., Ponnusamy, P., &amp; Arulkumar, T. (2020). Pathology of </w:t>
      </w:r>
      <w:proofErr w:type="spellStart"/>
      <w:r w:rsidRPr="00E83597">
        <w:rPr>
          <w:rFonts w:ascii="Arial" w:hAnsi="Arial" w:cs="Arial"/>
          <w:sz w:val="20"/>
          <w:szCs w:val="20"/>
          <w:highlight w:val="yellow"/>
        </w:rPr>
        <w:t>mycoplasmal</w:t>
      </w:r>
      <w:proofErr w:type="spellEnd"/>
      <w:r w:rsidRPr="00E83597">
        <w:rPr>
          <w:rFonts w:ascii="Arial" w:hAnsi="Arial" w:cs="Arial"/>
          <w:sz w:val="20"/>
          <w:szCs w:val="20"/>
          <w:highlight w:val="yellow"/>
        </w:rPr>
        <w:t xml:space="preserve"> pneumonia in a goat. </w:t>
      </w:r>
      <w:r w:rsidRPr="00E83597">
        <w:rPr>
          <w:rFonts w:ascii="Arial" w:hAnsi="Arial" w:cs="Arial"/>
          <w:i/>
          <w:iCs/>
          <w:sz w:val="20"/>
          <w:szCs w:val="20"/>
          <w:highlight w:val="yellow"/>
        </w:rPr>
        <w:t>Ruminant Science</w:t>
      </w:r>
      <w:r w:rsidRPr="00E83597">
        <w:rPr>
          <w:rFonts w:ascii="Arial" w:hAnsi="Arial" w:cs="Arial"/>
          <w:sz w:val="20"/>
          <w:szCs w:val="20"/>
          <w:highlight w:val="yellow"/>
        </w:rPr>
        <w:t>, </w:t>
      </w:r>
      <w:r w:rsidRPr="00E83597">
        <w:rPr>
          <w:rFonts w:ascii="Arial" w:hAnsi="Arial" w:cs="Arial"/>
          <w:i/>
          <w:iCs/>
          <w:sz w:val="20"/>
          <w:szCs w:val="20"/>
          <w:highlight w:val="yellow"/>
        </w:rPr>
        <w:t>9</w:t>
      </w:r>
      <w:r w:rsidRPr="00E83597">
        <w:rPr>
          <w:rFonts w:ascii="Arial" w:hAnsi="Arial" w:cs="Arial"/>
          <w:sz w:val="20"/>
          <w:szCs w:val="20"/>
          <w:highlight w:val="yellow"/>
        </w:rPr>
        <w:t>(2), 259-262.</w:t>
      </w:r>
    </w:p>
    <w:p w14:paraId="36B8512A" w14:textId="77777777" w:rsidR="00F959F7" w:rsidRPr="00E83597" w:rsidRDefault="00F959F7" w:rsidP="00E83597">
      <w:pPr>
        <w:pStyle w:val="ListParagraph"/>
        <w:numPr>
          <w:ilvl w:val="0"/>
          <w:numId w:val="7"/>
        </w:numPr>
        <w:spacing w:after="0" w:line="240" w:lineRule="auto"/>
        <w:jc w:val="both"/>
        <w:rPr>
          <w:rFonts w:ascii="Arial" w:hAnsi="Arial" w:cs="Arial"/>
          <w:sz w:val="20"/>
          <w:szCs w:val="20"/>
          <w:highlight w:val="yellow"/>
        </w:rPr>
      </w:pPr>
      <w:r w:rsidRPr="00E83597">
        <w:rPr>
          <w:rFonts w:ascii="Arial" w:hAnsi="Arial" w:cs="Arial"/>
          <w:sz w:val="20"/>
          <w:szCs w:val="20"/>
          <w:highlight w:val="yellow"/>
        </w:rPr>
        <w:t>Tharwat, M., &amp; Al-</w:t>
      </w:r>
      <w:proofErr w:type="spellStart"/>
      <w:r w:rsidRPr="00E83597">
        <w:rPr>
          <w:rFonts w:ascii="Arial" w:hAnsi="Arial" w:cs="Arial"/>
          <w:sz w:val="20"/>
          <w:szCs w:val="20"/>
          <w:highlight w:val="yellow"/>
        </w:rPr>
        <w:t>Sobayil</w:t>
      </w:r>
      <w:proofErr w:type="spellEnd"/>
      <w:r w:rsidRPr="00E83597">
        <w:rPr>
          <w:rFonts w:ascii="Arial" w:hAnsi="Arial" w:cs="Arial"/>
          <w:sz w:val="20"/>
          <w:szCs w:val="20"/>
          <w:highlight w:val="yellow"/>
        </w:rPr>
        <w:t xml:space="preserve">, F. (2017). Ultrasonographic findings in goats with contagious caprine pleuropneumonia caused by Mycoplasma </w:t>
      </w:r>
      <w:proofErr w:type="spellStart"/>
      <w:r w:rsidRPr="00E83597">
        <w:rPr>
          <w:rFonts w:ascii="Arial" w:hAnsi="Arial" w:cs="Arial"/>
          <w:sz w:val="20"/>
          <w:szCs w:val="20"/>
          <w:highlight w:val="yellow"/>
        </w:rPr>
        <w:t>capricolum</w:t>
      </w:r>
      <w:proofErr w:type="spellEnd"/>
      <w:r w:rsidRPr="00E83597">
        <w:rPr>
          <w:rFonts w:ascii="Arial" w:hAnsi="Arial" w:cs="Arial"/>
          <w:sz w:val="20"/>
          <w:szCs w:val="20"/>
          <w:highlight w:val="yellow"/>
        </w:rPr>
        <w:t xml:space="preserve"> subsp. </w:t>
      </w:r>
      <w:proofErr w:type="spellStart"/>
      <w:r w:rsidRPr="00E83597">
        <w:rPr>
          <w:rFonts w:ascii="Arial" w:hAnsi="Arial" w:cs="Arial"/>
          <w:sz w:val="20"/>
          <w:szCs w:val="20"/>
          <w:highlight w:val="yellow"/>
        </w:rPr>
        <w:t>capripneumoniae</w:t>
      </w:r>
      <w:proofErr w:type="spellEnd"/>
      <w:r w:rsidRPr="00E83597">
        <w:rPr>
          <w:rFonts w:ascii="Arial" w:hAnsi="Arial" w:cs="Arial"/>
          <w:sz w:val="20"/>
          <w:szCs w:val="20"/>
          <w:highlight w:val="yellow"/>
        </w:rPr>
        <w:t xml:space="preserve">. BMC Veterinary Research, 13(1), 263. </w:t>
      </w:r>
      <w:hyperlink r:id="rId28" w:history="1">
        <w:r w:rsidRPr="00E83597">
          <w:rPr>
            <w:rStyle w:val="Hyperlink"/>
            <w:rFonts w:ascii="Arial" w:hAnsi="Arial" w:cs="Arial"/>
            <w:sz w:val="20"/>
            <w:szCs w:val="20"/>
            <w:highlight w:val="yellow"/>
          </w:rPr>
          <w:t>https://doi.org/10.1186/s12917-017-1167-4</w:t>
        </w:r>
      </w:hyperlink>
    </w:p>
    <w:p w14:paraId="580E8CED" w14:textId="77777777" w:rsidR="00F959F7" w:rsidRPr="00E83597" w:rsidRDefault="00F959F7" w:rsidP="00E83597">
      <w:pPr>
        <w:pStyle w:val="ListParagraph"/>
        <w:numPr>
          <w:ilvl w:val="0"/>
          <w:numId w:val="7"/>
        </w:numPr>
        <w:spacing w:after="0" w:line="240" w:lineRule="auto"/>
        <w:jc w:val="both"/>
        <w:rPr>
          <w:rFonts w:ascii="Arial" w:hAnsi="Arial" w:cs="Arial"/>
          <w:sz w:val="20"/>
          <w:szCs w:val="20"/>
          <w:highlight w:val="yellow"/>
        </w:rPr>
      </w:pPr>
      <w:proofErr w:type="spellStart"/>
      <w:r w:rsidRPr="00E83597">
        <w:rPr>
          <w:rFonts w:ascii="Arial" w:hAnsi="Arial" w:cs="Arial"/>
          <w:sz w:val="20"/>
          <w:szCs w:val="20"/>
          <w:highlight w:val="yellow"/>
        </w:rPr>
        <w:t>Thiaucourt</w:t>
      </w:r>
      <w:proofErr w:type="spellEnd"/>
      <w:r w:rsidRPr="00E83597">
        <w:rPr>
          <w:rFonts w:ascii="Arial" w:hAnsi="Arial" w:cs="Arial"/>
          <w:sz w:val="20"/>
          <w:szCs w:val="20"/>
          <w:highlight w:val="yellow"/>
        </w:rPr>
        <w:t xml:space="preserve">, F., &amp; </w:t>
      </w:r>
      <w:proofErr w:type="spellStart"/>
      <w:r w:rsidRPr="00E83597">
        <w:rPr>
          <w:rFonts w:ascii="Arial" w:hAnsi="Arial" w:cs="Arial"/>
          <w:sz w:val="20"/>
          <w:szCs w:val="20"/>
          <w:highlight w:val="yellow"/>
        </w:rPr>
        <w:t>Bölske</w:t>
      </w:r>
      <w:proofErr w:type="spellEnd"/>
      <w:r w:rsidRPr="00E83597">
        <w:rPr>
          <w:rFonts w:ascii="Arial" w:hAnsi="Arial" w:cs="Arial"/>
          <w:sz w:val="20"/>
          <w:szCs w:val="20"/>
          <w:highlight w:val="yellow"/>
        </w:rPr>
        <w:t xml:space="preserve">, G. (1996). Contagious caprine pleuropneumonia and other pulmonary </w:t>
      </w:r>
      <w:proofErr w:type="spellStart"/>
      <w:r w:rsidRPr="00E83597">
        <w:rPr>
          <w:rFonts w:ascii="Arial" w:hAnsi="Arial" w:cs="Arial"/>
          <w:sz w:val="20"/>
          <w:szCs w:val="20"/>
          <w:highlight w:val="yellow"/>
        </w:rPr>
        <w:t>mycoplasmoses</w:t>
      </w:r>
      <w:proofErr w:type="spellEnd"/>
      <w:r w:rsidRPr="00E83597">
        <w:rPr>
          <w:rFonts w:ascii="Arial" w:hAnsi="Arial" w:cs="Arial"/>
          <w:sz w:val="20"/>
          <w:szCs w:val="20"/>
          <w:highlight w:val="yellow"/>
        </w:rPr>
        <w:t>. </w:t>
      </w:r>
      <w:r w:rsidRPr="00E83597">
        <w:rPr>
          <w:rFonts w:ascii="Arial" w:hAnsi="Arial" w:cs="Arial"/>
          <w:i/>
          <w:iCs/>
          <w:sz w:val="20"/>
          <w:szCs w:val="20"/>
          <w:highlight w:val="yellow"/>
        </w:rPr>
        <w:t xml:space="preserve">Rev. Sci. Tech. Int. </w:t>
      </w:r>
      <w:proofErr w:type="spellStart"/>
      <w:r w:rsidRPr="00E83597">
        <w:rPr>
          <w:rFonts w:ascii="Arial" w:hAnsi="Arial" w:cs="Arial"/>
          <w:i/>
          <w:iCs/>
          <w:sz w:val="20"/>
          <w:szCs w:val="20"/>
          <w:highlight w:val="yellow"/>
        </w:rPr>
        <w:t>Epiz</w:t>
      </w:r>
      <w:proofErr w:type="spellEnd"/>
      <w:r w:rsidRPr="00E83597">
        <w:rPr>
          <w:rFonts w:ascii="Arial" w:hAnsi="Arial" w:cs="Arial"/>
          <w:sz w:val="20"/>
          <w:szCs w:val="20"/>
          <w:highlight w:val="yellow"/>
        </w:rPr>
        <w:t>, </w:t>
      </w:r>
      <w:r w:rsidRPr="00E83597">
        <w:rPr>
          <w:rFonts w:ascii="Arial" w:hAnsi="Arial" w:cs="Arial"/>
          <w:i/>
          <w:iCs/>
          <w:sz w:val="20"/>
          <w:szCs w:val="20"/>
          <w:highlight w:val="yellow"/>
        </w:rPr>
        <w:t>15</w:t>
      </w:r>
      <w:r w:rsidRPr="00E83597">
        <w:rPr>
          <w:rFonts w:ascii="Arial" w:hAnsi="Arial" w:cs="Arial"/>
          <w:sz w:val="20"/>
          <w:szCs w:val="20"/>
          <w:highlight w:val="yellow"/>
        </w:rPr>
        <w:t>, 1397-1414.</w:t>
      </w:r>
    </w:p>
    <w:p w14:paraId="7FCE2D0B" w14:textId="77777777" w:rsidR="00F959F7" w:rsidRPr="00E83597" w:rsidRDefault="00F959F7" w:rsidP="00E83597">
      <w:pPr>
        <w:pStyle w:val="ListParagraph"/>
        <w:numPr>
          <w:ilvl w:val="0"/>
          <w:numId w:val="7"/>
        </w:numPr>
        <w:spacing w:after="0" w:line="240" w:lineRule="auto"/>
        <w:jc w:val="both"/>
        <w:rPr>
          <w:rFonts w:ascii="Arial" w:hAnsi="Arial" w:cs="Arial"/>
          <w:sz w:val="20"/>
          <w:szCs w:val="20"/>
          <w:highlight w:val="yellow"/>
        </w:rPr>
      </w:pPr>
      <w:r w:rsidRPr="00E83597">
        <w:rPr>
          <w:rFonts w:ascii="Arial" w:hAnsi="Arial" w:cs="Arial"/>
          <w:sz w:val="20"/>
          <w:szCs w:val="20"/>
          <w:highlight w:val="yellow"/>
        </w:rPr>
        <w:t xml:space="preserve">World Organisation for Animal Health. (2008). *World Animal Health in 2006*. World Organisation for Animal Health. https://www.woah.org/fr/portail-documentaire/ (Navigate to 'RAPPORTS' &gt; 'Santé </w:t>
      </w:r>
      <w:proofErr w:type="spellStart"/>
      <w:r w:rsidRPr="00E83597">
        <w:rPr>
          <w:rFonts w:ascii="Arial" w:hAnsi="Arial" w:cs="Arial"/>
          <w:sz w:val="20"/>
          <w:szCs w:val="20"/>
          <w:highlight w:val="yellow"/>
        </w:rPr>
        <w:t>Animale</w:t>
      </w:r>
      <w:proofErr w:type="spellEnd"/>
      <w:r w:rsidRPr="00E83597">
        <w:rPr>
          <w:rFonts w:ascii="Arial" w:hAnsi="Arial" w:cs="Arial"/>
          <w:sz w:val="20"/>
          <w:szCs w:val="20"/>
          <w:highlight w:val="yellow"/>
        </w:rPr>
        <w:t xml:space="preserve"> Mondiale - rapports </w:t>
      </w:r>
      <w:proofErr w:type="spellStart"/>
      <w:r w:rsidRPr="00E83597">
        <w:rPr>
          <w:rFonts w:ascii="Arial" w:hAnsi="Arial" w:cs="Arial"/>
          <w:sz w:val="20"/>
          <w:szCs w:val="20"/>
          <w:highlight w:val="yellow"/>
        </w:rPr>
        <w:t>statistiques</w:t>
      </w:r>
      <w:proofErr w:type="spellEnd"/>
      <w:r w:rsidRPr="00E83597">
        <w:rPr>
          <w:rFonts w:ascii="Arial" w:hAnsi="Arial" w:cs="Arial"/>
          <w:sz w:val="20"/>
          <w:szCs w:val="20"/>
          <w:highlight w:val="yellow"/>
        </w:rPr>
        <w:t>' to find archived reports)</w:t>
      </w:r>
    </w:p>
    <w:p w14:paraId="3F4797B9" w14:textId="77777777" w:rsidR="00F959F7" w:rsidRPr="00E83597" w:rsidRDefault="00F959F7" w:rsidP="00E83597">
      <w:pPr>
        <w:pStyle w:val="ListParagraph"/>
        <w:numPr>
          <w:ilvl w:val="0"/>
          <w:numId w:val="7"/>
        </w:numPr>
        <w:spacing w:after="0" w:line="240" w:lineRule="auto"/>
        <w:jc w:val="both"/>
        <w:rPr>
          <w:rFonts w:ascii="Arial" w:hAnsi="Arial" w:cs="Arial"/>
          <w:sz w:val="20"/>
          <w:szCs w:val="20"/>
          <w:highlight w:val="yellow"/>
        </w:rPr>
      </w:pPr>
      <w:proofErr w:type="spellStart"/>
      <w:r w:rsidRPr="00E83597">
        <w:rPr>
          <w:rFonts w:ascii="Arial" w:hAnsi="Arial" w:cs="Arial"/>
          <w:sz w:val="20"/>
          <w:szCs w:val="20"/>
          <w:highlight w:val="yellow"/>
        </w:rPr>
        <w:t>Woubit</w:t>
      </w:r>
      <w:proofErr w:type="spellEnd"/>
      <w:r w:rsidRPr="00E83597">
        <w:rPr>
          <w:rFonts w:ascii="Arial" w:hAnsi="Arial" w:cs="Arial"/>
          <w:sz w:val="20"/>
          <w:szCs w:val="20"/>
          <w:highlight w:val="yellow"/>
        </w:rPr>
        <w:t xml:space="preserve">, S., Lorenzon, S., </w:t>
      </w:r>
      <w:proofErr w:type="spellStart"/>
      <w:r w:rsidRPr="00E83597">
        <w:rPr>
          <w:rFonts w:ascii="Arial" w:hAnsi="Arial" w:cs="Arial"/>
          <w:sz w:val="20"/>
          <w:szCs w:val="20"/>
          <w:highlight w:val="yellow"/>
        </w:rPr>
        <w:t>Peyraud</w:t>
      </w:r>
      <w:proofErr w:type="spellEnd"/>
      <w:r w:rsidRPr="00E83597">
        <w:rPr>
          <w:rFonts w:ascii="Arial" w:hAnsi="Arial" w:cs="Arial"/>
          <w:sz w:val="20"/>
          <w:szCs w:val="20"/>
          <w:highlight w:val="yellow"/>
        </w:rPr>
        <w:t>, A., Manso-</w:t>
      </w:r>
      <w:proofErr w:type="spellStart"/>
      <w:r w:rsidRPr="00E83597">
        <w:rPr>
          <w:rFonts w:ascii="Arial" w:hAnsi="Arial" w:cs="Arial"/>
          <w:sz w:val="20"/>
          <w:szCs w:val="20"/>
          <w:highlight w:val="yellow"/>
        </w:rPr>
        <w:t>Silván</w:t>
      </w:r>
      <w:proofErr w:type="spellEnd"/>
      <w:r w:rsidRPr="00E83597">
        <w:rPr>
          <w:rFonts w:ascii="Arial" w:hAnsi="Arial" w:cs="Arial"/>
          <w:sz w:val="20"/>
          <w:szCs w:val="20"/>
          <w:highlight w:val="yellow"/>
        </w:rPr>
        <w:t xml:space="preserve">, L., &amp; </w:t>
      </w:r>
      <w:proofErr w:type="spellStart"/>
      <w:r w:rsidRPr="00E83597">
        <w:rPr>
          <w:rFonts w:ascii="Arial" w:hAnsi="Arial" w:cs="Arial"/>
          <w:sz w:val="20"/>
          <w:szCs w:val="20"/>
          <w:highlight w:val="yellow"/>
        </w:rPr>
        <w:t>Thiaucourt</w:t>
      </w:r>
      <w:proofErr w:type="spellEnd"/>
      <w:r w:rsidRPr="00E83597">
        <w:rPr>
          <w:rFonts w:ascii="Arial" w:hAnsi="Arial" w:cs="Arial"/>
          <w:sz w:val="20"/>
          <w:szCs w:val="20"/>
          <w:highlight w:val="yellow"/>
        </w:rPr>
        <w:t xml:space="preserve">, F. (2004). A specific PCR for the identification of Mycoplasma </w:t>
      </w:r>
      <w:proofErr w:type="spellStart"/>
      <w:r w:rsidRPr="00E83597">
        <w:rPr>
          <w:rFonts w:ascii="Arial" w:hAnsi="Arial" w:cs="Arial"/>
          <w:sz w:val="20"/>
          <w:szCs w:val="20"/>
          <w:highlight w:val="yellow"/>
        </w:rPr>
        <w:t>capricolum</w:t>
      </w:r>
      <w:proofErr w:type="spellEnd"/>
      <w:r w:rsidRPr="00E83597">
        <w:rPr>
          <w:rFonts w:ascii="Arial" w:hAnsi="Arial" w:cs="Arial"/>
          <w:sz w:val="20"/>
          <w:szCs w:val="20"/>
          <w:highlight w:val="yellow"/>
        </w:rPr>
        <w:t xml:space="preserve"> subsp. </w:t>
      </w:r>
      <w:proofErr w:type="spellStart"/>
      <w:r w:rsidRPr="00E83597">
        <w:rPr>
          <w:rFonts w:ascii="Arial" w:hAnsi="Arial" w:cs="Arial"/>
          <w:sz w:val="20"/>
          <w:szCs w:val="20"/>
          <w:highlight w:val="yellow"/>
        </w:rPr>
        <w:t>capripneumoniae</w:t>
      </w:r>
      <w:proofErr w:type="spellEnd"/>
      <w:r w:rsidRPr="00E83597">
        <w:rPr>
          <w:rFonts w:ascii="Arial" w:hAnsi="Arial" w:cs="Arial"/>
          <w:sz w:val="20"/>
          <w:szCs w:val="20"/>
          <w:highlight w:val="yellow"/>
        </w:rPr>
        <w:t xml:space="preserve">, the causative agent of contagious caprine pleuropneumonia (CCPP). </w:t>
      </w:r>
      <w:r w:rsidRPr="00E83597">
        <w:rPr>
          <w:rFonts w:ascii="Arial" w:hAnsi="Arial" w:cs="Arial"/>
          <w:i/>
          <w:sz w:val="20"/>
          <w:szCs w:val="20"/>
          <w:highlight w:val="yellow"/>
        </w:rPr>
        <w:t>Veterinary Microbiology, 104</w:t>
      </w:r>
      <w:r w:rsidRPr="00E83597">
        <w:rPr>
          <w:rFonts w:ascii="Arial" w:hAnsi="Arial" w:cs="Arial"/>
          <w:sz w:val="20"/>
          <w:szCs w:val="20"/>
          <w:highlight w:val="yellow"/>
        </w:rPr>
        <w:t xml:space="preserve">(1-2), 125-132. </w:t>
      </w:r>
      <w:hyperlink r:id="rId29" w:history="1">
        <w:r w:rsidRPr="00E83597">
          <w:rPr>
            <w:rStyle w:val="Hyperlink"/>
            <w:rFonts w:ascii="Arial" w:hAnsi="Arial" w:cs="Arial"/>
            <w:sz w:val="20"/>
            <w:szCs w:val="20"/>
            <w:highlight w:val="yellow"/>
          </w:rPr>
          <w:t>https://doi.org/10.1016/j.vetmic.2004.08.006</w:t>
        </w:r>
      </w:hyperlink>
    </w:p>
    <w:p w14:paraId="67CA94F7" w14:textId="77777777" w:rsidR="00F959F7" w:rsidRPr="00E83597" w:rsidRDefault="00F959F7" w:rsidP="00E83597">
      <w:pPr>
        <w:pStyle w:val="ListParagraph"/>
        <w:numPr>
          <w:ilvl w:val="0"/>
          <w:numId w:val="7"/>
        </w:numPr>
        <w:spacing w:after="0" w:line="240" w:lineRule="auto"/>
        <w:jc w:val="both"/>
        <w:rPr>
          <w:rFonts w:ascii="Arial" w:hAnsi="Arial" w:cs="Arial"/>
          <w:sz w:val="20"/>
          <w:szCs w:val="20"/>
          <w:highlight w:val="yellow"/>
        </w:rPr>
      </w:pPr>
      <w:proofErr w:type="spellStart"/>
      <w:r w:rsidRPr="00E83597">
        <w:rPr>
          <w:rFonts w:ascii="Arial" w:hAnsi="Arial" w:cs="Arial"/>
          <w:sz w:val="20"/>
          <w:szCs w:val="20"/>
          <w:highlight w:val="yellow"/>
        </w:rPr>
        <w:t>Yatoo</w:t>
      </w:r>
      <w:proofErr w:type="spellEnd"/>
      <w:r w:rsidRPr="00E83597">
        <w:rPr>
          <w:rFonts w:ascii="Arial" w:hAnsi="Arial" w:cs="Arial"/>
          <w:sz w:val="20"/>
          <w:szCs w:val="20"/>
          <w:highlight w:val="yellow"/>
        </w:rPr>
        <w:t xml:space="preserve">, M. I., </w:t>
      </w:r>
      <w:proofErr w:type="spellStart"/>
      <w:r w:rsidRPr="00E83597">
        <w:rPr>
          <w:rFonts w:ascii="Arial" w:hAnsi="Arial" w:cs="Arial"/>
          <w:sz w:val="20"/>
          <w:szCs w:val="20"/>
          <w:highlight w:val="yellow"/>
        </w:rPr>
        <w:t>Parray</w:t>
      </w:r>
      <w:proofErr w:type="spellEnd"/>
      <w:r w:rsidRPr="00E83597">
        <w:rPr>
          <w:rFonts w:ascii="Arial" w:hAnsi="Arial" w:cs="Arial"/>
          <w:sz w:val="20"/>
          <w:szCs w:val="20"/>
          <w:highlight w:val="yellow"/>
        </w:rPr>
        <w:t xml:space="preserve">, O. R., Bashir, S. T., Bhat, R. A., Gopalakrishnan, A., Karthik, K., </w:t>
      </w:r>
      <w:proofErr w:type="spellStart"/>
      <w:r w:rsidRPr="00E83597">
        <w:rPr>
          <w:rFonts w:ascii="Arial" w:hAnsi="Arial" w:cs="Arial"/>
          <w:sz w:val="20"/>
          <w:szCs w:val="20"/>
          <w:highlight w:val="yellow"/>
        </w:rPr>
        <w:t>Dhama</w:t>
      </w:r>
      <w:proofErr w:type="spellEnd"/>
      <w:r w:rsidRPr="00E83597">
        <w:rPr>
          <w:rFonts w:ascii="Arial" w:hAnsi="Arial" w:cs="Arial"/>
          <w:sz w:val="20"/>
          <w:szCs w:val="20"/>
          <w:highlight w:val="yellow"/>
        </w:rPr>
        <w:t xml:space="preserve">, K., &amp; Singh, S. V. (2019). Contagious caprine pleuropneumonia–a comprehensive review. </w:t>
      </w:r>
      <w:r w:rsidRPr="00E83597">
        <w:rPr>
          <w:rFonts w:ascii="Arial" w:hAnsi="Arial" w:cs="Arial"/>
          <w:i/>
          <w:sz w:val="20"/>
          <w:szCs w:val="20"/>
          <w:highlight w:val="yellow"/>
        </w:rPr>
        <w:t>The Veterinary Quarterly, 39</w:t>
      </w:r>
      <w:r w:rsidRPr="00E83597">
        <w:rPr>
          <w:rFonts w:ascii="Arial" w:hAnsi="Arial" w:cs="Arial"/>
          <w:sz w:val="20"/>
          <w:szCs w:val="20"/>
          <w:highlight w:val="yellow"/>
        </w:rPr>
        <w:t xml:space="preserve">(1), 1-25. </w:t>
      </w:r>
      <w:hyperlink r:id="rId30" w:history="1">
        <w:r w:rsidRPr="00E83597">
          <w:rPr>
            <w:rStyle w:val="Hyperlink"/>
            <w:rFonts w:ascii="Arial" w:hAnsi="Arial" w:cs="Arial"/>
            <w:sz w:val="20"/>
            <w:szCs w:val="20"/>
            <w:highlight w:val="yellow"/>
          </w:rPr>
          <w:t>https://doi.org/10.1080/01652176.2019.1580826</w:t>
        </w:r>
      </w:hyperlink>
    </w:p>
    <w:p w14:paraId="5CF5A8FC" w14:textId="78F32170" w:rsidR="00F959F7" w:rsidRPr="00E83597" w:rsidRDefault="00F959F7" w:rsidP="00E83597">
      <w:pPr>
        <w:pStyle w:val="ListParagraph"/>
        <w:numPr>
          <w:ilvl w:val="0"/>
          <w:numId w:val="7"/>
        </w:numPr>
        <w:spacing w:after="0" w:line="240" w:lineRule="auto"/>
        <w:jc w:val="both"/>
        <w:rPr>
          <w:rFonts w:ascii="Arial" w:hAnsi="Arial" w:cs="Arial"/>
          <w:sz w:val="20"/>
          <w:szCs w:val="20"/>
        </w:rPr>
      </w:pPr>
      <w:proofErr w:type="spellStart"/>
      <w:r w:rsidRPr="00E83597">
        <w:rPr>
          <w:rFonts w:ascii="Arial" w:hAnsi="Arial" w:cs="Arial"/>
          <w:sz w:val="20"/>
          <w:szCs w:val="20"/>
          <w:highlight w:val="yellow"/>
        </w:rPr>
        <w:t>Yatoo</w:t>
      </w:r>
      <w:proofErr w:type="spellEnd"/>
      <w:r w:rsidRPr="00E83597">
        <w:rPr>
          <w:rFonts w:ascii="Arial" w:hAnsi="Arial" w:cs="Arial"/>
          <w:sz w:val="20"/>
          <w:szCs w:val="20"/>
          <w:highlight w:val="yellow"/>
        </w:rPr>
        <w:t xml:space="preserve">, M. I., </w:t>
      </w:r>
      <w:proofErr w:type="spellStart"/>
      <w:r w:rsidRPr="00E83597">
        <w:rPr>
          <w:rFonts w:ascii="Arial" w:hAnsi="Arial" w:cs="Arial"/>
          <w:sz w:val="20"/>
          <w:szCs w:val="20"/>
          <w:highlight w:val="yellow"/>
        </w:rPr>
        <w:t>Parray</w:t>
      </w:r>
      <w:proofErr w:type="spellEnd"/>
      <w:r w:rsidRPr="00E83597">
        <w:rPr>
          <w:rFonts w:ascii="Arial" w:hAnsi="Arial" w:cs="Arial"/>
          <w:sz w:val="20"/>
          <w:szCs w:val="20"/>
          <w:highlight w:val="yellow"/>
        </w:rPr>
        <w:t xml:space="preserve">, O. R., Mir, M. S., Qureshi, S., Amin, Z., </w:t>
      </w:r>
      <w:proofErr w:type="spellStart"/>
      <w:r w:rsidRPr="00E83597">
        <w:rPr>
          <w:rFonts w:ascii="Arial" w:hAnsi="Arial" w:cs="Arial"/>
          <w:sz w:val="20"/>
          <w:szCs w:val="20"/>
          <w:highlight w:val="yellow"/>
        </w:rPr>
        <w:t>Kashoo</w:t>
      </w:r>
      <w:proofErr w:type="spellEnd"/>
      <w:r w:rsidRPr="00E83597">
        <w:rPr>
          <w:rFonts w:ascii="Arial" w:hAnsi="Arial" w:cs="Arial"/>
          <w:sz w:val="20"/>
          <w:szCs w:val="20"/>
          <w:highlight w:val="yellow"/>
        </w:rPr>
        <w:t xml:space="preserve">, M. N., Fazili, M. U. R., Tufani, N. A., Singh, M., Kanwar, S. C., &amp; </w:t>
      </w:r>
      <w:proofErr w:type="spellStart"/>
      <w:r w:rsidRPr="00E83597">
        <w:rPr>
          <w:rFonts w:ascii="Arial" w:hAnsi="Arial" w:cs="Arial"/>
          <w:sz w:val="20"/>
          <w:szCs w:val="20"/>
          <w:highlight w:val="yellow"/>
        </w:rPr>
        <w:t>Dhama</w:t>
      </w:r>
      <w:proofErr w:type="spellEnd"/>
      <w:r w:rsidRPr="00E83597">
        <w:rPr>
          <w:rFonts w:ascii="Arial" w:hAnsi="Arial" w:cs="Arial"/>
          <w:sz w:val="20"/>
          <w:szCs w:val="20"/>
          <w:highlight w:val="yellow"/>
        </w:rPr>
        <w:t xml:space="preserve">, K. (2018). </w:t>
      </w:r>
      <w:proofErr w:type="spellStart"/>
      <w:r w:rsidRPr="00E83597">
        <w:rPr>
          <w:rFonts w:ascii="Arial" w:hAnsi="Arial" w:cs="Arial"/>
          <w:sz w:val="20"/>
          <w:szCs w:val="20"/>
          <w:highlight w:val="yellow"/>
        </w:rPr>
        <w:t>Mycoplasmosis</w:t>
      </w:r>
      <w:proofErr w:type="spellEnd"/>
      <w:r w:rsidRPr="00E83597">
        <w:rPr>
          <w:rFonts w:ascii="Arial" w:hAnsi="Arial" w:cs="Arial"/>
          <w:sz w:val="20"/>
          <w:szCs w:val="20"/>
          <w:highlight w:val="yellow"/>
        </w:rPr>
        <w:t xml:space="preserve"> in small ruminants in India: A review. </w:t>
      </w:r>
      <w:r w:rsidRPr="00E83597">
        <w:rPr>
          <w:rFonts w:ascii="Arial" w:hAnsi="Arial" w:cs="Arial"/>
          <w:i/>
          <w:sz w:val="20"/>
          <w:szCs w:val="20"/>
          <w:highlight w:val="yellow"/>
        </w:rPr>
        <w:t>Journal of Experimental Biology and Agricultural Sciences, 6</w:t>
      </w:r>
      <w:r w:rsidRPr="00E83597">
        <w:rPr>
          <w:rFonts w:ascii="Arial" w:hAnsi="Arial" w:cs="Arial"/>
          <w:sz w:val="20"/>
          <w:szCs w:val="20"/>
          <w:highlight w:val="yellow"/>
        </w:rPr>
        <w:t xml:space="preserve">(2), 264–281. </w:t>
      </w:r>
      <w:hyperlink r:id="rId31" w:history="1">
        <w:r w:rsidRPr="00E83597">
          <w:rPr>
            <w:rStyle w:val="Hyperlink"/>
            <w:rFonts w:ascii="Arial" w:hAnsi="Arial" w:cs="Arial"/>
            <w:sz w:val="20"/>
            <w:szCs w:val="20"/>
            <w:highlight w:val="yellow"/>
          </w:rPr>
          <w:t>https://doi.org/10.18006/2018.6(2).264.281</w:t>
        </w:r>
      </w:hyperlink>
    </w:p>
    <w:p w14:paraId="124C5249" w14:textId="77777777" w:rsidR="00440649" w:rsidRDefault="00440649" w:rsidP="00440649">
      <w:pPr>
        <w:spacing w:line="240" w:lineRule="auto"/>
        <w:jc w:val="both"/>
        <w:rPr>
          <w:rFonts w:ascii="Times New Roman" w:hAnsi="Times New Roman" w:cs="Times New Roman"/>
          <w:b/>
          <w:bCs/>
        </w:rPr>
      </w:pPr>
    </w:p>
    <w:p w14:paraId="4D79825E" w14:textId="0122DD94" w:rsidR="003B0658" w:rsidRPr="000F300A" w:rsidRDefault="003B0658" w:rsidP="00440649">
      <w:pPr>
        <w:spacing w:after="0" w:line="240" w:lineRule="auto"/>
        <w:jc w:val="both"/>
        <w:rPr>
          <w:rFonts w:ascii="Times New Roman" w:hAnsi="Times New Roman" w:cs="Times New Roman"/>
          <w:b/>
          <w:bCs/>
        </w:rPr>
      </w:pPr>
    </w:p>
    <w:sectPr w:rsidR="003B0658" w:rsidRPr="000F300A">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829C8" w14:textId="77777777" w:rsidR="00A56CB5" w:rsidRDefault="00A56CB5" w:rsidP="00884C7A">
      <w:pPr>
        <w:spacing w:after="0" w:line="240" w:lineRule="auto"/>
      </w:pPr>
      <w:r>
        <w:separator/>
      </w:r>
    </w:p>
  </w:endnote>
  <w:endnote w:type="continuationSeparator" w:id="0">
    <w:p w14:paraId="163ADC92" w14:textId="77777777" w:rsidR="00A56CB5" w:rsidRDefault="00A56CB5" w:rsidP="00884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02498" w14:textId="77777777" w:rsidR="00884C7A" w:rsidRDefault="00884C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71896" w14:textId="77777777" w:rsidR="00884C7A" w:rsidRDefault="00884C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4D054" w14:textId="77777777" w:rsidR="00884C7A" w:rsidRDefault="00884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CE357" w14:textId="77777777" w:rsidR="00A56CB5" w:rsidRDefault="00A56CB5" w:rsidP="00884C7A">
      <w:pPr>
        <w:spacing w:after="0" w:line="240" w:lineRule="auto"/>
      </w:pPr>
      <w:r>
        <w:separator/>
      </w:r>
    </w:p>
  </w:footnote>
  <w:footnote w:type="continuationSeparator" w:id="0">
    <w:p w14:paraId="0BEC8889" w14:textId="77777777" w:rsidR="00A56CB5" w:rsidRDefault="00A56CB5" w:rsidP="00884C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C5BE" w14:textId="66A954AE" w:rsidR="00884C7A" w:rsidRDefault="00000000">
    <w:pPr>
      <w:pStyle w:val="Header"/>
    </w:pPr>
    <w:r>
      <w:rPr>
        <w:noProof/>
      </w:rPr>
      <w:pict w14:anchorId="72A608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6296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D5B77" w14:textId="4AE35B68" w:rsidR="00884C7A" w:rsidRDefault="00000000">
    <w:pPr>
      <w:pStyle w:val="Header"/>
    </w:pPr>
    <w:r>
      <w:rPr>
        <w:noProof/>
      </w:rPr>
      <w:pict w14:anchorId="608AE0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6297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1D2D5" w14:textId="137FC66F" w:rsidR="00884C7A" w:rsidRDefault="00000000">
    <w:pPr>
      <w:pStyle w:val="Header"/>
    </w:pPr>
    <w:r>
      <w:rPr>
        <w:noProof/>
      </w:rPr>
      <w:pict w14:anchorId="6050B6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6296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174FF"/>
    <w:multiLevelType w:val="hybridMultilevel"/>
    <w:tmpl w:val="5B88D0C6"/>
    <w:lvl w:ilvl="0" w:tplc="F8DE14C8">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3E85E13"/>
    <w:multiLevelType w:val="hybridMultilevel"/>
    <w:tmpl w:val="75E07114"/>
    <w:lvl w:ilvl="0" w:tplc="909E61E6">
      <w:start w:val="1"/>
      <w:numFmt w:val="bullet"/>
      <w:lvlText w:val="•"/>
      <w:lvlJc w:val="left"/>
      <w:pPr>
        <w:tabs>
          <w:tab w:val="num" w:pos="720"/>
        </w:tabs>
        <w:ind w:left="720" w:hanging="360"/>
      </w:pPr>
      <w:rPr>
        <w:rFonts w:ascii="Times New Roman" w:hAnsi="Times New Roman" w:hint="default"/>
      </w:rPr>
    </w:lvl>
    <w:lvl w:ilvl="1" w:tplc="5422234E" w:tentative="1">
      <w:start w:val="1"/>
      <w:numFmt w:val="bullet"/>
      <w:lvlText w:val="•"/>
      <w:lvlJc w:val="left"/>
      <w:pPr>
        <w:tabs>
          <w:tab w:val="num" w:pos="1440"/>
        </w:tabs>
        <w:ind w:left="1440" w:hanging="360"/>
      </w:pPr>
      <w:rPr>
        <w:rFonts w:ascii="Times New Roman" w:hAnsi="Times New Roman" w:hint="default"/>
      </w:rPr>
    </w:lvl>
    <w:lvl w:ilvl="2" w:tplc="B1186FD4" w:tentative="1">
      <w:start w:val="1"/>
      <w:numFmt w:val="bullet"/>
      <w:lvlText w:val="•"/>
      <w:lvlJc w:val="left"/>
      <w:pPr>
        <w:tabs>
          <w:tab w:val="num" w:pos="2160"/>
        </w:tabs>
        <w:ind w:left="2160" w:hanging="360"/>
      </w:pPr>
      <w:rPr>
        <w:rFonts w:ascii="Times New Roman" w:hAnsi="Times New Roman" w:hint="default"/>
      </w:rPr>
    </w:lvl>
    <w:lvl w:ilvl="3" w:tplc="9A5A063E" w:tentative="1">
      <w:start w:val="1"/>
      <w:numFmt w:val="bullet"/>
      <w:lvlText w:val="•"/>
      <w:lvlJc w:val="left"/>
      <w:pPr>
        <w:tabs>
          <w:tab w:val="num" w:pos="2880"/>
        </w:tabs>
        <w:ind w:left="2880" w:hanging="360"/>
      </w:pPr>
      <w:rPr>
        <w:rFonts w:ascii="Times New Roman" w:hAnsi="Times New Roman" w:hint="default"/>
      </w:rPr>
    </w:lvl>
    <w:lvl w:ilvl="4" w:tplc="EAB84B2A" w:tentative="1">
      <w:start w:val="1"/>
      <w:numFmt w:val="bullet"/>
      <w:lvlText w:val="•"/>
      <w:lvlJc w:val="left"/>
      <w:pPr>
        <w:tabs>
          <w:tab w:val="num" w:pos="3600"/>
        </w:tabs>
        <w:ind w:left="3600" w:hanging="360"/>
      </w:pPr>
      <w:rPr>
        <w:rFonts w:ascii="Times New Roman" w:hAnsi="Times New Roman" w:hint="default"/>
      </w:rPr>
    </w:lvl>
    <w:lvl w:ilvl="5" w:tplc="F9B2E7D0" w:tentative="1">
      <w:start w:val="1"/>
      <w:numFmt w:val="bullet"/>
      <w:lvlText w:val="•"/>
      <w:lvlJc w:val="left"/>
      <w:pPr>
        <w:tabs>
          <w:tab w:val="num" w:pos="4320"/>
        </w:tabs>
        <w:ind w:left="4320" w:hanging="360"/>
      </w:pPr>
      <w:rPr>
        <w:rFonts w:ascii="Times New Roman" w:hAnsi="Times New Roman" w:hint="default"/>
      </w:rPr>
    </w:lvl>
    <w:lvl w:ilvl="6" w:tplc="9CA871D6" w:tentative="1">
      <w:start w:val="1"/>
      <w:numFmt w:val="bullet"/>
      <w:lvlText w:val="•"/>
      <w:lvlJc w:val="left"/>
      <w:pPr>
        <w:tabs>
          <w:tab w:val="num" w:pos="5040"/>
        </w:tabs>
        <w:ind w:left="5040" w:hanging="360"/>
      </w:pPr>
      <w:rPr>
        <w:rFonts w:ascii="Times New Roman" w:hAnsi="Times New Roman" w:hint="default"/>
      </w:rPr>
    </w:lvl>
    <w:lvl w:ilvl="7" w:tplc="C24A0E06" w:tentative="1">
      <w:start w:val="1"/>
      <w:numFmt w:val="bullet"/>
      <w:lvlText w:val="•"/>
      <w:lvlJc w:val="left"/>
      <w:pPr>
        <w:tabs>
          <w:tab w:val="num" w:pos="5760"/>
        </w:tabs>
        <w:ind w:left="5760" w:hanging="360"/>
      </w:pPr>
      <w:rPr>
        <w:rFonts w:ascii="Times New Roman" w:hAnsi="Times New Roman" w:hint="default"/>
      </w:rPr>
    </w:lvl>
    <w:lvl w:ilvl="8" w:tplc="3F6EC27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81E3A3A"/>
    <w:multiLevelType w:val="hybridMultilevel"/>
    <w:tmpl w:val="CD222C34"/>
    <w:lvl w:ilvl="0" w:tplc="1E3C6132">
      <w:start w:val="1"/>
      <w:numFmt w:val="bullet"/>
      <w:lvlText w:val="•"/>
      <w:lvlJc w:val="left"/>
      <w:pPr>
        <w:tabs>
          <w:tab w:val="num" w:pos="720"/>
        </w:tabs>
        <w:ind w:left="720" w:hanging="360"/>
      </w:pPr>
      <w:rPr>
        <w:rFonts w:ascii="Times New Roman" w:hAnsi="Times New Roman" w:hint="default"/>
      </w:rPr>
    </w:lvl>
    <w:lvl w:ilvl="1" w:tplc="3FD0777E" w:tentative="1">
      <w:start w:val="1"/>
      <w:numFmt w:val="bullet"/>
      <w:lvlText w:val="•"/>
      <w:lvlJc w:val="left"/>
      <w:pPr>
        <w:tabs>
          <w:tab w:val="num" w:pos="1440"/>
        </w:tabs>
        <w:ind w:left="1440" w:hanging="360"/>
      </w:pPr>
      <w:rPr>
        <w:rFonts w:ascii="Times New Roman" w:hAnsi="Times New Roman" w:hint="default"/>
      </w:rPr>
    </w:lvl>
    <w:lvl w:ilvl="2" w:tplc="ADF8982C" w:tentative="1">
      <w:start w:val="1"/>
      <w:numFmt w:val="bullet"/>
      <w:lvlText w:val="•"/>
      <w:lvlJc w:val="left"/>
      <w:pPr>
        <w:tabs>
          <w:tab w:val="num" w:pos="2160"/>
        </w:tabs>
        <w:ind w:left="2160" w:hanging="360"/>
      </w:pPr>
      <w:rPr>
        <w:rFonts w:ascii="Times New Roman" w:hAnsi="Times New Roman" w:hint="default"/>
      </w:rPr>
    </w:lvl>
    <w:lvl w:ilvl="3" w:tplc="527CCC50" w:tentative="1">
      <w:start w:val="1"/>
      <w:numFmt w:val="bullet"/>
      <w:lvlText w:val="•"/>
      <w:lvlJc w:val="left"/>
      <w:pPr>
        <w:tabs>
          <w:tab w:val="num" w:pos="2880"/>
        </w:tabs>
        <w:ind w:left="2880" w:hanging="360"/>
      </w:pPr>
      <w:rPr>
        <w:rFonts w:ascii="Times New Roman" w:hAnsi="Times New Roman" w:hint="default"/>
      </w:rPr>
    </w:lvl>
    <w:lvl w:ilvl="4" w:tplc="AE30D4F2" w:tentative="1">
      <w:start w:val="1"/>
      <w:numFmt w:val="bullet"/>
      <w:lvlText w:val="•"/>
      <w:lvlJc w:val="left"/>
      <w:pPr>
        <w:tabs>
          <w:tab w:val="num" w:pos="3600"/>
        </w:tabs>
        <w:ind w:left="3600" w:hanging="360"/>
      </w:pPr>
      <w:rPr>
        <w:rFonts w:ascii="Times New Roman" w:hAnsi="Times New Roman" w:hint="default"/>
      </w:rPr>
    </w:lvl>
    <w:lvl w:ilvl="5" w:tplc="DADEFAA2" w:tentative="1">
      <w:start w:val="1"/>
      <w:numFmt w:val="bullet"/>
      <w:lvlText w:val="•"/>
      <w:lvlJc w:val="left"/>
      <w:pPr>
        <w:tabs>
          <w:tab w:val="num" w:pos="4320"/>
        </w:tabs>
        <w:ind w:left="4320" w:hanging="360"/>
      </w:pPr>
      <w:rPr>
        <w:rFonts w:ascii="Times New Roman" w:hAnsi="Times New Roman" w:hint="default"/>
      </w:rPr>
    </w:lvl>
    <w:lvl w:ilvl="6" w:tplc="B142B04A" w:tentative="1">
      <w:start w:val="1"/>
      <w:numFmt w:val="bullet"/>
      <w:lvlText w:val="•"/>
      <w:lvlJc w:val="left"/>
      <w:pPr>
        <w:tabs>
          <w:tab w:val="num" w:pos="5040"/>
        </w:tabs>
        <w:ind w:left="5040" w:hanging="360"/>
      </w:pPr>
      <w:rPr>
        <w:rFonts w:ascii="Times New Roman" w:hAnsi="Times New Roman" w:hint="default"/>
      </w:rPr>
    </w:lvl>
    <w:lvl w:ilvl="7" w:tplc="9E3023C6" w:tentative="1">
      <w:start w:val="1"/>
      <w:numFmt w:val="bullet"/>
      <w:lvlText w:val="•"/>
      <w:lvlJc w:val="left"/>
      <w:pPr>
        <w:tabs>
          <w:tab w:val="num" w:pos="5760"/>
        </w:tabs>
        <w:ind w:left="5760" w:hanging="360"/>
      </w:pPr>
      <w:rPr>
        <w:rFonts w:ascii="Times New Roman" w:hAnsi="Times New Roman" w:hint="default"/>
      </w:rPr>
    </w:lvl>
    <w:lvl w:ilvl="8" w:tplc="BCA4645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8212B5A"/>
    <w:multiLevelType w:val="hybridMultilevel"/>
    <w:tmpl w:val="9E4076EA"/>
    <w:lvl w:ilvl="0" w:tplc="7436DF1A">
      <w:start w:val="1"/>
      <w:numFmt w:val="bullet"/>
      <w:lvlText w:val="•"/>
      <w:lvlJc w:val="left"/>
      <w:pPr>
        <w:tabs>
          <w:tab w:val="num" w:pos="720"/>
        </w:tabs>
        <w:ind w:left="720" w:hanging="360"/>
      </w:pPr>
      <w:rPr>
        <w:rFonts w:ascii="Times New Roman" w:hAnsi="Times New Roman" w:hint="default"/>
      </w:rPr>
    </w:lvl>
    <w:lvl w:ilvl="1" w:tplc="70FCEAB0" w:tentative="1">
      <w:start w:val="1"/>
      <w:numFmt w:val="bullet"/>
      <w:lvlText w:val="•"/>
      <w:lvlJc w:val="left"/>
      <w:pPr>
        <w:tabs>
          <w:tab w:val="num" w:pos="1440"/>
        </w:tabs>
        <w:ind w:left="1440" w:hanging="360"/>
      </w:pPr>
      <w:rPr>
        <w:rFonts w:ascii="Times New Roman" w:hAnsi="Times New Roman" w:hint="default"/>
      </w:rPr>
    </w:lvl>
    <w:lvl w:ilvl="2" w:tplc="23D2B680" w:tentative="1">
      <w:start w:val="1"/>
      <w:numFmt w:val="bullet"/>
      <w:lvlText w:val="•"/>
      <w:lvlJc w:val="left"/>
      <w:pPr>
        <w:tabs>
          <w:tab w:val="num" w:pos="2160"/>
        </w:tabs>
        <w:ind w:left="2160" w:hanging="360"/>
      </w:pPr>
      <w:rPr>
        <w:rFonts w:ascii="Times New Roman" w:hAnsi="Times New Roman" w:hint="default"/>
      </w:rPr>
    </w:lvl>
    <w:lvl w:ilvl="3" w:tplc="EE6C6D66" w:tentative="1">
      <w:start w:val="1"/>
      <w:numFmt w:val="bullet"/>
      <w:lvlText w:val="•"/>
      <w:lvlJc w:val="left"/>
      <w:pPr>
        <w:tabs>
          <w:tab w:val="num" w:pos="2880"/>
        </w:tabs>
        <w:ind w:left="2880" w:hanging="360"/>
      </w:pPr>
      <w:rPr>
        <w:rFonts w:ascii="Times New Roman" w:hAnsi="Times New Roman" w:hint="default"/>
      </w:rPr>
    </w:lvl>
    <w:lvl w:ilvl="4" w:tplc="3DCE558C" w:tentative="1">
      <w:start w:val="1"/>
      <w:numFmt w:val="bullet"/>
      <w:lvlText w:val="•"/>
      <w:lvlJc w:val="left"/>
      <w:pPr>
        <w:tabs>
          <w:tab w:val="num" w:pos="3600"/>
        </w:tabs>
        <w:ind w:left="3600" w:hanging="360"/>
      </w:pPr>
      <w:rPr>
        <w:rFonts w:ascii="Times New Roman" w:hAnsi="Times New Roman" w:hint="default"/>
      </w:rPr>
    </w:lvl>
    <w:lvl w:ilvl="5" w:tplc="4C48F9B0" w:tentative="1">
      <w:start w:val="1"/>
      <w:numFmt w:val="bullet"/>
      <w:lvlText w:val="•"/>
      <w:lvlJc w:val="left"/>
      <w:pPr>
        <w:tabs>
          <w:tab w:val="num" w:pos="4320"/>
        </w:tabs>
        <w:ind w:left="4320" w:hanging="360"/>
      </w:pPr>
      <w:rPr>
        <w:rFonts w:ascii="Times New Roman" w:hAnsi="Times New Roman" w:hint="default"/>
      </w:rPr>
    </w:lvl>
    <w:lvl w:ilvl="6" w:tplc="A1188050" w:tentative="1">
      <w:start w:val="1"/>
      <w:numFmt w:val="bullet"/>
      <w:lvlText w:val="•"/>
      <w:lvlJc w:val="left"/>
      <w:pPr>
        <w:tabs>
          <w:tab w:val="num" w:pos="5040"/>
        </w:tabs>
        <w:ind w:left="5040" w:hanging="360"/>
      </w:pPr>
      <w:rPr>
        <w:rFonts w:ascii="Times New Roman" w:hAnsi="Times New Roman" w:hint="default"/>
      </w:rPr>
    </w:lvl>
    <w:lvl w:ilvl="7" w:tplc="FF200022" w:tentative="1">
      <w:start w:val="1"/>
      <w:numFmt w:val="bullet"/>
      <w:lvlText w:val="•"/>
      <w:lvlJc w:val="left"/>
      <w:pPr>
        <w:tabs>
          <w:tab w:val="num" w:pos="5760"/>
        </w:tabs>
        <w:ind w:left="5760" w:hanging="360"/>
      </w:pPr>
      <w:rPr>
        <w:rFonts w:ascii="Times New Roman" w:hAnsi="Times New Roman" w:hint="default"/>
      </w:rPr>
    </w:lvl>
    <w:lvl w:ilvl="8" w:tplc="7AE08A2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83F33E6"/>
    <w:multiLevelType w:val="hybridMultilevel"/>
    <w:tmpl w:val="56D6BCE6"/>
    <w:lvl w:ilvl="0" w:tplc="69B6DAFC">
      <w:start w:val="1"/>
      <w:numFmt w:val="bullet"/>
      <w:lvlText w:val="•"/>
      <w:lvlJc w:val="left"/>
      <w:pPr>
        <w:tabs>
          <w:tab w:val="num" w:pos="720"/>
        </w:tabs>
        <w:ind w:left="720" w:hanging="360"/>
      </w:pPr>
      <w:rPr>
        <w:rFonts w:ascii="Times New Roman" w:hAnsi="Times New Roman" w:hint="default"/>
      </w:rPr>
    </w:lvl>
    <w:lvl w:ilvl="1" w:tplc="B0F07210" w:tentative="1">
      <w:start w:val="1"/>
      <w:numFmt w:val="bullet"/>
      <w:lvlText w:val="•"/>
      <w:lvlJc w:val="left"/>
      <w:pPr>
        <w:tabs>
          <w:tab w:val="num" w:pos="1440"/>
        </w:tabs>
        <w:ind w:left="1440" w:hanging="360"/>
      </w:pPr>
      <w:rPr>
        <w:rFonts w:ascii="Times New Roman" w:hAnsi="Times New Roman" w:hint="default"/>
      </w:rPr>
    </w:lvl>
    <w:lvl w:ilvl="2" w:tplc="35E28F64" w:tentative="1">
      <w:start w:val="1"/>
      <w:numFmt w:val="bullet"/>
      <w:lvlText w:val="•"/>
      <w:lvlJc w:val="left"/>
      <w:pPr>
        <w:tabs>
          <w:tab w:val="num" w:pos="2160"/>
        </w:tabs>
        <w:ind w:left="2160" w:hanging="360"/>
      </w:pPr>
      <w:rPr>
        <w:rFonts w:ascii="Times New Roman" w:hAnsi="Times New Roman" w:hint="default"/>
      </w:rPr>
    </w:lvl>
    <w:lvl w:ilvl="3" w:tplc="8A821686" w:tentative="1">
      <w:start w:val="1"/>
      <w:numFmt w:val="bullet"/>
      <w:lvlText w:val="•"/>
      <w:lvlJc w:val="left"/>
      <w:pPr>
        <w:tabs>
          <w:tab w:val="num" w:pos="2880"/>
        </w:tabs>
        <w:ind w:left="2880" w:hanging="360"/>
      </w:pPr>
      <w:rPr>
        <w:rFonts w:ascii="Times New Roman" w:hAnsi="Times New Roman" w:hint="default"/>
      </w:rPr>
    </w:lvl>
    <w:lvl w:ilvl="4" w:tplc="72E2C1B6" w:tentative="1">
      <w:start w:val="1"/>
      <w:numFmt w:val="bullet"/>
      <w:lvlText w:val="•"/>
      <w:lvlJc w:val="left"/>
      <w:pPr>
        <w:tabs>
          <w:tab w:val="num" w:pos="3600"/>
        </w:tabs>
        <w:ind w:left="3600" w:hanging="360"/>
      </w:pPr>
      <w:rPr>
        <w:rFonts w:ascii="Times New Roman" w:hAnsi="Times New Roman" w:hint="default"/>
      </w:rPr>
    </w:lvl>
    <w:lvl w:ilvl="5" w:tplc="D8EC608C" w:tentative="1">
      <w:start w:val="1"/>
      <w:numFmt w:val="bullet"/>
      <w:lvlText w:val="•"/>
      <w:lvlJc w:val="left"/>
      <w:pPr>
        <w:tabs>
          <w:tab w:val="num" w:pos="4320"/>
        </w:tabs>
        <w:ind w:left="4320" w:hanging="360"/>
      </w:pPr>
      <w:rPr>
        <w:rFonts w:ascii="Times New Roman" w:hAnsi="Times New Roman" w:hint="default"/>
      </w:rPr>
    </w:lvl>
    <w:lvl w:ilvl="6" w:tplc="4F96C27E" w:tentative="1">
      <w:start w:val="1"/>
      <w:numFmt w:val="bullet"/>
      <w:lvlText w:val="•"/>
      <w:lvlJc w:val="left"/>
      <w:pPr>
        <w:tabs>
          <w:tab w:val="num" w:pos="5040"/>
        </w:tabs>
        <w:ind w:left="5040" w:hanging="360"/>
      </w:pPr>
      <w:rPr>
        <w:rFonts w:ascii="Times New Roman" w:hAnsi="Times New Roman" w:hint="default"/>
      </w:rPr>
    </w:lvl>
    <w:lvl w:ilvl="7" w:tplc="FD3C9C0E" w:tentative="1">
      <w:start w:val="1"/>
      <w:numFmt w:val="bullet"/>
      <w:lvlText w:val="•"/>
      <w:lvlJc w:val="left"/>
      <w:pPr>
        <w:tabs>
          <w:tab w:val="num" w:pos="5760"/>
        </w:tabs>
        <w:ind w:left="5760" w:hanging="360"/>
      </w:pPr>
      <w:rPr>
        <w:rFonts w:ascii="Times New Roman" w:hAnsi="Times New Roman" w:hint="default"/>
      </w:rPr>
    </w:lvl>
    <w:lvl w:ilvl="8" w:tplc="64A6A8F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03D45AC"/>
    <w:multiLevelType w:val="multilevel"/>
    <w:tmpl w:val="58BC8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B73C8C"/>
    <w:multiLevelType w:val="hybridMultilevel"/>
    <w:tmpl w:val="02A03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2405696">
    <w:abstractNumId w:val="2"/>
  </w:num>
  <w:num w:numId="2" w16cid:durableId="229391493">
    <w:abstractNumId w:val="1"/>
  </w:num>
  <w:num w:numId="3" w16cid:durableId="1044259476">
    <w:abstractNumId w:val="3"/>
  </w:num>
  <w:num w:numId="4" w16cid:durableId="774860692">
    <w:abstractNumId w:val="4"/>
  </w:num>
  <w:num w:numId="5" w16cid:durableId="1104302845">
    <w:abstractNumId w:val="0"/>
  </w:num>
  <w:num w:numId="6" w16cid:durableId="1162158766">
    <w:abstractNumId w:val="5"/>
  </w:num>
  <w:num w:numId="7" w16cid:durableId="8224299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8B9"/>
    <w:rsid w:val="00005679"/>
    <w:rsid w:val="000123F7"/>
    <w:rsid w:val="00013A44"/>
    <w:rsid w:val="000258C5"/>
    <w:rsid w:val="0003163E"/>
    <w:rsid w:val="00050377"/>
    <w:rsid w:val="000559CB"/>
    <w:rsid w:val="00057BB5"/>
    <w:rsid w:val="000743F0"/>
    <w:rsid w:val="000920C2"/>
    <w:rsid w:val="00092712"/>
    <w:rsid w:val="000966EB"/>
    <w:rsid w:val="000C2EA3"/>
    <w:rsid w:val="000C7790"/>
    <w:rsid w:val="000D1893"/>
    <w:rsid w:val="000D29F3"/>
    <w:rsid w:val="000D729A"/>
    <w:rsid w:val="000F300A"/>
    <w:rsid w:val="000F3E16"/>
    <w:rsid w:val="000F6C16"/>
    <w:rsid w:val="00105D02"/>
    <w:rsid w:val="001109F6"/>
    <w:rsid w:val="00126849"/>
    <w:rsid w:val="00133AAF"/>
    <w:rsid w:val="001424B6"/>
    <w:rsid w:val="00153D4E"/>
    <w:rsid w:val="00156986"/>
    <w:rsid w:val="00157F95"/>
    <w:rsid w:val="00177A0B"/>
    <w:rsid w:val="00192A8A"/>
    <w:rsid w:val="00194CE7"/>
    <w:rsid w:val="001F178A"/>
    <w:rsid w:val="001F3263"/>
    <w:rsid w:val="001F3A27"/>
    <w:rsid w:val="0021483C"/>
    <w:rsid w:val="00222094"/>
    <w:rsid w:val="00225E71"/>
    <w:rsid w:val="00236B53"/>
    <w:rsid w:val="002778DC"/>
    <w:rsid w:val="002874AB"/>
    <w:rsid w:val="002A74FB"/>
    <w:rsid w:val="002D1C49"/>
    <w:rsid w:val="00304864"/>
    <w:rsid w:val="00321A8E"/>
    <w:rsid w:val="0033723C"/>
    <w:rsid w:val="003556B2"/>
    <w:rsid w:val="00370C9E"/>
    <w:rsid w:val="003908A0"/>
    <w:rsid w:val="003A5EC9"/>
    <w:rsid w:val="003B0658"/>
    <w:rsid w:val="003F2546"/>
    <w:rsid w:val="00417991"/>
    <w:rsid w:val="00440649"/>
    <w:rsid w:val="00477679"/>
    <w:rsid w:val="004860D2"/>
    <w:rsid w:val="004930C4"/>
    <w:rsid w:val="004A02DA"/>
    <w:rsid w:val="004A4CD7"/>
    <w:rsid w:val="004E5BF9"/>
    <w:rsid w:val="00501E19"/>
    <w:rsid w:val="005056C0"/>
    <w:rsid w:val="005243EF"/>
    <w:rsid w:val="00534DE1"/>
    <w:rsid w:val="00637301"/>
    <w:rsid w:val="0064302A"/>
    <w:rsid w:val="00645623"/>
    <w:rsid w:val="00657794"/>
    <w:rsid w:val="00670B1E"/>
    <w:rsid w:val="00682C97"/>
    <w:rsid w:val="006B714C"/>
    <w:rsid w:val="006F4F68"/>
    <w:rsid w:val="006F5A25"/>
    <w:rsid w:val="0070303D"/>
    <w:rsid w:val="0070354A"/>
    <w:rsid w:val="00716D26"/>
    <w:rsid w:val="0072187F"/>
    <w:rsid w:val="00752DDF"/>
    <w:rsid w:val="007630DF"/>
    <w:rsid w:val="00774174"/>
    <w:rsid w:val="007A57E1"/>
    <w:rsid w:val="007F0DC7"/>
    <w:rsid w:val="008209DA"/>
    <w:rsid w:val="00821CB6"/>
    <w:rsid w:val="00884C7A"/>
    <w:rsid w:val="008A56AA"/>
    <w:rsid w:val="008D0925"/>
    <w:rsid w:val="008E5AA1"/>
    <w:rsid w:val="008E782F"/>
    <w:rsid w:val="008F078B"/>
    <w:rsid w:val="00910565"/>
    <w:rsid w:val="00912307"/>
    <w:rsid w:val="00933335"/>
    <w:rsid w:val="009414D4"/>
    <w:rsid w:val="009422E5"/>
    <w:rsid w:val="009600FF"/>
    <w:rsid w:val="00982068"/>
    <w:rsid w:val="00987603"/>
    <w:rsid w:val="009942E7"/>
    <w:rsid w:val="009A422C"/>
    <w:rsid w:val="009A52F5"/>
    <w:rsid w:val="009F422C"/>
    <w:rsid w:val="00A1194F"/>
    <w:rsid w:val="00A23EE8"/>
    <w:rsid w:val="00A56CB5"/>
    <w:rsid w:val="00A65CCF"/>
    <w:rsid w:val="00AA2928"/>
    <w:rsid w:val="00AA63D4"/>
    <w:rsid w:val="00AC169D"/>
    <w:rsid w:val="00AC51B9"/>
    <w:rsid w:val="00AC636C"/>
    <w:rsid w:val="00AD6CB7"/>
    <w:rsid w:val="00AD7853"/>
    <w:rsid w:val="00AE390F"/>
    <w:rsid w:val="00AE68C9"/>
    <w:rsid w:val="00B045F0"/>
    <w:rsid w:val="00B2657A"/>
    <w:rsid w:val="00B57C33"/>
    <w:rsid w:val="00B628FB"/>
    <w:rsid w:val="00B62F0D"/>
    <w:rsid w:val="00B8039B"/>
    <w:rsid w:val="00B917EF"/>
    <w:rsid w:val="00BB78B9"/>
    <w:rsid w:val="00C01B5F"/>
    <w:rsid w:val="00C1685A"/>
    <w:rsid w:val="00C3537C"/>
    <w:rsid w:val="00C47460"/>
    <w:rsid w:val="00C50165"/>
    <w:rsid w:val="00C5262B"/>
    <w:rsid w:val="00C53CD2"/>
    <w:rsid w:val="00C56D57"/>
    <w:rsid w:val="00C65DEE"/>
    <w:rsid w:val="00C67FAD"/>
    <w:rsid w:val="00C7608B"/>
    <w:rsid w:val="00C80DBC"/>
    <w:rsid w:val="00C87F6B"/>
    <w:rsid w:val="00C927EA"/>
    <w:rsid w:val="00C967E4"/>
    <w:rsid w:val="00CC44FF"/>
    <w:rsid w:val="00CD40C6"/>
    <w:rsid w:val="00D02EA8"/>
    <w:rsid w:val="00D143EC"/>
    <w:rsid w:val="00D1497F"/>
    <w:rsid w:val="00D35230"/>
    <w:rsid w:val="00D52133"/>
    <w:rsid w:val="00D7583C"/>
    <w:rsid w:val="00D76775"/>
    <w:rsid w:val="00D9750D"/>
    <w:rsid w:val="00DC4739"/>
    <w:rsid w:val="00DC5E14"/>
    <w:rsid w:val="00DD5522"/>
    <w:rsid w:val="00DE2669"/>
    <w:rsid w:val="00DE2B8E"/>
    <w:rsid w:val="00E11860"/>
    <w:rsid w:val="00E17699"/>
    <w:rsid w:val="00E535DB"/>
    <w:rsid w:val="00E5605D"/>
    <w:rsid w:val="00E5619F"/>
    <w:rsid w:val="00E83597"/>
    <w:rsid w:val="00EA329A"/>
    <w:rsid w:val="00EA3BB1"/>
    <w:rsid w:val="00EA4074"/>
    <w:rsid w:val="00EB0425"/>
    <w:rsid w:val="00EB1922"/>
    <w:rsid w:val="00EB3291"/>
    <w:rsid w:val="00EB3605"/>
    <w:rsid w:val="00EC78A0"/>
    <w:rsid w:val="00ED5B46"/>
    <w:rsid w:val="00EF33D9"/>
    <w:rsid w:val="00F156D5"/>
    <w:rsid w:val="00F528F6"/>
    <w:rsid w:val="00F61BC9"/>
    <w:rsid w:val="00F64ABD"/>
    <w:rsid w:val="00F842A4"/>
    <w:rsid w:val="00F9404B"/>
    <w:rsid w:val="00F959F7"/>
    <w:rsid w:val="00F965EF"/>
    <w:rsid w:val="00FB4E03"/>
    <w:rsid w:val="00FC7820"/>
    <w:rsid w:val="00FE2A42"/>
    <w:rsid w:val="00FE6186"/>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10250"/>
  <w15:chartTrackingRefBased/>
  <w15:docId w15:val="{7D21867A-1A69-4B1B-A3DD-CFFFD906B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te-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78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78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78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78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78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78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8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8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8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8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78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78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78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78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78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8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8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8B9"/>
    <w:rPr>
      <w:rFonts w:eastAsiaTheme="majorEastAsia" w:cstheme="majorBidi"/>
      <w:color w:val="272727" w:themeColor="text1" w:themeTint="D8"/>
    </w:rPr>
  </w:style>
  <w:style w:type="paragraph" w:styleId="Title">
    <w:name w:val="Title"/>
    <w:basedOn w:val="Normal"/>
    <w:next w:val="Normal"/>
    <w:link w:val="TitleChar"/>
    <w:uiPriority w:val="10"/>
    <w:qFormat/>
    <w:rsid w:val="00BB78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8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8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8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8B9"/>
    <w:pPr>
      <w:spacing w:before="160"/>
      <w:jc w:val="center"/>
    </w:pPr>
    <w:rPr>
      <w:i/>
      <w:iCs/>
      <w:color w:val="404040" w:themeColor="text1" w:themeTint="BF"/>
    </w:rPr>
  </w:style>
  <w:style w:type="character" w:customStyle="1" w:styleId="QuoteChar">
    <w:name w:val="Quote Char"/>
    <w:basedOn w:val="DefaultParagraphFont"/>
    <w:link w:val="Quote"/>
    <w:uiPriority w:val="29"/>
    <w:rsid w:val="00BB78B9"/>
    <w:rPr>
      <w:i/>
      <w:iCs/>
      <w:color w:val="404040" w:themeColor="text1" w:themeTint="BF"/>
    </w:rPr>
  </w:style>
  <w:style w:type="paragraph" w:styleId="ListParagraph">
    <w:name w:val="List Paragraph"/>
    <w:basedOn w:val="Normal"/>
    <w:uiPriority w:val="34"/>
    <w:qFormat/>
    <w:rsid w:val="00BB78B9"/>
    <w:pPr>
      <w:ind w:left="720"/>
      <w:contextualSpacing/>
    </w:pPr>
  </w:style>
  <w:style w:type="character" w:styleId="IntenseEmphasis">
    <w:name w:val="Intense Emphasis"/>
    <w:basedOn w:val="DefaultParagraphFont"/>
    <w:uiPriority w:val="21"/>
    <w:qFormat/>
    <w:rsid w:val="00BB78B9"/>
    <w:rPr>
      <w:i/>
      <w:iCs/>
      <w:color w:val="2F5496" w:themeColor="accent1" w:themeShade="BF"/>
    </w:rPr>
  </w:style>
  <w:style w:type="paragraph" w:styleId="IntenseQuote">
    <w:name w:val="Intense Quote"/>
    <w:basedOn w:val="Normal"/>
    <w:next w:val="Normal"/>
    <w:link w:val="IntenseQuoteChar"/>
    <w:uiPriority w:val="30"/>
    <w:qFormat/>
    <w:rsid w:val="00BB78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78B9"/>
    <w:rPr>
      <w:i/>
      <w:iCs/>
      <w:color w:val="2F5496" w:themeColor="accent1" w:themeShade="BF"/>
    </w:rPr>
  </w:style>
  <w:style w:type="character" w:styleId="IntenseReference">
    <w:name w:val="Intense Reference"/>
    <w:basedOn w:val="DefaultParagraphFont"/>
    <w:uiPriority w:val="32"/>
    <w:qFormat/>
    <w:rsid w:val="00BB78B9"/>
    <w:rPr>
      <w:b/>
      <w:bCs/>
      <w:smallCaps/>
      <w:color w:val="2F5496" w:themeColor="accent1" w:themeShade="BF"/>
      <w:spacing w:val="5"/>
    </w:rPr>
  </w:style>
  <w:style w:type="paragraph" w:styleId="Revision">
    <w:name w:val="Revision"/>
    <w:hidden/>
    <w:uiPriority w:val="99"/>
    <w:semiHidden/>
    <w:rsid w:val="00105D02"/>
    <w:pPr>
      <w:spacing w:after="0" w:line="240" w:lineRule="auto"/>
    </w:pPr>
  </w:style>
  <w:style w:type="character" w:styleId="Hyperlink">
    <w:name w:val="Hyperlink"/>
    <w:basedOn w:val="DefaultParagraphFont"/>
    <w:uiPriority w:val="99"/>
    <w:unhideWhenUsed/>
    <w:rsid w:val="00C3537C"/>
    <w:rPr>
      <w:color w:val="0563C1" w:themeColor="hyperlink"/>
      <w:u w:val="single"/>
    </w:rPr>
  </w:style>
  <w:style w:type="character" w:customStyle="1" w:styleId="UnresolvedMention1">
    <w:name w:val="Unresolved Mention1"/>
    <w:basedOn w:val="DefaultParagraphFont"/>
    <w:uiPriority w:val="99"/>
    <w:semiHidden/>
    <w:unhideWhenUsed/>
    <w:rsid w:val="00C3537C"/>
    <w:rPr>
      <w:color w:val="605E5C"/>
      <w:shd w:val="clear" w:color="auto" w:fill="E1DFDD"/>
    </w:rPr>
  </w:style>
  <w:style w:type="table" w:styleId="TableGrid">
    <w:name w:val="Table Grid"/>
    <w:basedOn w:val="TableNormal"/>
    <w:uiPriority w:val="39"/>
    <w:rsid w:val="00657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A4074"/>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UnresolvedMention">
    <w:name w:val="Unresolved Mention"/>
    <w:basedOn w:val="DefaultParagraphFont"/>
    <w:uiPriority w:val="99"/>
    <w:semiHidden/>
    <w:unhideWhenUsed/>
    <w:rsid w:val="002A74FB"/>
    <w:rPr>
      <w:color w:val="605E5C"/>
      <w:shd w:val="clear" w:color="auto" w:fill="E1DFDD"/>
    </w:rPr>
  </w:style>
  <w:style w:type="paragraph" w:styleId="Header">
    <w:name w:val="header"/>
    <w:basedOn w:val="Normal"/>
    <w:link w:val="HeaderChar"/>
    <w:uiPriority w:val="99"/>
    <w:unhideWhenUsed/>
    <w:rsid w:val="00884C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C7A"/>
  </w:style>
  <w:style w:type="paragraph" w:styleId="Footer">
    <w:name w:val="footer"/>
    <w:basedOn w:val="Normal"/>
    <w:link w:val="FooterChar"/>
    <w:uiPriority w:val="99"/>
    <w:unhideWhenUsed/>
    <w:rsid w:val="00884C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C7A"/>
  </w:style>
  <w:style w:type="paragraph" w:styleId="NoSpacing">
    <w:name w:val="No Spacing"/>
    <w:uiPriority w:val="1"/>
    <w:qFormat/>
    <w:rsid w:val="00C5262B"/>
    <w:pPr>
      <w:spacing w:after="0" w:line="240" w:lineRule="auto"/>
    </w:pPr>
  </w:style>
  <w:style w:type="character" w:styleId="Emphasis">
    <w:name w:val="Emphasis"/>
    <w:basedOn w:val="DefaultParagraphFont"/>
    <w:uiPriority w:val="20"/>
    <w:qFormat/>
    <w:rsid w:val="001F3A27"/>
    <w:rPr>
      <w:i/>
      <w:iCs/>
    </w:rPr>
  </w:style>
  <w:style w:type="character" w:styleId="Strong">
    <w:name w:val="Strong"/>
    <w:basedOn w:val="DefaultParagraphFont"/>
    <w:uiPriority w:val="22"/>
    <w:qFormat/>
    <w:rsid w:val="001F3A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524781">
      <w:bodyDiv w:val="1"/>
      <w:marLeft w:val="0"/>
      <w:marRight w:val="0"/>
      <w:marTop w:val="0"/>
      <w:marBottom w:val="0"/>
      <w:divBdr>
        <w:top w:val="none" w:sz="0" w:space="0" w:color="auto"/>
        <w:left w:val="none" w:sz="0" w:space="0" w:color="auto"/>
        <w:bottom w:val="none" w:sz="0" w:space="0" w:color="auto"/>
        <w:right w:val="none" w:sz="0" w:space="0" w:color="auto"/>
      </w:divBdr>
    </w:div>
    <w:div w:id="1245602848">
      <w:bodyDiv w:val="1"/>
      <w:marLeft w:val="0"/>
      <w:marRight w:val="0"/>
      <w:marTop w:val="0"/>
      <w:marBottom w:val="0"/>
      <w:divBdr>
        <w:top w:val="none" w:sz="0" w:space="0" w:color="auto"/>
        <w:left w:val="none" w:sz="0" w:space="0" w:color="auto"/>
        <w:bottom w:val="none" w:sz="0" w:space="0" w:color="auto"/>
        <w:right w:val="none" w:sz="0" w:space="0" w:color="auto"/>
      </w:divBdr>
    </w:div>
    <w:div w:id="1612978985">
      <w:bodyDiv w:val="1"/>
      <w:marLeft w:val="0"/>
      <w:marRight w:val="0"/>
      <w:marTop w:val="0"/>
      <w:marBottom w:val="0"/>
      <w:divBdr>
        <w:top w:val="none" w:sz="0" w:space="0" w:color="auto"/>
        <w:left w:val="none" w:sz="0" w:space="0" w:color="auto"/>
        <w:bottom w:val="none" w:sz="0" w:space="0" w:color="auto"/>
        <w:right w:val="none" w:sz="0" w:space="0" w:color="auto"/>
      </w:divBdr>
    </w:div>
    <w:div w:id="185364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s://doi.org/10.5958/0973-970X.2015.00028.0" TargetMode="External"/><Relationship Id="rId26" Type="http://schemas.openxmlformats.org/officeDocument/2006/relationships/hyperlink" Target="https://doi.org/10.1079/9780851990125.0000" TargetMode="External"/><Relationship Id="rId39" Type="http://schemas.openxmlformats.org/officeDocument/2006/relationships/theme" Target="theme/theme1.xml"/><Relationship Id="rId21" Type="http://schemas.openxmlformats.org/officeDocument/2006/relationships/hyperlink" Target="https://doi.org/10.1016/j.eas.2023.100024"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doi.org/10.30466/vrf.2022.555079.3496" TargetMode="External"/><Relationship Id="rId25" Type="http://schemas.openxmlformats.org/officeDocument/2006/relationships/hyperlink" Target="https://doi.org/10.1111/j.1865-1682.2011.01262.x"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doi.org/10.1128/jcm.34.4.785-791.1996" TargetMode="External"/><Relationship Id="rId29" Type="http://schemas.openxmlformats.org/officeDocument/2006/relationships/hyperlink" Target="https://doi.org/10.1016/j.vetmic.2004.08.0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doi.org/10.1186/BF03549639"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s://doi.org/10.32592/ARI.2024.79.6.1263" TargetMode="External"/><Relationship Id="rId28" Type="http://schemas.openxmlformats.org/officeDocument/2006/relationships/hyperlink" Target="https://doi.org/10.1186/s12917-017-1167-4" TargetMode="External"/><Relationship Id="rId36"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yperlink" Target="https://doi.org/10.1128/jb.176.9.2577-2586.1994" TargetMode="External"/><Relationship Id="rId31" Type="http://schemas.openxmlformats.org/officeDocument/2006/relationships/hyperlink" Target="https://doi.org/10.18006/2018.6(2).264.281"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s://msptm.org/files/journals/1/articles/100/public/100-299-1-PB.pdf" TargetMode="External"/><Relationship Id="rId27" Type="http://schemas.openxmlformats.org/officeDocument/2006/relationships/hyperlink" Target="https://doi.org/10.1016/j.smallrumres.2018.12.004" TargetMode="External"/><Relationship Id="rId30" Type="http://schemas.openxmlformats.org/officeDocument/2006/relationships/hyperlink" Target="https://doi.org/10.1080/01652176.2019.1580826" TargetMode="External"/><Relationship Id="rId35" Type="http://schemas.openxmlformats.org/officeDocument/2006/relationships/footer" Target="footer2.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99761-D079-4446-9E4A-D01E75742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8</Pages>
  <Words>3818</Words>
  <Characters>21765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uma vet</dc:creator>
  <cp:keywords/>
  <dc:description/>
  <cp:lastModifiedBy>Editor-90</cp:lastModifiedBy>
  <cp:revision>46</cp:revision>
  <dcterms:created xsi:type="dcterms:W3CDTF">2025-08-17T15:33:00Z</dcterms:created>
  <dcterms:modified xsi:type="dcterms:W3CDTF">2025-12-27T09:01:00Z</dcterms:modified>
</cp:coreProperties>
</file>