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4F5F" w14:textId="77777777" w:rsidR="00356127" w:rsidRPr="00356127" w:rsidRDefault="00356127" w:rsidP="00D070E8">
      <w:pPr>
        <w:spacing w:line="240" w:lineRule="auto"/>
        <w:jc w:val="center"/>
        <w:rPr>
          <w:rFonts w:ascii="Arial" w:hAnsi="Arial" w:cs="Arial"/>
          <w:b/>
          <w:i/>
          <w:sz w:val="32"/>
          <w:szCs w:val="24"/>
          <w:highlight w:val="yellow"/>
          <w:u w:val="single"/>
        </w:rPr>
      </w:pPr>
      <w:r w:rsidRPr="00356127">
        <w:rPr>
          <w:rFonts w:ascii="Arial" w:hAnsi="Arial" w:cs="Arial"/>
          <w:b/>
          <w:i/>
          <w:sz w:val="32"/>
          <w:szCs w:val="24"/>
          <w:highlight w:val="yellow"/>
          <w:u w:val="single"/>
        </w:rPr>
        <w:t>Case Study</w:t>
      </w:r>
    </w:p>
    <w:p w14:paraId="0506AC95" w14:textId="77777777" w:rsidR="00356127" w:rsidRPr="00356127" w:rsidRDefault="00356127" w:rsidP="00356127">
      <w:pPr>
        <w:spacing w:line="240" w:lineRule="auto"/>
        <w:jc w:val="right"/>
        <w:rPr>
          <w:rFonts w:ascii="Arial" w:hAnsi="Arial" w:cs="Arial"/>
          <w:b/>
          <w:sz w:val="32"/>
          <w:szCs w:val="24"/>
          <w:highlight w:val="yellow"/>
          <w:lang w:val="en-US"/>
        </w:rPr>
      </w:pPr>
      <w:r w:rsidRPr="00356127">
        <w:rPr>
          <w:rFonts w:ascii="Arial" w:hAnsi="Arial" w:cs="Arial"/>
          <w:b/>
          <w:sz w:val="32"/>
          <w:szCs w:val="24"/>
          <w:highlight w:val="yellow"/>
        </w:rPr>
        <w:t xml:space="preserve">Association of Antral Follicle Count and Serum Anti-Mullerian Hormone Concentration with Age and Parity in </w:t>
      </w:r>
      <w:proofErr w:type="spellStart"/>
      <w:r w:rsidRPr="00356127">
        <w:rPr>
          <w:rFonts w:ascii="Arial" w:hAnsi="Arial" w:cs="Arial"/>
          <w:b/>
          <w:sz w:val="32"/>
          <w:szCs w:val="24"/>
          <w:highlight w:val="yellow"/>
        </w:rPr>
        <w:t>Ongole</w:t>
      </w:r>
      <w:proofErr w:type="spellEnd"/>
      <w:r w:rsidRPr="00356127">
        <w:rPr>
          <w:rFonts w:ascii="Arial" w:hAnsi="Arial" w:cs="Arial"/>
          <w:b/>
          <w:sz w:val="32"/>
          <w:szCs w:val="24"/>
          <w:highlight w:val="yellow"/>
        </w:rPr>
        <w:t xml:space="preserve"> (</w:t>
      </w:r>
      <w:r w:rsidRPr="00356127">
        <w:rPr>
          <w:rFonts w:ascii="Arial" w:hAnsi="Arial" w:cs="Arial"/>
          <w:b/>
          <w:i/>
          <w:iCs/>
          <w:sz w:val="32"/>
          <w:szCs w:val="24"/>
          <w:highlight w:val="yellow"/>
        </w:rPr>
        <w:t>Bos indicus</w:t>
      </w:r>
      <w:r w:rsidRPr="00356127">
        <w:rPr>
          <w:rFonts w:ascii="Arial" w:hAnsi="Arial" w:cs="Arial"/>
          <w:b/>
          <w:sz w:val="32"/>
          <w:szCs w:val="24"/>
          <w:highlight w:val="yellow"/>
        </w:rPr>
        <w:t>) Cattle</w:t>
      </w:r>
    </w:p>
    <w:p w14:paraId="0FBC1F39" w14:textId="6424C0DA" w:rsidR="00356127" w:rsidRDefault="00356127" w:rsidP="00356127">
      <w:pPr>
        <w:spacing w:after="0" w:line="240" w:lineRule="auto"/>
        <w:jc w:val="right"/>
        <w:rPr>
          <w:rFonts w:ascii="Arial" w:hAnsi="Arial" w:cs="Arial"/>
          <w:i/>
          <w:sz w:val="20"/>
          <w:szCs w:val="20"/>
          <w:lang w:val="en-US"/>
        </w:rPr>
      </w:pPr>
    </w:p>
    <w:p w14:paraId="15914B14" w14:textId="347F359F" w:rsidR="00D23116" w:rsidRDefault="00D23116" w:rsidP="006F4932">
      <w:pPr>
        <w:spacing w:after="0" w:line="240" w:lineRule="auto"/>
        <w:rPr>
          <w:rFonts w:ascii="Times New Roman" w:hAnsi="Times New Roman" w:cs="Times New Roman"/>
          <w:b/>
          <w:i/>
          <w:sz w:val="24"/>
          <w:szCs w:val="24"/>
          <w:lang w:val="en-US"/>
        </w:rPr>
      </w:pPr>
    </w:p>
    <w:p w14:paraId="01F9F711" w14:textId="77777777" w:rsidR="006F4932" w:rsidRPr="00FC5904" w:rsidRDefault="00BE0378" w:rsidP="00D23116">
      <w:pPr>
        <w:spacing w:after="0" w:line="240" w:lineRule="auto"/>
        <w:jc w:val="center"/>
        <w:rPr>
          <w:rFonts w:ascii="Arial" w:hAnsi="Arial" w:cs="Arial"/>
          <w:sz w:val="24"/>
          <w:szCs w:val="20"/>
          <w:lang w:val="en-US"/>
        </w:rPr>
      </w:pPr>
      <w:r w:rsidRPr="00FC5904">
        <w:rPr>
          <w:rFonts w:ascii="Arial" w:hAnsi="Arial" w:cs="Arial"/>
          <w:b/>
          <w:sz w:val="24"/>
          <w:szCs w:val="20"/>
          <w:lang w:val="en-US"/>
        </w:rPr>
        <w:t>ABSTRACT</w:t>
      </w:r>
    </w:p>
    <w:p w14:paraId="3E8851B1" w14:textId="2C46C941" w:rsidR="009B1B2E" w:rsidRPr="009B1B2E" w:rsidRDefault="009B1B2E" w:rsidP="009B1B2E">
      <w:pPr>
        <w:pStyle w:val="NoSpacing"/>
        <w:jc w:val="both"/>
        <w:rPr>
          <w:rFonts w:ascii="Arial" w:hAnsi="Arial" w:cs="Arial"/>
          <w:sz w:val="20"/>
          <w:highlight w:val="yellow"/>
        </w:rPr>
      </w:pPr>
      <w:r w:rsidRPr="009B1B2E">
        <w:rPr>
          <w:rFonts w:ascii="Arial" w:hAnsi="Arial" w:cs="Arial"/>
          <w:sz w:val="20"/>
          <w:highlight w:val="yellow"/>
        </w:rPr>
        <w:t xml:space="preserve">The present study was undertaken to evaluate the association between antral follicle count (AFC), serum anti-Müllerian hormone (AMH) concentration, age, and parity in </w:t>
      </w:r>
      <w:proofErr w:type="spellStart"/>
      <w:r w:rsidRPr="009B1B2E">
        <w:rPr>
          <w:rFonts w:ascii="Arial" w:hAnsi="Arial" w:cs="Arial"/>
          <w:sz w:val="20"/>
          <w:highlight w:val="yellow"/>
        </w:rPr>
        <w:t>Ongole</w:t>
      </w:r>
      <w:proofErr w:type="spellEnd"/>
      <w:r w:rsidRPr="009B1B2E">
        <w:rPr>
          <w:rFonts w:ascii="Arial" w:hAnsi="Arial" w:cs="Arial"/>
          <w:sz w:val="20"/>
          <w:highlight w:val="yellow"/>
        </w:rPr>
        <w:t xml:space="preserve"> (Bos indicus) cattle, with the objective of identifying reliable biomarkers for ovarian reserve and oocyte donor selection. Eighty-four clinically normal, cyclic </w:t>
      </w:r>
      <w:proofErr w:type="spellStart"/>
      <w:r w:rsidRPr="009B1B2E">
        <w:rPr>
          <w:rFonts w:ascii="Arial" w:hAnsi="Arial" w:cs="Arial"/>
          <w:sz w:val="20"/>
          <w:highlight w:val="yellow"/>
        </w:rPr>
        <w:t>Ongole</w:t>
      </w:r>
      <w:proofErr w:type="spellEnd"/>
      <w:r w:rsidRPr="009B1B2E">
        <w:rPr>
          <w:rFonts w:ascii="Arial" w:hAnsi="Arial" w:cs="Arial"/>
          <w:sz w:val="20"/>
          <w:highlight w:val="yellow"/>
        </w:rPr>
        <w:t xml:space="preserve"> cows aged 3–20 years with parities ranging from 1 to 12 were included in the investigation. Ovarian antral follicles (≥3 mm) were enumerated using transrectal ultrasonography at a random stage of the </w:t>
      </w:r>
      <w:proofErr w:type="spellStart"/>
      <w:r w:rsidRPr="009B1B2E">
        <w:rPr>
          <w:rFonts w:ascii="Arial" w:hAnsi="Arial" w:cs="Arial"/>
          <w:sz w:val="20"/>
          <w:highlight w:val="yellow"/>
        </w:rPr>
        <w:t>estrous</w:t>
      </w:r>
      <w:proofErr w:type="spellEnd"/>
      <w:r w:rsidRPr="009B1B2E">
        <w:rPr>
          <w:rFonts w:ascii="Arial" w:hAnsi="Arial" w:cs="Arial"/>
          <w:sz w:val="20"/>
          <w:highlight w:val="yellow"/>
        </w:rPr>
        <w:t xml:space="preserve"> cycle. Concurrently, blood samples were collected and serum AMH concentrations were estimated using a commercial cattle AMH ELISA kit. Animals were categorized based on AFC and age to assess variability and correlations among parameters. The mean AFC and serum AMH concentrations exhibited wide inter-animal variation. A significant positive correlation (p &lt; 0.01) was observed between AFC and serum AMH levels, indicating that circulating AMH reliably reflects the antral follicle population. Both AFC and AMH showed a significant negative correlation (p &lt; 0.01) with age and parity. Younger cows exhibited significantly higher AFC and AMH concentrations, while cows older than 13 years showed a marked decline in both parameters, indicating reduced ovarian reserve. Animals with low AFC were significantly older and had higher parity compared to those with intermediate and high AFC. In conclusion, the study demonstrates that AFC and serum AMH concentration are robust, non-invasive indicators of ovarian reserve in </w:t>
      </w:r>
      <w:proofErr w:type="spellStart"/>
      <w:r w:rsidRPr="009B1B2E">
        <w:rPr>
          <w:rFonts w:ascii="Arial" w:hAnsi="Arial" w:cs="Arial"/>
          <w:sz w:val="20"/>
          <w:highlight w:val="yellow"/>
        </w:rPr>
        <w:t>Ongole</w:t>
      </w:r>
      <w:proofErr w:type="spellEnd"/>
      <w:r w:rsidRPr="009B1B2E">
        <w:rPr>
          <w:rFonts w:ascii="Arial" w:hAnsi="Arial" w:cs="Arial"/>
          <w:sz w:val="20"/>
          <w:highlight w:val="yellow"/>
        </w:rPr>
        <w:t xml:space="preserve"> cattle. Combined assessment of these parameters can be effectively utilized for selecting superior oocyte donors, thereby enhancing the efficiency and success of OPU-IVF-ET programs in Bos indicus breeds.</w:t>
      </w:r>
    </w:p>
    <w:p w14:paraId="45E76BA7" w14:textId="77777777" w:rsidR="009B1B2E" w:rsidRDefault="009B1B2E" w:rsidP="009B1B2E">
      <w:pPr>
        <w:pStyle w:val="NoSpacing"/>
        <w:rPr>
          <w:rFonts w:ascii="Arial" w:hAnsi="Arial" w:cs="Arial"/>
          <w:b/>
          <w:i/>
          <w:sz w:val="20"/>
          <w:highlight w:val="yellow"/>
        </w:rPr>
      </w:pPr>
    </w:p>
    <w:p w14:paraId="7247550B" w14:textId="32A3830E" w:rsidR="009B1B2E" w:rsidRPr="009B1B2E" w:rsidRDefault="009B1B2E" w:rsidP="009B1B2E">
      <w:pPr>
        <w:pStyle w:val="NoSpacing"/>
        <w:rPr>
          <w:rFonts w:ascii="Arial" w:hAnsi="Arial" w:cs="Arial"/>
          <w:i/>
          <w:sz w:val="20"/>
        </w:rPr>
      </w:pPr>
      <w:r w:rsidRPr="009B1B2E">
        <w:rPr>
          <w:rFonts w:ascii="Arial" w:hAnsi="Arial" w:cs="Arial"/>
          <w:b/>
          <w:i/>
          <w:sz w:val="20"/>
          <w:highlight w:val="yellow"/>
        </w:rPr>
        <w:t>Keywords:</w:t>
      </w:r>
      <w:r w:rsidRPr="009B1B2E">
        <w:rPr>
          <w:rFonts w:ascii="Arial" w:hAnsi="Arial" w:cs="Arial"/>
          <w:i/>
          <w:sz w:val="20"/>
          <w:highlight w:val="yellow"/>
        </w:rPr>
        <w:t xml:space="preserve"> Antral follicle count; Anti-Müllerian hormone; </w:t>
      </w:r>
      <w:proofErr w:type="spellStart"/>
      <w:r w:rsidRPr="009B1B2E">
        <w:rPr>
          <w:rFonts w:ascii="Arial" w:hAnsi="Arial" w:cs="Arial"/>
          <w:i/>
          <w:sz w:val="20"/>
          <w:highlight w:val="yellow"/>
        </w:rPr>
        <w:t>Ongole</w:t>
      </w:r>
      <w:proofErr w:type="spellEnd"/>
      <w:r w:rsidRPr="009B1B2E">
        <w:rPr>
          <w:rFonts w:ascii="Arial" w:hAnsi="Arial" w:cs="Arial"/>
          <w:i/>
          <w:sz w:val="20"/>
          <w:highlight w:val="yellow"/>
        </w:rPr>
        <w:t xml:space="preserve"> cattle; Ovarian reserve; Age and parity; OPU-IVF-ET</w:t>
      </w:r>
    </w:p>
    <w:p w14:paraId="36AFB9C9" w14:textId="77777777" w:rsidR="00D23116" w:rsidRDefault="00D23116" w:rsidP="00D23116">
      <w:pPr>
        <w:spacing w:after="0" w:line="240" w:lineRule="auto"/>
        <w:jc w:val="both"/>
        <w:rPr>
          <w:rFonts w:ascii="Arial" w:hAnsi="Arial" w:cs="Arial"/>
          <w:b/>
          <w:sz w:val="20"/>
          <w:szCs w:val="20"/>
          <w:lang w:val="en-US"/>
        </w:rPr>
      </w:pPr>
    </w:p>
    <w:p w14:paraId="0E77302F" w14:textId="3F5A09A9" w:rsidR="006F4932" w:rsidRPr="00FC5904" w:rsidRDefault="006F4932" w:rsidP="00D23116">
      <w:pPr>
        <w:pStyle w:val="ListParagraph"/>
        <w:numPr>
          <w:ilvl w:val="0"/>
          <w:numId w:val="14"/>
        </w:numPr>
        <w:spacing w:after="0" w:line="240" w:lineRule="auto"/>
        <w:jc w:val="both"/>
        <w:rPr>
          <w:rFonts w:ascii="Arial" w:hAnsi="Arial" w:cs="Arial"/>
          <w:sz w:val="24"/>
          <w:szCs w:val="20"/>
          <w:lang w:val="en-US"/>
        </w:rPr>
      </w:pPr>
      <w:r w:rsidRPr="00FC5904">
        <w:rPr>
          <w:rFonts w:ascii="Arial" w:hAnsi="Arial" w:cs="Arial"/>
          <w:b/>
          <w:sz w:val="24"/>
          <w:szCs w:val="20"/>
          <w:lang w:val="en-US"/>
        </w:rPr>
        <w:t>INTRODUCTION</w:t>
      </w:r>
    </w:p>
    <w:p w14:paraId="23A88925" w14:textId="3CBFBD52" w:rsidR="00FF6E32" w:rsidRDefault="006F4932" w:rsidP="00D23116">
      <w:pPr>
        <w:spacing w:after="0" w:line="240" w:lineRule="auto"/>
        <w:jc w:val="both"/>
        <w:rPr>
          <w:rFonts w:ascii="Arial" w:hAnsi="Arial" w:cs="Arial"/>
          <w:sz w:val="20"/>
          <w:szCs w:val="20"/>
          <w:lang w:val="en-US"/>
        </w:rPr>
      </w:pPr>
      <w:r w:rsidRPr="00D23116">
        <w:rPr>
          <w:rFonts w:ascii="Arial" w:hAnsi="Arial" w:cs="Arial"/>
          <w:sz w:val="20"/>
          <w:szCs w:val="20"/>
          <w:lang w:val="en-US"/>
        </w:rPr>
        <w:t xml:space="preserve">The success of various reproductive technologies, including ovum pick-up (OPU) and </w:t>
      </w:r>
      <w:r w:rsidRPr="00D23116">
        <w:rPr>
          <w:rFonts w:ascii="Arial" w:hAnsi="Arial" w:cs="Arial"/>
          <w:i/>
          <w:sz w:val="20"/>
          <w:szCs w:val="20"/>
          <w:lang w:val="en-US"/>
        </w:rPr>
        <w:t>in-vitro</w:t>
      </w:r>
      <w:r w:rsidRPr="00D23116">
        <w:rPr>
          <w:rFonts w:ascii="Arial" w:hAnsi="Arial" w:cs="Arial"/>
          <w:sz w:val="20"/>
          <w:szCs w:val="20"/>
          <w:lang w:val="en-US"/>
        </w:rPr>
        <w:t xml:space="preserve"> embryo production (IVEP), are significantly influenced by the physiological characteristics of the donor animals, particularly the ovarian antral follicle count (AFC) </w:t>
      </w:r>
      <w:r w:rsidRPr="00D23116">
        <w:rPr>
          <w:rFonts w:ascii="Arial" w:hAnsi="Arial" w:cs="Arial"/>
          <w:sz w:val="20"/>
          <w:szCs w:val="20"/>
        </w:rPr>
        <w:t xml:space="preserve">(Lonergan </w:t>
      </w:r>
      <w:r w:rsidR="0015636F" w:rsidRPr="00D23116">
        <w:rPr>
          <w:rFonts w:ascii="Arial" w:hAnsi="Arial" w:cs="Arial"/>
          <w:i/>
          <w:sz w:val="20"/>
          <w:szCs w:val="20"/>
        </w:rPr>
        <w:t xml:space="preserve">et al., </w:t>
      </w:r>
      <w:r w:rsidRPr="00D23116">
        <w:rPr>
          <w:rFonts w:ascii="Arial" w:hAnsi="Arial" w:cs="Arial"/>
          <w:sz w:val="20"/>
          <w:szCs w:val="20"/>
        </w:rPr>
        <w:t>1994)</w:t>
      </w:r>
      <w:r w:rsidRPr="00D23116">
        <w:rPr>
          <w:rFonts w:ascii="Arial" w:hAnsi="Arial" w:cs="Arial"/>
          <w:sz w:val="20"/>
          <w:szCs w:val="20"/>
          <w:lang w:val="en-US"/>
        </w:rPr>
        <w:t xml:space="preserve">. The overall number of recruited follicles that are </w:t>
      </w:r>
      <w:r w:rsidRPr="00D23116">
        <w:rPr>
          <w:rFonts w:ascii="Arial" w:hAnsi="Arial" w:cs="Arial"/>
          <w:sz w:val="20"/>
          <w:szCs w:val="20"/>
        </w:rPr>
        <w:t xml:space="preserve">≥3 mm in diameter in each follicular wave of an </w:t>
      </w:r>
      <w:proofErr w:type="spellStart"/>
      <w:r w:rsidRPr="00D23116">
        <w:rPr>
          <w:rFonts w:ascii="Arial" w:hAnsi="Arial" w:cs="Arial"/>
          <w:sz w:val="20"/>
          <w:szCs w:val="20"/>
        </w:rPr>
        <w:t>estrous</w:t>
      </w:r>
      <w:proofErr w:type="spellEnd"/>
      <w:r w:rsidRPr="00D23116">
        <w:rPr>
          <w:rFonts w:ascii="Arial" w:hAnsi="Arial" w:cs="Arial"/>
          <w:sz w:val="20"/>
          <w:szCs w:val="20"/>
        </w:rPr>
        <w:t xml:space="preserve"> cycle is noted as antral follicle count (</w:t>
      </w:r>
      <w:r w:rsidR="008B5C94" w:rsidRPr="00FF6E32">
        <w:rPr>
          <w:rFonts w:ascii="Arial" w:hAnsi="Arial" w:cs="Arial"/>
          <w:sz w:val="20"/>
          <w:szCs w:val="20"/>
          <w:highlight w:val="yellow"/>
        </w:rPr>
        <w:t xml:space="preserve">Evans </w:t>
      </w:r>
      <w:r w:rsidR="0015636F" w:rsidRPr="00FF6E32">
        <w:rPr>
          <w:rFonts w:ascii="Arial" w:hAnsi="Arial" w:cs="Arial"/>
          <w:i/>
          <w:sz w:val="20"/>
          <w:szCs w:val="20"/>
          <w:highlight w:val="yellow"/>
        </w:rPr>
        <w:t xml:space="preserve">et al., </w:t>
      </w:r>
      <w:r w:rsidR="008B5C94" w:rsidRPr="00FF6E32">
        <w:rPr>
          <w:rFonts w:ascii="Arial" w:hAnsi="Arial" w:cs="Arial"/>
          <w:sz w:val="20"/>
          <w:szCs w:val="20"/>
          <w:highlight w:val="yellow"/>
        </w:rPr>
        <w:t>201</w:t>
      </w:r>
      <w:r w:rsidR="00FF6E32" w:rsidRPr="00FF6E32">
        <w:rPr>
          <w:rFonts w:ascii="Arial" w:hAnsi="Arial" w:cs="Arial"/>
          <w:sz w:val="20"/>
          <w:szCs w:val="20"/>
          <w:highlight w:val="yellow"/>
        </w:rPr>
        <w:t>0</w:t>
      </w:r>
      <w:r w:rsidRPr="00D23116">
        <w:rPr>
          <w:rFonts w:ascii="Arial" w:hAnsi="Arial" w:cs="Arial"/>
          <w:sz w:val="20"/>
          <w:szCs w:val="20"/>
        </w:rPr>
        <w:t>)</w:t>
      </w:r>
      <w:r w:rsidR="005F2F7B" w:rsidRPr="00D23116">
        <w:rPr>
          <w:rFonts w:ascii="Arial" w:hAnsi="Arial" w:cs="Arial"/>
          <w:sz w:val="20"/>
          <w:szCs w:val="20"/>
        </w:rPr>
        <w:t>. M</w:t>
      </w:r>
      <w:r w:rsidRPr="00D23116">
        <w:rPr>
          <w:rFonts w:ascii="Arial" w:hAnsi="Arial" w:cs="Arial"/>
          <w:sz w:val="20"/>
          <w:szCs w:val="20"/>
        </w:rPr>
        <w:t xml:space="preserve">any researchers </w:t>
      </w:r>
      <w:r w:rsidR="005F2F7B" w:rsidRPr="00D23116">
        <w:rPr>
          <w:rFonts w:ascii="Arial" w:hAnsi="Arial" w:cs="Arial"/>
          <w:sz w:val="20"/>
          <w:szCs w:val="20"/>
        </w:rPr>
        <w:t xml:space="preserve">have </w:t>
      </w:r>
      <w:r w:rsidRPr="00D23116">
        <w:rPr>
          <w:rFonts w:ascii="Arial" w:hAnsi="Arial" w:cs="Arial"/>
          <w:sz w:val="20"/>
          <w:szCs w:val="20"/>
        </w:rPr>
        <w:t xml:space="preserve">recorded the AFC on different days of the </w:t>
      </w:r>
      <w:proofErr w:type="spellStart"/>
      <w:r w:rsidRPr="00D23116">
        <w:rPr>
          <w:rFonts w:ascii="Arial" w:hAnsi="Arial" w:cs="Arial"/>
          <w:sz w:val="20"/>
          <w:szCs w:val="20"/>
        </w:rPr>
        <w:t>estrous</w:t>
      </w:r>
      <w:proofErr w:type="spellEnd"/>
      <w:r w:rsidRPr="00D23116">
        <w:rPr>
          <w:rFonts w:ascii="Arial" w:hAnsi="Arial" w:cs="Arial"/>
          <w:sz w:val="20"/>
          <w:szCs w:val="20"/>
        </w:rPr>
        <w:t xml:space="preserve"> cycle in both beef and dairy heifers </w:t>
      </w:r>
      <w:r w:rsidR="005F2F7B" w:rsidRPr="00D23116">
        <w:rPr>
          <w:rFonts w:ascii="Arial" w:hAnsi="Arial" w:cs="Arial"/>
          <w:sz w:val="20"/>
          <w:szCs w:val="20"/>
        </w:rPr>
        <w:t xml:space="preserve">(Cushman </w:t>
      </w:r>
      <w:r w:rsidR="0015636F" w:rsidRPr="00D23116">
        <w:rPr>
          <w:rFonts w:ascii="Arial" w:hAnsi="Arial" w:cs="Arial"/>
          <w:i/>
          <w:sz w:val="20"/>
          <w:szCs w:val="20"/>
        </w:rPr>
        <w:t xml:space="preserve">et al., </w:t>
      </w:r>
      <w:r w:rsidR="005F2F7B" w:rsidRPr="00D23116">
        <w:rPr>
          <w:rFonts w:ascii="Arial" w:hAnsi="Arial" w:cs="Arial"/>
          <w:sz w:val="20"/>
          <w:szCs w:val="20"/>
        </w:rPr>
        <w:t xml:space="preserve">2009) </w:t>
      </w:r>
      <w:r w:rsidRPr="00D23116">
        <w:rPr>
          <w:rFonts w:ascii="Arial" w:hAnsi="Arial" w:cs="Arial"/>
          <w:sz w:val="20"/>
          <w:szCs w:val="20"/>
        </w:rPr>
        <w:t xml:space="preserve">and in postpartum dairy cows (Ireland </w:t>
      </w:r>
      <w:r w:rsidR="0015636F" w:rsidRPr="00D23116">
        <w:rPr>
          <w:rFonts w:ascii="Arial" w:hAnsi="Arial" w:cs="Arial"/>
          <w:i/>
          <w:sz w:val="20"/>
          <w:szCs w:val="20"/>
        </w:rPr>
        <w:t xml:space="preserve">et al., </w:t>
      </w:r>
      <w:r w:rsidR="00EA060F" w:rsidRPr="00D23116">
        <w:rPr>
          <w:rFonts w:ascii="Arial" w:hAnsi="Arial" w:cs="Arial"/>
          <w:sz w:val="20"/>
          <w:szCs w:val="20"/>
        </w:rPr>
        <w:t xml:space="preserve">2011). </w:t>
      </w:r>
      <w:r w:rsidRPr="00D23116">
        <w:rPr>
          <w:rFonts w:ascii="Arial" w:hAnsi="Arial" w:cs="Arial"/>
          <w:sz w:val="20"/>
          <w:szCs w:val="20"/>
          <w:lang w:val="en-US"/>
        </w:rPr>
        <w:t xml:space="preserve">AFC is highly reproducible within the same animal over time, yet it exhibits substantial variability across the individual animals </w:t>
      </w:r>
      <w:r w:rsidRPr="00D23116">
        <w:rPr>
          <w:rFonts w:ascii="Arial" w:hAnsi="Arial" w:cs="Arial"/>
          <w:sz w:val="20"/>
          <w:szCs w:val="20"/>
        </w:rPr>
        <w:t xml:space="preserve">(Mossa </w:t>
      </w:r>
      <w:r w:rsidR="0015636F" w:rsidRPr="00D23116">
        <w:rPr>
          <w:rFonts w:ascii="Arial" w:hAnsi="Arial" w:cs="Arial"/>
          <w:i/>
          <w:sz w:val="20"/>
          <w:szCs w:val="20"/>
        </w:rPr>
        <w:t xml:space="preserve">et al., </w:t>
      </w:r>
      <w:r w:rsidR="004822D7" w:rsidRPr="00D23116">
        <w:rPr>
          <w:rFonts w:ascii="Arial" w:hAnsi="Arial" w:cs="Arial"/>
          <w:sz w:val="20"/>
          <w:szCs w:val="20"/>
        </w:rPr>
        <w:t>2010</w:t>
      </w:r>
      <w:r w:rsidRPr="00D23116">
        <w:rPr>
          <w:rFonts w:ascii="Arial" w:hAnsi="Arial" w:cs="Arial"/>
          <w:sz w:val="20"/>
          <w:szCs w:val="20"/>
        </w:rPr>
        <w:t xml:space="preserve">). </w:t>
      </w:r>
      <w:r w:rsidRPr="00D23116">
        <w:rPr>
          <w:rFonts w:ascii="Arial" w:hAnsi="Arial" w:cs="Arial"/>
          <w:sz w:val="20"/>
          <w:szCs w:val="20"/>
          <w:lang w:val="en-US"/>
        </w:rPr>
        <w:t>This variability is of particular interest because AFC has been linked to the levels of several blood compounds. Notably, circulating concentrations of insulin, insulin-like growth factor I (IGF-1), and anti-Mullerian hormone (AMH) have shown associations with AFC (</w:t>
      </w:r>
      <w:r w:rsidRPr="00D23116">
        <w:rPr>
          <w:rFonts w:ascii="Arial" w:hAnsi="Arial" w:cs="Arial"/>
          <w:sz w:val="20"/>
          <w:szCs w:val="20"/>
        </w:rPr>
        <w:t xml:space="preserve">Batista </w:t>
      </w:r>
      <w:r w:rsidR="0015636F" w:rsidRPr="00D23116">
        <w:rPr>
          <w:rFonts w:ascii="Arial" w:hAnsi="Arial" w:cs="Arial"/>
          <w:i/>
          <w:sz w:val="20"/>
          <w:szCs w:val="20"/>
        </w:rPr>
        <w:t xml:space="preserve">et al., </w:t>
      </w:r>
      <w:r w:rsidRPr="00D23116">
        <w:rPr>
          <w:rFonts w:ascii="Arial" w:hAnsi="Arial" w:cs="Arial"/>
          <w:sz w:val="20"/>
          <w:szCs w:val="20"/>
        </w:rPr>
        <w:t>2014</w:t>
      </w:r>
      <w:r w:rsidR="00FF6E32">
        <w:rPr>
          <w:rFonts w:ascii="Arial" w:hAnsi="Arial" w:cs="Arial"/>
          <w:sz w:val="20"/>
          <w:szCs w:val="20"/>
        </w:rPr>
        <w:t xml:space="preserve"> and </w:t>
      </w:r>
      <w:r w:rsidRPr="00D23116">
        <w:rPr>
          <w:rFonts w:ascii="Arial" w:hAnsi="Arial" w:cs="Arial"/>
          <w:sz w:val="20"/>
          <w:szCs w:val="20"/>
        </w:rPr>
        <w:t xml:space="preserve">Sales </w:t>
      </w:r>
      <w:r w:rsidR="0015636F" w:rsidRPr="00D23116">
        <w:rPr>
          <w:rFonts w:ascii="Arial" w:hAnsi="Arial" w:cs="Arial"/>
          <w:i/>
          <w:sz w:val="20"/>
          <w:szCs w:val="20"/>
        </w:rPr>
        <w:t xml:space="preserve">et al., </w:t>
      </w:r>
      <w:r w:rsidRPr="00D23116">
        <w:rPr>
          <w:rFonts w:ascii="Arial" w:hAnsi="Arial" w:cs="Arial"/>
          <w:sz w:val="20"/>
          <w:szCs w:val="20"/>
        </w:rPr>
        <w:t xml:space="preserve">2015). </w:t>
      </w:r>
      <w:r w:rsidRPr="00D23116">
        <w:rPr>
          <w:rFonts w:ascii="Arial" w:hAnsi="Arial" w:cs="Arial"/>
          <w:sz w:val="20"/>
          <w:szCs w:val="20"/>
          <w:lang w:val="en-US"/>
        </w:rPr>
        <w:t xml:space="preserve">These relationships suggest that the endocrine profile of the donor </w:t>
      </w:r>
      <w:r w:rsidR="00EA060F" w:rsidRPr="00D23116">
        <w:rPr>
          <w:rFonts w:ascii="Arial" w:hAnsi="Arial" w:cs="Arial"/>
          <w:sz w:val="20"/>
          <w:szCs w:val="20"/>
          <w:lang w:val="en-US"/>
        </w:rPr>
        <w:t xml:space="preserve">animals </w:t>
      </w:r>
      <w:r w:rsidRPr="00D23116">
        <w:rPr>
          <w:rFonts w:ascii="Arial" w:hAnsi="Arial" w:cs="Arial"/>
          <w:sz w:val="20"/>
          <w:szCs w:val="20"/>
          <w:lang w:val="en-US"/>
        </w:rPr>
        <w:t>can provide critical insights into their reproductive potential and suitability for OPU-IVF-ET programs. Unders</w:t>
      </w:r>
      <w:r w:rsidR="00EA060F" w:rsidRPr="00D23116">
        <w:rPr>
          <w:rFonts w:ascii="Arial" w:hAnsi="Arial" w:cs="Arial"/>
          <w:sz w:val="20"/>
          <w:szCs w:val="20"/>
          <w:lang w:val="en-US"/>
        </w:rPr>
        <w:t>tanding these associations help</w:t>
      </w:r>
      <w:r w:rsidRPr="00D23116">
        <w:rPr>
          <w:rFonts w:ascii="Arial" w:hAnsi="Arial" w:cs="Arial"/>
          <w:sz w:val="20"/>
          <w:szCs w:val="20"/>
          <w:lang w:val="en-US"/>
        </w:rPr>
        <w:t xml:space="preserve"> in the selection of </w:t>
      </w:r>
      <w:r w:rsidR="00EA060F" w:rsidRPr="00D23116">
        <w:rPr>
          <w:rFonts w:ascii="Arial" w:hAnsi="Arial" w:cs="Arial"/>
          <w:sz w:val="20"/>
          <w:szCs w:val="20"/>
          <w:lang w:val="en-US"/>
        </w:rPr>
        <w:t>superior</w:t>
      </w:r>
      <w:r w:rsidRPr="00D23116">
        <w:rPr>
          <w:rFonts w:ascii="Arial" w:hAnsi="Arial" w:cs="Arial"/>
          <w:sz w:val="20"/>
          <w:szCs w:val="20"/>
          <w:lang w:val="en-US"/>
        </w:rPr>
        <w:t xml:space="preserve"> donors and improving the outcomes of reproductive biotechnolog</w:t>
      </w:r>
      <w:r w:rsidR="00EA060F" w:rsidRPr="00D23116">
        <w:rPr>
          <w:rFonts w:ascii="Arial" w:hAnsi="Arial" w:cs="Arial"/>
          <w:sz w:val="20"/>
          <w:szCs w:val="20"/>
          <w:lang w:val="en-US"/>
        </w:rPr>
        <w:t>y techniqu</w:t>
      </w:r>
      <w:r w:rsidRPr="00D23116">
        <w:rPr>
          <w:rFonts w:ascii="Arial" w:hAnsi="Arial" w:cs="Arial"/>
          <w:sz w:val="20"/>
          <w:szCs w:val="20"/>
          <w:lang w:val="en-US"/>
        </w:rPr>
        <w:t xml:space="preserve">es. </w:t>
      </w:r>
    </w:p>
    <w:p w14:paraId="0D803E97" w14:textId="0D09ECC0" w:rsidR="006F4932" w:rsidRDefault="006F4932" w:rsidP="00FF6E32">
      <w:pPr>
        <w:spacing w:after="0" w:line="240" w:lineRule="auto"/>
        <w:ind w:firstLine="720"/>
        <w:jc w:val="both"/>
        <w:rPr>
          <w:rFonts w:ascii="Arial" w:hAnsi="Arial" w:cs="Arial"/>
          <w:sz w:val="20"/>
          <w:szCs w:val="20"/>
        </w:rPr>
      </w:pPr>
      <w:r w:rsidRPr="00D23116">
        <w:rPr>
          <w:rFonts w:ascii="Arial" w:hAnsi="Arial" w:cs="Arial"/>
          <w:sz w:val="20"/>
          <w:szCs w:val="20"/>
        </w:rPr>
        <w:t xml:space="preserve">Numerous researchers have investigated and established the relationship between AMH and AFC in various cattle breeds (Batista </w:t>
      </w:r>
      <w:r w:rsidR="0015636F" w:rsidRPr="00D23116">
        <w:rPr>
          <w:rFonts w:ascii="Arial" w:hAnsi="Arial" w:cs="Arial"/>
          <w:i/>
          <w:sz w:val="20"/>
          <w:szCs w:val="20"/>
        </w:rPr>
        <w:t xml:space="preserve">et al., </w:t>
      </w:r>
      <w:r w:rsidRPr="00D23116">
        <w:rPr>
          <w:rFonts w:ascii="Arial" w:hAnsi="Arial" w:cs="Arial"/>
          <w:sz w:val="20"/>
          <w:szCs w:val="20"/>
        </w:rPr>
        <w:t xml:space="preserve">2014; </w:t>
      </w:r>
      <w:proofErr w:type="spellStart"/>
      <w:r w:rsidRPr="00D23116">
        <w:rPr>
          <w:rFonts w:ascii="Arial" w:hAnsi="Arial" w:cs="Arial"/>
          <w:sz w:val="20"/>
          <w:szCs w:val="20"/>
        </w:rPr>
        <w:t>Baruselli</w:t>
      </w:r>
      <w:proofErr w:type="spellEnd"/>
      <w:r w:rsidRPr="00D23116">
        <w:rPr>
          <w:rFonts w:ascii="Arial" w:hAnsi="Arial" w:cs="Arial"/>
          <w:sz w:val="20"/>
          <w:szCs w:val="20"/>
        </w:rPr>
        <w:t xml:space="preserve"> </w:t>
      </w:r>
      <w:r w:rsidR="0015636F" w:rsidRPr="00D23116">
        <w:rPr>
          <w:rFonts w:ascii="Arial" w:hAnsi="Arial" w:cs="Arial"/>
          <w:i/>
          <w:sz w:val="20"/>
          <w:szCs w:val="20"/>
        </w:rPr>
        <w:t xml:space="preserve">et al., </w:t>
      </w:r>
      <w:r w:rsidRPr="00D23116">
        <w:rPr>
          <w:rFonts w:ascii="Arial" w:hAnsi="Arial" w:cs="Arial"/>
          <w:sz w:val="20"/>
          <w:szCs w:val="20"/>
        </w:rPr>
        <w:t xml:space="preserve">2015). However, there is a paucity of research specifically addressing the </w:t>
      </w:r>
      <w:r w:rsidR="00EA060F" w:rsidRPr="00D23116">
        <w:rPr>
          <w:rFonts w:ascii="Arial" w:hAnsi="Arial" w:cs="Arial"/>
          <w:sz w:val="20"/>
          <w:szCs w:val="20"/>
        </w:rPr>
        <w:t>associations</w:t>
      </w:r>
      <w:r w:rsidRPr="00D23116">
        <w:rPr>
          <w:rFonts w:ascii="Arial" w:hAnsi="Arial" w:cs="Arial"/>
          <w:sz w:val="20"/>
          <w:szCs w:val="20"/>
        </w:rPr>
        <w:t xml:space="preserve"> </w:t>
      </w:r>
      <w:r w:rsidR="00EA060F" w:rsidRPr="00D23116">
        <w:rPr>
          <w:rFonts w:ascii="Arial" w:hAnsi="Arial" w:cs="Arial"/>
          <w:sz w:val="20"/>
          <w:szCs w:val="20"/>
        </w:rPr>
        <w:t>among</w:t>
      </w:r>
      <w:r w:rsidRPr="00D23116">
        <w:rPr>
          <w:rFonts w:ascii="Arial" w:hAnsi="Arial" w:cs="Arial"/>
          <w:sz w:val="20"/>
          <w:szCs w:val="20"/>
        </w:rPr>
        <w:t xml:space="preserve"> AMH, AFC and parity in </w:t>
      </w:r>
      <w:proofErr w:type="spellStart"/>
      <w:r w:rsidRPr="00D23116">
        <w:rPr>
          <w:rFonts w:ascii="Arial" w:hAnsi="Arial" w:cs="Arial"/>
          <w:sz w:val="20"/>
          <w:szCs w:val="20"/>
        </w:rPr>
        <w:t>Ongole</w:t>
      </w:r>
      <w:proofErr w:type="spellEnd"/>
      <w:r w:rsidRPr="00D23116">
        <w:rPr>
          <w:rFonts w:ascii="Arial" w:hAnsi="Arial" w:cs="Arial"/>
          <w:sz w:val="20"/>
          <w:szCs w:val="20"/>
        </w:rPr>
        <w:t xml:space="preserve"> cattle (</w:t>
      </w:r>
      <w:r w:rsidRPr="00D23116">
        <w:rPr>
          <w:rFonts w:ascii="Arial" w:hAnsi="Arial" w:cs="Arial"/>
          <w:i/>
          <w:sz w:val="20"/>
          <w:szCs w:val="20"/>
        </w:rPr>
        <w:t>Bos indicus</w:t>
      </w:r>
      <w:r w:rsidRPr="00D23116">
        <w:rPr>
          <w:rFonts w:ascii="Arial" w:hAnsi="Arial" w:cs="Arial"/>
          <w:sz w:val="20"/>
          <w:szCs w:val="20"/>
        </w:rPr>
        <w:t xml:space="preserve">). Therefore, the current study aims to fill this gap by focusing on the estimation and analysis of the correlation among AFC, AMH and parity in </w:t>
      </w:r>
      <w:proofErr w:type="spellStart"/>
      <w:r w:rsidRPr="00D23116">
        <w:rPr>
          <w:rFonts w:ascii="Arial" w:hAnsi="Arial" w:cs="Arial"/>
          <w:sz w:val="20"/>
          <w:szCs w:val="20"/>
        </w:rPr>
        <w:t>Ongole</w:t>
      </w:r>
      <w:proofErr w:type="spellEnd"/>
      <w:r w:rsidRPr="00D23116">
        <w:rPr>
          <w:rFonts w:ascii="Arial" w:hAnsi="Arial" w:cs="Arial"/>
          <w:sz w:val="20"/>
          <w:szCs w:val="20"/>
        </w:rPr>
        <w:t xml:space="preserve"> cattle of different ages. This investigation is critical for enhancing our understanding of reproductive physiology in this breed and improving strategies for oocyte donor selection in reproductive technologies such as OPU-IVF-ET.</w:t>
      </w:r>
    </w:p>
    <w:p w14:paraId="3E6F7083" w14:textId="77777777" w:rsidR="00FF6E32" w:rsidRPr="00D23116" w:rsidRDefault="00FF6E32" w:rsidP="00D23116">
      <w:pPr>
        <w:spacing w:after="0" w:line="240" w:lineRule="auto"/>
        <w:jc w:val="both"/>
        <w:rPr>
          <w:rFonts w:ascii="Arial" w:hAnsi="Arial" w:cs="Arial"/>
          <w:sz w:val="20"/>
          <w:szCs w:val="20"/>
        </w:rPr>
      </w:pPr>
    </w:p>
    <w:p w14:paraId="0BEDCD39" w14:textId="7C3173CE" w:rsidR="00BE0378" w:rsidRPr="00FC5904" w:rsidRDefault="006F4932" w:rsidP="00D23116">
      <w:pPr>
        <w:pStyle w:val="ListParagraph"/>
        <w:numPr>
          <w:ilvl w:val="0"/>
          <w:numId w:val="14"/>
        </w:numPr>
        <w:spacing w:after="0" w:line="240" w:lineRule="auto"/>
        <w:jc w:val="both"/>
        <w:rPr>
          <w:rFonts w:ascii="Arial" w:hAnsi="Arial" w:cs="Arial"/>
          <w:sz w:val="24"/>
          <w:szCs w:val="20"/>
        </w:rPr>
      </w:pPr>
      <w:r w:rsidRPr="00FC5904">
        <w:rPr>
          <w:rFonts w:ascii="Arial" w:hAnsi="Arial" w:cs="Arial"/>
          <w:b/>
          <w:sz w:val="24"/>
          <w:szCs w:val="20"/>
        </w:rPr>
        <w:t>MATERIALS AND METHODS</w:t>
      </w:r>
    </w:p>
    <w:p w14:paraId="3CE6B72F" w14:textId="77777777" w:rsidR="006F4932" w:rsidRPr="00D23116" w:rsidRDefault="006F4932" w:rsidP="00D23116">
      <w:pPr>
        <w:spacing w:after="0" w:line="240" w:lineRule="auto"/>
        <w:jc w:val="both"/>
        <w:rPr>
          <w:rFonts w:ascii="Arial" w:hAnsi="Arial" w:cs="Arial"/>
          <w:bCs/>
          <w:sz w:val="20"/>
          <w:szCs w:val="20"/>
        </w:rPr>
      </w:pPr>
      <w:r w:rsidRPr="00D23116">
        <w:rPr>
          <w:rFonts w:ascii="Arial" w:hAnsi="Arial" w:cs="Arial"/>
          <w:b/>
          <w:sz w:val="20"/>
          <w:szCs w:val="20"/>
        </w:rPr>
        <w:t>Experimental Location</w:t>
      </w:r>
      <w:r w:rsidR="00BE0378" w:rsidRPr="00D23116">
        <w:rPr>
          <w:rFonts w:ascii="Arial" w:hAnsi="Arial" w:cs="Arial"/>
          <w:b/>
          <w:sz w:val="20"/>
          <w:szCs w:val="20"/>
        </w:rPr>
        <w:t xml:space="preserve">: </w:t>
      </w:r>
      <w:r w:rsidRPr="00D23116">
        <w:rPr>
          <w:rFonts w:ascii="Arial" w:hAnsi="Arial" w:cs="Arial"/>
          <w:bCs/>
          <w:sz w:val="20"/>
          <w:szCs w:val="20"/>
        </w:rPr>
        <w:t xml:space="preserve">The present study was undertaken at Livestock Research Station (LRS), Lam farm, Guntur, Andhra Pradesh. </w:t>
      </w:r>
    </w:p>
    <w:p w14:paraId="7A0E57BE" w14:textId="77777777" w:rsidR="003F7A4C" w:rsidRPr="00D23116" w:rsidRDefault="003F7A4C" w:rsidP="00D23116">
      <w:pPr>
        <w:spacing w:after="0" w:line="240" w:lineRule="auto"/>
        <w:jc w:val="both"/>
        <w:rPr>
          <w:rFonts w:ascii="Arial" w:hAnsi="Arial" w:cs="Arial"/>
          <w:sz w:val="20"/>
          <w:szCs w:val="20"/>
        </w:rPr>
      </w:pPr>
      <w:r w:rsidRPr="00D23116">
        <w:rPr>
          <w:rFonts w:ascii="Arial" w:hAnsi="Arial" w:cs="Arial"/>
          <w:b/>
          <w:bCs/>
          <w:sz w:val="20"/>
          <w:szCs w:val="20"/>
        </w:rPr>
        <w:lastRenderedPageBreak/>
        <w:t>Experimental Animals:</w:t>
      </w:r>
      <w:r w:rsidRPr="00D23116">
        <w:rPr>
          <w:rFonts w:ascii="Arial" w:hAnsi="Arial" w:cs="Arial"/>
          <w:sz w:val="20"/>
          <w:szCs w:val="20"/>
        </w:rPr>
        <w:t xml:space="preserve"> Eighty-four (n = 84) clinically normal, cyclic, multiparous </w:t>
      </w:r>
      <w:proofErr w:type="spellStart"/>
      <w:r w:rsidRPr="00D23116">
        <w:rPr>
          <w:rFonts w:ascii="Arial" w:hAnsi="Arial" w:cs="Arial"/>
          <w:sz w:val="20"/>
          <w:szCs w:val="20"/>
        </w:rPr>
        <w:t>Ongole</w:t>
      </w:r>
      <w:proofErr w:type="spellEnd"/>
      <w:r w:rsidRPr="00D23116">
        <w:rPr>
          <w:rFonts w:ascii="Arial" w:hAnsi="Arial" w:cs="Arial"/>
          <w:sz w:val="20"/>
          <w:szCs w:val="20"/>
        </w:rPr>
        <w:t xml:space="preserve"> (</w:t>
      </w:r>
      <w:r w:rsidRPr="00D23116">
        <w:rPr>
          <w:rFonts w:ascii="Arial" w:hAnsi="Arial" w:cs="Arial"/>
          <w:i/>
          <w:sz w:val="20"/>
          <w:szCs w:val="20"/>
        </w:rPr>
        <w:t>Bos indicus</w:t>
      </w:r>
      <w:r w:rsidRPr="00D23116">
        <w:rPr>
          <w:rFonts w:ascii="Arial" w:hAnsi="Arial" w:cs="Arial"/>
          <w:sz w:val="20"/>
          <w:szCs w:val="20"/>
        </w:rPr>
        <w:t>) cows, either lactating or dry, aged 3–20 years and weighing 300–500 kg, were included in the investigation.</w:t>
      </w:r>
    </w:p>
    <w:p w14:paraId="134913C7" w14:textId="5C7C1618" w:rsidR="00011987" w:rsidRPr="00D23116" w:rsidRDefault="003F7A4C" w:rsidP="00D23116">
      <w:pPr>
        <w:spacing w:after="0" w:line="240" w:lineRule="auto"/>
        <w:jc w:val="both"/>
        <w:rPr>
          <w:rFonts w:ascii="Arial" w:hAnsi="Arial" w:cs="Arial"/>
          <w:b/>
          <w:bCs/>
          <w:sz w:val="20"/>
          <w:szCs w:val="20"/>
        </w:rPr>
      </w:pPr>
      <w:r w:rsidRPr="00D23116">
        <w:rPr>
          <w:rFonts w:ascii="Arial" w:hAnsi="Arial" w:cs="Arial"/>
          <w:b/>
          <w:bCs/>
          <w:sz w:val="20"/>
          <w:szCs w:val="20"/>
        </w:rPr>
        <w:t>Ultrasonographic assessment of Antral Follicle Count (AFC)</w:t>
      </w:r>
      <w:r w:rsidR="00011987" w:rsidRPr="00D23116">
        <w:rPr>
          <w:rFonts w:ascii="Arial" w:hAnsi="Arial" w:cs="Arial"/>
          <w:b/>
          <w:bCs/>
          <w:sz w:val="20"/>
          <w:szCs w:val="20"/>
        </w:rPr>
        <w:t xml:space="preserve">: </w:t>
      </w:r>
      <w:r w:rsidR="006F4932" w:rsidRPr="00D23116">
        <w:rPr>
          <w:rFonts w:ascii="Arial" w:hAnsi="Arial" w:cs="Arial"/>
          <w:bCs/>
          <w:sz w:val="20"/>
          <w:szCs w:val="20"/>
        </w:rPr>
        <w:t xml:space="preserve">All the animals were restrained in the cattle handling unit facility present in the research station. </w:t>
      </w:r>
      <w:r w:rsidR="003F5CDA" w:rsidRPr="00D23116">
        <w:rPr>
          <w:rFonts w:ascii="Arial" w:hAnsi="Arial" w:cs="Arial"/>
          <w:bCs/>
          <w:sz w:val="20"/>
          <w:szCs w:val="20"/>
        </w:rPr>
        <w:t>P</w:t>
      </w:r>
      <w:r w:rsidR="006F4932" w:rsidRPr="00D23116">
        <w:rPr>
          <w:rFonts w:ascii="Arial" w:hAnsi="Arial" w:cs="Arial"/>
          <w:bCs/>
          <w:sz w:val="20"/>
          <w:szCs w:val="20"/>
        </w:rPr>
        <w:t xml:space="preserve">er-rectal examination </w:t>
      </w:r>
      <w:r w:rsidR="00EA060F" w:rsidRPr="00D23116">
        <w:rPr>
          <w:rFonts w:ascii="Arial" w:hAnsi="Arial" w:cs="Arial"/>
          <w:bCs/>
          <w:sz w:val="20"/>
          <w:szCs w:val="20"/>
        </w:rPr>
        <w:t>of both ovaries</w:t>
      </w:r>
      <w:r w:rsidR="00BE0378" w:rsidRPr="00D23116">
        <w:rPr>
          <w:rFonts w:ascii="Arial" w:hAnsi="Arial" w:cs="Arial"/>
          <w:bCs/>
          <w:sz w:val="20"/>
          <w:szCs w:val="20"/>
        </w:rPr>
        <w:t xml:space="preserve"> and the ultrasonic identification of the ovarian </w:t>
      </w:r>
      <w:r w:rsidR="008B5C94" w:rsidRPr="00D23116">
        <w:rPr>
          <w:rFonts w:ascii="Arial" w:hAnsi="Arial" w:cs="Arial"/>
          <w:bCs/>
          <w:sz w:val="20"/>
          <w:szCs w:val="20"/>
        </w:rPr>
        <w:t>follicles</w:t>
      </w:r>
      <w:r w:rsidR="00BE0378" w:rsidRPr="00D23116">
        <w:rPr>
          <w:rFonts w:ascii="Arial" w:hAnsi="Arial" w:cs="Arial"/>
          <w:bCs/>
          <w:sz w:val="20"/>
          <w:szCs w:val="20"/>
        </w:rPr>
        <w:t xml:space="preserve"> </w:t>
      </w:r>
      <w:r w:rsidR="004A1A10" w:rsidRPr="00D23116">
        <w:rPr>
          <w:rFonts w:ascii="Arial" w:hAnsi="Arial" w:cs="Arial"/>
          <w:bCs/>
          <w:sz w:val="20"/>
          <w:szCs w:val="20"/>
        </w:rPr>
        <w:t>using a real-time B-mode ultrasound scanner (</w:t>
      </w:r>
      <w:proofErr w:type="spellStart"/>
      <w:r w:rsidR="004A1A10" w:rsidRPr="00D23116">
        <w:rPr>
          <w:rFonts w:ascii="Arial" w:hAnsi="Arial" w:cs="Arial"/>
          <w:bCs/>
          <w:sz w:val="20"/>
          <w:szCs w:val="20"/>
        </w:rPr>
        <w:t>MyLab</w:t>
      </w:r>
      <w:proofErr w:type="spellEnd"/>
      <w:r w:rsidR="004A1A10" w:rsidRPr="00D23116">
        <w:rPr>
          <w:rFonts w:ascii="Arial" w:hAnsi="Arial" w:cs="Arial"/>
          <w:bCs/>
          <w:sz w:val="20"/>
          <w:szCs w:val="20"/>
        </w:rPr>
        <w:t xml:space="preserve">™ Gamma Vet, </w:t>
      </w:r>
      <w:proofErr w:type="spellStart"/>
      <w:r w:rsidR="004A1A10" w:rsidRPr="00D23116">
        <w:rPr>
          <w:rFonts w:ascii="Arial" w:hAnsi="Arial" w:cs="Arial"/>
          <w:bCs/>
          <w:sz w:val="20"/>
          <w:szCs w:val="20"/>
        </w:rPr>
        <w:t>Esaote</w:t>
      </w:r>
      <w:proofErr w:type="spellEnd"/>
      <w:r w:rsidR="004A1A10" w:rsidRPr="00D23116">
        <w:rPr>
          <w:rFonts w:ascii="Arial" w:hAnsi="Arial" w:cs="Arial"/>
          <w:bCs/>
          <w:sz w:val="20"/>
          <w:szCs w:val="20"/>
        </w:rPr>
        <w:t>, Genova, Italy) was</w:t>
      </w:r>
      <w:r w:rsidR="00BE0378" w:rsidRPr="00D23116">
        <w:rPr>
          <w:rFonts w:ascii="Arial" w:hAnsi="Arial" w:cs="Arial"/>
          <w:bCs/>
          <w:sz w:val="20"/>
          <w:szCs w:val="20"/>
        </w:rPr>
        <w:t xml:space="preserve"> done </w:t>
      </w:r>
      <w:r w:rsidR="003F5CDA" w:rsidRPr="00D23116">
        <w:rPr>
          <w:rFonts w:ascii="Arial" w:hAnsi="Arial" w:cs="Arial"/>
          <w:bCs/>
          <w:sz w:val="20"/>
          <w:szCs w:val="20"/>
        </w:rPr>
        <w:t xml:space="preserve">once at a random stage of the </w:t>
      </w:r>
      <w:proofErr w:type="spellStart"/>
      <w:r w:rsidR="003F5CDA" w:rsidRPr="00D23116">
        <w:rPr>
          <w:rFonts w:ascii="Arial" w:hAnsi="Arial" w:cs="Arial"/>
          <w:bCs/>
          <w:sz w:val="20"/>
          <w:szCs w:val="20"/>
        </w:rPr>
        <w:t>estrous</w:t>
      </w:r>
      <w:proofErr w:type="spellEnd"/>
      <w:r w:rsidR="003F5CDA" w:rsidRPr="00D23116">
        <w:rPr>
          <w:rFonts w:ascii="Arial" w:hAnsi="Arial" w:cs="Arial"/>
          <w:bCs/>
          <w:sz w:val="20"/>
          <w:szCs w:val="20"/>
        </w:rPr>
        <w:t xml:space="preserve"> cycle, </w:t>
      </w:r>
      <w:r w:rsidR="00BE0378" w:rsidRPr="00D23116">
        <w:rPr>
          <w:rFonts w:ascii="Arial" w:hAnsi="Arial" w:cs="Arial"/>
          <w:bCs/>
          <w:sz w:val="20"/>
          <w:szCs w:val="20"/>
        </w:rPr>
        <w:t>as described previously (</w:t>
      </w:r>
      <w:r w:rsidR="00110AA2" w:rsidRPr="00D23116">
        <w:rPr>
          <w:rFonts w:ascii="Arial" w:hAnsi="Arial" w:cs="Arial"/>
          <w:bCs/>
          <w:sz w:val="20"/>
          <w:szCs w:val="20"/>
        </w:rPr>
        <w:t>Kumar</w:t>
      </w:r>
      <w:r w:rsidR="002D03A3"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2D03A3" w:rsidRPr="00D23116">
        <w:rPr>
          <w:rFonts w:ascii="Arial" w:hAnsi="Arial" w:cs="Arial"/>
          <w:bCs/>
          <w:sz w:val="20"/>
          <w:szCs w:val="20"/>
        </w:rPr>
        <w:t>2019</w:t>
      </w:r>
      <w:r w:rsidR="00BE0378" w:rsidRPr="00D23116">
        <w:rPr>
          <w:rFonts w:ascii="Arial" w:hAnsi="Arial" w:cs="Arial"/>
          <w:bCs/>
          <w:sz w:val="20"/>
          <w:szCs w:val="20"/>
        </w:rPr>
        <w:t xml:space="preserve">). In brief, </w:t>
      </w:r>
      <w:r w:rsidR="006F4932" w:rsidRPr="00D23116">
        <w:rPr>
          <w:rFonts w:ascii="Arial" w:hAnsi="Arial" w:cs="Arial"/>
          <w:bCs/>
          <w:sz w:val="20"/>
          <w:szCs w:val="20"/>
        </w:rPr>
        <w:t xml:space="preserve">a linear probe set at 7.5 MHz was inserted into the rectum and moved cranially towards dorsal surface of the ovary. The transducer was then moved slowly back and forth across the ovary (either right or left) to scan the entire surface and </w:t>
      </w:r>
      <w:r w:rsidR="00BE0378" w:rsidRPr="00D23116">
        <w:rPr>
          <w:rFonts w:ascii="Arial" w:hAnsi="Arial" w:cs="Arial"/>
          <w:bCs/>
          <w:sz w:val="20"/>
          <w:szCs w:val="20"/>
        </w:rPr>
        <w:t xml:space="preserve">videos and images were recorded for further examination and future purpose. After </w:t>
      </w:r>
      <w:r w:rsidR="006F4932" w:rsidRPr="00D23116">
        <w:rPr>
          <w:rFonts w:ascii="Arial" w:hAnsi="Arial" w:cs="Arial"/>
          <w:bCs/>
          <w:sz w:val="20"/>
          <w:szCs w:val="20"/>
        </w:rPr>
        <w:t xml:space="preserve">completion of examining the ovary on one side the probe was moved to the opposite side to scan the other ovary. All the follicles (≥ 3mm) observed on the surface of an ovary were counted and total number of follicles present on both the ovaries were calculated and noted. </w:t>
      </w:r>
    </w:p>
    <w:p w14:paraId="75888797" w14:textId="77777777" w:rsidR="002D03A3" w:rsidRPr="00D23116" w:rsidRDefault="006F4932" w:rsidP="00D23116">
      <w:pPr>
        <w:spacing w:after="0" w:line="240" w:lineRule="auto"/>
        <w:jc w:val="both"/>
        <w:rPr>
          <w:rFonts w:ascii="Arial" w:hAnsi="Arial" w:cs="Arial"/>
          <w:sz w:val="20"/>
          <w:szCs w:val="20"/>
        </w:rPr>
      </w:pPr>
      <w:r w:rsidRPr="00D23116">
        <w:rPr>
          <w:rFonts w:ascii="Arial" w:hAnsi="Arial" w:cs="Arial"/>
          <w:b/>
          <w:bCs/>
          <w:sz w:val="20"/>
          <w:szCs w:val="20"/>
        </w:rPr>
        <w:t>Blood sampling and AMH assay</w:t>
      </w:r>
      <w:r w:rsidR="00011987" w:rsidRPr="00D23116">
        <w:rPr>
          <w:rFonts w:ascii="Arial" w:hAnsi="Arial" w:cs="Arial"/>
          <w:b/>
          <w:bCs/>
          <w:sz w:val="20"/>
          <w:szCs w:val="20"/>
        </w:rPr>
        <w:t xml:space="preserve">: </w:t>
      </w:r>
      <w:r w:rsidRPr="00D23116">
        <w:rPr>
          <w:rFonts w:ascii="Arial" w:hAnsi="Arial" w:cs="Arial"/>
          <w:bCs/>
          <w:sz w:val="20"/>
          <w:szCs w:val="20"/>
        </w:rPr>
        <w:t>On the day of</w:t>
      </w:r>
      <w:r w:rsidR="002D03A3" w:rsidRPr="00D23116">
        <w:rPr>
          <w:rFonts w:ascii="Arial" w:hAnsi="Arial" w:cs="Arial"/>
          <w:bCs/>
          <w:sz w:val="20"/>
          <w:szCs w:val="20"/>
        </w:rPr>
        <w:t xml:space="preserve"> ovarian</w:t>
      </w:r>
      <w:r w:rsidRPr="00D23116">
        <w:rPr>
          <w:rFonts w:ascii="Arial" w:hAnsi="Arial" w:cs="Arial"/>
          <w:bCs/>
          <w:sz w:val="20"/>
          <w:szCs w:val="20"/>
        </w:rPr>
        <w:t xml:space="preserve"> scanning, simultaneously blood samples </w:t>
      </w:r>
      <w:r w:rsidR="002D03A3" w:rsidRPr="00D23116">
        <w:rPr>
          <w:rFonts w:ascii="Arial" w:hAnsi="Arial" w:cs="Arial"/>
          <w:bCs/>
          <w:sz w:val="20"/>
          <w:szCs w:val="20"/>
        </w:rPr>
        <w:t xml:space="preserve">(4 mL) </w:t>
      </w:r>
      <w:r w:rsidRPr="00D23116">
        <w:rPr>
          <w:rFonts w:ascii="Arial" w:hAnsi="Arial" w:cs="Arial"/>
          <w:bCs/>
          <w:sz w:val="20"/>
          <w:szCs w:val="20"/>
        </w:rPr>
        <w:t>were collected from all the animals by j</w:t>
      </w:r>
      <w:r w:rsidR="00EA060F" w:rsidRPr="00D23116">
        <w:rPr>
          <w:rFonts w:ascii="Arial" w:hAnsi="Arial" w:cs="Arial"/>
          <w:bCs/>
          <w:sz w:val="20"/>
          <w:szCs w:val="20"/>
        </w:rPr>
        <w:t xml:space="preserve">ugular vein puncture </w:t>
      </w:r>
      <w:r w:rsidR="002D03A3" w:rsidRPr="00D23116">
        <w:rPr>
          <w:rFonts w:ascii="Arial" w:hAnsi="Arial" w:cs="Arial"/>
          <w:bCs/>
          <w:sz w:val="20"/>
          <w:szCs w:val="20"/>
        </w:rPr>
        <w:t xml:space="preserve">into clot activator–coated vacutainers </w:t>
      </w:r>
      <w:r w:rsidR="00EA060F" w:rsidRPr="00D23116">
        <w:rPr>
          <w:rFonts w:ascii="Arial" w:hAnsi="Arial" w:cs="Arial"/>
          <w:bCs/>
          <w:sz w:val="20"/>
          <w:szCs w:val="20"/>
        </w:rPr>
        <w:t>(BD Va</w:t>
      </w:r>
      <w:r w:rsidRPr="00D23116">
        <w:rPr>
          <w:rFonts w:ascii="Arial" w:hAnsi="Arial" w:cs="Arial"/>
          <w:bCs/>
          <w:sz w:val="20"/>
          <w:szCs w:val="20"/>
        </w:rPr>
        <w:t xml:space="preserve">cutainer TM). </w:t>
      </w:r>
      <w:r w:rsidR="002D03A3" w:rsidRPr="00D23116">
        <w:rPr>
          <w:rFonts w:ascii="Arial" w:hAnsi="Arial" w:cs="Arial"/>
          <w:sz w:val="20"/>
          <w:szCs w:val="20"/>
        </w:rPr>
        <w:t xml:space="preserve">Samples were placed on ice, centrifuged at 3000 × g for 10 min to separate serum, aliquoted, and stored at −80°C until analysis. Serum anti-Müllerian hormone (AMH) concentrations were estimated using a commercial cattle AMH ELISA kit (ELK Biotechnology Co., Ltd., USA). The assay sensitivity was 177.4 </w:t>
      </w:r>
      <w:proofErr w:type="spellStart"/>
      <w:r w:rsidR="002D03A3" w:rsidRPr="00D23116">
        <w:rPr>
          <w:rFonts w:ascii="Arial" w:hAnsi="Arial" w:cs="Arial"/>
          <w:sz w:val="20"/>
          <w:szCs w:val="20"/>
        </w:rPr>
        <w:t>pg</w:t>
      </w:r>
      <w:proofErr w:type="spellEnd"/>
      <w:r w:rsidR="002D03A3" w:rsidRPr="00D23116">
        <w:rPr>
          <w:rFonts w:ascii="Arial" w:hAnsi="Arial" w:cs="Arial"/>
          <w:sz w:val="20"/>
          <w:szCs w:val="20"/>
        </w:rPr>
        <w:t>/mL, with intra- and inter-assay coefficients of variation of &lt;8% and &lt;10%, respectively.</w:t>
      </w:r>
    </w:p>
    <w:p w14:paraId="11C6A4F1" w14:textId="77777777" w:rsidR="0032084D" w:rsidRPr="00D23116" w:rsidRDefault="00DC0341" w:rsidP="00D23116">
      <w:pPr>
        <w:spacing w:after="0" w:line="240" w:lineRule="auto"/>
        <w:jc w:val="both"/>
        <w:rPr>
          <w:rFonts w:ascii="Arial" w:hAnsi="Arial" w:cs="Arial"/>
          <w:b/>
          <w:bCs/>
          <w:sz w:val="20"/>
          <w:szCs w:val="20"/>
        </w:rPr>
      </w:pPr>
      <w:r w:rsidRPr="00D23116">
        <w:rPr>
          <w:rFonts w:ascii="Arial" w:hAnsi="Arial" w:cs="Arial"/>
          <w:b/>
          <w:bCs/>
          <w:sz w:val="20"/>
          <w:szCs w:val="20"/>
        </w:rPr>
        <w:t>Age-Based Grouping of Animals</w:t>
      </w:r>
      <w:r w:rsidR="0032084D" w:rsidRPr="00D23116">
        <w:rPr>
          <w:rFonts w:ascii="Arial" w:hAnsi="Arial" w:cs="Arial"/>
          <w:b/>
          <w:bCs/>
          <w:sz w:val="20"/>
          <w:szCs w:val="20"/>
        </w:rPr>
        <w:t xml:space="preserve">: </w:t>
      </w:r>
      <w:r w:rsidRPr="00D23116">
        <w:rPr>
          <w:rFonts w:ascii="Arial" w:hAnsi="Arial" w:cs="Arial"/>
          <w:bCs/>
          <w:sz w:val="20"/>
          <w:szCs w:val="20"/>
        </w:rPr>
        <w:t xml:space="preserve">To </w:t>
      </w:r>
      <w:r w:rsidR="0032084D" w:rsidRPr="00D23116">
        <w:rPr>
          <w:rFonts w:ascii="Arial" w:hAnsi="Arial" w:cs="Arial"/>
          <w:bCs/>
          <w:sz w:val="20"/>
          <w:szCs w:val="20"/>
        </w:rPr>
        <w:t>assess the effect of age on AFC and AMH, the animals were ranked into young (</w:t>
      </w:r>
      <w:r w:rsidRPr="00D23116">
        <w:rPr>
          <w:rFonts w:ascii="Arial" w:hAnsi="Arial" w:cs="Arial"/>
          <w:bCs/>
          <w:sz w:val="20"/>
          <w:szCs w:val="20"/>
        </w:rPr>
        <w:t xml:space="preserve">youngest </w:t>
      </w:r>
      <w:r w:rsidR="0032084D" w:rsidRPr="00D23116">
        <w:rPr>
          <w:rFonts w:ascii="Arial" w:hAnsi="Arial" w:cs="Arial"/>
          <w:bCs/>
          <w:sz w:val="20"/>
          <w:szCs w:val="20"/>
        </w:rPr>
        <w:t>20%, 17/84), middle age (intermediate 60%, 50/84) and old age (oldest 20%, 17/84) categories.</w:t>
      </w:r>
    </w:p>
    <w:p w14:paraId="0CB27969" w14:textId="77777777" w:rsidR="006F4932" w:rsidRPr="00D23116" w:rsidRDefault="00DC0341" w:rsidP="00D23116">
      <w:pPr>
        <w:spacing w:after="0" w:line="240" w:lineRule="auto"/>
        <w:jc w:val="both"/>
        <w:rPr>
          <w:rFonts w:ascii="Arial" w:hAnsi="Arial" w:cs="Arial"/>
          <w:bCs/>
          <w:sz w:val="20"/>
          <w:szCs w:val="20"/>
        </w:rPr>
      </w:pPr>
      <w:r w:rsidRPr="00D23116">
        <w:rPr>
          <w:rFonts w:ascii="Arial" w:hAnsi="Arial" w:cs="Arial"/>
          <w:b/>
          <w:bCs/>
          <w:sz w:val="20"/>
          <w:szCs w:val="20"/>
        </w:rPr>
        <w:t xml:space="preserve">Statistical </w:t>
      </w:r>
      <w:r w:rsidR="006F4932" w:rsidRPr="00D23116">
        <w:rPr>
          <w:rFonts w:ascii="Arial" w:hAnsi="Arial" w:cs="Arial"/>
          <w:b/>
          <w:bCs/>
          <w:sz w:val="20"/>
          <w:szCs w:val="20"/>
        </w:rPr>
        <w:t>analysis</w:t>
      </w:r>
      <w:r w:rsidR="00011987" w:rsidRPr="00D23116">
        <w:rPr>
          <w:rFonts w:ascii="Arial" w:hAnsi="Arial" w:cs="Arial"/>
          <w:b/>
          <w:bCs/>
          <w:sz w:val="20"/>
          <w:szCs w:val="20"/>
        </w:rPr>
        <w:t xml:space="preserve">: </w:t>
      </w:r>
      <w:r w:rsidRPr="00D23116">
        <w:rPr>
          <w:rFonts w:ascii="Arial" w:hAnsi="Arial" w:cs="Arial"/>
          <w:bCs/>
          <w:sz w:val="20"/>
          <w:szCs w:val="20"/>
        </w:rPr>
        <w:t>Statistical analysis was performed following Snedecor and Cochran (1994) using SPSS software (version 15.0). Differences and correlations among variables were considered statistically significant at p &lt; 0.05.</w:t>
      </w:r>
    </w:p>
    <w:p w14:paraId="35E86C0A" w14:textId="77777777" w:rsidR="00D23116" w:rsidRPr="00FC5904" w:rsidRDefault="00D23116" w:rsidP="00D23116">
      <w:pPr>
        <w:spacing w:after="0" w:line="240" w:lineRule="auto"/>
        <w:jc w:val="both"/>
        <w:rPr>
          <w:rFonts w:ascii="Arial" w:hAnsi="Arial" w:cs="Arial"/>
          <w:b/>
          <w:bCs/>
          <w:sz w:val="24"/>
          <w:szCs w:val="20"/>
        </w:rPr>
      </w:pPr>
    </w:p>
    <w:p w14:paraId="30858CA2" w14:textId="77777777" w:rsidR="006F4932" w:rsidRPr="00FC5904" w:rsidRDefault="00011987" w:rsidP="00D23116">
      <w:pPr>
        <w:pStyle w:val="ListParagraph"/>
        <w:numPr>
          <w:ilvl w:val="0"/>
          <w:numId w:val="14"/>
        </w:numPr>
        <w:spacing w:after="0" w:line="240" w:lineRule="auto"/>
        <w:jc w:val="both"/>
        <w:rPr>
          <w:rFonts w:ascii="Arial" w:hAnsi="Arial" w:cs="Arial"/>
          <w:b/>
          <w:bCs/>
          <w:sz w:val="24"/>
          <w:szCs w:val="20"/>
        </w:rPr>
      </w:pPr>
      <w:r w:rsidRPr="00FC5904">
        <w:rPr>
          <w:rFonts w:ascii="Arial" w:hAnsi="Arial" w:cs="Arial"/>
          <w:b/>
          <w:bCs/>
          <w:sz w:val="24"/>
          <w:szCs w:val="20"/>
        </w:rPr>
        <w:t>RESULTS</w:t>
      </w:r>
      <w:r w:rsidR="00A94B7A" w:rsidRPr="00FC5904">
        <w:rPr>
          <w:rFonts w:ascii="Arial" w:hAnsi="Arial" w:cs="Arial"/>
          <w:b/>
          <w:bCs/>
          <w:sz w:val="24"/>
          <w:szCs w:val="20"/>
        </w:rPr>
        <w:t xml:space="preserve"> AND DISCUSSION</w:t>
      </w:r>
    </w:p>
    <w:p w14:paraId="0E70E3E5" w14:textId="2AD246F0" w:rsidR="00011987" w:rsidRPr="00D23116" w:rsidRDefault="006F4932" w:rsidP="00D23116">
      <w:pPr>
        <w:spacing w:after="0" w:line="240" w:lineRule="auto"/>
        <w:jc w:val="both"/>
        <w:rPr>
          <w:rFonts w:ascii="Arial" w:hAnsi="Arial" w:cs="Arial"/>
          <w:bCs/>
          <w:sz w:val="20"/>
          <w:szCs w:val="20"/>
        </w:rPr>
      </w:pPr>
      <w:r w:rsidRPr="00D23116">
        <w:rPr>
          <w:rFonts w:ascii="Arial" w:hAnsi="Arial" w:cs="Arial"/>
          <w:bCs/>
          <w:sz w:val="20"/>
          <w:szCs w:val="20"/>
        </w:rPr>
        <w:t xml:space="preserve">The average age of all the </w:t>
      </w:r>
      <w:r w:rsidR="00747433" w:rsidRPr="00D23116">
        <w:rPr>
          <w:rFonts w:ascii="Arial" w:hAnsi="Arial" w:cs="Arial"/>
          <w:bCs/>
          <w:sz w:val="20"/>
          <w:szCs w:val="20"/>
        </w:rPr>
        <w:t>animals</w:t>
      </w:r>
      <w:r w:rsidRPr="00D23116">
        <w:rPr>
          <w:rFonts w:ascii="Arial" w:hAnsi="Arial" w:cs="Arial"/>
          <w:bCs/>
          <w:sz w:val="20"/>
          <w:szCs w:val="20"/>
        </w:rPr>
        <w:t xml:space="preserve"> </w:t>
      </w:r>
      <w:r w:rsidRPr="00D23116">
        <w:rPr>
          <w:rFonts w:ascii="Arial" w:hAnsi="Arial" w:cs="Arial"/>
          <w:sz w:val="20"/>
          <w:szCs w:val="20"/>
        </w:rPr>
        <w:t xml:space="preserve">(n=84) </w:t>
      </w:r>
      <w:r w:rsidRPr="00D23116">
        <w:rPr>
          <w:rFonts w:ascii="Arial" w:hAnsi="Arial" w:cs="Arial"/>
          <w:bCs/>
          <w:sz w:val="20"/>
          <w:szCs w:val="20"/>
        </w:rPr>
        <w:t xml:space="preserve">included in </w:t>
      </w:r>
      <w:r w:rsidRPr="00D23116">
        <w:rPr>
          <w:rFonts w:ascii="Arial" w:hAnsi="Arial" w:cs="Arial"/>
          <w:sz w:val="20"/>
          <w:szCs w:val="20"/>
        </w:rPr>
        <w:t xml:space="preserve">the present investigation </w:t>
      </w:r>
      <w:r w:rsidRPr="00D23116">
        <w:rPr>
          <w:rFonts w:ascii="Arial" w:hAnsi="Arial" w:cs="Arial"/>
          <w:bCs/>
          <w:sz w:val="20"/>
          <w:szCs w:val="20"/>
        </w:rPr>
        <w:t>was 9 years 2 months</w:t>
      </w:r>
      <w:r w:rsidR="003F5CDA" w:rsidRPr="00D23116">
        <w:rPr>
          <w:rFonts w:ascii="Arial" w:hAnsi="Arial" w:cs="Arial"/>
          <w:bCs/>
          <w:sz w:val="20"/>
          <w:szCs w:val="20"/>
        </w:rPr>
        <w:t xml:space="preserve"> (9.19</w:t>
      </w:r>
      <w:r w:rsidR="00252FDE" w:rsidRPr="00D23116">
        <w:rPr>
          <w:rFonts w:ascii="Arial" w:hAnsi="Arial" w:cs="Arial"/>
          <w:bCs/>
          <w:sz w:val="20"/>
          <w:szCs w:val="20"/>
        </w:rPr>
        <w:t xml:space="preserve"> </w:t>
      </w:r>
      <w:r w:rsidR="00252FDE" w:rsidRPr="00D23116">
        <w:rPr>
          <w:rFonts w:ascii="Arial" w:hAnsi="Arial" w:cs="Arial"/>
          <w:sz w:val="20"/>
          <w:szCs w:val="20"/>
        </w:rPr>
        <w:t xml:space="preserve">± </w:t>
      </w:r>
      <w:r w:rsidR="00252FDE" w:rsidRPr="00D23116">
        <w:rPr>
          <w:rFonts w:ascii="Arial" w:hAnsi="Arial" w:cs="Arial"/>
          <w:bCs/>
          <w:sz w:val="20"/>
          <w:szCs w:val="20"/>
        </w:rPr>
        <w:t>0.48)</w:t>
      </w:r>
      <w:r w:rsidRPr="00D23116">
        <w:rPr>
          <w:rFonts w:ascii="Arial" w:hAnsi="Arial" w:cs="Arial"/>
          <w:bCs/>
          <w:sz w:val="20"/>
          <w:szCs w:val="20"/>
        </w:rPr>
        <w:t xml:space="preserve">. The </w:t>
      </w:r>
      <w:r w:rsidRPr="00D23116">
        <w:rPr>
          <w:rFonts w:ascii="Arial" w:hAnsi="Arial" w:cs="Arial"/>
          <w:sz w:val="20"/>
          <w:szCs w:val="20"/>
          <w:lang w:val="en-US"/>
        </w:rPr>
        <w:t xml:space="preserve">mean number of </w:t>
      </w:r>
      <w:r w:rsidRPr="00D23116">
        <w:rPr>
          <w:rFonts w:ascii="Arial" w:hAnsi="Arial" w:cs="Arial"/>
          <w:sz w:val="20"/>
          <w:szCs w:val="20"/>
        </w:rPr>
        <w:t>AFC</w:t>
      </w:r>
      <w:r w:rsidR="003F5CDA" w:rsidRPr="00D23116">
        <w:rPr>
          <w:rFonts w:ascii="Arial" w:hAnsi="Arial" w:cs="Arial"/>
          <w:sz w:val="20"/>
          <w:szCs w:val="20"/>
        </w:rPr>
        <w:t>s</w:t>
      </w:r>
      <w:r w:rsidRPr="00D23116">
        <w:rPr>
          <w:rFonts w:ascii="Arial" w:hAnsi="Arial" w:cs="Arial"/>
          <w:sz w:val="20"/>
          <w:szCs w:val="20"/>
        </w:rPr>
        <w:t xml:space="preserve"> </w:t>
      </w:r>
      <w:r w:rsidR="003F5CDA" w:rsidRPr="00D23116">
        <w:rPr>
          <w:rFonts w:ascii="Arial" w:hAnsi="Arial" w:cs="Arial"/>
          <w:sz w:val="20"/>
          <w:szCs w:val="20"/>
        </w:rPr>
        <w:t>were</w:t>
      </w:r>
      <w:r w:rsidRPr="00D23116">
        <w:rPr>
          <w:rFonts w:ascii="Arial" w:hAnsi="Arial" w:cs="Arial"/>
          <w:sz w:val="20"/>
          <w:szCs w:val="20"/>
        </w:rPr>
        <w:t xml:space="preserve"> recorded as 34.10 ± 2.11 (range: 3 – 104)</w:t>
      </w:r>
      <w:r w:rsidR="005F5A3A" w:rsidRPr="00D23116">
        <w:rPr>
          <w:rFonts w:ascii="Arial" w:hAnsi="Arial" w:cs="Arial"/>
          <w:sz w:val="20"/>
          <w:szCs w:val="20"/>
        </w:rPr>
        <w:t>.</w:t>
      </w:r>
      <w:r w:rsidRPr="00D23116">
        <w:rPr>
          <w:rFonts w:ascii="Arial" w:hAnsi="Arial" w:cs="Arial"/>
          <w:sz w:val="20"/>
          <w:szCs w:val="20"/>
        </w:rPr>
        <w:t xml:space="preserve"> </w:t>
      </w:r>
      <w:r w:rsidR="001A4D43" w:rsidRPr="00D23116">
        <w:rPr>
          <w:rFonts w:ascii="Arial" w:hAnsi="Arial" w:cs="Arial"/>
          <w:bCs/>
          <w:sz w:val="20"/>
          <w:szCs w:val="20"/>
        </w:rPr>
        <w:t xml:space="preserve">Published data indicate that the peak number of antral follicles (≥ 3 mm) recruited per follicular wave is highly variable (range 8-54) among individuals (Burns </w:t>
      </w:r>
      <w:r w:rsidR="0015636F" w:rsidRPr="00D23116">
        <w:rPr>
          <w:rFonts w:ascii="Arial" w:hAnsi="Arial" w:cs="Arial"/>
          <w:bCs/>
          <w:i/>
          <w:sz w:val="20"/>
          <w:szCs w:val="20"/>
        </w:rPr>
        <w:t xml:space="preserve">et al., </w:t>
      </w:r>
      <w:r w:rsidR="001A4D43" w:rsidRPr="00D23116">
        <w:rPr>
          <w:rFonts w:ascii="Arial" w:hAnsi="Arial" w:cs="Arial"/>
          <w:bCs/>
          <w:sz w:val="20"/>
          <w:szCs w:val="20"/>
        </w:rPr>
        <w:t xml:space="preserve">2005) as observed in the present </w:t>
      </w:r>
      <w:r w:rsidR="001A4D43" w:rsidRPr="0005286B">
        <w:rPr>
          <w:rFonts w:ascii="Arial" w:hAnsi="Arial" w:cs="Arial"/>
          <w:bCs/>
          <w:sz w:val="20"/>
          <w:szCs w:val="20"/>
          <w:highlight w:val="yellow"/>
        </w:rPr>
        <w:t xml:space="preserve">study </w:t>
      </w:r>
      <w:r w:rsidR="00B90B06" w:rsidRPr="0005286B">
        <w:rPr>
          <w:rFonts w:ascii="Arial" w:hAnsi="Arial" w:cs="Arial"/>
          <w:bCs/>
          <w:sz w:val="20"/>
          <w:szCs w:val="20"/>
          <w:highlight w:val="yellow"/>
          <w:lang w:val="en-US"/>
        </w:rPr>
        <w:t>(Fig</w:t>
      </w:r>
      <w:r w:rsidR="0005286B" w:rsidRPr="0005286B">
        <w:rPr>
          <w:rFonts w:ascii="Arial" w:hAnsi="Arial" w:cs="Arial"/>
          <w:bCs/>
          <w:sz w:val="20"/>
          <w:szCs w:val="20"/>
          <w:highlight w:val="yellow"/>
          <w:lang w:val="en-US"/>
        </w:rPr>
        <w:t>.</w:t>
      </w:r>
      <w:r w:rsidR="00B90B06" w:rsidRPr="0005286B">
        <w:rPr>
          <w:rFonts w:ascii="Arial" w:hAnsi="Arial" w:cs="Arial"/>
          <w:bCs/>
          <w:sz w:val="20"/>
          <w:szCs w:val="20"/>
          <w:highlight w:val="yellow"/>
          <w:lang w:val="en-US"/>
        </w:rPr>
        <w:t xml:space="preserve"> 1</w:t>
      </w:r>
      <w:r w:rsidR="001A4D43" w:rsidRPr="0005286B">
        <w:rPr>
          <w:rFonts w:ascii="Arial" w:hAnsi="Arial" w:cs="Arial"/>
          <w:bCs/>
          <w:sz w:val="20"/>
          <w:szCs w:val="20"/>
          <w:highlight w:val="yellow"/>
          <w:lang w:val="en-US"/>
        </w:rPr>
        <w:t>)</w:t>
      </w:r>
      <w:r w:rsidR="001A4D43" w:rsidRPr="0005286B">
        <w:rPr>
          <w:rFonts w:ascii="Arial" w:hAnsi="Arial" w:cs="Arial"/>
          <w:bCs/>
          <w:sz w:val="20"/>
          <w:szCs w:val="20"/>
          <w:highlight w:val="yellow"/>
        </w:rPr>
        <w:t>,</w:t>
      </w:r>
      <w:r w:rsidR="001A4D43" w:rsidRPr="00D23116">
        <w:rPr>
          <w:rFonts w:ascii="Arial" w:hAnsi="Arial" w:cs="Arial"/>
          <w:bCs/>
          <w:sz w:val="20"/>
          <w:szCs w:val="20"/>
        </w:rPr>
        <w:t xml:space="preserve"> but highly repeatable with in an animal. </w:t>
      </w:r>
      <w:r w:rsidR="005F5A3A" w:rsidRPr="00D23116">
        <w:rPr>
          <w:rFonts w:ascii="Arial" w:hAnsi="Arial" w:cs="Arial"/>
          <w:bCs/>
          <w:sz w:val="20"/>
          <w:szCs w:val="20"/>
        </w:rPr>
        <w:t xml:space="preserve">Numerous earlier studies </w:t>
      </w:r>
      <w:r w:rsidR="00747433" w:rsidRPr="00D23116">
        <w:rPr>
          <w:rFonts w:ascii="Arial" w:hAnsi="Arial" w:cs="Arial"/>
          <w:bCs/>
          <w:sz w:val="20"/>
          <w:szCs w:val="20"/>
        </w:rPr>
        <w:t>were</w:t>
      </w:r>
      <w:r w:rsidR="005F5A3A" w:rsidRPr="00D23116">
        <w:rPr>
          <w:rFonts w:ascii="Arial" w:hAnsi="Arial" w:cs="Arial"/>
          <w:bCs/>
          <w:sz w:val="20"/>
          <w:szCs w:val="20"/>
        </w:rPr>
        <w:t xml:space="preserve"> confirmed </w:t>
      </w:r>
      <w:r w:rsidR="00747433" w:rsidRPr="00D23116">
        <w:rPr>
          <w:rFonts w:ascii="Arial" w:hAnsi="Arial" w:cs="Arial"/>
          <w:bCs/>
          <w:sz w:val="20"/>
          <w:szCs w:val="20"/>
        </w:rPr>
        <w:t xml:space="preserve">the </w:t>
      </w:r>
      <w:r w:rsidR="005F5A3A" w:rsidRPr="00D23116">
        <w:rPr>
          <w:rFonts w:ascii="Arial" w:hAnsi="Arial" w:cs="Arial"/>
          <w:bCs/>
          <w:sz w:val="20"/>
          <w:szCs w:val="20"/>
        </w:rPr>
        <w:t>high individual variability in AFC</w:t>
      </w:r>
      <w:r w:rsidR="001A4D43" w:rsidRPr="00D23116">
        <w:rPr>
          <w:rFonts w:ascii="Arial" w:hAnsi="Arial" w:cs="Arial"/>
          <w:bCs/>
          <w:sz w:val="20"/>
          <w:szCs w:val="20"/>
        </w:rPr>
        <w:t>, ranging</w:t>
      </w:r>
      <w:r w:rsidR="005F5A3A" w:rsidRPr="00D23116">
        <w:rPr>
          <w:rFonts w:ascii="Arial" w:hAnsi="Arial" w:cs="Arial"/>
          <w:bCs/>
          <w:sz w:val="20"/>
          <w:szCs w:val="20"/>
        </w:rPr>
        <w:t xml:space="preserve"> from 22-125 in Gir cows, 18-110 in Holstein cows and 11-53 in Murrah buffaloes (</w:t>
      </w:r>
      <w:proofErr w:type="spellStart"/>
      <w:r w:rsidR="005F5A3A" w:rsidRPr="00D23116">
        <w:rPr>
          <w:rFonts w:ascii="Arial" w:hAnsi="Arial" w:cs="Arial"/>
          <w:bCs/>
          <w:sz w:val="20"/>
          <w:szCs w:val="20"/>
        </w:rPr>
        <w:t>Baldrighi</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2014), 18-85 in </w:t>
      </w:r>
      <w:proofErr w:type="spellStart"/>
      <w:r w:rsidR="005F5A3A" w:rsidRPr="00D23116">
        <w:rPr>
          <w:rFonts w:ascii="Arial" w:hAnsi="Arial" w:cs="Arial"/>
          <w:bCs/>
          <w:sz w:val="20"/>
          <w:szCs w:val="20"/>
        </w:rPr>
        <w:t>Nelore</w:t>
      </w:r>
      <w:proofErr w:type="spellEnd"/>
      <w:r w:rsidR="005F5A3A" w:rsidRPr="00D23116">
        <w:rPr>
          <w:rFonts w:ascii="Arial" w:hAnsi="Arial" w:cs="Arial"/>
          <w:bCs/>
          <w:sz w:val="20"/>
          <w:szCs w:val="20"/>
        </w:rPr>
        <w:t xml:space="preserve"> heifers (Batista </w:t>
      </w:r>
      <w:r w:rsidR="0015636F" w:rsidRPr="00D23116">
        <w:rPr>
          <w:rFonts w:ascii="Arial" w:hAnsi="Arial" w:cs="Arial"/>
          <w:bCs/>
          <w:i/>
          <w:sz w:val="20"/>
          <w:szCs w:val="20"/>
        </w:rPr>
        <w:t xml:space="preserve">et al., </w:t>
      </w:r>
      <w:r w:rsidR="005F5A3A" w:rsidRPr="00D23116">
        <w:rPr>
          <w:rFonts w:ascii="Arial" w:hAnsi="Arial" w:cs="Arial"/>
          <w:bCs/>
          <w:sz w:val="20"/>
          <w:szCs w:val="20"/>
        </w:rPr>
        <w:t>2014), 2-90 in Braford cows (</w:t>
      </w:r>
      <w:proofErr w:type="spellStart"/>
      <w:r w:rsidR="005F5A3A" w:rsidRPr="00D23116">
        <w:rPr>
          <w:rFonts w:ascii="Arial" w:hAnsi="Arial" w:cs="Arial"/>
          <w:bCs/>
          <w:sz w:val="20"/>
          <w:szCs w:val="20"/>
        </w:rPr>
        <w:t>Morotti</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2016), 10-53 at unknown stage of follicular growth and 6-45 on the expected day of follicular wave emergence in Holstein cows (</w:t>
      </w:r>
      <w:proofErr w:type="spellStart"/>
      <w:r w:rsidR="005F5A3A" w:rsidRPr="00D23116">
        <w:rPr>
          <w:rFonts w:ascii="Arial" w:hAnsi="Arial" w:cs="Arial"/>
          <w:bCs/>
          <w:sz w:val="20"/>
          <w:szCs w:val="20"/>
        </w:rPr>
        <w:t>Gobikrushanth</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2017), 13-59 irrespective of FSH pre-treatment in </w:t>
      </w:r>
      <w:proofErr w:type="spellStart"/>
      <w:r w:rsidR="005F5A3A" w:rsidRPr="00D23116">
        <w:rPr>
          <w:rFonts w:ascii="Arial" w:hAnsi="Arial" w:cs="Arial"/>
          <w:bCs/>
          <w:sz w:val="20"/>
          <w:szCs w:val="20"/>
        </w:rPr>
        <w:t>Ongole</w:t>
      </w:r>
      <w:proofErr w:type="spellEnd"/>
      <w:r w:rsidR="005F5A3A" w:rsidRPr="00D23116">
        <w:rPr>
          <w:rFonts w:ascii="Arial" w:hAnsi="Arial" w:cs="Arial"/>
          <w:bCs/>
          <w:sz w:val="20"/>
          <w:szCs w:val="20"/>
        </w:rPr>
        <w:t xml:space="preserve"> cows (Krishna </w:t>
      </w:r>
      <w:r w:rsidR="005F5A3A" w:rsidRPr="00D23116">
        <w:rPr>
          <w:rFonts w:ascii="Arial" w:hAnsi="Arial" w:cs="Arial"/>
          <w:bCs/>
          <w:i/>
          <w:sz w:val="20"/>
          <w:szCs w:val="20"/>
        </w:rPr>
        <w:t>et al,</w:t>
      </w:r>
      <w:r w:rsidR="005F5A3A" w:rsidRPr="00D23116">
        <w:rPr>
          <w:rFonts w:ascii="Arial" w:hAnsi="Arial" w:cs="Arial"/>
          <w:bCs/>
          <w:sz w:val="20"/>
          <w:szCs w:val="20"/>
        </w:rPr>
        <w:t>, 2023)</w:t>
      </w:r>
      <w:r w:rsidR="0005286B">
        <w:rPr>
          <w:rFonts w:ascii="Arial" w:hAnsi="Arial" w:cs="Arial"/>
          <w:bCs/>
          <w:sz w:val="20"/>
          <w:szCs w:val="20"/>
        </w:rPr>
        <w:t>.</w:t>
      </w:r>
    </w:p>
    <w:p w14:paraId="1BE36EC8" w14:textId="7BBAE594" w:rsidR="009E1493" w:rsidRDefault="00747433"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In the present study, a single serum AMH estimation along with ultrasonographic examination of the ovaries was carried out in </w:t>
      </w:r>
      <w:proofErr w:type="spellStart"/>
      <w:r w:rsidRPr="00D23116">
        <w:rPr>
          <w:rFonts w:ascii="Arial" w:hAnsi="Arial" w:cs="Arial"/>
          <w:bCs/>
          <w:sz w:val="20"/>
          <w:szCs w:val="20"/>
        </w:rPr>
        <w:t>Ongole</w:t>
      </w:r>
      <w:proofErr w:type="spellEnd"/>
      <w:r w:rsidRPr="00D23116">
        <w:rPr>
          <w:rFonts w:ascii="Arial" w:hAnsi="Arial" w:cs="Arial"/>
          <w:bCs/>
          <w:sz w:val="20"/>
          <w:szCs w:val="20"/>
        </w:rPr>
        <w:t xml:space="preserve"> cows at a random stage of the </w:t>
      </w:r>
      <w:proofErr w:type="spellStart"/>
      <w:r w:rsidRPr="00D23116">
        <w:rPr>
          <w:rFonts w:ascii="Arial" w:hAnsi="Arial" w:cs="Arial"/>
          <w:bCs/>
          <w:sz w:val="20"/>
          <w:szCs w:val="20"/>
        </w:rPr>
        <w:t>estrous</w:t>
      </w:r>
      <w:proofErr w:type="spellEnd"/>
      <w:r w:rsidRPr="00D23116">
        <w:rPr>
          <w:rFonts w:ascii="Arial" w:hAnsi="Arial" w:cs="Arial"/>
          <w:bCs/>
          <w:sz w:val="20"/>
          <w:szCs w:val="20"/>
        </w:rPr>
        <w:t xml:space="preserve"> cycle. This approach was based on the findings of Ireland </w:t>
      </w:r>
      <w:r w:rsidR="0015636F" w:rsidRPr="00D23116">
        <w:rPr>
          <w:rFonts w:ascii="Arial" w:hAnsi="Arial" w:cs="Arial"/>
          <w:bCs/>
          <w:i/>
          <w:sz w:val="20"/>
          <w:szCs w:val="20"/>
        </w:rPr>
        <w:t xml:space="preserve">et al. </w:t>
      </w:r>
      <w:r w:rsidRPr="00D23116">
        <w:rPr>
          <w:rFonts w:ascii="Arial" w:hAnsi="Arial" w:cs="Arial"/>
          <w:bCs/>
          <w:sz w:val="20"/>
          <w:szCs w:val="20"/>
        </w:rPr>
        <w:t xml:space="preserve">(2011), who demonstrated that a single AMH measurement in an individual animal shows a strong correlation with the mean of multiple AMH measurements taken across different days within the same or across multiple </w:t>
      </w:r>
      <w:proofErr w:type="spellStart"/>
      <w:r w:rsidRPr="00D23116">
        <w:rPr>
          <w:rFonts w:ascii="Arial" w:hAnsi="Arial" w:cs="Arial"/>
          <w:bCs/>
          <w:sz w:val="20"/>
          <w:szCs w:val="20"/>
        </w:rPr>
        <w:t>estrous</w:t>
      </w:r>
      <w:proofErr w:type="spellEnd"/>
      <w:r w:rsidRPr="00D23116">
        <w:rPr>
          <w:rFonts w:ascii="Arial" w:hAnsi="Arial" w:cs="Arial"/>
          <w:bCs/>
          <w:sz w:val="20"/>
          <w:szCs w:val="20"/>
        </w:rPr>
        <w:t xml:space="preserve"> cycles. </w:t>
      </w:r>
      <w:r w:rsidR="005F5A3A" w:rsidRPr="00D23116">
        <w:rPr>
          <w:rFonts w:ascii="Arial" w:hAnsi="Arial" w:cs="Arial"/>
          <w:sz w:val="20"/>
          <w:szCs w:val="20"/>
        </w:rPr>
        <w:t xml:space="preserve">The average serum </w:t>
      </w:r>
      <w:r w:rsidRPr="00D23116">
        <w:rPr>
          <w:rFonts w:ascii="Arial" w:hAnsi="Arial" w:cs="Arial"/>
          <w:sz w:val="20"/>
          <w:szCs w:val="20"/>
        </w:rPr>
        <w:t xml:space="preserve">AMH </w:t>
      </w:r>
      <w:r w:rsidR="005F5A3A" w:rsidRPr="00D23116">
        <w:rPr>
          <w:rFonts w:ascii="Arial" w:hAnsi="Arial" w:cs="Arial"/>
          <w:sz w:val="20"/>
          <w:szCs w:val="20"/>
        </w:rPr>
        <w:t xml:space="preserve">concentration </w:t>
      </w:r>
      <w:r w:rsidRPr="00D23116">
        <w:rPr>
          <w:rFonts w:ascii="Arial" w:hAnsi="Arial" w:cs="Arial"/>
          <w:sz w:val="20"/>
          <w:szCs w:val="20"/>
        </w:rPr>
        <w:t>(</w:t>
      </w:r>
      <w:r w:rsidRPr="00D23116">
        <w:rPr>
          <w:rFonts w:ascii="Arial" w:hAnsi="Arial" w:cs="Arial"/>
          <w:bCs/>
          <w:sz w:val="20"/>
          <w:szCs w:val="20"/>
        </w:rPr>
        <w:t xml:space="preserve">ng/mL) </w:t>
      </w:r>
      <w:r w:rsidR="005F5A3A" w:rsidRPr="00D23116">
        <w:rPr>
          <w:rFonts w:ascii="Arial" w:hAnsi="Arial" w:cs="Arial"/>
          <w:sz w:val="20"/>
          <w:szCs w:val="20"/>
        </w:rPr>
        <w:t>in the current study was recorded as</w:t>
      </w:r>
      <w:r w:rsidR="005F5A3A" w:rsidRPr="00D23116">
        <w:rPr>
          <w:rFonts w:ascii="Arial" w:hAnsi="Arial" w:cs="Arial"/>
          <w:sz w:val="20"/>
          <w:szCs w:val="20"/>
          <w:lang w:val="en-US"/>
        </w:rPr>
        <w:t xml:space="preserve"> </w:t>
      </w:r>
      <w:r w:rsidR="005F5A3A" w:rsidRPr="00D23116">
        <w:rPr>
          <w:rFonts w:ascii="Arial" w:hAnsi="Arial" w:cs="Arial"/>
          <w:sz w:val="20"/>
          <w:szCs w:val="20"/>
        </w:rPr>
        <w:t xml:space="preserve">1.04 ± 0.08 </w:t>
      </w:r>
      <w:r w:rsidR="005F5A3A" w:rsidRPr="00D23116">
        <w:rPr>
          <w:rFonts w:ascii="Arial" w:hAnsi="Arial" w:cs="Arial"/>
          <w:bCs/>
          <w:sz w:val="20"/>
          <w:szCs w:val="20"/>
        </w:rPr>
        <w:t>(</w:t>
      </w:r>
      <w:r w:rsidR="005F5A3A" w:rsidRPr="00D23116">
        <w:rPr>
          <w:rFonts w:ascii="Arial" w:hAnsi="Arial" w:cs="Arial"/>
          <w:sz w:val="20"/>
          <w:szCs w:val="20"/>
        </w:rPr>
        <w:t>range: 0.41 to 4.35</w:t>
      </w:r>
      <w:r w:rsidR="009E5E18" w:rsidRPr="00D23116">
        <w:rPr>
          <w:rFonts w:ascii="Arial" w:hAnsi="Arial" w:cs="Arial"/>
          <w:bCs/>
          <w:sz w:val="20"/>
          <w:szCs w:val="20"/>
        </w:rPr>
        <w:t xml:space="preserve">, </w:t>
      </w:r>
      <w:r w:rsidR="005F5A3A" w:rsidRPr="00D23116">
        <w:rPr>
          <w:rFonts w:ascii="Arial" w:hAnsi="Arial" w:cs="Arial"/>
          <w:bCs/>
          <w:sz w:val="20"/>
          <w:szCs w:val="20"/>
        </w:rPr>
        <w:t>Table 1)</w:t>
      </w:r>
      <w:r w:rsidR="00764ABB" w:rsidRPr="00D23116">
        <w:rPr>
          <w:rFonts w:ascii="Arial" w:hAnsi="Arial" w:cs="Arial"/>
          <w:bCs/>
          <w:sz w:val="20"/>
          <w:szCs w:val="20"/>
        </w:rPr>
        <w:t xml:space="preserve"> </w:t>
      </w:r>
      <w:r w:rsidR="00764ABB" w:rsidRPr="0005286B">
        <w:rPr>
          <w:rFonts w:ascii="Arial" w:hAnsi="Arial" w:cs="Arial"/>
          <w:bCs/>
          <w:sz w:val="20"/>
          <w:szCs w:val="20"/>
          <w:highlight w:val="yellow"/>
        </w:rPr>
        <w:t>with greater variance similar to AFC (Fig</w:t>
      </w:r>
      <w:r w:rsidR="0005286B" w:rsidRPr="0005286B">
        <w:rPr>
          <w:rFonts w:ascii="Arial" w:hAnsi="Arial" w:cs="Arial"/>
          <w:bCs/>
          <w:sz w:val="20"/>
          <w:szCs w:val="20"/>
          <w:highlight w:val="yellow"/>
        </w:rPr>
        <w:t>.</w:t>
      </w:r>
      <w:r w:rsidR="00764ABB" w:rsidRPr="0005286B">
        <w:rPr>
          <w:rFonts w:ascii="Arial" w:hAnsi="Arial" w:cs="Arial"/>
          <w:bCs/>
          <w:sz w:val="20"/>
          <w:szCs w:val="20"/>
          <w:highlight w:val="yellow"/>
        </w:rPr>
        <w:t xml:space="preserve"> 2)</w:t>
      </w:r>
      <w:r w:rsidR="005F5A3A" w:rsidRPr="0005286B">
        <w:rPr>
          <w:rFonts w:ascii="Arial" w:hAnsi="Arial" w:cs="Arial"/>
          <w:bCs/>
          <w:sz w:val="20"/>
          <w:szCs w:val="20"/>
          <w:highlight w:val="yellow"/>
        </w:rPr>
        <w:t>.</w:t>
      </w:r>
      <w:r w:rsidR="005F5A3A" w:rsidRPr="00D23116">
        <w:rPr>
          <w:rFonts w:ascii="Arial" w:hAnsi="Arial" w:cs="Arial"/>
          <w:bCs/>
          <w:sz w:val="20"/>
          <w:szCs w:val="20"/>
        </w:rPr>
        <w:t xml:space="preserve"> In line with this, Ribeiro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(2014) reported AMH levels ranging from 10 to 3198 </w:t>
      </w:r>
      <w:proofErr w:type="spellStart"/>
      <w:r w:rsidR="005F5A3A" w:rsidRPr="00D23116">
        <w:rPr>
          <w:rFonts w:ascii="Arial" w:hAnsi="Arial" w:cs="Arial"/>
          <w:bCs/>
          <w:sz w:val="20"/>
          <w:szCs w:val="20"/>
        </w:rPr>
        <w:t>pg</w:t>
      </w:r>
      <w:proofErr w:type="spellEnd"/>
      <w:r w:rsidR="005F5A3A" w:rsidRPr="00D23116">
        <w:rPr>
          <w:rFonts w:ascii="Arial" w:hAnsi="Arial" w:cs="Arial"/>
          <w:bCs/>
          <w:sz w:val="20"/>
          <w:szCs w:val="20"/>
        </w:rPr>
        <w:t>/ml (</w:t>
      </w:r>
      <w:r w:rsidR="009E5E18" w:rsidRPr="00D23116">
        <w:rPr>
          <w:rFonts w:ascii="Arial" w:hAnsi="Arial" w:cs="Arial"/>
          <w:bCs/>
          <w:sz w:val="20"/>
          <w:szCs w:val="20"/>
        </w:rPr>
        <w:t xml:space="preserve">320.3 ± 251.1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with considerable variation between animals. Elsewhere, AMH levels </w:t>
      </w:r>
      <w:r w:rsidR="009E1493" w:rsidRPr="00D23116">
        <w:rPr>
          <w:rFonts w:ascii="Arial" w:hAnsi="Arial" w:cs="Arial"/>
          <w:bCs/>
          <w:sz w:val="20"/>
          <w:szCs w:val="20"/>
        </w:rPr>
        <w:t xml:space="preserve">were reported </w:t>
      </w:r>
      <w:r w:rsidR="009E5E18" w:rsidRPr="00D23116">
        <w:rPr>
          <w:rFonts w:ascii="Arial" w:hAnsi="Arial" w:cs="Arial"/>
          <w:bCs/>
          <w:sz w:val="20"/>
          <w:szCs w:val="20"/>
        </w:rPr>
        <w:t xml:space="preserve">ranging from 32 to 1992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462B1E" w:rsidRPr="00D23116">
        <w:rPr>
          <w:rFonts w:ascii="Arial" w:hAnsi="Arial" w:cs="Arial"/>
          <w:bCs/>
          <w:sz w:val="20"/>
          <w:szCs w:val="20"/>
        </w:rPr>
        <w:t xml:space="preserve">in Japanese Black Cows </w:t>
      </w:r>
      <w:r w:rsidR="005F5A3A" w:rsidRPr="00D23116">
        <w:rPr>
          <w:rFonts w:ascii="Arial" w:hAnsi="Arial" w:cs="Arial"/>
          <w:bCs/>
          <w:sz w:val="20"/>
          <w:szCs w:val="20"/>
        </w:rPr>
        <w:t xml:space="preserve">(Hirayama </w:t>
      </w:r>
      <w:r w:rsidR="0015636F" w:rsidRPr="00D23116">
        <w:rPr>
          <w:rFonts w:ascii="Arial" w:hAnsi="Arial" w:cs="Arial"/>
          <w:bCs/>
          <w:i/>
          <w:sz w:val="20"/>
          <w:szCs w:val="20"/>
        </w:rPr>
        <w:t xml:space="preserve">et al., </w:t>
      </w:r>
      <w:r w:rsidR="009E5E18" w:rsidRPr="00D23116">
        <w:rPr>
          <w:rFonts w:ascii="Arial" w:hAnsi="Arial" w:cs="Arial"/>
          <w:bCs/>
          <w:sz w:val="20"/>
          <w:szCs w:val="20"/>
        </w:rPr>
        <w:t xml:space="preserve">2017), 13.9 to 1879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462B1E" w:rsidRPr="00D23116">
        <w:rPr>
          <w:rFonts w:ascii="Arial" w:hAnsi="Arial" w:cs="Arial"/>
          <w:bCs/>
          <w:sz w:val="20"/>
          <w:szCs w:val="20"/>
        </w:rPr>
        <w:t xml:space="preserve">in </w:t>
      </w:r>
      <w:r w:rsidR="009E1493" w:rsidRPr="00D23116">
        <w:rPr>
          <w:rFonts w:ascii="Arial" w:hAnsi="Arial" w:cs="Arial"/>
          <w:bCs/>
          <w:sz w:val="20"/>
          <w:szCs w:val="20"/>
        </w:rPr>
        <w:t xml:space="preserve">Canadian Holstein Cows </w:t>
      </w:r>
      <w:r w:rsidR="005F5A3A" w:rsidRPr="00D23116">
        <w:rPr>
          <w:rFonts w:ascii="Arial" w:hAnsi="Arial" w:cs="Arial"/>
          <w:bCs/>
          <w:sz w:val="20"/>
          <w:szCs w:val="20"/>
        </w:rPr>
        <w:t>(</w:t>
      </w:r>
      <w:proofErr w:type="spellStart"/>
      <w:r w:rsidR="005F5A3A" w:rsidRPr="00D23116">
        <w:rPr>
          <w:rFonts w:ascii="Arial" w:hAnsi="Arial" w:cs="Arial"/>
          <w:bCs/>
          <w:sz w:val="20"/>
          <w:szCs w:val="20"/>
        </w:rPr>
        <w:t>Gobikrushanth</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 xml:space="preserve">2018), 2.0 to 2000 </w:t>
      </w:r>
      <w:proofErr w:type="spellStart"/>
      <w:r w:rsidR="005F5A3A" w:rsidRPr="00D23116">
        <w:rPr>
          <w:rFonts w:ascii="Arial" w:hAnsi="Arial" w:cs="Arial"/>
          <w:bCs/>
          <w:sz w:val="20"/>
          <w:szCs w:val="20"/>
        </w:rPr>
        <w:t>pg</w:t>
      </w:r>
      <w:proofErr w:type="spellEnd"/>
      <w:r w:rsidR="005F5A3A" w:rsidRPr="00D23116">
        <w:rPr>
          <w:rFonts w:ascii="Arial" w:hAnsi="Arial" w:cs="Arial"/>
          <w:bCs/>
          <w:sz w:val="20"/>
          <w:szCs w:val="20"/>
        </w:rPr>
        <w:t xml:space="preserve">/ml </w:t>
      </w:r>
      <w:r w:rsidR="009E1493" w:rsidRPr="00D23116">
        <w:rPr>
          <w:rFonts w:ascii="Arial" w:hAnsi="Arial" w:cs="Arial"/>
          <w:bCs/>
          <w:sz w:val="20"/>
          <w:szCs w:val="20"/>
        </w:rPr>
        <w:t xml:space="preserve">in Holstein Heifers </w:t>
      </w:r>
      <w:r w:rsidR="005F5A3A" w:rsidRPr="00D23116">
        <w:rPr>
          <w:rFonts w:ascii="Arial" w:hAnsi="Arial" w:cs="Arial"/>
          <w:bCs/>
          <w:sz w:val="20"/>
          <w:szCs w:val="20"/>
        </w:rPr>
        <w:t xml:space="preserve">(Nawaz </w:t>
      </w:r>
      <w:r w:rsidR="0015636F" w:rsidRPr="00D23116">
        <w:rPr>
          <w:rFonts w:ascii="Arial" w:hAnsi="Arial" w:cs="Arial"/>
          <w:bCs/>
          <w:i/>
          <w:sz w:val="20"/>
          <w:szCs w:val="20"/>
        </w:rPr>
        <w:t xml:space="preserve">et al., </w:t>
      </w:r>
      <w:r w:rsidR="009E5E18" w:rsidRPr="00D23116">
        <w:rPr>
          <w:rFonts w:ascii="Arial" w:hAnsi="Arial" w:cs="Arial"/>
          <w:bCs/>
          <w:sz w:val="20"/>
          <w:szCs w:val="20"/>
        </w:rPr>
        <w:t xml:space="preserve">2018), 233 to 2531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9E1493" w:rsidRPr="00D23116">
        <w:rPr>
          <w:rFonts w:ascii="Arial" w:hAnsi="Arial" w:cs="Arial"/>
          <w:bCs/>
          <w:sz w:val="20"/>
          <w:szCs w:val="20"/>
        </w:rPr>
        <w:t xml:space="preserve">in Simental Cows </w:t>
      </w:r>
      <w:r w:rsidR="005F5A3A" w:rsidRPr="00D23116">
        <w:rPr>
          <w:rFonts w:ascii="Arial" w:hAnsi="Arial" w:cs="Arial"/>
          <w:bCs/>
          <w:sz w:val="20"/>
          <w:szCs w:val="20"/>
        </w:rPr>
        <w:t xml:space="preserve">(Sevgi </w:t>
      </w:r>
      <w:r w:rsidR="0015636F" w:rsidRPr="00D23116">
        <w:rPr>
          <w:rFonts w:ascii="Arial" w:hAnsi="Arial" w:cs="Arial"/>
          <w:bCs/>
          <w:i/>
          <w:sz w:val="20"/>
          <w:szCs w:val="20"/>
        </w:rPr>
        <w:t xml:space="preserve">et al., </w:t>
      </w:r>
      <w:r w:rsidR="009E5E18" w:rsidRPr="00D23116">
        <w:rPr>
          <w:rFonts w:ascii="Arial" w:hAnsi="Arial" w:cs="Arial"/>
          <w:bCs/>
          <w:sz w:val="20"/>
          <w:szCs w:val="20"/>
        </w:rPr>
        <w:t xml:space="preserve">2019) and 46 to 2089 </w:t>
      </w:r>
      <w:proofErr w:type="spellStart"/>
      <w:r w:rsidR="009E5E18" w:rsidRPr="00D23116">
        <w:rPr>
          <w:rFonts w:ascii="Arial" w:hAnsi="Arial" w:cs="Arial"/>
          <w:bCs/>
          <w:sz w:val="20"/>
          <w:szCs w:val="20"/>
        </w:rPr>
        <w:t>pg</w:t>
      </w:r>
      <w:proofErr w:type="spellEnd"/>
      <w:r w:rsidR="009E5E18" w:rsidRPr="00D23116">
        <w:rPr>
          <w:rFonts w:ascii="Arial" w:hAnsi="Arial" w:cs="Arial"/>
          <w:bCs/>
          <w:sz w:val="20"/>
          <w:szCs w:val="20"/>
        </w:rPr>
        <w:t>/mL</w:t>
      </w:r>
      <w:r w:rsidR="005F5A3A" w:rsidRPr="00D23116">
        <w:rPr>
          <w:rFonts w:ascii="Arial" w:hAnsi="Arial" w:cs="Arial"/>
          <w:bCs/>
          <w:sz w:val="20"/>
          <w:szCs w:val="20"/>
        </w:rPr>
        <w:t xml:space="preserve"> </w:t>
      </w:r>
      <w:r w:rsidR="009E1493" w:rsidRPr="00D23116">
        <w:rPr>
          <w:rFonts w:ascii="Arial" w:hAnsi="Arial" w:cs="Arial"/>
          <w:bCs/>
          <w:sz w:val="20"/>
          <w:szCs w:val="20"/>
        </w:rPr>
        <w:t xml:space="preserve">in Holstein Dairy Cows </w:t>
      </w:r>
      <w:r w:rsidR="005F5A3A" w:rsidRPr="00D23116">
        <w:rPr>
          <w:rFonts w:ascii="Arial" w:hAnsi="Arial" w:cs="Arial"/>
          <w:bCs/>
          <w:sz w:val="20"/>
          <w:szCs w:val="20"/>
        </w:rPr>
        <w:t>(</w:t>
      </w:r>
      <w:proofErr w:type="spellStart"/>
      <w:r w:rsidR="005F5A3A" w:rsidRPr="00D23116">
        <w:rPr>
          <w:rFonts w:ascii="Arial" w:hAnsi="Arial" w:cs="Arial"/>
          <w:bCs/>
          <w:sz w:val="20"/>
          <w:szCs w:val="20"/>
        </w:rPr>
        <w:t>Akbarinejad</w:t>
      </w:r>
      <w:proofErr w:type="spellEnd"/>
      <w:r w:rsidR="005F5A3A"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5F5A3A" w:rsidRPr="00D23116">
        <w:rPr>
          <w:rFonts w:ascii="Arial" w:hAnsi="Arial" w:cs="Arial"/>
          <w:bCs/>
          <w:sz w:val="20"/>
          <w:szCs w:val="20"/>
        </w:rPr>
        <w:t>2020). Due to wide variation in AMH levels from herd to herd, no definite benchmark for AMH level can be established</w:t>
      </w:r>
      <w:r w:rsidR="009E1493" w:rsidRPr="00D23116">
        <w:rPr>
          <w:rFonts w:ascii="Arial" w:hAnsi="Arial" w:cs="Arial"/>
          <w:bCs/>
          <w:sz w:val="20"/>
          <w:szCs w:val="20"/>
        </w:rPr>
        <w:t>. Therefore, the AMH levels of donor animals should be evaluated within their contemporary groups to distinguish individuals with relatively high or low AMH concentrations.</w:t>
      </w:r>
      <w:r w:rsidR="009E5E18" w:rsidRPr="00D23116">
        <w:rPr>
          <w:rFonts w:ascii="Arial" w:hAnsi="Arial" w:cs="Arial"/>
          <w:bCs/>
          <w:sz w:val="20"/>
          <w:szCs w:val="20"/>
        </w:rPr>
        <w:t xml:space="preserve"> </w:t>
      </w:r>
    </w:p>
    <w:p w14:paraId="4C0658AC" w14:textId="77777777" w:rsidR="004B53EC" w:rsidRDefault="004B53EC" w:rsidP="00D23116">
      <w:pPr>
        <w:spacing w:after="0" w:line="240" w:lineRule="auto"/>
        <w:ind w:firstLine="720"/>
        <w:jc w:val="both"/>
        <w:rPr>
          <w:rFonts w:ascii="Arial" w:hAnsi="Arial" w:cs="Arial"/>
          <w:bCs/>
          <w:sz w:val="20"/>
          <w:szCs w:val="20"/>
        </w:rPr>
      </w:pPr>
    </w:p>
    <w:p w14:paraId="02B885FC" w14:textId="77777777" w:rsidR="004B53EC" w:rsidRPr="004B53EC" w:rsidRDefault="004B53EC" w:rsidP="004B53EC">
      <w:pPr>
        <w:pStyle w:val="NoSpacing"/>
        <w:jc w:val="center"/>
        <w:rPr>
          <w:rFonts w:ascii="Arial" w:hAnsi="Arial" w:cs="Arial"/>
          <w:sz w:val="20"/>
        </w:rPr>
      </w:pPr>
      <w:r w:rsidRPr="004B53EC">
        <w:rPr>
          <w:rFonts w:ascii="Arial" w:hAnsi="Arial" w:cs="Arial"/>
          <w:noProof/>
          <w:sz w:val="20"/>
          <w:lang w:eastAsia="en-IN"/>
        </w:rPr>
        <w:lastRenderedPageBreak/>
        <w:drawing>
          <wp:inline distT="0" distB="0" distL="0" distR="0" wp14:anchorId="0F1362E8" wp14:editId="75C60637">
            <wp:extent cx="5086350" cy="234950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F8B3B7" w14:textId="21E41C1D" w:rsidR="004B53EC" w:rsidRPr="004B53EC" w:rsidRDefault="004B53EC" w:rsidP="004B53EC">
      <w:pPr>
        <w:pStyle w:val="NoSpacing"/>
        <w:jc w:val="center"/>
        <w:rPr>
          <w:rFonts w:ascii="Arial" w:hAnsi="Arial" w:cs="Arial"/>
          <w:b/>
          <w:sz w:val="20"/>
        </w:rPr>
      </w:pPr>
      <w:r w:rsidRPr="004B53EC">
        <w:rPr>
          <w:rFonts w:ascii="Arial" w:hAnsi="Arial" w:cs="Arial"/>
          <w:b/>
          <w:sz w:val="20"/>
        </w:rPr>
        <w:t xml:space="preserve">Fig </w:t>
      </w:r>
      <w:r w:rsidR="00617236">
        <w:rPr>
          <w:rFonts w:ascii="Arial" w:hAnsi="Arial" w:cs="Arial"/>
          <w:b/>
          <w:sz w:val="20"/>
        </w:rPr>
        <w:t>1</w:t>
      </w:r>
      <w:r w:rsidRPr="004B53EC">
        <w:rPr>
          <w:rFonts w:ascii="Arial" w:hAnsi="Arial" w:cs="Arial"/>
          <w:b/>
          <w:sz w:val="20"/>
        </w:rPr>
        <w:t xml:space="preserve">: Histogram of frequency distribution of serum AMH levels in </w:t>
      </w:r>
      <w:proofErr w:type="spellStart"/>
      <w:r w:rsidRPr="004B53EC">
        <w:rPr>
          <w:rFonts w:ascii="Arial" w:hAnsi="Arial" w:cs="Arial"/>
          <w:b/>
          <w:sz w:val="20"/>
        </w:rPr>
        <w:t>Ongole</w:t>
      </w:r>
      <w:proofErr w:type="spellEnd"/>
      <w:r w:rsidRPr="004B53EC">
        <w:rPr>
          <w:rFonts w:ascii="Arial" w:hAnsi="Arial" w:cs="Arial"/>
          <w:b/>
          <w:sz w:val="20"/>
        </w:rPr>
        <w:t xml:space="preserve"> cows (n=84)</w:t>
      </w:r>
    </w:p>
    <w:p w14:paraId="22005B3A" w14:textId="77777777" w:rsidR="004B53EC" w:rsidRDefault="004B53EC" w:rsidP="00D23116">
      <w:pPr>
        <w:spacing w:after="0" w:line="240" w:lineRule="auto"/>
        <w:ind w:firstLine="720"/>
        <w:jc w:val="both"/>
        <w:rPr>
          <w:rFonts w:ascii="Arial" w:hAnsi="Arial" w:cs="Arial"/>
          <w:bCs/>
          <w:sz w:val="20"/>
          <w:szCs w:val="20"/>
        </w:rPr>
      </w:pPr>
    </w:p>
    <w:p w14:paraId="7F1DB709" w14:textId="103496C2" w:rsidR="006F4932" w:rsidRPr="00D23116" w:rsidRDefault="006F4932" w:rsidP="00D23116">
      <w:pPr>
        <w:spacing w:after="0" w:line="240" w:lineRule="auto"/>
        <w:jc w:val="both"/>
        <w:rPr>
          <w:rFonts w:ascii="Arial" w:hAnsi="Arial" w:cs="Arial"/>
          <w:b/>
          <w:bCs/>
          <w:sz w:val="20"/>
          <w:szCs w:val="20"/>
        </w:rPr>
      </w:pPr>
      <w:r w:rsidRPr="00D23116">
        <w:rPr>
          <w:rFonts w:ascii="Arial" w:hAnsi="Arial" w:cs="Arial"/>
          <w:b/>
          <w:bCs/>
          <w:sz w:val="20"/>
          <w:szCs w:val="20"/>
        </w:rPr>
        <w:t>Variance of AMH concentrations in relation to AFC</w:t>
      </w:r>
    </w:p>
    <w:p w14:paraId="3203BFF1" w14:textId="705061CB" w:rsidR="006812A2" w:rsidRDefault="007E0D82" w:rsidP="0005286B">
      <w:pPr>
        <w:spacing w:after="0" w:line="240" w:lineRule="auto"/>
        <w:jc w:val="both"/>
        <w:rPr>
          <w:rFonts w:ascii="Arial" w:hAnsi="Arial" w:cs="Arial"/>
          <w:bCs/>
          <w:sz w:val="20"/>
          <w:szCs w:val="20"/>
        </w:rPr>
      </w:pPr>
      <w:r w:rsidRPr="00D23116">
        <w:rPr>
          <w:rFonts w:ascii="Arial" w:hAnsi="Arial" w:cs="Arial"/>
          <w:bCs/>
          <w:sz w:val="20"/>
          <w:szCs w:val="20"/>
        </w:rPr>
        <w:t xml:space="preserve">The frequency distribution of antral follicle count showed that 16.67% (14/84) of the animals had ≥ 50 follicles (high AFC), 46.43% (39/84) had 26–49 follicles (intermediate AFC), and 36.90% (31/84) had ≤ 25 follicles (low AFC). The mean ± SE values of AFC and serum AMH levels for each group are presented in Table 1. A significant difference (p &lt; 0.05) was observed among the groups with respect to follicle count. Serum AMH concentration was significantly higher (p &lt; 0.05) in the high AFC group; however, there was no significant difference in AMH levels between the intermediate and low AFC groups </w:t>
      </w:r>
      <w:r w:rsidR="006F4932" w:rsidRPr="00D23116">
        <w:rPr>
          <w:rFonts w:ascii="Arial" w:hAnsi="Arial" w:cs="Arial"/>
          <w:bCs/>
          <w:sz w:val="20"/>
          <w:szCs w:val="20"/>
        </w:rPr>
        <w:t xml:space="preserve">(Table 1). Interestingly it was noticed that the </w:t>
      </w:r>
      <w:r w:rsidR="009E5E18" w:rsidRPr="00D23116">
        <w:rPr>
          <w:rFonts w:ascii="Arial" w:hAnsi="Arial" w:cs="Arial"/>
          <w:bCs/>
          <w:sz w:val="20"/>
          <w:szCs w:val="20"/>
        </w:rPr>
        <w:t xml:space="preserve">animals in the low AFC group were significantly older and had higher parity compared to their </w:t>
      </w:r>
      <w:r w:rsidR="009E5E18" w:rsidRPr="0005286B">
        <w:rPr>
          <w:rFonts w:ascii="Arial" w:hAnsi="Arial" w:cs="Arial"/>
          <w:bCs/>
          <w:sz w:val="20"/>
          <w:szCs w:val="20"/>
          <w:highlight w:val="yellow"/>
        </w:rPr>
        <w:t xml:space="preserve">counterparts </w:t>
      </w:r>
      <w:r w:rsidR="006F4932" w:rsidRPr="0005286B">
        <w:rPr>
          <w:rFonts w:ascii="Arial" w:hAnsi="Arial" w:cs="Arial"/>
          <w:bCs/>
          <w:sz w:val="20"/>
          <w:szCs w:val="20"/>
          <w:highlight w:val="yellow"/>
        </w:rPr>
        <w:t>(p&lt;0.05) (Table 1).</w:t>
      </w:r>
      <w:r w:rsidR="006F4932" w:rsidRPr="00D23116">
        <w:rPr>
          <w:rFonts w:ascii="Arial" w:hAnsi="Arial" w:cs="Arial"/>
          <w:bCs/>
          <w:sz w:val="20"/>
          <w:szCs w:val="20"/>
        </w:rPr>
        <w:t xml:space="preserve"> </w:t>
      </w:r>
      <w:r w:rsidR="006812A2" w:rsidRPr="00D23116">
        <w:rPr>
          <w:rFonts w:ascii="Arial" w:hAnsi="Arial" w:cs="Arial"/>
          <w:bCs/>
          <w:sz w:val="20"/>
          <w:szCs w:val="20"/>
        </w:rPr>
        <w:t xml:space="preserve">Further, in corroboration to the current investigation, where a highly significant (p&lt; 0.01) positive correlation was observed between AFC and AMH in </w:t>
      </w:r>
      <w:proofErr w:type="spellStart"/>
      <w:r w:rsidR="006812A2" w:rsidRPr="00D23116">
        <w:rPr>
          <w:rFonts w:ascii="Arial" w:hAnsi="Arial" w:cs="Arial"/>
          <w:bCs/>
          <w:sz w:val="20"/>
          <w:szCs w:val="20"/>
        </w:rPr>
        <w:t>Ongole</w:t>
      </w:r>
      <w:proofErr w:type="spellEnd"/>
      <w:r w:rsidR="006812A2" w:rsidRPr="00D23116">
        <w:rPr>
          <w:rFonts w:ascii="Arial" w:hAnsi="Arial" w:cs="Arial"/>
          <w:bCs/>
          <w:sz w:val="20"/>
          <w:szCs w:val="20"/>
        </w:rPr>
        <w:t xml:space="preserve"> cows (r = 0.284, p = 0.009), earlier studies </w:t>
      </w:r>
      <w:r w:rsidR="009E5E18" w:rsidRPr="00D23116">
        <w:rPr>
          <w:rFonts w:ascii="Arial" w:hAnsi="Arial" w:cs="Arial"/>
          <w:bCs/>
          <w:sz w:val="20"/>
          <w:szCs w:val="20"/>
        </w:rPr>
        <w:t xml:space="preserve">also </w:t>
      </w:r>
      <w:r w:rsidR="006812A2" w:rsidRPr="00D23116">
        <w:rPr>
          <w:rFonts w:ascii="Arial" w:hAnsi="Arial" w:cs="Arial"/>
          <w:bCs/>
          <w:sz w:val="20"/>
          <w:szCs w:val="20"/>
        </w:rPr>
        <w:t>reveal</w:t>
      </w:r>
      <w:r w:rsidR="009E5E18" w:rsidRPr="00D23116">
        <w:rPr>
          <w:rFonts w:ascii="Arial" w:hAnsi="Arial" w:cs="Arial"/>
          <w:bCs/>
          <w:sz w:val="20"/>
          <w:szCs w:val="20"/>
        </w:rPr>
        <w:t>ed</w:t>
      </w:r>
      <w:r w:rsidR="006812A2" w:rsidRPr="00D23116">
        <w:rPr>
          <w:rFonts w:ascii="Arial" w:hAnsi="Arial" w:cs="Arial"/>
          <w:bCs/>
          <w:sz w:val="20"/>
          <w:szCs w:val="20"/>
        </w:rPr>
        <w:t xml:space="preserve"> positive association between serum AMH levels and the antral follicle population in cattle (</w:t>
      </w:r>
      <w:proofErr w:type="spellStart"/>
      <w:r w:rsidR="006812A2" w:rsidRPr="00D23116">
        <w:rPr>
          <w:rFonts w:ascii="Arial" w:hAnsi="Arial" w:cs="Arial"/>
          <w:bCs/>
          <w:sz w:val="20"/>
          <w:szCs w:val="20"/>
        </w:rPr>
        <w:t>Baldrighi</w:t>
      </w:r>
      <w:proofErr w:type="spellEnd"/>
      <w:r w:rsidR="006812A2"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6812A2" w:rsidRPr="00D23116">
        <w:rPr>
          <w:rFonts w:ascii="Arial" w:hAnsi="Arial" w:cs="Arial"/>
          <w:bCs/>
          <w:sz w:val="20"/>
          <w:szCs w:val="20"/>
        </w:rPr>
        <w:t>2014) and sheep and goats (</w:t>
      </w:r>
      <w:proofErr w:type="spellStart"/>
      <w:r w:rsidR="006812A2" w:rsidRPr="00D23116">
        <w:rPr>
          <w:rFonts w:ascii="Arial" w:hAnsi="Arial" w:cs="Arial"/>
          <w:bCs/>
          <w:sz w:val="20"/>
          <w:szCs w:val="20"/>
        </w:rPr>
        <w:t>Monniaux</w:t>
      </w:r>
      <w:proofErr w:type="spellEnd"/>
      <w:r w:rsidR="006812A2"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006812A2" w:rsidRPr="00D23116">
        <w:rPr>
          <w:rFonts w:ascii="Arial" w:hAnsi="Arial" w:cs="Arial"/>
          <w:bCs/>
          <w:sz w:val="20"/>
          <w:szCs w:val="20"/>
        </w:rPr>
        <w:t xml:space="preserve">2014). </w:t>
      </w:r>
      <w:r w:rsidR="006812A2" w:rsidRPr="00D23116">
        <w:rPr>
          <w:rFonts w:ascii="Arial" w:hAnsi="Arial" w:cs="Arial"/>
          <w:bCs/>
          <w:sz w:val="20"/>
          <w:szCs w:val="20"/>
          <w:lang w:val="en-US"/>
        </w:rPr>
        <w:t xml:space="preserve">Based on these findings, it is suggestive that AFC and serum AMH concentrations serve as the most reliable indicators for the selection of oocyte donors to estimate the ovarian reserve in </w:t>
      </w:r>
      <w:r w:rsidR="00FC5904" w:rsidRPr="00D23116">
        <w:rPr>
          <w:rFonts w:ascii="Arial" w:hAnsi="Arial" w:cs="Arial"/>
          <w:bCs/>
          <w:sz w:val="20"/>
          <w:szCs w:val="20"/>
          <w:lang w:val="en-US"/>
        </w:rPr>
        <w:t>age-matched cattle</w:t>
      </w:r>
      <w:r w:rsidR="006812A2" w:rsidRPr="00D23116">
        <w:rPr>
          <w:rFonts w:ascii="Arial" w:hAnsi="Arial" w:cs="Arial"/>
          <w:bCs/>
          <w:sz w:val="20"/>
          <w:szCs w:val="20"/>
          <w:lang w:val="en-US"/>
        </w:rPr>
        <w:t xml:space="preserve"> to optimize the efficiency of Ovum Pick-Up and In Vitro Fertilization (OPU-IVF) (Ghanem </w:t>
      </w:r>
      <w:r w:rsidR="0015636F" w:rsidRPr="00D23116">
        <w:rPr>
          <w:rFonts w:ascii="Arial" w:hAnsi="Arial" w:cs="Arial"/>
          <w:bCs/>
          <w:i/>
          <w:sz w:val="20"/>
          <w:szCs w:val="20"/>
          <w:lang w:val="en-US"/>
        </w:rPr>
        <w:t xml:space="preserve">et al., </w:t>
      </w:r>
      <w:r w:rsidR="006812A2" w:rsidRPr="00D23116">
        <w:rPr>
          <w:rFonts w:ascii="Arial" w:hAnsi="Arial" w:cs="Arial"/>
          <w:bCs/>
          <w:sz w:val="20"/>
          <w:szCs w:val="20"/>
          <w:lang w:val="en-US"/>
        </w:rPr>
        <w:t xml:space="preserve">2016; Sevgi </w:t>
      </w:r>
      <w:r w:rsidR="0015636F" w:rsidRPr="00D23116">
        <w:rPr>
          <w:rFonts w:ascii="Arial" w:hAnsi="Arial" w:cs="Arial"/>
          <w:bCs/>
          <w:i/>
          <w:sz w:val="20"/>
          <w:szCs w:val="20"/>
          <w:lang w:val="en-US"/>
        </w:rPr>
        <w:t xml:space="preserve">et al., </w:t>
      </w:r>
      <w:r w:rsidR="006812A2" w:rsidRPr="00D23116">
        <w:rPr>
          <w:rFonts w:ascii="Arial" w:hAnsi="Arial" w:cs="Arial"/>
          <w:bCs/>
          <w:sz w:val="20"/>
          <w:szCs w:val="20"/>
          <w:lang w:val="en-US"/>
        </w:rPr>
        <w:t>2019).</w:t>
      </w:r>
      <w:r w:rsidR="00A94B7A" w:rsidRPr="00D23116">
        <w:rPr>
          <w:rFonts w:ascii="Arial" w:hAnsi="Arial" w:cs="Arial"/>
          <w:bCs/>
          <w:sz w:val="20"/>
          <w:szCs w:val="20"/>
        </w:rPr>
        <w:t xml:space="preserve"> </w:t>
      </w:r>
    </w:p>
    <w:p w14:paraId="56C499D0" w14:textId="77777777" w:rsidR="00E463A4" w:rsidRDefault="00E463A4" w:rsidP="0005286B">
      <w:pPr>
        <w:spacing w:after="0" w:line="240" w:lineRule="auto"/>
        <w:jc w:val="both"/>
        <w:rPr>
          <w:rFonts w:ascii="Arial" w:hAnsi="Arial" w:cs="Arial"/>
          <w:bCs/>
          <w:sz w:val="20"/>
          <w:szCs w:val="20"/>
        </w:rPr>
      </w:pPr>
    </w:p>
    <w:p w14:paraId="5976B169" w14:textId="77777777" w:rsidR="00E463A4" w:rsidRPr="00D23116" w:rsidRDefault="00E463A4" w:rsidP="00E463A4">
      <w:pPr>
        <w:spacing w:after="0" w:line="240" w:lineRule="auto"/>
        <w:jc w:val="center"/>
        <w:rPr>
          <w:rFonts w:ascii="Arial" w:hAnsi="Arial" w:cs="Arial"/>
          <w:bCs/>
          <w:sz w:val="20"/>
          <w:szCs w:val="20"/>
        </w:rPr>
      </w:pPr>
      <w:r w:rsidRPr="00D23116">
        <w:rPr>
          <w:rFonts w:ascii="Arial" w:hAnsi="Arial" w:cs="Arial"/>
          <w:b/>
          <w:sz w:val="20"/>
          <w:szCs w:val="20"/>
          <w:lang w:val="en-US"/>
        </w:rPr>
        <w:t xml:space="preserve">Table 1: Serum AMH levels (ng/mL) in </w:t>
      </w:r>
      <w:proofErr w:type="spellStart"/>
      <w:r w:rsidRPr="00D23116">
        <w:rPr>
          <w:rFonts w:ascii="Arial" w:hAnsi="Arial" w:cs="Arial"/>
          <w:b/>
          <w:sz w:val="20"/>
          <w:szCs w:val="20"/>
          <w:lang w:val="en-US"/>
        </w:rPr>
        <w:t>Ongole</w:t>
      </w:r>
      <w:proofErr w:type="spellEnd"/>
      <w:r w:rsidRPr="00D23116">
        <w:rPr>
          <w:rFonts w:ascii="Arial" w:hAnsi="Arial" w:cs="Arial"/>
          <w:b/>
          <w:sz w:val="20"/>
          <w:szCs w:val="20"/>
          <w:lang w:val="en-US"/>
        </w:rPr>
        <w:t xml:space="preserve"> cows in relation to AFC (n = 84)</w:t>
      </w:r>
    </w:p>
    <w:tbl>
      <w:tblPr>
        <w:tblStyle w:val="TableGrid"/>
        <w:tblW w:w="9016" w:type="dxa"/>
        <w:jc w:val="center"/>
        <w:tblLook w:val="04A0" w:firstRow="1" w:lastRow="0" w:firstColumn="1" w:lastColumn="0" w:noHBand="0" w:noVBand="1"/>
      </w:tblPr>
      <w:tblGrid>
        <w:gridCol w:w="1888"/>
        <w:gridCol w:w="1658"/>
        <w:gridCol w:w="2023"/>
        <w:gridCol w:w="1876"/>
        <w:gridCol w:w="1571"/>
      </w:tblGrid>
      <w:tr w:rsidR="00E463A4" w:rsidRPr="00D23116" w14:paraId="1C6EB7F4" w14:textId="77777777" w:rsidTr="00820F08">
        <w:trPr>
          <w:jc w:val="center"/>
        </w:trPr>
        <w:tc>
          <w:tcPr>
            <w:tcW w:w="1888" w:type="dxa"/>
            <w:vAlign w:val="bottom"/>
          </w:tcPr>
          <w:p w14:paraId="3980E575" w14:textId="77777777" w:rsidR="00E463A4" w:rsidRPr="00D23116" w:rsidRDefault="00E463A4" w:rsidP="00820F08">
            <w:pPr>
              <w:rPr>
                <w:rFonts w:ascii="Arial" w:hAnsi="Arial" w:cs="Arial"/>
                <w:b/>
                <w:bCs/>
                <w:color w:val="000000"/>
                <w:sz w:val="20"/>
                <w:szCs w:val="20"/>
              </w:rPr>
            </w:pPr>
          </w:p>
        </w:tc>
        <w:tc>
          <w:tcPr>
            <w:tcW w:w="1658" w:type="dxa"/>
            <w:vAlign w:val="bottom"/>
          </w:tcPr>
          <w:p w14:paraId="20EF8AF4" w14:textId="77777777" w:rsidR="00E463A4" w:rsidRPr="00D23116" w:rsidRDefault="00E463A4" w:rsidP="00820F08">
            <w:pPr>
              <w:jc w:val="center"/>
              <w:rPr>
                <w:rFonts w:ascii="Arial" w:hAnsi="Arial" w:cs="Arial"/>
                <w:b/>
                <w:color w:val="000000"/>
                <w:sz w:val="20"/>
                <w:szCs w:val="20"/>
              </w:rPr>
            </w:pPr>
            <w:r w:rsidRPr="00D23116">
              <w:rPr>
                <w:rFonts w:ascii="Arial" w:hAnsi="Arial" w:cs="Arial"/>
                <w:b/>
                <w:color w:val="000000"/>
                <w:sz w:val="20"/>
                <w:szCs w:val="20"/>
              </w:rPr>
              <w:t>High AFC (&gt;50)</w:t>
            </w:r>
          </w:p>
        </w:tc>
        <w:tc>
          <w:tcPr>
            <w:tcW w:w="2023" w:type="dxa"/>
            <w:vAlign w:val="bottom"/>
          </w:tcPr>
          <w:p w14:paraId="20B27721" w14:textId="77777777" w:rsidR="00E463A4" w:rsidRPr="00D23116" w:rsidRDefault="00E463A4" w:rsidP="00820F08">
            <w:pPr>
              <w:jc w:val="center"/>
              <w:rPr>
                <w:rFonts w:ascii="Arial" w:hAnsi="Arial" w:cs="Arial"/>
                <w:b/>
                <w:color w:val="000000"/>
                <w:sz w:val="20"/>
                <w:szCs w:val="20"/>
              </w:rPr>
            </w:pPr>
            <w:r w:rsidRPr="00D23116">
              <w:rPr>
                <w:rFonts w:ascii="Arial" w:hAnsi="Arial" w:cs="Arial"/>
                <w:b/>
                <w:color w:val="000000"/>
                <w:sz w:val="20"/>
                <w:szCs w:val="20"/>
              </w:rPr>
              <w:t>Intermediate AFC (26-50)</w:t>
            </w:r>
          </w:p>
        </w:tc>
        <w:tc>
          <w:tcPr>
            <w:tcW w:w="1876" w:type="dxa"/>
            <w:vAlign w:val="bottom"/>
          </w:tcPr>
          <w:p w14:paraId="7990E136" w14:textId="77777777" w:rsidR="00E463A4" w:rsidRPr="00D23116" w:rsidRDefault="00E463A4" w:rsidP="00820F08">
            <w:pPr>
              <w:jc w:val="center"/>
              <w:rPr>
                <w:rFonts w:ascii="Arial" w:hAnsi="Arial" w:cs="Arial"/>
                <w:b/>
                <w:color w:val="000000"/>
                <w:sz w:val="20"/>
                <w:szCs w:val="20"/>
              </w:rPr>
            </w:pPr>
            <w:r w:rsidRPr="00D23116">
              <w:rPr>
                <w:rFonts w:ascii="Arial" w:hAnsi="Arial" w:cs="Arial"/>
                <w:b/>
                <w:color w:val="000000"/>
                <w:sz w:val="20"/>
                <w:szCs w:val="20"/>
              </w:rPr>
              <w:t xml:space="preserve">Low AFC </w:t>
            </w:r>
          </w:p>
          <w:p w14:paraId="461CC59C" w14:textId="77777777" w:rsidR="00E463A4" w:rsidRPr="00D23116" w:rsidRDefault="00E463A4" w:rsidP="00820F08">
            <w:pPr>
              <w:jc w:val="center"/>
              <w:rPr>
                <w:rFonts w:ascii="Arial" w:hAnsi="Arial" w:cs="Arial"/>
                <w:b/>
                <w:color w:val="000000"/>
                <w:sz w:val="20"/>
                <w:szCs w:val="20"/>
              </w:rPr>
            </w:pPr>
            <w:r w:rsidRPr="00D23116">
              <w:rPr>
                <w:rFonts w:ascii="Arial" w:hAnsi="Arial" w:cs="Arial"/>
                <w:b/>
                <w:color w:val="000000"/>
                <w:sz w:val="20"/>
                <w:szCs w:val="20"/>
              </w:rPr>
              <w:t>(</w:t>
            </w:r>
            <w:r w:rsidRPr="00D23116">
              <w:rPr>
                <w:rFonts w:ascii="Arial" w:hAnsi="Arial" w:cs="Arial"/>
                <w:b/>
                <w:bCs/>
                <w:color w:val="000000"/>
                <w:sz w:val="20"/>
                <w:szCs w:val="20"/>
              </w:rPr>
              <w:t>≤25)</w:t>
            </w:r>
          </w:p>
        </w:tc>
        <w:tc>
          <w:tcPr>
            <w:tcW w:w="1571" w:type="dxa"/>
            <w:vAlign w:val="center"/>
          </w:tcPr>
          <w:p w14:paraId="58D5C836" w14:textId="77777777" w:rsidR="00E463A4" w:rsidRPr="00D23116" w:rsidRDefault="00E463A4" w:rsidP="00820F08">
            <w:pPr>
              <w:jc w:val="center"/>
              <w:rPr>
                <w:rFonts w:ascii="Arial" w:hAnsi="Arial" w:cs="Arial"/>
                <w:b/>
                <w:color w:val="000000"/>
                <w:sz w:val="20"/>
                <w:szCs w:val="20"/>
              </w:rPr>
            </w:pPr>
            <w:r w:rsidRPr="00D23116">
              <w:rPr>
                <w:rFonts w:ascii="Arial" w:hAnsi="Arial" w:cs="Arial"/>
                <w:b/>
                <w:sz w:val="20"/>
                <w:szCs w:val="20"/>
              </w:rPr>
              <w:t>Overall</w:t>
            </w:r>
          </w:p>
        </w:tc>
      </w:tr>
      <w:tr w:rsidR="00E463A4" w:rsidRPr="00D23116" w14:paraId="7315AA89" w14:textId="77777777" w:rsidTr="00820F08">
        <w:trPr>
          <w:jc w:val="center"/>
        </w:trPr>
        <w:tc>
          <w:tcPr>
            <w:tcW w:w="1888" w:type="dxa"/>
            <w:vAlign w:val="bottom"/>
          </w:tcPr>
          <w:p w14:paraId="5E93DA8A" w14:textId="77777777" w:rsidR="00E463A4" w:rsidRPr="00D23116" w:rsidRDefault="00E463A4" w:rsidP="00820F08">
            <w:pPr>
              <w:rPr>
                <w:rFonts w:ascii="Arial" w:hAnsi="Arial" w:cs="Arial"/>
                <w:b/>
                <w:bCs/>
                <w:color w:val="000000"/>
                <w:sz w:val="20"/>
                <w:szCs w:val="20"/>
              </w:rPr>
            </w:pPr>
            <w:r w:rsidRPr="00D23116">
              <w:rPr>
                <w:rFonts w:ascii="Arial" w:hAnsi="Arial" w:cs="Arial"/>
                <w:b/>
                <w:bCs/>
                <w:color w:val="000000"/>
                <w:sz w:val="20"/>
                <w:szCs w:val="20"/>
              </w:rPr>
              <w:t>Number of animals</w:t>
            </w:r>
          </w:p>
        </w:tc>
        <w:tc>
          <w:tcPr>
            <w:tcW w:w="1658" w:type="dxa"/>
            <w:vAlign w:val="bottom"/>
          </w:tcPr>
          <w:p w14:paraId="6933C43C"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14 (16.67%)</w:t>
            </w:r>
          </w:p>
        </w:tc>
        <w:tc>
          <w:tcPr>
            <w:tcW w:w="2023" w:type="dxa"/>
            <w:vAlign w:val="bottom"/>
          </w:tcPr>
          <w:p w14:paraId="01FC256A"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39 (46.43%)</w:t>
            </w:r>
          </w:p>
        </w:tc>
        <w:tc>
          <w:tcPr>
            <w:tcW w:w="1876" w:type="dxa"/>
            <w:vAlign w:val="bottom"/>
          </w:tcPr>
          <w:p w14:paraId="41341166"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31 (36.90%)</w:t>
            </w:r>
          </w:p>
        </w:tc>
        <w:tc>
          <w:tcPr>
            <w:tcW w:w="1571" w:type="dxa"/>
            <w:vAlign w:val="center"/>
          </w:tcPr>
          <w:p w14:paraId="058C5140" w14:textId="77777777" w:rsidR="00E463A4" w:rsidRPr="00D23116" w:rsidRDefault="00E463A4" w:rsidP="00820F08">
            <w:pPr>
              <w:jc w:val="center"/>
              <w:rPr>
                <w:rFonts w:ascii="Arial" w:hAnsi="Arial" w:cs="Arial"/>
                <w:color w:val="000000"/>
                <w:sz w:val="20"/>
                <w:szCs w:val="20"/>
              </w:rPr>
            </w:pPr>
            <w:r w:rsidRPr="00D23116">
              <w:rPr>
                <w:rFonts w:ascii="Arial" w:hAnsi="Arial" w:cs="Arial"/>
                <w:sz w:val="20"/>
                <w:szCs w:val="20"/>
              </w:rPr>
              <w:t>84</w:t>
            </w:r>
          </w:p>
        </w:tc>
      </w:tr>
      <w:tr w:rsidR="00E463A4" w:rsidRPr="00D23116" w14:paraId="4034118C" w14:textId="77777777" w:rsidTr="00820F08">
        <w:trPr>
          <w:jc w:val="center"/>
        </w:trPr>
        <w:tc>
          <w:tcPr>
            <w:tcW w:w="1888" w:type="dxa"/>
            <w:vAlign w:val="bottom"/>
          </w:tcPr>
          <w:p w14:paraId="213C4301" w14:textId="77777777" w:rsidR="00E463A4" w:rsidRPr="00D23116" w:rsidRDefault="00E463A4" w:rsidP="00820F08">
            <w:pPr>
              <w:rPr>
                <w:rFonts w:ascii="Arial" w:hAnsi="Arial" w:cs="Arial"/>
                <w:b/>
                <w:bCs/>
                <w:color w:val="000000"/>
                <w:sz w:val="20"/>
                <w:szCs w:val="20"/>
              </w:rPr>
            </w:pPr>
            <w:r w:rsidRPr="00D23116">
              <w:rPr>
                <w:rFonts w:ascii="Arial" w:hAnsi="Arial" w:cs="Arial"/>
                <w:b/>
                <w:bCs/>
                <w:color w:val="000000"/>
                <w:sz w:val="20"/>
                <w:szCs w:val="20"/>
              </w:rPr>
              <w:t>Average age in months (Range)</w:t>
            </w:r>
          </w:p>
        </w:tc>
        <w:tc>
          <w:tcPr>
            <w:tcW w:w="1658" w:type="dxa"/>
            <w:vAlign w:val="bottom"/>
          </w:tcPr>
          <w:p w14:paraId="1FE3534F"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77.21 </w:t>
            </w:r>
            <w:r w:rsidRPr="00D23116">
              <w:rPr>
                <w:rFonts w:ascii="Arial" w:hAnsi="Arial" w:cs="Arial"/>
                <w:color w:val="000000"/>
                <w:sz w:val="20"/>
                <w:szCs w:val="20"/>
                <w:vertAlign w:val="superscript"/>
              </w:rPr>
              <w:t>a</w:t>
            </w:r>
          </w:p>
          <w:p w14:paraId="6EFFBE49"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(43 to 126)</w:t>
            </w:r>
          </w:p>
        </w:tc>
        <w:tc>
          <w:tcPr>
            <w:tcW w:w="2023" w:type="dxa"/>
            <w:vAlign w:val="bottom"/>
          </w:tcPr>
          <w:p w14:paraId="6433E663"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94.97 </w:t>
            </w:r>
            <w:r w:rsidRPr="00D23116">
              <w:rPr>
                <w:rFonts w:ascii="Arial" w:hAnsi="Arial" w:cs="Arial"/>
                <w:color w:val="000000"/>
                <w:sz w:val="20"/>
                <w:szCs w:val="20"/>
                <w:vertAlign w:val="superscript"/>
              </w:rPr>
              <w:t>a</w:t>
            </w:r>
          </w:p>
          <w:p w14:paraId="361A4526"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(48 to 220)</w:t>
            </w:r>
          </w:p>
        </w:tc>
        <w:tc>
          <w:tcPr>
            <w:tcW w:w="1876" w:type="dxa"/>
            <w:vAlign w:val="bottom"/>
          </w:tcPr>
          <w:p w14:paraId="28DB8CD6" w14:textId="77777777" w:rsidR="00E463A4" w:rsidRPr="00D23116" w:rsidRDefault="00E463A4" w:rsidP="00820F08">
            <w:pPr>
              <w:jc w:val="center"/>
              <w:rPr>
                <w:rFonts w:ascii="Arial" w:hAnsi="Arial" w:cs="Arial"/>
                <w:color w:val="000000"/>
                <w:sz w:val="20"/>
                <w:szCs w:val="20"/>
                <w:vertAlign w:val="superscript"/>
              </w:rPr>
            </w:pPr>
            <w:r w:rsidRPr="00D23116">
              <w:rPr>
                <w:rFonts w:ascii="Arial" w:hAnsi="Arial" w:cs="Arial"/>
                <w:color w:val="000000"/>
                <w:sz w:val="20"/>
                <w:szCs w:val="20"/>
              </w:rPr>
              <w:t xml:space="preserve">144.35 </w:t>
            </w:r>
            <w:r w:rsidRPr="00D23116">
              <w:rPr>
                <w:rFonts w:ascii="Arial" w:hAnsi="Arial" w:cs="Arial"/>
                <w:color w:val="000000"/>
                <w:sz w:val="20"/>
                <w:szCs w:val="20"/>
                <w:vertAlign w:val="superscript"/>
              </w:rPr>
              <w:t>b</w:t>
            </w:r>
          </w:p>
          <w:p w14:paraId="09B6B2E8"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(64 to 244)</w:t>
            </w:r>
          </w:p>
        </w:tc>
        <w:tc>
          <w:tcPr>
            <w:tcW w:w="1571" w:type="dxa"/>
            <w:vAlign w:val="center"/>
          </w:tcPr>
          <w:p w14:paraId="40FA147F"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110.24</w:t>
            </w:r>
          </w:p>
          <w:p w14:paraId="54F1180A" w14:textId="77777777" w:rsidR="00E463A4" w:rsidRPr="00D23116" w:rsidRDefault="00E463A4" w:rsidP="00820F08">
            <w:pPr>
              <w:jc w:val="center"/>
              <w:rPr>
                <w:rFonts w:ascii="Arial" w:hAnsi="Arial" w:cs="Arial"/>
                <w:color w:val="000000"/>
                <w:sz w:val="20"/>
                <w:szCs w:val="20"/>
              </w:rPr>
            </w:pPr>
            <w:r w:rsidRPr="00D23116">
              <w:rPr>
                <w:rFonts w:ascii="Arial" w:hAnsi="Arial" w:cs="Arial"/>
                <w:sz w:val="20"/>
                <w:szCs w:val="20"/>
              </w:rPr>
              <w:t>(43 to 244)</w:t>
            </w:r>
          </w:p>
        </w:tc>
      </w:tr>
      <w:tr w:rsidR="00E463A4" w:rsidRPr="00D23116" w14:paraId="2B3849E1" w14:textId="77777777" w:rsidTr="00820F08">
        <w:trPr>
          <w:jc w:val="center"/>
        </w:trPr>
        <w:tc>
          <w:tcPr>
            <w:tcW w:w="1888" w:type="dxa"/>
            <w:vAlign w:val="bottom"/>
          </w:tcPr>
          <w:p w14:paraId="28920080" w14:textId="77777777" w:rsidR="00E463A4" w:rsidRPr="00D23116" w:rsidRDefault="00E463A4" w:rsidP="00820F08">
            <w:pPr>
              <w:rPr>
                <w:rFonts w:ascii="Arial" w:hAnsi="Arial" w:cs="Arial"/>
                <w:b/>
                <w:bCs/>
                <w:color w:val="000000"/>
                <w:sz w:val="20"/>
                <w:szCs w:val="20"/>
              </w:rPr>
            </w:pPr>
            <w:r w:rsidRPr="00D23116">
              <w:rPr>
                <w:rFonts w:ascii="Arial" w:hAnsi="Arial" w:cs="Arial"/>
                <w:b/>
                <w:bCs/>
                <w:color w:val="000000"/>
                <w:sz w:val="20"/>
                <w:szCs w:val="20"/>
              </w:rPr>
              <w:t>Mean Parity (Range)</w:t>
            </w:r>
          </w:p>
        </w:tc>
        <w:tc>
          <w:tcPr>
            <w:tcW w:w="1658" w:type="dxa"/>
            <w:vAlign w:val="bottom"/>
          </w:tcPr>
          <w:p w14:paraId="042A03C6"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2.57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0.51</w:t>
            </w:r>
            <w:r w:rsidRPr="00D23116">
              <w:rPr>
                <w:rFonts w:ascii="Arial" w:hAnsi="Arial" w:cs="Arial"/>
                <w:color w:val="000000"/>
                <w:sz w:val="20"/>
                <w:szCs w:val="20"/>
                <w:vertAlign w:val="superscript"/>
              </w:rPr>
              <w:t xml:space="preserve"> a</w:t>
            </w:r>
          </w:p>
          <w:p w14:paraId="5ADF6B2A"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(1 to 7)</w:t>
            </w:r>
          </w:p>
        </w:tc>
        <w:tc>
          <w:tcPr>
            <w:tcW w:w="2023" w:type="dxa"/>
            <w:vAlign w:val="bottom"/>
          </w:tcPr>
          <w:p w14:paraId="481F18DA"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3.13 </w:t>
            </w:r>
            <w:r w:rsidRPr="00D23116">
              <w:rPr>
                <w:rFonts w:ascii="Arial" w:eastAsia="Times New Roman" w:hAnsi="Arial" w:cs="Arial"/>
                <w:color w:val="000000"/>
                <w:sz w:val="20"/>
                <w:szCs w:val="20"/>
                <w:lang w:eastAsia="en-IN"/>
              </w:rPr>
              <w:t>±</w:t>
            </w:r>
            <w:r w:rsidRPr="00D23116">
              <w:rPr>
                <w:rFonts w:ascii="Arial" w:hAnsi="Arial" w:cs="Arial"/>
                <w:color w:val="000000"/>
                <w:sz w:val="20"/>
                <w:szCs w:val="20"/>
              </w:rPr>
              <w:t>0.38</w:t>
            </w:r>
            <w:r w:rsidRPr="00D23116">
              <w:rPr>
                <w:rFonts w:ascii="Arial" w:hAnsi="Arial" w:cs="Arial"/>
                <w:color w:val="000000"/>
                <w:sz w:val="20"/>
                <w:szCs w:val="20"/>
                <w:vertAlign w:val="superscript"/>
              </w:rPr>
              <w:t xml:space="preserve"> a</w:t>
            </w:r>
          </w:p>
          <w:p w14:paraId="6C0940EE"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(1 to 11)</w:t>
            </w:r>
          </w:p>
        </w:tc>
        <w:tc>
          <w:tcPr>
            <w:tcW w:w="1876" w:type="dxa"/>
            <w:vAlign w:val="bottom"/>
          </w:tcPr>
          <w:p w14:paraId="3A0CCD38"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6.03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0.60</w:t>
            </w:r>
            <w:r w:rsidRPr="00D23116">
              <w:rPr>
                <w:rFonts w:ascii="Arial" w:hAnsi="Arial" w:cs="Arial"/>
                <w:color w:val="000000"/>
                <w:sz w:val="20"/>
                <w:szCs w:val="20"/>
                <w:vertAlign w:val="superscript"/>
              </w:rPr>
              <w:t xml:space="preserve"> b</w:t>
            </w:r>
          </w:p>
          <w:p w14:paraId="1829A068"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(1 to 12)</w:t>
            </w:r>
          </w:p>
        </w:tc>
        <w:tc>
          <w:tcPr>
            <w:tcW w:w="1571" w:type="dxa"/>
            <w:vAlign w:val="center"/>
          </w:tcPr>
          <w:p w14:paraId="0FFB7F10"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4.11 ± 0.34</w:t>
            </w:r>
          </w:p>
          <w:p w14:paraId="3E465504" w14:textId="77777777" w:rsidR="00E463A4" w:rsidRPr="00D23116" w:rsidRDefault="00E463A4" w:rsidP="00820F08">
            <w:pPr>
              <w:jc w:val="center"/>
              <w:rPr>
                <w:rFonts w:ascii="Arial" w:hAnsi="Arial" w:cs="Arial"/>
                <w:color w:val="000000"/>
                <w:sz w:val="20"/>
                <w:szCs w:val="20"/>
              </w:rPr>
            </w:pPr>
            <w:r w:rsidRPr="00D23116">
              <w:rPr>
                <w:rFonts w:ascii="Arial" w:hAnsi="Arial" w:cs="Arial"/>
                <w:sz w:val="20"/>
                <w:szCs w:val="20"/>
              </w:rPr>
              <w:t>(1 to 12)</w:t>
            </w:r>
          </w:p>
        </w:tc>
      </w:tr>
      <w:tr w:rsidR="00E463A4" w:rsidRPr="00D23116" w14:paraId="6F67BABE" w14:textId="77777777" w:rsidTr="00820F08">
        <w:trPr>
          <w:jc w:val="center"/>
        </w:trPr>
        <w:tc>
          <w:tcPr>
            <w:tcW w:w="1888" w:type="dxa"/>
            <w:vAlign w:val="bottom"/>
          </w:tcPr>
          <w:p w14:paraId="297704E5" w14:textId="77777777" w:rsidR="00E463A4" w:rsidRPr="00D23116" w:rsidRDefault="00E463A4" w:rsidP="00820F08">
            <w:pPr>
              <w:rPr>
                <w:rFonts w:ascii="Arial" w:hAnsi="Arial" w:cs="Arial"/>
                <w:b/>
                <w:bCs/>
                <w:color w:val="000000"/>
                <w:sz w:val="20"/>
                <w:szCs w:val="20"/>
              </w:rPr>
            </w:pPr>
            <w:r w:rsidRPr="00D23116">
              <w:rPr>
                <w:rFonts w:ascii="Arial" w:hAnsi="Arial" w:cs="Arial"/>
                <w:b/>
                <w:bCs/>
                <w:color w:val="000000"/>
                <w:sz w:val="20"/>
                <w:szCs w:val="20"/>
              </w:rPr>
              <w:t>Mean AFC (Range)</w:t>
            </w:r>
          </w:p>
        </w:tc>
        <w:tc>
          <w:tcPr>
            <w:tcW w:w="1658" w:type="dxa"/>
            <w:vAlign w:val="bottom"/>
          </w:tcPr>
          <w:p w14:paraId="56039BF5"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67.57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3.89</w:t>
            </w:r>
            <w:r w:rsidRPr="00D23116">
              <w:rPr>
                <w:rFonts w:ascii="Arial" w:hAnsi="Arial" w:cs="Arial"/>
                <w:color w:val="000000"/>
                <w:sz w:val="20"/>
                <w:szCs w:val="20"/>
                <w:vertAlign w:val="superscript"/>
              </w:rPr>
              <w:t xml:space="preserve"> a</w:t>
            </w:r>
          </w:p>
          <w:p w14:paraId="6382ECE1"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(3 to 24)</w:t>
            </w:r>
          </w:p>
        </w:tc>
        <w:tc>
          <w:tcPr>
            <w:tcW w:w="2023" w:type="dxa"/>
            <w:vAlign w:val="bottom"/>
          </w:tcPr>
          <w:p w14:paraId="30C65CA4"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36.36 </w:t>
            </w:r>
            <w:r w:rsidRPr="00D23116">
              <w:rPr>
                <w:rFonts w:ascii="Arial" w:eastAsia="Times New Roman" w:hAnsi="Arial" w:cs="Arial"/>
                <w:color w:val="000000"/>
                <w:sz w:val="20"/>
                <w:szCs w:val="20"/>
                <w:lang w:eastAsia="en-IN"/>
              </w:rPr>
              <w:t>±</w:t>
            </w:r>
            <w:r w:rsidRPr="00D23116">
              <w:rPr>
                <w:rFonts w:ascii="Arial" w:hAnsi="Arial" w:cs="Arial"/>
                <w:color w:val="000000"/>
                <w:sz w:val="20"/>
                <w:szCs w:val="20"/>
              </w:rPr>
              <w:t>1.05</w:t>
            </w:r>
            <w:r w:rsidRPr="00D23116">
              <w:rPr>
                <w:rFonts w:ascii="Arial" w:hAnsi="Arial" w:cs="Arial"/>
                <w:color w:val="000000"/>
                <w:sz w:val="20"/>
                <w:szCs w:val="20"/>
                <w:vertAlign w:val="superscript"/>
              </w:rPr>
              <w:t xml:space="preserve"> b</w:t>
            </w:r>
          </w:p>
          <w:p w14:paraId="44DCBE71"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(26 to 49)</w:t>
            </w:r>
          </w:p>
        </w:tc>
        <w:tc>
          <w:tcPr>
            <w:tcW w:w="1876" w:type="dxa"/>
            <w:vAlign w:val="bottom"/>
          </w:tcPr>
          <w:p w14:paraId="6382DE19"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16.13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0.95</w:t>
            </w:r>
            <w:r w:rsidRPr="00D23116">
              <w:rPr>
                <w:rFonts w:ascii="Arial" w:hAnsi="Arial" w:cs="Arial"/>
                <w:color w:val="000000"/>
                <w:sz w:val="20"/>
                <w:szCs w:val="20"/>
                <w:vertAlign w:val="superscript"/>
              </w:rPr>
              <w:t xml:space="preserve"> c</w:t>
            </w:r>
          </w:p>
          <w:p w14:paraId="2E8F5840"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(51 to 104)</w:t>
            </w:r>
          </w:p>
        </w:tc>
        <w:tc>
          <w:tcPr>
            <w:tcW w:w="1571" w:type="dxa"/>
            <w:vAlign w:val="center"/>
          </w:tcPr>
          <w:p w14:paraId="4C3949B2" w14:textId="77777777" w:rsidR="00E463A4" w:rsidRPr="00D23116" w:rsidRDefault="00E463A4" w:rsidP="00820F08">
            <w:pPr>
              <w:ind w:left="-108"/>
              <w:jc w:val="center"/>
              <w:rPr>
                <w:rFonts w:ascii="Arial" w:hAnsi="Arial" w:cs="Arial"/>
                <w:sz w:val="20"/>
                <w:szCs w:val="20"/>
              </w:rPr>
            </w:pPr>
            <w:r w:rsidRPr="00D23116">
              <w:rPr>
                <w:rFonts w:ascii="Arial" w:hAnsi="Arial" w:cs="Arial"/>
                <w:sz w:val="20"/>
                <w:szCs w:val="20"/>
              </w:rPr>
              <w:t>34.10 ± 2.11</w:t>
            </w:r>
          </w:p>
          <w:p w14:paraId="4CCCFF37" w14:textId="77777777" w:rsidR="00E463A4" w:rsidRPr="00D23116" w:rsidRDefault="00E463A4" w:rsidP="00820F08">
            <w:pPr>
              <w:jc w:val="center"/>
              <w:rPr>
                <w:rFonts w:ascii="Arial" w:hAnsi="Arial" w:cs="Arial"/>
                <w:color w:val="000000"/>
                <w:sz w:val="20"/>
                <w:szCs w:val="20"/>
              </w:rPr>
            </w:pPr>
            <w:r w:rsidRPr="00D23116">
              <w:rPr>
                <w:rFonts w:ascii="Arial" w:hAnsi="Arial" w:cs="Arial"/>
                <w:sz w:val="20"/>
                <w:szCs w:val="20"/>
              </w:rPr>
              <w:t>(3 to 104)</w:t>
            </w:r>
          </w:p>
        </w:tc>
      </w:tr>
      <w:tr w:rsidR="00E463A4" w:rsidRPr="00D23116" w14:paraId="46823AD7" w14:textId="77777777" w:rsidTr="00820F08">
        <w:trPr>
          <w:jc w:val="center"/>
        </w:trPr>
        <w:tc>
          <w:tcPr>
            <w:tcW w:w="1888" w:type="dxa"/>
            <w:vAlign w:val="bottom"/>
          </w:tcPr>
          <w:p w14:paraId="7973FC16" w14:textId="77777777" w:rsidR="00E463A4" w:rsidRPr="00D23116" w:rsidRDefault="00E463A4" w:rsidP="00820F08">
            <w:pPr>
              <w:rPr>
                <w:rFonts w:ascii="Arial" w:hAnsi="Arial" w:cs="Arial"/>
                <w:b/>
                <w:bCs/>
                <w:color w:val="000000"/>
                <w:sz w:val="20"/>
                <w:szCs w:val="20"/>
              </w:rPr>
            </w:pPr>
            <w:r w:rsidRPr="00D23116">
              <w:rPr>
                <w:rFonts w:ascii="Arial" w:hAnsi="Arial" w:cs="Arial"/>
                <w:b/>
                <w:bCs/>
                <w:color w:val="000000"/>
                <w:sz w:val="20"/>
                <w:szCs w:val="20"/>
              </w:rPr>
              <w:t>Mean AMH (Range)</w:t>
            </w:r>
          </w:p>
        </w:tc>
        <w:tc>
          <w:tcPr>
            <w:tcW w:w="1658" w:type="dxa"/>
            <w:vAlign w:val="bottom"/>
          </w:tcPr>
          <w:p w14:paraId="719ADBF0"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1.72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0.34</w:t>
            </w:r>
            <w:r w:rsidRPr="00D23116">
              <w:rPr>
                <w:rFonts w:ascii="Arial" w:hAnsi="Arial" w:cs="Arial"/>
                <w:color w:val="000000"/>
                <w:sz w:val="20"/>
                <w:szCs w:val="20"/>
                <w:vertAlign w:val="superscript"/>
              </w:rPr>
              <w:t xml:space="preserve"> a</w:t>
            </w:r>
          </w:p>
          <w:p w14:paraId="5CF48171"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(0.46 to 4.35)</w:t>
            </w:r>
          </w:p>
        </w:tc>
        <w:tc>
          <w:tcPr>
            <w:tcW w:w="2023" w:type="dxa"/>
            <w:vAlign w:val="bottom"/>
          </w:tcPr>
          <w:p w14:paraId="2B16C49D"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1.02 </w:t>
            </w:r>
            <w:r w:rsidRPr="00D23116">
              <w:rPr>
                <w:rFonts w:ascii="Arial" w:eastAsia="Times New Roman" w:hAnsi="Arial" w:cs="Arial"/>
                <w:color w:val="000000"/>
                <w:sz w:val="20"/>
                <w:szCs w:val="20"/>
                <w:lang w:eastAsia="en-IN"/>
              </w:rPr>
              <w:t>±</w:t>
            </w:r>
            <w:r w:rsidRPr="00D23116">
              <w:rPr>
                <w:rFonts w:ascii="Arial" w:hAnsi="Arial" w:cs="Arial"/>
                <w:color w:val="000000"/>
                <w:sz w:val="20"/>
                <w:szCs w:val="20"/>
              </w:rPr>
              <w:t>0.09</w:t>
            </w:r>
            <w:r w:rsidRPr="00D23116">
              <w:rPr>
                <w:rFonts w:ascii="Arial" w:hAnsi="Arial" w:cs="Arial"/>
                <w:color w:val="000000"/>
                <w:sz w:val="20"/>
                <w:szCs w:val="20"/>
                <w:vertAlign w:val="superscript"/>
              </w:rPr>
              <w:t xml:space="preserve"> b</w:t>
            </w:r>
          </w:p>
          <w:p w14:paraId="2381787A"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(0.46 to 3.29)</w:t>
            </w:r>
          </w:p>
        </w:tc>
        <w:tc>
          <w:tcPr>
            <w:tcW w:w="1876" w:type="dxa"/>
            <w:vAlign w:val="bottom"/>
          </w:tcPr>
          <w:p w14:paraId="38F7B810"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 xml:space="preserve">0.77 </w:t>
            </w:r>
            <w:r w:rsidRPr="00D23116">
              <w:rPr>
                <w:rFonts w:ascii="Arial" w:eastAsia="Times New Roman" w:hAnsi="Arial" w:cs="Arial"/>
                <w:color w:val="000000"/>
                <w:sz w:val="20"/>
                <w:szCs w:val="20"/>
                <w:lang w:eastAsia="en-IN"/>
              </w:rPr>
              <w:t xml:space="preserve">± </w:t>
            </w:r>
            <w:r w:rsidRPr="00D23116">
              <w:rPr>
                <w:rFonts w:ascii="Arial" w:hAnsi="Arial" w:cs="Arial"/>
                <w:color w:val="000000"/>
                <w:sz w:val="20"/>
                <w:szCs w:val="20"/>
              </w:rPr>
              <w:t>0.09</w:t>
            </w:r>
            <w:r w:rsidRPr="00D23116">
              <w:rPr>
                <w:rFonts w:ascii="Arial" w:hAnsi="Arial" w:cs="Arial"/>
                <w:color w:val="000000"/>
                <w:sz w:val="20"/>
                <w:szCs w:val="20"/>
                <w:vertAlign w:val="superscript"/>
              </w:rPr>
              <w:t xml:space="preserve"> b</w:t>
            </w:r>
          </w:p>
          <w:p w14:paraId="125D0C31"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(0.41 to 2.88)</w:t>
            </w:r>
          </w:p>
        </w:tc>
        <w:tc>
          <w:tcPr>
            <w:tcW w:w="1571" w:type="dxa"/>
            <w:vAlign w:val="center"/>
          </w:tcPr>
          <w:p w14:paraId="16A96721"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1.04 ± 0.08</w:t>
            </w:r>
          </w:p>
          <w:p w14:paraId="7BE620B8" w14:textId="77777777" w:rsidR="00E463A4" w:rsidRPr="00D23116" w:rsidRDefault="00E463A4" w:rsidP="00820F08">
            <w:pPr>
              <w:jc w:val="center"/>
              <w:rPr>
                <w:rFonts w:ascii="Arial" w:hAnsi="Arial" w:cs="Arial"/>
                <w:color w:val="000000"/>
                <w:sz w:val="20"/>
                <w:szCs w:val="20"/>
              </w:rPr>
            </w:pPr>
            <w:r w:rsidRPr="00D23116">
              <w:rPr>
                <w:rFonts w:ascii="Arial" w:hAnsi="Arial" w:cs="Arial"/>
                <w:sz w:val="20"/>
                <w:szCs w:val="20"/>
              </w:rPr>
              <w:t>(0.41 to 4.35)</w:t>
            </w:r>
          </w:p>
        </w:tc>
      </w:tr>
    </w:tbl>
    <w:p w14:paraId="0D1817A9" w14:textId="58DB4C79" w:rsidR="00E463A4" w:rsidRDefault="00E463A4" w:rsidP="00E463A4">
      <w:pPr>
        <w:spacing w:after="0" w:line="240" w:lineRule="auto"/>
        <w:jc w:val="both"/>
        <w:rPr>
          <w:rFonts w:ascii="Arial" w:hAnsi="Arial" w:cs="Arial"/>
          <w:bCs/>
          <w:sz w:val="20"/>
          <w:szCs w:val="20"/>
        </w:rPr>
      </w:pPr>
      <w:proofErr w:type="spellStart"/>
      <w:proofErr w:type="gramStart"/>
      <w:r w:rsidRPr="00D23116">
        <w:rPr>
          <w:rFonts w:ascii="Arial" w:hAnsi="Arial" w:cs="Arial"/>
          <w:bCs/>
          <w:sz w:val="20"/>
          <w:szCs w:val="20"/>
          <w:vertAlign w:val="superscript"/>
        </w:rPr>
        <w:t>a,b</w:t>
      </w:r>
      <w:proofErr w:type="gramEnd"/>
      <w:r w:rsidRPr="00D23116">
        <w:rPr>
          <w:rFonts w:ascii="Arial" w:hAnsi="Arial" w:cs="Arial"/>
          <w:bCs/>
          <w:sz w:val="20"/>
          <w:szCs w:val="20"/>
          <w:vertAlign w:val="superscript"/>
        </w:rPr>
        <w:t>,c</w:t>
      </w:r>
      <w:proofErr w:type="spellEnd"/>
      <w:r w:rsidRPr="00D23116">
        <w:rPr>
          <w:rFonts w:ascii="Arial" w:hAnsi="Arial" w:cs="Arial"/>
          <w:bCs/>
          <w:sz w:val="20"/>
          <w:szCs w:val="20"/>
          <w:vertAlign w:val="superscript"/>
        </w:rPr>
        <w:t xml:space="preserve"> </w:t>
      </w:r>
      <w:r w:rsidRPr="00D23116">
        <w:rPr>
          <w:rFonts w:ascii="Arial" w:hAnsi="Arial" w:cs="Arial"/>
          <w:bCs/>
          <w:sz w:val="20"/>
          <w:szCs w:val="20"/>
        </w:rPr>
        <w:t>Mean ± SE values in the same row with different superscripts differ (p&lt;0.05)</w:t>
      </w:r>
    </w:p>
    <w:p w14:paraId="7011AE46" w14:textId="715797FB" w:rsidR="004B53EC" w:rsidRDefault="004B53EC" w:rsidP="00E463A4">
      <w:pPr>
        <w:spacing w:after="0" w:line="240" w:lineRule="auto"/>
        <w:jc w:val="both"/>
        <w:rPr>
          <w:rFonts w:ascii="Arial" w:hAnsi="Arial" w:cs="Arial"/>
          <w:bCs/>
          <w:sz w:val="20"/>
          <w:szCs w:val="20"/>
        </w:rPr>
      </w:pPr>
    </w:p>
    <w:p w14:paraId="19059741" w14:textId="77777777" w:rsidR="004B53EC" w:rsidRPr="004B53EC" w:rsidRDefault="004B53EC" w:rsidP="004B53EC">
      <w:pPr>
        <w:pStyle w:val="NoSpacing"/>
        <w:jc w:val="center"/>
        <w:rPr>
          <w:rFonts w:ascii="Arial" w:hAnsi="Arial" w:cs="Arial"/>
          <w:sz w:val="20"/>
        </w:rPr>
      </w:pPr>
      <w:r w:rsidRPr="004B53EC">
        <w:rPr>
          <w:rFonts w:ascii="Arial" w:hAnsi="Arial" w:cs="Arial"/>
          <w:noProof/>
          <w:sz w:val="20"/>
          <w:lang w:eastAsia="en-IN"/>
        </w:rPr>
        <w:lastRenderedPageBreak/>
        <w:drawing>
          <wp:inline distT="0" distB="0" distL="0" distR="0" wp14:anchorId="3A624BE9" wp14:editId="6806F7DE">
            <wp:extent cx="5175638" cy="2286000"/>
            <wp:effectExtent l="0" t="0" r="635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a:stretch>
                      <a:fillRect/>
                    </a:stretch>
                  </pic:blipFill>
                  <pic:spPr>
                    <a:xfrm>
                      <a:off x="0" y="0"/>
                      <a:ext cx="5191182" cy="2292866"/>
                    </a:xfrm>
                    <a:prstGeom prst="rect">
                      <a:avLst/>
                    </a:prstGeom>
                  </pic:spPr>
                </pic:pic>
              </a:graphicData>
            </a:graphic>
          </wp:inline>
        </w:drawing>
      </w:r>
    </w:p>
    <w:p w14:paraId="06886A4A" w14:textId="6131383C" w:rsidR="004B53EC" w:rsidRPr="004B53EC" w:rsidRDefault="004B53EC" w:rsidP="004B53EC">
      <w:pPr>
        <w:pStyle w:val="NoSpacing"/>
        <w:jc w:val="center"/>
        <w:rPr>
          <w:rFonts w:ascii="Arial" w:hAnsi="Arial" w:cs="Arial"/>
          <w:b/>
          <w:sz w:val="20"/>
        </w:rPr>
      </w:pPr>
      <w:r w:rsidRPr="004B53EC">
        <w:rPr>
          <w:rFonts w:ascii="Arial" w:hAnsi="Arial" w:cs="Arial"/>
          <w:b/>
          <w:sz w:val="20"/>
        </w:rPr>
        <w:t xml:space="preserve">Fig </w:t>
      </w:r>
      <w:r w:rsidR="00617236">
        <w:rPr>
          <w:rFonts w:ascii="Arial" w:hAnsi="Arial" w:cs="Arial"/>
          <w:b/>
          <w:sz w:val="20"/>
        </w:rPr>
        <w:t>2</w:t>
      </w:r>
      <w:r w:rsidRPr="004B53EC">
        <w:rPr>
          <w:rFonts w:ascii="Arial" w:hAnsi="Arial" w:cs="Arial"/>
          <w:b/>
          <w:sz w:val="20"/>
        </w:rPr>
        <w:t xml:space="preserve">: Histogram of frequency distribution of AFC in </w:t>
      </w:r>
      <w:proofErr w:type="spellStart"/>
      <w:r w:rsidRPr="004B53EC">
        <w:rPr>
          <w:rFonts w:ascii="Arial" w:hAnsi="Arial" w:cs="Arial"/>
          <w:b/>
          <w:sz w:val="20"/>
        </w:rPr>
        <w:t>Ongole</w:t>
      </w:r>
      <w:proofErr w:type="spellEnd"/>
      <w:r w:rsidRPr="004B53EC">
        <w:rPr>
          <w:rFonts w:ascii="Arial" w:hAnsi="Arial" w:cs="Arial"/>
          <w:b/>
          <w:sz w:val="20"/>
        </w:rPr>
        <w:t xml:space="preserve"> cows (n = 84)</w:t>
      </w:r>
    </w:p>
    <w:p w14:paraId="68F9FD48" w14:textId="44A70670" w:rsidR="00E463A4" w:rsidRDefault="00E463A4" w:rsidP="0005286B">
      <w:pPr>
        <w:spacing w:after="0" w:line="240" w:lineRule="auto"/>
        <w:jc w:val="both"/>
        <w:rPr>
          <w:rFonts w:ascii="Arial" w:hAnsi="Arial" w:cs="Arial"/>
          <w:bCs/>
          <w:sz w:val="20"/>
          <w:szCs w:val="20"/>
        </w:rPr>
      </w:pPr>
    </w:p>
    <w:p w14:paraId="56AECFED" w14:textId="77777777" w:rsidR="004B53EC" w:rsidRPr="00D23116" w:rsidRDefault="004B53EC" w:rsidP="0005286B">
      <w:pPr>
        <w:spacing w:after="0" w:line="240" w:lineRule="auto"/>
        <w:jc w:val="both"/>
        <w:rPr>
          <w:rFonts w:ascii="Arial" w:hAnsi="Arial" w:cs="Arial"/>
          <w:bCs/>
          <w:sz w:val="20"/>
          <w:szCs w:val="20"/>
        </w:rPr>
      </w:pPr>
    </w:p>
    <w:p w14:paraId="54E75B23" w14:textId="211CCAE7" w:rsidR="006F4932" w:rsidRPr="00D23116" w:rsidRDefault="006F4932" w:rsidP="00D23116">
      <w:pPr>
        <w:spacing w:after="0" w:line="240" w:lineRule="auto"/>
        <w:jc w:val="both"/>
        <w:rPr>
          <w:rFonts w:ascii="Arial" w:hAnsi="Arial" w:cs="Arial"/>
          <w:bCs/>
          <w:sz w:val="20"/>
          <w:szCs w:val="20"/>
        </w:rPr>
      </w:pPr>
      <w:r w:rsidRPr="00D23116">
        <w:rPr>
          <w:rFonts w:ascii="Arial" w:hAnsi="Arial" w:cs="Arial"/>
          <w:b/>
          <w:bCs/>
          <w:sz w:val="20"/>
          <w:szCs w:val="20"/>
        </w:rPr>
        <w:t xml:space="preserve">Variance of AFC and AMH in different age groups among the </w:t>
      </w:r>
      <w:proofErr w:type="spellStart"/>
      <w:r w:rsidRPr="00D23116">
        <w:rPr>
          <w:rFonts w:ascii="Arial" w:hAnsi="Arial" w:cs="Arial"/>
          <w:b/>
          <w:bCs/>
          <w:sz w:val="20"/>
          <w:szCs w:val="20"/>
        </w:rPr>
        <w:t>Ongole</w:t>
      </w:r>
      <w:proofErr w:type="spellEnd"/>
      <w:r w:rsidRPr="00D23116">
        <w:rPr>
          <w:rFonts w:ascii="Arial" w:hAnsi="Arial" w:cs="Arial"/>
          <w:b/>
          <w:bCs/>
          <w:sz w:val="20"/>
          <w:szCs w:val="20"/>
        </w:rPr>
        <w:t xml:space="preserve"> cows </w:t>
      </w:r>
    </w:p>
    <w:p w14:paraId="4AA03EB5" w14:textId="0B6B9DC1" w:rsidR="006F4932" w:rsidRDefault="0032084D" w:rsidP="00FC5904">
      <w:pPr>
        <w:spacing w:after="0" w:line="240" w:lineRule="auto"/>
        <w:jc w:val="both"/>
        <w:rPr>
          <w:rFonts w:ascii="Arial" w:hAnsi="Arial" w:cs="Arial"/>
          <w:bCs/>
          <w:sz w:val="20"/>
          <w:szCs w:val="20"/>
        </w:rPr>
      </w:pPr>
      <w:r w:rsidRPr="00D23116">
        <w:rPr>
          <w:rFonts w:ascii="Arial" w:hAnsi="Arial" w:cs="Arial"/>
          <w:bCs/>
          <w:sz w:val="20"/>
          <w:szCs w:val="20"/>
        </w:rPr>
        <w:t xml:space="preserve">When the animals were compared </w:t>
      </w:r>
      <w:r w:rsidR="0061146D" w:rsidRPr="00D23116">
        <w:rPr>
          <w:rFonts w:ascii="Arial" w:hAnsi="Arial" w:cs="Arial"/>
          <w:bCs/>
          <w:sz w:val="20"/>
          <w:szCs w:val="20"/>
        </w:rPr>
        <w:t>across</w:t>
      </w:r>
      <w:r w:rsidRPr="00D23116">
        <w:rPr>
          <w:rFonts w:ascii="Arial" w:hAnsi="Arial" w:cs="Arial"/>
          <w:bCs/>
          <w:sz w:val="20"/>
          <w:szCs w:val="20"/>
        </w:rPr>
        <w:t xml:space="preserve"> different age groups</w:t>
      </w:r>
      <w:r w:rsidR="009A6EBB" w:rsidRPr="00D23116">
        <w:rPr>
          <w:rFonts w:ascii="Arial" w:hAnsi="Arial" w:cs="Arial"/>
          <w:bCs/>
          <w:sz w:val="20"/>
          <w:szCs w:val="20"/>
        </w:rPr>
        <w:t xml:space="preserve">, </w:t>
      </w:r>
      <w:r w:rsidRPr="00D23116">
        <w:rPr>
          <w:rFonts w:ascii="Arial" w:hAnsi="Arial" w:cs="Arial"/>
          <w:bCs/>
          <w:sz w:val="20"/>
          <w:szCs w:val="20"/>
        </w:rPr>
        <w:t xml:space="preserve">it was more evident that </w:t>
      </w:r>
      <w:r w:rsidR="009A6EBB" w:rsidRPr="00D23116">
        <w:rPr>
          <w:rFonts w:ascii="Arial" w:hAnsi="Arial" w:cs="Arial"/>
          <w:bCs/>
          <w:sz w:val="20"/>
          <w:szCs w:val="20"/>
        </w:rPr>
        <w:t>the</w:t>
      </w:r>
      <w:r w:rsidRPr="00D23116">
        <w:rPr>
          <w:rFonts w:ascii="Arial" w:hAnsi="Arial" w:cs="Arial"/>
          <w:bCs/>
          <w:sz w:val="20"/>
          <w:szCs w:val="20"/>
        </w:rPr>
        <w:t xml:space="preserve">re is an age-related </w:t>
      </w:r>
      <w:r w:rsidR="009A6EBB" w:rsidRPr="00D23116">
        <w:rPr>
          <w:rFonts w:ascii="Arial" w:hAnsi="Arial" w:cs="Arial"/>
          <w:bCs/>
          <w:sz w:val="20"/>
          <w:szCs w:val="20"/>
        </w:rPr>
        <w:t xml:space="preserve">decline in </w:t>
      </w:r>
      <w:r w:rsidRPr="00D23116">
        <w:rPr>
          <w:rFonts w:ascii="Arial" w:hAnsi="Arial" w:cs="Arial"/>
          <w:bCs/>
          <w:sz w:val="20"/>
          <w:szCs w:val="20"/>
        </w:rPr>
        <w:t xml:space="preserve">both </w:t>
      </w:r>
      <w:r w:rsidR="009A6EBB" w:rsidRPr="00D23116">
        <w:rPr>
          <w:rFonts w:ascii="Arial" w:hAnsi="Arial" w:cs="Arial"/>
          <w:bCs/>
          <w:sz w:val="20"/>
          <w:szCs w:val="20"/>
        </w:rPr>
        <w:t>AMH and AFC</w:t>
      </w:r>
      <w:r w:rsidRPr="00D23116">
        <w:rPr>
          <w:rFonts w:ascii="Arial" w:hAnsi="Arial" w:cs="Arial"/>
          <w:bCs/>
          <w:sz w:val="20"/>
          <w:szCs w:val="20"/>
        </w:rPr>
        <w:t>, particularly in cows older than 13 years.</w:t>
      </w:r>
      <w:r w:rsidR="006F4932" w:rsidRPr="00D23116">
        <w:rPr>
          <w:rFonts w:ascii="Arial" w:hAnsi="Arial" w:cs="Arial"/>
          <w:bCs/>
          <w:sz w:val="20"/>
          <w:szCs w:val="20"/>
        </w:rPr>
        <w:t xml:space="preserve"> The average age (months) of the three category animals was 56.94 (range 43-64), 98.26 (range 66-154) and 198.76 (range 155-244), respectively and the group wise mean</w:t>
      </w:r>
      <w:r w:rsidR="006F4932" w:rsidRPr="00D23116">
        <w:rPr>
          <w:rFonts w:ascii="Arial" w:hAnsi="Arial" w:cs="Arial"/>
          <w:sz w:val="20"/>
          <w:szCs w:val="20"/>
        </w:rPr>
        <w:t xml:space="preserve"> </w:t>
      </w:r>
      <w:r w:rsidR="006F4932" w:rsidRPr="00D23116">
        <w:rPr>
          <w:rFonts w:ascii="Arial" w:hAnsi="Arial" w:cs="Arial"/>
          <w:bCs/>
          <w:sz w:val="20"/>
          <w:szCs w:val="20"/>
        </w:rPr>
        <w:t xml:space="preserve">AFC &amp; AMH levels recorded </w:t>
      </w:r>
      <w:r w:rsidR="006F4932" w:rsidRPr="00D23116">
        <w:rPr>
          <w:rFonts w:ascii="Arial" w:hAnsi="Arial" w:cs="Arial"/>
          <w:bCs/>
          <w:color w:val="000000"/>
          <w:sz w:val="20"/>
          <w:szCs w:val="20"/>
        </w:rPr>
        <w:t xml:space="preserve">respectively were 45.47 ± 5.37 &amp; 1.88 ± 0.26 </w:t>
      </w:r>
      <w:r w:rsidR="00AD290F" w:rsidRPr="00D23116">
        <w:rPr>
          <w:rFonts w:ascii="Arial" w:hAnsi="Arial" w:cs="Arial"/>
          <w:bCs/>
          <w:color w:val="000000"/>
          <w:sz w:val="20"/>
          <w:szCs w:val="20"/>
        </w:rPr>
        <w:t>ng/mL</w:t>
      </w:r>
      <w:r w:rsidR="006F4932" w:rsidRPr="00D23116">
        <w:rPr>
          <w:rFonts w:ascii="Arial" w:hAnsi="Arial" w:cs="Arial"/>
          <w:bCs/>
          <w:color w:val="000000"/>
          <w:sz w:val="20"/>
          <w:szCs w:val="20"/>
        </w:rPr>
        <w:t xml:space="preserve"> in young age cows, 34.82 ± 2.53 &amp; 0.90 ± 0.08 </w:t>
      </w:r>
      <w:r w:rsidR="00AD290F" w:rsidRPr="00D23116">
        <w:rPr>
          <w:rFonts w:ascii="Arial" w:hAnsi="Arial" w:cs="Arial"/>
          <w:bCs/>
          <w:color w:val="000000"/>
          <w:sz w:val="20"/>
          <w:szCs w:val="20"/>
        </w:rPr>
        <w:t>ng/mL</w:t>
      </w:r>
      <w:r w:rsidR="006F4932" w:rsidRPr="00D23116">
        <w:rPr>
          <w:rFonts w:ascii="Arial" w:hAnsi="Arial" w:cs="Arial"/>
          <w:bCs/>
          <w:color w:val="000000"/>
          <w:sz w:val="20"/>
          <w:szCs w:val="20"/>
        </w:rPr>
        <w:t xml:space="preserve"> in middle age cows and 20.59 ± 2.91 &amp; 0.62 ± 0.06 </w:t>
      </w:r>
      <w:r w:rsidR="00AD290F" w:rsidRPr="00D23116">
        <w:rPr>
          <w:rFonts w:ascii="Arial" w:hAnsi="Arial" w:cs="Arial"/>
          <w:bCs/>
          <w:color w:val="000000"/>
          <w:sz w:val="20"/>
          <w:szCs w:val="20"/>
        </w:rPr>
        <w:t>ng/mL</w:t>
      </w:r>
      <w:r w:rsidR="006F4932" w:rsidRPr="00D23116">
        <w:rPr>
          <w:rFonts w:ascii="Arial" w:hAnsi="Arial" w:cs="Arial"/>
          <w:bCs/>
          <w:color w:val="000000"/>
          <w:sz w:val="20"/>
          <w:szCs w:val="20"/>
        </w:rPr>
        <w:t xml:space="preserve"> in old age animals </w:t>
      </w:r>
      <w:r w:rsidR="006F4932" w:rsidRPr="00D23116">
        <w:rPr>
          <w:rFonts w:ascii="Arial" w:hAnsi="Arial" w:cs="Arial"/>
          <w:bCs/>
          <w:sz w:val="20"/>
          <w:szCs w:val="20"/>
        </w:rPr>
        <w:t xml:space="preserve">(Table 2).  </w:t>
      </w:r>
      <w:r w:rsidR="008717C9" w:rsidRPr="00D23116">
        <w:rPr>
          <w:rFonts w:ascii="Arial" w:hAnsi="Arial" w:cs="Arial"/>
          <w:bCs/>
          <w:sz w:val="20"/>
          <w:szCs w:val="20"/>
        </w:rPr>
        <w:t>Although the mean AFC and serum AMH levels were higher (p &lt; 0.05) in younger animals and showed a decreasing trend with advancing age, the reduction in mean AFC between the young and middle-aged groups was not statistically significant (p &gt; 0.05). Likewise, the decline in mean serum AMH levels between the middle-aged and old groups was also not significant (p &gt; 0.05).</w:t>
      </w:r>
      <w:r w:rsidR="006F4932" w:rsidRPr="00D23116">
        <w:rPr>
          <w:rFonts w:ascii="Arial" w:hAnsi="Arial" w:cs="Arial"/>
          <w:bCs/>
          <w:sz w:val="20"/>
          <w:szCs w:val="20"/>
        </w:rPr>
        <w:t xml:space="preserve"> (Table 2). </w:t>
      </w:r>
    </w:p>
    <w:p w14:paraId="3A8FA2BF" w14:textId="77777777" w:rsidR="004B53EC" w:rsidRDefault="004B53EC" w:rsidP="00FC5904">
      <w:pPr>
        <w:spacing w:after="0" w:line="240" w:lineRule="auto"/>
        <w:jc w:val="both"/>
        <w:rPr>
          <w:rFonts w:ascii="Arial" w:hAnsi="Arial" w:cs="Arial"/>
          <w:bCs/>
          <w:sz w:val="20"/>
          <w:szCs w:val="20"/>
        </w:rPr>
      </w:pPr>
    </w:p>
    <w:p w14:paraId="07F69FD2" w14:textId="77777777" w:rsidR="00E463A4" w:rsidRPr="00D23116" w:rsidRDefault="00E463A4" w:rsidP="00E463A4">
      <w:pPr>
        <w:spacing w:after="0" w:line="240" w:lineRule="auto"/>
        <w:ind w:right="-613"/>
        <w:jc w:val="center"/>
        <w:rPr>
          <w:rFonts w:ascii="Arial" w:hAnsi="Arial" w:cs="Arial"/>
          <w:b/>
          <w:sz w:val="20"/>
          <w:szCs w:val="20"/>
          <w:lang w:val="en-US"/>
        </w:rPr>
      </w:pPr>
      <w:r w:rsidRPr="00D23116">
        <w:rPr>
          <w:rFonts w:ascii="Arial" w:hAnsi="Arial" w:cs="Arial"/>
          <w:b/>
          <w:sz w:val="20"/>
          <w:szCs w:val="20"/>
          <w:lang w:val="en-US"/>
        </w:rPr>
        <w:t xml:space="preserve">Table: 2 AFC and AMH levels in relation to age of </w:t>
      </w:r>
      <w:proofErr w:type="spellStart"/>
      <w:r w:rsidRPr="00D23116">
        <w:rPr>
          <w:rFonts w:ascii="Arial" w:hAnsi="Arial" w:cs="Arial"/>
          <w:b/>
          <w:sz w:val="20"/>
          <w:szCs w:val="20"/>
          <w:lang w:val="en-US"/>
        </w:rPr>
        <w:t>Ongole</w:t>
      </w:r>
      <w:proofErr w:type="spellEnd"/>
      <w:r w:rsidRPr="00D23116">
        <w:rPr>
          <w:rFonts w:ascii="Arial" w:hAnsi="Arial" w:cs="Arial"/>
          <w:b/>
          <w:sz w:val="20"/>
          <w:szCs w:val="20"/>
          <w:lang w:val="en-US"/>
        </w:rPr>
        <w:t xml:space="preserve"> cows (n = 84)</w:t>
      </w:r>
    </w:p>
    <w:tbl>
      <w:tblPr>
        <w:tblStyle w:val="TableGrid"/>
        <w:tblW w:w="8529" w:type="dxa"/>
        <w:jc w:val="center"/>
        <w:tblLayout w:type="fixed"/>
        <w:tblLook w:val="04A0" w:firstRow="1" w:lastRow="0" w:firstColumn="1" w:lastColumn="0" w:noHBand="0" w:noVBand="1"/>
      </w:tblPr>
      <w:tblGrid>
        <w:gridCol w:w="2689"/>
        <w:gridCol w:w="2013"/>
        <w:gridCol w:w="2239"/>
        <w:gridCol w:w="1588"/>
      </w:tblGrid>
      <w:tr w:rsidR="00E463A4" w:rsidRPr="00D23116" w14:paraId="3950BD0D" w14:textId="77777777" w:rsidTr="00820F08">
        <w:trPr>
          <w:jc w:val="center"/>
        </w:trPr>
        <w:tc>
          <w:tcPr>
            <w:tcW w:w="2689" w:type="dxa"/>
            <w:vAlign w:val="center"/>
          </w:tcPr>
          <w:p w14:paraId="1B5DF49D" w14:textId="77777777" w:rsidR="00E463A4" w:rsidRPr="00D23116" w:rsidRDefault="00E463A4" w:rsidP="00820F08">
            <w:pPr>
              <w:jc w:val="center"/>
              <w:rPr>
                <w:rFonts w:ascii="Arial" w:hAnsi="Arial" w:cs="Arial"/>
                <w:b/>
                <w:sz w:val="20"/>
                <w:szCs w:val="20"/>
              </w:rPr>
            </w:pPr>
            <w:r w:rsidRPr="00D23116">
              <w:rPr>
                <w:rFonts w:ascii="Arial" w:hAnsi="Arial" w:cs="Arial"/>
                <w:b/>
                <w:sz w:val="20"/>
                <w:szCs w:val="20"/>
              </w:rPr>
              <w:t>Attribute</w:t>
            </w:r>
          </w:p>
        </w:tc>
        <w:tc>
          <w:tcPr>
            <w:tcW w:w="2013" w:type="dxa"/>
            <w:vAlign w:val="center"/>
          </w:tcPr>
          <w:p w14:paraId="7E7DDCC9" w14:textId="77777777" w:rsidR="00E463A4" w:rsidRPr="00D23116" w:rsidRDefault="00E463A4" w:rsidP="00820F08">
            <w:pPr>
              <w:jc w:val="center"/>
              <w:rPr>
                <w:rFonts w:ascii="Arial" w:hAnsi="Arial" w:cs="Arial"/>
                <w:b/>
                <w:sz w:val="20"/>
                <w:szCs w:val="20"/>
              </w:rPr>
            </w:pPr>
            <w:r w:rsidRPr="00D23116">
              <w:rPr>
                <w:rFonts w:ascii="Arial" w:hAnsi="Arial" w:cs="Arial"/>
                <w:b/>
                <w:sz w:val="20"/>
                <w:szCs w:val="20"/>
              </w:rPr>
              <w:t>Young age</w:t>
            </w:r>
          </w:p>
          <w:p w14:paraId="3D8BFC3D" w14:textId="77777777" w:rsidR="00E463A4" w:rsidRPr="00D23116" w:rsidRDefault="00E463A4" w:rsidP="00820F08">
            <w:pPr>
              <w:jc w:val="center"/>
              <w:rPr>
                <w:rFonts w:ascii="Arial" w:hAnsi="Arial" w:cs="Arial"/>
                <w:b/>
                <w:sz w:val="20"/>
                <w:szCs w:val="20"/>
              </w:rPr>
            </w:pPr>
            <w:r w:rsidRPr="00D23116">
              <w:rPr>
                <w:rFonts w:ascii="Arial" w:hAnsi="Arial" w:cs="Arial"/>
                <w:b/>
                <w:sz w:val="20"/>
                <w:szCs w:val="20"/>
              </w:rPr>
              <w:t>(Youngest 20% in months</w:t>
            </w:r>
            <w:r w:rsidRPr="00D23116">
              <w:rPr>
                <w:rFonts w:ascii="Arial" w:hAnsi="Arial" w:cs="Arial"/>
                <w:b/>
                <w:bCs/>
                <w:sz w:val="20"/>
                <w:szCs w:val="20"/>
              </w:rPr>
              <w:t>)</w:t>
            </w:r>
          </w:p>
        </w:tc>
        <w:tc>
          <w:tcPr>
            <w:tcW w:w="2239" w:type="dxa"/>
            <w:vAlign w:val="center"/>
          </w:tcPr>
          <w:p w14:paraId="3E587552" w14:textId="77777777" w:rsidR="00E463A4" w:rsidRPr="00D23116" w:rsidRDefault="00E463A4" w:rsidP="00820F08">
            <w:pPr>
              <w:jc w:val="center"/>
              <w:rPr>
                <w:rFonts w:ascii="Arial" w:hAnsi="Arial" w:cs="Arial"/>
                <w:b/>
                <w:sz w:val="20"/>
                <w:szCs w:val="20"/>
              </w:rPr>
            </w:pPr>
            <w:r w:rsidRPr="00D23116">
              <w:rPr>
                <w:rFonts w:ascii="Arial" w:hAnsi="Arial" w:cs="Arial"/>
                <w:b/>
                <w:sz w:val="20"/>
                <w:szCs w:val="20"/>
              </w:rPr>
              <w:t xml:space="preserve">Middle age </w:t>
            </w:r>
            <w:r w:rsidRPr="00D23116">
              <w:rPr>
                <w:rFonts w:ascii="Arial" w:hAnsi="Arial" w:cs="Arial"/>
                <w:b/>
                <w:bCs/>
                <w:sz w:val="20"/>
                <w:szCs w:val="20"/>
              </w:rPr>
              <w:t>(Intermediate 60% in months)</w:t>
            </w:r>
          </w:p>
        </w:tc>
        <w:tc>
          <w:tcPr>
            <w:tcW w:w="1588" w:type="dxa"/>
            <w:vAlign w:val="center"/>
          </w:tcPr>
          <w:p w14:paraId="6299975D" w14:textId="77777777" w:rsidR="00E463A4" w:rsidRPr="00D23116" w:rsidRDefault="00E463A4" w:rsidP="00820F08">
            <w:pPr>
              <w:jc w:val="center"/>
              <w:rPr>
                <w:rFonts w:ascii="Arial" w:hAnsi="Arial" w:cs="Arial"/>
                <w:b/>
                <w:sz w:val="20"/>
                <w:szCs w:val="20"/>
              </w:rPr>
            </w:pPr>
            <w:r w:rsidRPr="00D23116">
              <w:rPr>
                <w:rFonts w:ascii="Arial" w:hAnsi="Arial" w:cs="Arial"/>
                <w:b/>
                <w:sz w:val="20"/>
                <w:szCs w:val="20"/>
              </w:rPr>
              <w:t xml:space="preserve">Old </w:t>
            </w:r>
            <w:proofErr w:type="gramStart"/>
            <w:r w:rsidRPr="00D23116">
              <w:rPr>
                <w:rFonts w:ascii="Arial" w:hAnsi="Arial" w:cs="Arial"/>
                <w:b/>
                <w:sz w:val="20"/>
                <w:szCs w:val="20"/>
              </w:rPr>
              <w:t>age  (</w:t>
            </w:r>
            <w:proofErr w:type="gramEnd"/>
            <w:r w:rsidRPr="00D23116">
              <w:rPr>
                <w:rFonts w:ascii="Arial" w:hAnsi="Arial" w:cs="Arial"/>
                <w:b/>
                <w:bCs/>
                <w:sz w:val="20"/>
                <w:szCs w:val="20"/>
              </w:rPr>
              <w:t>Oldest 20% in months)</w:t>
            </w:r>
          </w:p>
        </w:tc>
      </w:tr>
      <w:tr w:rsidR="00E463A4" w:rsidRPr="00D23116" w14:paraId="2695EF25" w14:textId="77777777" w:rsidTr="00820F08">
        <w:trPr>
          <w:jc w:val="center"/>
        </w:trPr>
        <w:tc>
          <w:tcPr>
            <w:tcW w:w="2689" w:type="dxa"/>
            <w:vAlign w:val="center"/>
          </w:tcPr>
          <w:p w14:paraId="697175A2" w14:textId="77777777" w:rsidR="00E463A4" w:rsidRPr="00D23116" w:rsidRDefault="00E463A4" w:rsidP="00820F08">
            <w:pPr>
              <w:rPr>
                <w:rFonts w:ascii="Arial" w:hAnsi="Arial" w:cs="Arial"/>
                <w:b/>
                <w:sz w:val="20"/>
                <w:szCs w:val="20"/>
              </w:rPr>
            </w:pPr>
            <w:r w:rsidRPr="00D23116">
              <w:rPr>
                <w:rFonts w:ascii="Arial" w:hAnsi="Arial" w:cs="Arial"/>
                <w:b/>
                <w:sz w:val="20"/>
                <w:szCs w:val="20"/>
              </w:rPr>
              <w:t>Number of animals (%)</w:t>
            </w:r>
          </w:p>
        </w:tc>
        <w:tc>
          <w:tcPr>
            <w:tcW w:w="2013" w:type="dxa"/>
            <w:vAlign w:val="center"/>
          </w:tcPr>
          <w:p w14:paraId="40BAC6DB"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 xml:space="preserve">17 </w:t>
            </w:r>
          </w:p>
          <w:p w14:paraId="586B94D3"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(20%)</w:t>
            </w:r>
          </w:p>
        </w:tc>
        <w:tc>
          <w:tcPr>
            <w:tcW w:w="2239" w:type="dxa"/>
            <w:vAlign w:val="center"/>
          </w:tcPr>
          <w:p w14:paraId="3239579E"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50</w:t>
            </w:r>
          </w:p>
          <w:p w14:paraId="5CE310A1"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(60%)</w:t>
            </w:r>
          </w:p>
        </w:tc>
        <w:tc>
          <w:tcPr>
            <w:tcW w:w="1588" w:type="dxa"/>
            <w:vAlign w:val="center"/>
          </w:tcPr>
          <w:p w14:paraId="0E01CE3A"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17</w:t>
            </w:r>
          </w:p>
          <w:p w14:paraId="76514376"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(20%)</w:t>
            </w:r>
          </w:p>
        </w:tc>
      </w:tr>
      <w:tr w:rsidR="00E463A4" w:rsidRPr="00D23116" w14:paraId="446E7BD9" w14:textId="77777777" w:rsidTr="00820F08">
        <w:trPr>
          <w:jc w:val="center"/>
        </w:trPr>
        <w:tc>
          <w:tcPr>
            <w:tcW w:w="2689" w:type="dxa"/>
            <w:vAlign w:val="center"/>
          </w:tcPr>
          <w:p w14:paraId="610419DC" w14:textId="77777777" w:rsidR="00E463A4" w:rsidRPr="00D23116" w:rsidRDefault="00E463A4" w:rsidP="00820F08">
            <w:pPr>
              <w:rPr>
                <w:rFonts w:ascii="Arial" w:hAnsi="Arial" w:cs="Arial"/>
                <w:b/>
                <w:sz w:val="20"/>
                <w:szCs w:val="20"/>
              </w:rPr>
            </w:pPr>
            <w:r w:rsidRPr="00D23116">
              <w:rPr>
                <w:rFonts w:ascii="Arial" w:hAnsi="Arial" w:cs="Arial"/>
                <w:b/>
                <w:sz w:val="20"/>
                <w:szCs w:val="20"/>
              </w:rPr>
              <w:t xml:space="preserve">Average age in </w:t>
            </w:r>
            <w:proofErr w:type="gramStart"/>
            <w:r w:rsidRPr="00D23116">
              <w:rPr>
                <w:rFonts w:ascii="Arial" w:hAnsi="Arial" w:cs="Arial"/>
                <w:b/>
                <w:sz w:val="20"/>
                <w:szCs w:val="20"/>
              </w:rPr>
              <w:t>months  (</w:t>
            </w:r>
            <w:proofErr w:type="gramEnd"/>
            <w:r w:rsidRPr="00D23116">
              <w:rPr>
                <w:rFonts w:ascii="Arial" w:hAnsi="Arial" w:cs="Arial"/>
                <w:b/>
                <w:sz w:val="20"/>
                <w:szCs w:val="20"/>
              </w:rPr>
              <w:t>Range)</w:t>
            </w:r>
          </w:p>
        </w:tc>
        <w:tc>
          <w:tcPr>
            <w:tcW w:w="2013" w:type="dxa"/>
            <w:vAlign w:val="center"/>
          </w:tcPr>
          <w:p w14:paraId="7560E855" w14:textId="77777777" w:rsidR="00E463A4" w:rsidRPr="00D23116" w:rsidRDefault="00E463A4" w:rsidP="00820F08">
            <w:pPr>
              <w:jc w:val="center"/>
              <w:rPr>
                <w:rFonts w:ascii="Arial" w:hAnsi="Arial" w:cs="Arial"/>
                <w:sz w:val="20"/>
                <w:szCs w:val="20"/>
                <w:vertAlign w:val="superscript"/>
              </w:rPr>
            </w:pPr>
            <w:r w:rsidRPr="00D23116">
              <w:rPr>
                <w:rFonts w:ascii="Arial" w:hAnsi="Arial" w:cs="Arial"/>
                <w:sz w:val="20"/>
                <w:szCs w:val="20"/>
              </w:rPr>
              <w:t>56.94</w:t>
            </w:r>
            <w:r w:rsidRPr="00D23116">
              <w:rPr>
                <w:rFonts w:ascii="Arial" w:hAnsi="Arial" w:cs="Arial"/>
                <w:sz w:val="20"/>
                <w:szCs w:val="20"/>
                <w:vertAlign w:val="superscript"/>
              </w:rPr>
              <w:t>a</w:t>
            </w:r>
          </w:p>
          <w:p w14:paraId="21BDF5CC"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(43 to 64)</w:t>
            </w:r>
          </w:p>
        </w:tc>
        <w:tc>
          <w:tcPr>
            <w:tcW w:w="2239" w:type="dxa"/>
            <w:vAlign w:val="center"/>
          </w:tcPr>
          <w:p w14:paraId="0F8B62C3"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98.26</w:t>
            </w:r>
            <w:r w:rsidRPr="00D23116">
              <w:rPr>
                <w:rFonts w:ascii="Arial" w:hAnsi="Arial" w:cs="Arial"/>
                <w:sz w:val="20"/>
                <w:szCs w:val="20"/>
                <w:vertAlign w:val="superscript"/>
              </w:rPr>
              <w:t>b</w:t>
            </w:r>
          </w:p>
          <w:p w14:paraId="71588989"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(66 to 154)</w:t>
            </w:r>
          </w:p>
        </w:tc>
        <w:tc>
          <w:tcPr>
            <w:tcW w:w="1588" w:type="dxa"/>
            <w:vAlign w:val="center"/>
          </w:tcPr>
          <w:p w14:paraId="6CA13D89"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198.76</w:t>
            </w:r>
            <w:r w:rsidRPr="00D23116">
              <w:rPr>
                <w:rFonts w:ascii="Arial" w:hAnsi="Arial" w:cs="Arial"/>
                <w:sz w:val="20"/>
                <w:szCs w:val="20"/>
                <w:vertAlign w:val="superscript"/>
              </w:rPr>
              <w:t>c</w:t>
            </w:r>
          </w:p>
          <w:p w14:paraId="00C298D9"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(155 to 244)</w:t>
            </w:r>
          </w:p>
        </w:tc>
      </w:tr>
      <w:tr w:rsidR="00E463A4" w:rsidRPr="00D23116" w14:paraId="68488C7E" w14:textId="77777777" w:rsidTr="00820F08">
        <w:trPr>
          <w:jc w:val="center"/>
        </w:trPr>
        <w:tc>
          <w:tcPr>
            <w:tcW w:w="2689" w:type="dxa"/>
            <w:vAlign w:val="center"/>
          </w:tcPr>
          <w:p w14:paraId="5D920474" w14:textId="77777777" w:rsidR="00E463A4" w:rsidRPr="00D23116" w:rsidRDefault="00E463A4" w:rsidP="00820F08">
            <w:pPr>
              <w:rPr>
                <w:rFonts w:ascii="Arial" w:hAnsi="Arial" w:cs="Arial"/>
                <w:b/>
                <w:sz w:val="20"/>
                <w:szCs w:val="20"/>
              </w:rPr>
            </w:pPr>
            <w:r w:rsidRPr="00D23116">
              <w:rPr>
                <w:rFonts w:ascii="Arial" w:hAnsi="Arial" w:cs="Arial"/>
                <w:b/>
                <w:sz w:val="20"/>
                <w:szCs w:val="20"/>
              </w:rPr>
              <w:t>Mean parity (Range)</w:t>
            </w:r>
          </w:p>
        </w:tc>
        <w:tc>
          <w:tcPr>
            <w:tcW w:w="2013" w:type="dxa"/>
            <w:vAlign w:val="center"/>
          </w:tcPr>
          <w:p w14:paraId="45C1CC87"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1.06 ± 0.06</w:t>
            </w:r>
            <w:r w:rsidRPr="00D23116">
              <w:rPr>
                <w:rFonts w:ascii="Arial" w:hAnsi="Arial" w:cs="Arial"/>
                <w:sz w:val="20"/>
                <w:szCs w:val="20"/>
                <w:vertAlign w:val="superscript"/>
              </w:rPr>
              <w:t>a</w:t>
            </w:r>
          </w:p>
          <w:p w14:paraId="36D03095"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 to 2)</w:t>
            </w:r>
          </w:p>
        </w:tc>
        <w:tc>
          <w:tcPr>
            <w:tcW w:w="2239" w:type="dxa"/>
            <w:vAlign w:val="center"/>
          </w:tcPr>
          <w:p w14:paraId="6BE4A04A"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3.54 ± 0.27</w:t>
            </w:r>
            <w:r w:rsidRPr="00D23116">
              <w:rPr>
                <w:rFonts w:ascii="Arial" w:hAnsi="Arial" w:cs="Arial"/>
                <w:sz w:val="20"/>
                <w:szCs w:val="20"/>
                <w:vertAlign w:val="superscript"/>
              </w:rPr>
              <w:t>b</w:t>
            </w:r>
          </w:p>
          <w:p w14:paraId="3CE620C2"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 to 11)</w:t>
            </w:r>
          </w:p>
        </w:tc>
        <w:tc>
          <w:tcPr>
            <w:tcW w:w="1588" w:type="dxa"/>
            <w:vAlign w:val="center"/>
          </w:tcPr>
          <w:p w14:paraId="63837F47" w14:textId="77777777" w:rsidR="00E463A4" w:rsidRPr="00D23116" w:rsidRDefault="00E463A4" w:rsidP="00820F08">
            <w:pPr>
              <w:jc w:val="center"/>
              <w:rPr>
                <w:rFonts w:ascii="Arial" w:hAnsi="Arial" w:cs="Arial"/>
                <w:sz w:val="20"/>
                <w:szCs w:val="20"/>
                <w:vertAlign w:val="superscript"/>
              </w:rPr>
            </w:pPr>
            <w:r w:rsidRPr="00D23116">
              <w:rPr>
                <w:rFonts w:ascii="Arial" w:hAnsi="Arial" w:cs="Arial"/>
                <w:sz w:val="20"/>
                <w:szCs w:val="20"/>
              </w:rPr>
              <w:t>8.82 ± 0.45</w:t>
            </w:r>
            <w:r w:rsidRPr="00D23116">
              <w:rPr>
                <w:rFonts w:ascii="Arial" w:hAnsi="Arial" w:cs="Arial"/>
                <w:sz w:val="20"/>
                <w:szCs w:val="20"/>
                <w:vertAlign w:val="superscript"/>
              </w:rPr>
              <w:t>c</w:t>
            </w:r>
          </w:p>
          <w:p w14:paraId="46B6A79A" w14:textId="77777777" w:rsidR="00E463A4" w:rsidRPr="00D23116" w:rsidRDefault="00E463A4" w:rsidP="00820F08">
            <w:pPr>
              <w:jc w:val="center"/>
              <w:rPr>
                <w:rFonts w:ascii="Arial" w:hAnsi="Arial" w:cs="Arial"/>
                <w:sz w:val="20"/>
                <w:szCs w:val="20"/>
                <w:vertAlign w:val="superscript"/>
              </w:rPr>
            </w:pPr>
            <w:r w:rsidRPr="00D23116">
              <w:rPr>
                <w:rFonts w:ascii="Arial" w:hAnsi="Arial" w:cs="Arial"/>
                <w:sz w:val="20"/>
                <w:szCs w:val="20"/>
              </w:rPr>
              <w:t>(7 to 12)</w:t>
            </w:r>
          </w:p>
        </w:tc>
      </w:tr>
      <w:tr w:rsidR="00E463A4" w:rsidRPr="00D23116" w14:paraId="1DFA3BFE" w14:textId="77777777" w:rsidTr="00820F08">
        <w:trPr>
          <w:jc w:val="center"/>
        </w:trPr>
        <w:tc>
          <w:tcPr>
            <w:tcW w:w="2689" w:type="dxa"/>
            <w:vAlign w:val="center"/>
          </w:tcPr>
          <w:p w14:paraId="4242BDE7" w14:textId="77777777" w:rsidR="00E463A4" w:rsidRPr="00D23116" w:rsidRDefault="00E463A4" w:rsidP="00820F08">
            <w:pPr>
              <w:rPr>
                <w:rFonts w:ascii="Arial" w:hAnsi="Arial" w:cs="Arial"/>
                <w:b/>
                <w:sz w:val="20"/>
                <w:szCs w:val="20"/>
              </w:rPr>
            </w:pPr>
            <w:r w:rsidRPr="00D23116">
              <w:rPr>
                <w:rFonts w:ascii="Arial" w:hAnsi="Arial" w:cs="Arial"/>
                <w:b/>
                <w:sz w:val="20"/>
                <w:szCs w:val="20"/>
              </w:rPr>
              <w:t>Mean antral follicles (Range)</w:t>
            </w:r>
          </w:p>
        </w:tc>
        <w:tc>
          <w:tcPr>
            <w:tcW w:w="2013" w:type="dxa"/>
            <w:vAlign w:val="center"/>
          </w:tcPr>
          <w:p w14:paraId="157C11A0" w14:textId="77777777" w:rsidR="00E463A4" w:rsidRPr="00D23116" w:rsidRDefault="00E463A4" w:rsidP="00820F08">
            <w:pPr>
              <w:jc w:val="center"/>
              <w:rPr>
                <w:rFonts w:ascii="Arial" w:hAnsi="Arial" w:cs="Arial"/>
                <w:color w:val="000000"/>
                <w:sz w:val="20"/>
                <w:szCs w:val="20"/>
                <w:vertAlign w:val="superscript"/>
              </w:rPr>
            </w:pPr>
            <w:r w:rsidRPr="00D23116">
              <w:rPr>
                <w:rFonts w:ascii="Arial" w:hAnsi="Arial" w:cs="Arial"/>
                <w:color w:val="000000"/>
                <w:sz w:val="20"/>
                <w:szCs w:val="20"/>
              </w:rPr>
              <w:t>45.47 ± 5.37</w:t>
            </w:r>
            <w:r w:rsidRPr="00D23116">
              <w:rPr>
                <w:rFonts w:ascii="Arial" w:hAnsi="Arial" w:cs="Arial"/>
                <w:color w:val="000000"/>
                <w:sz w:val="20"/>
                <w:szCs w:val="20"/>
                <w:vertAlign w:val="superscript"/>
              </w:rPr>
              <w:t>a</w:t>
            </w:r>
          </w:p>
          <w:p w14:paraId="53BCDE45" w14:textId="77777777" w:rsidR="00E463A4" w:rsidRPr="00D23116" w:rsidRDefault="00E463A4" w:rsidP="00820F08">
            <w:pPr>
              <w:jc w:val="center"/>
              <w:rPr>
                <w:rFonts w:ascii="Arial" w:hAnsi="Arial" w:cs="Arial"/>
                <w:color w:val="000000"/>
                <w:sz w:val="20"/>
                <w:szCs w:val="20"/>
              </w:rPr>
            </w:pPr>
            <w:r w:rsidRPr="00D23116">
              <w:rPr>
                <w:rFonts w:ascii="Arial" w:hAnsi="Arial" w:cs="Arial"/>
                <w:color w:val="000000"/>
                <w:sz w:val="20"/>
                <w:szCs w:val="20"/>
              </w:rPr>
              <w:t>(14 to 104)</w:t>
            </w:r>
          </w:p>
        </w:tc>
        <w:tc>
          <w:tcPr>
            <w:tcW w:w="2239" w:type="dxa"/>
            <w:vAlign w:val="center"/>
          </w:tcPr>
          <w:p w14:paraId="0FA7F149" w14:textId="77777777" w:rsidR="00E463A4" w:rsidRPr="00D23116" w:rsidRDefault="00E463A4" w:rsidP="00820F08">
            <w:pPr>
              <w:jc w:val="center"/>
              <w:rPr>
                <w:rFonts w:ascii="Arial" w:hAnsi="Arial" w:cs="Arial"/>
                <w:sz w:val="20"/>
                <w:szCs w:val="20"/>
                <w:vertAlign w:val="superscript"/>
              </w:rPr>
            </w:pPr>
            <w:r w:rsidRPr="00D23116">
              <w:rPr>
                <w:rFonts w:ascii="Arial" w:hAnsi="Arial" w:cs="Arial"/>
                <w:sz w:val="20"/>
                <w:szCs w:val="20"/>
              </w:rPr>
              <w:t>34.82 ± 2.53</w:t>
            </w:r>
            <w:r w:rsidRPr="00D23116">
              <w:rPr>
                <w:rFonts w:ascii="Arial" w:hAnsi="Arial" w:cs="Arial"/>
                <w:sz w:val="20"/>
                <w:szCs w:val="20"/>
                <w:vertAlign w:val="superscript"/>
              </w:rPr>
              <w:t>a</w:t>
            </w:r>
          </w:p>
          <w:p w14:paraId="38E0266E"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(3 to 88)</w:t>
            </w:r>
          </w:p>
        </w:tc>
        <w:tc>
          <w:tcPr>
            <w:tcW w:w="1588" w:type="dxa"/>
            <w:vAlign w:val="center"/>
          </w:tcPr>
          <w:p w14:paraId="0A2F2A8C" w14:textId="77777777" w:rsidR="00E463A4" w:rsidRPr="00D23116" w:rsidRDefault="00E463A4" w:rsidP="00820F08">
            <w:pPr>
              <w:jc w:val="center"/>
              <w:rPr>
                <w:rFonts w:ascii="Arial" w:hAnsi="Arial" w:cs="Arial"/>
                <w:sz w:val="20"/>
                <w:szCs w:val="20"/>
                <w:vertAlign w:val="superscript"/>
              </w:rPr>
            </w:pPr>
            <w:r w:rsidRPr="00D23116">
              <w:rPr>
                <w:rFonts w:ascii="Arial" w:hAnsi="Arial" w:cs="Arial"/>
                <w:sz w:val="20"/>
                <w:szCs w:val="20"/>
              </w:rPr>
              <w:t>20.59 ± 2.91</w:t>
            </w:r>
            <w:r w:rsidRPr="00D23116">
              <w:rPr>
                <w:rFonts w:ascii="Arial" w:hAnsi="Arial" w:cs="Arial"/>
                <w:sz w:val="20"/>
                <w:szCs w:val="20"/>
                <w:vertAlign w:val="superscript"/>
              </w:rPr>
              <w:t>b</w:t>
            </w:r>
          </w:p>
          <w:p w14:paraId="4E7FF581"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(4 to 44)</w:t>
            </w:r>
          </w:p>
        </w:tc>
      </w:tr>
      <w:tr w:rsidR="00E463A4" w:rsidRPr="00D23116" w14:paraId="48396A8F" w14:textId="77777777" w:rsidTr="00820F08">
        <w:trPr>
          <w:jc w:val="center"/>
        </w:trPr>
        <w:tc>
          <w:tcPr>
            <w:tcW w:w="2689" w:type="dxa"/>
            <w:vAlign w:val="center"/>
          </w:tcPr>
          <w:p w14:paraId="23DC48DB" w14:textId="77777777" w:rsidR="00E463A4" w:rsidRPr="00D23116" w:rsidRDefault="00E463A4" w:rsidP="00820F08">
            <w:pPr>
              <w:rPr>
                <w:rFonts w:ascii="Arial" w:hAnsi="Arial" w:cs="Arial"/>
                <w:b/>
                <w:sz w:val="20"/>
                <w:szCs w:val="20"/>
              </w:rPr>
            </w:pPr>
            <w:r w:rsidRPr="00D23116">
              <w:rPr>
                <w:rFonts w:ascii="Arial" w:hAnsi="Arial" w:cs="Arial"/>
                <w:b/>
                <w:sz w:val="20"/>
                <w:szCs w:val="20"/>
              </w:rPr>
              <w:t>Mean serum AMH concentration (ng/mL) (Range)</w:t>
            </w:r>
          </w:p>
        </w:tc>
        <w:tc>
          <w:tcPr>
            <w:tcW w:w="2013" w:type="dxa"/>
            <w:vAlign w:val="center"/>
          </w:tcPr>
          <w:p w14:paraId="54E3BB45"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1.88 ± 0.26</w:t>
            </w:r>
            <w:r w:rsidRPr="00D23116">
              <w:rPr>
                <w:rFonts w:ascii="Arial" w:hAnsi="Arial" w:cs="Arial"/>
                <w:color w:val="000000"/>
                <w:sz w:val="20"/>
                <w:szCs w:val="20"/>
                <w:vertAlign w:val="superscript"/>
              </w:rPr>
              <w:t>a</w:t>
            </w:r>
          </w:p>
          <w:p w14:paraId="3F942B5F"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(0.74 to 4.35)</w:t>
            </w:r>
          </w:p>
        </w:tc>
        <w:tc>
          <w:tcPr>
            <w:tcW w:w="2239" w:type="dxa"/>
            <w:vAlign w:val="center"/>
          </w:tcPr>
          <w:p w14:paraId="3250A52B"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0.90 ± 0.08</w:t>
            </w:r>
            <w:r w:rsidRPr="00D23116">
              <w:rPr>
                <w:rFonts w:ascii="Arial" w:hAnsi="Arial" w:cs="Arial"/>
                <w:color w:val="000000"/>
                <w:sz w:val="20"/>
                <w:szCs w:val="20"/>
                <w:vertAlign w:val="superscript"/>
              </w:rPr>
              <w:t xml:space="preserve">b </w:t>
            </w:r>
          </w:p>
          <w:p w14:paraId="5ADD2B4D"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(0.46 to 3.29)</w:t>
            </w:r>
          </w:p>
        </w:tc>
        <w:tc>
          <w:tcPr>
            <w:tcW w:w="1588" w:type="dxa"/>
            <w:vAlign w:val="center"/>
          </w:tcPr>
          <w:p w14:paraId="71D30A27" w14:textId="77777777" w:rsidR="00E463A4" w:rsidRPr="00D23116" w:rsidRDefault="00E463A4" w:rsidP="00820F08">
            <w:pPr>
              <w:jc w:val="center"/>
              <w:rPr>
                <w:rFonts w:ascii="Arial" w:hAnsi="Arial" w:cs="Arial"/>
                <w:sz w:val="20"/>
                <w:szCs w:val="20"/>
              </w:rPr>
            </w:pPr>
            <w:r w:rsidRPr="00D23116">
              <w:rPr>
                <w:rFonts w:ascii="Arial" w:hAnsi="Arial" w:cs="Arial"/>
                <w:sz w:val="20"/>
                <w:szCs w:val="20"/>
              </w:rPr>
              <w:t>0.62 ± 0.06</w:t>
            </w:r>
            <w:r w:rsidRPr="00D23116">
              <w:rPr>
                <w:rFonts w:ascii="Arial" w:hAnsi="Arial" w:cs="Arial"/>
                <w:color w:val="000000"/>
                <w:sz w:val="20"/>
                <w:szCs w:val="20"/>
                <w:vertAlign w:val="superscript"/>
              </w:rPr>
              <w:t>b</w:t>
            </w:r>
            <w:r w:rsidRPr="00D23116">
              <w:rPr>
                <w:rFonts w:ascii="Arial" w:hAnsi="Arial" w:cs="Arial"/>
                <w:sz w:val="20"/>
                <w:szCs w:val="20"/>
              </w:rPr>
              <w:t xml:space="preserve"> (0.41 to 1.39)</w:t>
            </w:r>
          </w:p>
        </w:tc>
      </w:tr>
    </w:tbl>
    <w:p w14:paraId="5DB9DB78" w14:textId="77777777" w:rsidR="00E463A4" w:rsidRPr="00D23116" w:rsidRDefault="00E463A4" w:rsidP="00E463A4">
      <w:pPr>
        <w:spacing w:after="0" w:line="240" w:lineRule="auto"/>
        <w:jc w:val="both"/>
        <w:rPr>
          <w:rFonts w:ascii="Arial" w:hAnsi="Arial" w:cs="Arial"/>
          <w:bCs/>
          <w:sz w:val="20"/>
          <w:szCs w:val="20"/>
        </w:rPr>
      </w:pPr>
      <w:proofErr w:type="spellStart"/>
      <w:proofErr w:type="gramStart"/>
      <w:r w:rsidRPr="00D23116">
        <w:rPr>
          <w:rFonts w:ascii="Arial" w:hAnsi="Arial" w:cs="Arial"/>
          <w:bCs/>
          <w:sz w:val="20"/>
          <w:szCs w:val="20"/>
          <w:vertAlign w:val="superscript"/>
        </w:rPr>
        <w:t>a,b</w:t>
      </w:r>
      <w:proofErr w:type="gramEnd"/>
      <w:r w:rsidRPr="00D23116">
        <w:rPr>
          <w:rFonts w:ascii="Arial" w:hAnsi="Arial" w:cs="Arial"/>
          <w:bCs/>
          <w:sz w:val="20"/>
          <w:szCs w:val="20"/>
          <w:vertAlign w:val="superscript"/>
        </w:rPr>
        <w:t>,c</w:t>
      </w:r>
      <w:proofErr w:type="spellEnd"/>
      <w:r w:rsidRPr="00D23116">
        <w:rPr>
          <w:rFonts w:ascii="Arial" w:hAnsi="Arial" w:cs="Arial"/>
          <w:bCs/>
          <w:sz w:val="20"/>
          <w:szCs w:val="20"/>
          <w:vertAlign w:val="superscript"/>
        </w:rPr>
        <w:t xml:space="preserve"> </w:t>
      </w:r>
      <w:r w:rsidRPr="00D23116">
        <w:rPr>
          <w:rFonts w:ascii="Arial" w:hAnsi="Arial" w:cs="Arial"/>
          <w:bCs/>
          <w:sz w:val="20"/>
          <w:szCs w:val="20"/>
        </w:rPr>
        <w:t xml:space="preserve">Mean ± SE values in the same row with different superscripts differ (p&lt;0.05) </w:t>
      </w:r>
    </w:p>
    <w:p w14:paraId="4A0048D3" w14:textId="77777777" w:rsidR="00E463A4" w:rsidRPr="00D23116" w:rsidRDefault="00E463A4" w:rsidP="00FC5904">
      <w:pPr>
        <w:spacing w:after="0" w:line="240" w:lineRule="auto"/>
        <w:jc w:val="both"/>
        <w:rPr>
          <w:rFonts w:ascii="Arial" w:hAnsi="Arial" w:cs="Arial"/>
          <w:bCs/>
          <w:sz w:val="20"/>
          <w:szCs w:val="20"/>
        </w:rPr>
      </w:pPr>
    </w:p>
    <w:p w14:paraId="00927C4D" w14:textId="7707D4C7" w:rsidR="00532DD7" w:rsidRPr="00D23116" w:rsidRDefault="00532DD7"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A statistical comparison and correlation among age, parity, ovarian antral follicle count and AMH levels, revealed that a positive correlation </w:t>
      </w:r>
      <w:r w:rsidR="008717C9" w:rsidRPr="00D23116">
        <w:rPr>
          <w:rFonts w:ascii="Arial" w:hAnsi="Arial" w:cs="Arial"/>
          <w:bCs/>
          <w:sz w:val="20"/>
          <w:szCs w:val="20"/>
        </w:rPr>
        <w:t xml:space="preserve">(p &lt; 0.01) </w:t>
      </w:r>
      <w:r w:rsidRPr="00D23116">
        <w:rPr>
          <w:rFonts w:ascii="Arial" w:hAnsi="Arial" w:cs="Arial"/>
          <w:bCs/>
          <w:sz w:val="20"/>
          <w:szCs w:val="20"/>
        </w:rPr>
        <w:t xml:space="preserve">was observed between AFC and AMH in </w:t>
      </w:r>
      <w:proofErr w:type="spellStart"/>
      <w:r w:rsidRPr="00D23116">
        <w:rPr>
          <w:rFonts w:ascii="Arial" w:hAnsi="Arial" w:cs="Arial"/>
          <w:bCs/>
          <w:sz w:val="20"/>
          <w:szCs w:val="20"/>
        </w:rPr>
        <w:t>Ongole</w:t>
      </w:r>
      <w:proofErr w:type="spellEnd"/>
      <w:r w:rsidRPr="00D23116">
        <w:rPr>
          <w:rFonts w:ascii="Arial" w:hAnsi="Arial" w:cs="Arial"/>
          <w:bCs/>
          <w:sz w:val="20"/>
          <w:szCs w:val="20"/>
        </w:rPr>
        <w:t xml:space="preserve"> cows, while both of them were </w:t>
      </w:r>
      <w:r w:rsidR="008717C9" w:rsidRPr="00D23116">
        <w:rPr>
          <w:rFonts w:ascii="Arial" w:hAnsi="Arial" w:cs="Arial"/>
          <w:bCs/>
          <w:sz w:val="20"/>
          <w:szCs w:val="20"/>
        </w:rPr>
        <w:t xml:space="preserve">negatively </w:t>
      </w:r>
      <w:r w:rsidRPr="00D23116">
        <w:rPr>
          <w:rFonts w:ascii="Arial" w:hAnsi="Arial" w:cs="Arial"/>
          <w:bCs/>
          <w:sz w:val="20"/>
          <w:szCs w:val="20"/>
        </w:rPr>
        <w:t>correlated</w:t>
      </w:r>
      <w:r w:rsidR="008717C9" w:rsidRPr="00D23116">
        <w:rPr>
          <w:rFonts w:ascii="Arial" w:hAnsi="Arial" w:cs="Arial"/>
          <w:bCs/>
          <w:sz w:val="20"/>
          <w:szCs w:val="20"/>
        </w:rPr>
        <w:t xml:space="preserve"> (p &lt; 0.01)</w:t>
      </w:r>
      <w:r w:rsidRPr="00D23116">
        <w:rPr>
          <w:rFonts w:ascii="Arial" w:hAnsi="Arial" w:cs="Arial"/>
          <w:bCs/>
          <w:sz w:val="20"/>
          <w:szCs w:val="20"/>
        </w:rPr>
        <w:t xml:space="preserve"> with parity and age of the cows (</w:t>
      </w:r>
      <w:r w:rsidRPr="0005286B">
        <w:rPr>
          <w:rFonts w:ascii="Arial" w:hAnsi="Arial" w:cs="Arial"/>
          <w:bCs/>
          <w:sz w:val="20"/>
          <w:szCs w:val="20"/>
          <w:highlight w:val="yellow"/>
        </w:rPr>
        <w:t>Fig</w:t>
      </w:r>
      <w:r w:rsidR="0005286B">
        <w:rPr>
          <w:rFonts w:ascii="Arial" w:hAnsi="Arial" w:cs="Arial"/>
          <w:bCs/>
          <w:sz w:val="20"/>
          <w:szCs w:val="20"/>
          <w:highlight w:val="yellow"/>
        </w:rPr>
        <w:t>.</w:t>
      </w:r>
      <w:r w:rsidRPr="0005286B">
        <w:rPr>
          <w:rFonts w:ascii="Arial" w:hAnsi="Arial" w:cs="Arial"/>
          <w:bCs/>
          <w:sz w:val="20"/>
          <w:szCs w:val="20"/>
          <w:highlight w:val="yellow"/>
        </w:rPr>
        <w:t xml:space="preserve"> 3).</w:t>
      </w:r>
      <w:r w:rsidRPr="00D23116">
        <w:rPr>
          <w:rFonts w:ascii="Arial" w:hAnsi="Arial" w:cs="Arial"/>
          <w:bCs/>
          <w:sz w:val="20"/>
          <w:szCs w:val="20"/>
        </w:rPr>
        <w:t xml:space="preserve"> </w:t>
      </w:r>
      <w:r w:rsidR="008717C9" w:rsidRPr="00D23116">
        <w:rPr>
          <w:rFonts w:ascii="Arial" w:hAnsi="Arial" w:cs="Arial"/>
          <w:bCs/>
          <w:sz w:val="20"/>
          <w:szCs w:val="20"/>
        </w:rPr>
        <w:t xml:space="preserve"> </w:t>
      </w:r>
    </w:p>
    <w:p w14:paraId="0EB74196" w14:textId="7021AAB6" w:rsidR="00764ABB" w:rsidRPr="00D23116" w:rsidRDefault="009A6EBB" w:rsidP="00D23116">
      <w:pPr>
        <w:spacing w:after="0" w:line="240" w:lineRule="auto"/>
        <w:ind w:firstLine="720"/>
        <w:jc w:val="both"/>
        <w:rPr>
          <w:rFonts w:ascii="Arial" w:hAnsi="Arial" w:cs="Arial"/>
          <w:bCs/>
          <w:sz w:val="20"/>
          <w:szCs w:val="20"/>
        </w:rPr>
      </w:pPr>
      <w:r w:rsidRPr="00D23116">
        <w:rPr>
          <w:rFonts w:ascii="Arial" w:hAnsi="Arial" w:cs="Arial"/>
          <w:bCs/>
          <w:sz w:val="20"/>
          <w:szCs w:val="20"/>
          <w:lang w:val="en-US"/>
        </w:rPr>
        <w:t>As per the earlier reports the ovarian reserves in cattle remain relatively constant until they reach the age of about 4 to 6 years and declines thereafter (Erickson, 1966).</w:t>
      </w:r>
      <w:r w:rsidRPr="00D23116">
        <w:rPr>
          <w:rFonts w:ascii="Arial" w:hAnsi="Arial" w:cs="Arial"/>
          <w:bCs/>
          <w:sz w:val="20"/>
          <w:szCs w:val="20"/>
        </w:rPr>
        <w:t xml:space="preserve"> </w:t>
      </w:r>
      <w:r w:rsidRPr="00D23116">
        <w:rPr>
          <w:rFonts w:ascii="Arial" w:hAnsi="Arial" w:cs="Arial"/>
          <w:bCs/>
          <w:sz w:val="20"/>
          <w:szCs w:val="20"/>
          <w:lang w:val="en-US"/>
        </w:rPr>
        <w:t xml:space="preserve">In accordance with the above studies, the results </w:t>
      </w:r>
      <w:r w:rsidR="008717C9" w:rsidRPr="00D23116">
        <w:rPr>
          <w:rFonts w:ascii="Arial" w:hAnsi="Arial" w:cs="Arial"/>
          <w:bCs/>
          <w:sz w:val="20"/>
          <w:szCs w:val="20"/>
          <w:lang w:val="en-US"/>
        </w:rPr>
        <w:t xml:space="preserve">of our current investigation </w:t>
      </w:r>
      <w:r w:rsidRPr="00D23116">
        <w:rPr>
          <w:rFonts w:ascii="Arial" w:hAnsi="Arial" w:cs="Arial"/>
          <w:bCs/>
          <w:sz w:val="20"/>
          <w:szCs w:val="20"/>
          <w:lang w:val="en-US"/>
        </w:rPr>
        <w:t xml:space="preserve">are suggestive that the number of antral follicles recruited and circulating AMH levels were declined with the age and parity as reported in beef heifers (Cushman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 xml:space="preserve">2009) and dairy cows (Mossa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 xml:space="preserve">2012 and Ribeiro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 xml:space="preserve">2014). </w:t>
      </w:r>
      <w:r w:rsidR="00764ABB" w:rsidRPr="00D23116">
        <w:rPr>
          <w:rFonts w:ascii="Arial" w:hAnsi="Arial" w:cs="Arial"/>
          <w:bCs/>
          <w:sz w:val="20"/>
          <w:szCs w:val="20"/>
        </w:rPr>
        <w:t>The effect of lactation (parity) on AMH levels were equivocal with high levels in cattle of 2</w:t>
      </w:r>
      <w:r w:rsidR="00764ABB" w:rsidRPr="00D23116">
        <w:rPr>
          <w:rFonts w:ascii="Arial" w:hAnsi="Arial" w:cs="Arial"/>
          <w:bCs/>
          <w:sz w:val="20"/>
          <w:szCs w:val="20"/>
          <w:vertAlign w:val="superscript"/>
        </w:rPr>
        <w:t>nd</w:t>
      </w:r>
      <w:r w:rsidR="00764ABB" w:rsidRPr="00D23116">
        <w:rPr>
          <w:rFonts w:ascii="Arial" w:hAnsi="Arial" w:cs="Arial"/>
          <w:bCs/>
          <w:sz w:val="20"/>
          <w:szCs w:val="20"/>
        </w:rPr>
        <w:t xml:space="preserve"> and 3</w:t>
      </w:r>
      <w:r w:rsidR="00764ABB" w:rsidRPr="00D23116">
        <w:rPr>
          <w:rFonts w:ascii="Arial" w:hAnsi="Arial" w:cs="Arial"/>
          <w:bCs/>
          <w:sz w:val="20"/>
          <w:szCs w:val="20"/>
          <w:vertAlign w:val="superscript"/>
        </w:rPr>
        <w:t>rd</w:t>
      </w:r>
      <w:r w:rsidR="00764ABB" w:rsidRPr="00D23116">
        <w:rPr>
          <w:rFonts w:ascii="Arial" w:hAnsi="Arial" w:cs="Arial"/>
          <w:bCs/>
          <w:sz w:val="20"/>
          <w:szCs w:val="20"/>
        </w:rPr>
        <w:t xml:space="preserve"> lactation than those of 1</w:t>
      </w:r>
      <w:r w:rsidR="00764ABB" w:rsidRPr="00D23116">
        <w:rPr>
          <w:rFonts w:ascii="Arial" w:hAnsi="Arial" w:cs="Arial"/>
          <w:bCs/>
          <w:sz w:val="20"/>
          <w:szCs w:val="20"/>
          <w:vertAlign w:val="superscript"/>
        </w:rPr>
        <w:t>st</w:t>
      </w:r>
      <w:r w:rsidR="00764ABB" w:rsidRPr="00D23116">
        <w:rPr>
          <w:rFonts w:ascii="Arial" w:hAnsi="Arial" w:cs="Arial"/>
          <w:bCs/>
          <w:sz w:val="20"/>
          <w:szCs w:val="20"/>
        </w:rPr>
        <w:t xml:space="preserve"> or 4</w:t>
      </w:r>
      <w:r w:rsidR="00764ABB" w:rsidRPr="00D23116">
        <w:rPr>
          <w:rFonts w:ascii="Arial" w:hAnsi="Arial" w:cs="Arial"/>
          <w:bCs/>
          <w:sz w:val="20"/>
          <w:szCs w:val="20"/>
          <w:vertAlign w:val="superscript"/>
        </w:rPr>
        <w:t>th</w:t>
      </w:r>
      <w:r w:rsidR="00764ABB" w:rsidRPr="00D23116">
        <w:rPr>
          <w:rFonts w:ascii="Arial" w:hAnsi="Arial" w:cs="Arial"/>
          <w:bCs/>
          <w:sz w:val="20"/>
          <w:szCs w:val="20"/>
        </w:rPr>
        <w:t xml:space="preserve"> lactation and beyond (Ribeiro </w:t>
      </w:r>
      <w:r w:rsidR="0015636F" w:rsidRPr="00D23116">
        <w:rPr>
          <w:rFonts w:ascii="Arial" w:hAnsi="Arial" w:cs="Arial"/>
          <w:bCs/>
          <w:i/>
          <w:sz w:val="20"/>
          <w:szCs w:val="20"/>
        </w:rPr>
        <w:t xml:space="preserve">et al., </w:t>
      </w:r>
      <w:r w:rsidR="00764ABB" w:rsidRPr="00D23116">
        <w:rPr>
          <w:rFonts w:ascii="Arial" w:hAnsi="Arial" w:cs="Arial"/>
          <w:bCs/>
          <w:sz w:val="20"/>
          <w:szCs w:val="20"/>
        </w:rPr>
        <w:t>2014). Another study showed higher AMH levels in cows of 3</w:t>
      </w:r>
      <w:r w:rsidR="00764ABB" w:rsidRPr="00D23116">
        <w:rPr>
          <w:rFonts w:ascii="Arial" w:hAnsi="Arial" w:cs="Arial"/>
          <w:bCs/>
          <w:sz w:val="20"/>
          <w:szCs w:val="20"/>
          <w:vertAlign w:val="superscript"/>
        </w:rPr>
        <w:t>rd</w:t>
      </w:r>
      <w:r w:rsidR="00764ABB" w:rsidRPr="00D23116">
        <w:rPr>
          <w:rFonts w:ascii="Arial" w:hAnsi="Arial" w:cs="Arial"/>
          <w:bCs/>
          <w:sz w:val="20"/>
          <w:szCs w:val="20"/>
        </w:rPr>
        <w:t xml:space="preserve"> lactation than those of 1</w:t>
      </w:r>
      <w:r w:rsidR="00764ABB" w:rsidRPr="00D23116">
        <w:rPr>
          <w:rFonts w:ascii="Arial" w:hAnsi="Arial" w:cs="Arial"/>
          <w:bCs/>
          <w:sz w:val="20"/>
          <w:szCs w:val="20"/>
          <w:vertAlign w:val="superscript"/>
        </w:rPr>
        <w:t>st</w:t>
      </w:r>
      <w:r w:rsidR="00764ABB" w:rsidRPr="00D23116">
        <w:rPr>
          <w:rFonts w:ascii="Arial" w:hAnsi="Arial" w:cs="Arial"/>
          <w:bCs/>
          <w:sz w:val="20"/>
          <w:szCs w:val="20"/>
        </w:rPr>
        <w:t xml:space="preserve"> and 2</w:t>
      </w:r>
      <w:r w:rsidR="00764ABB" w:rsidRPr="00D23116">
        <w:rPr>
          <w:rFonts w:ascii="Arial" w:hAnsi="Arial" w:cs="Arial"/>
          <w:bCs/>
          <w:sz w:val="20"/>
          <w:szCs w:val="20"/>
          <w:vertAlign w:val="superscript"/>
        </w:rPr>
        <w:t>nd</w:t>
      </w:r>
      <w:r w:rsidR="00764ABB" w:rsidRPr="00D23116">
        <w:rPr>
          <w:rFonts w:ascii="Arial" w:hAnsi="Arial" w:cs="Arial"/>
          <w:bCs/>
          <w:sz w:val="20"/>
          <w:szCs w:val="20"/>
        </w:rPr>
        <w:t xml:space="preserve"> parity (Koizumi and Kadokawa, 2017). On the other hand, a comparative study involving primiparous and </w:t>
      </w:r>
      <w:proofErr w:type="spellStart"/>
      <w:r w:rsidR="00764ABB" w:rsidRPr="00D23116">
        <w:rPr>
          <w:rFonts w:ascii="Arial" w:hAnsi="Arial" w:cs="Arial"/>
          <w:bCs/>
          <w:sz w:val="20"/>
          <w:szCs w:val="20"/>
        </w:rPr>
        <w:t>pluriparous</w:t>
      </w:r>
      <w:proofErr w:type="spellEnd"/>
      <w:r w:rsidR="00764ABB" w:rsidRPr="00D23116">
        <w:rPr>
          <w:rFonts w:ascii="Arial" w:hAnsi="Arial" w:cs="Arial"/>
          <w:bCs/>
          <w:sz w:val="20"/>
          <w:szCs w:val="20"/>
        </w:rPr>
        <w:t xml:space="preserve"> Holstein cows revealed lack of any </w:t>
      </w:r>
      <w:r w:rsidR="00764ABB" w:rsidRPr="00D23116">
        <w:rPr>
          <w:rFonts w:ascii="Arial" w:hAnsi="Arial" w:cs="Arial"/>
          <w:bCs/>
          <w:sz w:val="20"/>
          <w:szCs w:val="20"/>
        </w:rPr>
        <w:lastRenderedPageBreak/>
        <w:t xml:space="preserve">association between AMH and parity (Souza </w:t>
      </w:r>
      <w:r w:rsidR="0015636F" w:rsidRPr="00D23116">
        <w:rPr>
          <w:rFonts w:ascii="Arial" w:hAnsi="Arial" w:cs="Arial"/>
          <w:bCs/>
          <w:i/>
          <w:sz w:val="20"/>
          <w:szCs w:val="20"/>
        </w:rPr>
        <w:t xml:space="preserve">et al., </w:t>
      </w:r>
      <w:r w:rsidR="00764ABB" w:rsidRPr="00D23116">
        <w:rPr>
          <w:rFonts w:ascii="Arial" w:hAnsi="Arial" w:cs="Arial"/>
          <w:bCs/>
          <w:sz w:val="20"/>
          <w:szCs w:val="20"/>
        </w:rPr>
        <w:t xml:space="preserve">2015). </w:t>
      </w:r>
      <w:r w:rsidR="00AA5853" w:rsidRPr="00D23116">
        <w:rPr>
          <w:rFonts w:ascii="Arial" w:hAnsi="Arial" w:cs="Arial"/>
          <w:bCs/>
          <w:sz w:val="20"/>
          <w:szCs w:val="20"/>
        </w:rPr>
        <w:t xml:space="preserve">In </w:t>
      </w:r>
      <w:r w:rsidR="004B53EC" w:rsidRPr="00D23116">
        <w:rPr>
          <w:rFonts w:ascii="Arial" w:hAnsi="Arial" w:cs="Arial"/>
          <w:bCs/>
          <w:sz w:val="20"/>
          <w:szCs w:val="20"/>
        </w:rPr>
        <w:t>another</w:t>
      </w:r>
      <w:r w:rsidR="00764ABB" w:rsidRPr="00D23116">
        <w:rPr>
          <w:rFonts w:ascii="Arial" w:hAnsi="Arial" w:cs="Arial"/>
          <w:bCs/>
          <w:sz w:val="20"/>
          <w:szCs w:val="20"/>
        </w:rPr>
        <w:t xml:space="preserve"> study</w:t>
      </w:r>
      <w:r w:rsidR="00AA5853" w:rsidRPr="00D23116">
        <w:rPr>
          <w:rFonts w:ascii="Arial" w:hAnsi="Arial" w:cs="Arial"/>
          <w:bCs/>
          <w:sz w:val="20"/>
          <w:szCs w:val="20"/>
        </w:rPr>
        <w:t>,</w:t>
      </w:r>
      <w:r w:rsidR="00764ABB" w:rsidRPr="00D23116">
        <w:rPr>
          <w:rFonts w:ascii="Arial" w:hAnsi="Arial" w:cs="Arial"/>
          <w:bCs/>
          <w:sz w:val="20"/>
          <w:szCs w:val="20"/>
        </w:rPr>
        <w:t xml:space="preserve"> </w:t>
      </w:r>
      <w:r w:rsidR="00AA5853" w:rsidRPr="00D23116">
        <w:rPr>
          <w:rFonts w:ascii="Arial" w:hAnsi="Arial" w:cs="Arial"/>
          <w:bCs/>
          <w:sz w:val="20"/>
          <w:szCs w:val="20"/>
        </w:rPr>
        <w:t xml:space="preserve">AMH concentrations in </w:t>
      </w:r>
      <w:r w:rsidR="00764ABB" w:rsidRPr="00D23116">
        <w:rPr>
          <w:rFonts w:ascii="Arial" w:hAnsi="Arial" w:cs="Arial"/>
          <w:bCs/>
          <w:sz w:val="20"/>
          <w:szCs w:val="20"/>
        </w:rPr>
        <w:t xml:space="preserve">heifers (13-18 months) and cows </w:t>
      </w:r>
      <w:r w:rsidR="00AA5853" w:rsidRPr="00D23116">
        <w:rPr>
          <w:rFonts w:ascii="Arial" w:hAnsi="Arial" w:cs="Arial"/>
          <w:bCs/>
          <w:sz w:val="20"/>
          <w:szCs w:val="20"/>
        </w:rPr>
        <w:t>(</w:t>
      </w:r>
      <w:r w:rsidR="00764ABB" w:rsidRPr="00D23116">
        <w:rPr>
          <w:rFonts w:ascii="Arial" w:hAnsi="Arial" w:cs="Arial"/>
          <w:bCs/>
          <w:sz w:val="20"/>
          <w:szCs w:val="20"/>
        </w:rPr>
        <w:t>up to 16 years age</w:t>
      </w:r>
      <w:r w:rsidR="00AA5853" w:rsidRPr="00D23116">
        <w:rPr>
          <w:rFonts w:ascii="Arial" w:hAnsi="Arial" w:cs="Arial"/>
          <w:bCs/>
          <w:sz w:val="20"/>
          <w:szCs w:val="20"/>
        </w:rPr>
        <w:t>)</w:t>
      </w:r>
      <w:r w:rsidR="00764ABB" w:rsidRPr="00D23116">
        <w:rPr>
          <w:rFonts w:ascii="Arial" w:hAnsi="Arial" w:cs="Arial"/>
          <w:bCs/>
          <w:sz w:val="20"/>
          <w:szCs w:val="20"/>
        </w:rPr>
        <w:t xml:space="preserve"> decreased throughout the life span of the animals (Hirayama </w:t>
      </w:r>
      <w:r w:rsidR="0015636F" w:rsidRPr="00D23116">
        <w:rPr>
          <w:rFonts w:ascii="Arial" w:hAnsi="Arial" w:cs="Arial"/>
          <w:bCs/>
          <w:i/>
          <w:sz w:val="20"/>
          <w:szCs w:val="20"/>
        </w:rPr>
        <w:t xml:space="preserve">et al., </w:t>
      </w:r>
      <w:r w:rsidR="00764ABB" w:rsidRPr="00D23116">
        <w:rPr>
          <w:rFonts w:ascii="Arial" w:hAnsi="Arial" w:cs="Arial"/>
          <w:bCs/>
          <w:sz w:val="20"/>
          <w:szCs w:val="20"/>
        </w:rPr>
        <w:t>2017).</w:t>
      </w:r>
    </w:p>
    <w:p w14:paraId="275BC008" w14:textId="77777777" w:rsidR="009A6EBB" w:rsidRPr="00D23116" w:rsidRDefault="009A6EBB"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 xml:space="preserve">The peak germ cell proliferation in </w:t>
      </w:r>
      <w:proofErr w:type="spellStart"/>
      <w:r w:rsidRPr="00D23116">
        <w:rPr>
          <w:rFonts w:ascii="Arial" w:hAnsi="Arial" w:cs="Arial"/>
          <w:bCs/>
          <w:sz w:val="20"/>
          <w:szCs w:val="20"/>
        </w:rPr>
        <w:t>fetus</w:t>
      </w:r>
      <w:proofErr w:type="spellEnd"/>
      <w:r w:rsidRPr="00D23116">
        <w:rPr>
          <w:rFonts w:ascii="Arial" w:hAnsi="Arial" w:cs="Arial"/>
          <w:bCs/>
          <w:sz w:val="20"/>
          <w:szCs w:val="20"/>
        </w:rPr>
        <w:t xml:space="preserve"> is reached within the first trimester (90-110 days) of gestation (Erickson, 1966) and the factors which are inimical to the </w:t>
      </w:r>
      <w:proofErr w:type="spellStart"/>
      <w:r w:rsidRPr="00D23116">
        <w:rPr>
          <w:rFonts w:ascii="Arial" w:hAnsi="Arial" w:cs="Arial"/>
          <w:bCs/>
          <w:sz w:val="20"/>
          <w:szCs w:val="20"/>
        </w:rPr>
        <w:t>fetus</w:t>
      </w:r>
      <w:proofErr w:type="spellEnd"/>
      <w:r w:rsidRPr="00D23116">
        <w:rPr>
          <w:rFonts w:ascii="Arial" w:hAnsi="Arial" w:cs="Arial"/>
          <w:bCs/>
          <w:sz w:val="20"/>
          <w:szCs w:val="20"/>
        </w:rPr>
        <w:t xml:space="preserve"> during this critical period of gestation would depress the circulating AMH levels of adult offspring. These negative factors include compromised maternal nutrition during first trimester of gestation (Mossa </w:t>
      </w:r>
      <w:r w:rsidR="0015636F" w:rsidRPr="00D23116">
        <w:rPr>
          <w:rFonts w:ascii="Arial" w:hAnsi="Arial" w:cs="Arial"/>
          <w:bCs/>
          <w:i/>
          <w:sz w:val="20"/>
          <w:szCs w:val="20"/>
        </w:rPr>
        <w:t xml:space="preserve">et al., </w:t>
      </w:r>
      <w:r w:rsidRPr="00D23116">
        <w:rPr>
          <w:rFonts w:ascii="Arial" w:hAnsi="Arial" w:cs="Arial"/>
          <w:bCs/>
          <w:sz w:val="20"/>
          <w:szCs w:val="20"/>
        </w:rPr>
        <w:t>2013), exposure to high environmental temperature and stress of milking while being pregnant (</w:t>
      </w:r>
      <w:proofErr w:type="spellStart"/>
      <w:r w:rsidRPr="00D23116">
        <w:rPr>
          <w:rFonts w:ascii="Arial" w:hAnsi="Arial" w:cs="Arial"/>
          <w:bCs/>
          <w:sz w:val="20"/>
          <w:szCs w:val="20"/>
        </w:rPr>
        <w:t>Succu</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 xml:space="preserve">2020) and chronic mammary gland infection as revealed by high milk somatic cell count during pregnancy (Ireland </w:t>
      </w:r>
      <w:r w:rsidR="0015636F" w:rsidRPr="00D23116">
        <w:rPr>
          <w:rFonts w:ascii="Arial" w:hAnsi="Arial" w:cs="Arial"/>
          <w:bCs/>
          <w:i/>
          <w:sz w:val="20"/>
          <w:szCs w:val="20"/>
        </w:rPr>
        <w:t xml:space="preserve">et al., </w:t>
      </w:r>
      <w:r w:rsidRPr="00D23116">
        <w:rPr>
          <w:rFonts w:ascii="Arial" w:hAnsi="Arial" w:cs="Arial"/>
          <w:bCs/>
          <w:sz w:val="20"/>
          <w:szCs w:val="20"/>
        </w:rPr>
        <w:t xml:space="preserve">2011).  </w:t>
      </w:r>
    </w:p>
    <w:p w14:paraId="05E2BC27" w14:textId="0C768D1A" w:rsidR="009A6EBB" w:rsidRPr="00D23116" w:rsidRDefault="009A6EBB" w:rsidP="00D23116">
      <w:pPr>
        <w:spacing w:after="0" w:line="240" w:lineRule="auto"/>
        <w:ind w:firstLine="720"/>
        <w:jc w:val="both"/>
        <w:rPr>
          <w:rFonts w:ascii="Arial" w:hAnsi="Arial" w:cs="Arial"/>
          <w:bCs/>
          <w:sz w:val="20"/>
          <w:szCs w:val="20"/>
        </w:rPr>
      </w:pPr>
      <w:r w:rsidRPr="00D23116">
        <w:rPr>
          <w:rFonts w:ascii="Arial" w:hAnsi="Arial" w:cs="Arial"/>
          <w:bCs/>
          <w:sz w:val="20"/>
          <w:szCs w:val="20"/>
        </w:rPr>
        <w:t>The age specific decline in AMH levels was documented in women (</w:t>
      </w:r>
      <w:proofErr w:type="spellStart"/>
      <w:r w:rsidRPr="00D23116">
        <w:rPr>
          <w:rFonts w:ascii="Arial" w:hAnsi="Arial" w:cs="Arial"/>
          <w:bCs/>
          <w:sz w:val="20"/>
          <w:szCs w:val="20"/>
        </w:rPr>
        <w:t>Piltonen</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2005), rodents (</w:t>
      </w:r>
      <w:proofErr w:type="spellStart"/>
      <w:r w:rsidRPr="00D23116">
        <w:rPr>
          <w:rFonts w:ascii="Arial" w:hAnsi="Arial" w:cs="Arial"/>
          <w:bCs/>
          <w:sz w:val="20"/>
          <w:szCs w:val="20"/>
        </w:rPr>
        <w:t>Kevenaar</w:t>
      </w:r>
      <w:proofErr w:type="spellEnd"/>
      <w:r w:rsidRPr="00D23116">
        <w:rPr>
          <w:rFonts w:ascii="Arial" w:hAnsi="Arial" w:cs="Arial"/>
          <w:bCs/>
          <w:sz w:val="20"/>
          <w:szCs w:val="20"/>
        </w:rPr>
        <w:t xml:space="preserve"> </w:t>
      </w:r>
      <w:r w:rsidR="0015636F" w:rsidRPr="00D23116">
        <w:rPr>
          <w:rFonts w:ascii="Arial" w:hAnsi="Arial" w:cs="Arial"/>
          <w:bCs/>
          <w:i/>
          <w:sz w:val="20"/>
          <w:szCs w:val="20"/>
        </w:rPr>
        <w:t xml:space="preserve">et al., </w:t>
      </w:r>
      <w:r w:rsidRPr="00D23116">
        <w:rPr>
          <w:rFonts w:ascii="Arial" w:hAnsi="Arial" w:cs="Arial"/>
          <w:bCs/>
          <w:sz w:val="20"/>
          <w:szCs w:val="20"/>
        </w:rPr>
        <w:t xml:space="preserve">2007), caprine (Haldar </w:t>
      </w:r>
      <w:r w:rsidR="0015636F" w:rsidRPr="00D23116">
        <w:rPr>
          <w:rFonts w:ascii="Arial" w:hAnsi="Arial" w:cs="Arial"/>
          <w:bCs/>
          <w:i/>
          <w:sz w:val="20"/>
          <w:szCs w:val="20"/>
        </w:rPr>
        <w:t xml:space="preserve">et al., </w:t>
      </w:r>
      <w:r w:rsidRPr="00D23116">
        <w:rPr>
          <w:rFonts w:ascii="Arial" w:hAnsi="Arial" w:cs="Arial"/>
          <w:bCs/>
          <w:sz w:val="20"/>
          <w:szCs w:val="20"/>
        </w:rPr>
        <w:t xml:space="preserve">2019), equine (Claes </w:t>
      </w:r>
      <w:r w:rsidR="0015636F" w:rsidRPr="00D23116">
        <w:rPr>
          <w:rFonts w:ascii="Arial" w:hAnsi="Arial" w:cs="Arial"/>
          <w:bCs/>
          <w:i/>
          <w:sz w:val="20"/>
          <w:szCs w:val="20"/>
        </w:rPr>
        <w:t xml:space="preserve">et al., </w:t>
      </w:r>
      <w:r w:rsidRPr="00D23116">
        <w:rPr>
          <w:rFonts w:ascii="Arial" w:hAnsi="Arial" w:cs="Arial"/>
          <w:bCs/>
          <w:sz w:val="20"/>
          <w:szCs w:val="20"/>
        </w:rPr>
        <w:t xml:space="preserve">2015) and in buffalo (Haldar </w:t>
      </w:r>
      <w:r w:rsidR="0015636F" w:rsidRPr="00D23116">
        <w:rPr>
          <w:rFonts w:ascii="Arial" w:hAnsi="Arial" w:cs="Arial"/>
          <w:bCs/>
          <w:i/>
          <w:sz w:val="20"/>
          <w:szCs w:val="20"/>
        </w:rPr>
        <w:t xml:space="preserve">et al., </w:t>
      </w:r>
      <w:r w:rsidRPr="00D23116">
        <w:rPr>
          <w:rFonts w:ascii="Arial" w:hAnsi="Arial" w:cs="Arial"/>
          <w:bCs/>
          <w:sz w:val="20"/>
          <w:szCs w:val="20"/>
        </w:rPr>
        <w:t xml:space="preserve">2020). In line with the latter studies, the AMH levels in the current study showed highly negative correlation with age (r = -0.447, p = 0.00) and parity (r = -0.444, p = 0.00) in </w:t>
      </w:r>
      <w:proofErr w:type="spellStart"/>
      <w:r w:rsidRPr="00D23116">
        <w:rPr>
          <w:rFonts w:ascii="Arial" w:hAnsi="Arial" w:cs="Arial"/>
          <w:bCs/>
          <w:sz w:val="20"/>
          <w:szCs w:val="20"/>
        </w:rPr>
        <w:t>Ongole</w:t>
      </w:r>
      <w:proofErr w:type="spellEnd"/>
      <w:r w:rsidRPr="00D23116">
        <w:rPr>
          <w:rFonts w:ascii="Arial" w:hAnsi="Arial" w:cs="Arial"/>
          <w:bCs/>
          <w:sz w:val="20"/>
          <w:szCs w:val="20"/>
        </w:rPr>
        <w:t xml:space="preserve"> cows. </w:t>
      </w:r>
    </w:p>
    <w:p w14:paraId="79A4B30E" w14:textId="6E61BE4C" w:rsidR="006F4932" w:rsidRDefault="006F4932" w:rsidP="004B53EC">
      <w:pPr>
        <w:spacing w:after="0" w:line="240" w:lineRule="auto"/>
        <w:ind w:firstLine="720"/>
        <w:jc w:val="both"/>
        <w:rPr>
          <w:rFonts w:ascii="Arial" w:hAnsi="Arial" w:cs="Arial"/>
          <w:bCs/>
          <w:sz w:val="20"/>
          <w:szCs w:val="20"/>
        </w:rPr>
      </w:pPr>
      <w:r w:rsidRPr="00D23116">
        <w:rPr>
          <w:rFonts w:ascii="Arial" w:hAnsi="Arial" w:cs="Arial"/>
          <w:bCs/>
          <w:sz w:val="20"/>
          <w:szCs w:val="20"/>
        </w:rPr>
        <w:t>Similarly, the AFC also showed a negative correlation with age (r = -0.465, p = 0.00) and parity (r = -0.447, p = 0.00) and it was evident that there was a declining trend as the cows crossed 13 years age which supports the earlier finding that senescent cows are characterized by reduced follicle number in their ovaries</w:t>
      </w:r>
      <w:r w:rsidR="009B1B2E">
        <w:rPr>
          <w:rFonts w:ascii="Arial" w:hAnsi="Arial" w:cs="Arial"/>
          <w:bCs/>
          <w:sz w:val="20"/>
          <w:szCs w:val="20"/>
        </w:rPr>
        <w:t>.</w:t>
      </w:r>
      <w:r w:rsidRPr="00D23116">
        <w:rPr>
          <w:rFonts w:ascii="Arial" w:hAnsi="Arial" w:cs="Arial"/>
          <w:bCs/>
          <w:sz w:val="20"/>
          <w:szCs w:val="20"/>
        </w:rPr>
        <w:t xml:space="preserve"> In a recent study, Alvarez </w:t>
      </w:r>
      <w:r w:rsidR="0015636F" w:rsidRPr="00D23116">
        <w:rPr>
          <w:rFonts w:ascii="Arial" w:hAnsi="Arial" w:cs="Arial"/>
          <w:bCs/>
          <w:i/>
          <w:sz w:val="20"/>
          <w:szCs w:val="20"/>
        </w:rPr>
        <w:t xml:space="preserve">et al. </w:t>
      </w:r>
      <w:r w:rsidRPr="00D23116">
        <w:rPr>
          <w:rFonts w:ascii="Arial" w:hAnsi="Arial" w:cs="Arial"/>
          <w:bCs/>
          <w:sz w:val="20"/>
          <w:szCs w:val="20"/>
        </w:rPr>
        <w:t xml:space="preserve">(2021) observed lower AFC in long lived (14-17 years) and senescent (17-23 years) </w:t>
      </w:r>
      <w:proofErr w:type="spellStart"/>
      <w:r w:rsidRPr="00D23116">
        <w:rPr>
          <w:rFonts w:ascii="Arial" w:hAnsi="Arial" w:cs="Arial"/>
          <w:bCs/>
          <w:sz w:val="20"/>
          <w:szCs w:val="20"/>
        </w:rPr>
        <w:t>Nelore</w:t>
      </w:r>
      <w:proofErr w:type="spellEnd"/>
      <w:r w:rsidRPr="00D23116">
        <w:rPr>
          <w:rFonts w:ascii="Arial" w:hAnsi="Arial" w:cs="Arial"/>
          <w:bCs/>
          <w:sz w:val="20"/>
          <w:szCs w:val="20"/>
        </w:rPr>
        <w:t xml:space="preserve"> (</w:t>
      </w:r>
      <w:r w:rsidRPr="00D23116">
        <w:rPr>
          <w:rFonts w:ascii="Arial" w:hAnsi="Arial" w:cs="Arial"/>
          <w:bCs/>
          <w:i/>
          <w:iCs/>
          <w:sz w:val="20"/>
          <w:szCs w:val="20"/>
        </w:rPr>
        <w:t>Bos indicus</w:t>
      </w:r>
      <w:r w:rsidRPr="00D23116">
        <w:rPr>
          <w:rFonts w:ascii="Arial" w:hAnsi="Arial" w:cs="Arial"/>
          <w:bCs/>
          <w:sz w:val="20"/>
          <w:szCs w:val="20"/>
        </w:rPr>
        <w:t xml:space="preserve">) cows compared to young (4-9 years) cows. The reduction in ovarian reserve size caused by the gradual depletion of primordial follicles over time is probably the cause of the decline in AFC and AMH levels in </w:t>
      </w:r>
      <w:r w:rsidR="00AA5853" w:rsidRPr="00D23116">
        <w:rPr>
          <w:rFonts w:ascii="Arial" w:hAnsi="Arial" w:cs="Arial"/>
          <w:bCs/>
          <w:sz w:val="20"/>
          <w:szCs w:val="20"/>
        </w:rPr>
        <w:t>aged</w:t>
      </w:r>
      <w:r w:rsidRPr="00D23116">
        <w:rPr>
          <w:rFonts w:ascii="Arial" w:hAnsi="Arial" w:cs="Arial"/>
          <w:bCs/>
          <w:sz w:val="20"/>
          <w:szCs w:val="20"/>
        </w:rPr>
        <w:t xml:space="preserve"> animals</w:t>
      </w:r>
      <w:r w:rsidRPr="00D23116">
        <w:rPr>
          <w:rFonts w:ascii="Arial" w:hAnsi="Arial" w:cs="Arial"/>
          <w:bCs/>
          <w:sz w:val="20"/>
          <w:szCs w:val="20"/>
          <w:lang w:val="en-US"/>
        </w:rPr>
        <w:t xml:space="preserve"> (Ribeiro </w:t>
      </w:r>
      <w:r w:rsidR="0015636F" w:rsidRPr="00D23116">
        <w:rPr>
          <w:rFonts w:ascii="Arial" w:hAnsi="Arial" w:cs="Arial"/>
          <w:bCs/>
          <w:i/>
          <w:sz w:val="20"/>
          <w:szCs w:val="20"/>
          <w:lang w:val="en-US"/>
        </w:rPr>
        <w:t xml:space="preserve">et al., </w:t>
      </w:r>
      <w:r w:rsidRPr="00D23116">
        <w:rPr>
          <w:rFonts w:ascii="Arial" w:hAnsi="Arial" w:cs="Arial"/>
          <w:bCs/>
          <w:sz w:val="20"/>
          <w:szCs w:val="20"/>
          <w:lang w:val="en-US"/>
        </w:rPr>
        <w:t>2014).</w:t>
      </w:r>
      <w:r w:rsidRPr="00D23116">
        <w:rPr>
          <w:rFonts w:ascii="Arial" w:hAnsi="Arial" w:cs="Arial"/>
          <w:bCs/>
          <w:sz w:val="20"/>
          <w:szCs w:val="20"/>
        </w:rPr>
        <w:t xml:space="preserve"> As the AMH is produced by granulosa cells of antral follicles it may be </w:t>
      </w:r>
      <w:r w:rsidR="00AA5853" w:rsidRPr="00D23116">
        <w:rPr>
          <w:rFonts w:ascii="Arial" w:hAnsi="Arial" w:cs="Arial"/>
          <w:bCs/>
          <w:sz w:val="20"/>
          <w:szCs w:val="20"/>
        </w:rPr>
        <w:t>hypothesized</w:t>
      </w:r>
      <w:r w:rsidRPr="00D23116">
        <w:rPr>
          <w:rFonts w:ascii="Arial" w:hAnsi="Arial" w:cs="Arial"/>
          <w:bCs/>
          <w:sz w:val="20"/>
          <w:szCs w:val="20"/>
        </w:rPr>
        <w:t xml:space="preserve"> that circulating AMH levels could be indicative of the size of antral follicle population (Ireland </w:t>
      </w:r>
      <w:r w:rsidR="0015636F" w:rsidRPr="00D23116">
        <w:rPr>
          <w:rFonts w:ascii="Arial" w:hAnsi="Arial" w:cs="Arial"/>
          <w:bCs/>
          <w:i/>
          <w:sz w:val="20"/>
          <w:szCs w:val="20"/>
        </w:rPr>
        <w:t xml:space="preserve">et al., </w:t>
      </w:r>
      <w:r w:rsidRPr="00D23116">
        <w:rPr>
          <w:rFonts w:ascii="Arial" w:hAnsi="Arial" w:cs="Arial"/>
          <w:bCs/>
          <w:sz w:val="20"/>
          <w:szCs w:val="20"/>
        </w:rPr>
        <w:t xml:space="preserve">2011). </w:t>
      </w:r>
    </w:p>
    <w:p w14:paraId="36CE4E2A" w14:textId="77777777" w:rsidR="00203ADD" w:rsidRDefault="00203ADD" w:rsidP="004B53EC">
      <w:pPr>
        <w:spacing w:after="0" w:line="240" w:lineRule="auto"/>
        <w:ind w:firstLine="720"/>
        <w:jc w:val="both"/>
        <w:rPr>
          <w:rFonts w:ascii="Arial" w:hAnsi="Arial" w:cs="Arial"/>
          <w:bCs/>
          <w:sz w:val="20"/>
          <w:szCs w:val="20"/>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225"/>
      </w:tblGrid>
      <w:tr w:rsidR="004B53EC" w:rsidRPr="00D23116" w14:paraId="6675D4A0" w14:textId="77777777" w:rsidTr="00820F08">
        <w:trPr>
          <w:trHeight w:val="2710"/>
          <w:jc w:val="center"/>
        </w:trPr>
        <w:tc>
          <w:tcPr>
            <w:tcW w:w="8268" w:type="dxa"/>
            <w:gridSpan w:val="2"/>
          </w:tcPr>
          <w:p w14:paraId="4EE947D7" w14:textId="77777777" w:rsidR="004B53EC" w:rsidRPr="00D23116" w:rsidRDefault="004B53EC" w:rsidP="00820F08">
            <w:pPr>
              <w:jc w:val="center"/>
              <w:rPr>
                <w:rFonts w:ascii="Arial" w:hAnsi="Arial" w:cs="Arial"/>
                <w:bCs/>
                <w:sz w:val="20"/>
                <w:szCs w:val="20"/>
              </w:rPr>
            </w:pPr>
            <w:r w:rsidRPr="00D23116">
              <w:rPr>
                <w:rFonts w:ascii="Arial" w:hAnsi="Arial" w:cs="Arial"/>
                <w:bCs/>
                <w:sz w:val="20"/>
                <w:szCs w:val="20"/>
              </w:rPr>
              <w:br w:type="page"/>
            </w:r>
            <w:r w:rsidRPr="00D23116">
              <w:rPr>
                <w:rFonts w:ascii="Arial" w:hAnsi="Arial" w:cs="Arial"/>
                <w:bCs/>
                <w:noProof/>
                <w:sz w:val="20"/>
                <w:szCs w:val="20"/>
                <w:lang w:eastAsia="en-IN"/>
              </w:rPr>
              <w:drawing>
                <wp:inline distT="0" distB="0" distL="0" distR="0" wp14:anchorId="3C2C7A2E" wp14:editId="115816B2">
                  <wp:extent cx="2841674" cy="1821766"/>
                  <wp:effectExtent l="0" t="0" r="1587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B53EC" w:rsidRPr="00D23116" w14:paraId="7076D5D1" w14:textId="77777777" w:rsidTr="00820F08">
        <w:trPr>
          <w:trHeight w:val="2935"/>
          <w:jc w:val="center"/>
        </w:trPr>
        <w:tc>
          <w:tcPr>
            <w:tcW w:w="4067" w:type="dxa"/>
          </w:tcPr>
          <w:p w14:paraId="516AEFF1" w14:textId="77777777" w:rsidR="004B53EC" w:rsidRPr="00D23116" w:rsidRDefault="004B53EC" w:rsidP="00820F08">
            <w:pPr>
              <w:jc w:val="center"/>
              <w:rPr>
                <w:rFonts w:ascii="Arial" w:hAnsi="Arial" w:cs="Arial"/>
                <w:bCs/>
                <w:sz w:val="20"/>
                <w:szCs w:val="20"/>
              </w:rPr>
            </w:pPr>
            <w:r w:rsidRPr="00D23116">
              <w:rPr>
                <w:rFonts w:ascii="Arial" w:hAnsi="Arial" w:cs="Arial"/>
                <w:noProof/>
                <w:sz w:val="20"/>
                <w:szCs w:val="20"/>
                <w:lang w:eastAsia="en-IN"/>
              </w:rPr>
              <mc:AlternateContent>
                <mc:Choice Requires="wps">
                  <w:drawing>
                    <wp:anchor distT="0" distB="0" distL="114300" distR="114300" simplePos="0" relativeHeight="251659264" behindDoc="0" locked="0" layoutInCell="1" allowOverlap="1" wp14:anchorId="7B6B7849" wp14:editId="64F28F9D">
                      <wp:simplePos x="0" y="0"/>
                      <wp:positionH relativeFrom="margin">
                        <wp:posOffset>699135</wp:posOffset>
                      </wp:positionH>
                      <wp:positionV relativeFrom="paragraph">
                        <wp:posOffset>71755</wp:posOffset>
                      </wp:positionV>
                      <wp:extent cx="1543050" cy="24130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241300"/>
                              </a:xfrm>
                              <a:prstGeom prst="rect">
                                <a:avLst/>
                              </a:prstGeom>
                            </wps:spPr>
                            <wps:txbx>
                              <w:txbxContent>
                                <w:p w14:paraId="79E98E9F" w14:textId="77777777" w:rsidR="004B53EC" w:rsidRDefault="004B53EC" w:rsidP="004B53EC">
                                  <w:pPr>
                                    <w:pStyle w:val="NormalWeb"/>
                                    <w:spacing w:before="0" w:beforeAutospacing="0" w:after="0" w:afterAutospacing="0"/>
                                  </w:pPr>
                                  <w:r>
                                    <w:rPr>
                                      <w:rFonts w:asciiTheme="minorHAnsi" w:hAnsi="Calibri" w:cstheme="minorBidi"/>
                                      <w:sz w:val="22"/>
                                      <w:szCs w:val="22"/>
                                    </w:rPr>
                                    <w:t>r= -0.465**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type w14:anchorId="7B6B7849" id="_x0000_t202" coordsize="21600,21600" o:spt="202" path="m,l,21600r21600,l21600,xe">
                      <v:stroke joinstyle="miter"/>
                      <v:path gradientshapeok="t" o:connecttype="rect"/>
                    </v:shapetype>
                    <v:shape id="Text Box 95" o:spid="_x0000_s1026" type="#_x0000_t202" style="position:absolute;left:0;text-align:left;margin-left:55.05pt;margin-top:5.65pt;width:121.5pt;height: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" filled="f" stroked="f">
                      <v:textbox>
                        <w:txbxContent>
                          <w:p w14:paraId="79E98E9F" w14:textId="77777777" w:rsidR="004B53EC" w:rsidRDefault="004B53EC" w:rsidP="004B53EC">
                            <w:pPr>
                              <w:pStyle w:val="NormalWeb"/>
                              <w:spacing w:before="0" w:beforeAutospacing="0" w:after="0" w:afterAutospacing="0"/>
                            </w:pPr>
                            <w:r>
                              <w:rPr>
                                <w:rFonts w:asciiTheme="minorHAnsi" w:hAnsi="Calibri" w:cstheme="minorBidi"/>
                                <w:sz w:val="22"/>
                                <w:szCs w:val="22"/>
                              </w:rPr>
                              <w:t>r= -0.465**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487C670E" wp14:editId="678A68F0">
                  <wp:extent cx="2501900" cy="1974850"/>
                  <wp:effectExtent l="0" t="0" r="1270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201" w:type="dxa"/>
          </w:tcPr>
          <w:p w14:paraId="0E83C705" w14:textId="77777777" w:rsidR="004B53EC" w:rsidRPr="00D23116" w:rsidRDefault="004B53EC" w:rsidP="00820F08">
            <w:pPr>
              <w:ind w:left="-48"/>
              <w:jc w:val="center"/>
              <w:rPr>
                <w:rFonts w:ascii="Arial" w:hAnsi="Arial" w:cs="Arial"/>
                <w:bCs/>
                <w:sz w:val="20"/>
                <w:szCs w:val="20"/>
              </w:rPr>
            </w:pPr>
            <w:r w:rsidRPr="00D23116">
              <w:rPr>
                <w:rFonts w:ascii="Arial" w:hAnsi="Arial" w:cs="Arial"/>
                <w:noProof/>
                <w:sz w:val="20"/>
                <w:szCs w:val="20"/>
                <w:lang w:eastAsia="en-IN"/>
              </w:rPr>
              <mc:AlternateContent>
                <mc:Choice Requires="wps">
                  <w:drawing>
                    <wp:anchor distT="0" distB="0" distL="114300" distR="114300" simplePos="0" relativeHeight="251660288" behindDoc="0" locked="0" layoutInCell="1" allowOverlap="1" wp14:anchorId="43E8ABC2" wp14:editId="501212E2">
                      <wp:simplePos x="0" y="0"/>
                      <wp:positionH relativeFrom="margin">
                        <wp:posOffset>956310</wp:posOffset>
                      </wp:positionH>
                      <wp:positionV relativeFrom="paragraph">
                        <wp:posOffset>97155</wp:posOffset>
                      </wp:positionV>
                      <wp:extent cx="1549400" cy="24130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241300"/>
                              </a:xfrm>
                              <a:prstGeom prst="rect">
                                <a:avLst/>
                              </a:prstGeom>
                            </wps:spPr>
                            <wps:txbx>
                              <w:txbxContent>
                                <w:p w14:paraId="101164F2" w14:textId="77777777" w:rsidR="004B53EC" w:rsidRDefault="004B53EC" w:rsidP="004B53EC">
                                  <w:pPr>
                                    <w:pStyle w:val="NormalWeb"/>
                                    <w:spacing w:before="0" w:beforeAutospacing="0" w:after="0" w:afterAutospacing="0"/>
                                  </w:pPr>
                                  <w:r>
                                    <w:rPr>
                                      <w:rFonts w:asciiTheme="minorHAnsi" w:hAnsi="Calibri" w:cstheme="minorBidi"/>
                                      <w:sz w:val="22"/>
                                      <w:szCs w:val="22"/>
                                    </w:rPr>
                                    <w:t>r= -0.447**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 w14:anchorId="43E8ABC2" id="Text Box 94" o:spid="_x0000_s1027" type="#_x0000_t202" style="position:absolute;left:0;text-align:left;margin-left:75.3pt;margin-top:7.65pt;width:122pt;height: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" filled="f" stroked="f">
                      <v:textbox>
                        <w:txbxContent>
                          <w:p w14:paraId="101164F2" w14:textId="77777777" w:rsidR="004B53EC" w:rsidRDefault="004B53EC" w:rsidP="004B53EC">
                            <w:pPr>
                              <w:pStyle w:val="NormalWeb"/>
                              <w:spacing w:before="0" w:beforeAutospacing="0" w:after="0" w:afterAutospacing="0"/>
                            </w:pPr>
                            <w:r>
                              <w:rPr>
                                <w:rFonts w:asciiTheme="minorHAnsi" w:hAnsi="Calibri" w:cstheme="minorBidi"/>
                                <w:sz w:val="22"/>
                                <w:szCs w:val="22"/>
                              </w:rPr>
                              <w:t>r= -0.447**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606B4709" wp14:editId="0E91036F">
                  <wp:extent cx="2565400" cy="1968500"/>
                  <wp:effectExtent l="0" t="0" r="63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B53EC" w:rsidRPr="00D23116" w14:paraId="3494EABC" w14:textId="77777777" w:rsidTr="00820F08">
        <w:trPr>
          <w:trHeight w:val="2540"/>
          <w:jc w:val="center"/>
        </w:trPr>
        <w:tc>
          <w:tcPr>
            <w:tcW w:w="4067" w:type="dxa"/>
          </w:tcPr>
          <w:p w14:paraId="19F5AC50" w14:textId="77777777" w:rsidR="004B53EC" w:rsidRPr="00D23116" w:rsidRDefault="004B53EC" w:rsidP="00820F08">
            <w:pPr>
              <w:jc w:val="center"/>
              <w:rPr>
                <w:rFonts w:ascii="Arial" w:hAnsi="Arial" w:cs="Arial"/>
                <w:bCs/>
                <w:sz w:val="20"/>
                <w:szCs w:val="20"/>
              </w:rPr>
            </w:pPr>
            <w:r w:rsidRPr="00D23116">
              <w:rPr>
                <w:rFonts w:ascii="Arial" w:hAnsi="Arial" w:cs="Arial"/>
                <w:noProof/>
                <w:sz w:val="20"/>
                <w:szCs w:val="20"/>
                <w:lang w:eastAsia="en-IN"/>
              </w:rPr>
              <w:lastRenderedPageBreak/>
              <mc:AlternateContent>
                <mc:Choice Requires="wps">
                  <w:drawing>
                    <wp:anchor distT="0" distB="0" distL="114300" distR="114300" simplePos="0" relativeHeight="251662336" behindDoc="0" locked="0" layoutInCell="1" allowOverlap="1" wp14:anchorId="6C3D60A9" wp14:editId="09B21B19">
                      <wp:simplePos x="0" y="0"/>
                      <wp:positionH relativeFrom="margin">
                        <wp:posOffset>1010285</wp:posOffset>
                      </wp:positionH>
                      <wp:positionV relativeFrom="paragraph">
                        <wp:posOffset>86995</wp:posOffset>
                      </wp:positionV>
                      <wp:extent cx="1492250" cy="29210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0" cy="292100"/>
                              </a:xfrm>
                              <a:prstGeom prst="rect">
                                <a:avLst/>
                              </a:prstGeom>
                            </wps:spPr>
                            <wps:txbx>
                              <w:txbxContent>
                                <w:p w14:paraId="065A6312" w14:textId="77777777" w:rsidR="004B53EC" w:rsidRDefault="004B53EC" w:rsidP="004B53EC">
                                  <w:pPr>
                                    <w:pStyle w:val="NormalWeb"/>
                                    <w:spacing w:before="0" w:beforeAutospacing="0" w:after="0" w:afterAutospacing="0"/>
                                  </w:pPr>
                                  <w:r>
                                    <w:rPr>
                                      <w:rFonts w:asciiTheme="minorHAnsi" w:hAnsi="Calibri" w:cstheme="minorBidi"/>
                                      <w:sz w:val="22"/>
                                      <w:szCs w:val="22"/>
                                    </w:rPr>
                                    <w:t>r= -0.424**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 w14:anchorId="6C3D60A9" id="Text Box 93" o:spid="_x0000_s1028" type="#_x0000_t202" style="position:absolute;left:0;text-align:left;margin-left:79.55pt;margin-top:6.85pt;width:117.5pt;height: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" filled="f" stroked="f">
                      <v:textbox>
                        <w:txbxContent>
                          <w:p w14:paraId="065A6312" w14:textId="77777777" w:rsidR="004B53EC" w:rsidRDefault="004B53EC" w:rsidP="004B53EC">
                            <w:pPr>
                              <w:pStyle w:val="NormalWeb"/>
                              <w:spacing w:before="0" w:beforeAutospacing="0" w:after="0" w:afterAutospacing="0"/>
                            </w:pPr>
                            <w:r>
                              <w:rPr>
                                <w:rFonts w:asciiTheme="minorHAnsi" w:hAnsi="Calibri" w:cstheme="minorBidi"/>
                                <w:sz w:val="22"/>
                                <w:szCs w:val="22"/>
                              </w:rPr>
                              <w:t>r= -0.424**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10C6508C" wp14:editId="230CC2C2">
                  <wp:extent cx="2495550" cy="16573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201" w:type="dxa"/>
          </w:tcPr>
          <w:p w14:paraId="00E0366F" w14:textId="77777777" w:rsidR="004B53EC" w:rsidRPr="00D23116" w:rsidRDefault="004B53EC" w:rsidP="00820F08">
            <w:pPr>
              <w:ind w:left="-71"/>
              <w:jc w:val="center"/>
              <w:rPr>
                <w:rFonts w:ascii="Arial" w:hAnsi="Arial" w:cs="Arial"/>
                <w:bCs/>
                <w:sz w:val="20"/>
                <w:szCs w:val="20"/>
              </w:rPr>
            </w:pPr>
            <w:r w:rsidRPr="00D23116">
              <w:rPr>
                <w:rFonts w:ascii="Arial" w:hAnsi="Arial" w:cs="Arial"/>
                <w:noProof/>
                <w:sz w:val="20"/>
                <w:szCs w:val="20"/>
                <w:lang w:eastAsia="en-IN"/>
              </w:rPr>
              <mc:AlternateContent>
                <mc:Choice Requires="wps">
                  <w:drawing>
                    <wp:anchor distT="0" distB="0" distL="114300" distR="114300" simplePos="0" relativeHeight="251661312" behindDoc="0" locked="0" layoutInCell="1" allowOverlap="1" wp14:anchorId="3B985349" wp14:editId="5DBFE3F2">
                      <wp:simplePos x="0" y="0"/>
                      <wp:positionH relativeFrom="margin">
                        <wp:posOffset>892810</wp:posOffset>
                      </wp:positionH>
                      <wp:positionV relativeFrom="paragraph">
                        <wp:posOffset>86995</wp:posOffset>
                      </wp:positionV>
                      <wp:extent cx="1511300" cy="28575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285750"/>
                              </a:xfrm>
                              <a:prstGeom prst="rect">
                                <a:avLst/>
                              </a:prstGeom>
                            </wps:spPr>
                            <wps:txbx>
                              <w:txbxContent>
                                <w:p w14:paraId="54976422" w14:textId="77777777" w:rsidR="004B53EC" w:rsidRDefault="004B53EC" w:rsidP="004B53EC">
                                  <w:pPr>
                                    <w:pStyle w:val="NormalWeb"/>
                                    <w:spacing w:before="0" w:beforeAutospacing="0" w:after="0" w:afterAutospacing="0"/>
                                  </w:pPr>
                                  <w:r>
                                    <w:rPr>
                                      <w:rFonts w:asciiTheme="minorHAnsi" w:hAnsi="Calibri" w:cstheme="minorBidi"/>
                                      <w:sz w:val="22"/>
                                      <w:szCs w:val="22"/>
                                    </w:rPr>
                                    <w:t>r= -0.444**     P=0.000</w:t>
                                  </w:r>
                                </w:p>
                              </w:txbxContent>
                            </wps:txbx>
                            <wps:bodyPr vertOverflow="clip" wrap="square" rtlCol="0">
                              <a:noAutofit/>
                            </wps:bodyPr>
                          </wps:wsp>
                        </a:graphicData>
                      </a:graphic>
                      <wp14:sizeRelH relativeFrom="page">
                        <wp14:pctWidth>0</wp14:pctWidth>
                      </wp14:sizeRelH>
                      <wp14:sizeRelV relativeFrom="page">
                        <wp14:pctHeight>0</wp14:pctHeight>
                      </wp14:sizeRelV>
                    </wp:anchor>
                  </w:drawing>
                </mc:Choice>
                <mc:Fallback>
                  <w:pict>
                    <v:shape w14:anchorId="3B985349" id="Text Box 92" o:spid="_x0000_s1029" type="#_x0000_t202" style="position:absolute;left:0;text-align:left;margin-left:70.3pt;margin-top:6.85pt;width:119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" filled="f" stroked="f">
                      <v:textbox>
                        <w:txbxContent>
                          <w:p w14:paraId="54976422" w14:textId="77777777" w:rsidR="004B53EC" w:rsidRDefault="004B53EC" w:rsidP="004B53EC">
                            <w:pPr>
                              <w:pStyle w:val="NormalWeb"/>
                              <w:spacing w:before="0" w:beforeAutospacing="0" w:after="0" w:afterAutospacing="0"/>
                            </w:pPr>
                            <w:r>
                              <w:rPr>
                                <w:rFonts w:asciiTheme="minorHAnsi" w:hAnsi="Calibri" w:cstheme="minorBidi"/>
                                <w:sz w:val="22"/>
                                <w:szCs w:val="22"/>
                              </w:rPr>
                              <w:t>r= -0.444**     P=0.000</w:t>
                            </w:r>
                          </w:p>
                        </w:txbxContent>
                      </v:textbox>
                      <w10:wrap anchorx="margin"/>
                    </v:shape>
                  </w:pict>
                </mc:Fallback>
              </mc:AlternateContent>
            </w:r>
            <w:r w:rsidRPr="00D23116">
              <w:rPr>
                <w:rFonts w:ascii="Arial" w:hAnsi="Arial" w:cs="Arial"/>
                <w:bCs/>
                <w:noProof/>
                <w:sz w:val="20"/>
                <w:szCs w:val="20"/>
                <w:lang w:eastAsia="en-IN"/>
              </w:rPr>
              <w:drawing>
                <wp:inline distT="0" distB="0" distL="0" distR="0" wp14:anchorId="25989F3F" wp14:editId="6095D037">
                  <wp:extent cx="2578100" cy="1606550"/>
                  <wp:effectExtent l="0" t="0" r="1270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B53EC" w:rsidRPr="00D23116" w14:paraId="5E715090" w14:textId="77777777" w:rsidTr="00820F08">
        <w:trPr>
          <w:trHeight w:val="432"/>
          <w:jc w:val="center"/>
        </w:trPr>
        <w:tc>
          <w:tcPr>
            <w:tcW w:w="8268" w:type="dxa"/>
            <w:gridSpan w:val="2"/>
          </w:tcPr>
          <w:p w14:paraId="4FFE00CB" w14:textId="77777777" w:rsidR="004B53EC" w:rsidRPr="00D23116" w:rsidRDefault="004B53EC" w:rsidP="00820F08">
            <w:pPr>
              <w:jc w:val="both"/>
              <w:rPr>
                <w:rFonts w:ascii="Arial" w:hAnsi="Arial" w:cs="Arial"/>
                <w:b/>
                <w:sz w:val="20"/>
                <w:szCs w:val="20"/>
                <w:lang w:val="en-US"/>
              </w:rPr>
            </w:pPr>
            <w:r w:rsidRPr="00D23116">
              <w:rPr>
                <w:rFonts w:ascii="Arial" w:hAnsi="Arial" w:cs="Arial"/>
                <w:b/>
                <w:sz w:val="20"/>
                <w:szCs w:val="20"/>
                <w:lang w:val="en-US"/>
              </w:rPr>
              <w:t xml:space="preserve">Fig 3: Association among age, parity, AFC and serum AMH levels in </w:t>
            </w:r>
            <w:proofErr w:type="spellStart"/>
            <w:r w:rsidRPr="00D23116">
              <w:rPr>
                <w:rFonts w:ascii="Arial" w:hAnsi="Arial" w:cs="Arial"/>
                <w:b/>
                <w:sz w:val="20"/>
                <w:szCs w:val="20"/>
                <w:lang w:val="en-US"/>
              </w:rPr>
              <w:t>Ongole</w:t>
            </w:r>
            <w:proofErr w:type="spellEnd"/>
            <w:r w:rsidRPr="00D23116">
              <w:rPr>
                <w:rFonts w:ascii="Arial" w:hAnsi="Arial" w:cs="Arial"/>
                <w:b/>
                <w:sz w:val="20"/>
                <w:szCs w:val="20"/>
                <w:lang w:val="en-US"/>
              </w:rPr>
              <w:t xml:space="preserve"> cows (n = 84) </w:t>
            </w:r>
            <w:r w:rsidRPr="00D23116">
              <w:rPr>
                <w:rFonts w:ascii="Arial" w:hAnsi="Arial" w:cs="Arial"/>
                <w:bCs/>
                <w:sz w:val="20"/>
                <w:szCs w:val="20"/>
              </w:rPr>
              <w:t xml:space="preserve">(i) AFC </w:t>
            </w:r>
            <w:r w:rsidRPr="00D23116">
              <w:rPr>
                <w:rFonts w:ascii="Arial" w:hAnsi="Arial" w:cs="Arial"/>
                <w:bCs/>
                <w:i/>
                <w:sz w:val="20"/>
                <w:szCs w:val="20"/>
              </w:rPr>
              <w:t>vs</w:t>
            </w:r>
            <w:r w:rsidRPr="00D23116">
              <w:rPr>
                <w:rFonts w:ascii="Arial" w:hAnsi="Arial" w:cs="Arial"/>
                <w:bCs/>
                <w:sz w:val="20"/>
                <w:szCs w:val="20"/>
              </w:rPr>
              <w:t xml:space="preserve"> AMH (ii) Age </w:t>
            </w:r>
            <w:r w:rsidRPr="00D23116">
              <w:rPr>
                <w:rFonts w:ascii="Arial" w:hAnsi="Arial" w:cs="Arial"/>
                <w:bCs/>
                <w:i/>
                <w:sz w:val="20"/>
                <w:szCs w:val="20"/>
              </w:rPr>
              <w:t>vs</w:t>
            </w:r>
            <w:r w:rsidRPr="00D23116">
              <w:rPr>
                <w:rFonts w:ascii="Arial" w:hAnsi="Arial" w:cs="Arial"/>
                <w:bCs/>
                <w:sz w:val="20"/>
                <w:szCs w:val="20"/>
              </w:rPr>
              <w:t xml:space="preserve"> AFC (iii) Age </w:t>
            </w:r>
            <w:r w:rsidRPr="00D23116">
              <w:rPr>
                <w:rFonts w:ascii="Arial" w:hAnsi="Arial" w:cs="Arial"/>
                <w:bCs/>
                <w:i/>
                <w:sz w:val="20"/>
                <w:szCs w:val="20"/>
              </w:rPr>
              <w:t>vs</w:t>
            </w:r>
            <w:r w:rsidRPr="00D23116">
              <w:rPr>
                <w:rFonts w:ascii="Arial" w:hAnsi="Arial" w:cs="Arial"/>
                <w:bCs/>
                <w:sz w:val="20"/>
                <w:szCs w:val="20"/>
              </w:rPr>
              <w:t xml:space="preserve"> AMH (iv) Parity </w:t>
            </w:r>
            <w:r w:rsidRPr="00D23116">
              <w:rPr>
                <w:rFonts w:ascii="Arial" w:hAnsi="Arial" w:cs="Arial"/>
                <w:bCs/>
                <w:i/>
                <w:sz w:val="20"/>
                <w:szCs w:val="20"/>
              </w:rPr>
              <w:t>vs</w:t>
            </w:r>
            <w:r w:rsidRPr="00D23116">
              <w:rPr>
                <w:rFonts w:ascii="Arial" w:hAnsi="Arial" w:cs="Arial"/>
                <w:bCs/>
                <w:sz w:val="20"/>
                <w:szCs w:val="20"/>
              </w:rPr>
              <w:t xml:space="preserve"> AFC (v) Parity </w:t>
            </w:r>
            <w:r w:rsidRPr="00D23116">
              <w:rPr>
                <w:rFonts w:ascii="Arial" w:hAnsi="Arial" w:cs="Arial"/>
                <w:bCs/>
                <w:i/>
                <w:sz w:val="20"/>
                <w:szCs w:val="20"/>
              </w:rPr>
              <w:t>vs</w:t>
            </w:r>
            <w:r w:rsidRPr="00D23116">
              <w:rPr>
                <w:rFonts w:ascii="Arial" w:hAnsi="Arial" w:cs="Arial"/>
                <w:bCs/>
                <w:sz w:val="20"/>
                <w:szCs w:val="20"/>
              </w:rPr>
              <w:t xml:space="preserve"> AMH</w:t>
            </w:r>
          </w:p>
        </w:tc>
      </w:tr>
    </w:tbl>
    <w:p w14:paraId="25D51093" w14:textId="77777777" w:rsidR="004B53EC" w:rsidRDefault="004B53EC" w:rsidP="00D23116">
      <w:pPr>
        <w:spacing w:line="240" w:lineRule="auto"/>
        <w:ind w:firstLine="720"/>
        <w:jc w:val="both"/>
        <w:rPr>
          <w:rFonts w:ascii="Arial" w:hAnsi="Arial" w:cs="Arial"/>
          <w:bCs/>
          <w:sz w:val="20"/>
          <w:szCs w:val="20"/>
        </w:rPr>
      </w:pPr>
    </w:p>
    <w:p w14:paraId="3E760E61" w14:textId="77777777" w:rsidR="006F4932" w:rsidRPr="00814635" w:rsidRDefault="00834A2E" w:rsidP="00D23116">
      <w:pPr>
        <w:pStyle w:val="ListParagraph"/>
        <w:numPr>
          <w:ilvl w:val="0"/>
          <w:numId w:val="14"/>
        </w:numPr>
        <w:spacing w:after="0" w:line="240" w:lineRule="auto"/>
        <w:jc w:val="both"/>
        <w:rPr>
          <w:rFonts w:ascii="Arial" w:hAnsi="Arial" w:cs="Arial"/>
          <w:b/>
          <w:bCs/>
          <w:sz w:val="24"/>
          <w:szCs w:val="20"/>
          <w:lang w:val="en-US"/>
        </w:rPr>
      </w:pPr>
      <w:r w:rsidRPr="00814635">
        <w:rPr>
          <w:rFonts w:ascii="Arial" w:hAnsi="Arial" w:cs="Arial"/>
          <w:b/>
          <w:bCs/>
          <w:sz w:val="24"/>
          <w:szCs w:val="20"/>
          <w:lang w:val="en-US"/>
        </w:rPr>
        <w:t>CONCLUSION</w:t>
      </w:r>
    </w:p>
    <w:p w14:paraId="4F2AB31E" w14:textId="421384BA" w:rsidR="009B1B2E" w:rsidRPr="009B1B2E" w:rsidRDefault="009B1B2E" w:rsidP="009B1B2E">
      <w:pPr>
        <w:pStyle w:val="NoSpacing"/>
        <w:jc w:val="both"/>
        <w:rPr>
          <w:rFonts w:ascii="Arial" w:hAnsi="Arial" w:cs="Arial"/>
          <w:sz w:val="20"/>
        </w:rPr>
      </w:pPr>
      <w:r w:rsidRPr="009B1B2E">
        <w:rPr>
          <w:rFonts w:ascii="Arial" w:hAnsi="Arial" w:cs="Arial"/>
          <w:sz w:val="20"/>
          <w:highlight w:val="yellow"/>
        </w:rPr>
        <w:t xml:space="preserve">The present investigation clearly demonstrates that antral follicle count (AFC) and serum anti-Müllerian hormone (AMH) concentration are strongly and positively associated in </w:t>
      </w:r>
      <w:proofErr w:type="spellStart"/>
      <w:r w:rsidRPr="009B1B2E">
        <w:rPr>
          <w:rFonts w:ascii="Arial" w:hAnsi="Arial" w:cs="Arial"/>
          <w:sz w:val="20"/>
          <w:highlight w:val="yellow"/>
        </w:rPr>
        <w:t>Ongole</w:t>
      </w:r>
      <w:proofErr w:type="spellEnd"/>
      <w:r w:rsidRPr="009B1B2E">
        <w:rPr>
          <w:rFonts w:ascii="Arial" w:hAnsi="Arial" w:cs="Arial"/>
          <w:sz w:val="20"/>
          <w:highlight w:val="yellow"/>
        </w:rPr>
        <w:t xml:space="preserve"> (Bos indicus) cattle, while both parameters decline significantly with advancing age and increasing parity. The observed wide inter-animal variability, coupled with high consistency within individuals, confirms the biological relevance of these indicators as reliable measures of ovarian reserve. Younger cows exhibited significantly higher AFC and AMH levels, whereas animals beyond 13 years of age showed a pronounced reduction in these parameters, reflecting diminished follicular reserve and reproductive potential. These findings highlight the practical utility of AFC and AMH as non-invasive, cost-effective tools for identifying superior oocyte donors and optimizing the outcomes of ovum pick-up and in vitro fertilization–embryo transfer (OPU-IVF-ET) programs in </w:t>
      </w:r>
      <w:proofErr w:type="spellStart"/>
      <w:r w:rsidRPr="009B1B2E">
        <w:rPr>
          <w:rFonts w:ascii="Arial" w:hAnsi="Arial" w:cs="Arial"/>
          <w:sz w:val="20"/>
          <w:highlight w:val="yellow"/>
        </w:rPr>
        <w:t>Ongole</w:t>
      </w:r>
      <w:proofErr w:type="spellEnd"/>
      <w:r w:rsidRPr="009B1B2E">
        <w:rPr>
          <w:rFonts w:ascii="Arial" w:hAnsi="Arial" w:cs="Arial"/>
          <w:sz w:val="20"/>
          <w:highlight w:val="yellow"/>
        </w:rPr>
        <w:t xml:space="preserve"> cattle. From a future perspective, the integration of AFC and AMH screening into routine reproductive management and donor selection protocols could substantially enhance the efficiency of assisted reproductive technologies in Bos indicus breeds. Further studies should focus on establishing breed-specific reference ranges and threshold values for AMH and AFC to improve selection accuracy. Longitudinal investigations evaluating the predictive value of AMH and AFC on oocyte quality, embryo development, and pregnancy outcomes following embryo transfer are also warranted. Additionally, exploring the genetic, nutritional, and environmental factors influencing ovarian reserve may facilitate the development of targeted management strategies aimed at prolonging reproductive longevity and maximizing genetic gain in indigenous cattle populations.</w:t>
      </w:r>
    </w:p>
    <w:p w14:paraId="02BF13FE" w14:textId="77777777" w:rsidR="009B1B2E" w:rsidRDefault="009B1B2E" w:rsidP="00D23116">
      <w:pPr>
        <w:spacing w:after="0" w:line="240" w:lineRule="auto"/>
        <w:jc w:val="both"/>
        <w:rPr>
          <w:rFonts w:ascii="Arial" w:hAnsi="Arial" w:cs="Arial"/>
          <w:b/>
          <w:bCs/>
          <w:sz w:val="20"/>
          <w:szCs w:val="20"/>
        </w:rPr>
      </w:pPr>
    </w:p>
    <w:p w14:paraId="150C91B4" w14:textId="56F9CD1C" w:rsidR="00FC6353" w:rsidRPr="00814635" w:rsidRDefault="00FC6353" w:rsidP="00814635">
      <w:pPr>
        <w:jc w:val="both"/>
        <w:outlineLvl w:val="0"/>
        <w:rPr>
          <w:rFonts w:ascii="Arial" w:hAnsi="Arial" w:cs="Arial"/>
          <w:sz w:val="24"/>
          <w:highlight w:val="yellow"/>
        </w:rPr>
      </w:pPr>
      <w:r w:rsidRPr="00814635">
        <w:rPr>
          <w:rFonts w:ascii="Arial" w:hAnsi="Arial" w:cs="Arial"/>
          <w:b/>
          <w:bCs/>
          <w:sz w:val="24"/>
          <w:highlight w:val="yellow"/>
        </w:rPr>
        <w:t>COMPETING INTERESTS DISCLAIMER</w:t>
      </w:r>
    </w:p>
    <w:p w14:paraId="1E3E5633" w14:textId="1EBB4540" w:rsidR="00FC6353" w:rsidRPr="00814635" w:rsidRDefault="00FC6353" w:rsidP="00814635">
      <w:pPr>
        <w:jc w:val="both"/>
        <w:rPr>
          <w:rFonts w:ascii="Arial" w:hAnsi="Arial" w:cs="Arial"/>
          <w:sz w:val="20"/>
        </w:rPr>
      </w:pPr>
      <w:r w:rsidRPr="00814635">
        <w:rPr>
          <w:rFonts w:ascii="Arial" w:hAnsi="Arial" w:cs="Arial"/>
          <w:sz w:val="20"/>
          <w:highlight w:val="yellow"/>
        </w:rPr>
        <w:t>Authors have declared that they have no known competing financial interests OR non-financial interests OR personal relationships that could have appeared to influence the work reported in this paper.</w:t>
      </w:r>
    </w:p>
    <w:p w14:paraId="521C2F73" w14:textId="77777777" w:rsidR="000B203A" w:rsidRPr="00814635" w:rsidRDefault="000B203A" w:rsidP="00814635">
      <w:pPr>
        <w:jc w:val="both"/>
        <w:rPr>
          <w:rFonts w:ascii="Arial" w:eastAsia="Calibri" w:hAnsi="Arial" w:cs="Arial"/>
          <w:b/>
          <w:kern w:val="2"/>
          <w:sz w:val="24"/>
          <w:highlight w:val="yellow"/>
          <w:lang w:val="en-US"/>
        </w:rPr>
      </w:pPr>
      <w:bookmarkStart w:id="0" w:name="_Hlk216872737"/>
      <w:r w:rsidRPr="00814635">
        <w:rPr>
          <w:rFonts w:ascii="Arial" w:eastAsia="Calibri" w:hAnsi="Arial" w:cs="Arial"/>
          <w:b/>
          <w:kern w:val="2"/>
          <w:sz w:val="24"/>
          <w:highlight w:val="yellow"/>
          <w:lang w:val="en-US"/>
        </w:rPr>
        <w:t>Disclaimer (Artificial intelligence)</w:t>
      </w:r>
    </w:p>
    <w:p w14:paraId="45687709" w14:textId="77777777" w:rsidR="000B203A" w:rsidRPr="00814635" w:rsidRDefault="000B203A" w:rsidP="00814635">
      <w:pPr>
        <w:jc w:val="both"/>
        <w:rPr>
          <w:rFonts w:ascii="Arial" w:hAnsi="Arial" w:cs="Arial"/>
          <w:b/>
          <w:bCs/>
          <w:sz w:val="20"/>
          <w:szCs w:val="20"/>
        </w:rPr>
      </w:pPr>
      <w:r w:rsidRPr="00814635">
        <w:rPr>
          <w:rFonts w:ascii="Arial" w:eastAsia="Calibri" w:hAnsi="Arial" w:cs="Arial"/>
          <w:kern w:val="2"/>
          <w:sz w:val="20"/>
          <w:highlight w:val="yellow"/>
          <w:lang w:val="en-US"/>
        </w:rPr>
        <w:t>Author(s) hereby declare that NO generative AI technologies such as Large Language Models (ChatGPT, COPILOT, etc.) and text-to-image generators have been used during the writing or editing of this manuscript.</w:t>
      </w:r>
      <w:r w:rsidRPr="00814635">
        <w:rPr>
          <w:rFonts w:ascii="Arial" w:hAnsi="Arial" w:cs="Arial"/>
          <w:b/>
          <w:bCs/>
          <w:sz w:val="20"/>
          <w:szCs w:val="20"/>
        </w:rPr>
        <w:t xml:space="preserve"> </w:t>
      </w:r>
    </w:p>
    <w:bookmarkEnd w:id="0"/>
    <w:p w14:paraId="58F538DA" w14:textId="77777777" w:rsidR="00D23116" w:rsidRPr="00D23116" w:rsidRDefault="00D23116" w:rsidP="00D23116">
      <w:pPr>
        <w:spacing w:after="0" w:line="240" w:lineRule="auto"/>
        <w:ind w:firstLine="720"/>
        <w:jc w:val="both"/>
        <w:rPr>
          <w:rFonts w:ascii="Arial" w:hAnsi="Arial" w:cs="Arial"/>
          <w:b/>
          <w:bCs/>
          <w:sz w:val="20"/>
          <w:szCs w:val="20"/>
        </w:rPr>
      </w:pPr>
    </w:p>
    <w:p w14:paraId="5292F948" w14:textId="77777777" w:rsidR="006F4932" w:rsidRPr="00814635" w:rsidRDefault="004A06B5" w:rsidP="00D23116">
      <w:pPr>
        <w:spacing w:line="240" w:lineRule="auto"/>
        <w:jc w:val="both"/>
        <w:rPr>
          <w:rFonts w:ascii="Arial" w:hAnsi="Arial" w:cs="Arial"/>
          <w:b/>
          <w:bCs/>
          <w:sz w:val="24"/>
          <w:szCs w:val="20"/>
        </w:rPr>
      </w:pPr>
      <w:r w:rsidRPr="00814635">
        <w:rPr>
          <w:rFonts w:ascii="Arial" w:hAnsi="Arial" w:cs="Arial"/>
          <w:b/>
          <w:bCs/>
          <w:sz w:val="24"/>
          <w:szCs w:val="20"/>
        </w:rPr>
        <w:t>REFERENCES</w:t>
      </w:r>
    </w:p>
    <w:p w14:paraId="44DA6457"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proofErr w:type="spellStart"/>
      <w:r w:rsidRPr="00EC5274">
        <w:rPr>
          <w:rFonts w:ascii="Arial" w:hAnsi="Arial" w:cs="Arial"/>
          <w:sz w:val="20"/>
          <w:szCs w:val="20"/>
        </w:rPr>
        <w:t>Akbarinejad</w:t>
      </w:r>
      <w:proofErr w:type="spellEnd"/>
      <w:r w:rsidRPr="00EC5274">
        <w:rPr>
          <w:rFonts w:ascii="Arial" w:hAnsi="Arial" w:cs="Arial"/>
          <w:sz w:val="20"/>
          <w:szCs w:val="20"/>
        </w:rPr>
        <w:t xml:space="preserve">, V., Gharagozlou, F., </w:t>
      </w:r>
      <w:proofErr w:type="spellStart"/>
      <w:r w:rsidRPr="00EC5274">
        <w:rPr>
          <w:rFonts w:ascii="Arial" w:hAnsi="Arial" w:cs="Arial"/>
          <w:sz w:val="20"/>
          <w:szCs w:val="20"/>
        </w:rPr>
        <w:t>Vojgani</w:t>
      </w:r>
      <w:proofErr w:type="spellEnd"/>
      <w:r w:rsidRPr="00EC5274">
        <w:rPr>
          <w:rFonts w:ascii="Arial" w:hAnsi="Arial" w:cs="Arial"/>
          <w:sz w:val="20"/>
          <w:szCs w:val="20"/>
        </w:rPr>
        <w:t xml:space="preserve">, M., &amp; Ranji, A. (2020). Evidence for quadratic association between serum anti-Müllerian hormone (AMH) concentration and fertility in dairy cows. </w:t>
      </w:r>
      <w:r w:rsidRPr="00EC5274">
        <w:rPr>
          <w:rFonts w:ascii="Arial" w:hAnsi="Arial" w:cs="Arial"/>
          <w:i/>
          <w:sz w:val="20"/>
          <w:szCs w:val="20"/>
        </w:rPr>
        <w:t>Animal Reproduction Science, 218</w:t>
      </w:r>
      <w:r w:rsidRPr="00EC5274">
        <w:rPr>
          <w:rFonts w:ascii="Arial" w:hAnsi="Arial" w:cs="Arial"/>
          <w:sz w:val="20"/>
          <w:szCs w:val="20"/>
        </w:rPr>
        <w:t xml:space="preserve">, 106457. </w:t>
      </w:r>
      <w:hyperlink r:id="rId15" w:history="1">
        <w:r w:rsidRPr="00EC5274">
          <w:rPr>
            <w:rStyle w:val="Hyperlink"/>
            <w:rFonts w:ascii="Arial" w:hAnsi="Arial" w:cs="Arial"/>
            <w:sz w:val="20"/>
            <w:szCs w:val="20"/>
          </w:rPr>
          <w:t>https://doi.org/10.1016/j.anireprosci.2020.106457</w:t>
        </w:r>
      </w:hyperlink>
    </w:p>
    <w:p w14:paraId="3141F092"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r w:rsidRPr="00EC5274">
        <w:rPr>
          <w:rFonts w:ascii="Arial" w:hAnsi="Arial" w:cs="Arial"/>
          <w:sz w:val="20"/>
          <w:szCs w:val="20"/>
        </w:rPr>
        <w:t xml:space="preserve">Alvarez, R. H., Bayeux, B. M., Joaquim, D. A., Watanabe, Y. F., &amp; </w:t>
      </w:r>
      <w:proofErr w:type="spellStart"/>
      <w:r w:rsidRPr="00EC5274">
        <w:rPr>
          <w:rFonts w:ascii="Arial" w:hAnsi="Arial" w:cs="Arial"/>
          <w:sz w:val="20"/>
          <w:szCs w:val="20"/>
        </w:rPr>
        <w:t>Humblot</w:t>
      </w:r>
      <w:proofErr w:type="spellEnd"/>
      <w:r w:rsidRPr="00EC5274">
        <w:rPr>
          <w:rFonts w:ascii="Arial" w:hAnsi="Arial" w:cs="Arial"/>
          <w:sz w:val="20"/>
          <w:szCs w:val="20"/>
        </w:rPr>
        <w:t xml:space="preserve">, P. (2021). Antral follicle count, oocyte production and embryonic developmental competence of senescent Nellore (Bos indicus) cows. </w:t>
      </w:r>
      <w:r w:rsidRPr="00EC5274">
        <w:rPr>
          <w:rFonts w:ascii="Arial" w:hAnsi="Arial" w:cs="Arial"/>
          <w:i/>
          <w:sz w:val="20"/>
          <w:szCs w:val="20"/>
        </w:rPr>
        <w:t>Theriogenology, 174</w:t>
      </w:r>
      <w:r w:rsidRPr="00EC5274">
        <w:rPr>
          <w:rFonts w:ascii="Arial" w:hAnsi="Arial" w:cs="Arial"/>
          <w:sz w:val="20"/>
          <w:szCs w:val="20"/>
        </w:rPr>
        <w:t xml:space="preserve">, 27-35. </w:t>
      </w:r>
      <w:hyperlink r:id="rId16" w:history="1">
        <w:r w:rsidRPr="00EC5274">
          <w:rPr>
            <w:rStyle w:val="Hyperlink"/>
            <w:rFonts w:ascii="Arial" w:hAnsi="Arial" w:cs="Arial"/>
            <w:sz w:val="20"/>
            <w:szCs w:val="20"/>
          </w:rPr>
          <w:t>https://doi.org/10.1016/j.theriogenology.2021.08.016</w:t>
        </w:r>
      </w:hyperlink>
    </w:p>
    <w:p w14:paraId="49B6EBA1"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proofErr w:type="spellStart"/>
      <w:r w:rsidRPr="00EC5274">
        <w:rPr>
          <w:rFonts w:ascii="Arial" w:hAnsi="Arial" w:cs="Arial"/>
          <w:bCs/>
          <w:sz w:val="20"/>
          <w:szCs w:val="20"/>
          <w:highlight w:val="yellow"/>
        </w:rPr>
        <w:t>Baldrighi</w:t>
      </w:r>
      <w:proofErr w:type="spellEnd"/>
      <w:r w:rsidRPr="00EC5274">
        <w:rPr>
          <w:rFonts w:ascii="Arial" w:hAnsi="Arial" w:cs="Arial"/>
          <w:bCs/>
          <w:sz w:val="20"/>
          <w:szCs w:val="20"/>
          <w:highlight w:val="yellow"/>
        </w:rPr>
        <w:t xml:space="preserve">, J. M., Sá Filho, M. F., Batista, E. O. S., Lopes, R. N. V., Visintin, J. A., </w:t>
      </w:r>
      <w:proofErr w:type="spellStart"/>
      <w:r w:rsidRPr="00EC5274">
        <w:rPr>
          <w:rFonts w:ascii="Arial" w:hAnsi="Arial" w:cs="Arial"/>
          <w:bCs/>
          <w:sz w:val="20"/>
          <w:szCs w:val="20"/>
          <w:highlight w:val="yellow"/>
        </w:rPr>
        <w:t>Baruselli</w:t>
      </w:r>
      <w:proofErr w:type="spellEnd"/>
      <w:r w:rsidRPr="00EC5274">
        <w:rPr>
          <w:rFonts w:ascii="Arial" w:hAnsi="Arial" w:cs="Arial"/>
          <w:bCs/>
          <w:sz w:val="20"/>
          <w:szCs w:val="20"/>
          <w:highlight w:val="yellow"/>
        </w:rPr>
        <w:t xml:space="preserve">, P. S., &amp; Assumpção, M. E. O. A. (2014). Anti-Mullerian hormone concentration and antral ovarian follicle population in Murrah heifers compared to Holstein and Gyr kept under the same </w:t>
      </w:r>
      <w:r w:rsidRPr="00EC5274">
        <w:rPr>
          <w:rFonts w:ascii="Arial" w:hAnsi="Arial" w:cs="Arial"/>
          <w:bCs/>
          <w:sz w:val="20"/>
          <w:szCs w:val="20"/>
          <w:highlight w:val="yellow"/>
        </w:rPr>
        <w:lastRenderedPageBreak/>
        <w:t xml:space="preserve">management. </w:t>
      </w:r>
      <w:r w:rsidRPr="00EC5274">
        <w:rPr>
          <w:rFonts w:ascii="Arial" w:hAnsi="Arial" w:cs="Arial"/>
          <w:bCs/>
          <w:i/>
          <w:sz w:val="20"/>
          <w:szCs w:val="20"/>
          <w:highlight w:val="yellow"/>
        </w:rPr>
        <w:t>Reproduction in Domestic Animals, 49</w:t>
      </w:r>
      <w:r w:rsidRPr="00EC5274">
        <w:rPr>
          <w:rFonts w:ascii="Arial" w:hAnsi="Arial" w:cs="Arial"/>
          <w:bCs/>
          <w:sz w:val="20"/>
          <w:szCs w:val="20"/>
          <w:highlight w:val="yellow"/>
        </w:rPr>
        <w:t xml:space="preserve">(6), 1015–1020. </w:t>
      </w:r>
      <w:hyperlink r:id="rId17" w:history="1">
        <w:r w:rsidRPr="00EC5274">
          <w:rPr>
            <w:rStyle w:val="Hyperlink"/>
            <w:rFonts w:ascii="Arial" w:hAnsi="Arial" w:cs="Arial"/>
            <w:bCs/>
            <w:sz w:val="20"/>
            <w:szCs w:val="20"/>
            <w:highlight w:val="yellow"/>
          </w:rPr>
          <w:t>https://doi.org/10.1111/rda.12430</w:t>
        </w:r>
      </w:hyperlink>
    </w:p>
    <w:p w14:paraId="097A4A1F"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bCs/>
          <w:sz w:val="20"/>
          <w:szCs w:val="20"/>
          <w:highlight w:val="yellow"/>
          <w:lang w:val="en-US"/>
        </w:rPr>
        <w:t xml:space="preserve">Baruselli, P. S., Batista, E. O. S., Vieira, L. M., &amp; Souza, A. H. (2015). Relationship between follicle population, AMH concentration and fertility in cattle. </w:t>
      </w:r>
      <w:r w:rsidRPr="00EC5274">
        <w:rPr>
          <w:rFonts w:ascii="Arial" w:hAnsi="Arial" w:cs="Arial"/>
          <w:bCs/>
          <w:i/>
          <w:sz w:val="20"/>
          <w:szCs w:val="20"/>
          <w:highlight w:val="yellow"/>
          <w:lang w:val="en-US"/>
        </w:rPr>
        <w:t>Animal Reproduction, 12</w:t>
      </w:r>
      <w:r w:rsidRPr="00EC5274">
        <w:rPr>
          <w:rFonts w:ascii="Arial" w:hAnsi="Arial" w:cs="Arial"/>
          <w:bCs/>
          <w:sz w:val="20"/>
          <w:szCs w:val="20"/>
          <w:highlight w:val="yellow"/>
          <w:lang w:val="en-US"/>
        </w:rPr>
        <w:t xml:space="preserve">(3), 487-497. </w:t>
      </w:r>
      <w:hyperlink r:id="rId18" w:history="1">
        <w:r w:rsidRPr="00EC5274">
          <w:rPr>
            <w:rStyle w:val="Hyperlink"/>
            <w:rFonts w:ascii="Arial" w:hAnsi="Arial" w:cs="Arial"/>
            <w:bCs/>
            <w:sz w:val="20"/>
            <w:szCs w:val="20"/>
            <w:highlight w:val="yellow"/>
            <w:lang w:val="en-US"/>
          </w:rPr>
          <w:t>https://doi.org/10.21451/1984-3143-AR1008</w:t>
        </w:r>
      </w:hyperlink>
    </w:p>
    <w:p w14:paraId="72ADBC05"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highlight w:val="yellow"/>
        </w:rPr>
        <w:t xml:space="preserve">Batista, E. O. S., Macedo, G. G., Sala, R. V., Ortolan, M. D. D. V., Sá Filho, M. F. D., Del Valle, T. A., Jesus, E. F., Lopes, R. N. V. R., </w:t>
      </w:r>
      <w:proofErr w:type="spellStart"/>
      <w:r w:rsidRPr="00EC5274">
        <w:rPr>
          <w:rFonts w:ascii="Arial" w:hAnsi="Arial" w:cs="Arial"/>
          <w:sz w:val="20"/>
          <w:szCs w:val="20"/>
          <w:highlight w:val="yellow"/>
        </w:rPr>
        <w:t>Rennó</w:t>
      </w:r>
      <w:proofErr w:type="spellEnd"/>
      <w:r w:rsidRPr="00EC5274">
        <w:rPr>
          <w:rFonts w:ascii="Arial" w:hAnsi="Arial" w:cs="Arial"/>
          <w:sz w:val="20"/>
          <w:szCs w:val="20"/>
          <w:highlight w:val="yellow"/>
        </w:rPr>
        <w:t xml:space="preserve">, F. P., &amp; </w:t>
      </w:r>
      <w:proofErr w:type="spellStart"/>
      <w:r w:rsidRPr="00EC5274">
        <w:rPr>
          <w:rFonts w:ascii="Arial" w:hAnsi="Arial" w:cs="Arial"/>
          <w:sz w:val="20"/>
          <w:szCs w:val="20"/>
          <w:highlight w:val="yellow"/>
        </w:rPr>
        <w:t>Baruselli</w:t>
      </w:r>
      <w:proofErr w:type="spellEnd"/>
      <w:r w:rsidRPr="00EC5274">
        <w:rPr>
          <w:rFonts w:ascii="Arial" w:hAnsi="Arial" w:cs="Arial"/>
          <w:sz w:val="20"/>
          <w:szCs w:val="20"/>
          <w:highlight w:val="yellow"/>
        </w:rPr>
        <w:t xml:space="preserve">, P. S. (2014). Plasma </w:t>
      </w:r>
      <w:proofErr w:type="spellStart"/>
      <w:r w:rsidRPr="00EC5274">
        <w:rPr>
          <w:rFonts w:ascii="Arial" w:hAnsi="Arial" w:cs="Arial"/>
          <w:sz w:val="20"/>
          <w:szCs w:val="20"/>
          <w:highlight w:val="yellow"/>
        </w:rPr>
        <w:t>antimullerian</w:t>
      </w:r>
      <w:proofErr w:type="spellEnd"/>
      <w:r w:rsidRPr="00EC5274">
        <w:rPr>
          <w:rFonts w:ascii="Arial" w:hAnsi="Arial" w:cs="Arial"/>
          <w:sz w:val="20"/>
          <w:szCs w:val="20"/>
          <w:highlight w:val="yellow"/>
        </w:rPr>
        <w:t xml:space="preserve"> hormone as a predictor of ovarian antral follicular population in Bos indicus (</w:t>
      </w:r>
      <w:proofErr w:type="spellStart"/>
      <w:r w:rsidRPr="00EC5274">
        <w:rPr>
          <w:rFonts w:ascii="Arial" w:hAnsi="Arial" w:cs="Arial"/>
          <w:sz w:val="20"/>
          <w:szCs w:val="20"/>
          <w:highlight w:val="yellow"/>
        </w:rPr>
        <w:t>Nelore</w:t>
      </w:r>
      <w:proofErr w:type="spellEnd"/>
      <w:r w:rsidRPr="00EC5274">
        <w:rPr>
          <w:rFonts w:ascii="Arial" w:hAnsi="Arial" w:cs="Arial"/>
          <w:sz w:val="20"/>
          <w:szCs w:val="20"/>
          <w:highlight w:val="yellow"/>
        </w:rPr>
        <w:t xml:space="preserve">) and Bos taurus (Holstein) heifers. </w:t>
      </w:r>
      <w:r w:rsidRPr="00EC5274">
        <w:rPr>
          <w:rFonts w:ascii="Arial" w:hAnsi="Arial" w:cs="Arial"/>
          <w:i/>
          <w:sz w:val="20"/>
          <w:szCs w:val="20"/>
          <w:highlight w:val="yellow"/>
        </w:rPr>
        <w:t>Reproduction in Domestic Animals, 49</w:t>
      </w:r>
      <w:r w:rsidRPr="00EC5274">
        <w:rPr>
          <w:rFonts w:ascii="Arial" w:hAnsi="Arial" w:cs="Arial"/>
          <w:sz w:val="20"/>
          <w:szCs w:val="20"/>
          <w:highlight w:val="yellow"/>
        </w:rPr>
        <w:t xml:space="preserve">(3), 448-452. </w:t>
      </w:r>
      <w:hyperlink r:id="rId19" w:history="1">
        <w:r w:rsidRPr="00EC5274">
          <w:rPr>
            <w:rStyle w:val="Hyperlink"/>
            <w:rFonts w:ascii="Arial" w:hAnsi="Arial" w:cs="Arial"/>
            <w:sz w:val="20"/>
            <w:szCs w:val="20"/>
            <w:highlight w:val="yellow"/>
          </w:rPr>
          <w:t>https://doi.org/10.1111/rda.12304</w:t>
        </w:r>
      </w:hyperlink>
    </w:p>
    <w:p w14:paraId="0A1D4073"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rPr>
        <w:t xml:space="preserve">Claes, A., Ball, B. A., Scoggin, K. E., Esteller-Vico, A., Kalmar, J. J., Conley, A. J., Squires, E. L., &amp; Troedsson, M. H. T. (2015). The interrelationship between anti-Müllerian hormone, ovarian follicular populations and age in mares. </w:t>
      </w:r>
      <w:r w:rsidRPr="00EC5274">
        <w:rPr>
          <w:rFonts w:ascii="Arial" w:hAnsi="Arial" w:cs="Arial"/>
          <w:i/>
          <w:sz w:val="20"/>
          <w:szCs w:val="20"/>
        </w:rPr>
        <w:t>Equine Veterinary Journal, 47</w:t>
      </w:r>
      <w:r w:rsidRPr="00EC5274">
        <w:rPr>
          <w:rFonts w:ascii="Arial" w:hAnsi="Arial" w:cs="Arial"/>
          <w:sz w:val="20"/>
          <w:szCs w:val="20"/>
        </w:rPr>
        <w:t xml:space="preserve">(5), 537-541. </w:t>
      </w:r>
      <w:hyperlink r:id="rId20" w:history="1">
        <w:r w:rsidRPr="00EC5274">
          <w:rPr>
            <w:rStyle w:val="Hyperlink"/>
            <w:rFonts w:ascii="Arial" w:hAnsi="Arial" w:cs="Arial"/>
            <w:sz w:val="20"/>
            <w:szCs w:val="20"/>
          </w:rPr>
          <w:t>https://doi.org/10.1111/evj.12328</w:t>
        </w:r>
      </w:hyperlink>
    </w:p>
    <w:p w14:paraId="1F3E29A3"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r w:rsidRPr="00EC5274">
        <w:rPr>
          <w:rFonts w:ascii="Arial" w:hAnsi="Arial" w:cs="Arial"/>
          <w:sz w:val="20"/>
          <w:szCs w:val="20"/>
          <w:highlight w:val="yellow"/>
        </w:rPr>
        <w:t xml:space="preserve">Cushman, R. A., Allan, M. F., Kuehn, L. A., Snelling, W. M., Cupp, A. S., &amp; Freetly, H. C. (2009). Evaluation of antral follicle count and ovarian morphology in crossbred beef cows: Investigation of influence of stage of the </w:t>
      </w:r>
      <w:proofErr w:type="spellStart"/>
      <w:r w:rsidRPr="00EC5274">
        <w:rPr>
          <w:rFonts w:ascii="Arial" w:hAnsi="Arial" w:cs="Arial"/>
          <w:sz w:val="20"/>
          <w:szCs w:val="20"/>
          <w:highlight w:val="yellow"/>
        </w:rPr>
        <w:t>estrous</w:t>
      </w:r>
      <w:proofErr w:type="spellEnd"/>
      <w:r w:rsidRPr="00EC5274">
        <w:rPr>
          <w:rFonts w:ascii="Arial" w:hAnsi="Arial" w:cs="Arial"/>
          <w:sz w:val="20"/>
          <w:szCs w:val="20"/>
          <w:highlight w:val="yellow"/>
        </w:rPr>
        <w:t xml:space="preserve"> cycle, age, and birth weight. </w:t>
      </w:r>
      <w:r w:rsidRPr="00EC5274">
        <w:rPr>
          <w:rFonts w:ascii="Arial" w:hAnsi="Arial" w:cs="Arial"/>
          <w:i/>
          <w:sz w:val="20"/>
          <w:szCs w:val="20"/>
          <w:highlight w:val="yellow"/>
        </w:rPr>
        <w:t>Journal of Animal Science, 87</w:t>
      </w:r>
      <w:r w:rsidRPr="00EC5274">
        <w:rPr>
          <w:rFonts w:ascii="Arial" w:hAnsi="Arial" w:cs="Arial"/>
          <w:sz w:val="20"/>
          <w:szCs w:val="20"/>
          <w:highlight w:val="yellow"/>
        </w:rPr>
        <w:t xml:space="preserve">(6), 1971–1980. </w:t>
      </w:r>
      <w:hyperlink r:id="rId21" w:history="1">
        <w:r w:rsidRPr="00EC5274">
          <w:rPr>
            <w:rStyle w:val="Hyperlink"/>
            <w:rFonts w:ascii="Arial" w:hAnsi="Arial" w:cs="Arial"/>
            <w:sz w:val="20"/>
            <w:szCs w:val="20"/>
            <w:highlight w:val="yellow"/>
          </w:rPr>
          <w:t>https://doi.org/10.2527/jas.2008-1728</w:t>
        </w:r>
      </w:hyperlink>
    </w:p>
    <w:p w14:paraId="2ED00BFC"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proofErr w:type="spellStart"/>
      <w:r w:rsidRPr="00EC5274">
        <w:rPr>
          <w:rFonts w:ascii="Arial" w:hAnsi="Arial" w:cs="Arial"/>
          <w:bCs/>
          <w:sz w:val="20"/>
          <w:szCs w:val="20"/>
        </w:rPr>
        <w:t>Dewailly</w:t>
      </w:r>
      <w:proofErr w:type="spellEnd"/>
      <w:r w:rsidRPr="00EC5274">
        <w:rPr>
          <w:rFonts w:ascii="Arial" w:hAnsi="Arial" w:cs="Arial"/>
          <w:bCs/>
          <w:sz w:val="20"/>
          <w:szCs w:val="20"/>
        </w:rPr>
        <w:t xml:space="preserve">, D., Andersen, C. Y., Balen, A., </w:t>
      </w:r>
      <w:proofErr w:type="spellStart"/>
      <w:r w:rsidRPr="00EC5274">
        <w:rPr>
          <w:rFonts w:ascii="Arial" w:hAnsi="Arial" w:cs="Arial"/>
          <w:bCs/>
          <w:sz w:val="20"/>
          <w:szCs w:val="20"/>
        </w:rPr>
        <w:t>Broekmans</w:t>
      </w:r>
      <w:proofErr w:type="spellEnd"/>
      <w:r w:rsidRPr="00EC5274">
        <w:rPr>
          <w:rFonts w:ascii="Arial" w:hAnsi="Arial" w:cs="Arial"/>
          <w:bCs/>
          <w:sz w:val="20"/>
          <w:szCs w:val="20"/>
        </w:rPr>
        <w:t xml:space="preserve">, F., Dilaver, N., </w:t>
      </w:r>
      <w:proofErr w:type="spellStart"/>
      <w:r w:rsidRPr="00EC5274">
        <w:rPr>
          <w:rFonts w:ascii="Arial" w:hAnsi="Arial" w:cs="Arial"/>
          <w:bCs/>
          <w:sz w:val="20"/>
          <w:szCs w:val="20"/>
        </w:rPr>
        <w:t>Fanchin</w:t>
      </w:r>
      <w:proofErr w:type="spellEnd"/>
      <w:r w:rsidRPr="00EC5274">
        <w:rPr>
          <w:rFonts w:ascii="Arial" w:hAnsi="Arial" w:cs="Arial"/>
          <w:bCs/>
          <w:sz w:val="20"/>
          <w:szCs w:val="20"/>
        </w:rPr>
        <w:t xml:space="preserve">, R., Griesinger, G., Kelsey, T. W., La Marca, A., </w:t>
      </w:r>
      <w:proofErr w:type="spellStart"/>
      <w:r w:rsidRPr="00EC5274">
        <w:rPr>
          <w:rFonts w:ascii="Arial" w:hAnsi="Arial" w:cs="Arial"/>
          <w:bCs/>
          <w:sz w:val="20"/>
          <w:szCs w:val="20"/>
        </w:rPr>
        <w:t>Lambalk</w:t>
      </w:r>
      <w:proofErr w:type="spellEnd"/>
      <w:r w:rsidRPr="00EC5274">
        <w:rPr>
          <w:rFonts w:ascii="Arial" w:hAnsi="Arial" w:cs="Arial"/>
          <w:bCs/>
          <w:sz w:val="20"/>
          <w:szCs w:val="20"/>
        </w:rPr>
        <w:t xml:space="preserve">, C., Mason, H., Nelson, S. M., Visser, J. A., Wallace, W. H., &amp; Anderson, R. A. (2014). The physiology and clinical utility of anti-Mullerian hormone in women. </w:t>
      </w:r>
      <w:r w:rsidRPr="00EC5274">
        <w:rPr>
          <w:rFonts w:ascii="Arial" w:hAnsi="Arial" w:cs="Arial"/>
          <w:bCs/>
          <w:i/>
          <w:sz w:val="20"/>
          <w:szCs w:val="20"/>
        </w:rPr>
        <w:t>Human Reproduction Update, 20</w:t>
      </w:r>
      <w:r w:rsidRPr="00EC5274">
        <w:rPr>
          <w:rFonts w:ascii="Arial" w:hAnsi="Arial" w:cs="Arial"/>
          <w:bCs/>
          <w:sz w:val="20"/>
          <w:szCs w:val="20"/>
        </w:rPr>
        <w:t xml:space="preserve">(3), 370–385. </w:t>
      </w:r>
      <w:hyperlink r:id="rId22" w:history="1">
        <w:r w:rsidRPr="00EC5274">
          <w:rPr>
            <w:rStyle w:val="Hyperlink"/>
            <w:rFonts w:ascii="Arial" w:hAnsi="Arial" w:cs="Arial"/>
            <w:bCs/>
            <w:sz w:val="20"/>
            <w:szCs w:val="20"/>
          </w:rPr>
          <w:t>https://doi.org/10.1093/humupd/dmt062</w:t>
        </w:r>
      </w:hyperlink>
    </w:p>
    <w:p w14:paraId="0E8670AA"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bCs/>
          <w:sz w:val="20"/>
          <w:szCs w:val="20"/>
          <w:highlight w:val="yellow"/>
        </w:rPr>
        <w:t xml:space="preserve">Evans, A. C. O., Mossa, F., Fair, T., Lonergan, P., Butler, S. T., Zielak-Steciwko, A. E., Smith, G. W., Jimenez-Krassel, F., Folger, J. K., Ireland, J. L. H., &amp; Ireland, J. J. (2010). Causes and consequences of the variation in the number of ovarian follicles in cattle. </w:t>
      </w:r>
      <w:r w:rsidRPr="00EC5274">
        <w:rPr>
          <w:rFonts w:ascii="Arial" w:hAnsi="Arial" w:cs="Arial"/>
          <w:bCs/>
          <w:i/>
          <w:sz w:val="20"/>
          <w:szCs w:val="20"/>
          <w:highlight w:val="yellow"/>
        </w:rPr>
        <w:t>Society for Reproduction and Fertility Supplement, 67,</w:t>
      </w:r>
      <w:r w:rsidRPr="00EC5274">
        <w:rPr>
          <w:rFonts w:ascii="Arial" w:hAnsi="Arial" w:cs="Arial"/>
          <w:bCs/>
          <w:sz w:val="20"/>
          <w:szCs w:val="20"/>
          <w:highlight w:val="yellow"/>
        </w:rPr>
        <w:t xml:space="preserve"> 421-429. </w:t>
      </w:r>
      <w:hyperlink r:id="rId23" w:history="1">
        <w:r w:rsidRPr="00EC5274">
          <w:rPr>
            <w:rStyle w:val="Hyperlink"/>
            <w:rFonts w:ascii="Arial" w:hAnsi="Arial" w:cs="Arial"/>
            <w:bCs/>
            <w:sz w:val="20"/>
            <w:szCs w:val="20"/>
            <w:highlight w:val="yellow"/>
          </w:rPr>
          <w:t>https://doi.org/10.7313/upo9781907284991.032</w:t>
        </w:r>
      </w:hyperlink>
    </w:p>
    <w:p w14:paraId="5DDCB611"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rPr>
        <w:t xml:space="preserve">Ghanem, N., Jin, J. I., Kim, S. S., Choi, B. H., Lee, K. L., Ha, A. N., Song, S. H., &amp; Kong, I. K. (2016). The Anti-Müllerian Hormone Profile is Linked with the In Vitro Embryo Production Capacity and Embryo Viability after Transfer but Cannot Predict Pregnancy Outcome. </w:t>
      </w:r>
      <w:r w:rsidRPr="00EC5274">
        <w:rPr>
          <w:rFonts w:ascii="Arial" w:hAnsi="Arial" w:cs="Arial"/>
          <w:i/>
          <w:sz w:val="20"/>
          <w:szCs w:val="20"/>
        </w:rPr>
        <w:t>Reproduction in Domestic Animals, 51</w:t>
      </w:r>
      <w:r w:rsidRPr="00EC5274">
        <w:rPr>
          <w:rFonts w:ascii="Arial" w:hAnsi="Arial" w:cs="Arial"/>
          <w:sz w:val="20"/>
          <w:szCs w:val="20"/>
        </w:rPr>
        <w:t xml:space="preserve">(2), 301-310. </w:t>
      </w:r>
      <w:hyperlink r:id="rId24" w:history="1">
        <w:r w:rsidRPr="00EC5274">
          <w:rPr>
            <w:rStyle w:val="Hyperlink"/>
            <w:rFonts w:ascii="Arial" w:hAnsi="Arial" w:cs="Arial"/>
            <w:sz w:val="20"/>
            <w:szCs w:val="20"/>
          </w:rPr>
          <w:t>https://doi.org/10.1111/rda.12681</w:t>
        </w:r>
      </w:hyperlink>
    </w:p>
    <w:p w14:paraId="774193E6"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highlight w:val="yellow"/>
        </w:rPr>
      </w:pPr>
      <w:proofErr w:type="spellStart"/>
      <w:r w:rsidRPr="00EC5274">
        <w:rPr>
          <w:rFonts w:ascii="Arial" w:hAnsi="Arial" w:cs="Arial"/>
          <w:sz w:val="20"/>
          <w:szCs w:val="20"/>
          <w:highlight w:val="yellow"/>
        </w:rPr>
        <w:t>Gobikrushanth</w:t>
      </w:r>
      <w:proofErr w:type="spellEnd"/>
      <w:r w:rsidRPr="00EC5274">
        <w:rPr>
          <w:rFonts w:ascii="Arial" w:hAnsi="Arial" w:cs="Arial"/>
          <w:sz w:val="20"/>
          <w:szCs w:val="20"/>
          <w:highlight w:val="yellow"/>
        </w:rPr>
        <w:t xml:space="preserve">, M., Dutra, P. A., </w:t>
      </w:r>
      <w:proofErr w:type="spellStart"/>
      <w:r w:rsidRPr="00EC5274">
        <w:rPr>
          <w:rFonts w:ascii="Arial" w:hAnsi="Arial" w:cs="Arial"/>
          <w:sz w:val="20"/>
          <w:szCs w:val="20"/>
          <w:highlight w:val="yellow"/>
        </w:rPr>
        <w:t>Bruinjé</w:t>
      </w:r>
      <w:proofErr w:type="spellEnd"/>
      <w:r w:rsidRPr="00EC5274">
        <w:rPr>
          <w:rFonts w:ascii="Arial" w:hAnsi="Arial" w:cs="Arial"/>
          <w:sz w:val="20"/>
          <w:szCs w:val="20"/>
          <w:highlight w:val="yellow"/>
        </w:rPr>
        <w:t xml:space="preserve">, T. C., Colazo, M. G., Butler, S. T., &amp; Ambrose, D. J. (2017). Repeatability of antral follicle counts and anti-Müllerian hormone and their associations determined at an unknown stage of follicular growth and an expected day of follicular wave emergence in dairy cows. </w:t>
      </w:r>
      <w:r w:rsidRPr="00EC5274">
        <w:rPr>
          <w:rFonts w:ascii="Arial" w:hAnsi="Arial" w:cs="Arial"/>
          <w:i/>
          <w:sz w:val="20"/>
          <w:szCs w:val="20"/>
          <w:highlight w:val="yellow"/>
        </w:rPr>
        <w:t>Theriogenology, 92</w:t>
      </w:r>
      <w:r w:rsidRPr="00EC5274">
        <w:rPr>
          <w:rFonts w:ascii="Arial" w:hAnsi="Arial" w:cs="Arial"/>
          <w:sz w:val="20"/>
          <w:szCs w:val="20"/>
          <w:highlight w:val="yellow"/>
        </w:rPr>
        <w:t xml:space="preserve">, 90–94. </w:t>
      </w:r>
      <w:hyperlink r:id="rId25" w:history="1">
        <w:r w:rsidRPr="00EC5274">
          <w:rPr>
            <w:rStyle w:val="Hyperlink"/>
            <w:rFonts w:ascii="Arial" w:hAnsi="Arial" w:cs="Arial"/>
            <w:sz w:val="20"/>
            <w:szCs w:val="20"/>
            <w:highlight w:val="yellow"/>
          </w:rPr>
          <w:t>https://doi.org/10.1016/j.theriogenology.2017.01.018</w:t>
        </w:r>
      </w:hyperlink>
    </w:p>
    <w:p w14:paraId="29D3C3B6"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proofErr w:type="spellStart"/>
      <w:r w:rsidRPr="00EC5274">
        <w:rPr>
          <w:rFonts w:ascii="Arial" w:hAnsi="Arial" w:cs="Arial"/>
          <w:sz w:val="20"/>
          <w:szCs w:val="20"/>
          <w:highlight w:val="yellow"/>
        </w:rPr>
        <w:t>Gobikrushanth</w:t>
      </w:r>
      <w:proofErr w:type="spellEnd"/>
      <w:r w:rsidRPr="00EC5274">
        <w:rPr>
          <w:rFonts w:ascii="Arial" w:hAnsi="Arial" w:cs="Arial"/>
          <w:sz w:val="20"/>
          <w:szCs w:val="20"/>
          <w:highlight w:val="yellow"/>
        </w:rPr>
        <w:t xml:space="preserve">, M., Purfield, D. C., Colazo, M. G., Butler, S. T., Wang, Z., &amp; Ambrose, D. J. (2018). The relationship between serum anti-Müllerian hormone concentrations and fertility, and genome-wide associations for anti-Müllerian hormone in Holstein cows. </w:t>
      </w:r>
      <w:r w:rsidRPr="00EC5274">
        <w:rPr>
          <w:rFonts w:ascii="Arial" w:hAnsi="Arial" w:cs="Arial"/>
          <w:i/>
          <w:sz w:val="20"/>
          <w:szCs w:val="20"/>
          <w:highlight w:val="yellow"/>
        </w:rPr>
        <w:t>Journal of Dairy Science, 101</w:t>
      </w:r>
      <w:r w:rsidRPr="00EC5274">
        <w:rPr>
          <w:rFonts w:ascii="Arial" w:hAnsi="Arial" w:cs="Arial"/>
          <w:sz w:val="20"/>
          <w:szCs w:val="20"/>
          <w:highlight w:val="yellow"/>
        </w:rPr>
        <w:t xml:space="preserve">(8), 7563-7574. </w:t>
      </w:r>
      <w:hyperlink r:id="rId26" w:history="1">
        <w:r w:rsidRPr="00EC5274">
          <w:rPr>
            <w:rStyle w:val="Hyperlink"/>
            <w:rFonts w:ascii="Arial" w:hAnsi="Arial" w:cs="Arial"/>
            <w:sz w:val="20"/>
            <w:szCs w:val="20"/>
            <w:highlight w:val="yellow"/>
          </w:rPr>
          <w:t>https://doi.org/10.3168/jds.2017-13940</w:t>
        </w:r>
      </w:hyperlink>
    </w:p>
    <w:p w14:paraId="3C07D8FC"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rPr>
        <w:t xml:space="preserve">Haldar, A., De, S., Gautam, D., Pal, P., &amp; Brar, P. S. (2020). Age-specific peripheral anti-Müllerian hormone concentration in buffaloes. </w:t>
      </w:r>
      <w:r w:rsidRPr="00EC5274">
        <w:rPr>
          <w:rFonts w:ascii="Arial" w:hAnsi="Arial" w:cs="Arial"/>
          <w:i/>
          <w:sz w:val="20"/>
          <w:szCs w:val="20"/>
        </w:rPr>
        <w:t>Journal of Animal Research, 10</w:t>
      </w:r>
      <w:r w:rsidRPr="00EC5274">
        <w:rPr>
          <w:rFonts w:ascii="Arial" w:hAnsi="Arial" w:cs="Arial"/>
          <w:sz w:val="20"/>
          <w:szCs w:val="20"/>
        </w:rPr>
        <w:t xml:space="preserve">(5), 725-732. </w:t>
      </w:r>
      <w:hyperlink r:id="rId27" w:history="1">
        <w:r w:rsidRPr="00EC5274">
          <w:rPr>
            <w:rStyle w:val="Hyperlink"/>
            <w:rFonts w:ascii="Arial" w:hAnsi="Arial" w:cs="Arial"/>
            <w:sz w:val="20"/>
            <w:szCs w:val="20"/>
          </w:rPr>
          <w:t>https://doi.org/10.30954/2277-940X.05.2020.8</w:t>
        </w:r>
      </w:hyperlink>
    </w:p>
    <w:p w14:paraId="141C1A69"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rPr>
        <w:t>Haldar, A., De, S., Singh, V., Datta, M., Pal, P., &amp; Prakash, B. S. (2019). Age-specific peripheral anti-</w:t>
      </w:r>
      <w:proofErr w:type="spellStart"/>
      <w:r w:rsidRPr="00EC5274">
        <w:rPr>
          <w:rFonts w:ascii="Arial" w:hAnsi="Arial" w:cs="Arial"/>
          <w:sz w:val="20"/>
          <w:szCs w:val="20"/>
        </w:rPr>
        <w:t>müllerian</w:t>
      </w:r>
      <w:proofErr w:type="spellEnd"/>
      <w:r w:rsidRPr="00EC5274">
        <w:rPr>
          <w:rFonts w:ascii="Arial" w:hAnsi="Arial" w:cs="Arial"/>
          <w:sz w:val="20"/>
          <w:szCs w:val="20"/>
        </w:rPr>
        <w:t xml:space="preserve"> hormone concentrations in goats (</w:t>
      </w:r>
      <w:r w:rsidRPr="00EC5274">
        <w:rPr>
          <w:rFonts w:ascii="Arial" w:hAnsi="Arial" w:cs="Arial"/>
          <w:i/>
          <w:sz w:val="20"/>
          <w:szCs w:val="20"/>
        </w:rPr>
        <w:t xml:space="preserve">Capra </w:t>
      </w:r>
      <w:proofErr w:type="spellStart"/>
      <w:r w:rsidRPr="00EC5274">
        <w:rPr>
          <w:rFonts w:ascii="Arial" w:hAnsi="Arial" w:cs="Arial"/>
          <w:i/>
          <w:sz w:val="20"/>
          <w:szCs w:val="20"/>
        </w:rPr>
        <w:t>hircus</w:t>
      </w:r>
      <w:proofErr w:type="spellEnd"/>
      <w:r w:rsidRPr="00EC5274">
        <w:rPr>
          <w:rFonts w:ascii="Arial" w:hAnsi="Arial" w:cs="Arial"/>
          <w:sz w:val="20"/>
          <w:szCs w:val="20"/>
        </w:rPr>
        <w:t xml:space="preserve">). </w:t>
      </w:r>
      <w:r w:rsidRPr="00EC5274">
        <w:rPr>
          <w:rFonts w:ascii="Arial" w:hAnsi="Arial" w:cs="Arial"/>
          <w:i/>
          <w:sz w:val="20"/>
          <w:szCs w:val="20"/>
        </w:rPr>
        <w:t>Indian Journal of Animal Research, 53</w:t>
      </w:r>
      <w:r w:rsidRPr="00EC5274">
        <w:rPr>
          <w:rFonts w:ascii="Arial" w:hAnsi="Arial" w:cs="Arial"/>
          <w:sz w:val="20"/>
          <w:szCs w:val="20"/>
        </w:rPr>
        <w:t xml:space="preserve">(5), 599-603. </w:t>
      </w:r>
      <w:hyperlink r:id="rId28" w:history="1">
        <w:r w:rsidRPr="00EC5274">
          <w:rPr>
            <w:rStyle w:val="Hyperlink"/>
            <w:rFonts w:ascii="Arial" w:hAnsi="Arial" w:cs="Arial"/>
            <w:sz w:val="20"/>
            <w:szCs w:val="20"/>
          </w:rPr>
          <w:t>https://doi.org/10.18805/ijar.B-3569</w:t>
        </w:r>
      </w:hyperlink>
    </w:p>
    <w:p w14:paraId="152DDFFA"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r w:rsidRPr="00EC5274">
        <w:rPr>
          <w:rFonts w:ascii="Arial" w:hAnsi="Arial" w:cs="Arial"/>
          <w:sz w:val="20"/>
          <w:szCs w:val="20"/>
        </w:rPr>
        <w:t xml:space="preserve">Hirayama, H., Naito, A., Fukuda, S., Fujii, T., Asada, M., Inaba, Y., </w:t>
      </w:r>
      <w:proofErr w:type="spellStart"/>
      <w:r w:rsidRPr="00EC5274">
        <w:rPr>
          <w:rFonts w:ascii="Arial" w:hAnsi="Arial" w:cs="Arial"/>
          <w:sz w:val="20"/>
          <w:szCs w:val="20"/>
        </w:rPr>
        <w:t>Takedomi</w:t>
      </w:r>
      <w:proofErr w:type="spellEnd"/>
      <w:r w:rsidRPr="00EC5274">
        <w:rPr>
          <w:rFonts w:ascii="Arial" w:hAnsi="Arial" w:cs="Arial"/>
          <w:sz w:val="20"/>
          <w:szCs w:val="20"/>
        </w:rPr>
        <w:t xml:space="preserve">, T., Kawamata, M., Moriyasu, S., &amp; Kageyama, S. (2017). Long-term changes in plasma anti-Müllerian hormone concentration and the relationship with </w:t>
      </w:r>
      <w:proofErr w:type="spellStart"/>
      <w:r w:rsidRPr="00EC5274">
        <w:rPr>
          <w:rFonts w:ascii="Arial" w:hAnsi="Arial" w:cs="Arial"/>
          <w:sz w:val="20"/>
          <w:szCs w:val="20"/>
        </w:rPr>
        <w:t>superovulatory</w:t>
      </w:r>
      <w:proofErr w:type="spellEnd"/>
      <w:r w:rsidRPr="00EC5274">
        <w:rPr>
          <w:rFonts w:ascii="Arial" w:hAnsi="Arial" w:cs="Arial"/>
          <w:sz w:val="20"/>
          <w:szCs w:val="20"/>
        </w:rPr>
        <w:t xml:space="preserve"> response in Japanese Black cattle. </w:t>
      </w:r>
      <w:r w:rsidRPr="00EC5274">
        <w:rPr>
          <w:rFonts w:ascii="Arial" w:hAnsi="Arial" w:cs="Arial"/>
          <w:i/>
          <w:sz w:val="20"/>
          <w:szCs w:val="20"/>
        </w:rPr>
        <w:t>Journal of Reproduction and Development, 63</w:t>
      </w:r>
      <w:r w:rsidRPr="00EC5274">
        <w:rPr>
          <w:rFonts w:ascii="Arial" w:hAnsi="Arial" w:cs="Arial"/>
          <w:sz w:val="20"/>
          <w:szCs w:val="20"/>
        </w:rPr>
        <w:t xml:space="preserve">(1), 95–100. </w:t>
      </w:r>
      <w:hyperlink r:id="rId29" w:history="1">
        <w:r w:rsidRPr="00EC5274">
          <w:rPr>
            <w:rStyle w:val="Hyperlink"/>
            <w:rFonts w:ascii="Arial" w:hAnsi="Arial" w:cs="Arial"/>
            <w:sz w:val="20"/>
            <w:szCs w:val="20"/>
          </w:rPr>
          <w:t>https://doi.org/10.1262/jrd.2016-019</w:t>
        </w:r>
      </w:hyperlink>
    </w:p>
    <w:p w14:paraId="1BF62548"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r w:rsidRPr="00EC5274">
        <w:rPr>
          <w:rFonts w:ascii="Arial" w:hAnsi="Arial" w:cs="Arial"/>
          <w:bCs/>
          <w:sz w:val="20"/>
          <w:szCs w:val="20"/>
          <w:highlight w:val="yellow"/>
        </w:rPr>
        <w:t xml:space="preserve">Ireland, J. J., Smith, G. W., Scheetz, D., Jimenez-Krassel, F., Folger, J. K., Ireland, J. L. H., Mossa, F., Lonergan, P., &amp; Evans, A. C. O. (2011). Does size matter in females? An overview of the impact of the high variation in the ovarian reserve on ovarian function and fertility, utility of anti-Müllerian hormone as a diagnostic marker for fertility and causes of variation in the ovarian reserve in cattle. </w:t>
      </w:r>
      <w:r w:rsidRPr="00EC5274">
        <w:rPr>
          <w:rFonts w:ascii="Arial" w:hAnsi="Arial" w:cs="Arial"/>
          <w:bCs/>
          <w:i/>
          <w:sz w:val="20"/>
          <w:szCs w:val="20"/>
          <w:highlight w:val="yellow"/>
        </w:rPr>
        <w:t>Reproduction, Fertility and Development, 23</w:t>
      </w:r>
      <w:r w:rsidRPr="00EC5274">
        <w:rPr>
          <w:rFonts w:ascii="Arial" w:hAnsi="Arial" w:cs="Arial"/>
          <w:bCs/>
          <w:sz w:val="20"/>
          <w:szCs w:val="20"/>
          <w:highlight w:val="yellow"/>
        </w:rPr>
        <w:t xml:space="preserve">(1), 1–14. </w:t>
      </w:r>
      <w:hyperlink r:id="rId30" w:history="1">
        <w:r w:rsidRPr="00EC5274">
          <w:rPr>
            <w:rStyle w:val="Hyperlink"/>
            <w:rFonts w:ascii="Arial" w:hAnsi="Arial" w:cs="Arial"/>
            <w:bCs/>
            <w:sz w:val="20"/>
            <w:szCs w:val="20"/>
            <w:highlight w:val="yellow"/>
          </w:rPr>
          <w:t>https://doi.org/10.1071/RD10226</w:t>
        </w:r>
      </w:hyperlink>
    </w:p>
    <w:p w14:paraId="5C71BD60"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proofErr w:type="spellStart"/>
      <w:r w:rsidRPr="00EC5274">
        <w:rPr>
          <w:rFonts w:ascii="Arial" w:hAnsi="Arial" w:cs="Arial"/>
          <w:sz w:val="20"/>
          <w:szCs w:val="20"/>
        </w:rPr>
        <w:t>Kevenaar</w:t>
      </w:r>
      <w:proofErr w:type="spellEnd"/>
      <w:r w:rsidRPr="00EC5274">
        <w:rPr>
          <w:rFonts w:ascii="Arial" w:hAnsi="Arial" w:cs="Arial"/>
          <w:sz w:val="20"/>
          <w:szCs w:val="20"/>
        </w:rPr>
        <w:t xml:space="preserve">, M. E., Themmen, A. P. N., Laven, J. S. E., Sonntag, B., Fong, S. L., </w:t>
      </w:r>
      <w:proofErr w:type="spellStart"/>
      <w:r w:rsidRPr="00EC5274">
        <w:rPr>
          <w:rFonts w:ascii="Arial" w:hAnsi="Arial" w:cs="Arial"/>
          <w:sz w:val="20"/>
          <w:szCs w:val="20"/>
        </w:rPr>
        <w:t>Uitterlinden</w:t>
      </w:r>
      <w:proofErr w:type="spellEnd"/>
      <w:r w:rsidRPr="00EC5274">
        <w:rPr>
          <w:rFonts w:ascii="Arial" w:hAnsi="Arial" w:cs="Arial"/>
          <w:sz w:val="20"/>
          <w:szCs w:val="20"/>
        </w:rPr>
        <w:t xml:space="preserve">, A. G., de Jong, F. H., Pols, H. A. P., Simoni, M., &amp; Visser, J. A. (2007). Anti-Müllerian hormone and anti-Müllerian hormone type II receptor polymorphisms are associated with follicular phase </w:t>
      </w:r>
      <w:proofErr w:type="spellStart"/>
      <w:r w:rsidRPr="00EC5274">
        <w:rPr>
          <w:rFonts w:ascii="Arial" w:hAnsi="Arial" w:cs="Arial"/>
          <w:sz w:val="20"/>
          <w:szCs w:val="20"/>
        </w:rPr>
        <w:lastRenderedPageBreak/>
        <w:t>estradiol</w:t>
      </w:r>
      <w:proofErr w:type="spellEnd"/>
      <w:r w:rsidRPr="00EC5274">
        <w:rPr>
          <w:rFonts w:ascii="Arial" w:hAnsi="Arial" w:cs="Arial"/>
          <w:sz w:val="20"/>
          <w:szCs w:val="20"/>
        </w:rPr>
        <w:t xml:space="preserve"> levels in normo-ovulatory women. </w:t>
      </w:r>
      <w:r w:rsidRPr="00EC5274">
        <w:rPr>
          <w:rFonts w:ascii="Arial" w:hAnsi="Arial" w:cs="Arial"/>
          <w:i/>
          <w:sz w:val="20"/>
          <w:szCs w:val="20"/>
        </w:rPr>
        <w:t>Human Reproduction, 22</w:t>
      </w:r>
      <w:r w:rsidRPr="00EC5274">
        <w:rPr>
          <w:rFonts w:ascii="Arial" w:hAnsi="Arial" w:cs="Arial"/>
          <w:sz w:val="20"/>
          <w:szCs w:val="20"/>
        </w:rPr>
        <w:t xml:space="preserve">(6), 1547-1554. </w:t>
      </w:r>
      <w:hyperlink r:id="rId31" w:history="1">
        <w:r w:rsidRPr="00EC5274">
          <w:rPr>
            <w:rStyle w:val="Hyperlink"/>
            <w:rFonts w:ascii="Arial" w:hAnsi="Arial" w:cs="Arial"/>
            <w:sz w:val="20"/>
            <w:szCs w:val="20"/>
          </w:rPr>
          <w:t>https://doi.org/10.1093/humrep/dem036</w:t>
        </w:r>
      </w:hyperlink>
    </w:p>
    <w:p w14:paraId="127AE425"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rPr>
        <w:t xml:space="preserve">Koizumi, M., &amp; Kadokawa, H. (2017). Positive correlations of age and parity with plasma anti-Müllerian hormone concentrations in Japanese Black cows. </w:t>
      </w:r>
      <w:r w:rsidRPr="00EC5274">
        <w:rPr>
          <w:rFonts w:ascii="Arial" w:hAnsi="Arial" w:cs="Arial"/>
          <w:i/>
          <w:sz w:val="20"/>
          <w:szCs w:val="20"/>
        </w:rPr>
        <w:t>Journal of Reproduction and Development, 63</w:t>
      </w:r>
      <w:r w:rsidRPr="00EC5274">
        <w:rPr>
          <w:rFonts w:ascii="Arial" w:hAnsi="Arial" w:cs="Arial"/>
          <w:sz w:val="20"/>
          <w:szCs w:val="20"/>
        </w:rPr>
        <w:t xml:space="preserve">(2), 205–209. </w:t>
      </w:r>
      <w:hyperlink r:id="rId32" w:history="1">
        <w:r w:rsidRPr="00EC5274">
          <w:rPr>
            <w:rStyle w:val="Hyperlink"/>
            <w:rFonts w:ascii="Arial" w:hAnsi="Arial" w:cs="Arial"/>
            <w:sz w:val="20"/>
            <w:szCs w:val="20"/>
          </w:rPr>
          <w:t>https://doi.org/10.1262/jrd.2016-088</w:t>
        </w:r>
      </w:hyperlink>
    </w:p>
    <w:p w14:paraId="0F8F11DF" w14:textId="77777777" w:rsidR="00814635" w:rsidRPr="00EC5274" w:rsidRDefault="00814635" w:rsidP="00EC5274">
      <w:pPr>
        <w:pStyle w:val="ListParagraph"/>
        <w:numPr>
          <w:ilvl w:val="0"/>
          <w:numId w:val="16"/>
        </w:numPr>
        <w:spacing w:after="0" w:line="240" w:lineRule="auto"/>
        <w:jc w:val="both"/>
        <w:rPr>
          <w:rFonts w:ascii="Arial" w:hAnsi="Arial" w:cs="Arial"/>
          <w:i/>
          <w:sz w:val="20"/>
          <w:szCs w:val="20"/>
        </w:rPr>
      </w:pPr>
      <w:r w:rsidRPr="00EC5274">
        <w:rPr>
          <w:rFonts w:ascii="Arial" w:hAnsi="Arial" w:cs="Arial"/>
          <w:sz w:val="20"/>
          <w:szCs w:val="20"/>
        </w:rPr>
        <w:t xml:space="preserve">Krishna, N. V., Rao, M. M., Veerabramhaiah, K., Kumar, R. V., Srikanth, N. R., &amp; Yasaswini, D. (2023). Effect of FSH stimulation prior to ovum pick-up on follicular dynamics, oocyte competence, and in vitro embryo production in </w:t>
      </w:r>
      <w:proofErr w:type="spellStart"/>
      <w:r w:rsidRPr="00EC5274">
        <w:rPr>
          <w:rFonts w:ascii="Arial" w:hAnsi="Arial" w:cs="Arial"/>
          <w:sz w:val="20"/>
          <w:szCs w:val="20"/>
        </w:rPr>
        <w:t>Ongole</w:t>
      </w:r>
      <w:proofErr w:type="spellEnd"/>
      <w:r w:rsidRPr="00EC5274">
        <w:rPr>
          <w:rFonts w:ascii="Arial" w:hAnsi="Arial" w:cs="Arial"/>
          <w:sz w:val="20"/>
          <w:szCs w:val="20"/>
        </w:rPr>
        <w:t xml:space="preserve"> cows (</w:t>
      </w:r>
      <w:r w:rsidRPr="00EC5274">
        <w:rPr>
          <w:rFonts w:ascii="Arial" w:hAnsi="Arial" w:cs="Arial"/>
          <w:i/>
          <w:sz w:val="20"/>
          <w:szCs w:val="20"/>
        </w:rPr>
        <w:t>Bos indicus</w:t>
      </w:r>
      <w:r w:rsidRPr="00EC5274">
        <w:rPr>
          <w:rFonts w:ascii="Arial" w:hAnsi="Arial" w:cs="Arial"/>
          <w:sz w:val="20"/>
          <w:szCs w:val="20"/>
        </w:rPr>
        <w:t xml:space="preserve">). </w:t>
      </w:r>
      <w:r w:rsidRPr="00EC5274">
        <w:rPr>
          <w:rFonts w:ascii="Arial" w:hAnsi="Arial" w:cs="Arial"/>
          <w:i/>
          <w:sz w:val="20"/>
          <w:szCs w:val="20"/>
        </w:rPr>
        <w:t>Journal of Animal and Feed Sciences, 32</w:t>
      </w:r>
      <w:r w:rsidRPr="00EC5274">
        <w:rPr>
          <w:rFonts w:ascii="Arial" w:hAnsi="Arial" w:cs="Arial"/>
          <w:sz w:val="20"/>
          <w:szCs w:val="20"/>
        </w:rPr>
        <w:t xml:space="preserve">(4), 354–362. </w:t>
      </w:r>
      <w:hyperlink r:id="rId33" w:history="1">
        <w:r w:rsidRPr="00EC5274">
          <w:rPr>
            <w:rStyle w:val="Hyperlink"/>
            <w:rFonts w:ascii="Arial" w:hAnsi="Arial" w:cs="Arial"/>
            <w:sz w:val="20"/>
            <w:szCs w:val="20"/>
          </w:rPr>
          <w:t>https://doi.org/10.22358/jafs/162646/2023</w:t>
        </w:r>
      </w:hyperlink>
    </w:p>
    <w:p w14:paraId="7EAD54DA"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r w:rsidRPr="00EC5274">
        <w:rPr>
          <w:rFonts w:ascii="Arial" w:hAnsi="Arial" w:cs="Arial"/>
          <w:sz w:val="20"/>
          <w:szCs w:val="20"/>
        </w:rPr>
        <w:t xml:space="preserve">Kumar, P., Bramhaiah, K. V., Rao, M. M., &amp; </w:t>
      </w:r>
      <w:proofErr w:type="spellStart"/>
      <w:r w:rsidRPr="00EC5274">
        <w:rPr>
          <w:rFonts w:ascii="Arial" w:hAnsi="Arial" w:cs="Arial"/>
          <w:sz w:val="20"/>
          <w:szCs w:val="20"/>
        </w:rPr>
        <w:t>Gangaraju</w:t>
      </w:r>
      <w:proofErr w:type="spellEnd"/>
      <w:r w:rsidRPr="00EC5274">
        <w:rPr>
          <w:rFonts w:ascii="Arial" w:hAnsi="Arial" w:cs="Arial"/>
          <w:sz w:val="20"/>
          <w:szCs w:val="20"/>
        </w:rPr>
        <w:t xml:space="preserve">, G. (2019). Follicular development in post-partum anoestrus buffaloes. </w:t>
      </w:r>
      <w:r w:rsidRPr="00EC5274">
        <w:rPr>
          <w:rFonts w:ascii="Arial" w:hAnsi="Arial" w:cs="Arial"/>
          <w:i/>
          <w:sz w:val="20"/>
          <w:szCs w:val="20"/>
        </w:rPr>
        <w:t>The Indian Journal of Animal Reproduction, 40</w:t>
      </w:r>
      <w:r w:rsidRPr="00EC5274">
        <w:rPr>
          <w:rFonts w:ascii="Arial" w:hAnsi="Arial" w:cs="Arial"/>
          <w:sz w:val="20"/>
          <w:szCs w:val="20"/>
        </w:rPr>
        <w:t xml:space="preserve">(2), 24-27. </w:t>
      </w:r>
      <w:hyperlink r:id="rId34" w:history="1">
        <w:r w:rsidRPr="00EC5274">
          <w:rPr>
            <w:rStyle w:val="Hyperlink"/>
            <w:rFonts w:ascii="Arial" w:hAnsi="Arial" w:cs="Arial"/>
            <w:sz w:val="20"/>
            <w:szCs w:val="20"/>
          </w:rPr>
          <w:t>https://journals.acspublisher.com/index.php/ijar/article/view/3852</w:t>
        </w:r>
      </w:hyperlink>
    </w:p>
    <w:p w14:paraId="5A9D1BEA"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bCs/>
          <w:sz w:val="20"/>
          <w:szCs w:val="20"/>
          <w:highlight w:val="yellow"/>
        </w:rPr>
        <w:t xml:space="preserve">Lonergan, P., Monaghan, P., Rizos, D., Boland, M. P., &amp; Gordon, I. (1994). Effect of follicle size on bovine oocyte quality and developmental competence following maturation, fertilization, and culture in vitro. </w:t>
      </w:r>
      <w:r w:rsidRPr="00EC5274">
        <w:rPr>
          <w:rFonts w:ascii="Arial" w:hAnsi="Arial" w:cs="Arial"/>
          <w:bCs/>
          <w:i/>
          <w:sz w:val="20"/>
          <w:szCs w:val="20"/>
          <w:highlight w:val="yellow"/>
        </w:rPr>
        <w:t>Molecular Reproduction and Development, 37,</w:t>
      </w:r>
      <w:r w:rsidRPr="00EC5274">
        <w:rPr>
          <w:rFonts w:ascii="Arial" w:hAnsi="Arial" w:cs="Arial"/>
          <w:bCs/>
          <w:sz w:val="20"/>
          <w:szCs w:val="20"/>
          <w:highlight w:val="yellow"/>
        </w:rPr>
        <w:t xml:space="preserve"> 48-53. </w:t>
      </w:r>
      <w:hyperlink r:id="rId35" w:history="1">
        <w:r w:rsidRPr="00EC5274">
          <w:rPr>
            <w:rStyle w:val="Hyperlink"/>
            <w:rFonts w:ascii="Arial" w:hAnsi="Arial" w:cs="Arial"/>
            <w:bCs/>
            <w:sz w:val="20"/>
            <w:szCs w:val="20"/>
            <w:highlight w:val="yellow"/>
          </w:rPr>
          <w:t>https://doi.org/10.1002/mrd.1080370107</w:t>
        </w:r>
      </w:hyperlink>
    </w:p>
    <w:p w14:paraId="506B9F3C"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highlight w:val="yellow"/>
        </w:rPr>
        <w:t xml:space="preserve">Morotti, F., Santos, G. M. G., Koetz Júnior, C., Silva-Santos, K. C., Roso, V. M., &amp; </w:t>
      </w:r>
      <w:proofErr w:type="spellStart"/>
      <w:r w:rsidRPr="00EC5274">
        <w:rPr>
          <w:rFonts w:ascii="Arial" w:hAnsi="Arial" w:cs="Arial"/>
          <w:sz w:val="20"/>
          <w:szCs w:val="20"/>
          <w:highlight w:val="yellow"/>
        </w:rPr>
        <w:t>Seneda</w:t>
      </w:r>
      <w:proofErr w:type="spellEnd"/>
      <w:r w:rsidRPr="00EC5274">
        <w:rPr>
          <w:rFonts w:ascii="Arial" w:hAnsi="Arial" w:cs="Arial"/>
          <w:sz w:val="20"/>
          <w:szCs w:val="20"/>
          <w:highlight w:val="yellow"/>
        </w:rPr>
        <w:t xml:space="preserve">, M. M. (2017). Correlation between phenotype, genotype and antral follicle population in beef heifers. </w:t>
      </w:r>
      <w:r w:rsidRPr="00EC5274">
        <w:rPr>
          <w:rFonts w:ascii="Arial" w:hAnsi="Arial" w:cs="Arial"/>
          <w:i/>
          <w:sz w:val="20"/>
          <w:szCs w:val="20"/>
          <w:highlight w:val="yellow"/>
        </w:rPr>
        <w:t>Theriogenology, 91</w:t>
      </w:r>
      <w:r w:rsidRPr="00EC5274">
        <w:rPr>
          <w:rFonts w:ascii="Arial" w:hAnsi="Arial" w:cs="Arial"/>
          <w:sz w:val="20"/>
          <w:szCs w:val="20"/>
          <w:highlight w:val="yellow"/>
        </w:rPr>
        <w:t xml:space="preserve">, 21-26. </w:t>
      </w:r>
      <w:hyperlink r:id="rId36" w:history="1">
        <w:r w:rsidRPr="00EC5274">
          <w:rPr>
            <w:rStyle w:val="Hyperlink"/>
            <w:rFonts w:ascii="Arial" w:hAnsi="Arial" w:cs="Arial"/>
            <w:sz w:val="20"/>
            <w:szCs w:val="20"/>
            <w:highlight w:val="yellow"/>
          </w:rPr>
          <w:t>https://doi.org/10.1016/j.theriogenology.2016.12.025</w:t>
        </w:r>
      </w:hyperlink>
    </w:p>
    <w:p w14:paraId="4BC8A221"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highlight w:val="yellow"/>
        </w:rPr>
      </w:pPr>
      <w:r w:rsidRPr="00EC5274">
        <w:rPr>
          <w:rFonts w:ascii="Arial" w:hAnsi="Arial" w:cs="Arial"/>
          <w:sz w:val="20"/>
          <w:szCs w:val="20"/>
          <w:highlight w:val="yellow"/>
        </w:rPr>
        <w:t xml:space="preserve">Mossa, F., Carter, F., Walsh, S. W., Kenny, D. A., Smith, G. W., Ireland, J. L. H., Hildebrandt, T. B., Lonergan, P., Ireland, J. J., &amp; Evans, A. C. O. (2013). Maternal undernutrition in cows impairs ovarian and cardiovascular systems in their offspring. </w:t>
      </w:r>
      <w:r w:rsidRPr="00EC5274">
        <w:rPr>
          <w:rFonts w:ascii="Arial" w:hAnsi="Arial" w:cs="Arial"/>
          <w:i/>
          <w:sz w:val="20"/>
          <w:szCs w:val="20"/>
          <w:highlight w:val="yellow"/>
        </w:rPr>
        <w:t>Biology of Reproduction, 88</w:t>
      </w:r>
      <w:r w:rsidRPr="00EC5274">
        <w:rPr>
          <w:rFonts w:ascii="Arial" w:hAnsi="Arial" w:cs="Arial"/>
          <w:sz w:val="20"/>
          <w:szCs w:val="20"/>
          <w:highlight w:val="yellow"/>
        </w:rPr>
        <w:t xml:space="preserve">(4), 92. </w:t>
      </w:r>
      <w:hyperlink r:id="rId37" w:history="1">
        <w:r w:rsidRPr="00EC5274">
          <w:rPr>
            <w:rStyle w:val="Hyperlink"/>
            <w:rFonts w:ascii="Arial" w:hAnsi="Arial" w:cs="Arial"/>
            <w:sz w:val="20"/>
            <w:szCs w:val="20"/>
            <w:highlight w:val="yellow"/>
          </w:rPr>
          <w:t>https://doi.org/10.1095/biolreprod.112.107235</w:t>
        </w:r>
      </w:hyperlink>
    </w:p>
    <w:p w14:paraId="6B00A3F4"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highlight w:val="yellow"/>
        </w:rPr>
      </w:pPr>
      <w:r w:rsidRPr="00EC5274">
        <w:rPr>
          <w:rFonts w:ascii="Arial" w:hAnsi="Arial" w:cs="Arial"/>
          <w:bCs/>
          <w:sz w:val="20"/>
          <w:szCs w:val="20"/>
          <w:highlight w:val="yellow"/>
        </w:rPr>
        <w:t xml:space="preserve">Mossa, F., Jimenez-Krassel, F., Folger, J. K., Ireland, J. L. H., Smith, G. W., Lonergan, P., Evans, A. C. O., &amp; Ireland, J. J. (2010). Evidence that high variation in antral follicle count during follicular waves is linked to alterations in ovarian androgen production in cattle. </w:t>
      </w:r>
      <w:r w:rsidRPr="00EC5274">
        <w:rPr>
          <w:rFonts w:ascii="Arial" w:hAnsi="Arial" w:cs="Arial"/>
          <w:bCs/>
          <w:i/>
          <w:sz w:val="20"/>
          <w:szCs w:val="20"/>
          <w:highlight w:val="yellow"/>
        </w:rPr>
        <w:t>Reproduction, 140</w:t>
      </w:r>
      <w:r w:rsidRPr="00EC5274">
        <w:rPr>
          <w:rFonts w:ascii="Arial" w:hAnsi="Arial" w:cs="Arial"/>
          <w:bCs/>
          <w:sz w:val="20"/>
          <w:szCs w:val="20"/>
          <w:highlight w:val="yellow"/>
        </w:rPr>
        <w:t xml:space="preserve">(5), 713–720. </w:t>
      </w:r>
      <w:hyperlink r:id="rId38" w:history="1">
        <w:r w:rsidRPr="00EC5274">
          <w:rPr>
            <w:rStyle w:val="Hyperlink"/>
            <w:rFonts w:ascii="Arial" w:hAnsi="Arial" w:cs="Arial"/>
            <w:bCs/>
            <w:sz w:val="20"/>
            <w:szCs w:val="20"/>
            <w:highlight w:val="yellow"/>
          </w:rPr>
          <w:t>https://doi.org/10.1530/REP-10-0214</w:t>
        </w:r>
      </w:hyperlink>
    </w:p>
    <w:p w14:paraId="129EAAEC" w14:textId="77777777"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r w:rsidRPr="00EC5274">
        <w:rPr>
          <w:rFonts w:ascii="Arial" w:hAnsi="Arial" w:cs="Arial"/>
          <w:sz w:val="20"/>
          <w:szCs w:val="20"/>
          <w:highlight w:val="yellow"/>
        </w:rPr>
        <w:t xml:space="preserve">Mossa, F., Walsh, S. W., Butler, S. T., Berry, D. P., Carter, F., Lonergan, P., Smith, G. W., Ireland, J. J., &amp; Evans, A. C. O. (2012). Low numbers of ovarian follicles ≥3 mm in diameter are associated with low fertility in dairy cows. </w:t>
      </w:r>
      <w:r w:rsidRPr="00EC5274">
        <w:rPr>
          <w:rFonts w:ascii="Arial" w:hAnsi="Arial" w:cs="Arial"/>
          <w:i/>
          <w:sz w:val="20"/>
          <w:szCs w:val="20"/>
          <w:highlight w:val="yellow"/>
        </w:rPr>
        <w:t>Journal of Dairy Science, 95</w:t>
      </w:r>
      <w:r w:rsidRPr="00EC5274">
        <w:rPr>
          <w:rFonts w:ascii="Arial" w:hAnsi="Arial" w:cs="Arial"/>
          <w:sz w:val="20"/>
          <w:szCs w:val="20"/>
          <w:highlight w:val="yellow"/>
        </w:rPr>
        <w:t xml:space="preserve">(5), 2355-2361. </w:t>
      </w:r>
      <w:hyperlink r:id="rId39" w:history="1">
        <w:r w:rsidRPr="00EC5274">
          <w:rPr>
            <w:rStyle w:val="Hyperlink"/>
            <w:rFonts w:ascii="Arial" w:hAnsi="Arial" w:cs="Arial"/>
            <w:sz w:val="20"/>
            <w:szCs w:val="20"/>
            <w:highlight w:val="yellow"/>
          </w:rPr>
          <w:t>https://doi.org/10.3168/jds.2011-4325</w:t>
        </w:r>
      </w:hyperlink>
    </w:p>
    <w:p w14:paraId="6C0FED22"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rPr>
        <w:t xml:space="preserve">Nawaz, M. Y., Jimenez-Krassel, F., Steibel, J. P., Lu, Y., </w:t>
      </w:r>
      <w:proofErr w:type="spellStart"/>
      <w:r w:rsidRPr="00EC5274">
        <w:rPr>
          <w:rFonts w:ascii="Arial" w:hAnsi="Arial" w:cs="Arial"/>
          <w:sz w:val="20"/>
          <w:szCs w:val="20"/>
        </w:rPr>
        <w:t>Baktula</w:t>
      </w:r>
      <w:proofErr w:type="spellEnd"/>
      <w:r w:rsidRPr="00EC5274">
        <w:rPr>
          <w:rFonts w:ascii="Arial" w:hAnsi="Arial" w:cs="Arial"/>
          <w:sz w:val="20"/>
          <w:szCs w:val="20"/>
        </w:rPr>
        <w:t xml:space="preserve">, A., </w:t>
      </w:r>
      <w:proofErr w:type="spellStart"/>
      <w:r w:rsidRPr="00EC5274">
        <w:rPr>
          <w:rFonts w:ascii="Arial" w:hAnsi="Arial" w:cs="Arial"/>
          <w:sz w:val="20"/>
          <w:szCs w:val="20"/>
        </w:rPr>
        <w:t>Vukasinovic</w:t>
      </w:r>
      <w:proofErr w:type="spellEnd"/>
      <w:r w:rsidRPr="00EC5274">
        <w:rPr>
          <w:rFonts w:ascii="Arial" w:hAnsi="Arial" w:cs="Arial"/>
          <w:sz w:val="20"/>
          <w:szCs w:val="20"/>
        </w:rPr>
        <w:t xml:space="preserve">, N., Neuder, L., Ireland, J. L. H., Ireland, J. J., &amp; </w:t>
      </w:r>
      <w:proofErr w:type="spellStart"/>
      <w:r w:rsidRPr="00EC5274">
        <w:rPr>
          <w:rFonts w:ascii="Arial" w:hAnsi="Arial" w:cs="Arial"/>
          <w:sz w:val="20"/>
          <w:szCs w:val="20"/>
        </w:rPr>
        <w:t>Tempelman</w:t>
      </w:r>
      <w:proofErr w:type="spellEnd"/>
      <w:r w:rsidRPr="00EC5274">
        <w:rPr>
          <w:rFonts w:ascii="Arial" w:hAnsi="Arial" w:cs="Arial"/>
          <w:sz w:val="20"/>
          <w:szCs w:val="20"/>
        </w:rPr>
        <w:t xml:space="preserve">, R. J. (2018). Genomic heritability and genome-wide association analysis of anti-Müllerian hormone in Holstein dairy heifers. Journal of Dairy Science, 101(9), 8063–8075. </w:t>
      </w:r>
      <w:hyperlink r:id="rId40" w:history="1">
        <w:r w:rsidRPr="00EC5274">
          <w:rPr>
            <w:rStyle w:val="Hyperlink"/>
            <w:rFonts w:ascii="Arial" w:hAnsi="Arial" w:cs="Arial"/>
            <w:sz w:val="20"/>
            <w:szCs w:val="20"/>
          </w:rPr>
          <w:t>https://doi.org/10.3168/jds.2018-14798</w:t>
        </w:r>
      </w:hyperlink>
    </w:p>
    <w:p w14:paraId="0BA55E72" w14:textId="77777777" w:rsidR="00814635" w:rsidRPr="00EC5274" w:rsidRDefault="00814635" w:rsidP="00EC5274">
      <w:pPr>
        <w:pStyle w:val="ListParagraph"/>
        <w:numPr>
          <w:ilvl w:val="0"/>
          <w:numId w:val="16"/>
        </w:numPr>
        <w:spacing w:line="240" w:lineRule="auto"/>
        <w:jc w:val="both"/>
        <w:rPr>
          <w:rFonts w:ascii="Arial" w:hAnsi="Arial" w:cs="Arial"/>
          <w:sz w:val="20"/>
          <w:szCs w:val="20"/>
        </w:rPr>
      </w:pPr>
      <w:proofErr w:type="spellStart"/>
      <w:r w:rsidRPr="00EC5274">
        <w:rPr>
          <w:rFonts w:ascii="Arial" w:hAnsi="Arial" w:cs="Arial"/>
          <w:sz w:val="20"/>
          <w:szCs w:val="20"/>
        </w:rPr>
        <w:t>Piltonen</w:t>
      </w:r>
      <w:proofErr w:type="spellEnd"/>
      <w:r w:rsidRPr="00EC5274">
        <w:rPr>
          <w:rFonts w:ascii="Arial" w:hAnsi="Arial" w:cs="Arial"/>
          <w:sz w:val="20"/>
          <w:szCs w:val="20"/>
        </w:rPr>
        <w:t xml:space="preserve">, T., Morin-Papunen, L., Koivunen, R., </w:t>
      </w:r>
      <w:proofErr w:type="spellStart"/>
      <w:r w:rsidRPr="00EC5274">
        <w:rPr>
          <w:rFonts w:ascii="Arial" w:hAnsi="Arial" w:cs="Arial"/>
          <w:sz w:val="20"/>
          <w:szCs w:val="20"/>
        </w:rPr>
        <w:t>Perheentupa</w:t>
      </w:r>
      <w:proofErr w:type="spellEnd"/>
      <w:r w:rsidRPr="00EC5274">
        <w:rPr>
          <w:rFonts w:ascii="Arial" w:hAnsi="Arial" w:cs="Arial"/>
          <w:sz w:val="20"/>
          <w:szCs w:val="20"/>
        </w:rPr>
        <w:t xml:space="preserve">, A., Ruokonen, A., &amp; </w:t>
      </w:r>
      <w:proofErr w:type="spellStart"/>
      <w:r w:rsidRPr="00EC5274">
        <w:rPr>
          <w:rFonts w:ascii="Arial" w:hAnsi="Arial" w:cs="Arial"/>
          <w:sz w:val="20"/>
          <w:szCs w:val="20"/>
        </w:rPr>
        <w:t>Tapanainen</w:t>
      </w:r>
      <w:proofErr w:type="spellEnd"/>
      <w:r w:rsidRPr="00EC5274">
        <w:rPr>
          <w:rFonts w:ascii="Arial" w:hAnsi="Arial" w:cs="Arial"/>
          <w:sz w:val="20"/>
          <w:szCs w:val="20"/>
        </w:rPr>
        <w:t xml:space="preserve">, J. S. (2005). Serum anti-Müllerian hormone levels remain high until late reproductive age and decrease during metformin therapy in women with polycystic ovary syndrome. Human Reproduction, 20(7), 1820-1826. </w:t>
      </w:r>
      <w:hyperlink r:id="rId41" w:history="1">
        <w:r w:rsidRPr="00EC5274">
          <w:rPr>
            <w:rStyle w:val="Hyperlink"/>
            <w:rFonts w:ascii="Arial" w:hAnsi="Arial" w:cs="Arial"/>
            <w:sz w:val="20"/>
            <w:szCs w:val="20"/>
          </w:rPr>
          <w:t>https://doi.org/10.1093/humrep/deh850</w:t>
        </w:r>
      </w:hyperlink>
    </w:p>
    <w:p w14:paraId="3E5D8D75"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bCs/>
          <w:sz w:val="20"/>
          <w:szCs w:val="20"/>
        </w:rPr>
        <w:t xml:space="preserve">Ribeiro, E. S., </w:t>
      </w:r>
      <w:proofErr w:type="spellStart"/>
      <w:r w:rsidRPr="00EC5274">
        <w:rPr>
          <w:rFonts w:ascii="Arial" w:hAnsi="Arial" w:cs="Arial"/>
          <w:bCs/>
          <w:sz w:val="20"/>
          <w:szCs w:val="20"/>
        </w:rPr>
        <w:t>Bisinotto</w:t>
      </w:r>
      <w:proofErr w:type="spellEnd"/>
      <w:r w:rsidRPr="00EC5274">
        <w:rPr>
          <w:rFonts w:ascii="Arial" w:hAnsi="Arial" w:cs="Arial"/>
          <w:bCs/>
          <w:sz w:val="20"/>
          <w:szCs w:val="20"/>
        </w:rPr>
        <w:t xml:space="preserve">, R. S., Lima, F. S., Greco, L. F., Morrison, A., Kumar, A., Thatcher, W. W., &amp; Santos, J. E. P. (2014). Plasma anti-Müllerian hormone in adult dairy cows and associations with fertility. </w:t>
      </w:r>
      <w:r w:rsidRPr="00EC5274">
        <w:rPr>
          <w:rFonts w:ascii="Arial" w:hAnsi="Arial" w:cs="Arial"/>
          <w:bCs/>
          <w:i/>
          <w:sz w:val="20"/>
          <w:szCs w:val="20"/>
        </w:rPr>
        <w:t>Journal of Dairy Science, 97</w:t>
      </w:r>
      <w:r w:rsidRPr="00EC5274">
        <w:rPr>
          <w:rFonts w:ascii="Arial" w:hAnsi="Arial" w:cs="Arial"/>
          <w:bCs/>
          <w:sz w:val="20"/>
          <w:szCs w:val="20"/>
        </w:rPr>
        <w:t xml:space="preserve">(11), 6888-6900. </w:t>
      </w:r>
      <w:hyperlink r:id="rId42" w:history="1">
        <w:r w:rsidRPr="00EC5274">
          <w:rPr>
            <w:rStyle w:val="Hyperlink"/>
            <w:rFonts w:ascii="Arial" w:hAnsi="Arial" w:cs="Arial"/>
            <w:bCs/>
            <w:sz w:val="20"/>
            <w:szCs w:val="20"/>
          </w:rPr>
          <w:t>https://doi.org/10.3168/jds.2014-7908</w:t>
        </w:r>
      </w:hyperlink>
    </w:p>
    <w:p w14:paraId="2388BF70" w14:textId="241216D9" w:rsidR="00814635" w:rsidRPr="00EC5274" w:rsidRDefault="00814635" w:rsidP="00EC5274">
      <w:pPr>
        <w:pStyle w:val="ListParagraph"/>
        <w:numPr>
          <w:ilvl w:val="0"/>
          <w:numId w:val="16"/>
        </w:numPr>
        <w:spacing w:after="0" w:line="240" w:lineRule="auto"/>
        <w:jc w:val="both"/>
        <w:rPr>
          <w:rFonts w:ascii="Arial" w:hAnsi="Arial" w:cs="Arial"/>
          <w:bCs/>
          <w:sz w:val="20"/>
          <w:szCs w:val="20"/>
        </w:rPr>
      </w:pPr>
      <w:r w:rsidRPr="00EC5274">
        <w:rPr>
          <w:rFonts w:ascii="Arial" w:hAnsi="Arial" w:cs="Arial"/>
          <w:bCs/>
          <w:sz w:val="20"/>
          <w:szCs w:val="20"/>
        </w:rPr>
        <w:t xml:space="preserve">Sevgi, R., Erdem, H., </w:t>
      </w:r>
      <w:proofErr w:type="spellStart"/>
      <w:r w:rsidRPr="00EC5274">
        <w:rPr>
          <w:rFonts w:ascii="Arial" w:hAnsi="Arial" w:cs="Arial"/>
          <w:bCs/>
          <w:sz w:val="20"/>
          <w:szCs w:val="20"/>
        </w:rPr>
        <w:t>Karaşahin</w:t>
      </w:r>
      <w:proofErr w:type="spellEnd"/>
      <w:r w:rsidRPr="00EC5274">
        <w:rPr>
          <w:rFonts w:ascii="Arial" w:hAnsi="Arial" w:cs="Arial"/>
          <w:bCs/>
          <w:sz w:val="20"/>
          <w:szCs w:val="20"/>
        </w:rPr>
        <w:t xml:space="preserve">, T., Yılmaz, M. A., </w:t>
      </w:r>
      <w:proofErr w:type="spellStart"/>
      <w:r w:rsidRPr="00EC5274">
        <w:rPr>
          <w:rFonts w:ascii="Arial" w:hAnsi="Arial" w:cs="Arial"/>
          <w:bCs/>
          <w:sz w:val="20"/>
          <w:szCs w:val="20"/>
        </w:rPr>
        <w:t>Satılmış</w:t>
      </w:r>
      <w:proofErr w:type="spellEnd"/>
      <w:r w:rsidRPr="00EC5274">
        <w:rPr>
          <w:rFonts w:ascii="Arial" w:hAnsi="Arial" w:cs="Arial"/>
          <w:bCs/>
          <w:sz w:val="20"/>
          <w:szCs w:val="20"/>
        </w:rPr>
        <w:t xml:space="preserve">, M., Okuroğlu, A., Ünal, I., Dursun, S., Alkan, H., </w:t>
      </w:r>
      <w:proofErr w:type="spellStart"/>
      <w:r w:rsidRPr="00EC5274">
        <w:rPr>
          <w:rFonts w:ascii="Arial" w:hAnsi="Arial" w:cs="Arial"/>
          <w:bCs/>
          <w:sz w:val="20"/>
          <w:szCs w:val="20"/>
        </w:rPr>
        <w:t>Satılmış</w:t>
      </w:r>
      <w:proofErr w:type="spellEnd"/>
      <w:r w:rsidRPr="00EC5274">
        <w:rPr>
          <w:rFonts w:ascii="Arial" w:hAnsi="Arial" w:cs="Arial"/>
          <w:bCs/>
          <w:sz w:val="20"/>
          <w:szCs w:val="20"/>
        </w:rPr>
        <w:t>, F., &amp; Güler, M. (2019). Determination of the relationship between serum anti</w:t>
      </w:r>
      <w:r w:rsidRPr="00EC5274">
        <w:rPr>
          <w:rFonts w:ascii="Cambria Math" w:hAnsi="Cambria Math" w:cs="Cambria Math"/>
          <w:bCs/>
          <w:sz w:val="20"/>
          <w:szCs w:val="20"/>
        </w:rPr>
        <w:t>‐</w:t>
      </w:r>
      <w:r w:rsidRPr="00EC5274">
        <w:rPr>
          <w:rFonts w:ascii="Arial" w:hAnsi="Arial" w:cs="Arial"/>
          <w:bCs/>
          <w:sz w:val="20"/>
          <w:szCs w:val="20"/>
        </w:rPr>
        <w:t xml:space="preserve">Müllerian hormone level and </w:t>
      </w:r>
      <w:proofErr w:type="spellStart"/>
      <w:r w:rsidRPr="00EC5274">
        <w:rPr>
          <w:rFonts w:ascii="Arial" w:hAnsi="Arial" w:cs="Arial"/>
          <w:bCs/>
          <w:sz w:val="20"/>
          <w:szCs w:val="20"/>
        </w:rPr>
        <w:t>superovulatory</w:t>
      </w:r>
      <w:proofErr w:type="spellEnd"/>
      <w:r w:rsidRPr="00EC5274">
        <w:rPr>
          <w:rFonts w:ascii="Arial" w:hAnsi="Arial" w:cs="Arial"/>
          <w:bCs/>
          <w:sz w:val="20"/>
          <w:szCs w:val="20"/>
        </w:rPr>
        <w:t xml:space="preserve"> response in Simmental cows. </w:t>
      </w:r>
      <w:r w:rsidRPr="00EC5274">
        <w:rPr>
          <w:rFonts w:ascii="Arial" w:hAnsi="Arial" w:cs="Arial"/>
          <w:bCs/>
          <w:i/>
          <w:sz w:val="20"/>
          <w:szCs w:val="20"/>
        </w:rPr>
        <w:t>Reproduction in Domestic Animals, 54</w:t>
      </w:r>
      <w:r w:rsidRPr="00EC5274">
        <w:rPr>
          <w:rFonts w:ascii="Arial" w:hAnsi="Arial" w:cs="Arial"/>
          <w:bCs/>
          <w:sz w:val="20"/>
          <w:szCs w:val="20"/>
        </w:rPr>
        <w:t xml:space="preserve">(10), 1322–1329. </w:t>
      </w:r>
      <w:hyperlink r:id="rId43" w:history="1">
        <w:r w:rsidRPr="00EC5274">
          <w:rPr>
            <w:rStyle w:val="Hyperlink"/>
            <w:rFonts w:ascii="Arial" w:hAnsi="Arial" w:cs="Arial"/>
            <w:bCs/>
            <w:sz w:val="20"/>
            <w:szCs w:val="20"/>
          </w:rPr>
          <w:t>https://doi.org/10.1111/rda.13506</w:t>
        </w:r>
      </w:hyperlink>
    </w:p>
    <w:p w14:paraId="32137A1C"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rPr>
        <w:t xml:space="preserve">Snedecor, G. W., &amp; Cochran, W. G. (1989). Statistical methods (8th ed.). Iowa State University Press. </w:t>
      </w:r>
      <w:hyperlink r:id="rId44" w:history="1">
        <w:r w:rsidRPr="00EC5274">
          <w:rPr>
            <w:rStyle w:val="Hyperlink"/>
            <w:rFonts w:ascii="Arial" w:hAnsi="Arial" w:cs="Arial"/>
            <w:sz w:val="20"/>
            <w:szCs w:val="20"/>
          </w:rPr>
          <w:t>https://www.wiley.com/en-kr/Statistical+Methods%2C+8th+Edition-p-9780813815619</w:t>
        </w:r>
      </w:hyperlink>
    </w:p>
    <w:p w14:paraId="304063EE" w14:textId="77777777" w:rsidR="00814635" w:rsidRPr="00EC5274" w:rsidRDefault="00814635" w:rsidP="00EC5274">
      <w:pPr>
        <w:pStyle w:val="ListParagraph"/>
        <w:numPr>
          <w:ilvl w:val="0"/>
          <w:numId w:val="16"/>
        </w:numPr>
        <w:spacing w:after="0" w:line="240" w:lineRule="auto"/>
        <w:jc w:val="both"/>
        <w:rPr>
          <w:rFonts w:ascii="Arial" w:hAnsi="Arial" w:cs="Arial"/>
          <w:sz w:val="20"/>
          <w:szCs w:val="20"/>
        </w:rPr>
      </w:pPr>
      <w:r w:rsidRPr="00EC5274">
        <w:rPr>
          <w:rFonts w:ascii="Arial" w:hAnsi="Arial" w:cs="Arial"/>
          <w:sz w:val="20"/>
          <w:szCs w:val="20"/>
          <w:lang w:val="nl-BE"/>
        </w:rPr>
        <w:t xml:space="preserve">Souza, A. H., Carvalho, P. D., Rozner, A. E., Vieira, L. M., Hackbart, K. S., Bender, R. W., Dresch, A. R., Verstegen, J. P., Shaver, R. D., &amp; Wiltbank, M. C. (2015). </w:t>
      </w:r>
      <w:r w:rsidRPr="00EC5274">
        <w:rPr>
          <w:rFonts w:ascii="Arial" w:hAnsi="Arial" w:cs="Arial"/>
          <w:sz w:val="20"/>
          <w:szCs w:val="20"/>
        </w:rPr>
        <w:t xml:space="preserve">Relationship between circulating anti-Müllerian hormone (AMH) and </w:t>
      </w:r>
      <w:proofErr w:type="spellStart"/>
      <w:r w:rsidRPr="00EC5274">
        <w:rPr>
          <w:rFonts w:ascii="Arial" w:hAnsi="Arial" w:cs="Arial"/>
          <w:sz w:val="20"/>
          <w:szCs w:val="20"/>
        </w:rPr>
        <w:t>superovulatory</w:t>
      </w:r>
      <w:proofErr w:type="spellEnd"/>
      <w:r w:rsidRPr="00EC5274">
        <w:rPr>
          <w:rFonts w:ascii="Arial" w:hAnsi="Arial" w:cs="Arial"/>
          <w:sz w:val="20"/>
          <w:szCs w:val="20"/>
        </w:rPr>
        <w:t xml:space="preserve"> response of high-producing dairy cows. </w:t>
      </w:r>
      <w:r w:rsidRPr="00EC5274">
        <w:rPr>
          <w:rFonts w:ascii="Arial" w:hAnsi="Arial" w:cs="Arial"/>
          <w:i/>
          <w:sz w:val="20"/>
          <w:szCs w:val="20"/>
        </w:rPr>
        <w:t>Journal of Dairy Science, 98</w:t>
      </w:r>
      <w:r w:rsidRPr="00EC5274">
        <w:rPr>
          <w:rFonts w:ascii="Arial" w:hAnsi="Arial" w:cs="Arial"/>
          <w:sz w:val="20"/>
          <w:szCs w:val="20"/>
        </w:rPr>
        <w:t xml:space="preserve">(1), 169–178. </w:t>
      </w:r>
      <w:hyperlink r:id="rId45" w:history="1">
        <w:r w:rsidRPr="00EC5274">
          <w:rPr>
            <w:rStyle w:val="Hyperlink"/>
            <w:rFonts w:ascii="Arial" w:hAnsi="Arial" w:cs="Arial"/>
            <w:sz w:val="20"/>
            <w:szCs w:val="20"/>
          </w:rPr>
          <w:t>https://doi.org/10.3168/jds.2014-8182</w:t>
        </w:r>
      </w:hyperlink>
    </w:p>
    <w:p w14:paraId="548262BE" w14:textId="062D92C3" w:rsidR="006F4932" w:rsidRPr="00EC5274" w:rsidRDefault="00814635" w:rsidP="00EC5274">
      <w:pPr>
        <w:pStyle w:val="ListParagraph"/>
        <w:numPr>
          <w:ilvl w:val="0"/>
          <w:numId w:val="16"/>
        </w:numPr>
        <w:spacing w:after="0" w:line="240" w:lineRule="auto"/>
        <w:jc w:val="both"/>
        <w:rPr>
          <w:rFonts w:ascii="Arial" w:hAnsi="Arial" w:cs="Arial"/>
          <w:sz w:val="20"/>
          <w:szCs w:val="20"/>
        </w:rPr>
      </w:pPr>
      <w:proofErr w:type="spellStart"/>
      <w:r w:rsidRPr="00EC5274">
        <w:rPr>
          <w:rFonts w:ascii="Arial" w:hAnsi="Arial" w:cs="Arial"/>
          <w:sz w:val="20"/>
          <w:szCs w:val="20"/>
        </w:rPr>
        <w:t>Succu</w:t>
      </w:r>
      <w:proofErr w:type="spellEnd"/>
      <w:r w:rsidRPr="00EC5274">
        <w:rPr>
          <w:rFonts w:ascii="Arial" w:hAnsi="Arial" w:cs="Arial"/>
          <w:sz w:val="20"/>
          <w:szCs w:val="20"/>
        </w:rPr>
        <w:t xml:space="preserve">, S., Sale, S., </w:t>
      </w:r>
      <w:proofErr w:type="spellStart"/>
      <w:r w:rsidRPr="00EC5274">
        <w:rPr>
          <w:rFonts w:ascii="Arial" w:hAnsi="Arial" w:cs="Arial"/>
          <w:sz w:val="20"/>
          <w:szCs w:val="20"/>
        </w:rPr>
        <w:t>Ghirello</w:t>
      </w:r>
      <w:proofErr w:type="spellEnd"/>
      <w:r w:rsidRPr="00EC5274">
        <w:rPr>
          <w:rFonts w:ascii="Arial" w:hAnsi="Arial" w:cs="Arial"/>
          <w:sz w:val="20"/>
          <w:szCs w:val="20"/>
        </w:rPr>
        <w:t xml:space="preserve">, G., Ireland, J. J., Evans, A. C. O., Atzori, A. S., &amp; Mossa, F. (2020). Exposure of dairy cows to high environmental temperatures and their lactation status impairs establishment of the ovarian reserve in their offspring. </w:t>
      </w:r>
      <w:r w:rsidRPr="00EC5274">
        <w:rPr>
          <w:rFonts w:ascii="Arial" w:hAnsi="Arial" w:cs="Arial"/>
          <w:i/>
          <w:sz w:val="20"/>
          <w:szCs w:val="20"/>
        </w:rPr>
        <w:t>Journal of Dairy Science, 103</w:t>
      </w:r>
      <w:r w:rsidRPr="00EC5274">
        <w:rPr>
          <w:rFonts w:ascii="Arial" w:hAnsi="Arial" w:cs="Arial"/>
          <w:sz w:val="20"/>
          <w:szCs w:val="20"/>
        </w:rPr>
        <w:t>(12), 11957-11969. https://doi.org/10.3168/jds.2020-18678.</w:t>
      </w:r>
      <w:r w:rsidR="00834A2E" w:rsidRPr="00EC5274">
        <w:rPr>
          <w:rFonts w:ascii="Arial" w:hAnsi="Arial" w:cs="Arial"/>
          <w:bCs/>
          <w:sz w:val="20"/>
          <w:szCs w:val="20"/>
        </w:rPr>
        <w:t xml:space="preserve"> </w:t>
      </w:r>
    </w:p>
    <w:p w14:paraId="075F25BD" w14:textId="77777777" w:rsidR="006F4932" w:rsidRPr="00D23116" w:rsidRDefault="006F4932" w:rsidP="00D23116">
      <w:pPr>
        <w:spacing w:after="0" w:line="240" w:lineRule="auto"/>
        <w:jc w:val="both"/>
        <w:rPr>
          <w:rFonts w:ascii="Arial" w:hAnsi="Arial" w:cs="Arial"/>
          <w:bCs/>
          <w:sz w:val="20"/>
          <w:szCs w:val="20"/>
        </w:rPr>
      </w:pPr>
    </w:p>
    <w:p w14:paraId="68377303" w14:textId="77777777" w:rsidR="00BE0378" w:rsidRPr="00D23116" w:rsidRDefault="00BE0378" w:rsidP="00D23116">
      <w:pPr>
        <w:spacing w:line="240" w:lineRule="auto"/>
        <w:rPr>
          <w:rFonts w:ascii="Arial" w:hAnsi="Arial" w:cs="Arial"/>
          <w:sz w:val="20"/>
          <w:szCs w:val="20"/>
        </w:rPr>
      </w:pPr>
    </w:p>
    <w:sectPr w:rsidR="00BE0378" w:rsidRPr="00D23116" w:rsidSect="00BE0378">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5818" w14:textId="77777777" w:rsidR="00961ACC" w:rsidRDefault="00961ACC" w:rsidP="00B43BF5">
      <w:pPr>
        <w:spacing w:after="0" w:line="240" w:lineRule="auto"/>
      </w:pPr>
      <w:r>
        <w:separator/>
      </w:r>
    </w:p>
  </w:endnote>
  <w:endnote w:type="continuationSeparator" w:id="0">
    <w:p w14:paraId="24CE8564" w14:textId="77777777" w:rsidR="00961ACC" w:rsidRDefault="00961ACC" w:rsidP="00B4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46CD" w14:textId="77777777" w:rsidR="00B43BF5" w:rsidRDefault="00B43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37A9" w14:textId="77777777" w:rsidR="00B43BF5" w:rsidRDefault="00B43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46DB" w14:textId="77777777" w:rsidR="00B43BF5" w:rsidRDefault="00B43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0BC2" w14:textId="77777777" w:rsidR="00961ACC" w:rsidRDefault="00961ACC" w:rsidP="00B43BF5">
      <w:pPr>
        <w:spacing w:after="0" w:line="240" w:lineRule="auto"/>
      </w:pPr>
      <w:r>
        <w:separator/>
      </w:r>
    </w:p>
  </w:footnote>
  <w:footnote w:type="continuationSeparator" w:id="0">
    <w:p w14:paraId="4220AB1E" w14:textId="77777777" w:rsidR="00961ACC" w:rsidRDefault="00961ACC" w:rsidP="00B43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FFAE" w14:textId="03170650" w:rsidR="00B43BF5" w:rsidRDefault="00000000">
    <w:pPr>
      <w:pStyle w:val="Header"/>
    </w:pPr>
    <w:r>
      <w:rPr>
        <w:noProof/>
      </w:rPr>
      <w:pict w14:anchorId="5214C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11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06E3" w14:textId="43252E41" w:rsidR="00B43BF5" w:rsidRDefault="00000000">
    <w:pPr>
      <w:pStyle w:val="Header"/>
    </w:pPr>
    <w:r>
      <w:rPr>
        <w:noProof/>
      </w:rPr>
      <w:pict w14:anchorId="42369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11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5786" w14:textId="0AAD8D64" w:rsidR="00B43BF5" w:rsidRDefault="00000000">
    <w:pPr>
      <w:pStyle w:val="Header"/>
    </w:pPr>
    <w:r>
      <w:rPr>
        <w:noProof/>
      </w:rPr>
      <w:pict w14:anchorId="6BC8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10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2B2"/>
    <w:multiLevelType w:val="hybridMultilevel"/>
    <w:tmpl w:val="B010EE94"/>
    <w:lvl w:ilvl="0" w:tplc="2EAE2E1E">
      <w:start w:val="1"/>
      <w:numFmt w:val="bullet"/>
      <w:lvlText w:val="•"/>
      <w:lvlJc w:val="left"/>
      <w:pPr>
        <w:tabs>
          <w:tab w:val="num" w:pos="720"/>
        </w:tabs>
        <w:ind w:left="720" w:hanging="360"/>
      </w:pPr>
      <w:rPr>
        <w:rFonts w:ascii="Arial" w:hAnsi="Arial" w:hint="default"/>
      </w:rPr>
    </w:lvl>
    <w:lvl w:ilvl="1" w:tplc="80826656" w:tentative="1">
      <w:start w:val="1"/>
      <w:numFmt w:val="bullet"/>
      <w:lvlText w:val="•"/>
      <w:lvlJc w:val="left"/>
      <w:pPr>
        <w:tabs>
          <w:tab w:val="num" w:pos="1440"/>
        </w:tabs>
        <w:ind w:left="1440" w:hanging="360"/>
      </w:pPr>
      <w:rPr>
        <w:rFonts w:ascii="Arial" w:hAnsi="Arial" w:hint="default"/>
      </w:rPr>
    </w:lvl>
    <w:lvl w:ilvl="2" w:tplc="913AE8C2" w:tentative="1">
      <w:start w:val="1"/>
      <w:numFmt w:val="bullet"/>
      <w:lvlText w:val="•"/>
      <w:lvlJc w:val="left"/>
      <w:pPr>
        <w:tabs>
          <w:tab w:val="num" w:pos="2160"/>
        </w:tabs>
        <w:ind w:left="2160" w:hanging="360"/>
      </w:pPr>
      <w:rPr>
        <w:rFonts w:ascii="Arial" w:hAnsi="Arial" w:hint="default"/>
      </w:rPr>
    </w:lvl>
    <w:lvl w:ilvl="3" w:tplc="10BA2916" w:tentative="1">
      <w:start w:val="1"/>
      <w:numFmt w:val="bullet"/>
      <w:lvlText w:val="•"/>
      <w:lvlJc w:val="left"/>
      <w:pPr>
        <w:tabs>
          <w:tab w:val="num" w:pos="2880"/>
        </w:tabs>
        <w:ind w:left="2880" w:hanging="360"/>
      </w:pPr>
      <w:rPr>
        <w:rFonts w:ascii="Arial" w:hAnsi="Arial" w:hint="default"/>
      </w:rPr>
    </w:lvl>
    <w:lvl w:ilvl="4" w:tplc="9E6285A8" w:tentative="1">
      <w:start w:val="1"/>
      <w:numFmt w:val="bullet"/>
      <w:lvlText w:val="•"/>
      <w:lvlJc w:val="left"/>
      <w:pPr>
        <w:tabs>
          <w:tab w:val="num" w:pos="3600"/>
        </w:tabs>
        <w:ind w:left="3600" w:hanging="360"/>
      </w:pPr>
      <w:rPr>
        <w:rFonts w:ascii="Arial" w:hAnsi="Arial" w:hint="default"/>
      </w:rPr>
    </w:lvl>
    <w:lvl w:ilvl="5" w:tplc="05DC0604" w:tentative="1">
      <w:start w:val="1"/>
      <w:numFmt w:val="bullet"/>
      <w:lvlText w:val="•"/>
      <w:lvlJc w:val="left"/>
      <w:pPr>
        <w:tabs>
          <w:tab w:val="num" w:pos="4320"/>
        </w:tabs>
        <w:ind w:left="4320" w:hanging="360"/>
      </w:pPr>
      <w:rPr>
        <w:rFonts w:ascii="Arial" w:hAnsi="Arial" w:hint="default"/>
      </w:rPr>
    </w:lvl>
    <w:lvl w:ilvl="6" w:tplc="0C6628E0" w:tentative="1">
      <w:start w:val="1"/>
      <w:numFmt w:val="bullet"/>
      <w:lvlText w:val="•"/>
      <w:lvlJc w:val="left"/>
      <w:pPr>
        <w:tabs>
          <w:tab w:val="num" w:pos="5040"/>
        </w:tabs>
        <w:ind w:left="5040" w:hanging="360"/>
      </w:pPr>
      <w:rPr>
        <w:rFonts w:ascii="Arial" w:hAnsi="Arial" w:hint="default"/>
      </w:rPr>
    </w:lvl>
    <w:lvl w:ilvl="7" w:tplc="8446EE08" w:tentative="1">
      <w:start w:val="1"/>
      <w:numFmt w:val="bullet"/>
      <w:lvlText w:val="•"/>
      <w:lvlJc w:val="left"/>
      <w:pPr>
        <w:tabs>
          <w:tab w:val="num" w:pos="5760"/>
        </w:tabs>
        <w:ind w:left="5760" w:hanging="360"/>
      </w:pPr>
      <w:rPr>
        <w:rFonts w:ascii="Arial" w:hAnsi="Arial" w:hint="default"/>
      </w:rPr>
    </w:lvl>
    <w:lvl w:ilvl="8" w:tplc="2EC254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EC02CF"/>
    <w:multiLevelType w:val="hybridMultilevel"/>
    <w:tmpl w:val="F29268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46517B"/>
    <w:multiLevelType w:val="hybridMultilevel"/>
    <w:tmpl w:val="354852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231A63"/>
    <w:multiLevelType w:val="hybridMultilevel"/>
    <w:tmpl w:val="E8BAC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B2AE7"/>
    <w:multiLevelType w:val="hybridMultilevel"/>
    <w:tmpl w:val="1F904F8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EE53FC4"/>
    <w:multiLevelType w:val="hybridMultilevel"/>
    <w:tmpl w:val="C7D4B952"/>
    <w:lvl w:ilvl="0" w:tplc="E40EB24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BD6704"/>
    <w:multiLevelType w:val="hybridMultilevel"/>
    <w:tmpl w:val="8AE8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C02D6"/>
    <w:multiLevelType w:val="hybridMultilevel"/>
    <w:tmpl w:val="D69216C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595C33"/>
    <w:multiLevelType w:val="hybridMultilevel"/>
    <w:tmpl w:val="B7B06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0E14A6"/>
    <w:multiLevelType w:val="hybridMultilevel"/>
    <w:tmpl w:val="A15E0E7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9A6394F"/>
    <w:multiLevelType w:val="multilevel"/>
    <w:tmpl w:val="A29E0EE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6D4F17"/>
    <w:multiLevelType w:val="hybridMultilevel"/>
    <w:tmpl w:val="E692ED10"/>
    <w:lvl w:ilvl="0" w:tplc="20C472A0">
      <w:start w:val="1"/>
      <w:numFmt w:val="bullet"/>
      <w:lvlText w:val="•"/>
      <w:lvlJc w:val="left"/>
      <w:pPr>
        <w:tabs>
          <w:tab w:val="num" w:pos="720"/>
        </w:tabs>
        <w:ind w:left="720" w:hanging="360"/>
      </w:pPr>
      <w:rPr>
        <w:rFonts w:ascii="Times New Roman" w:hAnsi="Times New Roman" w:hint="default"/>
      </w:rPr>
    </w:lvl>
    <w:lvl w:ilvl="1" w:tplc="DCD695D2" w:tentative="1">
      <w:start w:val="1"/>
      <w:numFmt w:val="bullet"/>
      <w:lvlText w:val="•"/>
      <w:lvlJc w:val="left"/>
      <w:pPr>
        <w:tabs>
          <w:tab w:val="num" w:pos="1440"/>
        </w:tabs>
        <w:ind w:left="1440" w:hanging="360"/>
      </w:pPr>
      <w:rPr>
        <w:rFonts w:ascii="Times New Roman" w:hAnsi="Times New Roman" w:hint="default"/>
      </w:rPr>
    </w:lvl>
    <w:lvl w:ilvl="2" w:tplc="04EA0420" w:tentative="1">
      <w:start w:val="1"/>
      <w:numFmt w:val="bullet"/>
      <w:lvlText w:val="•"/>
      <w:lvlJc w:val="left"/>
      <w:pPr>
        <w:tabs>
          <w:tab w:val="num" w:pos="2160"/>
        </w:tabs>
        <w:ind w:left="2160" w:hanging="360"/>
      </w:pPr>
      <w:rPr>
        <w:rFonts w:ascii="Times New Roman" w:hAnsi="Times New Roman" w:hint="default"/>
      </w:rPr>
    </w:lvl>
    <w:lvl w:ilvl="3" w:tplc="BCCA2662" w:tentative="1">
      <w:start w:val="1"/>
      <w:numFmt w:val="bullet"/>
      <w:lvlText w:val="•"/>
      <w:lvlJc w:val="left"/>
      <w:pPr>
        <w:tabs>
          <w:tab w:val="num" w:pos="2880"/>
        </w:tabs>
        <w:ind w:left="2880" w:hanging="360"/>
      </w:pPr>
      <w:rPr>
        <w:rFonts w:ascii="Times New Roman" w:hAnsi="Times New Roman" w:hint="default"/>
      </w:rPr>
    </w:lvl>
    <w:lvl w:ilvl="4" w:tplc="D37E492E" w:tentative="1">
      <w:start w:val="1"/>
      <w:numFmt w:val="bullet"/>
      <w:lvlText w:val="•"/>
      <w:lvlJc w:val="left"/>
      <w:pPr>
        <w:tabs>
          <w:tab w:val="num" w:pos="3600"/>
        </w:tabs>
        <w:ind w:left="3600" w:hanging="360"/>
      </w:pPr>
      <w:rPr>
        <w:rFonts w:ascii="Times New Roman" w:hAnsi="Times New Roman" w:hint="default"/>
      </w:rPr>
    </w:lvl>
    <w:lvl w:ilvl="5" w:tplc="CA20DFAE" w:tentative="1">
      <w:start w:val="1"/>
      <w:numFmt w:val="bullet"/>
      <w:lvlText w:val="•"/>
      <w:lvlJc w:val="left"/>
      <w:pPr>
        <w:tabs>
          <w:tab w:val="num" w:pos="4320"/>
        </w:tabs>
        <w:ind w:left="4320" w:hanging="360"/>
      </w:pPr>
      <w:rPr>
        <w:rFonts w:ascii="Times New Roman" w:hAnsi="Times New Roman" w:hint="default"/>
      </w:rPr>
    </w:lvl>
    <w:lvl w:ilvl="6" w:tplc="CF660094" w:tentative="1">
      <w:start w:val="1"/>
      <w:numFmt w:val="bullet"/>
      <w:lvlText w:val="•"/>
      <w:lvlJc w:val="left"/>
      <w:pPr>
        <w:tabs>
          <w:tab w:val="num" w:pos="5040"/>
        </w:tabs>
        <w:ind w:left="5040" w:hanging="360"/>
      </w:pPr>
      <w:rPr>
        <w:rFonts w:ascii="Times New Roman" w:hAnsi="Times New Roman" w:hint="default"/>
      </w:rPr>
    </w:lvl>
    <w:lvl w:ilvl="7" w:tplc="B07E48F0" w:tentative="1">
      <w:start w:val="1"/>
      <w:numFmt w:val="bullet"/>
      <w:lvlText w:val="•"/>
      <w:lvlJc w:val="left"/>
      <w:pPr>
        <w:tabs>
          <w:tab w:val="num" w:pos="5760"/>
        </w:tabs>
        <w:ind w:left="5760" w:hanging="360"/>
      </w:pPr>
      <w:rPr>
        <w:rFonts w:ascii="Times New Roman" w:hAnsi="Times New Roman" w:hint="default"/>
      </w:rPr>
    </w:lvl>
    <w:lvl w:ilvl="8" w:tplc="8BEC40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37E79D6"/>
    <w:multiLevelType w:val="hybridMultilevel"/>
    <w:tmpl w:val="2E8AE932"/>
    <w:lvl w:ilvl="0" w:tplc="C2C6BC9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74F7589"/>
    <w:multiLevelType w:val="hybridMultilevel"/>
    <w:tmpl w:val="AE265C46"/>
    <w:lvl w:ilvl="0" w:tplc="6C3E1D2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D6F4E48"/>
    <w:multiLevelType w:val="hybridMultilevel"/>
    <w:tmpl w:val="D04C9246"/>
    <w:lvl w:ilvl="0" w:tplc="0409001B">
      <w:start w:val="1"/>
      <w:numFmt w:val="lowerRoman"/>
      <w:lvlText w:val="%1."/>
      <w:lvlJc w:val="right"/>
      <w:pPr>
        <w:ind w:left="720" w:hanging="360"/>
      </w:pPr>
      <w:rPr>
        <w:rFonts w:cs="Times New Roman"/>
      </w:rPr>
    </w:lvl>
    <w:lvl w:ilvl="1" w:tplc="0322A4C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F314CE2"/>
    <w:multiLevelType w:val="multilevel"/>
    <w:tmpl w:val="602034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404469">
    <w:abstractNumId w:val="7"/>
  </w:num>
  <w:num w:numId="2" w16cid:durableId="1500316295">
    <w:abstractNumId w:val="4"/>
  </w:num>
  <w:num w:numId="3" w16cid:durableId="12536497">
    <w:abstractNumId w:val="8"/>
  </w:num>
  <w:num w:numId="4" w16cid:durableId="1901207194">
    <w:abstractNumId w:val="1"/>
  </w:num>
  <w:num w:numId="5" w16cid:durableId="1858352684">
    <w:abstractNumId w:val="14"/>
  </w:num>
  <w:num w:numId="6" w16cid:durableId="1076828646">
    <w:abstractNumId w:val="15"/>
  </w:num>
  <w:num w:numId="7" w16cid:durableId="224296878">
    <w:abstractNumId w:val="10"/>
  </w:num>
  <w:num w:numId="8" w16cid:durableId="174152491">
    <w:abstractNumId w:val="0"/>
  </w:num>
  <w:num w:numId="9" w16cid:durableId="724916265">
    <w:abstractNumId w:val="11"/>
  </w:num>
  <w:num w:numId="10" w16cid:durableId="40325760">
    <w:abstractNumId w:val="13"/>
  </w:num>
  <w:num w:numId="11" w16cid:durableId="1263877488">
    <w:abstractNumId w:val="9"/>
  </w:num>
  <w:num w:numId="12" w16cid:durableId="184752132">
    <w:abstractNumId w:val="2"/>
  </w:num>
  <w:num w:numId="13" w16cid:durableId="1938245642">
    <w:abstractNumId w:val="12"/>
  </w:num>
  <w:num w:numId="14" w16cid:durableId="1931234870">
    <w:abstractNumId w:val="5"/>
  </w:num>
  <w:num w:numId="15" w16cid:durableId="443840822">
    <w:abstractNumId w:val="3"/>
  </w:num>
  <w:num w:numId="16" w16cid:durableId="703796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63"/>
    <w:rsid w:val="00011987"/>
    <w:rsid w:val="0005286B"/>
    <w:rsid w:val="000B203A"/>
    <w:rsid w:val="00110AA2"/>
    <w:rsid w:val="0015636F"/>
    <w:rsid w:val="001A4D43"/>
    <w:rsid w:val="001B3F82"/>
    <w:rsid w:val="00203ADD"/>
    <w:rsid w:val="00252FDE"/>
    <w:rsid w:val="002778DC"/>
    <w:rsid w:val="00287B19"/>
    <w:rsid w:val="002D03A3"/>
    <w:rsid w:val="0032084D"/>
    <w:rsid w:val="00356127"/>
    <w:rsid w:val="00364D0C"/>
    <w:rsid w:val="003F357B"/>
    <w:rsid w:val="003F5CDA"/>
    <w:rsid w:val="003F7A4C"/>
    <w:rsid w:val="00462B1E"/>
    <w:rsid w:val="004822D7"/>
    <w:rsid w:val="00490783"/>
    <w:rsid w:val="004A06B5"/>
    <w:rsid w:val="004A1A10"/>
    <w:rsid w:val="004B53EC"/>
    <w:rsid w:val="0053175D"/>
    <w:rsid w:val="00532DD7"/>
    <w:rsid w:val="005E6E6D"/>
    <w:rsid w:val="005F2F7B"/>
    <w:rsid w:val="005F5A3A"/>
    <w:rsid w:val="0061146D"/>
    <w:rsid w:val="00617236"/>
    <w:rsid w:val="00630C94"/>
    <w:rsid w:val="006812A2"/>
    <w:rsid w:val="006943A1"/>
    <w:rsid w:val="006F4932"/>
    <w:rsid w:val="00747433"/>
    <w:rsid w:val="00764ABB"/>
    <w:rsid w:val="007659A8"/>
    <w:rsid w:val="007E0D82"/>
    <w:rsid w:val="00814635"/>
    <w:rsid w:val="00834A2E"/>
    <w:rsid w:val="008717C9"/>
    <w:rsid w:val="008B5C94"/>
    <w:rsid w:val="00930FF1"/>
    <w:rsid w:val="00961ACC"/>
    <w:rsid w:val="009A6EBB"/>
    <w:rsid w:val="009B1B2E"/>
    <w:rsid w:val="009E1493"/>
    <w:rsid w:val="009E5E18"/>
    <w:rsid w:val="00A94B7A"/>
    <w:rsid w:val="00AA5853"/>
    <w:rsid w:val="00AD290F"/>
    <w:rsid w:val="00AD752D"/>
    <w:rsid w:val="00AE6953"/>
    <w:rsid w:val="00AF06A4"/>
    <w:rsid w:val="00B2339C"/>
    <w:rsid w:val="00B43BF5"/>
    <w:rsid w:val="00B90B06"/>
    <w:rsid w:val="00BB48CA"/>
    <w:rsid w:val="00BC38D8"/>
    <w:rsid w:val="00BE0378"/>
    <w:rsid w:val="00CA667A"/>
    <w:rsid w:val="00CE6FCC"/>
    <w:rsid w:val="00D01D63"/>
    <w:rsid w:val="00D070E8"/>
    <w:rsid w:val="00D078FE"/>
    <w:rsid w:val="00D23116"/>
    <w:rsid w:val="00DC0341"/>
    <w:rsid w:val="00DC73E6"/>
    <w:rsid w:val="00DE328D"/>
    <w:rsid w:val="00E463A4"/>
    <w:rsid w:val="00EA060F"/>
    <w:rsid w:val="00EA7BFD"/>
    <w:rsid w:val="00EC5274"/>
    <w:rsid w:val="00F620B3"/>
    <w:rsid w:val="00FC5904"/>
    <w:rsid w:val="00FC6353"/>
    <w:rsid w:val="00FF6E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2206"/>
  <w15:chartTrackingRefBased/>
  <w15:docId w15:val="{ED1C79CF-23E9-4AA2-B50E-AE216C6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B1B2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F4932"/>
  </w:style>
  <w:style w:type="paragraph" w:styleId="ListParagraph">
    <w:name w:val="List Paragraph"/>
    <w:basedOn w:val="Normal"/>
    <w:uiPriority w:val="34"/>
    <w:qFormat/>
    <w:rsid w:val="006F4932"/>
    <w:pPr>
      <w:ind w:left="720"/>
      <w:contextualSpacing/>
    </w:pPr>
  </w:style>
  <w:style w:type="table" w:styleId="TableGrid">
    <w:name w:val="Table Grid"/>
    <w:basedOn w:val="TableNormal"/>
    <w:uiPriority w:val="39"/>
    <w:rsid w:val="006F4932"/>
    <w:pPr>
      <w:spacing w:after="0" w:line="240" w:lineRule="auto"/>
    </w:pPr>
    <w:rPr>
      <w:rFonts w:ascii="Cambria" w:eastAsia="Calibri" w:hAnsi="Cambria"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32"/>
  </w:style>
  <w:style w:type="paragraph" w:styleId="Footer">
    <w:name w:val="footer"/>
    <w:basedOn w:val="Normal"/>
    <w:link w:val="FooterChar"/>
    <w:uiPriority w:val="99"/>
    <w:unhideWhenUsed/>
    <w:rsid w:val="006F4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32"/>
  </w:style>
  <w:style w:type="character" w:customStyle="1" w:styleId="al-author-name">
    <w:name w:val="al-author-name"/>
    <w:basedOn w:val="DefaultParagraphFont"/>
    <w:rsid w:val="006F4932"/>
  </w:style>
  <w:style w:type="character" w:customStyle="1" w:styleId="delimiter">
    <w:name w:val="delimiter"/>
    <w:basedOn w:val="DefaultParagraphFont"/>
    <w:rsid w:val="006F4932"/>
  </w:style>
  <w:style w:type="character" w:customStyle="1" w:styleId="al-author-name-more">
    <w:name w:val="al-author-name-more"/>
    <w:basedOn w:val="DefaultParagraphFont"/>
    <w:rsid w:val="006F4932"/>
  </w:style>
  <w:style w:type="character" w:styleId="Hyperlink">
    <w:name w:val="Hyperlink"/>
    <w:basedOn w:val="DefaultParagraphFont"/>
    <w:uiPriority w:val="99"/>
    <w:unhideWhenUsed/>
    <w:rsid w:val="006F4932"/>
    <w:rPr>
      <w:color w:val="0563C1" w:themeColor="hyperlink"/>
      <w:u w:val="single"/>
    </w:rPr>
  </w:style>
  <w:style w:type="character" w:styleId="LineNumber">
    <w:name w:val="line number"/>
    <w:basedOn w:val="DefaultParagraphFont"/>
    <w:uiPriority w:val="99"/>
    <w:semiHidden/>
    <w:unhideWhenUsed/>
    <w:rsid w:val="006F4932"/>
  </w:style>
  <w:style w:type="paragraph" w:styleId="BalloonText">
    <w:name w:val="Balloon Text"/>
    <w:basedOn w:val="Normal"/>
    <w:link w:val="BalloonTextChar"/>
    <w:uiPriority w:val="99"/>
    <w:semiHidden/>
    <w:unhideWhenUsed/>
    <w:rsid w:val="006F4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32"/>
    <w:rPr>
      <w:rFonts w:ascii="Segoe UI" w:hAnsi="Segoe UI" w:cs="Segoe UI"/>
      <w:sz w:val="18"/>
      <w:szCs w:val="18"/>
    </w:rPr>
  </w:style>
  <w:style w:type="character" w:styleId="CommentReference">
    <w:name w:val="annotation reference"/>
    <w:basedOn w:val="DefaultParagraphFont"/>
    <w:uiPriority w:val="99"/>
    <w:semiHidden/>
    <w:unhideWhenUsed/>
    <w:rsid w:val="006F4932"/>
    <w:rPr>
      <w:sz w:val="16"/>
      <w:szCs w:val="16"/>
    </w:rPr>
  </w:style>
  <w:style w:type="paragraph" w:styleId="CommentText">
    <w:name w:val="annotation text"/>
    <w:basedOn w:val="Normal"/>
    <w:link w:val="CommentTextChar"/>
    <w:uiPriority w:val="99"/>
    <w:semiHidden/>
    <w:unhideWhenUsed/>
    <w:rsid w:val="006F4932"/>
    <w:pPr>
      <w:spacing w:line="240" w:lineRule="auto"/>
    </w:pPr>
    <w:rPr>
      <w:sz w:val="20"/>
      <w:szCs w:val="20"/>
    </w:rPr>
  </w:style>
  <w:style w:type="character" w:customStyle="1" w:styleId="CommentTextChar">
    <w:name w:val="Comment Text Char"/>
    <w:basedOn w:val="DefaultParagraphFont"/>
    <w:link w:val="CommentText"/>
    <w:uiPriority w:val="99"/>
    <w:semiHidden/>
    <w:rsid w:val="006F4932"/>
    <w:rPr>
      <w:sz w:val="20"/>
      <w:szCs w:val="20"/>
    </w:rPr>
  </w:style>
  <w:style w:type="paragraph" w:styleId="CommentSubject">
    <w:name w:val="annotation subject"/>
    <w:basedOn w:val="CommentText"/>
    <w:next w:val="CommentText"/>
    <w:link w:val="CommentSubjectChar"/>
    <w:uiPriority w:val="99"/>
    <w:semiHidden/>
    <w:unhideWhenUsed/>
    <w:rsid w:val="006F4932"/>
    <w:rPr>
      <w:b/>
      <w:bCs/>
    </w:rPr>
  </w:style>
  <w:style w:type="character" w:customStyle="1" w:styleId="CommentSubjectChar">
    <w:name w:val="Comment Subject Char"/>
    <w:basedOn w:val="CommentTextChar"/>
    <w:link w:val="CommentSubject"/>
    <w:uiPriority w:val="99"/>
    <w:semiHidden/>
    <w:rsid w:val="006F4932"/>
    <w:rPr>
      <w:b/>
      <w:bCs/>
      <w:sz w:val="20"/>
      <w:szCs w:val="20"/>
    </w:rPr>
  </w:style>
  <w:style w:type="paragraph" w:styleId="NormalWeb">
    <w:name w:val="Normal (Web)"/>
    <w:basedOn w:val="Normal"/>
    <w:uiPriority w:val="99"/>
    <w:unhideWhenUsed/>
    <w:rsid w:val="006F4932"/>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3">
    <w:name w:val="Table Grid3"/>
    <w:basedOn w:val="TableNormal"/>
    <w:next w:val="TableGrid"/>
    <w:uiPriority w:val="39"/>
    <w:rsid w:val="006F4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38D8"/>
    <w:rPr>
      <w:color w:val="605E5C"/>
      <w:shd w:val="clear" w:color="auto" w:fill="E1DFDD"/>
    </w:rPr>
  </w:style>
  <w:style w:type="paragraph" w:styleId="NoSpacing">
    <w:name w:val="No Spacing"/>
    <w:uiPriority w:val="1"/>
    <w:qFormat/>
    <w:rsid w:val="00FC5904"/>
    <w:pPr>
      <w:spacing w:after="0" w:line="240" w:lineRule="auto"/>
    </w:pPr>
  </w:style>
  <w:style w:type="character" w:customStyle="1" w:styleId="Heading3Char">
    <w:name w:val="Heading 3 Char"/>
    <w:basedOn w:val="DefaultParagraphFont"/>
    <w:link w:val="Heading3"/>
    <w:uiPriority w:val="9"/>
    <w:rsid w:val="009B1B2E"/>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9B1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4806">
      <w:bodyDiv w:val="1"/>
      <w:marLeft w:val="0"/>
      <w:marRight w:val="0"/>
      <w:marTop w:val="0"/>
      <w:marBottom w:val="0"/>
      <w:divBdr>
        <w:top w:val="none" w:sz="0" w:space="0" w:color="auto"/>
        <w:left w:val="none" w:sz="0" w:space="0" w:color="auto"/>
        <w:bottom w:val="none" w:sz="0" w:space="0" w:color="auto"/>
        <w:right w:val="none" w:sz="0" w:space="0" w:color="auto"/>
      </w:divBdr>
    </w:div>
    <w:div w:id="845091659">
      <w:bodyDiv w:val="1"/>
      <w:marLeft w:val="0"/>
      <w:marRight w:val="0"/>
      <w:marTop w:val="0"/>
      <w:marBottom w:val="0"/>
      <w:divBdr>
        <w:top w:val="none" w:sz="0" w:space="0" w:color="auto"/>
        <w:left w:val="none" w:sz="0" w:space="0" w:color="auto"/>
        <w:bottom w:val="none" w:sz="0" w:space="0" w:color="auto"/>
        <w:right w:val="none" w:sz="0" w:space="0" w:color="auto"/>
      </w:divBdr>
    </w:div>
    <w:div w:id="1546671381">
      <w:bodyDiv w:val="1"/>
      <w:marLeft w:val="0"/>
      <w:marRight w:val="0"/>
      <w:marTop w:val="0"/>
      <w:marBottom w:val="0"/>
      <w:divBdr>
        <w:top w:val="none" w:sz="0" w:space="0" w:color="auto"/>
        <w:left w:val="none" w:sz="0" w:space="0" w:color="auto"/>
        <w:bottom w:val="none" w:sz="0" w:space="0" w:color="auto"/>
        <w:right w:val="none" w:sz="0" w:space="0" w:color="auto"/>
      </w:divBdr>
    </w:div>
    <w:div w:id="16341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21451/1984-3143-AR1008" TargetMode="External"/><Relationship Id="rId26" Type="http://schemas.openxmlformats.org/officeDocument/2006/relationships/hyperlink" Target="https://doi.org/10.3168/jds.2017-13940" TargetMode="External"/><Relationship Id="rId39" Type="http://schemas.openxmlformats.org/officeDocument/2006/relationships/hyperlink" Target="https://doi.org/10.3168/jds.2011-4325" TargetMode="External"/><Relationship Id="rId21" Type="http://schemas.openxmlformats.org/officeDocument/2006/relationships/hyperlink" Target="https://doi.org/10.2527/jas.2008-1728" TargetMode="External"/><Relationship Id="rId34" Type="http://schemas.openxmlformats.org/officeDocument/2006/relationships/hyperlink" Target="https://journals.acspublisher.com/index.php/ijar/article/view/3852" TargetMode="External"/><Relationship Id="rId42" Type="http://schemas.openxmlformats.org/officeDocument/2006/relationships/hyperlink" Target="https://doi.org/10.3168/jds.2014-790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heriogenology.2021.08.016" TargetMode="External"/><Relationship Id="rId29" Type="http://schemas.openxmlformats.org/officeDocument/2006/relationships/hyperlink" Target="https://doi.org/10.1262/jrd.2016-019" TargetMode="External"/><Relationship Id="rId11" Type="http://schemas.openxmlformats.org/officeDocument/2006/relationships/chart" Target="charts/chart3.xml"/><Relationship Id="rId24" Type="http://schemas.openxmlformats.org/officeDocument/2006/relationships/hyperlink" Target="https://doi.org/10.1111/rda.12681" TargetMode="External"/><Relationship Id="rId32" Type="http://schemas.openxmlformats.org/officeDocument/2006/relationships/hyperlink" Target="https://doi.org/10.1262/jrd.2016-088" TargetMode="External"/><Relationship Id="rId37" Type="http://schemas.openxmlformats.org/officeDocument/2006/relationships/hyperlink" Target="https://doi.org/10.1095/biolreprod.112.107235" TargetMode="External"/><Relationship Id="rId40" Type="http://schemas.openxmlformats.org/officeDocument/2006/relationships/hyperlink" Target="https://doi.org/10.3168/jds.2018-14798" TargetMode="External"/><Relationship Id="rId45" Type="http://schemas.openxmlformats.org/officeDocument/2006/relationships/hyperlink" Target="https://doi.org/10.3168/jds.2014-818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hyperlink" Target="https://doi.org/10.1111/rda.12304" TargetMode="External"/><Relationship Id="rId31" Type="http://schemas.openxmlformats.org/officeDocument/2006/relationships/hyperlink" Target="https://doi.org/10.1093/humrep/dem036" TargetMode="External"/><Relationship Id="rId44" Type="http://schemas.openxmlformats.org/officeDocument/2006/relationships/hyperlink" Target="https://www.wiley.com/en-kr/Statistical+Methods%2C+8th+Edition-p-978081381561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hyperlink" Target="https://doi.org/10.1093/humupd/dmt062" TargetMode="External"/><Relationship Id="rId27" Type="http://schemas.openxmlformats.org/officeDocument/2006/relationships/hyperlink" Target="https://doi.org/10.30954/2277-940X.05.2020.8" TargetMode="External"/><Relationship Id="rId30" Type="http://schemas.openxmlformats.org/officeDocument/2006/relationships/hyperlink" Target="https://doi.org/10.1071/RD10226" TargetMode="External"/><Relationship Id="rId35" Type="http://schemas.openxmlformats.org/officeDocument/2006/relationships/hyperlink" Target="https://doi.org/10.1002/mrd.1080370107" TargetMode="External"/><Relationship Id="rId43" Type="http://schemas.openxmlformats.org/officeDocument/2006/relationships/hyperlink" Target="https://doi.org/10.1111/rda.13506" TargetMode="External"/><Relationship Id="rId48"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1111/rda.12430" TargetMode="External"/><Relationship Id="rId25" Type="http://schemas.openxmlformats.org/officeDocument/2006/relationships/hyperlink" Target="https://doi.org/10.1016/j.theriogenology.2017.01.018" TargetMode="External"/><Relationship Id="rId33" Type="http://schemas.openxmlformats.org/officeDocument/2006/relationships/hyperlink" Target="https://doi.org/10.22358/jafs/162646/2023" TargetMode="External"/><Relationship Id="rId38" Type="http://schemas.openxmlformats.org/officeDocument/2006/relationships/hyperlink" Target="https://doi.org/10.1530/REP-10-0214" TargetMode="External"/><Relationship Id="rId46" Type="http://schemas.openxmlformats.org/officeDocument/2006/relationships/header" Target="header1.xml"/><Relationship Id="rId20" Type="http://schemas.openxmlformats.org/officeDocument/2006/relationships/hyperlink" Target="https://doi.org/10.1111/evj.12328" TargetMode="External"/><Relationship Id="rId41" Type="http://schemas.openxmlformats.org/officeDocument/2006/relationships/hyperlink" Target="https://doi.org/10.1093/humrep/deh8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anireprosci.2020.106457" TargetMode="External"/><Relationship Id="rId23" Type="http://schemas.openxmlformats.org/officeDocument/2006/relationships/hyperlink" Target="https://doi.org/10.7313/upo9781907284991.032" TargetMode="External"/><Relationship Id="rId28" Type="http://schemas.openxmlformats.org/officeDocument/2006/relationships/hyperlink" Target="https://doi.org/10.18805/ijar.B-3569" TargetMode="External"/><Relationship Id="rId36" Type="http://schemas.openxmlformats.org/officeDocument/2006/relationships/hyperlink" Target="https://doi.org/10.1016/j.theriogenology.2016.12.025"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P\OneDrive\Desktop\Final%20observations%20and%20Results.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Graphs!$F$2</c:f>
              <c:strCache>
                <c:ptCount val="1"/>
                <c:pt idx="0">
                  <c:v>Number of animals</c:v>
                </c:pt>
              </c:strCache>
            </c:strRef>
          </c:tx>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E4-4C0B-A811-2B45DA8E7E24}"/>
                </c:ext>
              </c:extLst>
            </c:dLbl>
            <c:dLbl>
              <c:idx val="1"/>
              <c:layout>
                <c:manualLayout>
                  <c:x val="0"/>
                  <c:y val="-1.2244897959183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E4-4C0B-A811-2B45DA8E7E24}"/>
                </c:ext>
              </c:extLst>
            </c:dLbl>
            <c:dLbl>
              <c:idx val="2"/>
              <c:layout>
                <c:manualLayout>
                  <c:x val="0"/>
                  <c:y val="-1.63265306122449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E4-4C0B-A811-2B45DA8E7E24}"/>
                </c:ext>
              </c:extLst>
            </c:dLbl>
            <c:dLbl>
              <c:idx val="3"/>
              <c:layout>
                <c:manualLayout>
                  <c:x val="0"/>
                  <c:y val="-1.63265306122449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E4-4C0B-A811-2B45DA8E7E24}"/>
                </c:ext>
              </c:extLst>
            </c:dLbl>
            <c:dLbl>
              <c:idx val="4"/>
              <c:layout>
                <c:manualLayout>
                  <c:x val="4.6783625730993841E-3"/>
                  <c:y val="-1.2244897959183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E4-4C0B-A811-2B45DA8E7E24}"/>
                </c:ext>
              </c:extLst>
            </c:dLbl>
            <c:dLbl>
              <c:idx val="5"/>
              <c:layout>
                <c:manualLayout>
                  <c:x val="2.3391812865497545E-3"/>
                  <c:y val="-1.63265306122449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E4-4C0B-A811-2B45DA8E7E24}"/>
                </c:ext>
              </c:extLst>
            </c:dLbl>
            <c:dLbl>
              <c:idx val="6"/>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E4-4C0B-A811-2B45DA8E7E24}"/>
                </c:ext>
              </c:extLst>
            </c:dLbl>
            <c:dLbl>
              <c:idx val="7"/>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E4-4C0B-A811-2B45DA8E7E24}"/>
                </c:ext>
              </c:extLst>
            </c:dLbl>
            <c:dLbl>
              <c:idx val="8"/>
              <c:layout>
                <c:manualLayout>
                  <c:x val="-8.5768989696135299E-17"/>
                  <c:y val="-1.63265306122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E4-4C0B-A811-2B45DA8E7E24}"/>
                </c:ext>
              </c:extLst>
            </c:dLbl>
            <c:dLbl>
              <c:idx val="9"/>
              <c:layout>
                <c:manualLayout>
                  <c:x val="0"/>
                  <c:y val="-1.63265306122449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E4-4C0B-A811-2B45DA8E7E24}"/>
                </c:ext>
              </c:extLst>
            </c:dLbl>
            <c:dLbl>
              <c:idx val="10"/>
              <c:layout>
                <c:manualLayout>
                  <c:x val="-8.5768989696135299E-17"/>
                  <c:y val="-1.63265306122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E4-4C0B-A811-2B45DA8E7E24}"/>
                </c:ext>
              </c:extLst>
            </c:dLbl>
            <c:dLbl>
              <c:idx val="11"/>
              <c:layout>
                <c:manualLayout>
                  <c:x val="0"/>
                  <c:y val="-2.04081632653062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E4-4C0B-A811-2B45DA8E7E24}"/>
                </c:ext>
              </c:extLst>
            </c:dLbl>
            <c:dLbl>
              <c:idx val="12"/>
              <c:layout>
                <c:manualLayout>
                  <c:x val="0"/>
                  <c:y val="-1.63265306122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E4-4C0B-A811-2B45DA8E7E24}"/>
                </c:ext>
              </c:extLst>
            </c:dLbl>
            <c:dLbl>
              <c:idx val="13"/>
              <c:layout>
                <c:manualLayout>
                  <c:x val="-8.5768989696135299E-17"/>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E4-4C0B-A811-2B45DA8E7E24}"/>
                </c:ext>
              </c:extLst>
            </c:dLbl>
            <c:dLbl>
              <c:idx val="14"/>
              <c:layout>
                <c:manualLayout>
                  <c:x val="0"/>
                  <c:y val="-2.04081632653062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E4-4C0B-A811-2B45DA8E7E24}"/>
                </c:ext>
              </c:extLst>
            </c:dLbl>
            <c:dLbl>
              <c:idx val="15"/>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E4-4C0B-A811-2B45DA8E7E24}"/>
                </c:ext>
              </c:extLst>
            </c:dLbl>
            <c:dLbl>
              <c:idx val="16"/>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E4-4C0B-A811-2B45DA8E7E24}"/>
                </c:ext>
              </c:extLst>
            </c:dLbl>
            <c:dLbl>
              <c:idx val="17"/>
              <c:layout>
                <c:manualLayout>
                  <c:x val="0"/>
                  <c:y val="-1.2244897959183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E4-4C0B-A811-2B45DA8E7E24}"/>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dk1">
                    <a:tint val="88500"/>
                  </a:schemeClr>
                </a:solidFill>
              </a:ln>
              <a:effectLst/>
            </c:spPr>
            <c:trendlineType val="movingAvg"/>
            <c:period val="2"/>
            <c:dispRSqr val="0"/>
            <c:dispEq val="0"/>
          </c:trendline>
          <c:errBars>
            <c:errBarType val="plus"/>
            <c:errValType val="stdErr"/>
            <c:noEndCap val="0"/>
            <c:spPr>
              <a:noFill/>
              <a:ln w="9525" cap="flat" cmpd="sng" algn="ctr">
                <a:solidFill>
                  <a:schemeClr val="tx1">
                    <a:lumMod val="65000"/>
                    <a:lumOff val="35000"/>
                  </a:schemeClr>
                </a:solidFill>
                <a:round/>
              </a:ln>
              <a:effectLst/>
            </c:spPr>
          </c:errBars>
          <c:cat>
            <c:strRef>
              <c:f>Graphs!$E$3:$E$20</c:f>
              <c:strCache>
                <c:ptCount val="18"/>
                <c:pt idx="0">
                  <c:v>0 to 0.25 </c:v>
                </c:pt>
                <c:pt idx="1">
                  <c:v>0.25 to 0.50</c:v>
                </c:pt>
                <c:pt idx="2">
                  <c:v>0.50 to 0.75</c:v>
                </c:pt>
                <c:pt idx="3">
                  <c:v>0.75 to 1.00</c:v>
                </c:pt>
                <c:pt idx="4">
                  <c:v>1.00 to 1.25</c:v>
                </c:pt>
                <c:pt idx="5">
                  <c:v>1.25 to 1.50</c:v>
                </c:pt>
                <c:pt idx="6">
                  <c:v>1.50 to 1.75</c:v>
                </c:pt>
                <c:pt idx="7">
                  <c:v>1.75 to 2.00</c:v>
                </c:pt>
                <c:pt idx="8">
                  <c:v>2.00 to 2.25</c:v>
                </c:pt>
                <c:pt idx="9">
                  <c:v>2.25 to 2.50</c:v>
                </c:pt>
                <c:pt idx="10">
                  <c:v>2.50 to 2.75</c:v>
                </c:pt>
                <c:pt idx="11">
                  <c:v>2.75 to 3.00</c:v>
                </c:pt>
                <c:pt idx="12">
                  <c:v>3.00 to 3.25</c:v>
                </c:pt>
                <c:pt idx="13">
                  <c:v>3.25 to 3.50</c:v>
                </c:pt>
                <c:pt idx="14">
                  <c:v>3.50 to 3.75</c:v>
                </c:pt>
                <c:pt idx="15">
                  <c:v>3.75 to 4.00</c:v>
                </c:pt>
                <c:pt idx="16">
                  <c:v>4.00 to 4.25 </c:v>
                </c:pt>
                <c:pt idx="17">
                  <c:v>4.25 to 4.50 </c:v>
                </c:pt>
              </c:strCache>
            </c:strRef>
          </c:cat>
          <c:val>
            <c:numRef>
              <c:f>Graphs!$F$3:$F$20</c:f>
              <c:numCache>
                <c:formatCode>General</c:formatCode>
                <c:ptCount val="18"/>
                <c:pt idx="0">
                  <c:v>0</c:v>
                </c:pt>
                <c:pt idx="1">
                  <c:v>11</c:v>
                </c:pt>
                <c:pt idx="2">
                  <c:v>36</c:v>
                </c:pt>
                <c:pt idx="3">
                  <c:v>10</c:v>
                </c:pt>
                <c:pt idx="4">
                  <c:v>6</c:v>
                </c:pt>
                <c:pt idx="5">
                  <c:v>6</c:v>
                </c:pt>
                <c:pt idx="6">
                  <c:v>5</c:v>
                </c:pt>
                <c:pt idx="7">
                  <c:v>2</c:v>
                </c:pt>
                <c:pt idx="8">
                  <c:v>1</c:v>
                </c:pt>
                <c:pt idx="9">
                  <c:v>2</c:v>
                </c:pt>
                <c:pt idx="10">
                  <c:v>1</c:v>
                </c:pt>
                <c:pt idx="11">
                  <c:v>1</c:v>
                </c:pt>
                <c:pt idx="12">
                  <c:v>0</c:v>
                </c:pt>
                <c:pt idx="13">
                  <c:v>1</c:v>
                </c:pt>
                <c:pt idx="14">
                  <c:v>0</c:v>
                </c:pt>
                <c:pt idx="15">
                  <c:v>0</c:v>
                </c:pt>
                <c:pt idx="16">
                  <c:v>1</c:v>
                </c:pt>
                <c:pt idx="17">
                  <c:v>1</c:v>
                </c:pt>
              </c:numCache>
            </c:numRef>
          </c:val>
          <c:extLst>
            <c:ext xmlns:c16="http://schemas.microsoft.com/office/drawing/2014/chart" uri="{C3380CC4-5D6E-409C-BE32-E72D297353CC}">
              <c16:uniqueId val="{00000013-1DE4-4C0B-A811-2B45DA8E7E24}"/>
            </c:ext>
          </c:extLst>
        </c:ser>
        <c:dLbls>
          <c:showLegendKey val="0"/>
          <c:showVal val="1"/>
          <c:showCatName val="0"/>
          <c:showSerName val="0"/>
          <c:showPercent val="0"/>
          <c:showBubbleSize val="0"/>
        </c:dLbls>
        <c:gapWidth val="100"/>
        <c:overlap val="-24"/>
        <c:axId val="-1412443120"/>
        <c:axId val="-1412433872"/>
      </c:barChart>
      <c:catAx>
        <c:axId val="-1412443120"/>
        <c:scaling>
          <c:orientation val="minMax"/>
        </c:scaling>
        <c:delete val="0"/>
        <c:axPos val="b"/>
        <c:title>
          <c:tx>
            <c:rich>
              <a:bodyPr rot="0" vert="horz"/>
              <a:lstStyle/>
              <a:p>
                <a:pPr>
                  <a:defRPr sz="1050">
                    <a:latin typeface="Times New Roman" panose="02020603050405020304" pitchFamily="18" charset="0"/>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 Serum AMH concentrations (</a:t>
                </a:r>
                <a:r>
                  <a:rPr lang="en-IN"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ng/mL</a:t>
                </a:r>
                <a:r>
                  <a:rPr lang="en-IN" sz="1050">
                    <a:latin typeface="Times New Roman" panose="02020603050405020304" pitchFamily="18" charset="0"/>
                    <a:cs typeface="Times New Roman" panose="02020603050405020304" pitchFamily="18" charset="0"/>
                  </a:rPr>
                  <a:t>)</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1412433872"/>
        <c:crosses val="autoZero"/>
        <c:auto val="1"/>
        <c:lblAlgn val="ctr"/>
        <c:lblOffset val="100"/>
        <c:noMultiLvlLbl val="0"/>
      </c:catAx>
      <c:valAx>
        <c:axId val="-1412433872"/>
        <c:scaling>
          <c:orientation val="minMax"/>
        </c:scaling>
        <c:delete val="0"/>
        <c:axPos val="l"/>
        <c:title>
          <c:tx>
            <c:rich>
              <a:bodyPr rot="-5400000" vert="horz"/>
              <a:lstStyle/>
              <a:p>
                <a:pPr>
                  <a:defRPr sz="1050">
                    <a:latin typeface="Times New Roman" panose="02020603050405020304" pitchFamily="18" charset="0"/>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Number of animals</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41244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N" sz="1400" b="0" i="0" u="none" strike="noStrike" baseline="0">
                <a:effectLst/>
              </a:rPr>
              <a:t>(i)</a:t>
            </a:r>
            <a:endParaRPr lang="en-US"/>
          </a:p>
        </c:rich>
      </c:tx>
      <c:layout>
        <c:manualLayout>
          <c:xMode val="edge"/>
          <c:yMode val="edge"/>
          <c:x val="0.11165894880988797"/>
          <c:y val="3.9473684210526355E-2"/>
        </c:manualLayout>
      </c:layout>
      <c:overlay val="0"/>
      <c:spPr>
        <a:noFill/>
        <a:ln>
          <a:noFill/>
        </a:ln>
        <a:effectLst/>
      </c:spPr>
    </c:title>
    <c:autoTitleDeleted val="0"/>
    <c:plotArea>
      <c:layout/>
      <c:scatterChart>
        <c:scatterStyle val="lineMarker"/>
        <c:varyColors val="0"/>
        <c:ser>
          <c:idx val="0"/>
          <c:order val="0"/>
          <c:tx>
            <c:strRef>
              <c:f>Graphs!$DB$2</c:f>
              <c:strCache>
                <c:ptCount val="1"/>
                <c:pt idx="0">
                  <c:v>AMH</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30039207913656313"/>
                  <c:y val="-0.1847358060505594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Graphs!$DA$3:$DA$86</c:f>
              <c:numCache>
                <c:formatCode>General</c:formatCode>
                <c:ptCount val="84"/>
                <c:pt idx="0">
                  <c:v>104</c:v>
                </c:pt>
                <c:pt idx="1">
                  <c:v>88</c:v>
                </c:pt>
                <c:pt idx="2">
                  <c:v>80</c:v>
                </c:pt>
                <c:pt idx="3">
                  <c:v>75</c:v>
                </c:pt>
                <c:pt idx="4">
                  <c:v>65</c:v>
                </c:pt>
                <c:pt idx="5">
                  <c:v>65</c:v>
                </c:pt>
                <c:pt idx="6">
                  <c:v>64</c:v>
                </c:pt>
                <c:pt idx="7">
                  <c:v>64</c:v>
                </c:pt>
                <c:pt idx="8">
                  <c:v>62</c:v>
                </c:pt>
                <c:pt idx="9">
                  <c:v>58</c:v>
                </c:pt>
                <c:pt idx="10">
                  <c:v>57</c:v>
                </c:pt>
                <c:pt idx="11">
                  <c:v>57</c:v>
                </c:pt>
                <c:pt idx="12">
                  <c:v>56</c:v>
                </c:pt>
                <c:pt idx="13">
                  <c:v>51</c:v>
                </c:pt>
                <c:pt idx="14">
                  <c:v>49</c:v>
                </c:pt>
                <c:pt idx="15">
                  <c:v>49</c:v>
                </c:pt>
                <c:pt idx="16">
                  <c:v>48</c:v>
                </c:pt>
                <c:pt idx="17">
                  <c:v>45</c:v>
                </c:pt>
                <c:pt idx="18">
                  <c:v>44</c:v>
                </c:pt>
                <c:pt idx="19">
                  <c:v>43</c:v>
                </c:pt>
                <c:pt idx="20">
                  <c:v>42</c:v>
                </c:pt>
                <c:pt idx="21">
                  <c:v>42</c:v>
                </c:pt>
                <c:pt idx="22">
                  <c:v>41</c:v>
                </c:pt>
                <c:pt idx="23">
                  <c:v>41</c:v>
                </c:pt>
                <c:pt idx="24">
                  <c:v>41</c:v>
                </c:pt>
                <c:pt idx="25">
                  <c:v>41</c:v>
                </c:pt>
                <c:pt idx="26">
                  <c:v>41</c:v>
                </c:pt>
                <c:pt idx="27">
                  <c:v>40</c:v>
                </c:pt>
                <c:pt idx="28">
                  <c:v>40</c:v>
                </c:pt>
                <c:pt idx="29">
                  <c:v>38</c:v>
                </c:pt>
                <c:pt idx="30">
                  <c:v>37</c:v>
                </c:pt>
                <c:pt idx="31">
                  <c:v>37</c:v>
                </c:pt>
                <c:pt idx="32">
                  <c:v>37</c:v>
                </c:pt>
                <c:pt idx="33">
                  <c:v>37</c:v>
                </c:pt>
                <c:pt idx="34">
                  <c:v>37</c:v>
                </c:pt>
                <c:pt idx="35">
                  <c:v>36</c:v>
                </c:pt>
                <c:pt idx="36">
                  <c:v>36</c:v>
                </c:pt>
                <c:pt idx="37">
                  <c:v>35</c:v>
                </c:pt>
                <c:pt idx="38">
                  <c:v>33</c:v>
                </c:pt>
                <c:pt idx="39">
                  <c:v>32</c:v>
                </c:pt>
                <c:pt idx="40">
                  <c:v>32</c:v>
                </c:pt>
                <c:pt idx="41">
                  <c:v>31</c:v>
                </c:pt>
                <c:pt idx="42">
                  <c:v>31</c:v>
                </c:pt>
                <c:pt idx="43">
                  <c:v>30</c:v>
                </c:pt>
                <c:pt idx="44">
                  <c:v>30</c:v>
                </c:pt>
                <c:pt idx="45">
                  <c:v>29</c:v>
                </c:pt>
                <c:pt idx="46">
                  <c:v>29</c:v>
                </c:pt>
                <c:pt idx="47">
                  <c:v>29</c:v>
                </c:pt>
                <c:pt idx="48">
                  <c:v>28</c:v>
                </c:pt>
                <c:pt idx="49">
                  <c:v>28</c:v>
                </c:pt>
                <c:pt idx="50">
                  <c:v>27</c:v>
                </c:pt>
                <c:pt idx="51">
                  <c:v>26</c:v>
                </c:pt>
                <c:pt idx="52">
                  <c:v>26</c:v>
                </c:pt>
                <c:pt idx="53">
                  <c:v>24</c:v>
                </c:pt>
                <c:pt idx="54">
                  <c:v>24</c:v>
                </c:pt>
                <c:pt idx="55">
                  <c:v>23</c:v>
                </c:pt>
                <c:pt idx="56">
                  <c:v>23</c:v>
                </c:pt>
                <c:pt idx="57">
                  <c:v>23</c:v>
                </c:pt>
                <c:pt idx="58">
                  <c:v>21</c:v>
                </c:pt>
                <c:pt idx="59">
                  <c:v>21</c:v>
                </c:pt>
                <c:pt idx="60">
                  <c:v>21</c:v>
                </c:pt>
                <c:pt idx="61">
                  <c:v>20</c:v>
                </c:pt>
                <c:pt idx="62">
                  <c:v>19</c:v>
                </c:pt>
                <c:pt idx="63">
                  <c:v>18</c:v>
                </c:pt>
                <c:pt idx="64">
                  <c:v>18</c:v>
                </c:pt>
                <c:pt idx="65">
                  <c:v>18</c:v>
                </c:pt>
                <c:pt idx="66">
                  <c:v>16</c:v>
                </c:pt>
                <c:pt idx="67">
                  <c:v>15</c:v>
                </c:pt>
                <c:pt idx="68">
                  <c:v>15</c:v>
                </c:pt>
                <c:pt idx="69">
                  <c:v>15</c:v>
                </c:pt>
                <c:pt idx="70">
                  <c:v>15</c:v>
                </c:pt>
                <c:pt idx="71">
                  <c:v>15</c:v>
                </c:pt>
                <c:pt idx="72">
                  <c:v>15</c:v>
                </c:pt>
                <c:pt idx="73">
                  <c:v>14</c:v>
                </c:pt>
                <c:pt idx="74">
                  <c:v>14</c:v>
                </c:pt>
                <c:pt idx="75">
                  <c:v>14</c:v>
                </c:pt>
                <c:pt idx="76">
                  <c:v>14</c:v>
                </c:pt>
                <c:pt idx="77">
                  <c:v>13</c:v>
                </c:pt>
                <c:pt idx="78">
                  <c:v>13</c:v>
                </c:pt>
                <c:pt idx="79">
                  <c:v>13</c:v>
                </c:pt>
                <c:pt idx="80">
                  <c:v>12</c:v>
                </c:pt>
                <c:pt idx="81">
                  <c:v>7</c:v>
                </c:pt>
                <c:pt idx="82">
                  <c:v>4</c:v>
                </c:pt>
                <c:pt idx="83">
                  <c:v>3</c:v>
                </c:pt>
              </c:numCache>
            </c:numRef>
          </c:xVal>
          <c:yVal>
            <c:numRef>
              <c:f>Graphs!$DB$3:$DB$86</c:f>
              <c:numCache>
                <c:formatCode>General</c:formatCode>
                <c:ptCount val="84"/>
                <c:pt idx="0">
                  <c:v>2.3494837803025002</c:v>
                </c:pt>
                <c:pt idx="1">
                  <c:v>0.87449334068260354</c:v>
                </c:pt>
                <c:pt idx="2">
                  <c:v>0.66407504362201186</c:v>
                </c:pt>
                <c:pt idx="3">
                  <c:v>0.86081996759504575</c:v>
                </c:pt>
                <c:pt idx="4">
                  <c:v>0.74125766562534923</c:v>
                </c:pt>
                <c:pt idx="5">
                  <c:v>1.8147197424798418</c:v>
                </c:pt>
                <c:pt idx="6">
                  <c:v>0.45669687697908345</c:v>
                </c:pt>
                <c:pt idx="7">
                  <c:v>1.0485113398125721</c:v>
                </c:pt>
                <c:pt idx="8">
                  <c:v>0.58128156310158907</c:v>
                </c:pt>
                <c:pt idx="9">
                  <c:v>1.3945457222911217</c:v>
                </c:pt>
                <c:pt idx="10">
                  <c:v>2.1145648459479447</c:v>
                </c:pt>
                <c:pt idx="11">
                  <c:v>2.569926196955429</c:v>
                </c:pt>
                <c:pt idx="12">
                  <c:v>4.2058858536926955</c:v>
                </c:pt>
                <c:pt idx="13">
                  <c:v>4.352648152091203</c:v>
                </c:pt>
                <c:pt idx="14">
                  <c:v>0.75895095145104663</c:v>
                </c:pt>
                <c:pt idx="15">
                  <c:v>0.77707335095019514</c:v>
                </c:pt>
                <c:pt idx="16">
                  <c:v>1.7157633908255645</c:v>
                </c:pt>
                <c:pt idx="17">
                  <c:v>1.180579340726396</c:v>
                </c:pt>
                <c:pt idx="18">
                  <c:v>0.46381916670015638</c:v>
                </c:pt>
                <c:pt idx="19">
                  <c:v>0.63355500507039164</c:v>
                </c:pt>
                <c:pt idx="20">
                  <c:v>0.66407504362201186</c:v>
                </c:pt>
                <c:pt idx="21">
                  <c:v>1.152874668218834</c:v>
                </c:pt>
                <c:pt idx="22">
                  <c:v>0.64863150016304272</c:v>
                </c:pt>
                <c:pt idx="23">
                  <c:v>0.75300601152701174</c:v>
                </c:pt>
                <c:pt idx="24">
                  <c:v>0.80192193091843866</c:v>
                </c:pt>
                <c:pt idx="25">
                  <c:v>0.87449334068260354</c:v>
                </c:pt>
                <c:pt idx="26">
                  <c:v>1.8147197424798418</c:v>
                </c:pt>
                <c:pt idx="27">
                  <c:v>0.68525232528115199</c:v>
                </c:pt>
                <c:pt idx="28">
                  <c:v>1.3087082943040618</c:v>
                </c:pt>
                <c:pt idx="29">
                  <c:v>0.67457890061540915</c:v>
                </c:pt>
                <c:pt idx="30">
                  <c:v>0.49350534542147778</c:v>
                </c:pt>
                <c:pt idx="31">
                  <c:v>0.63355500507039164</c:v>
                </c:pt>
                <c:pt idx="32">
                  <c:v>0.73545351956219862</c:v>
                </c:pt>
                <c:pt idx="33">
                  <c:v>0.86762934898073563</c:v>
                </c:pt>
                <c:pt idx="34">
                  <c:v>1.571430568461968</c:v>
                </c:pt>
                <c:pt idx="35">
                  <c:v>0.49350534542147778</c:v>
                </c:pt>
                <c:pt idx="36">
                  <c:v>0.61400950488446682</c:v>
                </c:pt>
                <c:pt idx="37">
                  <c:v>1.267837878208014</c:v>
                </c:pt>
                <c:pt idx="38">
                  <c:v>0.52111949914199918</c:v>
                </c:pt>
                <c:pt idx="39">
                  <c:v>0.71775264197459265</c:v>
                </c:pt>
                <c:pt idx="40">
                  <c:v>1.3945457222911217</c:v>
                </c:pt>
                <c:pt idx="41">
                  <c:v>0.63854024280101163</c:v>
                </c:pt>
                <c:pt idx="42">
                  <c:v>1.2185780569473159</c:v>
                </c:pt>
                <c:pt idx="43">
                  <c:v>1.6095007584791341</c:v>
                </c:pt>
                <c:pt idx="44">
                  <c:v>3.2922175828800055</c:v>
                </c:pt>
                <c:pt idx="45">
                  <c:v>0.62664255016311776</c:v>
                </c:pt>
                <c:pt idx="46">
                  <c:v>0.69609797484305469</c:v>
                </c:pt>
                <c:pt idx="47">
                  <c:v>1.2578257362064758</c:v>
                </c:pt>
                <c:pt idx="48">
                  <c:v>1.6750869165427793</c:v>
                </c:pt>
                <c:pt idx="49">
                  <c:v>2.4671079985055027</c:v>
                </c:pt>
                <c:pt idx="50">
                  <c:v>0.69065345401267164</c:v>
                </c:pt>
                <c:pt idx="51">
                  <c:v>0.50830050473963817</c:v>
                </c:pt>
                <c:pt idx="52">
                  <c:v>0.8341198312081064</c:v>
                </c:pt>
                <c:pt idx="53">
                  <c:v>0.55466169987998082</c:v>
                </c:pt>
                <c:pt idx="54">
                  <c:v>0.74125766562534923</c:v>
                </c:pt>
                <c:pt idx="55">
                  <c:v>0.53761885491726058</c:v>
                </c:pt>
                <c:pt idx="56">
                  <c:v>0.66930594039055014</c:v>
                </c:pt>
                <c:pt idx="57">
                  <c:v>0.66930594039055014</c:v>
                </c:pt>
                <c:pt idx="58">
                  <c:v>0.47105938845866135</c:v>
                </c:pt>
                <c:pt idx="59">
                  <c:v>0.63355500507039164</c:v>
                </c:pt>
                <c:pt idx="60">
                  <c:v>1.2089629529130779</c:v>
                </c:pt>
                <c:pt idx="61">
                  <c:v>1.7434500025151138</c:v>
                </c:pt>
                <c:pt idx="62">
                  <c:v>0.49735448728150328</c:v>
                </c:pt>
                <c:pt idx="63">
                  <c:v>0.45669687697908345</c:v>
                </c:pt>
                <c:pt idx="64">
                  <c:v>0.509091955331198</c:v>
                </c:pt>
                <c:pt idx="65">
                  <c:v>0.63904097010629879</c:v>
                </c:pt>
                <c:pt idx="66">
                  <c:v>1.288107294580187</c:v>
                </c:pt>
                <c:pt idx="67">
                  <c:v>0.49735448728150328</c:v>
                </c:pt>
                <c:pt idx="68">
                  <c:v>0.54182797389304671</c:v>
                </c:pt>
                <c:pt idx="69">
                  <c:v>0.63604262361828556</c:v>
                </c:pt>
                <c:pt idx="70">
                  <c:v>0.75300601152701174</c:v>
                </c:pt>
                <c:pt idx="71">
                  <c:v>0.81464704011519584</c:v>
                </c:pt>
                <c:pt idx="72">
                  <c:v>1.2054250134208926</c:v>
                </c:pt>
                <c:pt idx="73">
                  <c:v>0.46024338888261501</c:v>
                </c:pt>
                <c:pt idx="74">
                  <c:v>0.63854024280101163</c:v>
                </c:pt>
                <c:pt idx="75">
                  <c:v>0.66407504362201186</c:v>
                </c:pt>
                <c:pt idx="76">
                  <c:v>2.8830464764262187</c:v>
                </c:pt>
                <c:pt idx="77">
                  <c:v>0.40686915989169481</c:v>
                </c:pt>
                <c:pt idx="78">
                  <c:v>0.47105938845866135</c:v>
                </c:pt>
                <c:pt idx="79">
                  <c:v>0.62860961638401158</c:v>
                </c:pt>
                <c:pt idx="80">
                  <c:v>0.88838693063022856</c:v>
                </c:pt>
                <c:pt idx="81">
                  <c:v>0.59975720287657974</c:v>
                </c:pt>
                <c:pt idx="82">
                  <c:v>0.63355500507039164</c:v>
                </c:pt>
                <c:pt idx="83">
                  <c:v>0.62860961638401158</c:v>
                </c:pt>
              </c:numCache>
            </c:numRef>
          </c:yVal>
          <c:smooth val="0"/>
          <c:extLst>
            <c:ext xmlns:c16="http://schemas.microsoft.com/office/drawing/2014/chart" uri="{C3380CC4-5D6E-409C-BE32-E72D297353CC}">
              <c16:uniqueId val="{00000001-67AB-43B8-8874-9454B267F625}"/>
            </c:ext>
          </c:extLst>
        </c:ser>
        <c:dLbls>
          <c:showLegendKey val="0"/>
          <c:showVal val="0"/>
          <c:showCatName val="0"/>
          <c:showSerName val="0"/>
          <c:showPercent val="0"/>
          <c:showBubbleSize val="0"/>
        </c:dLbls>
        <c:axId val="-1412437680"/>
        <c:axId val="-1412432784"/>
      </c:scatterChart>
      <c:valAx>
        <c:axId val="-14124376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AFC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2784"/>
        <c:crosses val="autoZero"/>
        <c:crossBetween val="midCat"/>
      </c:valAx>
      <c:valAx>
        <c:axId val="-1412432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AMH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7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400"/>
              <a:t>(ii)</a:t>
            </a:r>
          </a:p>
        </c:rich>
      </c:tx>
      <c:layout>
        <c:manualLayout>
          <c:xMode val="edge"/>
          <c:yMode val="edge"/>
          <c:x val="7.9172567457844914E-2"/>
          <c:y val="4.778156996587031E-2"/>
        </c:manualLayout>
      </c:layout>
      <c:overlay val="0"/>
      <c:spPr>
        <a:noFill/>
        <a:ln>
          <a:noFill/>
        </a:ln>
        <a:effectLst/>
      </c:spPr>
    </c:title>
    <c:autoTitleDeleted val="0"/>
    <c:plotArea>
      <c:layout>
        <c:manualLayout>
          <c:layoutTarget val="inner"/>
          <c:xMode val="edge"/>
          <c:yMode val="edge"/>
          <c:x val="0.23853320493211741"/>
          <c:y val="0.253174061433449"/>
          <c:w val="0.67590324590721129"/>
          <c:h val="0.44373169224154124"/>
        </c:manualLayout>
      </c:layout>
      <c:scatterChart>
        <c:scatterStyle val="lineMarker"/>
        <c:varyColors val="0"/>
        <c:ser>
          <c:idx val="0"/>
          <c:order val="0"/>
          <c:tx>
            <c:strRef>
              <c:f>Graphs!$CT$2</c:f>
              <c:strCache>
                <c:ptCount val="1"/>
                <c:pt idx="0">
                  <c:v>AFC</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20919012821239091"/>
                  <c:y val="-0.246598586439495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Graphs!$CS$3:$CS$86</c:f>
              <c:numCache>
                <c:formatCode>General</c:formatCode>
                <c:ptCount val="84"/>
                <c:pt idx="0">
                  <c:v>59</c:v>
                </c:pt>
                <c:pt idx="1">
                  <c:v>102</c:v>
                </c:pt>
                <c:pt idx="2">
                  <c:v>69</c:v>
                </c:pt>
                <c:pt idx="3">
                  <c:v>46</c:v>
                </c:pt>
                <c:pt idx="4">
                  <c:v>107</c:v>
                </c:pt>
                <c:pt idx="5">
                  <c:v>126</c:v>
                </c:pt>
                <c:pt idx="6">
                  <c:v>94</c:v>
                </c:pt>
                <c:pt idx="7">
                  <c:v>64</c:v>
                </c:pt>
                <c:pt idx="8">
                  <c:v>125</c:v>
                </c:pt>
                <c:pt idx="9">
                  <c:v>43</c:v>
                </c:pt>
                <c:pt idx="10">
                  <c:v>69</c:v>
                </c:pt>
                <c:pt idx="11">
                  <c:v>69</c:v>
                </c:pt>
                <c:pt idx="12">
                  <c:v>46</c:v>
                </c:pt>
                <c:pt idx="13">
                  <c:v>62</c:v>
                </c:pt>
                <c:pt idx="14">
                  <c:v>95</c:v>
                </c:pt>
                <c:pt idx="15">
                  <c:v>115</c:v>
                </c:pt>
                <c:pt idx="16">
                  <c:v>54</c:v>
                </c:pt>
                <c:pt idx="17">
                  <c:v>57</c:v>
                </c:pt>
                <c:pt idx="18">
                  <c:v>186</c:v>
                </c:pt>
                <c:pt idx="19">
                  <c:v>95</c:v>
                </c:pt>
                <c:pt idx="20">
                  <c:v>85</c:v>
                </c:pt>
                <c:pt idx="21">
                  <c:v>75</c:v>
                </c:pt>
                <c:pt idx="22">
                  <c:v>74</c:v>
                </c:pt>
                <c:pt idx="23">
                  <c:v>83</c:v>
                </c:pt>
                <c:pt idx="24">
                  <c:v>155</c:v>
                </c:pt>
                <c:pt idx="25">
                  <c:v>61</c:v>
                </c:pt>
                <c:pt idx="26">
                  <c:v>62</c:v>
                </c:pt>
                <c:pt idx="27">
                  <c:v>81</c:v>
                </c:pt>
                <c:pt idx="28">
                  <c:v>115</c:v>
                </c:pt>
                <c:pt idx="29">
                  <c:v>88</c:v>
                </c:pt>
                <c:pt idx="30">
                  <c:v>202</c:v>
                </c:pt>
                <c:pt idx="31">
                  <c:v>144</c:v>
                </c:pt>
                <c:pt idx="32">
                  <c:v>62</c:v>
                </c:pt>
                <c:pt idx="33">
                  <c:v>88</c:v>
                </c:pt>
                <c:pt idx="34">
                  <c:v>57</c:v>
                </c:pt>
                <c:pt idx="35">
                  <c:v>117</c:v>
                </c:pt>
                <c:pt idx="36">
                  <c:v>93</c:v>
                </c:pt>
                <c:pt idx="37">
                  <c:v>73</c:v>
                </c:pt>
                <c:pt idx="38">
                  <c:v>81</c:v>
                </c:pt>
                <c:pt idx="39">
                  <c:v>75</c:v>
                </c:pt>
                <c:pt idx="40">
                  <c:v>220</c:v>
                </c:pt>
                <c:pt idx="41">
                  <c:v>168</c:v>
                </c:pt>
                <c:pt idx="42">
                  <c:v>82</c:v>
                </c:pt>
                <c:pt idx="43">
                  <c:v>58</c:v>
                </c:pt>
                <c:pt idx="44">
                  <c:v>77</c:v>
                </c:pt>
                <c:pt idx="45">
                  <c:v>85</c:v>
                </c:pt>
                <c:pt idx="46">
                  <c:v>81</c:v>
                </c:pt>
                <c:pt idx="47">
                  <c:v>66</c:v>
                </c:pt>
                <c:pt idx="48">
                  <c:v>48</c:v>
                </c:pt>
                <c:pt idx="49">
                  <c:v>61</c:v>
                </c:pt>
                <c:pt idx="50">
                  <c:v>74</c:v>
                </c:pt>
                <c:pt idx="51">
                  <c:v>88</c:v>
                </c:pt>
                <c:pt idx="52">
                  <c:v>123</c:v>
                </c:pt>
                <c:pt idx="53">
                  <c:v>166</c:v>
                </c:pt>
                <c:pt idx="54">
                  <c:v>88</c:v>
                </c:pt>
                <c:pt idx="55">
                  <c:v>102</c:v>
                </c:pt>
                <c:pt idx="56">
                  <c:v>93</c:v>
                </c:pt>
                <c:pt idx="57">
                  <c:v>92</c:v>
                </c:pt>
                <c:pt idx="58">
                  <c:v>136</c:v>
                </c:pt>
                <c:pt idx="59">
                  <c:v>117</c:v>
                </c:pt>
                <c:pt idx="60">
                  <c:v>78</c:v>
                </c:pt>
                <c:pt idx="61">
                  <c:v>69</c:v>
                </c:pt>
                <c:pt idx="62">
                  <c:v>92</c:v>
                </c:pt>
                <c:pt idx="63">
                  <c:v>235</c:v>
                </c:pt>
                <c:pt idx="64">
                  <c:v>135</c:v>
                </c:pt>
                <c:pt idx="65">
                  <c:v>86</c:v>
                </c:pt>
                <c:pt idx="66">
                  <c:v>64</c:v>
                </c:pt>
                <c:pt idx="67">
                  <c:v>156</c:v>
                </c:pt>
                <c:pt idx="68">
                  <c:v>113</c:v>
                </c:pt>
                <c:pt idx="69">
                  <c:v>211</c:v>
                </c:pt>
                <c:pt idx="70">
                  <c:v>150</c:v>
                </c:pt>
                <c:pt idx="71">
                  <c:v>158</c:v>
                </c:pt>
                <c:pt idx="72">
                  <c:v>96</c:v>
                </c:pt>
                <c:pt idx="73">
                  <c:v>234</c:v>
                </c:pt>
                <c:pt idx="74">
                  <c:v>145</c:v>
                </c:pt>
                <c:pt idx="75">
                  <c:v>206</c:v>
                </c:pt>
                <c:pt idx="76">
                  <c:v>64</c:v>
                </c:pt>
                <c:pt idx="77">
                  <c:v>244</c:v>
                </c:pt>
                <c:pt idx="78">
                  <c:v>205</c:v>
                </c:pt>
                <c:pt idx="79">
                  <c:v>204</c:v>
                </c:pt>
                <c:pt idx="80">
                  <c:v>154</c:v>
                </c:pt>
                <c:pt idx="81">
                  <c:v>240</c:v>
                </c:pt>
                <c:pt idx="82">
                  <c:v>189</c:v>
                </c:pt>
                <c:pt idx="83">
                  <c:v>153</c:v>
                </c:pt>
              </c:numCache>
            </c:numRef>
          </c:xVal>
          <c:yVal>
            <c:numRef>
              <c:f>Graphs!$CT$3:$CT$86</c:f>
              <c:numCache>
                <c:formatCode>General</c:formatCode>
                <c:ptCount val="84"/>
                <c:pt idx="0">
                  <c:v>104</c:v>
                </c:pt>
                <c:pt idx="1">
                  <c:v>88</c:v>
                </c:pt>
                <c:pt idx="2">
                  <c:v>80</c:v>
                </c:pt>
                <c:pt idx="3">
                  <c:v>75</c:v>
                </c:pt>
                <c:pt idx="4">
                  <c:v>65</c:v>
                </c:pt>
                <c:pt idx="5">
                  <c:v>65</c:v>
                </c:pt>
                <c:pt idx="6">
                  <c:v>64</c:v>
                </c:pt>
                <c:pt idx="7">
                  <c:v>64</c:v>
                </c:pt>
                <c:pt idx="8">
                  <c:v>62</c:v>
                </c:pt>
                <c:pt idx="9">
                  <c:v>58</c:v>
                </c:pt>
                <c:pt idx="10">
                  <c:v>57</c:v>
                </c:pt>
                <c:pt idx="11">
                  <c:v>57</c:v>
                </c:pt>
                <c:pt idx="12">
                  <c:v>56</c:v>
                </c:pt>
                <c:pt idx="13">
                  <c:v>51</c:v>
                </c:pt>
                <c:pt idx="14">
                  <c:v>49</c:v>
                </c:pt>
                <c:pt idx="15">
                  <c:v>49</c:v>
                </c:pt>
                <c:pt idx="16">
                  <c:v>48</c:v>
                </c:pt>
                <c:pt idx="17">
                  <c:v>45</c:v>
                </c:pt>
                <c:pt idx="18">
                  <c:v>44</c:v>
                </c:pt>
                <c:pt idx="19">
                  <c:v>43</c:v>
                </c:pt>
                <c:pt idx="20">
                  <c:v>42</c:v>
                </c:pt>
                <c:pt idx="21">
                  <c:v>42</c:v>
                </c:pt>
                <c:pt idx="22">
                  <c:v>41</c:v>
                </c:pt>
                <c:pt idx="23">
                  <c:v>41</c:v>
                </c:pt>
                <c:pt idx="24">
                  <c:v>41</c:v>
                </c:pt>
                <c:pt idx="25">
                  <c:v>41</c:v>
                </c:pt>
                <c:pt idx="26">
                  <c:v>41</c:v>
                </c:pt>
                <c:pt idx="27">
                  <c:v>40</c:v>
                </c:pt>
                <c:pt idx="28">
                  <c:v>40</c:v>
                </c:pt>
                <c:pt idx="29">
                  <c:v>38</c:v>
                </c:pt>
                <c:pt idx="30">
                  <c:v>37</c:v>
                </c:pt>
                <c:pt idx="31">
                  <c:v>37</c:v>
                </c:pt>
                <c:pt idx="32">
                  <c:v>37</c:v>
                </c:pt>
                <c:pt idx="33">
                  <c:v>37</c:v>
                </c:pt>
                <c:pt idx="34">
                  <c:v>37</c:v>
                </c:pt>
                <c:pt idx="35">
                  <c:v>36</c:v>
                </c:pt>
                <c:pt idx="36">
                  <c:v>36</c:v>
                </c:pt>
                <c:pt idx="37">
                  <c:v>35</c:v>
                </c:pt>
                <c:pt idx="38">
                  <c:v>33</c:v>
                </c:pt>
                <c:pt idx="39">
                  <c:v>32</c:v>
                </c:pt>
                <c:pt idx="40">
                  <c:v>32</c:v>
                </c:pt>
                <c:pt idx="41">
                  <c:v>31</c:v>
                </c:pt>
                <c:pt idx="42">
                  <c:v>31</c:v>
                </c:pt>
                <c:pt idx="43">
                  <c:v>30</c:v>
                </c:pt>
                <c:pt idx="44">
                  <c:v>30</c:v>
                </c:pt>
                <c:pt idx="45">
                  <c:v>29</c:v>
                </c:pt>
                <c:pt idx="46">
                  <c:v>29</c:v>
                </c:pt>
                <c:pt idx="47">
                  <c:v>29</c:v>
                </c:pt>
                <c:pt idx="48">
                  <c:v>28</c:v>
                </c:pt>
                <c:pt idx="49">
                  <c:v>28</c:v>
                </c:pt>
                <c:pt idx="50">
                  <c:v>27</c:v>
                </c:pt>
                <c:pt idx="51">
                  <c:v>26</c:v>
                </c:pt>
                <c:pt idx="52">
                  <c:v>26</c:v>
                </c:pt>
                <c:pt idx="53">
                  <c:v>24</c:v>
                </c:pt>
                <c:pt idx="54">
                  <c:v>24</c:v>
                </c:pt>
                <c:pt idx="55">
                  <c:v>23</c:v>
                </c:pt>
                <c:pt idx="56">
                  <c:v>23</c:v>
                </c:pt>
                <c:pt idx="57">
                  <c:v>23</c:v>
                </c:pt>
                <c:pt idx="58">
                  <c:v>21</c:v>
                </c:pt>
                <c:pt idx="59">
                  <c:v>21</c:v>
                </c:pt>
                <c:pt idx="60">
                  <c:v>21</c:v>
                </c:pt>
                <c:pt idx="61">
                  <c:v>20</c:v>
                </c:pt>
                <c:pt idx="62">
                  <c:v>19</c:v>
                </c:pt>
                <c:pt idx="63">
                  <c:v>18</c:v>
                </c:pt>
                <c:pt idx="64">
                  <c:v>18</c:v>
                </c:pt>
                <c:pt idx="65">
                  <c:v>18</c:v>
                </c:pt>
                <c:pt idx="66">
                  <c:v>16</c:v>
                </c:pt>
                <c:pt idx="67">
                  <c:v>15</c:v>
                </c:pt>
                <c:pt idx="68">
                  <c:v>15</c:v>
                </c:pt>
                <c:pt idx="69">
                  <c:v>15</c:v>
                </c:pt>
                <c:pt idx="70">
                  <c:v>15</c:v>
                </c:pt>
                <c:pt idx="71">
                  <c:v>15</c:v>
                </c:pt>
                <c:pt idx="72">
                  <c:v>15</c:v>
                </c:pt>
                <c:pt idx="73">
                  <c:v>14</c:v>
                </c:pt>
                <c:pt idx="74">
                  <c:v>14</c:v>
                </c:pt>
                <c:pt idx="75">
                  <c:v>14</c:v>
                </c:pt>
                <c:pt idx="76">
                  <c:v>14</c:v>
                </c:pt>
                <c:pt idx="77">
                  <c:v>13</c:v>
                </c:pt>
                <c:pt idx="78">
                  <c:v>13</c:v>
                </c:pt>
                <c:pt idx="79">
                  <c:v>13</c:v>
                </c:pt>
                <c:pt idx="80">
                  <c:v>12</c:v>
                </c:pt>
                <c:pt idx="81">
                  <c:v>7</c:v>
                </c:pt>
                <c:pt idx="82">
                  <c:v>4</c:v>
                </c:pt>
                <c:pt idx="83">
                  <c:v>3</c:v>
                </c:pt>
              </c:numCache>
            </c:numRef>
          </c:yVal>
          <c:smooth val="0"/>
          <c:extLst>
            <c:ext xmlns:c16="http://schemas.microsoft.com/office/drawing/2014/chart" uri="{C3380CC4-5D6E-409C-BE32-E72D297353CC}">
              <c16:uniqueId val="{00000001-D9A4-4828-9796-15C487207CC8}"/>
            </c:ext>
          </c:extLst>
        </c:ser>
        <c:dLbls>
          <c:showLegendKey val="0"/>
          <c:showVal val="0"/>
          <c:showCatName val="0"/>
          <c:showSerName val="0"/>
          <c:showPercent val="0"/>
          <c:showBubbleSize val="0"/>
        </c:dLbls>
        <c:axId val="-1412431696"/>
        <c:axId val="-1412430608"/>
      </c:scatterChart>
      <c:valAx>
        <c:axId val="-14124316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Age in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0608"/>
        <c:crosses val="autoZero"/>
        <c:crossBetween val="midCat"/>
      </c:valAx>
      <c:valAx>
        <c:axId val="-14124306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AFC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16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(iii)</a:t>
            </a:r>
          </a:p>
        </c:rich>
      </c:tx>
      <c:layout>
        <c:manualLayout>
          <c:xMode val="edge"/>
          <c:yMode val="edge"/>
          <c:x val="8.3735802776347304E-2"/>
          <c:y val="5.4054054054054092E-2"/>
        </c:manualLayout>
      </c:layout>
      <c:overlay val="0"/>
      <c:spPr>
        <a:noFill/>
        <a:ln>
          <a:noFill/>
        </a:ln>
        <a:effectLst/>
      </c:spPr>
    </c:title>
    <c:autoTitleDeleted val="0"/>
    <c:plotArea>
      <c:layout/>
      <c:scatterChart>
        <c:scatterStyle val="lineMarker"/>
        <c:varyColors val="0"/>
        <c:ser>
          <c:idx val="0"/>
          <c:order val="0"/>
          <c:tx>
            <c:strRef>
              <c:f>Graphs!$CV$2</c:f>
              <c:strCache>
                <c:ptCount val="1"/>
                <c:pt idx="0">
                  <c:v>AMH</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7943655462931693"/>
                  <c:y val="-0.27450468184720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Graphs!$CU$3:$CU$86</c:f>
              <c:numCache>
                <c:formatCode>General</c:formatCode>
                <c:ptCount val="84"/>
                <c:pt idx="0">
                  <c:v>59</c:v>
                </c:pt>
                <c:pt idx="1">
                  <c:v>102</c:v>
                </c:pt>
                <c:pt idx="2">
                  <c:v>69</c:v>
                </c:pt>
                <c:pt idx="3">
                  <c:v>46</c:v>
                </c:pt>
                <c:pt idx="4">
                  <c:v>107</c:v>
                </c:pt>
                <c:pt idx="5">
                  <c:v>126</c:v>
                </c:pt>
                <c:pt idx="6">
                  <c:v>94</c:v>
                </c:pt>
                <c:pt idx="7">
                  <c:v>64</c:v>
                </c:pt>
                <c:pt idx="8">
                  <c:v>125</c:v>
                </c:pt>
                <c:pt idx="9">
                  <c:v>43</c:v>
                </c:pt>
                <c:pt idx="10">
                  <c:v>69</c:v>
                </c:pt>
                <c:pt idx="11">
                  <c:v>69</c:v>
                </c:pt>
                <c:pt idx="12">
                  <c:v>46</c:v>
                </c:pt>
                <c:pt idx="13">
                  <c:v>62</c:v>
                </c:pt>
                <c:pt idx="14">
                  <c:v>95</c:v>
                </c:pt>
                <c:pt idx="15">
                  <c:v>115</c:v>
                </c:pt>
                <c:pt idx="16">
                  <c:v>54</c:v>
                </c:pt>
                <c:pt idx="17">
                  <c:v>57</c:v>
                </c:pt>
                <c:pt idx="18">
                  <c:v>186</c:v>
                </c:pt>
                <c:pt idx="19">
                  <c:v>95</c:v>
                </c:pt>
                <c:pt idx="20">
                  <c:v>85</c:v>
                </c:pt>
                <c:pt idx="21">
                  <c:v>75</c:v>
                </c:pt>
                <c:pt idx="22">
                  <c:v>74</c:v>
                </c:pt>
                <c:pt idx="23">
                  <c:v>83</c:v>
                </c:pt>
                <c:pt idx="24">
                  <c:v>155</c:v>
                </c:pt>
                <c:pt idx="25">
                  <c:v>61</c:v>
                </c:pt>
                <c:pt idx="26">
                  <c:v>62</c:v>
                </c:pt>
                <c:pt idx="27">
                  <c:v>81</c:v>
                </c:pt>
                <c:pt idx="28">
                  <c:v>115</c:v>
                </c:pt>
                <c:pt idx="29">
                  <c:v>88</c:v>
                </c:pt>
                <c:pt idx="30">
                  <c:v>202</c:v>
                </c:pt>
                <c:pt idx="31">
                  <c:v>144</c:v>
                </c:pt>
                <c:pt idx="32">
                  <c:v>62</c:v>
                </c:pt>
                <c:pt idx="33">
                  <c:v>88</c:v>
                </c:pt>
                <c:pt idx="34">
                  <c:v>57</c:v>
                </c:pt>
                <c:pt idx="35">
                  <c:v>117</c:v>
                </c:pt>
                <c:pt idx="36">
                  <c:v>93</c:v>
                </c:pt>
                <c:pt idx="37">
                  <c:v>73</c:v>
                </c:pt>
                <c:pt idx="38">
                  <c:v>81</c:v>
                </c:pt>
                <c:pt idx="39">
                  <c:v>75</c:v>
                </c:pt>
                <c:pt idx="40">
                  <c:v>220</c:v>
                </c:pt>
                <c:pt idx="41">
                  <c:v>168</c:v>
                </c:pt>
                <c:pt idx="42">
                  <c:v>82</c:v>
                </c:pt>
                <c:pt idx="43">
                  <c:v>58</c:v>
                </c:pt>
                <c:pt idx="44">
                  <c:v>77</c:v>
                </c:pt>
                <c:pt idx="45">
                  <c:v>85</c:v>
                </c:pt>
                <c:pt idx="46">
                  <c:v>81</c:v>
                </c:pt>
                <c:pt idx="47">
                  <c:v>66</c:v>
                </c:pt>
                <c:pt idx="48">
                  <c:v>48</c:v>
                </c:pt>
                <c:pt idx="49">
                  <c:v>61</c:v>
                </c:pt>
                <c:pt idx="50">
                  <c:v>74</c:v>
                </c:pt>
                <c:pt idx="51">
                  <c:v>88</c:v>
                </c:pt>
                <c:pt idx="52">
                  <c:v>123</c:v>
                </c:pt>
                <c:pt idx="53">
                  <c:v>166</c:v>
                </c:pt>
                <c:pt idx="54">
                  <c:v>88</c:v>
                </c:pt>
                <c:pt idx="55">
                  <c:v>102</c:v>
                </c:pt>
                <c:pt idx="56">
                  <c:v>93</c:v>
                </c:pt>
                <c:pt idx="57">
                  <c:v>92</c:v>
                </c:pt>
                <c:pt idx="58">
                  <c:v>136</c:v>
                </c:pt>
                <c:pt idx="59">
                  <c:v>117</c:v>
                </c:pt>
                <c:pt idx="60">
                  <c:v>78</c:v>
                </c:pt>
                <c:pt idx="61">
                  <c:v>69</c:v>
                </c:pt>
                <c:pt idx="62">
                  <c:v>92</c:v>
                </c:pt>
                <c:pt idx="63">
                  <c:v>235</c:v>
                </c:pt>
                <c:pt idx="64">
                  <c:v>135</c:v>
                </c:pt>
                <c:pt idx="65">
                  <c:v>86</c:v>
                </c:pt>
                <c:pt idx="66">
                  <c:v>64</c:v>
                </c:pt>
                <c:pt idx="67">
                  <c:v>156</c:v>
                </c:pt>
                <c:pt idx="68">
                  <c:v>113</c:v>
                </c:pt>
                <c:pt idx="69">
                  <c:v>211</c:v>
                </c:pt>
                <c:pt idx="70">
                  <c:v>150</c:v>
                </c:pt>
                <c:pt idx="71">
                  <c:v>158</c:v>
                </c:pt>
                <c:pt idx="72">
                  <c:v>96</c:v>
                </c:pt>
                <c:pt idx="73">
                  <c:v>234</c:v>
                </c:pt>
                <c:pt idx="74">
                  <c:v>145</c:v>
                </c:pt>
                <c:pt idx="75">
                  <c:v>206</c:v>
                </c:pt>
                <c:pt idx="76">
                  <c:v>64</c:v>
                </c:pt>
                <c:pt idx="77">
                  <c:v>244</c:v>
                </c:pt>
                <c:pt idx="78">
                  <c:v>205</c:v>
                </c:pt>
                <c:pt idx="79">
                  <c:v>204</c:v>
                </c:pt>
                <c:pt idx="80">
                  <c:v>154</c:v>
                </c:pt>
                <c:pt idx="81">
                  <c:v>240</c:v>
                </c:pt>
                <c:pt idx="82">
                  <c:v>189</c:v>
                </c:pt>
                <c:pt idx="83">
                  <c:v>153</c:v>
                </c:pt>
              </c:numCache>
            </c:numRef>
          </c:xVal>
          <c:yVal>
            <c:numRef>
              <c:f>Graphs!$CV$3:$CV$84</c:f>
              <c:numCache>
                <c:formatCode>General</c:formatCode>
                <c:ptCount val="82"/>
                <c:pt idx="0">
                  <c:v>2.3494837803025002</c:v>
                </c:pt>
                <c:pt idx="1">
                  <c:v>0.87449334068260354</c:v>
                </c:pt>
                <c:pt idx="2">
                  <c:v>0.66407504362201186</c:v>
                </c:pt>
                <c:pt idx="3">
                  <c:v>0.86081996759504575</c:v>
                </c:pt>
                <c:pt idx="4">
                  <c:v>0.74125766562534923</c:v>
                </c:pt>
                <c:pt idx="5">
                  <c:v>1.8147197424798418</c:v>
                </c:pt>
                <c:pt idx="6">
                  <c:v>0.45669687697908345</c:v>
                </c:pt>
                <c:pt idx="7">
                  <c:v>1.0485113398125721</c:v>
                </c:pt>
                <c:pt idx="8">
                  <c:v>0.58128156310158907</c:v>
                </c:pt>
                <c:pt idx="9">
                  <c:v>1.3945457222911217</c:v>
                </c:pt>
                <c:pt idx="10">
                  <c:v>2.1145648459479447</c:v>
                </c:pt>
                <c:pt idx="11">
                  <c:v>2.569926196955429</c:v>
                </c:pt>
                <c:pt idx="12">
                  <c:v>4.2058858536926955</c:v>
                </c:pt>
                <c:pt idx="13">
                  <c:v>4.352648152091203</c:v>
                </c:pt>
                <c:pt idx="14">
                  <c:v>0.75895095145104663</c:v>
                </c:pt>
                <c:pt idx="15">
                  <c:v>0.77707335095019514</c:v>
                </c:pt>
                <c:pt idx="16">
                  <c:v>1.7157633908255645</c:v>
                </c:pt>
                <c:pt idx="17">
                  <c:v>1.180579340726396</c:v>
                </c:pt>
                <c:pt idx="18">
                  <c:v>0.46381916670015638</c:v>
                </c:pt>
                <c:pt idx="19">
                  <c:v>0.63355500507039164</c:v>
                </c:pt>
                <c:pt idx="20">
                  <c:v>0.66407504362201186</c:v>
                </c:pt>
                <c:pt idx="21">
                  <c:v>1.152874668218834</c:v>
                </c:pt>
                <c:pt idx="22">
                  <c:v>0.64863150016304272</c:v>
                </c:pt>
                <c:pt idx="23">
                  <c:v>0.75300601152701174</c:v>
                </c:pt>
                <c:pt idx="24">
                  <c:v>0.80192193091843866</c:v>
                </c:pt>
                <c:pt idx="25">
                  <c:v>0.87449334068260354</c:v>
                </c:pt>
                <c:pt idx="26">
                  <c:v>1.8147197424798418</c:v>
                </c:pt>
                <c:pt idx="27">
                  <c:v>0.68525232528115199</c:v>
                </c:pt>
                <c:pt idx="28">
                  <c:v>1.3087082943040618</c:v>
                </c:pt>
                <c:pt idx="29">
                  <c:v>0.67457890061540915</c:v>
                </c:pt>
                <c:pt idx="30">
                  <c:v>0.49350534542147778</c:v>
                </c:pt>
                <c:pt idx="31">
                  <c:v>0.63355500507039164</c:v>
                </c:pt>
                <c:pt idx="32">
                  <c:v>0.73545351956219862</c:v>
                </c:pt>
                <c:pt idx="33">
                  <c:v>0.86762934898073563</c:v>
                </c:pt>
                <c:pt idx="34">
                  <c:v>1.571430568461968</c:v>
                </c:pt>
                <c:pt idx="35">
                  <c:v>0.49350534542147778</c:v>
                </c:pt>
                <c:pt idx="36">
                  <c:v>0.61400950488446682</c:v>
                </c:pt>
                <c:pt idx="37">
                  <c:v>1.267837878208014</c:v>
                </c:pt>
                <c:pt idx="38">
                  <c:v>0.52111949914199918</c:v>
                </c:pt>
                <c:pt idx="39">
                  <c:v>0.71775264197459265</c:v>
                </c:pt>
                <c:pt idx="40">
                  <c:v>1.3945457222911217</c:v>
                </c:pt>
                <c:pt idx="41">
                  <c:v>0.63854024280101163</c:v>
                </c:pt>
                <c:pt idx="42">
                  <c:v>1.2185780569473159</c:v>
                </c:pt>
                <c:pt idx="43">
                  <c:v>1.6095007584791341</c:v>
                </c:pt>
                <c:pt idx="44">
                  <c:v>3.2922175828800055</c:v>
                </c:pt>
                <c:pt idx="45">
                  <c:v>0.62664255016311776</c:v>
                </c:pt>
                <c:pt idx="46">
                  <c:v>0.69609797484305469</c:v>
                </c:pt>
                <c:pt idx="47">
                  <c:v>1.2578257362064758</c:v>
                </c:pt>
                <c:pt idx="48">
                  <c:v>1.6750869165427793</c:v>
                </c:pt>
                <c:pt idx="49">
                  <c:v>2.4671079985055027</c:v>
                </c:pt>
                <c:pt idx="50">
                  <c:v>0.69065345401267164</c:v>
                </c:pt>
                <c:pt idx="51">
                  <c:v>0.50830050473963817</c:v>
                </c:pt>
                <c:pt idx="52">
                  <c:v>0.8341198312081064</c:v>
                </c:pt>
                <c:pt idx="53">
                  <c:v>0.55466169987998082</c:v>
                </c:pt>
                <c:pt idx="54">
                  <c:v>0.74125766562534923</c:v>
                </c:pt>
                <c:pt idx="55">
                  <c:v>0.53761885491726058</c:v>
                </c:pt>
                <c:pt idx="56">
                  <c:v>0.66930594039055014</c:v>
                </c:pt>
                <c:pt idx="57">
                  <c:v>0.66930594039055014</c:v>
                </c:pt>
                <c:pt idx="58">
                  <c:v>0.47105938845866135</c:v>
                </c:pt>
                <c:pt idx="59">
                  <c:v>0.63355500507039164</c:v>
                </c:pt>
                <c:pt idx="60">
                  <c:v>1.2089629529130779</c:v>
                </c:pt>
                <c:pt idx="61">
                  <c:v>1.7434500025151138</c:v>
                </c:pt>
                <c:pt idx="62">
                  <c:v>0.49735448728150328</c:v>
                </c:pt>
                <c:pt idx="63">
                  <c:v>0.45669687697908345</c:v>
                </c:pt>
                <c:pt idx="64">
                  <c:v>0.509091955331198</c:v>
                </c:pt>
                <c:pt idx="65">
                  <c:v>0.63904097010629879</c:v>
                </c:pt>
                <c:pt idx="66">
                  <c:v>1.288107294580187</c:v>
                </c:pt>
                <c:pt idx="67">
                  <c:v>0.49735448728150328</c:v>
                </c:pt>
                <c:pt idx="68">
                  <c:v>0.54182797389304671</c:v>
                </c:pt>
                <c:pt idx="69">
                  <c:v>0.63604262361828556</c:v>
                </c:pt>
                <c:pt idx="70">
                  <c:v>0.75300601152701174</c:v>
                </c:pt>
                <c:pt idx="71">
                  <c:v>0.81464704011519584</c:v>
                </c:pt>
                <c:pt idx="72">
                  <c:v>1.2054250134208926</c:v>
                </c:pt>
                <c:pt idx="73">
                  <c:v>0.46024338888261501</c:v>
                </c:pt>
                <c:pt idx="74">
                  <c:v>0.63854024280101163</c:v>
                </c:pt>
                <c:pt idx="75">
                  <c:v>0.66407504362201186</c:v>
                </c:pt>
                <c:pt idx="76">
                  <c:v>2.8830464764262187</c:v>
                </c:pt>
                <c:pt idx="77">
                  <c:v>0.40686915989169481</c:v>
                </c:pt>
                <c:pt idx="78">
                  <c:v>0.47105938845866135</c:v>
                </c:pt>
                <c:pt idx="79">
                  <c:v>0.62860961638401158</c:v>
                </c:pt>
                <c:pt idx="80">
                  <c:v>0.88838693063022856</c:v>
                </c:pt>
                <c:pt idx="81">
                  <c:v>0.59975720287657974</c:v>
                </c:pt>
              </c:numCache>
            </c:numRef>
          </c:yVal>
          <c:smooth val="0"/>
          <c:extLst>
            <c:ext xmlns:c16="http://schemas.microsoft.com/office/drawing/2014/chart" uri="{C3380CC4-5D6E-409C-BE32-E72D297353CC}">
              <c16:uniqueId val="{00000001-5A40-4C02-9A85-8B57A5B8110D}"/>
            </c:ext>
          </c:extLst>
        </c:ser>
        <c:dLbls>
          <c:showLegendKey val="0"/>
          <c:showVal val="0"/>
          <c:showCatName val="0"/>
          <c:showSerName val="0"/>
          <c:showPercent val="0"/>
          <c:showBubbleSize val="0"/>
        </c:dLbls>
        <c:axId val="-1412430064"/>
        <c:axId val="-1412429520"/>
      </c:scatterChart>
      <c:valAx>
        <c:axId val="-14124300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Age in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29520"/>
        <c:crosses val="autoZero"/>
        <c:crossBetween val="midCat"/>
      </c:valAx>
      <c:valAx>
        <c:axId val="-14124295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AMH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124300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(iv)</a:t>
            </a:r>
          </a:p>
        </c:rich>
      </c:tx>
      <c:layout>
        <c:manualLayout>
          <c:xMode val="edge"/>
          <c:yMode val="edge"/>
          <c:x val="9.4268682216609723E-2"/>
          <c:y val="3.4013605442177089E-2"/>
        </c:manualLayout>
      </c:layout>
      <c:overlay val="0"/>
      <c:spPr>
        <a:noFill/>
        <a:ln>
          <a:noFill/>
        </a:ln>
        <a:effectLst/>
      </c:spPr>
    </c:title>
    <c:autoTitleDeleted val="0"/>
    <c:plotArea>
      <c:layout/>
      <c:scatterChart>
        <c:scatterStyle val="lineMarker"/>
        <c:varyColors val="0"/>
        <c:ser>
          <c:idx val="0"/>
          <c:order val="0"/>
          <c:tx>
            <c:strRef>
              <c:f>Graphs!$CX$2</c:f>
              <c:strCache>
                <c:ptCount val="1"/>
                <c:pt idx="0">
                  <c:v>AFC</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9278859010548224"/>
                  <c:y val="-0.2423584551931018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Graphs!$CW$3:$CW$86</c:f>
              <c:numCache>
                <c:formatCode>General</c:formatCode>
                <c:ptCount val="84"/>
                <c:pt idx="0">
                  <c:v>1</c:v>
                </c:pt>
                <c:pt idx="1">
                  <c:v>4</c:v>
                </c:pt>
                <c:pt idx="2">
                  <c:v>2</c:v>
                </c:pt>
                <c:pt idx="3">
                  <c:v>1</c:v>
                </c:pt>
                <c:pt idx="4">
                  <c:v>4</c:v>
                </c:pt>
                <c:pt idx="5">
                  <c:v>7</c:v>
                </c:pt>
                <c:pt idx="6">
                  <c:v>4</c:v>
                </c:pt>
                <c:pt idx="7">
                  <c:v>1</c:v>
                </c:pt>
                <c:pt idx="8">
                  <c:v>5</c:v>
                </c:pt>
                <c:pt idx="9">
                  <c:v>1</c:v>
                </c:pt>
                <c:pt idx="10">
                  <c:v>2</c:v>
                </c:pt>
                <c:pt idx="11">
                  <c:v>2</c:v>
                </c:pt>
                <c:pt idx="12">
                  <c:v>1</c:v>
                </c:pt>
                <c:pt idx="13">
                  <c:v>1</c:v>
                </c:pt>
                <c:pt idx="14">
                  <c:v>3</c:v>
                </c:pt>
                <c:pt idx="15">
                  <c:v>5</c:v>
                </c:pt>
                <c:pt idx="16">
                  <c:v>1</c:v>
                </c:pt>
                <c:pt idx="17">
                  <c:v>1</c:v>
                </c:pt>
                <c:pt idx="18">
                  <c:v>7</c:v>
                </c:pt>
                <c:pt idx="19">
                  <c:v>3</c:v>
                </c:pt>
                <c:pt idx="20">
                  <c:v>3</c:v>
                </c:pt>
                <c:pt idx="21">
                  <c:v>2</c:v>
                </c:pt>
                <c:pt idx="22">
                  <c:v>2</c:v>
                </c:pt>
                <c:pt idx="23">
                  <c:v>3</c:v>
                </c:pt>
                <c:pt idx="24">
                  <c:v>7</c:v>
                </c:pt>
                <c:pt idx="25">
                  <c:v>1</c:v>
                </c:pt>
                <c:pt idx="26">
                  <c:v>2</c:v>
                </c:pt>
                <c:pt idx="27">
                  <c:v>1</c:v>
                </c:pt>
                <c:pt idx="28">
                  <c:v>3</c:v>
                </c:pt>
                <c:pt idx="29">
                  <c:v>2</c:v>
                </c:pt>
                <c:pt idx="30">
                  <c:v>7</c:v>
                </c:pt>
                <c:pt idx="31">
                  <c:v>6</c:v>
                </c:pt>
                <c:pt idx="32">
                  <c:v>1</c:v>
                </c:pt>
                <c:pt idx="33">
                  <c:v>3</c:v>
                </c:pt>
                <c:pt idx="34">
                  <c:v>1</c:v>
                </c:pt>
                <c:pt idx="35">
                  <c:v>4</c:v>
                </c:pt>
                <c:pt idx="36">
                  <c:v>3</c:v>
                </c:pt>
                <c:pt idx="37">
                  <c:v>1</c:v>
                </c:pt>
                <c:pt idx="38">
                  <c:v>3</c:v>
                </c:pt>
                <c:pt idx="39">
                  <c:v>1</c:v>
                </c:pt>
                <c:pt idx="40">
                  <c:v>11</c:v>
                </c:pt>
                <c:pt idx="41">
                  <c:v>9</c:v>
                </c:pt>
                <c:pt idx="42">
                  <c:v>2</c:v>
                </c:pt>
                <c:pt idx="43">
                  <c:v>1</c:v>
                </c:pt>
                <c:pt idx="44">
                  <c:v>2</c:v>
                </c:pt>
                <c:pt idx="45">
                  <c:v>3</c:v>
                </c:pt>
                <c:pt idx="46">
                  <c:v>2</c:v>
                </c:pt>
                <c:pt idx="47">
                  <c:v>2</c:v>
                </c:pt>
                <c:pt idx="48">
                  <c:v>1</c:v>
                </c:pt>
                <c:pt idx="49">
                  <c:v>1</c:v>
                </c:pt>
                <c:pt idx="50">
                  <c:v>3</c:v>
                </c:pt>
                <c:pt idx="51">
                  <c:v>4</c:v>
                </c:pt>
                <c:pt idx="52">
                  <c:v>5</c:v>
                </c:pt>
                <c:pt idx="53">
                  <c:v>7</c:v>
                </c:pt>
                <c:pt idx="54">
                  <c:v>3</c:v>
                </c:pt>
                <c:pt idx="55">
                  <c:v>4</c:v>
                </c:pt>
                <c:pt idx="56">
                  <c:v>3</c:v>
                </c:pt>
                <c:pt idx="57">
                  <c:v>4</c:v>
                </c:pt>
                <c:pt idx="58">
                  <c:v>11</c:v>
                </c:pt>
                <c:pt idx="59">
                  <c:v>4</c:v>
                </c:pt>
                <c:pt idx="60">
                  <c:v>1</c:v>
                </c:pt>
                <c:pt idx="61">
                  <c:v>1</c:v>
                </c:pt>
                <c:pt idx="62">
                  <c:v>3</c:v>
                </c:pt>
                <c:pt idx="63">
                  <c:v>11</c:v>
                </c:pt>
                <c:pt idx="64">
                  <c:v>6</c:v>
                </c:pt>
                <c:pt idx="65">
                  <c:v>4</c:v>
                </c:pt>
                <c:pt idx="66">
                  <c:v>1</c:v>
                </c:pt>
                <c:pt idx="67">
                  <c:v>7</c:v>
                </c:pt>
                <c:pt idx="68">
                  <c:v>4</c:v>
                </c:pt>
                <c:pt idx="69">
                  <c:v>8</c:v>
                </c:pt>
                <c:pt idx="70">
                  <c:v>7</c:v>
                </c:pt>
                <c:pt idx="71">
                  <c:v>7</c:v>
                </c:pt>
                <c:pt idx="72">
                  <c:v>3</c:v>
                </c:pt>
                <c:pt idx="73">
                  <c:v>9</c:v>
                </c:pt>
                <c:pt idx="74">
                  <c:v>7</c:v>
                </c:pt>
                <c:pt idx="75">
                  <c:v>9</c:v>
                </c:pt>
                <c:pt idx="76">
                  <c:v>1</c:v>
                </c:pt>
                <c:pt idx="77">
                  <c:v>11</c:v>
                </c:pt>
                <c:pt idx="78">
                  <c:v>11</c:v>
                </c:pt>
                <c:pt idx="79">
                  <c:v>10</c:v>
                </c:pt>
                <c:pt idx="80">
                  <c:v>5</c:v>
                </c:pt>
                <c:pt idx="81">
                  <c:v>12</c:v>
                </c:pt>
                <c:pt idx="82">
                  <c:v>7</c:v>
                </c:pt>
                <c:pt idx="83">
                  <c:v>6</c:v>
                </c:pt>
              </c:numCache>
            </c:numRef>
          </c:xVal>
          <c:yVal>
            <c:numRef>
              <c:f>Graphs!$CX$3:$CX$86</c:f>
              <c:numCache>
                <c:formatCode>General</c:formatCode>
                <c:ptCount val="84"/>
                <c:pt idx="0">
                  <c:v>104</c:v>
                </c:pt>
                <c:pt idx="1">
                  <c:v>88</c:v>
                </c:pt>
                <c:pt idx="2">
                  <c:v>80</c:v>
                </c:pt>
                <c:pt idx="3">
                  <c:v>75</c:v>
                </c:pt>
                <c:pt idx="4">
                  <c:v>65</c:v>
                </c:pt>
                <c:pt idx="5">
                  <c:v>65</c:v>
                </c:pt>
                <c:pt idx="6">
                  <c:v>64</c:v>
                </c:pt>
                <c:pt idx="7">
                  <c:v>64</c:v>
                </c:pt>
                <c:pt idx="8">
                  <c:v>62</c:v>
                </c:pt>
                <c:pt idx="9">
                  <c:v>58</c:v>
                </c:pt>
                <c:pt idx="10">
                  <c:v>57</c:v>
                </c:pt>
                <c:pt idx="11">
                  <c:v>57</c:v>
                </c:pt>
                <c:pt idx="12">
                  <c:v>56</c:v>
                </c:pt>
                <c:pt idx="13">
                  <c:v>51</c:v>
                </c:pt>
                <c:pt idx="14">
                  <c:v>49</c:v>
                </c:pt>
                <c:pt idx="15">
                  <c:v>49</c:v>
                </c:pt>
                <c:pt idx="16">
                  <c:v>48</c:v>
                </c:pt>
                <c:pt idx="17">
                  <c:v>45</c:v>
                </c:pt>
                <c:pt idx="18">
                  <c:v>44</c:v>
                </c:pt>
                <c:pt idx="19">
                  <c:v>43</c:v>
                </c:pt>
                <c:pt idx="20">
                  <c:v>42</c:v>
                </c:pt>
                <c:pt idx="21">
                  <c:v>42</c:v>
                </c:pt>
                <c:pt idx="22">
                  <c:v>41</c:v>
                </c:pt>
                <c:pt idx="23">
                  <c:v>41</c:v>
                </c:pt>
                <c:pt idx="24">
                  <c:v>41</c:v>
                </c:pt>
                <c:pt idx="25">
                  <c:v>41</c:v>
                </c:pt>
                <c:pt idx="26">
                  <c:v>41</c:v>
                </c:pt>
                <c:pt idx="27">
                  <c:v>40</c:v>
                </c:pt>
                <c:pt idx="28">
                  <c:v>40</c:v>
                </c:pt>
                <c:pt idx="29">
                  <c:v>38</c:v>
                </c:pt>
                <c:pt idx="30">
                  <c:v>37</c:v>
                </c:pt>
                <c:pt idx="31">
                  <c:v>37</c:v>
                </c:pt>
                <c:pt idx="32">
                  <c:v>37</c:v>
                </c:pt>
                <c:pt idx="33">
                  <c:v>37</c:v>
                </c:pt>
                <c:pt idx="34">
                  <c:v>37</c:v>
                </c:pt>
                <c:pt idx="35">
                  <c:v>36</c:v>
                </c:pt>
                <c:pt idx="36">
                  <c:v>36</c:v>
                </c:pt>
                <c:pt idx="37">
                  <c:v>35</c:v>
                </c:pt>
                <c:pt idx="38">
                  <c:v>33</c:v>
                </c:pt>
                <c:pt idx="39">
                  <c:v>32</c:v>
                </c:pt>
                <c:pt idx="40">
                  <c:v>32</c:v>
                </c:pt>
                <c:pt idx="41">
                  <c:v>31</c:v>
                </c:pt>
                <c:pt idx="42">
                  <c:v>31</c:v>
                </c:pt>
                <c:pt idx="43">
                  <c:v>30</c:v>
                </c:pt>
                <c:pt idx="44">
                  <c:v>30</c:v>
                </c:pt>
                <c:pt idx="45">
                  <c:v>29</c:v>
                </c:pt>
                <c:pt idx="46">
                  <c:v>29</c:v>
                </c:pt>
                <c:pt idx="47">
                  <c:v>29</c:v>
                </c:pt>
                <c:pt idx="48">
                  <c:v>28</c:v>
                </c:pt>
                <c:pt idx="49">
                  <c:v>28</c:v>
                </c:pt>
                <c:pt idx="50">
                  <c:v>27</c:v>
                </c:pt>
                <c:pt idx="51">
                  <c:v>26</c:v>
                </c:pt>
                <c:pt idx="52">
                  <c:v>26</c:v>
                </c:pt>
                <c:pt idx="53">
                  <c:v>24</c:v>
                </c:pt>
                <c:pt idx="54">
                  <c:v>24</c:v>
                </c:pt>
                <c:pt idx="55">
                  <c:v>23</c:v>
                </c:pt>
                <c:pt idx="56">
                  <c:v>23</c:v>
                </c:pt>
                <c:pt idx="57">
                  <c:v>23</c:v>
                </c:pt>
                <c:pt idx="58">
                  <c:v>21</c:v>
                </c:pt>
                <c:pt idx="59">
                  <c:v>21</c:v>
                </c:pt>
                <c:pt idx="60">
                  <c:v>21</c:v>
                </c:pt>
                <c:pt idx="61">
                  <c:v>20</c:v>
                </c:pt>
                <c:pt idx="62">
                  <c:v>19</c:v>
                </c:pt>
                <c:pt idx="63">
                  <c:v>18</c:v>
                </c:pt>
                <c:pt idx="64">
                  <c:v>18</c:v>
                </c:pt>
                <c:pt idx="65">
                  <c:v>18</c:v>
                </c:pt>
                <c:pt idx="66">
                  <c:v>16</c:v>
                </c:pt>
                <c:pt idx="67">
                  <c:v>15</c:v>
                </c:pt>
                <c:pt idx="68">
                  <c:v>15</c:v>
                </c:pt>
                <c:pt idx="69">
                  <c:v>15</c:v>
                </c:pt>
                <c:pt idx="70">
                  <c:v>15</c:v>
                </c:pt>
                <c:pt idx="71">
                  <c:v>15</c:v>
                </c:pt>
                <c:pt idx="72">
                  <c:v>15</c:v>
                </c:pt>
                <c:pt idx="73">
                  <c:v>14</c:v>
                </c:pt>
                <c:pt idx="74">
                  <c:v>14</c:v>
                </c:pt>
                <c:pt idx="75">
                  <c:v>14</c:v>
                </c:pt>
                <c:pt idx="76">
                  <c:v>14</c:v>
                </c:pt>
                <c:pt idx="77">
                  <c:v>13</c:v>
                </c:pt>
                <c:pt idx="78">
                  <c:v>13</c:v>
                </c:pt>
                <c:pt idx="79">
                  <c:v>13</c:v>
                </c:pt>
                <c:pt idx="80">
                  <c:v>12</c:v>
                </c:pt>
                <c:pt idx="81">
                  <c:v>7</c:v>
                </c:pt>
                <c:pt idx="82">
                  <c:v>4</c:v>
                </c:pt>
                <c:pt idx="83">
                  <c:v>3</c:v>
                </c:pt>
              </c:numCache>
            </c:numRef>
          </c:yVal>
          <c:smooth val="0"/>
          <c:extLst>
            <c:ext xmlns:c16="http://schemas.microsoft.com/office/drawing/2014/chart" uri="{C3380CC4-5D6E-409C-BE32-E72D297353CC}">
              <c16:uniqueId val="{00000001-7BED-42D8-B5E7-0AD933557B0A}"/>
            </c:ext>
          </c:extLst>
        </c:ser>
        <c:dLbls>
          <c:showLegendKey val="0"/>
          <c:showVal val="0"/>
          <c:showCatName val="0"/>
          <c:showSerName val="0"/>
          <c:showPercent val="0"/>
          <c:showBubbleSize val="0"/>
        </c:dLbls>
        <c:axId val="-1422730352"/>
        <c:axId val="-1422722192"/>
      </c:scatterChart>
      <c:valAx>
        <c:axId val="-14227303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Parity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22192"/>
        <c:crosses val="autoZero"/>
        <c:crossBetween val="midCat"/>
      </c:valAx>
      <c:valAx>
        <c:axId val="-142272219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AFC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303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(v)</a:t>
            </a:r>
          </a:p>
        </c:rich>
      </c:tx>
      <c:layout>
        <c:manualLayout>
          <c:xMode val="edge"/>
          <c:yMode val="edge"/>
          <c:x val="0.11670902765061369"/>
          <c:y val="3.4482758620689655E-2"/>
        </c:manualLayout>
      </c:layout>
      <c:overlay val="0"/>
      <c:spPr>
        <a:noFill/>
        <a:ln>
          <a:noFill/>
        </a:ln>
        <a:effectLst/>
      </c:spPr>
    </c:title>
    <c:autoTitleDeleted val="0"/>
    <c:plotArea>
      <c:layout/>
      <c:scatterChart>
        <c:scatterStyle val="lineMarker"/>
        <c:varyColors val="0"/>
        <c:ser>
          <c:idx val="0"/>
          <c:order val="0"/>
          <c:tx>
            <c:strRef>
              <c:f>Graphs!$CZ$2</c:f>
              <c:strCache>
                <c:ptCount val="1"/>
                <c:pt idx="0">
                  <c:v>AMH</c:v>
                </c:pt>
              </c:strCache>
            </c:strRef>
          </c:tx>
          <c:spPr>
            <a:ln w="28575"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8276835744369299"/>
                  <c:y val="-0.2663909856095604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Graphs!$CY$3:$CY$86</c:f>
              <c:numCache>
                <c:formatCode>General</c:formatCode>
                <c:ptCount val="84"/>
                <c:pt idx="0">
                  <c:v>1</c:v>
                </c:pt>
                <c:pt idx="1">
                  <c:v>4</c:v>
                </c:pt>
                <c:pt idx="2">
                  <c:v>2</c:v>
                </c:pt>
                <c:pt idx="3">
                  <c:v>1</c:v>
                </c:pt>
                <c:pt idx="4">
                  <c:v>4</c:v>
                </c:pt>
                <c:pt idx="5">
                  <c:v>7</c:v>
                </c:pt>
                <c:pt idx="6">
                  <c:v>4</c:v>
                </c:pt>
                <c:pt idx="7">
                  <c:v>1</c:v>
                </c:pt>
                <c:pt idx="8">
                  <c:v>5</c:v>
                </c:pt>
                <c:pt idx="9">
                  <c:v>1</c:v>
                </c:pt>
                <c:pt idx="10">
                  <c:v>2</c:v>
                </c:pt>
                <c:pt idx="11">
                  <c:v>2</c:v>
                </c:pt>
                <c:pt idx="12">
                  <c:v>1</c:v>
                </c:pt>
                <c:pt idx="13">
                  <c:v>1</c:v>
                </c:pt>
                <c:pt idx="14">
                  <c:v>3</c:v>
                </c:pt>
                <c:pt idx="15">
                  <c:v>5</c:v>
                </c:pt>
                <c:pt idx="16">
                  <c:v>1</c:v>
                </c:pt>
                <c:pt idx="17">
                  <c:v>1</c:v>
                </c:pt>
                <c:pt idx="18">
                  <c:v>7</c:v>
                </c:pt>
                <c:pt idx="19">
                  <c:v>3</c:v>
                </c:pt>
                <c:pt idx="20">
                  <c:v>3</c:v>
                </c:pt>
                <c:pt idx="21">
                  <c:v>2</c:v>
                </c:pt>
                <c:pt idx="22">
                  <c:v>2</c:v>
                </c:pt>
                <c:pt idx="23">
                  <c:v>3</c:v>
                </c:pt>
                <c:pt idx="24">
                  <c:v>7</c:v>
                </c:pt>
                <c:pt idx="25">
                  <c:v>1</c:v>
                </c:pt>
                <c:pt idx="26">
                  <c:v>2</c:v>
                </c:pt>
                <c:pt idx="27">
                  <c:v>1</c:v>
                </c:pt>
                <c:pt idx="28">
                  <c:v>3</c:v>
                </c:pt>
                <c:pt idx="29">
                  <c:v>2</c:v>
                </c:pt>
                <c:pt idx="30">
                  <c:v>7</c:v>
                </c:pt>
                <c:pt idx="31">
                  <c:v>6</c:v>
                </c:pt>
                <c:pt idx="32">
                  <c:v>1</c:v>
                </c:pt>
                <c:pt idx="33">
                  <c:v>3</c:v>
                </c:pt>
                <c:pt idx="34">
                  <c:v>1</c:v>
                </c:pt>
                <c:pt idx="35">
                  <c:v>4</c:v>
                </c:pt>
                <c:pt idx="36">
                  <c:v>3</c:v>
                </c:pt>
                <c:pt idx="37">
                  <c:v>1</c:v>
                </c:pt>
                <c:pt idx="38">
                  <c:v>3</c:v>
                </c:pt>
                <c:pt idx="39">
                  <c:v>1</c:v>
                </c:pt>
                <c:pt idx="40">
                  <c:v>11</c:v>
                </c:pt>
                <c:pt idx="41">
                  <c:v>9</c:v>
                </c:pt>
                <c:pt idx="42">
                  <c:v>2</c:v>
                </c:pt>
                <c:pt idx="43">
                  <c:v>1</c:v>
                </c:pt>
                <c:pt idx="44">
                  <c:v>2</c:v>
                </c:pt>
                <c:pt idx="45">
                  <c:v>3</c:v>
                </c:pt>
                <c:pt idx="46">
                  <c:v>2</c:v>
                </c:pt>
                <c:pt idx="47">
                  <c:v>2</c:v>
                </c:pt>
                <c:pt idx="48">
                  <c:v>1</c:v>
                </c:pt>
                <c:pt idx="49">
                  <c:v>1</c:v>
                </c:pt>
                <c:pt idx="50">
                  <c:v>3</c:v>
                </c:pt>
                <c:pt idx="51">
                  <c:v>4</c:v>
                </c:pt>
                <c:pt idx="52">
                  <c:v>5</c:v>
                </c:pt>
                <c:pt idx="53">
                  <c:v>7</c:v>
                </c:pt>
                <c:pt idx="54">
                  <c:v>3</c:v>
                </c:pt>
                <c:pt idx="55">
                  <c:v>4</c:v>
                </c:pt>
                <c:pt idx="56">
                  <c:v>3</c:v>
                </c:pt>
                <c:pt idx="57">
                  <c:v>4</c:v>
                </c:pt>
                <c:pt idx="58">
                  <c:v>11</c:v>
                </c:pt>
                <c:pt idx="59">
                  <c:v>4</c:v>
                </c:pt>
                <c:pt idx="60">
                  <c:v>1</c:v>
                </c:pt>
                <c:pt idx="61">
                  <c:v>1</c:v>
                </c:pt>
                <c:pt idx="62">
                  <c:v>3</c:v>
                </c:pt>
                <c:pt idx="63">
                  <c:v>11</c:v>
                </c:pt>
                <c:pt idx="64">
                  <c:v>6</c:v>
                </c:pt>
                <c:pt idx="65">
                  <c:v>4</c:v>
                </c:pt>
                <c:pt idx="66">
                  <c:v>1</c:v>
                </c:pt>
                <c:pt idx="67">
                  <c:v>7</c:v>
                </c:pt>
                <c:pt idx="68">
                  <c:v>4</c:v>
                </c:pt>
                <c:pt idx="69">
                  <c:v>8</c:v>
                </c:pt>
                <c:pt idx="70">
                  <c:v>7</c:v>
                </c:pt>
                <c:pt idx="71">
                  <c:v>7</c:v>
                </c:pt>
                <c:pt idx="72">
                  <c:v>3</c:v>
                </c:pt>
                <c:pt idx="73">
                  <c:v>9</c:v>
                </c:pt>
                <c:pt idx="74">
                  <c:v>7</c:v>
                </c:pt>
                <c:pt idx="75">
                  <c:v>9</c:v>
                </c:pt>
                <c:pt idx="76">
                  <c:v>1</c:v>
                </c:pt>
                <c:pt idx="77">
                  <c:v>11</c:v>
                </c:pt>
                <c:pt idx="78">
                  <c:v>11</c:v>
                </c:pt>
                <c:pt idx="79">
                  <c:v>10</c:v>
                </c:pt>
                <c:pt idx="80">
                  <c:v>5</c:v>
                </c:pt>
                <c:pt idx="81">
                  <c:v>12</c:v>
                </c:pt>
                <c:pt idx="82">
                  <c:v>7</c:v>
                </c:pt>
                <c:pt idx="83">
                  <c:v>6</c:v>
                </c:pt>
              </c:numCache>
            </c:numRef>
          </c:xVal>
          <c:yVal>
            <c:numRef>
              <c:f>Graphs!$CZ$3:$CZ$86</c:f>
              <c:numCache>
                <c:formatCode>General</c:formatCode>
                <c:ptCount val="84"/>
                <c:pt idx="0">
                  <c:v>2.3494837803025002</c:v>
                </c:pt>
                <c:pt idx="1">
                  <c:v>0.87449334068260354</c:v>
                </c:pt>
                <c:pt idx="2">
                  <c:v>0.66407504362201186</c:v>
                </c:pt>
                <c:pt idx="3">
                  <c:v>0.86081996759504575</c:v>
                </c:pt>
                <c:pt idx="4">
                  <c:v>0.74125766562534923</c:v>
                </c:pt>
                <c:pt idx="5">
                  <c:v>1.8147197424798418</c:v>
                </c:pt>
                <c:pt idx="6">
                  <c:v>0.45669687697908345</c:v>
                </c:pt>
                <c:pt idx="7">
                  <c:v>1.0485113398125721</c:v>
                </c:pt>
                <c:pt idx="8">
                  <c:v>0.58128156310158907</c:v>
                </c:pt>
                <c:pt idx="9">
                  <c:v>1.3945457222911217</c:v>
                </c:pt>
                <c:pt idx="10">
                  <c:v>2.1145648459479447</c:v>
                </c:pt>
                <c:pt idx="11">
                  <c:v>2.569926196955429</c:v>
                </c:pt>
                <c:pt idx="12">
                  <c:v>4.2058858536926955</c:v>
                </c:pt>
                <c:pt idx="13">
                  <c:v>4.352648152091203</c:v>
                </c:pt>
                <c:pt idx="14">
                  <c:v>0.75895095145104663</c:v>
                </c:pt>
                <c:pt idx="15">
                  <c:v>0.77707335095019514</c:v>
                </c:pt>
                <c:pt idx="16">
                  <c:v>1.7157633908255645</c:v>
                </c:pt>
                <c:pt idx="17">
                  <c:v>1.180579340726396</c:v>
                </c:pt>
                <c:pt idx="18">
                  <c:v>0.46381916670015638</c:v>
                </c:pt>
                <c:pt idx="19">
                  <c:v>0.63355500507039164</c:v>
                </c:pt>
                <c:pt idx="20">
                  <c:v>0.66407504362201186</c:v>
                </c:pt>
                <c:pt idx="21">
                  <c:v>1.152874668218834</c:v>
                </c:pt>
                <c:pt idx="22">
                  <c:v>0.64863150016304272</c:v>
                </c:pt>
                <c:pt idx="23">
                  <c:v>0.75300601152701174</c:v>
                </c:pt>
                <c:pt idx="24">
                  <c:v>0.80192193091843866</c:v>
                </c:pt>
                <c:pt idx="25">
                  <c:v>0.87449334068260354</c:v>
                </c:pt>
                <c:pt idx="26">
                  <c:v>1.8147197424798418</c:v>
                </c:pt>
                <c:pt idx="27">
                  <c:v>0.68525232528115199</c:v>
                </c:pt>
                <c:pt idx="28">
                  <c:v>1.3087082943040618</c:v>
                </c:pt>
                <c:pt idx="29">
                  <c:v>0.67457890061540915</c:v>
                </c:pt>
                <c:pt idx="30">
                  <c:v>0.49350534542147778</c:v>
                </c:pt>
                <c:pt idx="31">
                  <c:v>0.63355500507039164</c:v>
                </c:pt>
                <c:pt idx="32">
                  <c:v>0.73545351956219862</c:v>
                </c:pt>
                <c:pt idx="33">
                  <c:v>0.86762934898073563</c:v>
                </c:pt>
                <c:pt idx="34">
                  <c:v>1.571430568461968</c:v>
                </c:pt>
                <c:pt idx="35">
                  <c:v>0.49350534542147778</c:v>
                </c:pt>
                <c:pt idx="36">
                  <c:v>0.61400950488446682</c:v>
                </c:pt>
                <c:pt idx="37">
                  <c:v>1.267837878208014</c:v>
                </c:pt>
                <c:pt idx="38">
                  <c:v>0.52111949914199918</c:v>
                </c:pt>
                <c:pt idx="39">
                  <c:v>0.71775264197459265</c:v>
                </c:pt>
                <c:pt idx="40">
                  <c:v>1.3945457222911217</c:v>
                </c:pt>
                <c:pt idx="41">
                  <c:v>0.63854024280101163</c:v>
                </c:pt>
                <c:pt idx="42">
                  <c:v>1.2185780569473159</c:v>
                </c:pt>
                <c:pt idx="43">
                  <c:v>1.6095007584791341</c:v>
                </c:pt>
                <c:pt idx="44">
                  <c:v>3.2922175828800055</c:v>
                </c:pt>
                <c:pt idx="45">
                  <c:v>0.62664255016311776</c:v>
                </c:pt>
                <c:pt idx="46">
                  <c:v>0.69609797484305469</c:v>
                </c:pt>
                <c:pt idx="47">
                  <c:v>1.2578257362064758</c:v>
                </c:pt>
                <c:pt idx="48">
                  <c:v>1.6750869165427793</c:v>
                </c:pt>
                <c:pt idx="49">
                  <c:v>2.4671079985055027</c:v>
                </c:pt>
                <c:pt idx="50">
                  <c:v>0.69065345401267164</c:v>
                </c:pt>
                <c:pt idx="51">
                  <c:v>0.50830050473963817</c:v>
                </c:pt>
                <c:pt idx="52">
                  <c:v>0.8341198312081064</c:v>
                </c:pt>
                <c:pt idx="53">
                  <c:v>0.55466169987998082</c:v>
                </c:pt>
                <c:pt idx="54">
                  <c:v>0.74125766562534923</c:v>
                </c:pt>
                <c:pt idx="55">
                  <c:v>0.53761885491726058</c:v>
                </c:pt>
                <c:pt idx="56">
                  <c:v>0.66930594039055014</c:v>
                </c:pt>
                <c:pt idx="57">
                  <c:v>0.66930594039055014</c:v>
                </c:pt>
                <c:pt idx="58">
                  <c:v>0.47105938845866135</c:v>
                </c:pt>
                <c:pt idx="59">
                  <c:v>0.63355500507039164</c:v>
                </c:pt>
                <c:pt idx="60">
                  <c:v>1.2089629529130779</c:v>
                </c:pt>
                <c:pt idx="61">
                  <c:v>1.7434500025151138</c:v>
                </c:pt>
                <c:pt idx="62">
                  <c:v>0.49735448728150328</c:v>
                </c:pt>
                <c:pt idx="63">
                  <c:v>0.45669687697908345</c:v>
                </c:pt>
                <c:pt idx="64">
                  <c:v>0.509091955331198</c:v>
                </c:pt>
                <c:pt idx="65">
                  <c:v>0.63904097010629879</c:v>
                </c:pt>
                <c:pt idx="66">
                  <c:v>1.288107294580187</c:v>
                </c:pt>
                <c:pt idx="67">
                  <c:v>0.49735448728150328</c:v>
                </c:pt>
                <c:pt idx="68">
                  <c:v>0.54182797389304671</c:v>
                </c:pt>
                <c:pt idx="69">
                  <c:v>0.63604262361828556</c:v>
                </c:pt>
                <c:pt idx="70">
                  <c:v>0.75300601152701174</c:v>
                </c:pt>
                <c:pt idx="71">
                  <c:v>0.81464704011519584</c:v>
                </c:pt>
                <c:pt idx="72">
                  <c:v>1.2054250134208926</c:v>
                </c:pt>
                <c:pt idx="73">
                  <c:v>0.46024338888261501</c:v>
                </c:pt>
                <c:pt idx="74">
                  <c:v>0.63854024280101163</c:v>
                </c:pt>
                <c:pt idx="75">
                  <c:v>0.66407504362201186</c:v>
                </c:pt>
                <c:pt idx="76">
                  <c:v>2.8830464764262187</c:v>
                </c:pt>
                <c:pt idx="77">
                  <c:v>0.40686915989169481</c:v>
                </c:pt>
                <c:pt idx="78">
                  <c:v>0.47105938845866135</c:v>
                </c:pt>
                <c:pt idx="79">
                  <c:v>0.62860961638401158</c:v>
                </c:pt>
                <c:pt idx="80">
                  <c:v>0.88838693063022856</c:v>
                </c:pt>
                <c:pt idx="81">
                  <c:v>0.59975720287657974</c:v>
                </c:pt>
                <c:pt idx="82">
                  <c:v>0.63355500507039164</c:v>
                </c:pt>
                <c:pt idx="83">
                  <c:v>0.62860961638401158</c:v>
                </c:pt>
              </c:numCache>
            </c:numRef>
          </c:yVal>
          <c:smooth val="0"/>
          <c:extLst>
            <c:ext xmlns:c16="http://schemas.microsoft.com/office/drawing/2014/chart" uri="{C3380CC4-5D6E-409C-BE32-E72D297353CC}">
              <c16:uniqueId val="{00000001-5426-450C-88E5-8B5601340B6A}"/>
            </c:ext>
          </c:extLst>
        </c:ser>
        <c:dLbls>
          <c:showLegendKey val="0"/>
          <c:showVal val="0"/>
          <c:showCatName val="0"/>
          <c:showSerName val="0"/>
          <c:showPercent val="0"/>
          <c:showBubbleSize val="0"/>
        </c:dLbls>
        <c:axId val="-1422727632"/>
        <c:axId val="-1422721104"/>
      </c:scatterChart>
      <c:valAx>
        <c:axId val="-14227276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Parity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21104"/>
        <c:crosses val="autoZero"/>
        <c:crossBetween val="midCat"/>
      </c:valAx>
      <c:valAx>
        <c:axId val="-14227211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a:t>AMH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27276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0.26316</cdr:x>
      <cdr:y>0.05921</cdr:y>
    </cdr:from>
    <cdr:to>
      <cdr:x>0.79863</cdr:x>
      <cdr:y>0.19736</cdr:y>
    </cdr:to>
    <cdr:sp macro="" textlink="">
      <cdr:nvSpPr>
        <cdr:cNvPr id="2" name="Text Box 1"/>
        <cdr:cNvSpPr txBox="1"/>
      </cdr:nvSpPr>
      <cdr:spPr>
        <a:xfrm xmlns:a="http://schemas.openxmlformats.org/drawingml/2006/main">
          <a:off x="730261" y="114306"/>
          <a:ext cx="1485889" cy="2666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t>r=0.284**     P=0.009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3953-93A1-40A2-AD83-181B034D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Editor-90</cp:lastModifiedBy>
  <cp:revision>41</cp:revision>
  <dcterms:created xsi:type="dcterms:W3CDTF">2025-06-22T11:11:00Z</dcterms:created>
  <dcterms:modified xsi:type="dcterms:W3CDTF">2025-12-27T08:51:00Z</dcterms:modified>
</cp:coreProperties>
</file>