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959A7" w14:textId="77777777" w:rsidR="00A33674" w:rsidRPr="00A33674" w:rsidRDefault="00A33674" w:rsidP="00A33674">
      <w:pPr>
        <w:spacing w:line="276" w:lineRule="auto"/>
        <w:jc w:val="center"/>
        <w:rPr>
          <w:rFonts w:ascii="Arial" w:hAnsi="Arial" w:cs="Arial"/>
          <w:b/>
          <w:bCs/>
          <w:i/>
          <w:iCs/>
          <w:sz w:val="24"/>
          <w:szCs w:val="24"/>
          <w:u w:val="single"/>
          <w:lang w:val="en-US"/>
        </w:rPr>
      </w:pPr>
      <w:r w:rsidRPr="00A33674">
        <w:rPr>
          <w:rFonts w:ascii="Arial" w:hAnsi="Arial" w:cs="Arial"/>
          <w:b/>
          <w:bCs/>
          <w:i/>
          <w:iCs/>
          <w:sz w:val="24"/>
          <w:szCs w:val="24"/>
          <w:u w:val="single"/>
          <w:lang w:val="en-US"/>
        </w:rPr>
        <w:t>Original Research Article</w:t>
      </w:r>
    </w:p>
    <w:p w14:paraId="0E7A355C" w14:textId="64750ADE" w:rsidR="00F059BA" w:rsidRPr="00505707" w:rsidRDefault="00D417F4" w:rsidP="00F059BA">
      <w:pPr>
        <w:spacing w:line="276" w:lineRule="auto"/>
        <w:jc w:val="center"/>
        <w:rPr>
          <w:rFonts w:ascii="Arial" w:hAnsi="Arial" w:cs="Arial"/>
          <w:b/>
          <w:sz w:val="24"/>
          <w:szCs w:val="24"/>
        </w:rPr>
      </w:pPr>
      <w:r>
        <w:rPr>
          <w:rFonts w:ascii="Arial" w:hAnsi="Arial" w:cs="Arial"/>
          <w:b/>
          <w:sz w:val="24"/>
          <w:szCs w:val="24"/>
        </w:rPr>
        <w:t>Behavioural, Respiratory and Histopathological Effects of the Strobilurin Fungicide Picoxystrobin</w:t>
      </w:r>
      <w:r w:rsidR="00F059BA" w:rsidRPr="00505707">
        <w:rPr>
          <w:rFonts w:ascii="Arial" w:hAnsi="Arial" w:cs="Arial"/>
          <w:b/>
          <w:sz w:val="24"/>
          <w:szCs w:val="24"/>
        </w:rPr>
        <w:t xml:space="preserve"> on Riverine Fish, </w:t>
      </w:r>
      <w:r w:rsidR="00F059BA" w:rsidRPr="00505707">
        <w:rPr>
          <w:rFonts w:ascii="Arial" w:hAnsi="Arial" w:cs="Arial"/>
          <w:b/>
          <w:i/>
          <w:iCs/>
          <w:sz w:val="24"/>
          <w:szCs w:val="24"/>
        </w:rPr>
        <w:t>Tilapia</w:t>
      </w:r>
      <w:r>
        <w:rPr>
          <w:rFonts w:ascii="Arial" w:hAnsi="Arial" w:cs="Arial"/>
          <w:b/>
          <w:i/>
          <w:iCs/>
          <w:sz w:val="24"/>
          <w:szCs w:val="24"/>
        </w:rPr>
        <w:t xml:space="preserve"> (Oreochromis niloticus)</w:t>
      </w:r>
    </w:p>
    <w:p w14:paraId="142A85CA" w14:textId="77777777" w:rsidR="003B7C8B" w:rsidRDefault="003B7C8B" w:rsidP="003B7C8B">
      <w:pPr>
        <w:spacing w:line="240" w:lineRule="auto"/>
        <w:rPr>
          <w:rFonts w:ascii="Arial" w:hAnsi="Arial" w:cs="Arial"/>
          <w:b/>
          <w:bCs/>
          <w:sz w:val="24"/>
          <w:szCs w:val="24"/>
        </w:rPr>
      </w:pPr>
    </w:p>
    <w:p w14:paraId="65BF7F7B" w14:textId="6533ED7B" w:rsidR="00DD5FEA" w:rsidRPr="005E3B1B" w:rsidRDefault="00342FCB">
      <w:pPr>
        <w:rPr>
          <w:rFonts w:ascii="Arial" w:hAnsi="Arial" w:cs="Arial"/>
          <w:b/>
          <w:bCs/>
          <w:sz w:val="24"/>
          <w:szCs w:val="24"/>
        </w:rPr>
      </w:pPr>
      <w:r w:rsidRPr="005E3B1B">
        <w:rPr>
          <w:rFonts w:ascii="Arial" w:hAnsi="Arial" w:cs="Arial"/>
          <w:b/>
          <w:bCs/>
          <w:sz w:val="24"/>
          <w:szCs w:val="24"/>
        </w:rPr>
        <w:t>ABSTRACT</w:t>
      </w:r>
    </w:p>
    <w:p w14:paraId="15775A28" w14:textId="4E5F6835" w:rsidR="00BD0B11" w:rsidRPr="00BD0B11" w:rsidRDefault="00BD0B11" w:rsidP="00DD5FEA">
      <w:pPr>
        <w:jc w:val="both"/>
        <w:rPr>
          <w:rFonts w:ascii="Arial" w:hAnsi="Arial" w:cs="Arial"/>
        </w:rPr>
      </w:pPr>
      <w:r>
        <w:tab/>
      </w:r>
      <w:r w:rsidRPr="00BD0B11">
        <w:rPr>
          <w:rFonts w:ascii="Arial" w:hAnsi="Arial" w:cs="Arial"/>
        </w:rPr>
        <w:t xml:space="preserve">In this study, the toxicity of the fungicide was assessed </w:t>
      </w:r>
      <w:r w:rsidR="00D417F4">
        <w:rPr>
          <w:rFonts w:ascii="Arial" w:hAnsi="Arial" w:cs="Arial"/>
        </w:rPr>
        <w:t xml:space="preserve">using behavioural and histopathological effects in freshwater cichlids, specifically </w:t>
      </w:r>
      <w:r w:rsidRPr="00BD0B11">
        <w:rPr>
          <w:rFonts w:ascii="Arial" w:hAnsi="Arial" w:cs="Arial"/>
        </w:rPr>
        <w:t xml:space="preserve">tilapia (Oreochromis niloticus). Picoxystrobin is a broad-spectrum systemic cereal fungicide belonging to the strobilurin class. Its mode of action involves blocking mitochondrial electron transport at the Qo site of complex III, </w:t>
      </w:r>
      <w:r w:rsidR="00D417F4">
        <w:rPr>
          <w:rFonts w:ascii="Arial" w:hAnsi="Arial" w:cs="Arial"/>
        </w:rPr>
        <w:t>thereby reducing ATP production and inhibiting</w:t>
      </w:r>
      <w:r w:rsidRPr="00BD0B11">
        <w:rPr>
          <w:rFonts w:ascii="Arial" w:hAnsi="Arial" w:cs="Arial"/>
        </w:rPr>
        <w:t xml:space="preserve"> cellular respiration. Tilapia was selected as the target species due to its global economic significance and ecological relevance. As one of the most widely farmed freshwater fish, tilapia plays a vital role in food security, aquaculture, and rural livelihoods. To evaluate the fungicide's toxicity, healthy and active tilapia fingerlings were exposed to low and high concentrations of the fungicide for 21 days. The mortality rate among the experimental fish was zero in the control group but increased in water treated with low- and high-concentration fungicides. In this study, fish exposed to various concentrations of Picoxystrobin exhibited a consistent and significant increase in opercular movement rate. The rise in opercular beats from control to higher concentrations was statistically significant (p = 0.05). Furthermore, oxygen consumption gradually decreased as Picoxystrobin concentration increased. Histopathological analysis showed that exposure to fungicide-contaminated water caused progressive alterations in target organs, including the intestine and gills. Overall, the behavioural, respiratory, and histopathological responses observed in this research </w:t>
      </w:r>
      <w:r w:rsidR="00D417F4">
        <w:rPr>
          <w:rFonts w:ascii="Arial" w:hAnsi="Arial" w:cs="Arial"/>
        </w:rPr>
        <w:t>emphasise</w:t>
      </w:r>
      <w:r w:rsidRPr="00BD0B11">
        <w:rPr>
          <w:rFonts w:ascii="Arial" w:hAnsi="Arial" w:cs="Arial"/>
        </w:rPr>
        <w:t xml:space="preserve"> the ecological risks of fungicide contamination in aquatic environments and highlight the need for stricter regulation of agrochemical residues in water bodies.</w:t>
      </w:r>
    </w:p>
    <w:p w14:paraId="1809EB1A" w14:textId="10A14240" w:rsidR="00BA2CFF" w:rsidRDefault="00DD5FEA" w:rsidP="00DD5FEA">
      <w:pPr>
        <w:jc w:val="both"/>
        <w:rPr>
          <w:rFonts w:ascii="Arial" w:hAnsi="Arial" w:cs="Arial"/>
          <w:i/>
          <w:iCs/>
        </w:rPr>
      </w:pPr>
      <w:r w:rsidRPr="00342FCB">
        <w:rPr>
          <w:rFonts w:ascii="Arial" w:hAnsi="Arial" w:cs="Arial"/>
          <w:b/>
          <w:bCs/>
          <w:sz w:val="24"/>
          <w:szCs w:val="24"/>
        </w:rPr>
        <w:t>Keywords:</w:t>
      </w:r>
      <w:r w:rsidRPr="005E3B1B">
        <w:rPr>
          <w:rFonts w:ascii="Arial" w:hAnsi="Arial" w:cs="Arial"/>
        </w:rPr>
        <w:t xml:space="preserve"> </w:t>
      </w:r>
      <w:r w:rsidRPr="005E3B1B">
        <w:rPr>
          <w:rFonts w:ascii="Arial" w:hAnsi="Arial" w:cs="Arial"/>
          <w:i/>
          <w:iCs/>
        </w:rPr>
        <w:t>Tilapia, Pesticide, Picoxystrobin, Fingerlings, Histology</w:t>
      </w:r>
    </w:p>
    <w:p w14:paraId="6DF32BB2" w14:textId="77777777" w:rsidR="00BA2CFF" w:rsidRDefault="00BA2CFF" w:rsidP="00DD5FEA">
      <w:pPr>
        <w:jc w:val="both"/>
        <w:rPr>
          <w:rFonts w:ascii="Arial" w:hAnsi="Arial" w:cs="Arial"/>
          <w:i/>
          <w:iCs/>
        </w:rPr>
      </w:pPr>
    </w:p>
    <w:p w14:paraId="06829C3C" w14:textId="4F8CF72C" w:rsidR="00DD5FEA" w:rsidRPr="005E3B1B" w:rsidRDefault="00DD5FEA" w:rsidP="00DD5FEA">
      <w:pPr>
        <w:jc w:val="both"/>
        <w:rPr>
          <w:rFonts w:ascii="Arial" w:hAnsi="Arial" w:cs="Arial"/>
          <w:color w:val="000000" w:themeColor="text1"/>
        </w:rPr>
      </w:pPr>
      <w:r w:rsidRPr="005E3B1B">
        <w:rPr>
          <w:rFonts w:ascii="Arial" w:hAnsi="Arial" w:cs="Arial"/>
        </w:rPr>
        <w:br w:type="page"/>
      </w:r>
    </w:p>
    <w:p w14:paraId="0B9D79B4" w14:textId="3CE63FE5" w:rsidR="00766203" w:rsidRPr="005E3B1B" w:rsidRDefault="00CE2D4B" w:rsidP="00CE2D4B">
      <w:pPr>
        <w:pStyle w:val="NormalWeb"/>
        <w:spacing w:before="0" w:beforeAutospacing="0" w:after="120" w:afterAutospacing="0"/>
        <w:jc w:val="both"/>
        <w:rPr>
          <w:rFonts w:ascii="Arial" w:hAnsi="Arial" w:cs="Arial"/>
          <w:b/>
          <w:bCs/>
        </w:rPr>
      </w:pPr>
      <w:r w:rsidRPr="00CE2D4B">
        <w:rPr>
          <w:rFonts w:ascii="Arial" w:hAnsi="Arial" w:cs="Arial"/>
          <w:b/>
          <w:bCs/>
        </w:rPr>
        <w:lastRenderedPageBreak/>
        <w:t>1.</w:t>
      </w:r>
      <w:r>
        <w:rPr>
          <w:rFonts w:ascii="Arial" w:hAnsi="Arial" w:cs="Arial"/>
          <w:b/>
          <w:bCs/>
        </w:rPr>
        <w:t xml:space="preserve"> </w:t>
      </w:r>
      <w:r w:rsidR="005E3B1B" w:rsidRPr="005E3B1B">
        <w:rPr>
          <w:rFonts w:ascii="Arial" w:hAnsi="Arial" w:cs="Arial"/>
          <w:b/>
          <w:bCs/>
        </w:rPr>
        <w:t>INTRODUCTION</w:t>
      </w:r>
    </w:p>
    <w:p w14:paraId="35D4B7F7" w14:textId="29E2455B" w:rsidR="00B11BA4" w:rsidRPr="005E3B1B" w:rsidRDefault="00766203" w:rsidP="005E3B1B">
      <w:pPr>
        <w:pStyle w:val="NormalWeb"/>
        <w:spacing w:before="0" w:beforeAutospacing="0" w:after="0" w:afterAutospacing="0"/>
        <w:jc w:val="both"/>
        <w:rPr>
          <w:rFonts w:ascii="Arial" w:hAnsi="Arial" w:cs="Arial"/>
          <w:sz w:val="22"/>
          <w:szCs w:val="22"/>
        </w:rPr>
      </w:pPr>
      <w:r w:rsidRPr="005E3B1B">
        <w:rPr>
          <w:rFonts w:ascii="Arial" w:hAnsi="Arial" w:cs="Arial"/>
          <w:sz w:val="22"/>
          <w:szCs w:val="22"/>
        </w:rPr>
        <w:t xml:space="preserve">Aquatic toxicity </w:t>
      </w:r>
      <w:r w:rsidR="009D6E9C" w:rsidRPr="005E3B1B">
        <w:rPr>
          <w:rFonts w:ascii="Arial" w:hAnsi="Arial" w:cs="Arial"/>
          <w:sz w:val="22"/>
          <w:szCs w:val="22"/>
        </w:rPr>
        <w:t xml:space="preserve">refers to the adverse effects of chemical substances </w:t>
      </w:r>
      <w:r w:rsidRPr="005E3B1B">
        <w:rPr>
          <w:rFonts w:ascii="Arial" w:hAnsi="Arial" w:cs="Arial"/>
          <w:sz w:val="22"/>
          <w:szCs w:val="22"/>
        </w:rPr>
        <w:t>on aquatic life, from algae and invertebrates to fish and amphibians (Kataoka</w:t>
      </w:r>
      <w:r w:rsidR="00A3007A">
        <w:rPr>
          <w:rFonts w:ascii="Arial" w:hAnsi="Arial" w:cs="Arial"/>
          <w:sz w:val="22"/>
          <w:szCs w:val="22"/>
        </w:rPr>
        <w:t xml:space="preserve"> </w:t>
      </w:r>
      <w:r w:rsidR="00A3007A" w:rsidRPr="00A3007A">
        <w:rPr>
          <w:rFonts w:ascii="Arial" w:hAnsi="Arial" w:cs="Arial"/>
          <w:i/>
          <w:iCs/>
          <w:sz w:val="22"/>
          <w:szCs w:val="22"/>
        </w:rPr>
        <w:t>et al.</w:t>
      </w:r>
      <w:r w:rsidRPr="00A3007A">
        <w:rPr>
          <w:rFonts w:ascii="Arial" w:hAnsi="Arial" w:cs="Arial"/>
          <w:i/>
          <w:iCs/>
          <w:sz w:val="22"/>
          <w:szCs w:val="22"/>
        </w:rPr>
        <w:t>,</w:t>
      </w:r>
      <w:r w:rsidRPr="005E3B1B">
        <w:rPr>
          <w:rFonts w:ascii="Arial" w:hAnsi="Arial" w:cs="Arial"/>
          <w:sz w:val="22"/>
          <w:szCs w:val="22"/>
        </w:rPr>
        <w:t xml:space="preserve"> 2021). A multidisciplinary field </w:t>
      </w:r>
      <w:r w:rsidR="00342FCB">
        <w:rPr>
          <w:rFonts w:ascii="Arial" w:hAnsi="Arial" w:cs="Arial"/>
          <w:sz w:val="22"/>
          <w:szCs w:val="22"/>
        </w:rPr>
        <w:t>that combines toxicology, ecology, and chemistry, it assesses the effects of pollutants, including heavy metals, fertilisers, pesticides, and industrial waste,</w:t>
      </w:r>
      <w:r w:rsidRPr="005E3B1B">
        <w:rPr>
          <w:rFonts w:ascii="Arial" w:hAnsi="Arial" w:cs="Arial"/>
          <w:sz w:val="22"/>
          <w:szCs w:val="22"/>
        </w:rPr>
        <w:t xml:space="preserve"> on ecosystems (Landos </w:t>
      </w:r>
      <w:r w:rsidR="005E3B1B" w:rsidRPr="005E3B1B">
        <w:rPr>
          <w:rFonts w:ascii="Arial" w:hAnsi="Arial" w:cs="Arial"/>
          <w:i/>
          <w:iCs/>
          <w:sz w:val="22"/>
          <w:szCs w:val="22"/>
        </w:rPr>
        <w:t>et al</w:t>
      </w:r>
      <w:r w:rsidRPr="005E3B1B">
        <w:rPr>
          <w:rFonts w:ascii="Arial" w:hAnsi="Arial" w:cs="Arial"/>
          <w:sz w:val="22"/>
          <w:szCs w:val="22"/>
        </w:rPr>
        <w:t xml:space="preserve">., 2021). Toxicity is measured through acute and chronic tests </w:t>
      </w:r>
      <w:r w:rsidR="009D6E9C" w:rsidRPr="005E3B1B">
        <w:rPr>
          <w:rFonts w:ascii="Arial" w:hAnsi="Arial" w:cs="Arial"/>
          <w:sz w:val="22"/>
          <w:szCs w:val="22"/>
        </w:rPr>
        <w:t>using organisms such as Daphnia, algae, and fish, focusing on endpoints such as survival and reproduction to determine LC50 and EC50 values</w:t>
      </w:r>
      <w:r w:rsidRPr="005E3B1B">
        <w:rPr>
          <w:rFonts w:ascii="Arial" w:hAnsi="Arial" w:cs="Arial"/>
          <w:sz w:val="22"/>
          <w:szCs w:val="22"/>
        </w:rPr>
        <w:t xml:space="preserve">. Toxicants can cause behavioural changes, stress, and population decline, disrupting food webs and ecosystems. Industrial runoff and agricultural pollutants </w:t>
      </w:r>
      <w:r w:rsidR="00342FCB">
        <w:rPr>
          <w:rFonts w:ascii="Arial" w:hAnsi="Arial" w:cs="Arial"/>
          <w:sz w:val="22"/>
          <w:szCs w:val="22"/>
        </w:rPr>
        <w:t>significantly affect fish behaviour and survival, underscoring the need for rigorous</w:t>
      </w:r>
      <w:r w:rsidRPr="005E3B1B">
        <w:rPr>
          <w:rFonts w:ascii="Arial" w:hAnsi="Arial" w:cs="Arial"/>
          <w:sz w:val="22"/>
          <w:szCs w:val="22"/>
        </w:rPr>
        <w:t xml:space="preserve"> monitoring and pollution control.</w:t>
      </w:r>
    </w:p>
    <w:p w14:paraId="68A0716F" w14:textId="4FF06C7B" w:rsidR="0057312B" w:rsidRPr="005E3B1B" w:rsidRDefault="00EA3B99" w:rsidP="005E3B1B">
      <w:pPr>
        <w:pStyle w:val="NormalWeb"/>
        <w:jc w:val="both"/>
        <w:rPr>
          <w:rFonts w:ascii="Arial" w:hAnsi="Arial" w:cs="Arial"/>
          <w:sz w:val="22"/>
          <w:szCs w:val="22"/>
        </w:rPr>
      </w:pPr>
      <w:r w:rsidRPr="005E3B1B">
        <w:rPr>
          <w:rFonts w:ascii="Arial" w:hAnsi="Arial" w:cs="Arial"/>
          <w:sz w:val="22"/>
          <w:szCs w:val="22"/>
        </w:rPr>
        <w:t xml:space="preserve">Pesticide toxicity in fish is a major environmental issue caused by the widespread use of agricultural chemicals that often contaminate aquatic ecosystems through runoff, leaching, and atmospheric deposition (Kumari, 2020; </w:t>
      </w:r>
      <w:proofErr w:type="spellStart"/>
      <w:r w:rsidRPr="005E3B1B">
        <w:rPr>
          <w:rFonts w:ascii="Arial" w:hAnsi="Arial" w:cs="Arial"/>
          <w:sz w:val="22"/>
          <w:szCs w:val="22"/>
        </w:rPr>
        <w:t>Mangalawede</w:t>
      </w:r>
      <w:proofErr w:type="spellEnd"/>
      <w:r w:rsidRPr="005E3B1B">
        <w:rPr>
          <w:rFonts w:ascii="Arial" w:hAnsi="Arial" w:cs="Arial"/>
          <w:sz w:val="22"/>
          <w:szCs w:val="22"/>
        </w:rPr>
        <w:t xml:space="preserve">, 2025). Fish are especially vulnerable to these pollutants, </w:t>
      </w:r>
      <w:r w:rsidR="009D6E9C" w:rsidRPr="005E3B1B">
        <w:rPr>
          <w:rFonts w:ascii="Arial" w:hAnsi="Arial" w:cs="Arial"/>
          <w:sz w:val="22"/>
          <w:szCs w:val="22"/>
        </w:rPr>
        <w:t>including insecticides such as</w:t>
      </w:r>
      <w:r w:rsidRPr="005E3B1B">
        <w:rPr>
          <w:rFonts w:ascii="Arial" w:hAnsi="Arial" w:cs="Arial"/>
          <w:sz w:val="22"/>
          <w:szCs w:val="22"/>
        </w:rPr>
        <w:t xml:space="preserve"> organophosphates and pyrethroids, </w:t>
      </w:r>
      <w:r w:rsidR="003069B4" w:rsidRPr="005E3B1B">
        <w:rPr>
          <w:rFonts w:ascii="Arial" w:hAnsi="Arial" w:cs="Arial"/>
          <w:sz w:val="22"/>
          <w:szCs w:val="22"/>
        </w:rPr>
        <w:t>as well as herbicides</w:t>
      </w:r>
      <w:r w:rsidRPr="005E3B1B">
        <w:rPr>
          <w:rFonts w:ascii="Arial" w:hAnsi="Arial" w:cs="Arial"/>
          <w:sz w:val="22"/>
          <w:szCs w:val="22"/>
        </w:rPr>
        <w:t xml:space="preserve"> and fungicides. These compounds can enter fish bodies via gill absorption, dermal contact, or ingestion, leading to bioaccumulation and long-term toxicity. Physiological effects include damage to the gills, liver, and kidneys, as well as disruptions in endocrine and neurological functions (</w:t>
      </w:r>
      <w:proofErr w:type="spellStart"/>
      <w:r w:rsidRPr="005E3B1B">
        <w:rPr>
          <w:rFonts w:ascii="Arial" w:hAnsi="Arial" w:cs="Arial"/>
          <w:sz w:val="22"/>
          <w:szCs w:val="22"/>
        </w:rPr>
        <w:t>Pokale</w:t>
      </w:r>
      <w:proofErr w:type="spellEnd"/>
      <w:r w:rsidRPr="005E3B1B">
        <w:rPr>
          <w:rFonts w:ascii="Arial" w:hAnsi="Arial" w:cs="Arial"/>
          <w:sz w:val="22"/>
          <w:szCs w:val="22"/>
        </w:rPr>
        <w:t xml:space="preserve"> &amp; </w:t>
      </w:r>
      <w:proofErr w:type="spellStart"/>
      <w:r w:rsidRPr="005E3B1B">
        <w:rPr>
          <w:rFonts w:ascii="Arial" w:hAnsi="Arial" w:cs="Arial"/>
          <w:sz w:val="22"/>
          <w:szCs w:val="22"/>
        </w:rPr>
        <w:t>Kawade</w:t>
      </w:r>
      <w:proofErr w:type="spellEnd"/>
      <w:r w:rsidRPr="005E3B1B">
        <w:rPr>
          <w:rFonts w:ascii="Arial" w:hAnsi="Arial" w:cs="Arial"/>
          <w:sz w:val="22"/>
          <w:szCs w:val="22"/>
        </w:rPr>
        <w:t xml:space="preserve">, 2021). Histopathological changes such as necrosis, haemorrhage, and cellular degeneration are typically observed. Behavioural changes, </w:t>
      </w:r>
      <w:r w:rsidR="00342FCB">
        <w:rPr>
          <w:rFonts w:ascii="Arial" w:hAnsi="Arial" w:cs="Arial"/>
          <w:sz w:val="22"/>
          <w:szCs w:val="22"/>
        </w:rPr>
        <w:t>reduced reproductive success, and increased mortality rates further underscore</w:t>
      </w:r>
      <w:r w:rsidRPr="005E3B1B">
        <w:rPr>
          <w:rFonts w:ascii="Arial" w:hAnsi="Arial" w:cs="Arial"/>
          <w:sz w:val="22"/>
          <w:szCs w:val="22"/>
        </w:rPr>
        <w:t xml:space="preserve"> the ecological impact. Biomarkers</w:t>
      </w:r>
      <w:r w:rsidR="009D6E9C" w:rsidRPr="005E3B1B">
        <w:rPr>
          <w:rFonts w:ascii="Arial" w:hAnsi="Arial" w:cs="Arial"/>
          <w:sz w:val="22"/>
          <w:szCs w:val="22"/>
        </w:rPr>
        <w:t>, such as alterations in blood parameters and enzyme activity, are used to assess</w:t>
      </w:r>
      <w:r w:rsidRPr="005E3B1B">
        <w:rPr>
          <w:rFonts w:ascii="Arial" w:hAnsi="Arial" w:cs="Arial"/>
          <w:sz w:val="22"/>
          <w:szCs w:val="22"/>
        </w:rPr>
        <w:t xml:space="preserve"> toxicity levels. The decline in fish populations and biodiversity due to pesticide exposure jeopardises aquatic food webs and ecosystem stability. Strategies to mitigate these issues include promoting integrated pest management, </w:t>
      </w:r>
      <w:r w:rsidR="009D6E9C" w:rsidRPr="005E3B1B">
        <w:rPr>
          <w:rFonts w:ascii="Arial" w:hAnsi="Arial" w:cs="Arial"/>
          <w:sz w:val="22"/>
          <w:szCs w:val="22"/>
        </w:rPr>
        <w:t>regularly monitoring water quality, and using</w:t>
      </w:r>
      <w:r w:rsidRPr="005E3B1B">
        <w:rPr>
          <w:rFonts w:ascii="Arial" w:hAnsi="Arial" w:cs="Arial"/>
          <w:sz w:val="22"/>
          <w:szCs w:val="22"/>
        </w:rPr>
        <w:t xml:space="preserve"> biopesticides. Studies by Sharma </w:t>
      </w:r>
      <w:r w:rsidR="005E3B1B" w:rsidRPr="005E3B1B">
        <w:rPr>
          <w:rFonts w:ascii="Arial" w:hAnsi="Arial" w:cs="Arial"/>
          <w:i/>
          <w:iCs/>
          <w:sz w:val="22"/>
          <w:szCs w:val="22"/>
        </w:rPr>
        <w:t>et al</w:t>
      </w:r>
      <w:r w:rsidRPr="005E3B1B">
        <w:rPr>
          <w:rFonts w:ascii="Arial" w:hAnsi="Arial" w:cs="Arial"/>
          <w:sz w:val="22"/>
          <w:szCs w:val="22"/>
        </w:rPr>
        <w:t xml:space="preserve">. (2020), Singh </w:t>
      </w:r>
      <w:r w:rsidR="005E3B1B">
        <w:rPr>
          <w:rFonts w:ascii="Arial" w:hAnsi="Arial" w:cs="Arial"/>
          <w:sz w:val="22"/>
          <w:szCs w:val="22"/>
        </w:rPr>
        <w:t>&amp;</w:t>
      </w:r>
      <w:r w:rsidRPr="005E3B1B">
        <w:rPr>
          <w:rFonts w:ascii="Arial" w:hAnsi="Arial" w:cs="Arial"/>
          <w:sz w:val="22"/>
          <w:szCs w:val="22"/>
        </w:rPr>
        <w:t xml:space="preserve"> Yadav (2025), and </w:t>
      </w:r>
      <w:proofErr w:type="spellStart"/>
      <w:r w:rsidR="00E112BA" w:rsidRPr="005E3B1B">
        <w:rPr>
          <w:rFonts w:ascii="Arial" w:hAnsi="Arial" w:cs="Arial"/>
          <w:sz w:val="22"/>
          <w:szCs w:val="22"/>
        </w:rPr>
        <w:t>Pokale</w:t>
      </w:r>
      <w:proofErr w:type="spellEnd"/>
      <w:r w:rsidR="00E112BA" w:rsidRPr="005E3B1B">
        <w:rPr>
          <w:rFonts w:ascii="Arial" w:hAnsi="Arial" w:cs="Arial"/>
          <w:sz w:val="22"/>
          <w:szCs w:val="22"/>
        </w:rPr>
        <w:t xml:space="preserve"> &amp; </w:t>
      </w:r>
      <w:proofErr w:type="spellStart"/>
      <w:r w:rsidR="00E112BA" w:rsidRPr="005E3B1B">
        <w:rPr>
          <w:rFonts w:ascii="Arial" w:hAnsi="Arial" w:cs="Arial"/>
          <w:sz w:val="22"/>
          <w:szCs w:val="22"/>
        </w:rPr>
        <w:t>Kawade</w:t>
      </w:r>
      <w:proofErr w:type="spellEnd"/>
      <w:r w:rsidR="00E112BA">
        <w:rPr>
          <w:rFonts w:ascii="Arial" w:hAnsi="Arial" w:cs="Arial"/>
          <w:sz w:val="22"/>
          <w:szCs w:val="22"/>
        </w:rPr>
        <w:t xml:space="preserve"> </w:t>
      </w:r>
      <w:r w:rsidRPr="005E3B1B">
        <w:rPr>
          <w:rFonts w:ascii="Arial" w:hAnsi="Arial" w:cs="Arial"/>
          <w:sz w:val="22"/>
          <w:szCs w:val="22"/>
        </w:rPr>
        <w:t>(2021) offer comprehensive insights into the mechanisms and effects of pesticide toxicity in fish species, emphasising the need for stricter regulation and sustainable agricultural practices.</w:t>
      </w:r>
    </w:p>
    <w:p w14:paraId="36521252" w14:textId="3006F9F6" w:rsidR="00E408FD" w:rsidRPr="00307BAB" w:rsidRDefault="00766203" w:rsidP="00307BAB">
      <w:pPr>
        <w:pStyle w:val="NormalWeb"/>
        <w:jc w:val="both"/>
        <w:rPr>
          <w:rFonts w:ascii="Arial" w:hAnsi="Arial" w:cs="Arial"/>
          <w:i/>
          <w:iCs/>
          <w:sz w:val="22"/>
          <w:szCs w:val="22"/>
        </w:rPr>
      </w:pPr>
      <w:r w:rsidRPr="005E3B1B">
        <w:rPr>
          <w:rFonts w:ascii="Arial" w:hAnsi="Arial" w:cs="Arial"/>
          <w:sz w:val="22"/>
          <w:szCs w:val="22"/>
        </w:rPr>
        <w:t xml:space="preserve">Various authors have documented the adverse effects of pesticides on fish. For instance, common carp exposed to </w:t>
      </w:r>
      <w:r w:rsidR="00342FCB">
        <w:rPr>
          <w:rFonts w:ascii="Arial" w:hAnsi="Arial" w:cs="Arial"/>
          <w:sz w:val="22"/>
          <w:szCs w:val="22"/>
        </w:rPr>
        <w:t>a synthetic pyrethroid for 96 hours exhibited behavioural abnormalities, particularly</w:t>
      </w:r>
      <w:r w:rsidRPr="005E3B1B">
        <w:rPr>
          <w:rFonts w:ascii="Arial" w:hAnsi="Arial" w:cs="Arial"/>
          <w:sz w:val="22"/>
          <w:szCs w:val="22"/>
        </w:rPr>
        <w:t xml:space="preserve"> in swimming (</w:t>
      </w:r>
      <w:r w:rsidR="00213D54">
        <w:rPr>
          <w:rFonts w:ascii="Arial" w:hAnsi="Arial" w:cs="Arial"/>
          <w:sz w:val="22"/>
          <w:szCs w:val="22"/>
        </w:rPr>
        <w:t>Anwar</w:t>
      </w:r>
      <w:r w:rsidRPr="005E3B1B">
        <w:rPr>
          <w:rFonts w:ascii="Arial" w:hAnsi="Arial" w:cs="Arial"/>
          <w:sz w:val="22"/>
          <w:szCs w:val="22"/>
        </w:rPr>
        <w:t>, 20</w:t>
      </w:r>
      <w:r w:rsidR="00213D54">
        <w:rPr>
          <w:rFonts w:ascii="Arial" w:hAnsi="Arial" w:cs="Arial"/>
          <w:sz w:val="22"/>
          <w:szCs w:val="22"/>
        </w:rPr>
        <w:t>23</w:t>
      </w:r>
      <w:r w:rsidRPr="005E3B1B">
        <w:rPr>
          <w:rFonts w:ascii="Arial" w:hAnsi="Arial" w:cs="Arial"/>
          <w:sz w:val="22"/>
          <w:szCs w:val="22"/>
        </w:rPr>
        <w:t xml:space="preserve">). </w:t>
      </w:r>
      <w:proofErr w:type="spellStart"/>
      <w:r w:rsidR="00307BAB">
        <w:rPr>
          <w:rFonts w:ascii="Arial" w:hAnsi="Arial" w:cs="Arial"/>
          <w:sz w:val="22"/>
          <w:szCs w:val="22"/>
        </w:rPr>
        <w:t>Ajibare</w:t>
      </w:r>
      <w:proofErr w:type="spellEnd"/>
      <w:r w:rsidR="00307BAB">
        <w:rPr>
          <w:rFonts w:ascii="Arial" w:hAnsi="Arial" w:cs="Arial"/>
          <w:sz w:val="22"/>
          <w:szCs w:val="22"/>
        </w:rPr>
        <w:t xml:space="preserve"> &amp; </w:t>
      </w:r>
      <w:proofErr w:type="spellStart"/>
      <w:r w:rsidR="00307BAB">
        <w:rPr>
          <w:rFonts w:ascii="Arial" w:hAnsi="Arial" w:cs="Arial"/>
          <w:sz w:val="22"/>
          <w:szCs w:val="22"/>
        </w:rPr>
        <w:t>Ayeku</w:t>
      </w:r>
      <w:proofErr w:type="spellEnd"/>
      <w:r w:rsidR="00307BAB">
        <w:rPr>
          <w:rFonts w:ascii="Arial" w:hAnsi="Arial" w:cs="Arial"/>
          <w:sz w:val="22"/>
          <w:szCs w:val="22"/>
        </w:rPr>
        <w:t xml:space="preserve"> </w:t>
      </w:r>
      <w:r w:rsidRPr="005E3B1B">
        <w:rPr>
          <w:rFonts w:ascii="Arial" w:hAnsi="Arial" w:cs="Arial"/>
          <w:sz w:val="22"/>
          <w:szCs w:val="22"/>
        </w:rPr>
        <w:t>(</w:t>
      </w:r>
      <w:r w:rsidR="00307BAB">
        <w:rPr>
          <w:rFonts w:ascii="Arial" w:hAnsi="Arial" w:cs="Arial"/>
          <w:sz w:val="22"/>
          <w:szCs w:val="22"/>
        </w:rPr>
        <w:t>2024</w:t>
      </w:r>
      <w:r w:rsidRPr="005E3B1B">
        <w:rPr>
          <w:rFonts w:ascii="Arial" w:hAnsi="Arial" w:cs="Arial"/>
          <w:sz w:val="22"/>
          <w:szCs w:val="22"/>
        </w:rPr>
        <w:t xml:space="preserve">) reported that </w:t>
      </w:r>
      <w:r w:rsidR="00307BAB" w:rsidRPr="00307BAB">
        <w:rPr>
          <w:rFonts w:ascii="Arial" w:hAnsi="Arial" w:cs="Arial"/>
          <w:sz w:val="22"/>
          <w:szCs w:val="22"/>
        </w:rPr>
        <w:t xml:space="preserve">Juvenile </w:t>
      </w:r>
      <w:r w:rsidR="00307BAB" w:rsidRPr="00307BAB">
        <w:rPr>
          <w:rFonts w:ascii="Arial" w:hAnsi="Arial" w:cs="Arial"/>
          <w:i/>
          <w:iCs/>
          <w:sz w:val="22"/>
          <w:szCs w:val="22"/>
        </w:rPr>
        <w:t xml:space="preserve">Clarias </w:t>
      </w:r>
      <w:proofErr w:type="spellStart"/>
      <w:r w:rsidR="00307BAB" w:rsidRPr="00307BAB">
        <w:rPr>
          <w:rFonts w:ascii="Arial" w:hAnsi="Arial" w:cs="Arial"/>
          <w:i/>
          <w:iCs/>
          <w:sz w:val="22"/>
          <w:szCs w:val="22"/>
        </w:rPr>
        <w:t>gariepinus</w:t>
      </w:r>
      <w:proofErr w:type="spellEnd"/>
      <w:r w:rsidR="00307BAB" w:rsidRPr="00307BAB">
        <w:rPr>
          <w:rFonts w:ascii="Arial" w:hAnsi="Arial" w:cs="Arial"/>
          <w:sz w:val="22"/>
          <w:szCs w:val="22"/>
        </w:rPr>
        <w:t xml:space="preserve"> exposed to sub-lethal glyphosate concentrations showed respiratory distress, erratic swimming, and reduced growth performance, highlighting glyphosate’s impact on fish physiology and behaviour</w:t>
      </w:r>
      <w:r w:rsidR="00307BAB">
        <w:rPr>
          <w:rFonts w:ascii="Arial" w:hAnsi="Arial" w:cs="Arial"/>
          <w:sz w:val="22"/>
          <w:szCs w:val="22"/>
        </w:rPr>
        <w:t>.</w:t>
      </w:r>
      <w:r w:rsidRPr="005E3B1B">
        <w:rPr>
          <w:rFonts w:ascii="Arial" w:hAnsi="Arial" w:cs="Arial"/>
          <w:sz w:val="22"/>
          <w:szCs w:val="22"/>
        </w:rPr>
        <w:t xml:space="preserve"> Exposure to organophosphates, carbamates, and organochlorines in air-breathing fish like </w:t>
      </w:r>
      <w:r w:rsidRPr="005E3B1B">
        <w:rPr>
          <w:rFonts w:ascii="Arial" w:hAnsi="Arial" w:cs="Arial"/>
          <w:i/>
          <w:iCs/>
          <w:sz w:val="22"/>
          <w:szCs w:val="22"/>
        </w:rPr>
        <w:t xml:space="preserve">Channa </w:t>
      </w:r>
      <w:proofErr w:type="spellStart"/>
      <w:r w:rsidRPr="005E3B1B">
        <w:rPr>
          <w:rFonts w:ascii="Arial" w:hAnsi="Arial" w:cs="Arial"/>
          <w:i/>
          <w:iCs/>
          <w:sz w:val="22"/>
          <w:szCs w:val="22"/>
        </w:rPr>
        <w:t>gachua</w:t>
      </w:r>
      <w:proofErr w:type="spellEnd"/>
      <w:r w:rsidRPr="005E3B1B">
        <w:rPr>
          <w:rFonts w:ascii="Arial" w:hAnsi="Arial" w:cs="Arial"/>
          <w:sz w:val="22"/>
          <w:szCs w:val="22"/>
        </w:rPr>
        <w:t xml:space="preserve"> led to decreased oxygen uptake and increased aerial respiration, indicating a shift in respiratory strategy (Rahman &amp; Sadhu, 2009). </w:t>
      </w:r>
      <w:r w:rsidR="00E112BA">
        <w:rPr>
          <w:rFonts w:ascii="Arial" w:hAnsi="Arial" w:cs="Arial"/>
          <w:sz w:val="22"/>
          <w:szCs w:val="22"/>
        </w:rPr>
        <w:t xml:space="preserve">Research on </w:t>
      </w:r>
      <w:proofErr w:type="spellStart"/>
      <w:r w:rsidR="00E112BA" w:rsidRPr="00E112BA">
        <w:rPr>
          <w:rFonts w:ascii="Arial" w:hAnsi="Arial" w:cs="Arial"/>
          <w:i/>
          <w:iCs/>
          <w:sz w:val="22"/>
          <w:szCs w:val="22"/>
        </w:rPr>
        <w:t>Labeo</w:t>
      </w:r>
      <w:proofErr w:type="spellEnd"/>
      <w:r w:rsidR="00E112BA" w:rsidRPr="00E112BA">
        <w:rPr>
          <w:rFonts w:ascii="Arial" w:hAnsi="Arial" w:cs="Arial"/>
          <w:i/>
          <w:iCs/>
          <w:sz w:val="22"/>
          <w:szCs w:val="22"/>
        </w:rPr>
        <w:t xml:space="preserve"> </w:t>
      </w:r>
      <w:proofErr w:type="spellStart"/>
      <w:r w:rsidR="00E112BA" w:rsidRPr="00E112BA">
        <w:rPr>
          <w:rFonts w:ascii="Arial" w:hAnsi="Arial" w:cs="Arial"/>
          <w:i/>
          <w:iCs/>
          <w:sz w:val="22"/>
          <w:szCs w:val="22"/>
        </w:rPr>
        <w:t>rohita</w:t>
      </w:r>
      <w:proofErr w:type="spellEnd"/>
      <w:r w:rsidR="00E112BA">
        <w:rPr>
          <w:rFonts w:ascii="Arial" w:hAnsi="Arial" w:cs="Arial"/>
          <w:sz w:val="22"/>
          <w:szCs w:val="22"/>
        </w:rPr>
        <w:t xml:space="preserve"> has shown significant reductions in haemoglobin and erythrocyte counts, resulting in anaemia and reduced oxygen-carrying capacity due to heavy metal toxicity (Salve, 2023)</w:t>
      </w:r>
      <w:r w:rsidRPr="005E3B1B">
        <w:rPr>
          <w:rFonts w:ascii="Arial" w:hAnsi="Arial" w:cs="Arial"/>
          <w:sz w:val="22"/>
          <w:szCs w:val="22"/>
        </w:rPr>
        <w:t xml:space="preserve">. </w:t>
      </w:r>
      <w:r w:rsidR="005E3B1B">
        <w:rPr>
          <w:rFonts w:ascii="Arial" w:hAnsi="Arial" w:cs="Arial"/>
          <w:sz w:val="22"/>
          <w:szCs w:val="22"/>
        </w:rPr>
        <w:t xml:space="preserve">Exposure to </w:t>
      </w:r>
      <w:r w:rsidR="00712AA0">
        <w:rPr>
          <w:rFonts w:ascii="Arial" w:hAnsi="Arial" w:cs="Arial"/>
          <w:sz w:val="22"/>
          <w:szCs w:val="22"/>
        </w:rPr>
        <w:t>malathion, endosulfan, chlorpyrifos</w:t>
      </w:r>
      <w:r w:rsidR="00E112BA">
        <w:rPr>
          <w:rFonts w:ascii="Arial" w:hAnsi="Arial" w:cs="Arial"/>
          <w:sz w:val="22"/>
          <w:szCs w:val="22"/>
        </w:rPr>
        <w:t xml:space="preserve">, and </w:t>
      </w:r>
      <w:proofErr w:type="spellStart"/>
      <w:r w:rsidR="00E112BA">
        <w:rPr>
          <w:rFonts w:ascii="Arial" w:hAnsi="Arial" w:cs="Arial"/>
          <w:sz w:val="22"/>
          <w:szCs w:val="22"/>
        </w:rPr>
        <w:t>cartap</w:t>
      </w:r>
      <w:proofErr w:type="spellEnd"/>
      <w:r w:rsidR="00E112BA">
        <w:rPr>
          <w:rFonts w:ascii="Arial" w:hAnsi="Arial" w:cs="Arial"/>
          <w:sz w:val="22"/>
          <w:szCs w:val="22"/>
        </w:rPr>
        <w:t xml:space="preserve"> hydrochloride in </w:t>
      </w:r>
      <w:r w:rsidR="00E112BA" w:rsidRPr="00E112BA">
        <w:rPr>
          <w:rFonts w:ascii="Arial" w:hAnsi="Arial" w:cs="Arial"/>
          <w:i/>
          <w:iCs/>
          <w:sz w:val="22"/>
          <w:szCs w:val="22"/>
        </w:rPr>
        <w:t xml:space="preserve">Channa </w:t>
      </w:r>
      <w:proofErr w:type="spellStart"/>
      <w:r w:rsidR="00E112BA" w:rsidRPr="00E112BA">
        <w:rPr>
          <w:rFonts w:ascii="Arial" w:hAnsi="Arial" w:cs="Arial"/>
          <w:i/>
          <w:iCs/>
          <w:sz w:val="22"/>
          <w:szCs w:val="22"/>
        </w:rPr>
        <w:t>marulius</w:t>
      </w:r>
      <w:proofErr w:type="spellEnd"/>
      <w:r w:rsidR="00E112BA">
        <w:rPr>
          <w:rFonts w:ascii="Arial" w:hAnsi="Arial" w:cs="Arial"/>
          <w:sz w:val="22"/>
          <w:szCs w:val="22"/>
        </w:rPr>
        <w:t xml:space="preserve"> induced physiological stress, as indicated by decreased oxygen consumption and a </w:t>
      </w:r>
      <w:r w:rsidR="00712AA0">
        <w:rPr>
          <w:rFonts w:ascii="Arial" w:hAnsi="Arial" w:cs="Arial"/>
          <w:sz w:val="22"/>
          <w:szCs w:val="22"/>
        </w:rPr>
        <w:t>reduced respiratory exchange ratio</w:t>
      </w:r>
      <w:r w:rsidRPr="005E3B1B">
        <w:rPr>
          <w:rFonts w:ascii="Arial" w:hAnsi="Arial" w:cs="Arial"/>
          <w:sz w:val="22"/>
          <w:szCs w:val="22"/>
        </w:rPr>
        <w:t xml:space="preserve"> (</w:t>
      </w:r>
      <w:r w:rsidR="00712AA0">
        <w:rPr>
          <w:rFonts w:ascii="Arial" w:hAnsi="Arial" w:cs="Arial"/>
          <w:sz w:val="22"/>
          <w:szCs w:val="22"/>
        </w:rPr>
        <w:t xml:space="preserve">Shah </w:t>
      </w:r>
      <w:r w:rsidR="00307BAB">
        <w:rPr>
          <w:rFonts w:ascii="Arial" w:hAnsi="Arial" w:cs="Arial"/>
          <w:sz w:val="22"/>
          <w:szCs w:val="22"/>
        </w:rPr>
        <w:t>&amp;</w:t>
      </w:r>
      <w:r w:rsidR="00712AA0">
        <w:rPr>
          <w:rFonts w:ascii="Arial" w:hAnsi="Arial" w:cs="Arial"/>
          <w:sz w:val="22"/>
          <w:szCs w:val="22"/>
        </w:rPr>
        <w:t xml:space="preserve"> Rani, 2025</w:t>
      </w:r>
      <w:r w:rsidRPr="005E3B1B">
        <w:rPr>
          <w:rFonts w:ascii="Arial" w:hAnsi="Arial" w:cs="Arial"/>
          <w:sz w:val="22"/>
          <w:szCs w:val="22"/>
        </w:rPr>
        <w:t xml:space="preserve">).  </w:t>
      </w:r>
    </w:p>
    <w:p w14:paraId="6F13C233" w14:textId="518DB475" w:rsidR="00AC4CF9" w:rsidRPr="005E3B1B" w:rsidRDefault="00C87736" w:rsidP="005E3B1B">
      <w:pPr>
        <w:pStyle w:val="NormalWeb"/>
        <w:jc w:val="both"/>
        <w:rPr>
          <w:rFonts w:ascii="Arial" w:hAnsi="Arial" w:cs="Arial"/>
          <w:sz w:val="22"/>
          <w:szCs w:val="22"/>
        </w:rPr>
      </w:pPr>
      <w:r w:rsidRPr="005E3B1B">
        <w:rPr>
          <w:rFonts w:ascii="Arial" w:hAnsi="Arial" w:cs="Arial"/>
          <w:sz w:val="22"/>
          <w:szCs w:val="22"/>
        </w:rPr>
        <w:t>Picoxystrobin is a systemic and translaminar fungicide belonging to the Quinone outside Inhibitor (</w:t>
      </w:r>
      <w:proofErr w:type="spellStart"/>
      <w:r w:rsidRPr="005E3B1B">
        <w:rPr>
          <w:rFonts w:ascii="Arial" w:hAnsi="Arial" w:cs="Arial"/>
          <w:sz w:val="22"/>
          <w:szCs w:val="22"/>
        </w:rPr>
        <w:t>QoI</w:t>
      </w:r>
      <w:proofErr w:type="spellEnd"/>
      <w:r w:rsidRPr="005E3B1B">
        <w:rPr>
          <w:rFonts w:ascii="Arial" w:hAnsi="Arial" w:cs="Arial"/>
          <w:sz w:val="22"/>
          <w:szCs w:val="22"/>
        </w:rPr>
        <w:t>) group. It works by inhibiting mitochondrial respiration in fungi, specifically blocking electron transfer at the Qo site of cytochrome bc1, thereby stopping energy production and fungal growth (</w:t>
      </w:r>
      <w:r w:rsidR="006A46D4">
        <w:rPr>
          <w:rFonts w:ascii="Arial" w:hAnsi="Arial" w:cs="Arial"/>
          <w:sz w:val="22"/>
          <w:szCs w:val="22"/>
        </w:rPr>
        <w:t>http://</w:t>
      </w:r>
      <w:r w:rsidRPr="005E3B1B">
        <w:rPr>
          <w:rFonts w:ascii="Arial" w:hAnsi="Arial" w:cs="Arial"/>
          <w:sz w:val="22"/>
          <w:szCs w:val="22"/>
        </w:rPr>
        <w:t xml:space="preserve">www.fao.org). It is mainly used on crops such as maize, soybeans, wheat, oilseed rape, and oats, and is applied using ground equipment, aerial spraying, or chemigation. The formulated product is usually a suspension concentrate, with "Approach" being one of the registered end-use products </w:t>
      </w:r>
      <w:r w:rsidR="006A46D4" w:rsidRPr="005E3B1B">
        <w:rPr>
          <w:rFonts w:ascii="Arial" w:hAnsi="Arial" w:cs="Arial"/>
          <w:sz w:val="22"/>
          <w:szCs w:val="22"/>
        </w:rPr>
        <w:t>(www.fao.org)</w:t>
      </w:r>
      <w:r w:rsidRPr="005E3B1B">
        <w:rPr>
          <w:rFonts w:ascii="Arial" w:hAnsi="Arial" w:cs="Arial"/>
          <w:sz w:val="22"/>
          <w:szCs w:val="22"/>
        </w:rPr>
        <w:t xml:space="preserve">. Picoxystrobin has been identified as a high-risk compound for aquatic environments. According to the Minnesota </w:t>
      </w:r>
      <w:r w:rsidRPr="005E3B1B">
        <w:rPr>
          <w:rFonts w:ascii="Arial" w:hAnsi="Arial" w:cs="Arial"/>
          <w:sz w:val="22"/>
          <w:szCs w:val="22"/>
        </w:rPr>
        <w:lastRenderedPageBreak/>
        <w:t>Department of Agriculture’s Active Ingredient Review (2022), picoxystrobin is classified as “highly toxic” to fish and aquatic invertebrates. Its mobility in soil and persistence in water bodies make it particularly concerning, especially when applied near surface waters or before rainfall events.</w:t>
      </w:r>
      <w:r w:rsidR="00F61CFA" w:rsidRPr="005E3B1B">
        <w:rPr>
          <w:rFonts w:ascii="Arial" w:hAnsi="Arial" w:cs="Arial"/>
          <w:sz w:val="22"/>
          <w:szCs w:val="22"/>
        </w:rPr>
        <w:t xml:space="preserve"> The adverse effects of </w:t>
      </w:r>
      <w:r w:rsidR="006B1F4E">
        <w:rPr>
          <w:rFonts w:ascii="Arial" w:hAnsi="Arial" w:cs="Arial"/>
          <w:sz w:val="22"/>
          <w:szCs w:val="22"/>
        </w:rPr>
        <w:t>strobilurins have been reported in a few nontarget organisms, including</w:t>
      </w:r>
      <w:r w:rsidR="009D6E9C" w:rsidRPr="005E3B1B">
        <w:rPr>
          <w:rFonts w:ascii="Arial" w:hAnsi="Arial" w:cs="Arial"/>
          <w:sz w:val="22"/>
          <w:szCs w:val="22"/>
        </w:rPr>
        <w:t xml:space="preserve"> zebrafish (</w:t>
      </w:r>
      <w:r w:rsidR="006B7373" w:rsidRPr="005E3B1B">
        <w:rPr>
          <w:rFonts w:ascii="Arial" w:hAnsi="Arial" w:cs="Arial"/>
          <w:sz w:val="22"/>
          <w:szCs w:val="22"/>
        </w:rPr>
        <w:t>Jia</w:t>
      </w:r>
      <w:r w:rsidR="009D6E9C" w:rsidRPr="005E3B1B">
        <w:rPr>
          <w:rFonts w:ascii="Arial" w:hAnsi="Arial" w:cs="Arial"/>
          <w:sz w:val="22"/>
          <w:szCs w:val="22"/>
        </w:rPr>
        <w:t xml:space="preserve"> </w:t>
      </w:r>
      <w:r w:rsidR="005E3B1B" w:rsidRPr="005E3B1B">
        <w:rPr>
          <w:rFonts w:ascii="Arial" w:hAnsi="Arial" w:cs="Arial"/>
          <w:i/>
          <w:iCs/>
          <w:sz w:val="22"/>
          <w:szCs w:val="22"/>
        </w:rPr>
        <w:t>et al</w:t>
      </w:r>
      <w:r w:rsidR="009D6E9C" w:rsidRPr="005E3B1B">
        <w:rPr>
          <w:rFonts w:ascii="Arial" w:hAnsi="Arial" w:cs="Arial"/>
          <w:sz w:val="22"/>
          <w:szCs w:val="22"/>
        </w:rPr>
        <w:t>., 201</w:t>
      </w:r>
      <w:r w:rsidR="006B7373" w:rsidRPr="005E3B1B">
        <w:rPr>
          <w:rFonts w:ascii="Arial" w:hAnsi="Arial" w:cs="Arial"/>
          <w:sz w:val="22"/>
          <w:szCs w:val="22"/>
        </w:rPr>
        <w:t>8</w:t>
      </w:r>
      <w:r w:rsidR="009D6E9C" w:rsidRPr="005E3B1B">
        <w:rPr>
          <w:rFonts w:ascii="Arial" w:hAnsi="Arial" w:cs="Arial"/>
          <w:sz w:val="22"/>
          <w:szCs w:val="22"/>
        </w:rPr>
        <w:t xml:space="preserve">), copepods (Van Wijngaarden </w:t>
      </w:r>
      <w:r w:rsidR="005E3B1B" w:rsidRPr="005E3B1B">
        <w:rPr>
          <w:rFonts w:ascii="Arial" w:hAnsi="Arial" w:cs="Arial"/>
          <w:i/>
          <w:iCs/>
          <w:sz w:val="22"/>
          <w:szCs w:val="22"/>
        </w:rPr>
        <w:t>et al</w:t>
      </w:r>
      <w:r w:rsidR="009D6E9C" w:rsidRPr="005E3B1B">
        <w:rPr>
          <w:rFonts w:ascii="Arial" w:hAnsi="Arial" w:cs="Arial"/>
          <w:sz w:val="22"/>
          <w:szCs w:val="22"/>
        </w:rPr>
        <w:t xml:space="preserve">., 2014), grass carp (Liu </w:t>
      </w:r>
      <w:r w:rsidR="005E3B1B" w:rsidRPr="005E3B1B">
        <w:rPr>
          <w:rFonts w:ascii="Arial" w:hAnsi="Arial" w:cs="Arial"/>
          <w:i/>
          <w:iCs/>
          <w:sz w:val="22"/>
          <w:szCs w:val="22"/>
        </w:rPr>
        <w:t>et al</w:t>
      </w:r>
      <w:r w:rsidR="009D6E9C" w:rsidRPr="005E3B1B">
        <w:rPr>
          <w:rFonts w:ascii="Arial" w:hAnsi="Arial" w:cs="Arial"/>
          <w:sz w:val="22"/>
          <w:szCs w:val="22"/>
        </w:rPr>
        <w:t>., 2013),</w:t>
      </w:r>
      <w:r w:rsidR="00F61CFA" w:rsidRPr="005E3B1B">
        <w:rPr>
          <w:rFonts w:ascii="Arial" w:hAnsi="Arial" w:cs="Arial"/>
          <w:sz w:val="22"/>
          <w:szCs w:val="22"/>
        </w:rPr>
        <w:t xml:space="preserve"> and Salmon (Olsvik </w:t>
      </w:r>
      <w:r w:rsidR="005E3B1B" w:rsidRPr="005E3B1B">
        <w:rPr>
          <w:rFonts w:ascii="Arial" w:hAnsi="Arial" w:cs="Arial"/>
          <w:i/>
          <w:iCs/>
          <w:sz w:val="22"/>
          <w:szCs w:val="22"/>
        </w:rPr>
        <w:t>et al</w:t>
      </w:r>
      <w:r w:rsidR="00F61CFA" w:rsidRPr="005E3B1B">
        <w:rPr>
          <w:rFonts w:ascii="Arial" w:hAnsi="Arial" w:cs="Arial"/>
          <w:sz w:val="22"/>
          <w:szCs w:val="22"/>
        </w:rPr>
        <w:t xml:space="preserve">., 2010). These studies </w:t>
      </w:r>
      <w:r w:rsidR="00CE2D4B">
        <w:rPr>
          <w:rFonts w:ascii="Arial" w:hAnsi="Arial" w:cs="Arial"/>
          <w:sz w:val="22"/>
          <w:szCs w:val="22"/>
        </w:rPr>
        <w:t>primarily focused on acute toxicity</w:t>
      </w:r>
      <w:r w:rsidR="00F61CFA" w:rsidRPr="005E3B1B">
        <w:rPr>
          <w:rFonts w:ascii="Arial" w:hAnsi="Arial" w:cs="Arial"/>
          <w:sz w:val="22"/>
          <w:szCs w:val="22"/>
        </w:rPr>
        <w:t xml:space="preserve">. However, </w:t>
      </w:r>
      <w:r w:rsidR="009D6E9C" w:rsidRPr="005E3B1B">
        <w:rPr>
          <w:rFonts w:ascii="Arial" w:hAnsi="Arial" w:cs="Arial"/>
          <w:sz w:val="22"/>
          <w:szCs w:val="22"/>
        </w:rPr>
        <w:t xml:space="preserve">little or no work has been </w:t>
      </w:r>
      <w:r w:rsidR="00CE2D4B">
        <w:rPr>
          <w:rFonts w:ascii="Arial" w:hAnsi="Arial" w:cs="Arial"/>
          <w:sz w:val="22"/>
          <w:szCs w:val="22"/>
        </w:rPr>
        <w:t>conducted to date on sublethal</w:t>
      </w:r>
      <w:r w:rsidR="009D6E9C" w:rsidRPr="005E3B1B">
        <w:rPr>
          <w:rFonts w:ascii="Arial" w:hAnsi="Arial" w:cs="Arial"/>
          <w:sz w:val="22"/>
          <w:szCs w:val="22"/>
        </w:rPr>
        <w:t xml:space="preserve"> effects</w:t>
      </w:r>
      <w:r w:rsidR="00F61CFA" w:rsidRPr="005E3B1B">
        <w:rPr>
          <w:rFonts w:ascii="Arial" w:hAnsi="Arial" w:cs="Arial"/>
          <w:sz w:val="22"/>
          <w:szCs w:val="22"/>
        </w:rPr>
        <w:t xml:space="preserve"> in Indian riverine fish species.</w:t>
      </w:r>
      <w:r w:rsidR="00AC4CF9" w:rsidRPr="005E3B1B">
        <w:rPr>
          <w:rFonts w:ascii="Arial" w:hAnsi="Arial" w:cs="Arial"/>
          <w:sz w:val="22"/>
          <w:szCs w:val="22"/>
        </w:rPr>
        <w:t xml:space="preserve"> </w:t>
      </w:r>
      <w:r w:rsidR="001727A6" w:rsidRPr="001727A6">
        <w:rPr>
          <w:rFonts w:ascii="Arial" w:hAnsi="Arial" w:cs="Arial"/>
          <w:sz w:val="22"/>
          <w:szCs w:val="22"/>
        </w:rPr>
        <w:t>To address these gaps, this manuscript provides detailed experimental evidence on the sublethal effects of the strobilurin fungicide Picoxystrobin on Oreochromis niloticus, a freshwater fish species of global ecological and economic importance. By integrating behavioural, respiratory, and histopathological biomarkers, the study offers a comprehensive assessment of pesticide-induced stress that extends beyond conventional acute toxicity endpoints. Focusing on chronic exposure and organ-level damage, the work addresses a critical knowledge gap, particularly for riverine fish species in developing regions with intensive pesticide use. The findings of the present work provide valuable data for environmental risk assessment and biomonitoring, and support the development of safe and sustainable pesticide management strategies for aquaculture and freshwater ecosystems.</w:t>
      </w:r>
    </w:p>
    <w:p w14:paraId="0EA4A413" w14:textId="4B51E55F" w:rsidR="00203651" w:rsidRPr="005E3B1B" w:rsidRDefault="00CE2D4B" w:rsidP="009B0291">
      <w:pPr>
        <w:pStyle w:val="NormalWeb"/>
        <w:spacing w:before="0" w:beforeAutospacing="0" w:after="120" w:afterAutospacing="0"/>
        <w:jc w:val="both"/>
        <w:rPr>
          <w:rFonts w:ascii="Arial" w:hAnsi="Arial" w:cs="Arial"/>
          <w:b/>
          <w:bCs/>
        </w:rPr>
      </w:pPr>
      <w:r>
        <w:rPr>
          <w:rFonts w:ascii="Arial" w:hAnsi="Arial" w:cs="Arial"/>
          <w:b/>
          <w:bCs/>
        </w:rPr>
        <w:t>2. MATERIALS AND METHODS</w:t>
      </w:r>
    </w:p>
    <w:p w14:paraId="1EA35174" w14:textId="7C3574F2" w:rsidR="001B10D3" w:rsidRPr="001B10D3" w:rsidRDefault="001B10D3" w:rsidP="005E3B1B">
      <w:pPr>
        <w:pStyle w:val="NormalWeb"/>
        <w:spacing w:before="0" w:beforeAutospacing="0" w:after="120" w:afterAutospacing="0"/>
        <w:jc w:val="both"/>
        <w:rPr>
          <w:rFonts w:ascii="Arial" w:hAnsi="Arial" w:cs="Arial"/>
          <w:b/>
          <w:bCs/>
          <w:sz w:val="22"/>
          <w:szCs w:val="22"/>
        </w:rPr>
      </w:pPr>
      <w:r w:rsidRPr="001B10D3">
        <w:rPr>
          <w:rFonts w:ascii="Arial" w:hAnsi="Arial" w:cs="Arial"/>
          <w:b/>
          <w:bCs/>
          <w:sz w:val="22"/>
          <w:szCs w:val="22"/>
        </w:rPr>
        <w:t>2.1. EXPERIMENTAL DESIGN</w:t>
      </w:r>
    </w:p>
    <w:p w14:paraId="71867421" w14:textId="763A4882" w:rsidR="00203651" w:rsidRPr="005E3B1B" w:rsidRDefault="00203651" w:rsidP="005E3B1B">
      <w:pPr>
        <w:pStyle w:val="NormalWeb"/>
        <w:spacing w:before="0" w:beforeAutospacing="0" w:after="120" w:afterAutospacing="0"/>
        <w:jc w:val="both"/>
        <w:rPr>
          <w:rFonts w:ascii="Arial" w:hAnsi="Arial" w:cs="Arial"/>
          <w:sz w:val="22"/>
          <w:szCs w:val="22"/>
        </w:rPr>
      </w:pPr>
      <w:r w:rsidRPr="005E3B1B">
        <w:rPr>
          <w:rFonts w:ascii="Arial" w:hAnsi="Arial" w:cs="Arial"/>
          <w:sz w:val="22"/>
          <w:szCs w:val="22"/>
        </w:rPr>
        <w:t xml:space="preserve">Healthy and active </w:t>
      </w:r>
      <w:r w:rsidRPr="005E3B1B">
        <w:rPr>
          <w:rFonts w:ascii="Arial" w:hAnsi="Arial" w:cs="Arial"/>
          <w:i/>
          <w:iCs/>
          <w:sz w:val="22"/>
          <w:szCs w:val="22"/>
        </w:rPr>
        <w:t>Tilapia</w:t>
      </w:r>
      <w:r w:rsidRPr="005E3B1B">
        <w:rPr>
          <w:rFonts w:ascii="Arial" w:hAnsi="Arial" w:cs="Arial"/>
          <w:sz w:val="22"/>
          <w:szCs w:val="22"/>
        </w:rPr>
        <w:t xml:space="preserve"> fingerlings were procured from local hatcheries in </w:t>
      </w:r>
      <w:proofErr w:type="spellStart"/>
      <w:r w:rsidRPr="005E3B1B">
        <w:rPr>
          <w:rFonts w:ascii="Arial" w:hAnsi="Arial" w:cs="Arial"/>
          <w:sz w:val="22"/>
          <w:szCs w:val="22"/>
        </w:rPr>
        <w:t>Kallidaikurichi</w:t>
      </w:r>
      <w:proofErr w:type="spellEnd"/>
      <w:r w:rsidRPr="005E3B1B">
        <w:rPr>
          <w:rFonts w:ascii="Arial" w:hAnsi="Arial" w:cs="Arial"/>
          <w:sz w:val="22"/>
          <w:szCs w:val="22"/>
        </w:rPr>
        <w:t xml:space="preserve">, Tirunelveli. </w:t>
      </w:r>
      <w:r w:rsidR="00F854F8" w:rsidRPr="005E3B1B">
        <w:rPr>
          <w:rFonts w:ascii="Arial" w:hAnsi="Arial" w:cs="Arial"/>
          <w:sz w:val="22"/>
          <w:szCs w:val="22"/>
        </w:rPr>
        <w:t>T</w:t>
      </w:r>
      <w:r w:rsidRPr="005E3B1B">
        <w:rPr>
          <w:rFonts w:ascii="Arial" w:hAnsi="Arial" w:cs="Arial"/>
          <w:sz w:val="22"/>
          <w:szCs w:val="22"/>
        </w:rPr>
        <w:t xml:space="preserve">he fingerlings were maintained </w:t>
      </w:r>
      <w:r w:rsidR="00CE2D4B">
        <w:rPr>
          <w:rFonts w:ascii="Arial" w:hAnsi="Arial" w:cs="Arial"/>
          <w:sz w:val="22"/>
          <w:szCs w:val="22"/>
        </w:rPr>
        <w:t>in a cement tank (5 x 3 x 3 feet) for 10 days prior to the experiment</w:t>
      </w:r>
      <w:r w:rsidRPr="005E3B1B">
        <w:rPr>
          <w:rFonts w:ascii="Arial" w:hAnsi="Arial" w:cs="Arial"/>
          <w:sz w:val="22"/>
          <w:szCs w:val="22"/>
        </w:rPr>
        <w:t xml:space="preserve">. </w:t>
      </w:r>
      <w:r w:rsidR="00CE2D4B">
        <w:rPr>
          <w:rFonts w:ascii="Arial" w:hAnsi="Arial" w:cs="Arial"/>
          <w:sz w:val="22"/>
          <w:szCs w:val="22"/>
        </w:rPr>
        <w:t>Subsequently, fish were acclimatised to laboratory conditions for 5 d at 29 ± 2 °C</w:t>
      </w:r>
      <w:r w:rsidRPr="005E3B1B">
        <w:rPr>
          <w:rFonts w:ascii="Arial" w:hAnsi="Arial" w:cs="Arial"/>
          <w:sz w:val="22"/>
          <w:szCs w:val="22"/>
        </w:rPr>
        <w:t xml:space="preserve"> in a circular trough containing dechlorinated tap water. Water was renewed every day, and fish were fed (ad libitum) daily with commercial dry feed pellets (Nova, Aquatic P. Feed) during the acclimatisation period. During acclimation, batches with less than 5% of mortalities were only considered for further experimentation.</w:t>
      </w:r>
      <w:r w:rsidR="00F854F8" w:rsidRPr="005E3B1B">
        <w:rPr>
          <w:rFonts w:ascii="Arial" w:hAnsi="Arial" w:cs="Arial"/>
          <w:sz w:val="22"/>
          <w:szCs w:val="22"/>
        </w:rPr>
        <w:t xml:space="preserve"> </w:t>
      </w:r>
      <w:r w:rsidRPr="005E3B1B">
        <w:rPr>
          <w:rFonts w:ascii="Arial" w:hAnsi="Arial" w:cs="Arial"/>
          <w:sz w:val="22"/>
          <w:szCs w:val="22"/>
        </w:rPr>
        <w:t xml:space="preserve">The experiments were conducted </w:t>
      </w:r>
      <w:r w:rsidR="00CE2D4B">
        <w:rPr>
          <w:rFonts w:ascii="Arial" w:hAnsi="Arial" w:cs="Arial"/>
          <w:sz w:val="22"/>
          <w:szCs w:val="22"/>
        </w:rPr>
        <w:t>in small circular troughs (20 L capacity), with a nylon mosquito net covering</w:t>
      </w:r>
      <w:r w:rsidRPr="005E3B1B">
        <w:rPr>
          <w:rFonts w:ascii="Arial" w:hAnsi="Arial" w:cs="Arial"/>
          <w:sz w:val="22"/>
          <w:szCs w:val="22"/>
        </w:rPr>
        <w:t xml:space="preserve"> the water surface to prevent fish from escaping. The toxic effects of Picoxystrobin were assessed by rearing fish </w:t>
      </w:r>
      <w:r w:rsidR="009D6E9C" w:rsidRPr="005E3B1B">
        <w:rPr>
          <w:rFonts w:ascii="Arial" w:hAnsi="Arial" w:cs="Arial"/>
          <w:sz w:val="22"/>
          <w:szCs w:val="22"/>
        </w:rPr>
        <w:t>at three concentrations for</w:t>
      </w:r>
      <w:r w:rsidRPr="005E3B1B">
        <w:rPr>
          <w:rFonts w:ascii="Arial" w:hAnsi="Arial" w:cs="Arial"/>
          <w:sz w:val="22"/>
          <w:szCs w:val="22"/>
        </w:rPr>
        <w:t xml:space="preserve"> 21 days. </w:t>
      </w:r>
      <w:r w:rsidR="00CD6A8D" w:rsidRPr="005E3B1B">
        <w:rPr>
          <w:rFonts w:ascii="Arial" w:hAnsi="Arial" w:cs="Arial"/>
          <w:sz w:val="22"/>
          <w:szCs w:val="22"/>
        </w:rPr>
        <w:t>Twelve</w:t>
      </w:r>
      <w:r w:rsidRPr="005E3B1B">
        <w:rPr>
          <w:rFonts w:ascii="Arial" w:hAnsi="Arial" w:cs="Arial"/>
          <w:sz w:val="22"/>
          <w:szCs w:val="22"/>
        </w:rPr>
        <w:t xml:space="preserve"> fish in each trough, numbered 1 to </w:t>
      </w:r>
      <w:r w:rsidR="00F854F8" w:rsidRPr="005E3B1B">
        <w:rPr>
          <w:rFonts w:ascii="Arial" w:hAnsi="Arial" w:cs="Arial"/>
          <w:sz w:val="22"/>
          <w:szCs w:val="22"/>
        </w:rPr>
        <w:t>3</w:t>
      </w:r>
      <w:r w:rsidRPr="005E3B1B">
        <w:rPr>
          <w:rFonts w:ascii="Arial" w:hAnsi="Arial" w:cs="Arial"/>
          <w:sz w:val="22"/>
          <w:szCs w:val="22"/>
        </w:rPr>
        <w:t xml:space="preserve">, were maintained on a 12-hour light and dark cycle and fed commercial fish food twice daily. An aerator was used to ensure an adequate oxygen supply. The first trough served as the control. Trough 2 was dosed with 5 ml of a 1:1000-diluted Picoxystrobin (Low Concentration), and trough </w:t>
      </w:r>
      <w:r w:rsidR="00F854F8" w:rsidRPr="005E3B1B">
        <w:rPr>
          <w:rFonts w:ascii="Arial" w:hAnsi="Arial" w:cs="Arial"/>
          <w:sz w:val="22"/>
          <w:szCs w:val="22"/>
        </w:rPr>
        <w:t>3</w:t>
      </w:r>
      <w:r w:rsidRPr="005E3B1B">
        <w:rPr>
          <w:rFonts w:ascii="Arial" w:hAnsi="Arial" w:cs="Arial"/>
          <w:sz w:val="22"/>
          <w:szCs w:val="22"/>
        </w:rPr>
        <w:t xml:space="preserve"> with 9 ml (High Concentration). Fish mortality was recorded at 7-day intervals. The test medium was renewed daily with freshly prepared solutions to maintain a consistent effect of Picoxystrobin. Before </w:t>
      </w:r>
      <w:r w:rsidR="00CE2D4B">
        <w:rPr>
          <w:rFonts w:ascii="Arial" w:hAnsi="Arial" w:cs="Arial"/>
          <w:sz w:val="22"/>
          <w:szCs w:val="22"/>
        </w:rPr>
        <w:t>the experiment began, the length and weight of each fish were measured using calibrated</w:t>
      </w:r>
      <w:r w:rsidRPr="005E3B1B">
        <w:rPr>
          <w:rFonts w:ascii="Arial" w:hAnsi="Arial" w:cs="Arial"/>
          <w:sz w:val="22"/>
          <w:szCs w:val="22"/>
        </w:rPr>
        <w:t xml:space="preserve"> instruments.</w:t>
      </w:r>
      <w:r w:rsidR="00F854F8" w:rsidRPr="005E3B1B">
        <w:rPr>
          <w:rFonts w:ascii="Arial" w:hAnsi="Arial" w:cs="Arial"/>
          <w:sz w:val="22"/>
          <w:szCs w:val="22"/>
        </w:rPr>
        <w:t xml:space="preserve"> </w:t>
      </w:r>
      <w:r w:rsidR="00CE2D4B">
        <w:rPr>
          <w:rFonts w:ascii="Arial" w:hAnsi="Arial" w:cs="Arial"/>
          <w:sz w:val="22"/>
          <w:szCs w:val="22"/>
        </w:rPr>
        <w:t>On the seventh day of exposure, both the control and experimental animals underwent</w:t>
      </w:r>
      <w:r w:rsidRPr="005E3B1B">
        <w:rPr>
          <w:rFonts w:ascii="Arial" w:hAnsi="Arial" w:cs="Arial"/>
          <w:sz w:val="22"/>
          <w:szCs w:val="22"/>
        </w:rPr>
        <w:t xml:space="preserve"> various behavioural assays. </w:t>
      </w:r>
      <w:r w:rsidR="00F854F8" w:rsidRPr="005E3B1B">
        <w:rPr>
          <w:rFonts w:ascii="Arial" w:hAnsi="Arial" w:cs="Arial"/>
          <w:sz w:val="22"/>
          <w:szCs w:val="22"/>
        </w:rPr>
        <w:t>After that</w:t>
      </w:r>
      <w:r w:rsidRPr="005E3B1B">
        <w:rPr>
          <w:rFonts w:ascii="Arial" w:hAnsi="Arial" w:cs="Arial"/>
          <w:sz w:val="22"/>
          <w:szCs w:val="22"/>
        </w:rPr>
        <w:t xml:space="preserve">, the fish were </w:t>
      </w:r>
      <w:r w:rsidR="001D1E0C" w:rsidRPr="005E3B1B">
        <w:rPr>
          <w:rFonts w:ascii="Arial" w:hAnsi="Arial" w:cs="Arial"/>
          <w:sz w:val="22"/>
          <w:szCs w:val="22"/>
        </w:rPr>
        <w:t>euthanised, the</w:t>
      </w:r>
      <w:r w:rsidRPr="005E3B1B">
        <w:rPr>
          <w:rFonts w:ascii="Arial" w:hAnsi="Arial" w:cs="Arial"/>
          <w:sz w:val="22"/>
          <w:szCs w:val="22"/>
        </w:rPr>
        <w:t xml:space="preserve"> body was cut open</w:t>
      </w:r>
      <w:r w:rsidR="00F854F8" w:rsidRPr="005E3B1B">
        <w:rPr>
          <w:rFonts w:ascii="Arial" w:hAnsi="Arial" w:cs="Arial"/>
          <w:sz w:val="22"/>
          <w:szCs w:val="22"/>
        </w:rPr>
        <w:t>,</w:t>
      </w:r>
      <w:r w:rsidRPr="005E3B1B">
        <w:rPr>
          <w:rFonts w:ascii="Arial" w:hAnsi="Arial" w:cs="Arial"/>
          <w:sz w:val="22"/>
          <w:szCs w:val="22"/>
        </w:rPr>
        <w:t xml:space="preserve"> and the </w:t>
      </w:r>
      <w:r w:rsidR="00F854F8" w:rsidRPr="005E3B1B">
        <w:rPr>
          <w:rFonts w:ascii="Arial" w:hAnsi="Arial" w:cs="Arial"/>
          <w:sz w:val="22"/>
          <w:szCs w:val="22"/>
        </w:rPr>
        <w:t>target organs were removed</w:t>
      </w:r>
      <w:r w:rsidRPr="005E3B1B">
        <w:rPr>
          <w:rFonts w:ascii="Arial" w:hAnsi="Arial" w:cs="Arial"/>
          <w:sz w:val="22"/>
          <w:szCs w:val="22"/>
        </w:rPr>
        <w:t xml:space="preserve"> for </w:t>
      </w:r>
      <w:r w:rsidR="00F854F8" w:rsidRPr="005E3B1B">
        <w:rPr>
          <w:rFonts w:ascii="Arial" w:hAnsi="Arial" w:cs="Arial"/>
          <w:sz w:val="22"/>
          <w:szCs w:val="22"/>
        </w:rPr>
        <w:t>histopathological studies</w:t>
      </w:r>
      <w:r w:rsidRPr="005E3B1B">
        <w:rPr>
          <w:rFonts w:ascii="Arial" w:hAnsi="Arial" w:cs="Arial"/>
          <w:sz w:val="22"/>
          <w:szCs w:val="22"/>
        </w:rPr>
        <w:t>.</w:t>
      </w:r>
    </w:p>
    <w:p w14:paraId="4CC8C9EE" w14:textId="77777777" w:rsidR="009B0291" w:rsidRDefault="009B0291" w:rsidP="009B0291">
      <w:pPr>
        <w:pStyle w:val="NormalWeb"/>
        <w:spacing w:before="0" w:beforeAutospacing="0" w:after="0" w:afterAutospacing="0"/>
        <w:ind w:firstLine="720"/>
        <w:jc w:val="both"/>
      </w:pPr>
    </w:p>
    <w:p w14:paraId="4E21FD9D" w14:textId="51FC177A" w:rsidR="00203651" w:rsidRPr="007E53D0" w:rsidRDefault="00CE2D4B" w:rsidP="009B0291">
      <w:pPr>
        <w:pStyle w:val="NormalWeb"/>
        <w:spacing w:before="0" w:beforeAutospacing="0" w:after="120" w:afterAutospacing="0"/>
        <w:jc w:val="both"/>
        <w:rPr>
          <w:rFonts w:ascii="Arial" w:hAnsi="Arial" w:cs="Arial"/>
          <w:b/>
          <w:bCs/>
          <w:sz w:val="22"/>
          <w:szCs w:val="22"/>
        </w:rPr>
      </w:pPr>
      <w:r w:rsidRPr="007E53D0">
        <w:rPr>
          <w:rFonts w:ascii="Arial" w:hAnsi="Arial" w:cs="Arial"/>
          <w:b/>
          <w:bCs/>
          <w:sz w:val="22"/>
          <w:szCs w:val="22"/>
        </w:rPr>
        <w:t>2.</w:t>
      </w:r>
      <w:r w:rsidR="007E53D0">
        <w:rPr>
          <w:rFonts w:ascii="Arial" w:hAnsi="Arial" w:cs="Arial"/>
          <w:b/>
          <w:bCs/>
          <w:sz w:val="22"/>
          <w:szCs w:val="22"/>
        </w:rPr>
        <w:t>2</w:t>
      </w:r>
      <w:r w:rsidRPr="007E53D0">
        <w:rPr>
          <w:rFonts w:ascii="Arial" w:hAnsi="Arial" w:cs="Arial"/>
          <w:b/>
          <w:bCs/>
          <w:sz w:val="22"/>
          <w:szCs w:val="22"/>
        </w:rPr>
        <w:t xml:space="preserve">. </w:t>
      </w:r>
      <w:r w:rsidR="005E3B1B" w:rsidRPr="007E53D0">
        <w:rPr>
          <w:rFonts w:ascii="Arial" w:hAnsi="Arial" w:cs="Arial"/>
          <w:b/>
          <w:bCs/>
          <w:sz w:val="22"/>
          <w:szCs w:val="22"/>
        </w:rPr>
        <w:t xml:space="preserve">BEHAVIOURAL </w:t>
      </w:r>
      <w:r w:rsidR="007E53D0">
        <w:rPr>
          <w:rFonts w:ascii="Arial" w:hAnsi="Arial" w:cs="Arial"/>
          <w:b/>
          <w:bCs/>
          <w:sz w:val="22"/>
          <w:szCs w:val="22"/>
        </w:rPr>
        <w:t>AND RESPIRATORY ASSESSMENT</w:t>
      </w:r>
    </w:p>
    <w:p w14:paraId="090B51F8" w14:textId="3D25D3BA" w:rsidR="00203651" w:rsidRPr="005E3B1B" w:rsidRDefault="00CE2D4B" w:rsidP="009B0291">
      <w:pPr>
        <w:pStyle w:val="NormalWeb"/>
        <w:spacing w:before="0" w:beforeAutospacing="0" w:after="120" w:afterAutospacing="0"/>
        <w:jc w:val="both"/>
        <w:rPr>
          <w:b/>
          <w:bCs/>
          <w:sz w:val="22"/>
          <w:szCs w:val="22"/>
        </w:rPr>
      </w:pPr>
      <w:r>
        <w:rPr>
          <w:rFonts w:ascii="Arial" w:hAnsi="Arial" w:cs="Arial"/>
          <w:b/>
          <w:bCs/>
          <w:sz w:val="22"/>
          <w:szCs w:val="22"/>
        </w:rPr>
        <w:t>2.</w:t>
      </w:r>
      <w:r w:rsidR="007E53D0">
        <w:rPr>
          <w:rFonts w:ascii="Arial" w:hAnsi="Arial" w:cs="Arial"/>
          <w:b/>
          <w:bCs/>
          <w:sz w:val="22"/>
          <w:szCs w:val="22"/>
        </w:rPr>
        <w:t>2</w:t>
      </w:r>
      <w:r>
        <w:rPr>
          <w:rFonts w:ascii="Arial" w:hAnsi="Arial" w:cs="Arial"/>
          <w:b/>
          <w:bCs/>
          <w:sz w:val="22"/>
          <w:szCs w:val="22"/>
        </w:rPr>
        <w:t>.</w:t>
      </w:r>
      <w:r w:rsidR="00203651" w:rsidRPr="005E3B1B">
        <w:rPr>
          <w:rFonts w:ascii="Arial" w:hAnsi="Arial" w:cs="Arial"/>
          <w:b/>
          <w:bCs/>
          <w:sz w:val="22"/>
          <w:szCs w:val="22"/>
        </w:rPr>
        <w:t xml:space="preserve">1. Opercular </w:t>
      </w:r>
      <w:r w:rsidR="00C76818">
        <w:rPr>
          <w:rFonts w:ascii="Arial" w:hAnsi="Arial" w:cs="Arial"/>
          <w:b/>
          <w:bCs/>
          <w:sz w:val="22"/>
          <w:szCs w:val="22"/>
        </w:rPr>
        <w:t>M</w:t>
      </w:r>
      <w:r w:rsidR="00203651" w:rsidRPr="005E3B1B">
        <w:rPr>
          <w:rFonts w:ascii="Arial" w:hAnsi="Arial" w:cs="Arial"/>
          <w:b/>
          <w:bCs/>
          <w:sz w:val="22"/>
          <w:szCs w:val="22"/>
        </w:rPr>
        <w:t>ovements</w:t>
      </w:r>
      <w:r w:rsidR="00203651" w:rsidRPr="005E3B1B">
        <w:rPr>
          <w:b/>
          <w:bCs/>
          <w:sz w:val="22"/>
          <w:szCs w:val="22"/>
        </w:rPr>
        <w:tab/>
      </w:r>
    </w:p>
    <w:p w14:paraId="12545A15" w14:textId="603DA4FB" w:rsidR="00203651" w:rsidRPr="005E3B1B" w:rsidRDefault="009B0291" w:rsidP="009B0291">
      <w:pPr>
        <w:pStyle w:val="NormalWeb"/>
        <w:spacing w:before="0" w:beforeAutospacing="0" w:after="0" w:afterAutospacing="0"/>
        <w:jc w:val="both"/>
        <w:rPr>
          <w:rFonts w:ascii="Arial" w:hAnsi="Arial" w:cs="Arial"/>
          <w:sz w:val="22"/>
          <w:szCs w:val="22"/>
        </w:rPr>
      </w:pPr>
      <w:r w:rsidRPr="005E3B1B">
        <w:rPr>
          <w:rFonts w:ascii="Arial" w:hAnsi="Arial" w:cs="Arial"/>
          <w:sz w:val="22"/>
          <w:szCs w:val="22"/>
        </w:rPr>
        <w:t xml:space="preserve">To assess the effect of Picoxystrobin on </w:t>
      </w:r>
      <w:r w:rsidR="00CE2D4B">
        <w:rPr>
          <w:rFonts w:ascii="Arial" w:hAnsi="Arial" w:cs="Arial"/>
          <w:sz w:val="22"/>
          <w:szCs w:val="22"/>
        </w:rPr>
        <w:t>opercular movement in fish, control and experimental fish (3 individuals each) were maintained</w:t>
      </w:r>
      <w:r w:rsidRPr="005E3B1B">
        <w:rPr>
          <w:rFonts w:ascii="Arial" w:hAnsi="Arial" w:cs="Arial"/>
          <w:sz w:val="22"/>
          <w:szCs w:val="22"/>
        </w:rPr>
        <w:t xml:space="preserve"> in 1 L glass beakers containing water with the respective drug dose. After </w:t>
      </w:r>
      <w:r w:rsidR="00CE2D4B">
        <w:rPr>
          <w:rFonts w:ascii="Arial" w:hAnsi="Arial" w:cs="Arial"/>
          <w:sz w:val="22"/>
          <w:szCs w:val="22"/>
        </w:rPr>
        <w:t>a 10-minute acclimatisation period</w:t>
      </w:r>
      <w:r w:rsidRPr="005E3B1B">
        <w:rPr>
          <w:rFonts w:ascii="Arial" w:hAnsi="Arial" w:cs="Arial"/>
          <w:sz w:val="22"/>
          <w:szCs w:val="22"/>
        </w:rPr>
        <w:t>, the number of opercular movements was counted for 10 minutes using a stopwatch. The count was repeated three times to calculate the mean for each fish. The data were expressed as the number of beats per minute.</w:t>
      </w:r>
    </w:p>
    <w:p w14:paraId="491099F1" w14:textId="77777777" w:rsidR="00203651" w:rsidRDefault="00203651" w:rsidP="009B0291">
      <w:pPr>
        <w:pStyle w:val="NormalWeb"/>
        <w:spacing w:before="0" w:beforeAutospacing="0" w:after="0" w:afterAutospacing="0"/>
        <w:jc w:val="both"/>
      </w:pPr>
    </w:p>
    <w:p w14:paraId="1CEE82E0" w14:textId="133206C6" w:rsidR="00203651" w:rsidRPr="005E3B1B" w:rsidRDefault="00CE2D4B" w:rsidP="009B0291">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2.</w:t>
      </w:r>
      <w:r w:rsidR="007E53D0">
        <w:rPr>
          <w:rFonts w:ascii="Arial" w:hAnsi="Arial" w:cs="Arial"/>
          <w:b/>
          <w:bCs/>
          <w:sz w:val="22"/>
          <w:szCs w:val="22"/>
        </w:rPr>
        <w:t>2</w:t>
      </w:r>
      <w:r>
        <w:rPr>
          <w:rFonts w:ascii="Arial" w:hAnsi="Arial" w:cs="Arial"/>
          <w:b/>
          <w:bCs/>
          <w:sz w:val="22"/>
          <w:szCs w:val="22"/>
        </w:rPr>
        <w:t>.</w:t>
      </w:r>
      <w:r w:rsidR="00203651" w:rsidRPr="005E3B1B">
        <w:rPr>
          <w:rFonts w:ascii="Arial" w:hAnsi="Arial" w:cs="Arial"/>
          <w:b/>
          <w:bCs/>
          <w:sz w:val="22"/>
          <w:szCs w:val="22"/>
        </w:rPr>
        <w:t xml:space="preserve">2. Rate of </w:t>
      </w:r>
      <w:r w:rsidR="00C76818">
        <w:rPr>
          <w:rFonts w:ascii="Arial" w:hAnsi="Arial" w:cs="Arial"/>
          <w:b/>
          <w:bCs/>
          <w:sz w:val="22"/>
          <w:szCs w:val="22"/>
        </w:rPr>
        <w:t>O</w:t>
      </w:r>
      <w:r w:rsidR="00203651" w:rsidRPr="005E3B1B">
        <w:rPr>
          <w:rFonts w:ascii="Arial" w:hAnsi="Arial" w:cs="Arial"/>
          <w:b/>
          <w:bCs/>
          <w:sz w:val="22"/>
          <w:szCs w:val="22"/>
        </w:rPr>
        <w:t xml:space="preserve">xygen </w:t>
      </w:r>
      <w:r w:rsidR="00C76818">
        <w:rPr>
          <w:rFonts w:ascii="Arial" w:hAnsi="Arial" w:cs="Arial"/>
          <w:b/>
          <w:bCs/>
          <w:sz w:val="22"/>
          <w:szCs w:val="22"/>
        </w:rPr>
        <w:t>C</w:t>
      </w:r>
      <w:r w:rsidR="00203651" w:rsidRPr="005E3B1B">
        <w:rPr>
          <w:rFonts w:ascii="Arial" w:hAnsi="Arial" w:cs="Arial"/>
          <w:b/>
          <w:bCs/>
          <w:sz w:val="22"/>
          <w:szCs w:val="22"/>
        </w:rPr>
        <w:t>onsumption</w:t>
      </w:r>
    </w:p>
    <w:p w14:paraId="5363EDA1" w14:textId="4AE6CC48" w:rsidR="009B0291" w:rsidRPr="007E53D0" w:rsidRDefault="009B0291" w:rsidP="009B0291">
      <w:pPr>
        <w:pStyle w:val="NormalWeb"/>
        <w:spacing w:before="0" w:beforeAutospacing="0" w:after="120" w:afterAutospacing="0"/>
        <w:jc w:val="both"/>
        <w:rPr>
          <w:rFonts w:ascii="Arial" w:hAnsi="Arial" w:cs="Arial"/>
          <w:sz w:val="22"/>
          <w:szCs w:val="22"/>
        </w:rPr>
      </w:pPr>
      <w:r w:rsidRPr="005E3B1B">
        <w:rPr>
          <w:rFonts w:ascii="Arial" w:hAnsi="Arial" w:cs="Arial"/>
          <w:sz w:val="22"/>
          <w:szCs w:val="22"/>
        </w:rPr>
        <w:lastRenderedPageBreak/>
        <w:t xml:space="preserve">Control and experimental fish were placed </w:t>
      </w:r>
      <w:r w:rsidR="005E3B1B">
        <w:rPr>
          <w:rFonts w:ascii="Arial" w:hAnsi="Arial" w:cs="Arial"/>
          <w:sz w:val="22"/>
          <w:szCs w:val="22"/>
        </w:rPr>
        <w:t xml:space="preserve">in separate beakers containing 2 litres of water with the </w:t>
      </w:r>
      <w:r w:rsidRPr="005E3B1B">
        <w:rPr>
          <w:rFonts w:ascii="Arial" w:hAnsi="Arial" w:cs="Arial"/>
          <w:sz w:val="22"/>
          <w:szCs w:val="22"/>
        </w:rPr>
        <w:t xml:space="preserve">respective drug dosages. The initial oxygen level in each beaker was recorded. After </w:t>
      </w:r>
      <w:r w:rsidR="006A46D4">
        <w:rPr>
          <w:rFonts w:ascii="Arial" w:hAnsi="Arial" w:cs="Arial"/>
          <w:sz w:val="22"/>
          <w:szCs w:val="22"/>
        </w:rPr>
        <w:t>1 h, 150 mL</w:t>
      </w:r>
      <w:r w:rsidRPr="005E3B1B">
        <w:rPr>
          <w:rFonts w:ascii="Arial" w:hAnsi="Arial" w:cs="Arial"/>
          <w:sz w:val="22"/>
          <w:szCs w:val="22"/>
        </w:rPr>
        <w:t xml:space="preserve"> of water was sampled from each beaker, and the oxygen content was measured using Winkler’s method. The oxygen consumed by the fish was calculated </w:t>
      </w:r>
      <w:r w:rsidR="00CE2D4B">
        <w:rPr>
          <w:rFonts w:ascii="Arial" w:hAnsi="Arial" w:cs="Arial"/>
          <w:sz w:val="22"/>
          <w:szCs w:val="22"/>
        </w:rPr>
        <w:t>as the difference between the initial and final oxygen concentrations</w:t>
      </w:r>
      <w:r w:rsidRPr="005E3B1B">
        <w:rPr>
          <w:rFonts w:ascii="Arial" w:hAnsi="Arial" w:cs="Arial"/>
          <w:sz w:val="22"/>
          <w:szCs w:val="22"/>
        </w:rPr>
        <w:t xml:space="preserve">. The net oxygen consumption was then divided by the fish's weight to determine the </w:t>
      </w:r>
      <w:r w:rsidR="005E3B1B">
        <w:rPr>
          <w:rFonts w:ascii="Arial" w:hAnsi="Arial" w:cs="Arial"/>
          <w:sz w:val="22"/>
          <w:szCs w:val="22"/>
        </w:rPr>
        <w:t>oxygen consumption rate</w:t>
      </w:r>
      <w:r w:rsidRPr="005E3B1B">
        <w:rPr>
          <w:rFonts w:ascii="Arial" w:hAnsi="Arial" w:cs="Arial"/>
          <w:sz w:val="22"/>
          <w:szCs w:val="22"/>
        </w:rPr>
        <w:t xml:space="preserve">. This rate was expressed in ml/g/hr. Before each experiment, the test fish were </w:t>
      </w:r>
      <w:r w:rsidR="00CE2D4B">
        <w:rPr>
          <w:rFonts w:ascii="Arial" w:hAnsi="Arial" w:cs="Arial"/>
          <w:sz w:val="22"/>
          <w:szCs w:val="22"/>
        </w:rPr>
        <w:t>acclimated for 20 minutes</w:t>
      </w:r>
      <w:r w:rsidRPr="005E3B1B">
        <w:rPr>
          <w:rFonts w:ascii="Arial" w:hAnsi="Arial" w:cs="Arial"/>
          <w:sz w:val="22"/>
          <w:szCs w:val="22"/>
        </w:rPr>
        <w:t xml:space="preserve">.  </w:t>
      </w:r>
    </w:p>
    <w:p w14:paraId="19C4F4D4" w14:textId="77777777" w:rsidR="005E3B1B" w:rsidRDefault="005E3B1B" w:rsidP="007E53D0">
      <w:pPr>
        <w:pStyle w:val="NormalWeb"/>
        <w:spacing w:before="0" w:beforeAutospacing="0" w:after="120" w:afterAutospacing="0"/>
        <w:jc w:val="both"/>
        <w:rPr>
          <w:b/>
          <w:bCs/>
        </w:rPr>
      </w:pPr>
    </w:p>
    <w:p w14:paraId="08144FCE" w14:textId="1DDE691E" w:rsidR="00203651" w:rsidRPr="007E53D0" w:rsidRDefault="00CE2D4B" w:rsidP="009B0291">
      <w:pPr>
        <w:pStyle w:val="NormalWeb"/>
        <w:spacing w:before="0" w:beforeAutospacing="0" w:after="120" w:afterAutospacing="0"/>
        <w:jc w:val="both"/>
        <w:rPr>
          <w:rFonts w:ascii="Arial" w:hAnsi="Arial" w:cs="Arial"/>
          <w:b/>
          <w:bCs/>
          <w:sz w:val="22"/>
          <w:szCs w:val="22"/>
        </w:rPr>
      </w:pPr>
      <w:r w:rsidRPr="007E53D0">
        <w:rPr>
          <w:rFonts w:ascii="Arial" w:hAnsi="Arial" w:cs="Arial"/>
          <w:b/>
          <w:bCs/>
          <w:sz w:val="22"/>
          <w:szCs w:val="22"/>
        </w:rPr>
        <w:t>2.</w:t>
      </w:r>
      <w:r w:rsidR="007E53D0">
        <w:rPr>
          <w:rFonts w:ascii="Arial" w:hAnsi="Arial" w:cs="Arial"/>
          <w:b/>
          <w:bCs/>
          <w:sz w:val="22"/>
          <w:szCs w:val="22"/>
        </w:rPr>
        <w:t>3</w:t>
      </w:r>
      <w:r w:rsidRPr="007E53D0">
        <w:rPr>
          <w:rFonts w:ascii="Arial" w:hAnsi="Arial" w:cs="Arial"/>
          <w:b/>
          <w:bCs/>
          <w:sz w:val="22"/>
          <w:szCs w:val="22"/>
        </w:rPr>
        <w:t xml:space="preserve">. </w:t>
      </w:r>
      <w:r w:rsidR="005E3B1B" w:rsidRPr="007E53D0">
        <w:rPr>
          <w:rFonts w:ascii="Arial" w:hAnsi="Arial" w:cs="Arial"/>
          <w:b/>
          <w:bCs/>
          <w:sz w:val="22"/>
          <w:szCs w:val="22"/>
        </w:rPr>
        <w:t>HISTOPATHOLOGICAL STUDIES</w:t>
      </w:r>
    </w:p>
    <w:p w14:paraId="592A570F" w14:textId="0D5C0BF1" w:rsidR="00E408FD" w:rsidRPr="00C76818" w:rsidRDefault="009B0291" w:rsidP="009B0291">
      <w:pPr>
        <w:pStyle w:val="NormalWeb"/>
        <w:spacing w:before="0" w:beforeAutospacing="0" w:after="120" w:afterAutospacing="0"/>
        <w:jc w:val="both"/>
        <w:rPr>
          <w:rFonts w:ascii="Arial" w:hAnsi="Arial" w:cs="Arial"/>
          <w:sz w:val="22"/>
          <w:szCs w:val="22"/>
        </w:rPr>
      </w:pPr>
      <w:r w:rsidRPr="00C76818">
        <w:rPr>
          <w:rFonts w:ascii="Arial" w:hAnsi="Arial" w:cs="Arial"/>
          <w:sz w:val="22"/>
          <w:szCs w:val="22"/>
        </w:rPr>
        <w:t xml:space="preserve">To study the histopathology of target organs, the method described by Humason (1972) was followed. The target organs, such as the intestine and gill, were dissected from control and parallel experimental groups and fixed in </w:t>
      </w:r>
      <w:proofErr w:type="spellStart"/>
      <w:r w:rsidRPr="00C76818">
        <w:rPr>
          <w:rFonts w:ascii="Arial" w:hAnsi="Arial" w:cs="Arial"/>
          <w:sz w:val="22"/>
          <w:szCs w:val="22"/>
        </w:rPr>
        <w:t>Bouin's</w:t>
      </w:r>
      <w:proofErr w:type="spellEnd"/>
      <w:r w:rsidRPr="00C76818">
        <w:rPr>
          <w:rFonts w:ascii="Arial" w:hAnsi="Arial" w:cs="Arial"/>
          <w:sz w:val="22"/>
          <w:szCs w:val="22"/>
        </w:rPr>
        <w:t xml:space="preserve"> fixative for 24 hours. After fixation, tissues were washed in running tap water for one day to remove excess colouration and dehydrated in a graded series of alcohol. The tissues were infiltrated with molten paraffin at 58–60 °C through three changes (10 min each) and finally embedded in paraffin. 7 </w:t>
      </w:r>
      <w:r w:rsidR="009D6E9C" w:rsidRPr="00C76818">
        <w:rPr>
          <w:rFonts w:ascii="Arial" w:hAnsi="Arial" w:cs="Arial"/>
          <w:sz w:val="22"/>
          <w:szCs w:val="22"/>
        </w:rPr>
        <w:t>mm-thick sections of all tissues were obtained using a rotary microtome (</w:t>
      </w:r>
      <w:proofErr w:type="spellStart"/>
      <w:r w:rsidR="009D6E9C" w:rsidRPr="00C76818">
        <w:rPr>
          <w:rFonts w:ascii="Arial" w:hAnsi="Arial" w:cs="Arial"/>
          <w:sz w:val="22"/>
          <w:szCs w:val="22"/>
        </w:rPr>
        <w:t>Weswox</w:t>
      </w:r>
      <w:proofErr w:type="spellEnd"/>
      <w:r w:rsidR="009D6E9C" w:rsidRPr="00C76818">
        <w:rPr>
          <w:rFonts w:ascii="Arial" w:hAnsi="Arial" w:cs="Arial"/>
          <w:sz w:val="22"/>
          <w:szCs w:val="22"/>
        </w:rPr>
        <w:t xml:space="preserve"> MT-1090A) and stained with Ehrlich's</w:t>
      </w:r>
      <w:r w:rsidRPr="00C76818">
        <w:rPr>
          <w:rFonts w:ascii="Arial" w:hAnsi="Arial" w:cs="Arial"/>
          <w:sz w:val="22"/>
          <w:szCs w:val="22"/>
        </w:rPr>
        <w:t xml:space="preserve"> </w:t>
      </w:r>
      <w:r w:rsidR="001D1E0C" w:rsidRPr="00C76818">
        <w:rPr>
          <w:rFonts w:ascii="Arial" w:hAnsi="Arial" w:cs="Arial"/>
          <w:sz w:val="22"/>
          <w:szCs w:val="22"/>
        </w:rPr>
        <w:t>haematoxylin</w:t>
      </w:r>
      <w:r w:rsidRPr="00C76818">
        <w:rPr>
          <w:rFonts w:ascii="Arial" w:hAnsi="Arial" w:cs="Arial"/>
          <w:sz w:val="22"/>
          <w:szCs w:val="22"/>
        </w:rPr>
        <w:t xml:space="preserve">, with eosin as a counterstain. The slides were mounted using DPX </w:t>
      </w:r>
      <w:proofErr w:type="spellStart"/>
      <w:r w:rsidRPr="00C76818">
        <w:rPr>
          <w:rFonts w:ascii="Arial" w:hAnsi="Arial" w:cs="Arial"/>
          <w:sz w:val="22"/>
          <w:szCs w:val="22"/>
        </w:rPr>
        <w:t>mountant</w:t>
      </w:r>
      <w:proofErr w:type="spellEnd"/>
      <w:r w:rsidRPr="00C76818">
        <w:rPr>
          <w:rFonts w:ascii="Arial" w:hAnsi="Arial" w:cs="Arial"/>
          <w:sz w:val="22"/>
          <w:szCs w:val="22"/>
        </w:rPr>
        <w:t xml:space="preserve">. The sections were observed under </w:t>
      </w:r>
      <w:r w:rsidR="006A46D4">
        <w:rPr>
          <w:rFonts w:ascii="Arial" w:hAnsi="Arial" w:cs="Arial"/>
          <w:sz w:val="22"/>
          <w:szCs w:val="22"/>
        </w:rPr>
        <w:t>an Olympus CH20I microscope under field illumination, and selected areas were photographed at 1000x magnification using</w:t>
      </w:r>
      <w:r w:rsidRPr="00C76818">
        <w:rPr>
          <w:rFonts w:ascii="Arial" w:hAnsi="Arial" w:cs="Arial"/>
          <w:sz w:val="22"/>
          <w:szCs w:val="22"/>
        </w:rPr>
        <w:t xml:space="preserve"> a trinocular microscope fitted with a 5-megapixel camera.</w:t>
      </w:r>
    </w:p>
    <w:p w14:paraId="35B94954" w14:textId="77777777" w:rsidR="001D1E0C" w:rsidRDefault="001D1E0C" w:rsidP="001727A6">
      <w:pPr>
        <w:pStyle w:val="NormalWeb"/>
        <w:spacing w:before="0" w:beforeAutospacing="0" w:after="120" w:afterAutospacing="0"/>
        <w:jc w:val="both"/>
      </w:pPr>
    </w:p>
    <w:p w14:paraId="403EA46C" w14:textId="0A4B4CF2" w:rsidR="001D1E0C" w:rsidRPr="002A54D2" w:rsidRDefault="00CE2D4B" w:rsidP="001D1E0C">
      <w:pPr>
        <w:pStyle w:val="NormalWeb"/>
        <w:spacing w:before="0" w:beforeAutospacing="0" w:after="120" w:afterAutospacing="0"/>
        <w:jc w:val="both"/>
        <w:rPr>
          <w:b/>
          <w:bCs/>
        </w:rPr>
      </w:pPr>
      <w:r>
        <w:rPr>
          <w:b/>
          <w:bCs/>
        </w:rPr>
        <w:t xml:space="preserve">3. </w:t>
      </w:r>
      <w:r w:rsidR="005E3B1B" w:rsidRPr="002A54D2">
        <w:rPr>
          <w:b/>
          <w:bCs/>
        </w:rPr>
        <w:t>RESULTS</w:t>
      </w:r>
    </w:p>
    <w:p w14:paraId="2B3CF320" w14:textId="3B560479" w:rsidR="00FB7D13" w:rsidRPr="00C76818" w:rsidRDefault="00CE2D4B" w:rsidP="001D1E0C">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 xml:space="preserve">3.1. </w:t>
      </w:r>
      <w:r w:rsidR="00FB7D13" w:rsidRPr="00C76818">
        <w:rPr>
          <w:rFonts w:ascii="Arial" w:hAnsi="Arial" w:cs="Arial"/>
          <w:b/>
          <w:bCs/>
          <w:sz w:val="22"/>
          <w:szCs w:val="22"/>
        </w:rPr>
        <w:t>Growth Parameters</w:t>
      </w:r>
    </w:p>
    <w:p w14:paraId="57C150A3" w14:textId="34D59CC5" w:rsidR="001D1E0C" w:rsidRPr="00C76818" w:rsidRDefault="001D1E0C" w:rsidP="00C76818">
      <w:pPr>
        <w:pStyle w:val="NormalWeb"/>
        <w:spacing w:before="0" w:beforeAutospacing="0" w:after="120" w:afterAutospacing="0"/>
        <w:jc w:val="both"/>
        <w:rPr>
          <w:rFonts w:ascii="Arial" w:hAnsi="Arial" w:cs="Arial"/>
          <w:sz w:val="22"/>
          <w:szCs w:val="22"/>
        </w:rPr>
      </w:pPr>
      <w:r w:rsidRPr="00C76818">
        <w:rPr>
          <w:rFonts w:ascii="Arial" w:hAnsi="Arial" w:cs="Arial"/>
          <w:sz w:val="22"/>
          <w:szCs w:val="22"/>
        </w:rPr>
        <w:t xml:space="preserve">In the present study, the experimental animal, </w:t>
      </w:r>
      <w:r w:rsidRPr="00C76818">
        <w:rPr>
          <w:rFonts w:ascii="Arial" w:hAnsi="Arial" w:cs="Arial"/>
          <w:i/>
          <w:iCs/>
          <w:sz w:val="22"/>
          <w:szCs w:val="22"/>
        </w:rPr>
        <w:t>Tilapia</w:t>
      </w:r>
      <w:r w:rsidR="00CD6A8D" w:rsidRPr="00C76818">
        <w:rPr>
          <w:rFonts w:ascii="Arial" w:hAnsi="Arial" w:cs="Arial"/>
          <w:sz w:val="22"/>
          <w:szCs w:val="22"/>
        </w:rPr>
        <w:t xml:space="preserve">, was reared in </w:t>
      </w:r>
      <w:r w:rsidR="00CE2D4B">
        <w:rPr>
          <w:rFonts w:ascii="Arial" w:hAnsi="Arial" w:cs="Arial"/>
          <w:sz w:val="22"/>
          <w:szCs w:val="22"/>
        </w:rPr>
        <w:t xml:space="preserve">water at different concentrations of Picoxystrobin to investigate </w:t>
      </w:r>
      <w:r w:rsidR="008F24E3" w:rsidRPr="00C76818">
        <w:rPr>
          <w:rFonts w:ascii="Arial" w:hAnsi="Arial" w:cs="Arial"/>
          <w:sz w:val="22"/>
          <w:szCs w:val="22"/>
        </w:rPr>
        <w:t xml:space="preserve">behavioural </w:t>
      </w:r>
      <w:r w:rsidRPr="00C76818">
        <w:rPr>
          <w:rFonts w:ascii="Arial" w:hAnsi="Arial" w:cs="Arial"/>
          <w:sz w:val="22"/>
          <w:szCs w:val="22"/>
        </w:rPr>
        <w:t xml:space="preserve">and biochemical changes. The present work was carried out from January 2024 to March 2024. Table 1 summarises the growth parameters of fish </w:t>
      </w:r>
      <w:r w:rsidR="009D6E9C" w:rsidRPr="00C76818">
        <w:rPr>
          <w:rFonts w:ascii="Arial" w:hAnsi="Arial" w:cs="Arial"/>
          <w:sz w:val="22"/>
          <w:szCs w:val="22"/>
        </w:rPr>
        <w:t>exposed to the drug</w:t>
      </w:r>
      <w:r w:rsidRPr="00C76818">
        <w:rPr>
          <w:rFonts w:ascii="Arial" w:hAnsi="Arial" w:cs="Arial"/>
          <w:sz w:val="22"/>
          <w:szCs w:val="22"/>
        </w:rPr>
        <w:t xml:space="preserve">. The mean length and mean body weight of control fish were 8.2 ± 0.92 cm and 8.02 ± 1.43 g, respectively. The mean growth parameters of fish subjected to higher concentrations of drug exposure were 7.4 ± 2.66 cm and 6.8 ± 1.16 g, respectively (Table 1).   </w:t>
      </w:r>
    </w:p>
    <w:p w14:paraId="3FC3F772" w14:textId="77777777" w:rsidR="00C76818" w:rsidRPr="00C76818" w:rsidRDefault="00C76818" w:rsidP="00C76818">
      <w:pPr>
        <w:pStyle w:val="NormalWeb"/>
        <w:spacing w:before="0" w:beforeAutospacing="0" w:after="120" w:afterAutospacing="0"/>
        <w:ind w:firstLine="720"/>
        <w:jc w:val="both"/>
        <w:rPr>
          <w:sz w:val="22"/>
          <w:szCs w:val="22"/>
        </w:rPr>
      </w:pPr>
    </w:p>
    <w:p w14:paraId="67B152A0" w14:textId="1602066A" w:rsidR="001D1E0C" w:rsidRPr="00C76818" w:rsidRDefault="001D1E0C" w:rsidP="001D1E0C">
      <w:pPr>
        <w:pStyle w:val="NoSpacing"/>
        <w:jc w:val="center"/>
        <w:rPr>
          <w:rFonts w:ascii="Arial" w:hAnsi="Arial" w:cs="Arial"/>
          <w:b/>
          <w:color w:val="000000" w:themeColor="text1"/>
          <w:sz w:val="22"/>
        </w:rPr>
      </w:pPr>
      <w:r w:rsidRPr="00C76818">
        <w:rPr>
          <w:rFonts w:ascii="Arial" w:hAnsi="Arial" w:cs="Arial"/>
          <w:b/>
          <w:color w:val="000000" w:themeColor="text1"/>
          <w:sz w:val="22"/>
        </w:rPr>
        <w:t xml:space="preserve">Table 1: Mean growth parameters of juvenile </w:t>
      </w:r>
      <w:r w:rsidRPr="00C76818">
        <w:rPr>
          <w:rFonts w:ascii="Arial" w:hAnsi="Arial" w:cs="Arial"/>
          <w:b/>
          <w:i/>
          <w:color w:val="000000" w:themeColor="text1"/>
          <w:sz w:val="22"/>
        </w:rPr>
        <w:t>tilapia</w:t>
      </w:r>
      <w:r w:rsidRPr="00C76818">
        <w:rPr>
          <w:rFonts w:ascii="Arial" w:hAnsi="Arial" w:cs="Arial"/>
          <w:b/>
          <w:color w:val="000000" w:themeColor="text1"/>
          <w:sz w:val="22"/>
        </w:rPr>
        <w:t xml:space="preserve"> at the time of exposure</w:t>
      </w:r>
    </w:p>
    <w:p w14:paraId="18BBAADB" w14:textId="77777777" w:rsidR="001D1E0C" w:rsidRPr="00C76818" w:rsidRDefault="001D1E0C" w:rsidP="001D1E0C">
      <w:pPr>
        <w:pStyle w:val="NoSpacing"/>
        <w:jc w:val="center"/>
        <w:rPr>
          <w:rFonts w:ascii="Arial" w:hAnsi="Arial" w:cs="Arial"/>
          <w:color w:val="000000" w:themeColor="text1"/>
          <w:szCs w:val="24"/>
        </w:rPr>
      </w:pPr>
    </w:p>
    <w:tbl>
      <w:tblPr>
        <w:tblStyle w:val="TableGrid"/>
        <w:tblW w:w="77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1640"/>
        <w:gridCol w:w="1415"/>
        <w:gridCol w:w="1851"/>
        <w:gridCol w:w="2066"/>
      </w:tblGrid>
      <w:tr w:rsidR="001D1E0C" w:rsidRPr="00C76818" w14:paraId="32EBF479" w14:textId="77777777" w:rsidTr="00C76818">
        <w:trPr>
          <w:trHeight w:val="323"/>
          <w:jc w:val="center"/>
        </w:trPr>
        <w:tc>
          <w:tcPr>
            <w:tcW w:w="745" w:type="dxa"/>
            <w:vMerge w:val="restart"/>
            <w:tcBorders>
              <w:top w:val="single" w:sz="4" w:space="0" w:color="auto"/>
              <w:bottom w:val="nil"/>
            </w:tcBorders>
            <w:vAlign w:val="center"/>
            <w:hideMark/>
          </w:tcPr>
          <w:p w14:paraId="72964828" w14:textId="77777777" w:rsidR="001D1E0C" w:rsidRPr="00C76818" w:rsidRDefault="001D1E0C" w:rsidP="00B61318">
            <w:pPr>
              <w:pStyle w:val="NoSpacing"/>
              <w:jc w:val="center"/>
              <w:rPr>
                <w:rFonts w:ascii="Arial" w:hAnsi="Arial" w:cs="Arial"/>
                <w:b/>
                <w:color w:val="000000" w:themeColor="text1"/>
                <w:sz w:val="22"/>
              </w:rPr>
            </w:pPr>
            <w:proofErr w:type="spellStart"/>
            <w:r w:rsidRPr="00C76818">
              <w:rPr>
                <w:rFonts w:ascii="Arial" w:hAnsi="Arial" w:cs="Arial"/>
                <w:b/>
                <w:color w:val="000000" w:themeColor="text1"/>
                <w:sz w:val="22"/>
              </w:rPr>
              <w:t>S.No</w:t>
            </w:r>
            <w:proofErr w:type="spellEnd"/>
          </w:p>
        </w:tc>
        <w:tc>
          <w:tcPr>
            <w:tcW w:w="1640" w:type="dxa"/>
            <w:vMerge w:val="restart"/>
            <w:tcBorders>
              <w:top w:val="single" w:sz="4" w:space="0" w:color="auto"/>
              <w:bottom w:val="nil"/>
            </w:tcBorders>
            <w:vAlign w:val="center"/>
            <w:hideMark/>
          </w:tcPr>
          <w:p w14:paraId="0A5B140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Exposure</w:t>
            </w:r>
          </w:p>
        </w:tc>
        <w:tc>
          <w:tcPr>
            <w:tcW w:w="1402" w:type="dxa"/>
            <w:vMerge w:val="restart"/>
            <w:tcBorders>
              <w:top w:val="single" w:sz="4" w:space="0" w:color="auto"/>
              <w:bottom w:val="nil"/>
            </w:tcBorders>
            <w:vAlign w:val="center"/>
            <w:hideMark/>
          </w:tcPr>
          <w:p w14:paraId="631B2C60"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Parameters</w:t>
            </w:r>
          </w:p>
        </w:tc>
        <w:tc>
          <w:tcPr>
            <w:tcW w:w="3930" w:type="dxa"/>
            <w:gridSpan w:val="2"/>
            <w:tcBorders>
              <w:top w:val="single" w:sz="4" w:space="0" w:color="auto"/>
              <w:bottom w:val="nil"/>
            </w:tcBorders>
            <w:hideMark/>
          </w:tcPr>
          <w:p w14:paraId="248239B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Growth Parameters</w:t>
            </w:r>
          </w:p>
        </w:tc>
      </w:tr>
      <w:tr w:rsidR="001D1E0C" w:rsidRPr="00C76818" w14:paraId="026B1592" w14:textId="77777777" w:rsidTr="00C76818">
        <w:trPr>
          <w:trHeight w:val="350"/>
          <w:jc w:val="center"/>
        </w:trPr>
        <w:tc>
          <w:tcPr>
            <w:tcW w:w="0" w:type="auto"/>
            <w:vMerge/>
            <w:tcBorders>
              <w:top w:val="nil"/>
              <w:bottom w:val="single" w:sz="4" w:space="0" w:color="auto"/>
            </w:tcBorders>
            <w:vAlign w:val="center"/>
            <w:hideMark/>
          </w:tcPr>
          <w:p w14:paraId="210E9023" w14:textId="77777777" w:rsidR="001D1E0C" w:rsidRPr="00C76818" w:rsidRDefault="001D1E0C"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46BC61CF" w14:textId="77777777" w:rsidR="001D1E0C" w:rsidRPr="00C76818" w:rsidRDefault="001D1E0C"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44012CE6" w14:textId="77777777" w:rsidR="001D1E0C" w:rsidRPr="00C76818" w:rsidRDefault="001D1E0C" w:rsidP="00B61318">
            <w:pPr>
              <w:rPr>
                <w:rFonts w:ascii="Arial" w:hAnsi="Arial" w:cs="Arial"/>
                <w:b/>
                <w:color w:val="000000" w:themeColor="text1"/>
              </w:rPr>
            </w:pPr>
          </w:p>
        </w:tc>
        <w:tc>
          <w:tcPr>
            <w:tcW w:w="1857" w:type="dxa"/>
            <w:tcBorders>
              <w:top w:val="nil"/>
              <w:bottom w:val="single" w:sz="4" w:space="0" w:color="auto"/>
            </w:tcBorders>
            <w:vAlign w:val="center"/>
            <w:hideMark/>
          </w:tcPr>
          <w:p w14:paraId="7C244034"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Body weight (g)</w:t>
            </w:r>
          </w:p>
        </w:tc>
        <w:tc>
          <w:tcPr>
            <w:tcW w:w="2073" w:type="dxa"/>
            <w:tcBorders>
              <w:top w:val="nil"/>
              <w:bottom w:val="single" w:sz="4" w:space="0" w:color="auto"/>
            </w:tcBorders>
            <w:vAlign w:val="center"/>
            <w:hideMark/>
          </w:tcPr>
          <w:p w14:paraId="15C0042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Body length (mm)</w:t>
            </w:r>
          </w:p>
        </w:tc>
      </w:tr>
      <w:tr w:rsidR="001D1E0C" w:rsidRPr="00C76818" w14:paraId="7457D719" w14:textId="77777777" w:rsidTr="00C76818">
        <w:trPr>
          <w:jc w:val="center"/>
        </w:trPr>
        <w:tc>
          <w:tcPr>
            <w:tcW w:w="745" w:type="dxa"/>
            <w:vMerge w:val="restart"/>
            <w:tcBorders>
              <w:top w:val="single" w:sz="4" w:space="0" w:color="auto"/>
            </w:tcBorders>
            <w:vAlign w:val="center"/>
            <w:hideMark/>
          </w:tcPr>
          <w:p w14:paraId="612742A0"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w:t>
            </w:r>
          </w:p>
        </w:tc>
        <w:tc>
          <w:tcPr>
            <w:tcW w:w="1640" w:type="dxa"/>
            <w:vMerge w:val="restart"/>
            <w:tcBorders>
              <w:top w:val="single" w:sz="4" w:space="0" w:color="auto"/>
            </w:tcBorders>
            <w:vAlign w:val="center"/>
            <w:hideMark/>
          </w:tcPr>
          <w:p w14:paraId="3A33E3F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Control</w:t>
            </w:r>
          </w:p>
          <w:p w14:paraId="73BE7F61"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(No treatment)</w:t>
            </w:r>
          </w:p>
        </w:tc>
        <w:tc>
          <w:tcPr>
            <w:tcW w:w="1402" w:type="dxa"/>
            <w:tcBorders>
              <w:top w:val="single" w:sz="4" w:space="0" w:color="auto"/>
            </w:tcBorders>
            <w:hideMark/>
          </w:tcPr>
          <w:p w14:paraId="6E29B2F5"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tcBorders>
              <w:top w:val="single" w:sz="4" w:space="0" w:color="auto"/>
            </w:tcBorders>
            <w:vAlign w:val="center"/>
            <w:hideMark/>
          </w:tcPr>
          <w:p w14:paraId="50C3519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8.02</w:t>
            </w:r>
          </w:p>
        </w:tc>
        <w:tc>
          <w:tcPr>
            <w:tcW w:w="2073" w:type="dxa"/>
            <w:tcBorders>
              <w:top w:val="single" w:sz="4" w:space="0" w:color="auto"/>
            </w:tcBorders>
            <w:vAlign w:val="center"/>
            <w:hideMark/>
          </w:tcPr>
          <w:p w14:paraId="701F1AE6"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8.2</w:t>
            </w:r>
          </w:p>
        </w:tc>
      </w:tr>
      <w:tr w:rsidR="001D1E0C" w:rsidRPr="00C76818" w14:paraId="605EF2E9" w14:textId="77777777" w:rsidTr="00C76818">
        <w:trPr>
          <w:jc w:val="center"/>
        </w:trPr>
        <w:tc>
          <w:tcPr>
            <w:tcW w:w="0" w:type="auto"/>
            <w:vMerge/>
            <w:vAlign w:val="center"/>
            <w:hideMark/>
          </w:tcPr>
          <w:p w14:paraId="68E3C980" w14:textId="77777777" w:rsidR="001D1E0C" w:rsidRPr="00C76818" w:rsidRDefault="001D1E0C" w:rsidP="00B61318">
            <w:pPr>
              <w:rPr>
                <w:rFonts w:ascii="Arial" w:hAnsi="Arial" w:cs="Arial"/>
                <w:color w:val="000000" w:themeColor="text1"/>
              </w:rPr>
            </w:pPr>
          </w:p>
        </w:tc>
        <w:tc>
          <w:tcPr>
            <w:tcW w:w="0" w:type="auto"/>
            <w:vMerge/>
            <w:vAlign w:val="center"/>
            <w:hideMark/>
          </w:tcPr>
          <w:p w14:paraId="05B6113D" w14:textId="77777777" w:rsidR="001D1E0C" w:rsidRPr="00C76818" w:rsidRDefault="001D1E0C" w:rsidP="00B61318">
            <w:pPr>
              <w:rPr>
                <w:rFonts w:ascii="Arial" w:hAnsi="Arial" w:cs="Arial"/>
                <w:color w:val="000000" w:themeColor="text1"/>
              </w:rPr>
            </w:pPr>
          </w:p>
        </w:tc>
        <w:tc>
          <w:tcPr>
            <w:tcW w:w="1402" w:type="dxa"/>
            <w:hideMark/>
          </w:tcPr>
          <w:p w14:paraId="34C00D8E"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SD</w:t>
            </w:r>
          </w:p>
        </w:tc>
        <w:tc>
          <w:tcPr>
            <w:tcW w:w="1857" w:type="dxa"/>
            <w:vAlign w:val="center"/>
            <w:hideMark/>
          </w:tcPr>
          <w:p w14:paraId="46D4C37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1.437</w:t>
            </w:r>
          </w:p>
        </w:tc>
        <w:tc>
          <w:tcPr>
            <w:tcW w:w="2073" w:type="dxa"/>
            <w:vAlign w:val="center"/>
            <w:hideMark/>
          </w:tcPr>
          <w:p w14:paraId="6B5CC0D7"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0.927</w:t>
            </w:r>
          </w:p>
        </w:tc>
      </w:tr>
      <w:tr w:rsidR="001D1E0C" w:rsidRPr="00C76818" w14:paraId="5E74AFBF" w14:textId="77777777" w:rsidTr="00C76818">
        <w:trPr>
          <w:jc w:val="center"/>
        </w:trPr>
        <w:tc>
          <w:tcPr>
            <w:tcW w:w="0" w:type="auto"/>
            <w:vMerge/>
            <w:vAlign w:val="center"/>
            <w:hideMark/>
          </w:tcPr>
          <w:p w14:paraId="3599C9C2" w14:textId="77777777" w:rsidR="001D1E0C" w:rsidRPr="00C76818" w:rsidRDefault="001D1E0C" w:rsidP="00B61318">
            <w:pPr>
              <w:rPr>
                <w:rFonts w:ascii="Arial" w:hAnsi="Arial" w:cs="Arial"/>
                <w:color w:val="000000" w:themeColor="text1"/>
              </w:rPr>
            </w:pPr>
          </w:p>
        </w:tc>
        <w:tc>
          <w:tcPr>
            <w:tcW w:w="0" w:type="auto"/>
            <w:vMerge/>
            <w:vAlign w:val="center"/>
            <w:hideMark/>
          </w:tcPr>
          <w:p w14:paraId="67DDEDA4" w14:textId="77777777" w:rsidR="001D1E0C" w:rsidRPr="00C76818" w:rsidRDefault="001D1E0C" w:rsidP="00B61318">
            <w:pPr>
              <w:rPr>
                <w:rFonts w:ascii="Arial" w:hAnsi="Arial" w:cs="Arial"/>
                <w:color w:val="000000" w:themeColor="text1"/>
              </w:rPr>
            </w:pPr>
          </w:p>
        </w:tc>
        <w:tc>
          <w:tcPr>
            <w:tcW w:w="1402" w:type="dxa"/>
            <w:hideMark/>
          </w:tcPr>
          <w:p w14:paraId="47F2A86F"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43348DD4"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6.8 – 7.8</w:t>
            </w:r>
          </w:p>
        </w:tc>
        <w:tc>
          <w:tcPr>
            <w:tcW w:w="2073" w:type="dxa"/>
            <w:vAlign w:val="center"/>
            <w:hideMark/>
          </w:tcPr>
          <w:p w14:paraId="5231E03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7 – 9.5</w:t>
            </w:r>
          </w:p>
        </w:tc>
      </w:tr>
      <w:tr w:rsidR="001D1E0C" w:rsidRPr="00C76818" w14:paraId="52B85AE8" w14:textId="77777777" w:rsidTr="00C76818">
        <w:trPr>
          <w:trHeight w:val="360"/>
          <w:jc w:val="center"/>
        </w:trPr>
        <w:tc>
          <w:tcPr>
            <w:tcW w:w="0" w:type="auto"/>
            <w:vMerge/>
            <w:vAlign w:val="center"/>
            <w:hideMark/>
          </w:tcPr>
          <w:p w14:paraId="3D870A94" w14:textId="77777777" w:rsidR="001D1E0C" w:rsidRPr="00C76818" w:rsidRDefault="001D1E0C" w:rsidP="00B61318">
            <w:pPr>
              <w:rPr>
                <w:rFonts w:ascii="Arial" w:hAnsi="Arial" w:cs="Arial"/>
                <w:color w:val="000000" w:themeColor="text1"/>
              </w:rPr>
            </w:pPr>
          </w:p>
        </w:tc>
        <w:tc>
          <w:tcPr>
            <w:tcW w:w="0" w:type="auto"/>
            <w:vMerge/>
            <w:vAlign w:val="center"/>
            <w:hideMark/>
          </w:tcPr>
          <w:p w14:paraId="00ADA197" w14:textId="77777777" w:rsidR="001D1E0C" w:rsidRPr="00C76818" w:rsidRDefault="001D1E0C" w:rsidP="00B61318">
            <w:pPr>
              <w:rPr>
                <w:rFonts w:ascii="Arial" w:hAnsi="Arial" w:cs="Arial"/>
                <w:color w:val="000000" w:themeColor="text1"/>
              </w:rPr>
            </w:pPr>
          </w:p>
        </w:tc>
        <w:tc>
          <w:tcPr>
            <w:tcW w:w="1402" w:type="dxa"/>
            <w:hideMark/>
          </w:tcPr>
          <w:p w14:paraId="201CDED2"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0E9CE447" w14:textId="4689AA92"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33EE296F" w14:textId="3FEC35AD"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r w:rsidR="001D1E0C" w:rsidRPr="00C76818" w14:paraId="40A2563A" w14:textId="77777777" w:rsidTr="00C76818">
        <w:trPr>
          <w:jc w:val="center"/>
        </w:trPr>
        <w:tc>
          <w:tcPr>
            <w:tcW w:w="745" w:type="dxa"/>
            <w:vMerge w:val="restart"/>
            <w:vAlign w:val="center"/>
            <w:hideMark/>
          </w:tcPr>
          <w:p w14:paraId="058454B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w:t>
            </w:r>
          </w:p>
        </w:tc>
        <w:tc>
          <w:tcPr>
            <w:tcW w:w="1640" w:type="dxa"/>
            <w:vMerge w:val="restart"/>
            <w:vAlign w:val="center"/>
          </w:tcPr>
          <w:p w14:paraId="40B34F05"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Lower concentration</w:t>
            </w:r>
          </w:p>
          <w:p w14:paraId="39EB386D" w14:textId="77777777" w:rsidR="001D1E0C" w:rsidRPr="00C76818" w:rsidRDefault="001D1E0C" w:rsidP="00B61318">
            <w:pPr>
              <w:pStyle w:val="NoSpacing"/>
              <w:jc w:val="center"/>
              <w:rPr>
                <w:rFonts w:ascii="Arial" w:hAnsi="Arial" w:cs="Arial"/>
                <w:b/>
                <w:color w:val="000000" w:themeColor="text1"/>
                <w:sz w:val="22"/>
              </w:rPr>
            </w:pPr>
          </w:p>
        </w:tc>
        <w:tc>
          <w:tcPr>
            <w:tcW w:w="1402" w:type="dxa"/>
            <w:hideMark/>
          </w:tcPr>
          <w:p w14:paraId="0FE07DA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vAlign w:val="center"/>
            <w:hideMark/>
          </w:tcPr>
          <w:p w14:paraId="3240164D"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6.6</w:t>
            </w:r>
          </w:p>
        </w:tc>
        <w:tc>
          <w:tcPr>
            <w:tcW w:w="2073" w:type="dxa"/>
            <w:vAlign w:val="center"/>
            <w:hideMark/>
          </w:tcPr>
          <w:p w14:paraId="5FA46422"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6.2</w:t>
            </w:r>
          </w:p>
        </w:tc>
      </w:tr>
      <w:tr w:rsidR="001D1E0C" w:rsidRPr="00C76818" w14:paraId="3B815416" w14:textId="77777777" w:rsidTr="00C76818">
        <w:trPr>
          <w:jc w:val="center"/>
        </w:trPr>
        <w:tc>
          <w:tcPr>
            <w:tcW w:w="0" w:type="auto"/>
            <w:vMerge/>
            <w:vAlign w:val="center"/>
            <w:hideMark/>
          </w:tcPr>
          <w:p w14:paraId="2ED2BBCC" w14:textId="77777777" w:rsidR="001D1E0C" w:rsidRPr="00C76818" w:rsidRDefault="001D1E0C" w:rsidP="00B61318">
            <w:pPr>
              <w:rPr>
                <w:rFonts w:ascii="Arial" w:hAnsi="Arial" w:cs="Arial"/>
                <w:color w:val="000000" w:themeColor="text1"/>
              </w:rPr>
            </w:pPr>
          </w:p>
        </w:tc>
        <w:tc>
          <w:tcPr>
            <w:tcW w:w="0" w:type="auto"/>
            <w:vMerge/>
            <w:vAlign w:val="center"/>
            <w:hideMark/>
          </w:tcPr>
          <w:p w14:paraId="657B5AF2" w14:textId="77777777" w:rsidR="001D1E0C" w:rsidRPr="00C76818" w:rsidRDefault="001D1E0C" w:rsidP="00B61318">
            <w:pPr>
              <w:rPr>
                <w:rFonts w:ascii="Arial" w:hAnsi="Arial" w:cs="Arial"/>
                <w:b/>
                <w:color w:val="000000" w:themeColor="text1"/>
              </w:rPr>
            </w:pPr>
          </w:p>
        </w:tc>
        <w:tc>
          <w:tcPr>
            <w:tcW w:w="1402" w:type="dxa"/>
            <w:hideMark/>
          </w:tcPr>
          <w:p w14:paraId="485CEDF3"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SE</w:t>
            </w:r>
          </w:p>
        </w:tc>
        <w:tc>
          <w:tcPr>
            <w:tcW w:w="1857" w:type="dxa"/>
            <w:vAlign w:val="center"/>
            <w:hideMark/>
          </w:tcPr>
          <w:p w14:paraId="30215CA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1.772</w:t>
            </w:r>
          </w:p>
        </w:tc>
        <w:tc>
          <w:tcPr>
            <w:tcW w:w="2073" w:type="dxa"/>
            <w:vAlign w:val="center"/>
            <w:hideMark/>
          </w:tcPr>
          <w:p w14:paraId="0AECDA5A"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2.244</w:t>
            </w:r>
          </w:p>
        </w:tc>
      </w:tr>
      <w:tr w:rsidR="001D1E0C" w:rsidRPr="00C76818" w14:paraId="4C2491B5" w14:textId="77777777" w:rsidTr="00C76818">
        <w:trPr>
          <w:jc w:val="center"/>
        </w:trPr>
        <w:tc>
          <w:tcPr>
            <w:tcW w:w="0" w:type="auto"/>
            <w:vMerge/>
            <w:vAlign w:val="center"/>
            <w:hideMark/>
          </w:tcPr>
          <w:p w14:paraId="6B839BF8" w14:textId="77777777" w:rsidR="001D1E0C" w:rsidRPr="00C76818" w:rsidRDefault="001D1E0C" w:rsidP="00B61318">
            <w:pPr>
              <w:rPr>
                <w:rFonts w:ascii="Arial" w:hAnsi="Arial" w:cs="Arial"/>
                <w:color w:val="000000" w:themeColor="text1"/>
              </w:rPr>
            </w:pPr>
          </w:p>
        </w:tc>
        <w:tc>
          <w:tcPr>
            <w:tcW w:w="0" w:type="auto"/>
            <w:vMerge/>
            <w:vAlign w:val="center"/>
            <w:hideMark/>
          </w:tcPr>
          <w:p w14:paraId="330359FA" w14:textId="77777777" w:rsidR="001D1E0C" w:rsidRPr="00C76818" w:rsidRDefault="001D1E0C" w:rsidP="00B61318">
            <w:pPr>
              <w:rPr>
                <w:rFonts w:ascii="Arial" w:hAnsi="Arial" w:cs="Arial"/>
                <w:b/>
                <w:color w:val="000000" w:themeColor="text1"/>
              </w:rPr>
            </w:pPr>
          </w:p>
        </w:tc>
        <w:tc>
          <w:tcPr>
            <w:tcW w:w="1402" w:type="dxa"/>
            <w:hideMark/>
          </w:tcPr>
          <w:p w14:paraId="229FA06B"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60D9DF1E"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 8.5</w:t>
            </w:r>
          </w:p>
        </w:tc>
        <w:tc>
          <w:tcPr>
            <w:tcW w:w="2073" w:type="dxa"/>
            <w:vAlign w:val="center"/>
            <w:hideMark/>
          </w:tcPr>
          <w:p w14:paraId="21516F39"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 10</w:t>
            </w:r>
          </w:p>
        </w:tc>
      </w:tr>
      <w:tr w:rsidR="001D1E0C" w:rsidRPr="00C76818" w14:paraId="1057A6EB" w14:textId="77777777" w:rsidTr="00C76818">
        <w:trPr>
          <w:trHeight w:val="315"/>
          <w:jc w:val="center"/>
        </w:trPr>
        <w:tc>
          <w:tcPr>
            <w:tcW w:w="0" w:type="auto"/>
            <w:vMerge/>
            <w:vAlign w:val="center"/>
            <w:hideMark/>
          </w:tcPr>
          <w:p w14:paraId="31F6A8D8" w14:textId="77777777" w:rsidR="001D1E0C" w:rsidRPr="00C76818" w:rsidRDefault="001D1E0C" w:rsidP="00B61318">
            <w:pPr>
              <w:rPr>
                <w:rFonts w:ascii="Arial" w:hAnsi="Arial" w:cs="Arial"/>
                <w:color w:val="000000" w:themeColor="text1"/>
              </w:rPr>
            </w:pPr>
          </w:p>
        </w:tc>
        <w:tc>
          <w:tcPr>
            <w:tcW w:w="0" w:type="auto"/>
            <w:vMerge/>
            <w:vAlign w:val="center"/>
            <w:hideMark/>
          </w:tcPr>
          <w:p w14:paraId="5EB82302" w14:textId="77777777" w:rsidR="001D1E0C" w:rsidRPr="00C76818" w:rsidRDefault="001D1E0C" w:rsidP="00B61318">
            <w:pPr>
              <w:rPr>
                <w:rFonts w:ascii="Arial" w:hAnsi="Arial" w:cs="Arial"/>
                <w:b/>
                <w:color w:val="000000" w:themeColor="text1"/>
              </w:rPr>
            </w:pPr>
          </w:p>
        </w:tc>
        <w:tc>
          <w:tcPr>
            <w:tcW w:w="1402" w:type="dxa"/>
            <w:hideMark/>
          </w:tcPr>
          <w:p w14:paraId="5923FAF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545EA2A7" w14:textId="4017AB4F"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4D92B5DC" w14:textId="54BFC76F"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r w:rsidR="001D1E0C" w:rsidRPr="00C76818" w14:paraId="12DA6B95" w14:textId="77777777" w:rsidTr="00C76818">
        <w:trPr>
          <w:jc w:val="center"/>
        </w:trPr>
        <w:tc>
          <w:tcPr>
            <w:tcW w:w="745" w:type="dxa"/>
            <w:vMerge w:val="restart"/>
          </w:tcPr>
          <w:p w14:paraId="01FD0F8D" w14:textId="77777777" w:rsidR="001D1E0C" w:rsidRPr="00C76818" w:rsidRDefault="001D1E0C" w:rsidP="00B61318">
            <w:pPr>
              <w:pStyle w:val="NoSpacing"/>
              <w:rPr>
                <w:rFonts w:ascii="Arial" w:hAnsi="Arial" w:cs="Arial"/>
                <w:color w:val="000000" w:themeColor="text1"/>
                <w:sz w:val="22"/>
              </w:rPr>
            </w:pPr>
          </w:p>
          <w:p w14:paraId="644A44B3" w14:textId="69027A0D"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p>
        </w:tc>
        <w:tc>
          <w:tcPr>
            <w:tcW w:w="1640" w:type="dxa"/>
            <w:vMerge w:val="restart"/>
          </w:tcPr>
          <w:p w14:paraId="103A74E1" w14:textId="77777777" w:rsidR="001D1E0C" w:rsidRPr="00C76818" w:rsidRDefault="001D1E0C" w:rsidP="00B61318">
            <w:pPr>
              <w:pStyle w:val="NoSpacing"/>
              <w:rPr>
                <w:rFonts w:ascii="Arial" w:hAnsi="Arial" w:cs="Arial"/>
                <w:color w:val="000000" w:themeColor="text1"/>
                <w:sz w:val="22"/>
              </w:rPr>
            </w:pPr>
          </w:p>
          <w:p w14:paraId="2DA28AC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Higher</w:t>
            </w:r>
          </w:p>
          <w:p w14:paraId="4FB36A48"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Concentration</w:t>
            </w:r>
          </w:p>
          <w:p w14:paraId="31013282" w14:textId="77777777" w:rsidR="001D1E0C" w:rsidRPr="00C76818" w:rsidRDefault="001D1E0C" w:rsidP="00B61318">
            <w:pPr>
              <w:pStyle w:val="NoSpacing"/>
              <w:jc w:val="center"/>
              <w:rPr>
                <w:rFonts w:ascii="Arial" w:hAnsi="Arial" w:cs="Arial"/>
                <w:color w:val="000000" w:themeColor="text1"/>
                <w:sz w:val="22"/>
              </w:rPr>
            </w:pPr>
          </w:p>
        </w:tc>
        <w:tc>
          <w:tcPr>
            <w:tcW w:w="1402" w:type="dxa"/>
            <w:hideMark/>
          </w:tcPr>
          <w:p w14:paraId="15FB83B7"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vAlign w:val="center"/>
            <w:hideMark/>
          </w:tcPr>
          <w:p w14:paraId="6CF8B8D4"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7.4</w:t>
            </w:r>
          </w:p>
        </w:tc>
        <w:tc>
          <w:tcPr>
            <w:tcW w:w="2073" w:type="dxa"/>
            <w:vAlign w:val="center"/>
            <w:hideMark/>
          </w:tcPr>
          <w:p w14:paraId="1CD78372"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6.8</w:t>
            </w:r>
          </w:p>
        </w:tc>
      </w:tr>
      <w:tr w:rsidR="001D1E0C" w:rsidRPr="00C76818" w14:paraId="7328BD9B" w14:textId="77777777" w:rsidTr="00C76818">
        <w:trPr>
          <w:trHeight w:val="281"/>
          <w:jc w:val="center"/>
        </w:trPr>
        <w:tc>
          <w:tcPr>
            <w:tcW w:w="0" w:type="auto"/>
            <w:vMerge/>
            <w:vAlign w:val="center"/>
            <w:hideMark/>
          </w:tcPr>
          <w:p w14:paraId="605DEB53" w14:textId="77777777" w:rsidR="001D1E0C" w:rsidRPr="00C76818" w:rsidRDefault="001D1E0C" w:rsidP="00B61318">
            <w:pPr>
              <w:rPr>
                <w:rFonts w:ascii="Arial" w:hAnsi="Arial" w:cs="Arial"/>
                <w:color w:val="000000" w:themeColor="text1"/>
              </w:rPr>
            </w:pPr>
          </w:p>
        </w:tc>
        <w:tc>
          <w:tcPr>
            <w:tcW w:w="0" w:type="auto"/>
            <w:vMerge/>
            <w:vAlign w:val="center"/>
            <w:hideMark/>
          </w:tcPr>
          <w:p w14:paraId="0E19B1D6" w14:textId="77777777" w:rsidR="001D1E0C" w:rsidRPr="00C76818" w:rsidRDefault="001D1E0C" w:rsidP="00B61318">
            <w:pPr>
              <w:rPr>
                <w:rFonts w:ascii="Arial" w:hAnsi="Arial" w:cs="Arial"/>
                <w:color w:val="000000" w:themeColor="text1"/>
              </w:rPr>
            </w:pPr>
          </w:p>
        </w:tc>
        <w:tc>
          <w:tcPr>
            <w:tcW w:w="1402" w:type="dxa"/>
            <w:hideMark/>
          </w:tcPr>
          <w:p w14:paraId="0AC81AB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SE</w:t>
            </w:r>
          </w:p>
        </w:tc>
        <w:tc>
          <w:tcPr>
            <w:tcW w:w="1857" w:type="dxa"/>
            <w:vAlign w:val="center"/>
            <w:hideMark/>
          </w:tcPr>
          <w:p w14:paraId="39B49167"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2.663</w:t>
            </w:r>
          </w:p>
        </w:tc>
        <w:tc>
          <w:tcPr>
            <w:tcW w:w="2073" w:type="dxa"/>
            <w:vAlign w:val="center"/>
            <w:hideMark/>
          </w:tcPr>
          <w:p w14:paraId="5F3AF07C"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1.166</w:t>
            </w:r>
          </w:p>
        </w:tc>
      </w:tr>
      <w:tr w:rsidR="001D1E0C" w:rsidRPr="00C76818" w14:paraId="7E5A0BF1" w14:textId="77777777" w:rsidTr="00C76818">
        <w:trPr>
          <w:trHeight w:val="129"/>
          <w:jc w:val="center"/>
        </w:trPr>
        <w:tc>
          <w:tcPr>
            <w:tcW w:w="0" w:type="auto"/>
            <w:vMerge/>
            <w:vAlign w:val="center"/>
            <w:hideMark/>
          </w:tcPr>
          <w:p w14:paraId="7CFEC71C" w14:textId="77777777" w:rsidR="001D1E0C" w:rsidRPr="00C76818" w:rsidRDefault="001D1E0C" w:rsidP="00B61318">
            <w:pPr>
              <w:rPr>
                <w:rFonts w:ascii="Arial" w:hAnsi="Arial" w:cs="Arial"/>
                <w:color w:val="000000" w:themeColor="text1"/>
              </w:rPr>
            </w:pPr>
          </w:p>
        </w:tc>
        <w:tc>
          <w:tcPr>
            <w:tcW w:w="0" w:type="auto"/>
            <w:vMerge/>
            <w:vAlign w:val="center"/>
            <w:hideMark/>
          </w:tcPr>
          <w:p w14:paraId="55297B46" w14:textId="77777777" w:rsidR="001D1E0C" w:rsidRPr="00C76818" w:rsidRDefault="001D1E0C" w:rsidP="00B61318">
            <w:pPr>
              <w:rPr>
                <w:rFonts w:ascii="Arial" w:hAnsi="Arial" w:cs="Arial"/>
                <w:color w:val="000000" w:themeColor="text1"/>
              </w:rPr>
            </w:pPr>
          </w:p>
        </w:tc>
        <w:tc>
          <w:tcPr>
            <w:tcW w:w="1402" w:type="dxa"/>
            <w:hideMark/>
          </w:tcPr>
          <w:p w14:paraId="336B213E"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2FE7282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4 -12</w:t>
            </w:r>
          </w:p>
        </w:tc>
        <w:tc>
          <w:tcPr>
            <w:tcW w:w="2073" w:type="dxa"/>
            <w:vAlign w:val="center"/>
            <w:hideMark/>
          </w:tcPr>
          <w:p w14:paraId="51FD52B0"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5 – 8</w:t>
            </w:r>
          </w:p>
        </w:tc>
      </w:tr>
      <w:tr w:rsidR="001D1E0C" w:rsidRPr="00C76818" w14:paraId="1E8B9EC2" w14:textId="77777777" w:rsidTr="00C76818">
        <w:trPr>
          <w:trHeight w:val="275"/>
          <w:jc w:val="center"/>
        </w:trPr>
        <w:tc>
          <w:tcPr>
            <w:tcW w:w="0" w:type="auto"/>
            <w:vMerge/>
            <w:vAlign w:val="center"/>
            <w:hideMark/>
          </w:tcPr>
          <w:p w14:paraId="5F890CDE" w14:textId="77777777" w:rsidR="001D1E0C" w:rsidRPr="00C76818" w:rsidRDefault="001D1E0C" w:rsidP="00B61318">
            <w:pPr>
              <w:rPr>
                <w:rFonts w:ascii="Arial" w:hAnsi="Arial" w:cs="Arial"/>
                <w:color w:val="000000" w:themeColor="text1"/>
              </w:rPr>
            </w:pPr>
          </w:p>
        </w:tc>
        <w:tc>
          <w:tcPr>
            <w:tcW w:w="0" w:type="auto"/>
            <w:vMerge/>
            <w:vAlign w:val="center"/>
            <w:hideMark/>
          </w:tcPr>
          <w:p w14:paraId="27BF8547" w14:textId="77777777" w:rsidR="001D1E0C" w:rsidRPr="00C76818" w:rsidRDefault="001D1E0C" w:rsidP="00B61318">
            <w:pPr>
              <w:rPr>
                <w:rFonts w:ascii="Arial" w:hAnsi="Arial" w:cs="Arial"/>
                <w:color w:val="000000" w:themeColor="text1"/>
              </w:rPr>
            </w:pPr>
          </w:p>
        </w:tc>
        <w:tc>
          <w:tcPr>
            <w:tcW w:w="1402" w:type="dxa"/>
            <w:hideMark/>
          </w:tcPr>
          <w:p w14:paraId="7968CC75"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44789246" w14:textId="6431D798"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60906550" w14:textId="58EB4785"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bl>
    <w:p w14:paraId="16249C5E" w14:textId="77777777" w:rsidR="00FB7D13" w:rsidRDefault="00FB7D13" w:rsidP="00FB7D13">
      <w:pPr>
        <w:pStyle w:val="NormalWeb"/>
        <w:spacing w:before="0" w:beforeAutospacing="0" w:after="0" w:afterAutospacing="0"/>
        <w:jc w:val="both"/>
      </w:pPr>
    </w:p>
    <w:p w14:paraId="5A059517" w14:textId="64261ADA" w:rsidR="00E408FD" w:rsidRPr="00C76818" w:rsidRDefault="00CE2D4B" w:rsidP="00FB7D13">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lastRenderedPageBreak/>
        <w:t xml:space="preserve">3.2. </w:t>
      </w:r>
      <w:r w:rsidR="00FB7D13" w:rsidRPr="00C76818">
        <w:rPr>
          <w:rFonts w:ascii="Arial" w:hAnsi="Arial" w:cs="Arial"/>
          <w:b/>
          <w:bCs/>
          <w:sz w:val="22"/>
          <w:szCs w:val="22"/>
        </w:rPr>
        <w:t xml:space="preserve">Mortality </w:t>
      </w:r>
      <w:r w:rsidR="00C76818">
        <w:rPr>
          <w:rFonts w:ascii="Arial" w:hAnsi="Arial" w:cs="Arial"/>
          <w:b/>
          <w:bCs/>
          <w:sz w:val="22"/>
          <w:szCs w:val="22"/>
        </w:rPr>
        <w:t>Rate</w:t>
      </w:r>
    </w:p>
    <w:p w14:paraId="541DE3A9" w14:textId="7A2B6A62" w:rsidR="00E408FD" w:rsidRPr="00C76818" w:rsidRDefault="00CD6A8D" w:rsidP="00FB7D13">
      <w:pPr>
        <w:pStyle w:val="NormalWeb"/>
        <w:spacing w:before="0" w:beforeAutospacing="0" w:after="0" w:afterAutospacing="0"/>
        <w:ind w:firstLine="720"/>
        <w:jc w:val="both"/>
        <w:rPr>
          <w:rFonts w:ascii="Arial" w:hAnsi="Arial" w:cs="Arial"/>
          <w:sz w:val="22"/>
          <w:szCs w:val="22"/>
        </w:rPr>
      </w:pPr>
      <w:r w:rsidRPr="00C76818">
        <w:rPr>
          <w:rFonts w:ascii="Arial" w:hAnsi="Arial" w:cs="Arial"/>
          <w:sz w:val="22"/>
          <w:szCs w:val="22"/>
        </w:rPr>
        <w:t xml:space="preserve">Aquatic toxicology is the study of the effects of environmental contaminants on aquatic organisms, such as the effect of pollutants on the health of fish or other aquatic organisms. The mortality of tilapia in different concentrations of Picoxystrobin during 21 days of exposure is presented in Table 2. </w:t>
      </w:r>
      <w:r w:rsidR="009D6E9C" w:rsidRPr="00C76818">
        <w:rPr>
          <w:rFonts w:ascii="Arial" w:hAnsi="Arial" w:cs="Arial"/>
          <w:sz w:val="22"/>
          <w:szCs w:val="22"/>
        </w:rPr>
        <w:t>In the control group, no mortality was observed</w:t>
      </w:r>
      <w:r w:rsidRPr="00C76818">
        <w:rPr>
          <w:rFonts w:ascii="Arial" w:hAnsi="Arial" w:cs="Arial"/>
          <w:sz w:val="22"/>
          <w:szCs w:val="22"/>
        </w:rPr>
        <w:t xml:space="preserve">. </w:t>
      </w:r>
      <w:r w:rsidR="00FB7D13" w:rsidRPr="00C76818">
        <w:rPr>
          <w:rFonts w:ascii="Arial" w:hAnsi="Arial" w:cs="Arial"/>
          <w:sz w:val="22"/>
          <w:szCs w:val="22"/>
        </w:rPr>
        <w:t>At the same time,</w:t>
      </w:r>
      <w:r w:rsidRPr="00C76818">
        <w:rPr>
          <w:rFonts w:ascii="Arial" w:hAnsi="Arial" w:cs="Arial"/>
          <w:sz w:val="22"/>
          <w:szCs w:val="22"/>
        </w:rPr>
        <w:t xml:space="preserve"> </w:t>
      </w:r>
      <w:r w:rsidR="00FB7D13" w:rsidRPr="00C76818">
        <w:rPr>
          <w:rFonts w:ascii="Arial" w:hAnsi="Arial" w:cs="Arial"/>
          <w:sz w:val="22"/>
          <w:szCs w:val="22"/>
        </w:rPr>
        <w:t>8</w:t>
      </w:r>
      <w:r w:rsidRPr="00C76818">
        <w:rPr>
          <w:rFonts w:ascii="Arial" w:hAnsi="Arial" w:cs="Arial"/>
          <w:sz w:val="22"/>
          <w:szCs w:val="22"/>
        </w:rPr>
        <w:t xml:space="preserve">% mortality </w:t>
      </w:r>
      <w:r w:rsidR="00FB7D13" w:rsidRPr="00C76818">
        <w:rPr>
          <w:rFonts w:ascii="Arial" w:hAnsi="Arial" w:cs="Arial"/>
          <w:sz w:val="22"/>
          <w:szCs w:val="22"/>
        </w:rPr>
        <w:t>was</w:t>
      </w:r>
      <w:r w:rsidRPr="00C76818">
        <w:rPr>
          <w:rFonts w:ascii="Arial" w:hAnsi="Arial" w:cs="Arial"/>
          <w:sz w:val="22"/>
          <w:szCs w:val="22"/>
        </w:rPr>
        <w:t xml:space="preserve"> observed </w:t>
      </w:r>
      <w:r w:rsidR="00FB7D13" w:rsidRPr="00C76818">
        <w:rPr>
          <w:rFonts w:ascii="Arial" w:hAnsi="Arial" w:cs="Arial"/>
          <w:sz w:val="22"/>
          <w:szCs w:val="22"/>
        </w:rPr>
        <w:t>after the 10</w:t>
      </w:r>
      <w:r w:rsidR="00FB7D13" w:rsidRPr="00C76818">
        <w:rPr>
          <w:rFonts w:ascii="Arial" w:hAnsi="Arial" w:cs="Arial"/>
          <w:sz w:val="22"/>
          <w:szCs w:val="22"/>
          <w:vertAlign w:val="superscript"/>
        </w:rPr>
        <w:t>th</w:t>
      </w:r>
      <w:r w:rsidR="00FB7D13" w:rsidRPr="00C76818">
        <w:rPr>
          <w:rFonts w:ascii="Arial" w:hAnsi="Arial" w:cs="Arial"/>
          <w:sz w:val="22"/>
          <w:szCs w:val="22"/>
        </w:rPr>
        <w:t xml:space="preserve"> day of exposure in</w:t>
      </w:r>
      <w:r w:rsidRPr="00C76818">
        <w:rPr>
          <w:rFonts w:ascii="Arial" w:hAnsi="Arial" w:cs="Arial"/>
          <w:sz w:val="22"/>
          <w:szCs w:val="22"/>
        </w:rPr>
        <w:t xml:space="preserve"> low concentrations of Picoxystrobin treatment. In contrast, </w:t>
      </w:r>
      <w:r w:rsidR="00FB7D13" w:rsidRPr="00C76818">
        <w:rPr>
          <w:rFonts w:ascii="Arial" w:hAnsi="Arial" w:cs="Arial"/>
          <w:sz w:val="22"/>
          <w:szCs w:val="22"/>
        </w:rPr>
        <w:t>16% of</w:t>
      </w:r>
      <w:r w:rsidRPr="00C76818">
        <w:rPr>
          <w:rFonts w:ascii="Arial" w:hAnsi="Arial" w:cs="Arial"/>
          <w:sz w:val="22"/>
          <w:szCs w:val="22"/>
        </w:rPr>
        <w:t xml:space="preserve"> mortality was observed </w:t>
      </w:r>
      <w:r w:rsidR="00FB7D13" w:rsidRPr="00C76818">
        <w:rPr>
          <w:rFonts w:ascii="Arial" w:hAnsi="Arial" w:cs="Arial"/>
          <w:sz w:val="22"/>
          <w:szCs w:val="22"/>
        </w:rPr>
        <w:t>after the 12</w:t>
      </w:r>
      <w:r w:rsidR="00FB7D13" w:rsidRPr="003B7C8B">
        <w:rPr>
          <w:rFonts w:ascii="Arial" w:hAnsi="Arial" w:cs="Arial"/>
          <w:sz w:val="22"/>
          <w:szCs w:val="22"/>
          <w:vertAlign w:val="superscript"/>
        </w:rPr>
        <w:t>th</w:t>
      </w:r>
      <w:r w:rsidR="00FB7D13" w:rsidRPr="00C76818">
        <w:rPr>
          <w:rFonts w:ascii="Arial" w:hAnsi="Arial" w:cs="Arial"/>
          <w:sz w:val="22"/>
          <w:szCs w:val="22"/>
        </w:rPr>
        <w:t xml:space="preserve"> day of exposure and 30% of mortality was found on the 17</w:t>
      </w:r>
      <w:r w:rsidR="00FB7D13" w:rsidRPr="003B7C8B">
        <w:rPr>
          <w:rFonts w:ascii="Arial" w:hAnsi="Arial" w:cs="Arial"/>
          <w:sz w:val="22"/>
          <w:szCs w:val="22"/>
          <w:vertAlign w:val="superscript"/>
        </w:rPr>
        <w:t>th</w:t>
      </w:r>
      <w:r w:rsidR="00FB7D13" w:rsidRPr="00C76818">
        <w:rPr>
          <w:rFonts w:ascii="Arial" w:hAnsi="Arial" w:cs="Arial"/>
          <w:sz w:val="22"/>
          <w:szCs w:val="22"/>
        </w:rPr>
        <w:t xml:space="preserve"> day of exposure in higher concentrations</w:t>
      </w:r>
      <w:r w:rsidRPr="00C76818">
        <w:rPr>
          <w:rFonts w:ascii="Arial" w:hAnsi="Arial" w:cs="Arial"/>
          <w:sz w:val="22"/>
          <w:szCs w:val="22"/>
        </w:rPr>
        <w:t xml:space="preserve"> of Picoxystrobin treatment. </w:t>
      </w:r>
    </w:p>
    <w:p w14:paraId="5B42EAAA" w14:textId="77777777" w:rsidR="00FB7D13" w:rsidRDefault="00FB7D13" w:rsidP="00FB7D13">
      <w:pPr>
        <w:pStyle w:val="NormalWeb"/>
        <w:spacing w:before="0" w:beforeAutospacing="0" w:after="0" w:afterAutospacing="0"/>
        <w:ind w:firstLine="720"/>
        <w:jc w:val="both"/>
      </w:pPr>
    </w:p>
    <w:p w14:paraId="374D36B6" w14:textId="10CD01E8" w:rsidR="00CD6A8D" w:rsidRPr="00C76818" w:rsidRDefault="00CD6A8D" w:rsidP="00CD6A8D">
      <w:pPr>
        <w:pStyle w:val="NoSpacing"/>
        <w:spacing w:line="276" w:lineRule="auto"/>
        <w:jc w:val="center"/>
        <w:rPr>
          <w:rFonts w:ascii="Arial" w:hAnsi="Arial" w:cs="Arial"/>
          <w:b/>
          <w:color w:val="000000" w:themeColor="text1"/>
          <w:sz w:val="22"/>
        </w:rPr>
      </w:pPr>
      <w:r w:rsidRPr="00C76818">
        <w:rPr>
          <w:rFonts w:ascii="Arial" w:hAnsi="Arial" w:cs="Arial"/>
          <w:b/>
          <w:color w:val="000000" w:themeColor="text1"/>
          <w:sz w:val="22"/>
        </w:rPr>
        <w:t xml:space="preserve">Table 2: Effect of different </w:t>
      </w:r>
      <w:r w:rsidR="00FB7D13" w:rsidRPr="00C76818">
        <w:rPr>
          <w:rFonts w:ascii="Arial" w:hAnsi="Arial" w:cs="Arial"/>
          <w:b/>
          <w:color w:val="000000" w:themeColor="text1"/>
          <w:sz w:val="22"/>
        </w:rPr>
        <w:t>concentrations</w:t>
      </w:r>
      <w:r w:rsidRPr="00C76818">
        <w:rPr>
          <w:rFonts w:ascii="Arial" w:hAnsi="Arial" w:cs="Arial"/>
          <w:b/>
          <w:color w:val="000000" w:themeColor="text1"/>
          <w:sz w:val="22"/>
        </w:rPr>
        <w:t xml:space="preserve"> of Picoxystrobin on </w:t>
      </w:r>
      <w:r w:rsidR="00FB7D13" w:rsidRPr="00C76818">
        <w:rPr>
          <w:rFonts w:ascii="Arial" w:hAnsi="Arial" w:cs="Arial"/>
          <w:b/>
          <w:color w:val="000000" w:themeColor="text1"/>
          <w:sz w:val="22"/>
        </w:rPr>
        <w:t xml:space="preserve">the </w:t>
      </w:r>
      <w:r w:rsidRPr="00C76818">
        <w:rPr>
          <w:rFonts w:ascii="Arial" w:hAnsi="Arial" w:cs="Arial"/>
          <w:b/>
          <w:color w:val="000000" w:themeColor="text1"/>
          <w:sz w:val="22"/>
        </w:rPr>
        <w:t xml:space="preserve">mortality percentage of </w:t>
      </w:r>
      <w:r w:rsidRPr="00C76818">
        <w:rPr>
          <w:rFonts w:ascii="Arial" w:hAnsi="Arial" w:cs="Arial"/>
          <w:b/>
          <w:i/>
          <w:color w:val="000000" w:themeColor="text1"/>
          <w:sz w:val="22"/>
        </w:rPr>
        <w:t xml:space="preserve">tilapia </w:t>
      </w:r>
      <w:r w:rsidRPr="00C76818">
        <w:rPr>
          <w:rFonts w:ascii="Arial" w:hAnsi="Arial" w:cs="Arial"/>
          <w:b/>
          <w:color w:val="000000" w:themeColor="text1"/>
          <w:sz w:val="22"/>
        </w:rPr>
        <w:t>during the exposure period</w:t>
      </w:r>
    </w:p>
    <w:p w14:paraId="2838B245" w14:textId="77777777" w:rsidR="00CD6A8D" w:rsidRPr="00CD6A8D" w:rsidRDefault="00CD6A8D" w:rsidP="00CD6A8D">
      <w:pPr>
        <w:pStyle w:val="NoSpacing"/>
        <w:jc w:val="center"/>
        <w:rPr>
          <w:rFonts w:cs="Times New Roman"/>
          <w:color w:val="000000" w:themeColor="text1"/>
          <w:szCs w:val="24"/>
        </w:rPr>
      </w:pPr>
    </w:p>
    <w:tbl>
      <w:tblPr>
        <w:tblStyle w:val="TableGrid"/>
        <w:tblW w:w="65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1943"/>
        <w:gridCol w:w="1284"/>
        <w:gridCol w:w="1130"/>
        <w:gridCol w:w="1344"/>
        <w:gridCol w:w="6"/>
      </w:tblGrid>
      <w:tr w:rsidR="00CD6A8D" w:rsidRPr="00C76818" w14:paraId="7231B927" w14:textId="77777777" w:rsidTr="003B7C8B">
        <w:trPr>
          <w:jc w:val="center"/>
        </w:trPr>
        <w:tc>
          <w:tcPr>
            <w:tcW w:w="818" w:type="dxa"/>
            <w:vMerge w:val="restart"/>
            <w:tcBorders>
              <w:top w:val="single" w:sz="4" w:space="0" w:color="auto"/>
              <w:bottom w:val="nil"/>
            </w:tcBorders>
            <w:vAlign w:val="center"/>
            <w:hideMark/>
          </w:tcPr>
          <w:p w14:paraId="221BC5DA"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S. No</w:t>
            </w:r>
          </w:p>
        </w:tc>
        <w:tc>
          <w:tcPr>
            <w:tcW w:w="1943" w:type="dxa"/>
            <w:vMerge w:val="restart"/>
            <w:tcBorders>
              <w:top w:val="single" w:sz="4" w:space="0" w:color="auto"/>
              <w:bottom w:val="nil"/>
            </w:tcBorders>
            <w:vAlign w:val="center"/>
            <w:hideMark/>
          </w:tcPr>
          <w:p w14:paraId="1E820C4C"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Concentration</w:t>
            </w:r>
          </w:p>
        </w:tc>
        <w:tc>
          <w:tcPr>
            <w:tcW w:w="3764" w:type="dxa"/>
            <w:gridSpan w:val="4"/>
            <w:tcBorders>
              <w:top w:val="single" w:sz="4" w:space="0" w:color="auto"/>
              <w:bottom w:val="single" w:sz="4" w:space="0" w:color="auto"/>
            </w:tcBorders>
            <w:vAlign w:val="center"/>
            <w:hideMark/>
          </w:tcPr>
          <w:p w14:paraId="7E1E79C0"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 of Mortality</w:t>
            </w:r>
          </w:p>
        </w:tc>
      </w:tr>
      <w:tr w:rsidR="00CD6A8D" w:rsidRPr="00C76818" w14:paraId="13B9F0D9" w14:textId="77777777" w:rsidTr="003B7C8B">
        <w:trPr>
          <w:gridAfter w:val="1"/>
          <w:wAfter w:w="6" w:type="dxa"/>
          <w:trHeight w:val="305"/>
          <w:jc w:val="center"/>
        </w:trPr>
        <w:tc>
          <w:tcPr>
            <w:tcW w:w="0" w:type="auto"/>
            <w:vMerge/>
            <w:tcBorders>
              <w:top w:val="nil"/>
              <w:bottom w:val="single" w:sz="4" w:space="0" w:color="auto"/>
            </w:tcBorders>
            <w:vAlign w:val="center"/>
            <w:hideMark/>
          </w:tcPr>
          <w:p w14:paraId="7898F77D" w14:textId="77777777" w:rsidR="00CD6A8D" w:rsidRPr="00C76818" w:rsidRDefault="00CD6A8D"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1F5B6D06" w14:textId="77777777" w:rsidR="00CD6A8D" w:rsidRPr="00C76818" w:rsidRDefault="00CD6A8D" w:rsidP="00B61318">
            <w:pPr>
              <w:rPr>
                <w:rFonts w:ascii="Arial" w:hAnsi="Arial" w:cs="Arial"/>
                <w:b/>
                <w:color w:val="000000" w:themeColor="text1"/>
              </w:rPr>
            </w:pPr>
          </w:p>
        </w:tc>
        <w:tc>
          <w:tcPr>
            <w:tcW w:w="1284" w:type="dxa"/>
            <w:tcBorders>
              <w:top w:val="nil"/>
              <w:bottom w:val="single" w:sz="4" w:space="0" w:color="auto"/>
            </w:tcBorders>
            <w:vAlign w:val="center"/>
            <w:hideMark/>
          </w:tcPr>
          <w:p w14:paraId="11724757"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0 – 7 d</w:t>
            </w:r>
          </w:p>
        </w:tc>
        <w:tc>
          <w:tcPr>
            <w:tcW w:w="1130" w:type="dxa"/>
            <w:tcBorders>
              <w:top w:val="nil"/>
              <w:bottom w:val="single" w:sz="4" w:space="0" w:color="auto"/>
            </w:tcBorders>
            <w:vAlign w:val="center"/>
            <w:hideMark/>
          </w:tcPr>
          <w:p w14:paraId="68278502"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8 – 14 d</w:t>
            </w:r>
          </w:p>
        </w:tc>
        <w:tc>
          <w:tcPr>
            <w:tcW w:w="1344" w:type="dxa"/>
            <w:tcBorders>
              <w:top w:val="nil"/>
              <w:bottom w:val="single" w:sz="4" w:space="0" w:color="auto"/>
            </w:tcBorders>
            <w:vAlign w:val="center"/>
            <w:hideMark/>
          </w:tcPr>
          <w:p w14:paraId="4F26849A"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15 – 21 d</w:t>
            </w:r>
          </w:p>
        </w:tc>
      </w:tr>
      <w:tr w:rsidR="00CD6A8D" w:rsidRPr="00C76818" w14:paraId="234A88F1" w14:textId="77777777" w:rsidTr="000D3906">
        <w:trPr>
          <w:gridAfter w:val="1"/>
          <w:wAfter w:w="6" w:type="dxa"/>
          <w:trHeight w:val="648"/>
          <w:jc w:val="center"/>
        </w:trPr>
        <w:tc>
          <w:tcPr>
            <w:tcW w:w="818" w:type="dxa"/>
            <w:tcBorders>
              <w:top w:val="single" w:sz="4" w:space="0" w:color="auto"/>
            </w:tcBorders>
            <w:vAlign w:val="center"/>
            <w:hideMark/>
          </w:tcPr>
          <w:p w14:paraId="5F5973B2"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w:t>
            </w:r>
          </w:p>
        </w:tc>
        <w:tc>
          <w:tcPr>
            <w:tcW w:w="1943" w:type="dxa"/>
            <w:tcBorders>
              <w:top w:val="single" w:sz="4" w:space="0" w:color="auto"/>
            </w:tcBorders>
            <w:vAlign w:val="center"/>
            <w:hideMark/>
          </w:tcPr>
          <w:p w14:paraId="05B85CB8" w14:textId="0CF84685"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Control</w:t>
            </w:r>
          </w:p>
        </w:tc>
        <w:tc>
          <w:tcPr>
            <w:tcW w:w="1284" w:type="dxa"/>
            <w:tcBorders>
              <w:top w:val="single" w:sz="4" w:space="0" w:color="auto"/>
            </w:tcBorders>
            <w:vAlign w:val="center"/>
            <w:hideMark/>
          </w:tcPr>
          <w:p w14:paraId="2ED69BF7" w14:textId="634EB068"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tcBorders>
              <w:top w:val="single" w:sz="4" w:space="0" w:color="auto"/>
            </w:tcBorders>
            <w:vAlign w:val="center"/>
            <w:hideMark/>
          </w:tcPr>
          <w:p w14:paraId="7A2A2047"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344" w:type="dxa"/>
            <w:tcBorders>
              <w:top w:val="single" w:sz="4" w:space="0" w:color="auto"/>
            </w:tcBorders>
            <w:vAlign w:val="center"/>
            <w:hideMark/>
          </w:tcPr>
          <w:p w14:paraId="59AB7F96" w14:textId="74EC239A"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r>
      <w:tr w:rsidR="00CD6A8D" w:rsidRPr="00C76818" w14:paraId="6C0F3F82" w14:textId="77777777" w:rsidTr="000D3906">
        <w:trPr>
          <w:gridAfter w:val="1"/>
          <w:wAfter w:w="6" w:type="dxa"/>
          <w:trHeight w:val="648"/>
          <w:jc w:val="center"/>
        </w:trPr>
        <w:tc>
          <w:tcPr>
            <w:tcW w:w="818" w:type="dxa"/>
            <w:vAlign w:val="center"/>
            <w:hideMark/>
          </w:tcPr>
          <w:p w14:paraId="7D744B28"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w:t>
            </w:r>
          </w:p>
        </w:tc>
        <w:tc>
          <w:tcPr>
            <w:tcW w:w="1943" w:type="dxa"/>
            <w:vAlign w:val="center"/>
            <w:hideMark/>
          </w:tcPr>
          <w:p w14:paraId="717433EA" w14:textId="113F0FBF"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Low concentration</w:t>
            </w:r>
          </w:p>
        </w:tc>
        <w:tc>
          <w:tcPr>
            <w:tcW w:w="1284" w:type="dxa"/>
            <w:vAlign w:val="center"/>
            <w:hideMark/>
          </w:tcPr>
          <w:p w14:paraId="08E8A1E3" w14:textId="1C41D89E"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vAlign w:val="center"/>
            <w:hideMark/>
          </w:tcPr>
          <w:p w14:paraId="55A7147D" w14:textId="67017639"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 xml:space="preserve">1/12 </w:t>
            </w:r>
          </w:p>
          <w:p w14:paraId="5F972594" w14:textId="1077817F"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(8.0%)</w:t>
            </w:r>
          </w:p>
        </w:tc>
        <w:tc>
          <w:tcPr>
            <w:tcW w:w="1344" w:type="dxa"/>
            <w:vAlign w:val="center"/>
            <w:hideMark/>
          </w:tcPr>
          <w:p w14:paraId="44898DBC"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r>
      <w:tr w:rsidR="00CD6A8D" w:rsidRPr="00C76818" w14:paraId="57E0CBCC" w14:textId="77777777" w:rsidTr="000D3906">
        <w:trPr>
          <w:gridAfter w:val="1"/>
          <w:wAfter w:w="6" w:type="dxa"/>
          <w:trHeight w:val="648"/>
          <w:jc w:val="center"/>
        </w:trPr>
        <w:tc>
          <w:tcPr>
            <w:tcW w:w="818" w:type="dxa"/>
            <w:vAlign w:val="center"/>
            <w:hideMark/>
          </w:tcPr>
          <w:p w14:paraId="200452BE"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p>
        </w:tc>
        <w:tc>
          <w:tcPr>
            <w:tcW w:w="1943" w:type="dxa"/>
            <w:vAlign w:val="center"/>
            <w:hideMark/>
          </w:tcPr>
          <w:p w14:paraId="60E707E1"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Higher concentration</w:t>
            </w:r>
          </w:p>
        </w:tc>
        <w:tc>
          <w:tcPr>
            <w:tcW w:w="1284" w:type="dxa"/>
            <w:vAlign w:val="center"/>
            <w:hideMark/>
          </w:tcPr>
          <w:p w14:paraId="1A26402C"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vAlign w:val="center"/>
            <w:hideMark/>
          </w:tcPr>
          <w:p w14:paraId="78708483" w14:textId="52A34DF9"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2/12</w:t>
            </w:r>
          </w:p>
          <w:p w14:paraId="48788E02" w14:textId="0DB687ED"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(16.0%)</w:t>
            </w:r>
          </w:p>
        </w:tc>
        <w:tc>
          <w:tcPr>
            <w:tcW w:w="1344" w:type="dxa"/>
            <w:vAlign w:val="center"/>
            <w:hideMark/>
          </w:tcPr>
          <w:p w14:paraId="09EE3543" w14:textId="0CD2B96A" w:rsidR="00CD6A8D" w:rsidRPr="00C76818" w:rsidRDefault="00FB7D13"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r w:rsidR="00CD6A8D" w:rsidRPr="00C76818">
              <w:rPr>
                <w:rFonts w:ascii="Arial" w:hAnsi="Arial" w:cs="Arial"/>
                <w:color w:val="000000" w:themeColor="text1"/>
                <w:sz w:val="22"/>
              </w:rPr>
              <w:t>/</w:t>
            </w:r>
            <w:r w:rsidRPr="00C76818">
              <w:rPr>
                <w:rFonts w:ascii="Arial" w:hAnsi="Arial" w:cs="Arial"/>
                <w:color w:val="000000" w:themeColor="text1"/>
                <w:sz w:val="22"/>
              </w:rPr>
              <w:t>10</w:t>
            </w:r>
          </w:p>
          <w:p w14:paraId="3BD43ACE" w14:textId="57D2FF2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w:t>
            </w:r>
            <w:r w:rsidR="00FB7D13" w:rsidRPr="00C76818">
              <w:rPr>
                <w:rFonts w:ascii="Arial" w:hAnsi="Arial" w:cs="Arial"/>
                <w:color w:val="000000" w:themeColor="text1"/>
                <w:sz w:val="22"/>
              </w:rPr>
              <w:t>30</w:t>
            </w:r>
            <w:r w:rsidRPr="00C76818">
              <w:rPr>
                <w:rFonts w:ascii="Arial" w:hAnsi="Arial" w:cs="Arial"/>
                <w:color w:val="000000" w:themeColor="text1"/>
                <w:sz w:val="22"/>
              </w:rPr>
              <w:t>.0%)</w:t>
            </w:r>
          </w:p>
        </w:tc>
      </w:tr>
    </w:tbl>
    <w:p w14:paraId="45247E46" w14:textId="77777777" w:rsidR="002A54D2" w:rsidRDefault="002A54D2" w:rsidP="002A54D2">
      <w:pPr>
        <w:pStyle w:val="NormalWeb"/>
        <w:spacing w:before="0" w:beforeAutospacing="0" w:after="0" w:afterAutospacing="0"/>
        <w:jc w:val="both"/>
      </w:pPr>
    </w:p>
    <w:p w14:paraId="1FA9F5B1" w14:textId="364D53FF" w:rsidR="00E408FD" w:rsidRPr="00C76818" w:rsidRDefault="00CE2D4B" w:rsidP="002A54D2">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 xml:space="preserve">3.3. </w:t>
      </w:r>
      <w:r w:rsidR="00FB7D13" w:rsidRPr="00C76818">
        <w:rPr>
          <w:rFonts w:ascii="Arial" w:hAnsi="Arial" w:cs="Arial"/>
          <w:b/>
          <w:bCs/>
          <w:sz w:val="22"/>
          <w:szCs w:val="22"/>
        </w:rPr>
        <w:t>Rate of Opercular Movement</w:t>
      </w:r>
    </w:p>
    <w:p w14:paraId="711291DB" w14:textId="049528C0" w:rsidR="002A54D2" w:rsidRPr="00C76818" w:rsidRDefault="002A54D2"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In the present study, </w:t>
      </w:r>
      <w:r w:rsidR="009D6E9C" w:rsidRPr="00C76818">
        <w:rPr>
          <w:rFonts w:ascii="Arial" w:hAnsi="Arial" w:cs="Arial"/>
          <w:color w:val="000000" w:themeColor="text1"/>
          <w:sz w:val="22"/>
        </w:rPr>
        <w:t>fish reared at different concentrations of Picoxystrobin showed a strong and stable increase in opercular movement rate</w:t>
      </w:r>
      <w:r w:rsidRPr="00C76818">
        <w:rPr>
          <w:rFonts w:ascii="Arial" w:hAnsi="Arial" w:cs="Arial"/>
          <w:color w:val="000000" w:themeColor="text1"/>
          <w:sz w:val="22"/>
        </w:rPr>
        <w:t xml:space="preserve">. The mean opercular beats of fish reared in drug-free water were 134.11 ± 9.44 beats/minute. The rate of opercular beats of fish reared in low concentrations of Picoxystrobin ranged from 123 to 207 beats/minute (166.78 ± 9.02 beats/minute). However, the fish reared </w:t>
      </w:r>
      <w:r w:rsidR="009D6E9C" w:rsidRPr="00C76818">
        <w:rPr>
          <w:rFonts w:ascii="Arial" w:hAnsi="Arial" w:cs="Arial"/>
          <w:color w:val="000000" w:themeColor="text1"/>
          <w:sz w:val="22"/>
        </w:rPr>
        <w:t>at higher concentrations had a mean opercular beat rate of 178.89 ± 12.68 beats/minute, ranging</w:t>
      </w:r>
      <w:r w:rsidRPr="00C76818">
        <w:rPr>
          <w:rFonts w:ascii="Arial" w:hAnsi="Arial" w:cs="Arial"/>
          <w:color w:val="000000" w:themeColor="text1"/>
          <w:sz w:val="22"/>
        </w:rPr>
        <w:t xml:space="preserve"> from 129 to 220. The increase of opercular beats from control to higher concentration was statistically significant (</w:t>
      </w:r>
      <w:r w:rsidR="00FA734A">
        <w:rPr>
          <w:rFonts w:ascii="Arial" w:hAnsi="Arial" w:cs="Arial"/>
          <w:color w:val="000000" w:themeColor="text1"/>
          <w:sz w:val="22"/>
        </w:rPr>
        <w:t>ANOVA F</w:t>
      </w:r>
      <w:r w:rsidR="00FA734A" w:rsidRPr="00FA734A">
        <w:rPr>
          <w:rFonts w:ascii="Arial" w:hAnsi="Arial" w:cs="Arial"/>
          <w:color w:val="000000" w:themeColor="text1"/>
          <w:sz w:val="22"/>
          <w:vertAlign w:val="subscript"/>
        </w:rPr>
        <w:t>(2,5)</w:t>
      </w:r>
      <w:r w:rsidR="00FA734A">
        <w:rPr>
          <w:rFonts w:ascii="Arial" w:hAnsi="Arial" w:cs="Arial"/>
          <w:color w:val="000000" w:themeColor="text1"/>
          <w:sz w:val="22"/>
        </w:rPr>
        <w:t xml:space="preserve"> = 29.31, </w:t>
      </w:r>
      <w:r w:rsidRPr="00C76818">
        <w:rPr>
          <w:rFonts w:ascii="Arial" w:hAnsi="Arial" w:cs="Arial"/>
          <w:color w:val="000000" w:themeColor="text1"/>
          <w:sz w:val="22"/>
        </w:rPr>
        <w:t>p</w:t>
      </w:r>
      <w:r w:rsidR="00FA734A">
        <w:rPr>
          <w:rFonts w:ascii="Arial" w:hAnsi="Arial" w:cs="Arial"/>
          <w:color w:val="000000" w:themeColor="text1"/>
          <w:sz w:val="22"/>
        </w:rPr>
        <w:t>&lt;0.0001)</w:t>
      </w:r>
      <w:r w:rsidRPr="00C76818">
        <w:rPr>
          <w:rFonts w:ascii="Arial" w:hAnsi="Arial" w:cs="Arial"/>
          <w:color w:val="000000" w:themeColor="text1"/>
          <w:sz w:val="22"/>
        </w:rPr>
        <w:t xml:space="preserve">. The </w:t>
      </w:r>
      <w:r w:rsidR="00CE2D4B">
        <w:rPr>
          <w:rFonts w:ascii="Arial" w:hAnsi="Arial" w:cs="Arial"/>
          <w:color w:val="000000" w:themeColor="text1"/>
          <w:sz w:val="22"/>
        </w:rPr>
        <w:t>opercular movement rate for the control and treated groups is shown</w:t>
      </w:r>
      <w:r w:rsidRPr="00C76818">
        <w:rPr>
          <w:rFonts w:ascii="Arial" w:hAnsi="Arial" w:cs="Arial"/>
          <w:color w:val="000000" w:themeColor="text1"/>
          <w:sz w:val="22"/>
        </w:rPr>
        <w:t xml:space="preserve"> in Graph 1.</w:t>
      </w:r>
    </w:p>
    <w:p w14:paraId="2A0E7A45" w14:textId="352F391A" w:rsidR="005B78DF" w:rsidRDefault="005B78DF" w:rsidP="00C76818">
      <w:pPr>
        <w:spacing w:line="240" w:lineRule="auto"/>
        <w:rPr>
          <w:rFonts w:ascii="Times New Roman" w:eastAsia="Times New Roman" w:hAnsi="Times New Roman" w:cs="Times New Roman"/>
          <w:b/>
          <w:bCs/>
          <w:kern w:val="0"/>
          <w:sz w:val="24"/>
          <w:szCs w:val="24"/>
          <w:lang w:eastAsia="en-IN" w:bidi="ta-IN"/>
          <w14:ligatures w14:val="none"/>
        </w:rPr>
      </w:pPr>
    </w:p>
    <w:p w14:paraId="15AD5794" w14:textId="76916424" w:rsidR="005B78DF" w:rsidRDefault="005B78DF" w:rsidP="005B78DF">
      <w:pPr>
        <w:spacing w:after="0"/>
        <w:jc w:val="center"/>
        <w:rPr>
          <w:b/>
          <w:bCs/>
        </w:rPr>
      </w:pPr>
      <w:r>
        <w:rPr>
          <w:b/>
          <w:bCs/>
          <w:noProof/>
        </w:rPr>
        <w:drawing>
          <wp:inline distT="0" distB="0" distL="0" distR="0" wp14:anchorId="4D1E0B44" wp14:editId="0A7B724F">
            <wp:extent cx="3762375" cy="2783348"/>
            <wp:effectExtent l="0" t="0" r="0" b="0"/>
            <wp:docPr id="974789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2166" cy="2805387"/>
                    </a:xfrm>
                    <a:prstGeom prst="rect">
                      <a:avLst/>
                    </a:prstGeom>
                    <a:noFill/>
                  </pic:spPr>
                </pic:pic>
              </a:graphicData>
            </a:graphic>
          </wp:inline>
        </w:drawing>
      </w:r>
    </w:p>
    <w:p w14:paraId="4F1CA1C4" w14:textId="77777777" w:rsidR="000425C8" w:rsidRPr="00C76818" w:rsidRDefault="005B78DF" w:rsidP="005B78DF">
      <w:pPr>
        <w:spacing w:after="0"/>
        <w:jc w:val="center"/>
        <w:rPr>
          <w:rFonts w:ascii="Arial" w:hAnsi="Arial" w:cs="Arial"/>
          <w:b/>
          <w:bCs/>
        </w:rPr>
      </w:pPr>
      <w:r w:rsidRPr="00C76818">
        <w:rPr>
          <w:rFonts w:ascii="Arial" w:hAnsi="Arial" w:cs="Arial"/>
          <w:b/>
          <w:bCs/>
        </w:rPr>
        <w:lastRenderedPageBreak/>
        <w:t>Graph 1: Rate of Opercular Movement of Control and Experimental Fish</w:t>
      </w:r>
    </w:p>
    <w:p w14:paraId="44128C65" w14:textId="4994D373" w:rsidR="00C76818" w:rsidRPr="00C76818" w:rsidRDefault="00CE2D4B" w:rsidP="00C76818">
      <w:pPr>
        <w:pStyle w:val="NormalWeb"/>
        <w:spacing w:before="0" w:beforeAutospacing="0" w:after="120" w:afterAutospacing="0"/>
        <w:jc w:val="both"/>
        <w:rPr>
          <w:rFonts w:ascii="Arial" w:hAnsi="Arial" w:cs="Arial"/>
          <w:b/>
          <w:bCs/>
          <w:sz w:val="22"/>
          <w:szCs w:val="22"/>
          <w:lang w:val="en-US"/>
        </w:rPr>
      </w:pPr>
      <w:r>
        <w:rPr>
          <w:rFonts w:ascii="Arial" w:hAnsi="Arial" w:cs="Arial"/>
          <w:b/>
          <w:bCs/>
          <w:sz w:val="22"/>
          <w:szCs w:val="22"/>
          <w:lang w:val="en-US"/>
        </w:rPr>
        <w:t xml:space="preserve">3.4. </w:t>
      </w:r>
      <w:r w:rsidR="00C76818" w:rsidRPr="00C76818">
        <w:rPr>
          <w:rFonts w:ascii="Arial" w:hAnsi="Arial" w:cs="Arial"/>
          <w:b/>
          <w:bCs/>
          <w:sz w:val="22"/>
          <w:szCs w:val="22"/>
          <w:lang w:val="en-US"/>
        </w:rPr>
        <w:t>Rate of Oxygen Consumption</w:t>
      </w:r>
    </w:p>
    <w:p w14:paraId="16A0E2F3" w14:textId="2FEA9267" w:rsidR="00C76818" w:rsidRPr="00C76818" w:rsidRDefault="00C76818" w:rsidP="00C76818">
      <w:pPr>
        <w:pStyle w:val="NormalWeb"/>
        <w:spacing w:before="0" w:beforeAutospacing="0" w:after="120" w:afterAutospacing="0"/>
        <w:jc w:val="both"/>
        <w:rPr>
          <w:rFonts w:ascii="Arial" w:hAnsi="Arial" w:cs="Arial"/>
          <w:sz w:val="22"/>
          <w:szCs w:val="22"/>
          <w:lang w:val="en-US"/>
        </w:rPr>
      </w:pPr>
      <w:r w:rsidRPr="00C76818">
        <w:rPr>
          <w:rFonts w:ascii="Arial" w:hAnsi="Arial" w:cs="Arial"/>
          <w:color w:val="000000" w:themeColor="text1"/>
          <w:sz w:val="22"/>
          <w:szCs w:val="22"/>
        </w:rPr>
        <w:t xml:space="preserve">Oxygen consumption is one of the most important energy pathways in all living organisms. The mean oxygen consumption in the control group of fish was 3.8 ± 0.78 ml/g/hr. There was a gradual decrease in oxygen consumption </w:t>
      </w:r>
      <w:r w:rsidR="00CE2D4B">
        <w:rPr>
          <w:rFonts w:ascii="Arial" w:hAnsi="Arial" w:cs="Arial"/>
          <w:color w:val="000000" w:themeColor="text1"/>
          <w:sz w:val="22"/>
          <w:szCs w:val="22"/>
        </w:rPr>
        <w:t>with increasing Picoxystrobin concentration</w:t>
      </w:r>
      <w:r w:rsidRPr="00C76818">
        <w:rPr>
          <w:rFonts w:ascii="Arial" w:hAnsi="Arial" w:cs="Arial"/>
          <w:color w:val="000000" w:themeColor="text1"/>
          <w:sz w:val="22"/>
          <w:szCs w:val="22"/>
        </w:rPr>
        <w:t xml:space="preserve">. The mean oxygen consumption at low and high concentrations was observed as 3.4 ± 0.53 and 1.3 ± 0.91 ml/g/hr, respectively. The decrease in oxygen consumption may be due to gill damage and malfunctioning red blood cells. Graph 2 shows the changes in oxygen consumption </w:t>
      </w:r>
      <w:r w:rsidR="00CE2D4B">
        <w:rPr>
          <w:rFonts w:ascii="Arial" w:hAnsi="Arial" w:cs="Arial"/>
          <w:color w:val="000000" w:themeColor="text1"/>
          <w:sz w:val="22"/>
          <w:szCs w:val="22"/>
        </w:rPr>
        <w:t>in control and experimental animals reared in water containing different concentrations of fungicide</w:t>
      </w:r>
      <w:r w:rsidRPr="00C76818">
        <w:rPr>
          <w:rFonts w:ascii="Arial" w:hAnsi="Arial" w:cs="Arial"/>
          <w:color w:val="000000" w:themeColor="text1"/>
          <w:sz w:val="22"/>
          <w:szCs w:val="22"/>
        </w:rPr>
        <w:t>.</w:t>
      </w:r>
    </w:p>
    <w:p w14:paraId="0F836651" w14:textId="77777777" w:rsidR="000425C8" w:rsidRDefault="000425C8" w:rsidP="00C76818">
      <w:pPr>
        <w:spacing w:after="0"/>
        <w:rPr>
          <w:rFonts w:ascii="Times New Roman" w:hAnsi="Times New Roman" w:cs="Times New Roman"/>
          <w:b/>
          <w:bCs/>
          <w:sz w:val="24"/>
          <w:szCs w:val="24"/>
        </w:rPr>
      </w:pPr>
    </w:p>
    <w:p w14:paraId="01ED70E7" w14:textId="77777777" w:rsidR="000425C8" w:rsidRDefault="000425C8" w:rsidP="005B78DF">
      <w:pPr>
        <w:spacing w:after="0"/>
        <w:jc w:val="center"/>
        <w:rPr>
          <w:rFonts w:ascii="Times New Roman" w:hAnsi="Times New Roman" w:cs="Times New Roman"/>
          <w:b/>
          <w:bCs/>
          <w:sz w:val="24"/>
          <w:szCs w:val="24"/>
        </w:rPr>
      </w:pPr>
    </w:p>
    <w:p w14:paraId="4C528027" w14:textId="77777777" w:rsidR="000425C8" w:rsidRDefault="000425C8" w:rsidP="005B78DF">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7E7EA9" wp14:editId="5F92C424">
            <wp:extent cx="4762500" cy="3316052"/>
            <wp:effectExtent l="0" t="0" r="0" b="0"/>
            <wp:docPr id="1998637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5513" cy="3318150"/>
                    </a:xfrm>
                    <a:prstGeom prst="rect">
                      <a:avLst/>
                    </a:prstGeom>
                    <a:noFill/>
                  </pic:spPr>
                </pic:pic>
              </a:graphicData>
            </a:graphic>
          </wp:inline>
        </w:drawing>
      </w:r>
    </w:p>
    <w:p w14:paraId="0F508EA0" w14:textId="77777777" w:rsidR="00C76818" w:rsidRDefault="000425C8" w:rsidP="00C76818">
      <w:pPr>
        <w:spacing w:after="0"/>
        <w:jc w:val="center"/>
        <w:rPr>
          <w:rFonts w:ascii="Arial" w:hAnsi="Arial" w:cs="Arial"/>
          <w:b/>
          <w:bCs/>
        </w:rPr>
      </w:pPr>
      <w:r w:rsidRPr="00C76818">
        <w:rPr>
          <w:rFonts w:ascii="Arial" w:hAnsi="Arial" w:cs="Arial"/>
          <w:b/>
          <w:bCs/>
        </w:rPr>
        <w:t>Graph 2: Mean Oxygen Consumption of Control and Experimental Fish</w:t>
      </w:r>
    </w:p>
    <w:p w14:paraId="5DC9640F" w14:textId="77777777" w:rsidR="00C76818" w:rsidRDefault="00C76818" w:rsidP="00C76818">
      <w:pPr>
        <w:spacing w:after="0"/>
        <w:rPr>
          <w:rFonts w:ascii="Arial" w:hAnsi="Arial" w:cs="Arial"/>
          <w:b/>
          <w:bCs/>
        </w:rPr>
      </w:pPr>
    </w:p>
    <w:p w14:paraId="594EB2FF" w14:textId="2B7ED418" w:rsidR="00E408FD" w:rsidRDefault="00CE2D4B" w:rsidP="00C76818">
      <w:pPr>
        <w:spacing w:after="0"/>
        <w:rPr>
          <w:rFonts w:ascii="Arial" w:hAnsi="Arial" w:cs="Arial"/>
          <w:b/>
          <w:bCs/>
        </w:rPr>
      </w:pPr>
      <w:r>
        <w:rPr>
          <w:rFonts w:ascii="Arial" w:hAnsi="Arial" w:cs="Arial"/>
          <w:b/>
          <w:bCs/>
        </w:rPr>
        <w:t xml:space="preserve">3.5. </w:t>
      </w:r>
      <w:r w:rsidR="00DD5FEA" w:rsidRPr="00C76818">
        <w:rPr>
          <w:rFonts w:ascii="Arial" w:hAnsi="Arial" w:cs="Arial"/>
          <w:b/>
          <w:bCs/>
        </w:rPr>
        <w:t>Histopathology</w:t>
      </w:r>
    </w:p>
    <w:p w14:paraId="768B6226" w14:textId="77777777" w:rsidR="00C76818" w:rsidRPr="00C76818" w:rsidRDefault="00C76818" w:rsidP="00C76818">
      <w:pPr>
        <w:spacing w:after="0"/>
        <w:rPr>
          <w:rFonts w:ascii="Arial" w:eastAsia="Times New Roman" w:hAnsi="Arial" w:cs="Arial"/>
          <w:b/>
          <w:bCs/>
          <w:kern w:val="0"/>
          <w:lang w:eastAsia="en-IN" w:bidi="ta-IN"/>
          <w14:ligatures w14:val="none"/>
        </w:rPr>
      </w:pPr>
    </w:p>
    <w:p w14:paraId="3C79EBDA" w14:textId="094C75F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Control Intestine</w:t>
      </w:r>
    </w:p>
    <w:p w14:paraId="5E41A0F5" w14:textId="13BE64C7" w:rsidR="00DD5FEA"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The control group of fish exhibited a typical structure of the intestine with tightly packed circular muscle </w:t>
      </w:r>
      <w:proofErr w:type="spellStart"/>
      <w:r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(CMF), longitudinal muscle </w:t>
      </w:r>
      <w:proofErr w:type="spellStart"/>
      <w:r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w:t>
      </w:r>
      <w:proofErr w:type="spellStart"/>
      <w:r w:rsidRPr="00C76818">
        <w:rPr>
          <w:rFonts w:ascii="Arial" w:hAnsi="Arial" w:cs="Arial"/>
          <w:color w:val="000000" w:themeColor="text1"/>
          <w:sz w:val="22"/>
        </w:rPr>
        <w:t>LMF</w:t>
      </w:r>
      <w:proofErr w:type="spellEnd"/>
      <w:r w:rsidRPr="00C76818">
        <w:rPr>
          <w:rFonts w:ascii="Arial" w:hAnsi="Arial" w:cs="Arial"/>
          <w:color w:val="000000" w:themeColor="text1"/>
          <w:sz w:val="22"/>
        </w:rPr>
        <w:t>), and long tapering villi with tightly packed sub-mucosal tissue (Plate 1: Figure A).</w:t>
      </w:r>
    </w:p>
    <w:p w14:paraId="4DCED457" w14:textId="77777777" w:rsidR="00C76818" w:rsidRPr="00C76818" w:rsidRDefault="00C76818" w:rsidP="00C76818">
      <w:pPr>
        <w:pStyle w:val="NoSpacing"/>
        <w:ind w:firstLine="720"/>
        <w:jc w:val="both"/>
        <w:rPr>
          <w:rFonts w:ascii="Arial" w:hAnsi="Arial" w:cs="Arial"/>
          <w:color w:val="000000" w:themeColor="text1"/>
          <w:sz w:val="22"/>
        </w:rPr>
      </w:pPr>
    </w:p>
    <w:p w14:paraId="43ADFDE7" w14:textId="7777777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Treatment groups</w:t>
      </w:r>
    </w:p>
    <w:p w14:paraId="1062B560" w14:textId="51F3E975" w:rsidR="00DD5FEA" w:rsidRPr="00C76818"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The histological evaluation of fungicide-treated intestines showed </w:t>
      </w:r>
      <w:r w:rsidR="00CE2D4B">
        <w:rPr>
          <w:rFonts w:ascii="Arial" w:hAnsi="Arial" w:cs="Arial"/>
          <w:color w:val="000000" w:themeColor="text1"/>
          <w:sz w:val="22"/>
        </w:rPr>
        <w:t>villous broadening and flattening toward</w:t>
      </w:r>
      <w:r w:rsidRPr="00C76818">
        <w:rPr>
          <w:rFonts w:ascii="Arial" w:hAnsi="Arial" w:cs="Arial"/>
          <w:color w:val="000000" w:themeColor="text1"/>
          <w:sz w:val="22"/>
        </w:rPr>
        <w:t xml:space="preserve"> the tips. The </w:t>
      </w:r>
      <w:r w:rsidR="00CE2D4B">
        <w:rPr>
          <w:rFonts w:ascii="Arial" w:hAnsi="Arial" w:cs="Arial"/>
          <w:color w:val="000000" w:themeColor="text1"/>
          <w:sz w:val="22"/>
        </w:rPr>
        <w:t xml:space="preserve">apical surface of each villus </w:t>
      </w:r>
      <w:r w:rsidR="009D6E9C" w:rsidRPr="00C76818">
        <w:rPr>
          <w:rFonts w:ascii="Arial" w:hAnsi="Arial" w:cs="Arial"/>
          <w:color w:val="000000" w:themeColor="text1"/>
          <w:sz w:val="22"/>
        </w:rPr>
        <w:t xml:space="preserve">showed cell death, </w:t>
      </w:r>
      <w:r w:rsidR="007F6966" w:rsidRPr="00C76818">
        <w:rPr>
          <w:rFonts w:ascii="Arial" w:hAnsi="Arial" w:cs="Arial"/>
          <w:color w:val="000000" w:themeColor="text1"/>
          <w:sz w:val="22"/>
        </w:rPr>
        <w:t>with cells lacking</w:t>
      </w:r>
      <w:r w:rsidRPr="00C76818">
        <w:rPr>
          <w:rFonts w:ascii="Arial" w:hAnsi="Arial" w:cs="Arial"/>
          <w:color w:val="000000" w:themeColor="text1"/>
          <w:sz w:val="22"/>
        </w:rPr>
        <w:t xml:space="preserve"> distinct nuclei or cytoplasmic boundaries. Clear spaces were observed towards the tips of the villi due to </w:t>
      </w:r>
      <w:r w:rsidR="007F6966" w:rsidRPr="00C76818">
        <w:rPr>
          <w:rFonts w:ascii="Arial" w:hAnsi="Arial" w:cs="Arial"/>
          <w:color w:val="000000" w:themeColor="text1"/>
          <w:sz w:val="22"/>
        </w:rPr>
        <w:t xml:space="preserve">the shrinkage of the </w:t>
      </w:r>
      <w:r w:rsidRPr="00C76818">
        <w:rPr>
          <w:rFonts w:ascii="Arial" w:hAnsi="Arial" w:cs="Arial"/>
          <w:color w:val="000000" w:themeColor="text1"/>
          <w:sz w:val="22"/>
        </w:rPr>
        <w:t xml:space="preserve">submucosal tissue. This observation was noted in fish reared in water with low fungicide concentration (Plate 1: Figure B). However, the basement membrane was also damaged and distorted in fish exposed to higher </w:t>
      </w:r>
      <w:r w:rsidR="007F6966" w:rsidRPr="00C76818">
        <w:rPr>
          <w:rFonts w:ascii="Arial" w:hAnsi="Arial" w:cs="Arial"/>
          <w:color w:val="000000" w:themeColor="text1"/>
          <w:sz w:val="22"/>
        </w:rPr>
        <w:t>concentrations of the fungicide</w:t>
      </w:r>
      <w:r w:rsidRPr="00C76818">
        <w:rPr>
          <w:rFonts w:ascii="Arial" w:hAnsi="Arial" w:cs="Arial"/>
          <w:color w:val="000000" w:themeColor="text1"/>
          <w:sz w:val="22"/>
        </w:rPr>
        <w:t xml:space="preserve">. Furthermore, the fungicide-exposed intestines also showed that each villus facing the lumen demonstrated cell degeneration, with cells lacking distinct nuclei and cytoplasmic boundaries. Circular muscle </w:t>
      </w:r>
      <w:proofErr w:type="spellStart"/>
      <w:r w:rsidR="007F6966"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were loosely arranged, and degeneration of submucosal </w:t>
      </w:r>
      <w:r w:rsidRPr="00C76818">
        <w:rPr>
          <w:rFonts w:ascii="Arial" w:hAnsi="Arial" w:cs="Arial"/>
          <w:color w:val="000000" w:themeColor="text1"/>
          <w:sz w:val="22"/>
        </w:rPr>
        <w:lastRenderedPageBreak/>
        <w:t xml:space="preserve">tissue was observed. There was also degeneration of the columnar epithelium of the intestine, with necrosis at the tips of the villi and distortion of goblet cells (GC) (Plate 1: Figure C). </w:t>
      </w:r>
    </w:p>
    <w:p w14:paraId="418FE6C8" w14:textId="77777777" w:rsidR="00DD5FEA" w:rsidRDefault="00DD5FEA" w:rsidP="00DD5FEA">
      <w:pPr>
        <w:pStyle w:val="NoSpacing"/>
        <w:jc w:val="both"/>
        <w:rPr>
          <w:rFonts w:cs="Times New Roman"/>
          <w:b/>
          <w:bCs/>
          <w:i/>
          <w:iCs/>
          <w:color w:val="000000" w:themeColor="text1"/>
          <w:szCs w:val="24"/>
        </w:rPr>
      </w:pPr>
    </w:p>
    <w:p w14:paraId="4AA51B3E" w14:textId="13F63320"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Control Gill</w:t>
      </w:r>
    </w:p>
    <w:p w14:paraId="3B1301E6" w14:textId="34B648F1" w:rsidR="00DD5FEA" w:rsidRPr="00C76818"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The control gill has a structure very similar to a regular gill. Its surface is covered with simple squamous epithelial cells, and numerous capillaries</w:t>
      </w:r>
      <w:r w:rsidR="009D6E9C" w:rsidRPr="00C76818">
        <w:rPr>
          <w:rFonts w:ascii="Arial" w:hAnsi="Arial" w:cs="Arial"/>
          <w:color w:val="000000" w:themeColor="text1"/>
          <w:sz w:val="22"/>
        </w:rPr>
        <w:t>, separated by pillar cells (PC), run parallel to</w:t>
      </w:r>
      <w:r w:rsidRPr="00C76818">
        <w:rPr>
          <w:rFonts w:ascii="Arial" w:hAnsi="Arial" w:cs="Arial"/>
          <w:color w:val="000000" w:themeColor="text1"/>
          <w:sz w:val="22"/>
        </w:rPr>
        <w:t xml:space="preserve"> it. Many semicircular secondary </w:t>
      </w:r>
      <w:r w:rsidR="00CE2D4B">
        <w:rPr>
          <w:rFonts w:ascii="Arial" w:hAnsi="Arial" w:cs="Arial"/>
          <w:color w:val="000000" w:themeColor="text1"/>
          <w:sz w:val="22"/>
        </w:rPr>
        <w:t>gill</w:t>
      </w:r>
      <w:r w:rsidRPr="00C76818">
        <w:rPr>
          <w:rFonts w:ascii="Arial" w:hAnsi="Arial" w:cs="Arial"/>
          <w:color w:val="000000" w:themeColor="text1"/>
          <w:sz w:val="22"/>
        </w:rPr>
        <w:t xml:space="preserve"> lamellae line both sides of the primary gill lamellae. The primary gill lamellae (PGL) feature a centrally located, rod-like central axis (CA) with chloride cells and blood vessels on both sides (Plate 1: Figure D). The secondary lamellae (SGL), also called respiratory lamellae, are highly vascularized and covered with a thin epithelial cell (EC) layer. Blood vessels extend into each secondary gill filament. The blood cells in the secondary lamellae have a single, flattened nucleus. The space between two adjacent secondary gill lamellae is known as the interlamellar region (ILR) (Plate 1: Figure D).</w:t>
      </w:r>
    </w:p>
    <w:p w14:paraId="633CAF5E" w14:textId="77777777" w:rsidR="00DD5FEA" w:rsidRPr="00C76818" w:rsidRDefault="00DD5FEA" w:rsidP="00DD5FEA">
      <w:pPr>
        <w:pStyle w:val="NoSpacing"/>
        <w:jc w:val="both"/>
        <w:rPr>
          <w:rFonts w:ascii="Arial" w:hAnsi="Arial" w:cs="Arial"/>
          <w:color w:val="000000" w:themeColor="text1"/>
          <w:sz w:val="22"/>
        </w:rPr>
      </w:pPr>
    </w:p>
    <w:p w14:paraId="2A2088AF" w14:textId="7777777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Treatment groups</w:t>
      </w:r>
    </w:p>
    <w:p w14:paraId="3D286BC1" w14:textId="01B80B38" w:rsidR="00DD5FEA" w:rsidRPr="00C76818" w:rsidRDefault="00CE2D4B" w:rsidP="00DD5FEA">
      <w:pPr>
        <w:pStyle w:val="NoSpacing"/>
        <w:jc w:val="both"/>
        <w:rPr>
          <w:rFonts w:ascii="Arial" w:hAnsi="Arial" w:cs="Arial"/>
          <w:color w:val="000000" w:themeColor="text1"/>
          <w:sz w:val="22"/>
        </w:rPr>
      </w:pPr>
      <w:r>
        <w:rPr>
          <w:rFonts w:ascii="Arial" w:hAnsi="Arial" w:cs="Arial"/>
          <w:color w:val="000000" w:themeColor="text1"/>
          <w:sz w:val="22"/>
        </w:rPr>
        <w:t>Exposure to different concentrations of picoxystrobin has</w:t>
      </w:r>
      <w:r w:rsidR="00DD5FEA" w:rsidRPr="00C76818">
        <w:rPr>
          <w:rFonts w:ascii="Arial" w:hAnsi="Arial" w:cs="Arial"/>
          <w:color w:val="000000" w:themeColor="text1"/>
          <w:sz w:val="22"/>
        </w:rPr>
        <w:t xml:space="preserve"> induced significant pathological changes in </w:t>
      </w:r>
      <w:r w:rsidR="009D6E9C" w:rsidRPr="00C76818">
        <w:rPr>
          <w:rFonts w:ascii="Arial" w:hAnsi="Arial" w:cs="Arial"/>
          <w:color w:val="000000" w:themeColor="text1"/>
          <w:sz w:val="22"/>
        </w:rPr>
        <w:t>the gill architecture of fish</w:t>
      </w:r>
      <w:r w:rsidR="00DD5FEA" w:rsidRPr="00C76818">
        <w:rPr>
          <w:rFonts w:ascii="Arial" w:hAnsi="Arial" w:cs="Arial"/>
          <w:color w:val="000000" w:themeColor="text1"/>
          <w:sz w:val="22"/>
        </w:rPr>
        <w:t>. The changes include epithelial lifting (EL), bulging of tips of primary gill filaments (</w:t>
      </w:r>
      <w:proofErr w:type="spellStart"/>
      <w:r w:rsidR="00DD5FEA" w:rsidRPr="00C76818">
        <w:rPr>
          <w:rFonts w:ascii="Arial" w:hAnsi="Arial" w:cs="Arial"/>
          <w:color w:val="000000" w:themeColor="text1"/>
          <w:sz w:val="22"/>
        </w:rPr>
        <w:t>BTPG</w:t>
      </w:r>
      <w:proofErr w:type="spellEnd"/>
      <w:r w:rsidR="00DD5FEA" w:rsidRPr="00C76818">
        <w:rPr>
          <w:rFonts w:ascii="Arial" w:hAnsi="Arial" w:cs="Arial"/>
          <w:color w:val="000000" w:themeColor="text1"/>
          <w:sz w:val="22"/>
        </w:rPr>
        <w:t>), degeneration of secondary lamella (</w:t>
      </w:r>
      <w:proofErr w:type="spellStart"/>
      <w:r w:rsidR="00DD5FEA" w:rsidRPr="00C76818">
        <w:rPr>
          <w:rFonts w:ascii="Arial" w:hAnsi="Arial" w:cs="Arial"/>
          <w:color w:val="000000" w:themeColor="text1"/>
          <w:sz w:val="22"/>
        </w:rPr>
        <w:t>DGSL</w:t>
      </w:r>
      <w:proofErr w:type="spellEnd"/>
      <w:r w:rsidR="00DD5FEA" w:rsidRPr="00C76818">
        <w:rPr>
          <w:rFonts w:ascii="Arial" w:hAnsi="Arial" w:cs="Arial"/>
          <w:color w:val="000000" w:themeColor="text1"/>
          <w:sz w:val="22"/>
        </w:rPr>
        <w:t>), curling of secondary gill filaments (</w:t>
      </w:r>
      <w:proofErr w:type="spellStart"/>
      <w:r w:rsidR="00DD5FEA" w:rsidRPr="00C76818">
        <w:rPr>
          <w:rFonts w:ascii="Arial" w:hAnsi="Arial" w:cs="Arial"/>
          <w:color w:val="000000" w:themeColor="text1"/>
          <w:sz w:val="22"/>
        </w:rPr>
        <w:t>CSG</w:t>
      </w:r>
      <w:proofErr w:type="spellEnd"/>
      <w:r w:rsidR="00DD5FEA" w:rsidRPr="00C76818">
        <w:rPr>
          <w:rFonts w:ascii="Arial" w:hAnsi="Arial" w:cs="Arial"/>
          <w:color w:val="000000" w:themeColor="text1"/>
          <w:sz w:val="22"/>
        </w:rPr>
        <w:t>), atrophy of secondary lamella (ASL), and fusion of secondary gill filaments (</w:t>
      </w:r>
      <w:proofErr w:type="spellStart"/>
      <w:r w:rsidR="00DD5FEA" w:rsidRPr="00C76818">
        <w:rPr>
          <w:rFonts w:ascii="Arial" w:hAnsi="Arial" w:cs="Arial"/>
          <w:color w:val="000000" w:themeColor="text1"/>
          <w:sz w:val="22"/>
        </w:rPr>
        <w:t>FSG</w:t>
      </w:r>
      <w:proofErr w:type="spellEnd"/>
      <w:r w:rsidR="00DD5FEA" w:rsidRPr="00C76818">
        <w:rPr>
          <w:rFonts w:ascii="Arial" w:hAnsi="Arial" w:cs="Arial"/>
          <w:color w:val="000000" w:themeColor="text1"/>
          <w:sz w:val="22"/>
        </w:rPr>
        <w:t xml:space="preserve">) (Plate 1: Figure E). These changes increased </w:t>
      </w:r>
      <w:r>
        <w:rPr>
          <w:rFonts w:ascii="Arial" w:hAnsi="Arial" w:cs="Arial"/>
          <w:color w:val="000000" w:themeColor="text1"/>
          <w:sz w:val="22"/>
        </w:rPr>
        <w:t>with exposure levels</w:t>
      </w:r>
      <w:r w:rsidR="00DD5FEA" w:rsidRPr="00C76818">
        <w:rPr>
          <w:rFonts w:ascii="Arial" w:hAnsi="Arial" w:cs="Arial"/>
          <w:color w:val="000000" w:themeColor="text1"/>
          <w:sz w:val="22"/>
        </w:rPr>
        <w:t xml:space="preserve">. In fish exposed to higher concentrations, the gill damage was more severe (Plate 1: Figure F). Notable features included shortened and clubbed ends of the secondary gill lamellae, fusion of adjacent secondary gill lamellae, and necrosis in the primary lamellae. Additionally, </w:t>
      </w:r>
      <w:r w:rsidR="009D6E9C" w:rsidRPr="00C76818">
        <w:rPr>
          <w:rFonts w:ascii="Arial" w:hAnsi="Arial" w:cs="Arial"/>
          <w:color w:val="000000" w:themeColor="text1"/>
          <w:sz w:val="22"/>
        </w:rPr>
        <w:t xml:space="preserve">nuclear hyperplasia and hypertrophy </w:t>
      </w:r>
      <w:r w:rsidR="00DD5FEA" w:rsidRPr="00C76818">
        <w:rPr>
          <w:rFonts w:ascii="Arial" w:hAnsi="Arial" w:cs="Arial"/>
          <w:color w:val="000000" w:themeColor="text1"/>
          <w:sz w:val="22"/>
        </w:rPr>
        <w:t xml:space="preserve">were observed. </w:t>
      </w:r>
      <w:r>
        <w:rPr>
          <w:rFonts w:ascii="Arial" w:hAnsi="Arial" w:cs="Arial"/>
          <w:color w:val="000000" w:themeColor="text1"/>
          <w:sz w:val="22"/>
        </w:rPr>
        <w:t xml:space="preserve">In addition to these changes, pyknosis, vacuolization, degeneration of epithelial </w:t>
      </w:r>
      <w:r w:rsidR="00DD5FEA" w:rsidRPr="00C76818">
        <w:rPr>
          <w:rFonts w:ascii="Arial" w:hAnsi="Arial" w:cs="Arial"/>
          <w:color w:val="000000" w:themeColor="text1"/>
          <w:sz w:val="22"/>
        </w:rPr>
        <w:t>and pillar cells, and lifting of the epithelial layer from the secondary lamellae were also significant.</w:t>
      </w:r>
    </w:p>
    <w:p w14:paraId="510BBED7" w14:textId="77777777" w:rsidR="00DD5FEA" w:rsidRPr="00C76818" w:rsidRDefault="00DD5FEA" w:rsidP="00DD5FEA">
      <w:pPr>
        <w:pStyle w:val="NormalWeb"/>
        <w:spacing w:before="0" w:beforeAutospacing="0" w:after="120" w:afterAutospacing="0"/>
        <w:jc w:val="both"/>
        <w:rPr>
          <w:rFonts w:ascii="Arial" w:hAnsi="Arial" w:cs="Arial"/>
          <w:sz w:val="22"/>
          <w:szCs w:val="22"/>
          <w:lang w:val="en-US"/>
        </w:rPr>
      </w:pPr>
    </w:p>
    <w:p w14:paraId="18819D83" w14:textId="77777777" w:rsidR="00E408FD" w:rsidRDefault="00E408FD" w:rsidP="00E408FD">
      <w:pPr>
        <w:pStyle w:val="NormalWeb"/>
        <w:ind w:firstLine="720"/>
        <w:jc w:val="both"/>
      </w:pPr>
    </w:p>
    <w:p w14:paraId="53DA46B1" w14:textId="77777777" w:rsidR="00E408FD" w:rsidRDefault="00E408FD" w:rsidP="00E408FD">
      <w:pPr>
        <w:pStyle w:val="NormalWeb"/>
        <w:ind w:firstLine="720"/>
        <w:jc w:val="both"/>
      </w:pPr>
    </w:p>
    <w:p w14:paraId="08B4757A" w14:textId="77777777" w:rsidR="00E408FD" w:rsidRDefault="00E408FD" w:rsidP="00E408FD">
      <w:pPr>
        <w:pStyle w:val="NormalWeb"/>
        <w:ind w:firstLine="720"/>
        <w:jc w:val="both"/>
      </w:pPr>
    </w:p>
    <w:p w14:paraId="31A83D05" w14:textId="77777777" w:rsidR="00C76818" w:rsidRDefault="00C76818">
      <w:pPr>
        <w:rPr>
          <w:rFonts w:ascii="Times New Roman" w:hAnsi="Times New Roman"/>
          <w:b/>
          <w:bCs/>
          <w:kern w:val="0"/>
          <w:sz w:val="24"/>
          <w:szCs w:val="24"/>
          <w:lang w:val="en-US"/>
          <w14:ligatures w14:val="none"/>
        </w:rPr>
      </w:pPr>
      <w:r>
        <w:rPr>
          <w:b/>
          <w:bCs/>
          <w:szCs w:val="24"/>
        </w:rPr>
        <w:br w:type="page"/>
      </w:r>
    </w:p>
    <w:p w14:paraId="116CAFF6" w14:textId="359F0C51" w:rsidR="00DD5FEA" w:rsidRPr="00C76818" w:rsidRDefault="00DD5FEA" w:rsidP="00DD5FEA">
      <w:pPr>
        <w:pStyle w:val="NoSpacing"/>
        <w:jc w:val="center"/>
        <w:rPr>
          <w:rFonts w:ascii="Arial" w:hAnsi="Arial" w:cs="Arial"/>
          <w:b/>
          <w:bCs/>
          <w:szCs w:val="24"/>
        </w:rPr>
      </w:pPr>
      <w:r w:rsidRPr="00C76818">
        <w:rPr>
          <w:rFonts w:ascii="Arial" w:hAnsi="Arial" w:cs="Arial"/>
          <w:b/>
          <w:bCs/>
          <w:szCs w:val="24"/>
        </w:rPr>
        <w:lastRenderedPageBreak/>
        <w:t>Plate 1</w:t>
      </w:r>
    </w:p>
    <w:p w14:paraId="11A7371A" w14:textId="5D51A460" w:rsidR="00DD5FEA" w:rsidRPr="00C76818" w:rsidRDefault="00DD5FEA" w:rsidP="00DD5FEA">
      <w:pPr>
        <w:pStyle w:val="NoSpacing"/>
        <w:jc w:val="center"/>
        <w:rPr>
          <w:rFonts w:ascii="Arial" w:hAnsi="Arial" w:cs="Arial"/>
          <w:i/>
          <w:iCs/>
          <w:szCs w:val="24"/>
        </w:rPr>
      </w:pPr>
      <w:r w:rsidRPr="00C76818">
        <w:rPr>
          <w:rFonts w:ascii="Arial" w:hAnsi="Arial" w:cs="Arial"/>
          <w:b/>
          <w:bCs/>
          <w:szCs w:val="24"/>
        </w:rPr>
        <w:t xml:space="preserve">Toxic Effect of Fungicide on Selected Organs of </w:t>
      </w:r>
      <w:r w:rsidRPr="00C76818">
        <w:rPr>
          <w:rFonts w:ascii="Arial" w:hAnsi="Arial" w:cs="Arial"/>
          <w:b/>
          <w:bCs/>
          <w:i/>
          <w:iCs/>
          <w:szCs w:val="24"/>
        </w:rPr>
        <w:t>Tilapia</w:t>
      </w:r>
    </w:p>
    <w:p w14:paraId="56F9A5E7" w14:textId="77777777" w:rsidR="00DD5FEA" w:rsidRPr="00DD5FEA" w:rsidRDefault="00DD5FEA" w:rsidP="00DD5FEA">
      <w:pPr>
        <w:pStyle w:val="NoSpacing"/>
        <w:rPr>
          <w:szCs w:val="24"/>
        </w:rPr>
      </w:pPr>
    </w:p>
    <w:p w14:paraId="425E775E" w14:textId="77777777" w:rsidR="00DD5FEA" w:rsidRDefault="00DD5FEA" w:rsidP="00DD5FEA">
      <w:pPr>
        <w:pStyle w:val="NoSpacing"/>
        <w:rPr>
          <w:noProof/>
        </w:rPr>
      </w:pPr>
      <w:r>
        <w:rPr>
          <w:noProof/>
        </w:rPr>
        <w:drawing>
          <wp:anchor distT="0" distB="0" distL="114300" distR="114300" simplePos="0" relativeHeight="251659264" behindDoc="1" locked="0" layoutInCell="1" allowOverlap="1" wp14:anchorId="20C2B562" wp14:editId="68B523A0">
            <wp:simplePos x="0" y="0"/>
            <wp:positionH relativeFrom="margin">
              <wp:posOffset>19050</wp:posOffset>
            </wp:positionH>
            <wp:positionV relativeFrom="paragraph">
              <wp:posOffset>2618740</wp:posOffset>
            </wp:positionV>
            <wp:extent cx="2468880" cy="2066925"/>
            <wp:effectExtent l="19050" t="19050" r="26670" b="28575"/>
            <wp:wrapTight wrapText="bothSides">
              <wp:wrapPolygon edited="0">
                <wp:start x="-167" y="-199"/>
                <wp:lineTo x="-167" y="21700"/>
                <wp:lineTo x="21667" y="21700"/>
                <wp:lineTo x="21667" y="-199"/>
                <wp:lineTo x="-167" y="-1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 b="2017"/>
                    <a:stretch/>
                  </pic:blipFill>
                  <pic:spPr bwMode="auto">
                    <a:xfrm>
                      <a:off x="0" y="0"/>
                      <a:ext cx="2468880" cy="206692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824A5B8" wp14:editId="00F6293D">
            <wp:simplePos x="0" y="0"/>
            <wp:positionH relativeFrom="margin">
              <wp:posOffset>3235960</wp:posOffset>
            </wp:positionH>
            <wp:positionV relativeFrom="paragraph">
              <wp:posOffset>2576830</wp:posOffset>
            </wp:positionV>
            <wp:extent cx="2468880" cy="2054225"/>
            <wp:effectExtent l="19050" t="19050" r="26670" b="22225"/>
            <wp:wrapTight wrapText="bothSides">
              <wp:wrapPolygon edited="0">
                <wp:start x="-167" y="-200"/>
                <wp:lineTo x="-167" y="21633"/>
                <wp:lineTo x="21667" y="21633"/>
                <wp:lineTo x="21667" y="-200"/>
                <wp:lineTo x="-167" y="-2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20542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E98AEC5" wp14:editId="4275C2D0">
            <wp:simplePos x="0" y="0"/>
            <wp:positionH relativeFrom="margin">
              <wp:posOffset>19050</wp:posOffset>
            </wp:positionH>
            <wp:positionV relativeFrom="paragraph">
              <wp:posOffset>5114290</wp:posOffset>
            </wp:positionV>
            <wp:extent cx="2457450" cy="1933575"/>
            <wp:effectExtent l="19050" t="19050" r="19050" b="28575"/>
            <wp:wrapTight wrapText="bothSides">
              <wp:wrapPolygon edited="0">
                <wp:start x="-167" y="-213"/>
                <wp:lineTo x="-167" y="21706"/>
                <wp:lineTo x="21600" y="21706"/>
                <wp:lineTo x="21600" y="-213"/>
                <wp:lineTo x="-167" y="-2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9335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ABF85B2" wp14:editId="6078D93A">
            <wp:simplePos x="0" y="0"/>
            <wp:positionH relativeFrom="column">
              <wp:posOffset>0</wp:posOffset>
            </wp:positionH>
            <wp:positionV relativeFrom="paragraph">
              <wp:posOffset>109855</wp:posOffset>
            </wp:positionV>
            <wp:extent cx="2468245" cy="2105025"/>
            <wp:effectExtent l="19050" t="19050" r="27305" b="28575"/>
            <wp:wrapTight wrapText="bothSides">
              <wp:wrapPolygon edited="0">
                <wp:start x="-167" y="-195"/>
                <wp:lineTo x="-167" y="21698"/>
                <wp:lineTo x="21672" y="21698"/>
                <wp:lineTo x="21672" y="-195"/>
                <wp:lineTo x="-167" y="-19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0"/>
                    <a:stretch/>
                  </pic:blipFill>
                  <pic:spPr bwMode="auto">
                    <a:xfrm>
                      <a:off x="0" y="0"/>
                      <a:ext cx="2468245" cy="210502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7325E90" wp14:editId="026281A6">
            <wp:simplePos x="0" y="0"/>
            <wp:positionH relativeFrom="margin">
              <wp:posOffset>3274060</wp:posOffset>
            </wp:positionH>
            <wp:positionV relativeFrom="paragraph">
              <wp:posOffset>119380</wp:posOffset>
            </wp:positionV>
            <wp:extent cx="2438400" cy="2027555"/>
            <wp:effectExtent l="19050" t="19050" r="19050" b="10795"/>
            <wp:wrapTight wrapText="bothSides">
              <wp:wrapPolygon edited="0">
                <wp:start x="-169" y="-203"/>
                <wp:lineTo x="-169" y="21512"/>
                <wp:lineTo x="21600" y="21512"/>
                <wp:lineTo x="21600" y="-203"/>
                <wp:lineTo x="-169" y="-2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2024"/>
                    <a:stretch/>
                  </pic:blipFill>
                  <pic:spPr bwMode="auto">
                    <a:xfrm>
                      <a:off x="0" y="0"/>
                      <a:ext cx="2438400" cy="202755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632EE" w14:textId="77777777" w:rsidR="00DD5FEA" w:rsidRDefault="00DD5FEA" w:rsidP="00DD5FEA">
      <w:pPr>
        <w:pStyle w:val="NoSpacing"/>
        <w:rPr>
          <w:sz w:val="36"/>
          <w:szCs w:val="36"/>
        </w:rPr>
      </w:pPr>
    </w:p>
    <w:p w14:paraId="17ACAFE0" w14:textId="77777777" w:rsidR="00DD5FEA" w:rsidRDefault="00DD5FEA" w:rsidP="00DD5FEA">
      <w:pPr>
        <w:pStyle w:val="NoSpacing"/>
        <w:rPr>
          <w:sz w:val="36"/>
          <w:szCs w:val="36"/>
        </w:rPr>
      </w:pPr>
    </w:p>
    <w:p w14:paraId="56E3EEED" w14:textId="77777777" w:rsidR="00DD5FEA" w:rsidRDefault="00DD5FEA" w:rsidP="00DD5FEA">
      <w:pPr>
        <w:pStyle w:val="NoSpacing"/>
        <w:rPr>
          <w:noProof/>
        </w:rPr>
      </w:pPr>
    </w:p>
    <w:p w14:paraId="0151F00A" w14:textId="77777777" w:rsidR="00DD5FEA" w:rsidRDefault="00DD5FEA" w:rsidP="00DD5FEA">
      <w:pPr>
        <w:pStyle w:val="NoSpacing"/>
        <w:rPr>
          <w:sz w:val="36"/>
          <w:szCs w:val="36"/>
        </w:rPr>
      </w:pPr>
    </w:p>
    <w:p w14:paraId="3F725F5D" w14:textId="77777777" w:rsidR="00DD5FEA" w:rsidRDefault="00DD5FEA" w:rsidP="00DD5FEA">
      <w:pPr>
        <w:pStyle w:val="NoSpacing"/>
        <w:rPr>
          <w:sz w:val="36"/>
          <w:szCs w:val="36"/>
        </w:rPr>
      </w:pPr>
    </w:p>
    <w:p w14:paraId="21C14150" w14:textId="77777777" w:rsidR="00DD5FEA" w:rsidRDefault="00DD5FEA" w:rsidP="00DD5FEA">
      <w:pPr>
        <w:pStyle w:val="NoSpacing"/>
        <w:rPr>
          <w:noProof/>
        </w:rPr>
      </w:pPr>
    </w:p>
    <w:p w14:paraId="0DF366CB" w14:textId="77777777" w:rsidR="00DD5FEA" w:rsidRDefault="00DD5FEA" w:rsidP="00DD5FEA">
      <w:pPr>
        <w:pStyle w:val="NoSpacing"/>
        <w:rPr>
          <w:noProof/>
        </w:rPr>
      </w:pPr>
    </w:p>
    <w:p w14:paraId="4DBB2D39" w14:textId="1C240EBC" w:rsidR="00DD5FEA" w:rsidRPr="005B28F8" w:rsidRDefault="00DD5FEA" w:rsidP="00DD5FEA">
      <w:pPr>
        <w:pStyle w:val="NoSpacing"/>
        <w:rPr>
          <w:sz w:val="36"/>
          <w:szCs w:val="36"/>
        </w:rPr>
      </w:pPr>
      <w:r>
        <w:rPr>
          <w:noProof/>
          <w:sz w:val="36"/>
          <w:szCs w:val="36"/>
        </w:rPr>
        <mc:AlternateContent>
          <mc:Choice Requires="wps">
            <w:drawing>
              <wp:anchor distT="0" distB="0" distL="114300" distR="114300" simplePos="0" relativeHeight="251670528" behindDoc="0" locked="0" layoutInCell="1" allowOverlap="1" wp14:anchorId="74B42FA6" wp14:editId="4A77EEB6">
                <wp:simplePos x="0" y="0"/>
                <wp:positionH relativeFrom="column">
                  <wp:posOffset>5342890</wp:posOffset>
                </wp:positionH>
                <wp:positionV relativeFrom="paragraph">
                  <wp:posOffset>4961890</wp:posOffset>
                </wp:positionV>
                <wp:extent cx="35242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183B2FD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B42FA6" id="_x0000_t202" coordsize="21600,21600" o:spt="202" path="m,l,21600r21600,l21600,xe">
                <v:stroke joinstyle="miter"/>
                <v:path gradientshapeok="t" o:connecttype="rect"/>
              </v:shapetype>
              <v:shape id="Text Box 13" o:spid="_x0000_s1026" type="#_x0000_t202" style="position:absolute;margin-left:420.7pt;margin-top:390.7pt;width:27.7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" fillcolor="white [3201]" strokeweight=".5pt">
                <v:textbox>
                  <w:txbxContent>
                    <w:p w14:paraId="183B2FD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F</w:t>
                      </w:r>
                    </w:p>
                  </w:txbxContent>
                </v:textbox>
              </v:shape>
            </w:pict>
          </mc:Fallback>
        </mc:AlternateContent>
      </w:r>
      <w:r>
        <w:rPr>
          <w:noProof/>
          <w:sz w:val="36"/>
          <w:szCs w:val="36"/>
        </w:rPr>
        <mc:AlternateContent>
          <mc:Choice Requires="wps">
            <w:drawing>
              <wp:anchor distT="0" distB="0" distL="114300" distR="114300" simplePos="0" relativeHeight="251669504" behindDoc="0" locked="0" layoutInCell="1" allowOverlap="1" wp14:anchorId="5100CBF4" wp14:editId="269D3D0A">
                <wp:simplePos x="0" y="0"/>
                <wp:positionH relativeFrom="column">
                  <wp:posOffset>5352415</wp:posOffset>
                </wp:positionH>
                <wp:positionV relativeFrom="paragraph">
                  <wp:posOffset>2561590</wp:posOffset>
                </wp:positionV>
                <wp:extent cx="352425" cy="323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50D7017B"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0CBF4" id="Text Box 12" o:spid="_x0000_s1027" type="#_x0000_t202" style="position:absolute;margin-left:421.45pt;margin-top:201.7pt;width:27.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OcNw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" fillcolor="white [3201]" strokeweight=".5pt">
                <v:textbox>
                  <w:txbxContent>
                    <w:p w14:paraId="50D7017B"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E</w:t>
                      </w:r>
                    </w:p>
                  </w:txbxContent>
                </v:textbox>
              </v:shape>
            </w:pict>
          </mc:Fallback>
        </mc:AlternateContent>
      </w:r>
      <w:r>
        <w:rPr>
          <w:noProof/>
          <w:sz w:val="36"/>
          <w:szCs w:val="36"/>
        </w:rPr>
        <mc:AlternateContent>
          <mc:Choice Requires="wps">
            <w:drawing>
              <wp:anchor distT="0" distB="0" distL="114300" distR="114300" simplePos="0" relativeHeight="251668480" behindDoc="0" locked="0" layoutInCell="1" allowOverlap="1" wp14:anchorId="793B6399" wp14:editId="7668E2E8">
                <wp:simplePos x="0" y="0"/>
                <wp:positionH relativeFrom="column">
                  <wp:posOffset>5351145</wp:posOffset>
                </wp:positionH>
                <wp:positionV relativeFrom="paragraph">
                  <wp:posOffset>74295</wp:posOffset>
                </wp:positionV>
                <wp:extent cx="352425" cy="3238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0C8FE4CE"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B6399" id="Text Box 11" o:spid="_x0000_s1028" type="#_x0000_t202" style="position:absolute;margin-left:421.35pt;margin-top:5.85pt;width:27.7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I4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" fillcolor="white [3201]" strokeweight=".5pt">
                <v:textbox>
                  <w:txbxContent>
                    <w:p w14:paraId="0C8FE4CE"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D</w:t>
                      </w:r>
                    </w:p>
                  </w:txbxContent>
                </v:textbox>
              </v:shape>
            </w:pict>
          </mc:Fallback>
        </mc:AlternateContent>
      </w:r>
      <w:r>
        <w:rPr>
          <w:noProof/>
          <w:sz w:val="36"/>
          <w:szCs w:val="36"/>
        </w:rPr>
        <mc:AlternateContent>
          <mc:Choice Requires="wps">
            <w:drawing>
              <wp:anchor distT="0" distB="0" distL="114300" distR="114300" simplePos="0" relativeHeight="251667456" behindDoc="0" locked="0" layoutInCell="1" allowOverlap="1" wp14:anchorId="30D5E813" wp14:editId="1934FC3E">
                <wp:simplePos x="0" y="0"/>
                <wp:positionH relativeFrom="column">
                  <wp:posOffset>8890</wp:posOffset>
                </wp:positionH>
                <wp:positionV relativeFrom="paragraph">
                  <wp:posOffset>4980940</wp:posOffset>
                </wp:positionV>
                <wp:extent cx="352425" cy="3238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26D2922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5E813" id="Text Box 10" o:spid="_x0000_s1029" type="#_x0000_t202" style="position:absolute;margin-left:.7pt;margin-top:392.2pt;width:27.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3t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" fillcolor="white [3201]" strokeweight=".5pt">
                <v:textbox>
                  <w:txbxContent>
                    <w:p w14:paraId="26D2922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C</w:t>
                      </w:r>
                    </w:p>
                  </w:txbxContent>
                </v:textbox>
              </v:shape>
            </w:pict>
          </mc:Fallback>
        </mc:AlternateContent>
      </w:r>
      <w:r>
        <w:rPr>
          <w:noProof/>
          <w:sz w:val="36"/>
          <w:szCs w:val="36"/>
        </w:rPr>
        <mc:AlternateContent>
          <mc:Choice Requires="wps">
            <w:drawing>
              <wp:anchor distT="0" distB="0" distL="114300" distR="114300" simplePos="0" relativeHeight="251666432" behindDoc="0" locked="0" layoutInCell="1" allowOverlap="1" wp14:anchorId="20BD9A1C" wp14:editId="24CDF7DE">
                <wp:simplePos x="0" y="0"/>
                <wp:positionH relativeFrom="column">
                  <wp:posOffset>18415</wp:posOffset>
                </wp:positionH>
                <wp:positionV relativeFrom="paragraph">
                  <wp:posOffset>2601595</wp:posOffset>
                </wp:positionV>
                <wp:extent cx="352425" cy="3238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74EC6BC9"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D9A1C" id="Text Box 9" o:spid="_x0000_s1030" type="#_x0000_t202" style="position:absolute;margin-left:1.45pt;margin-top:204.85pt;width:27.7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q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" fillcolor="white [3201]" strokeweight=".5pt">
                <v:textbox>
                  <w:txbxContent>
                    <w:p w14:paraId="74EC6BC9"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14:anchorId="0CAAD55F" wp14:editId="10C84933">
                <wp:simplePos x="0" y="0"/>
                <wp:positionH relativeFrom="margin">
                  <wp:align>left</wp:align>
                </wp:positionH>
                <wp:positionV relativeFrom="paragraph">
                  <wp:posOffset>142240</wp:posOffset>
                </wp:positionV>
                <wp:extent cx="35242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0E999B37" w14:textId="77777777" w:rsidR="00DD5FEA" w:rsidRPr="008A1C2D" w:rsidRDefault="00DD5FEA" w:rsidP="00DD5FEA">
                            <w:pPr>
                              <w:jc w:val="center"/>
                              <w:rPr>
                                <w:rFonts w:ascii="Times New Roman" w:hAnsi="Times New Roman" w:cs="Times New Roman"/>
                                <w:b/>
                                <w:bCs/>
                                <w:sz w:val="24"/>
                                <w:szCs w:val="24"/>
                              </w:rPr>
                            </w:pPr>
                            <w:r w:rsidRPr="008A1C2D">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AD55F" id="Text Box 7" o:spid="_x0000_s1031" type="#_x0000_t202" style="position:absolute;margin-left:0;margin-top:11.2pt;width:27.75pt;height:25.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9/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" fillcolor="white [3201]" strokeweight=".5pt">
                <v:textbox>
                  <w:txbxContent>
                    <w:p w14:paraId="0E999B37" w14:textId="77777777" w:rsidR="00DD5FEA" w:rsidRPr="008A1C2D" w:rsidRDefault="00DD5FEA" w:rsidP="00DD5FEA">
                      <w:pPr>
                        <w:jc w:val="center"/>
                        <w:rPr>
                          <w:rFonts w:ascii="Times New Roman" w:hAnsi="Times New Roman" w:cs="Times New Roman"/>
                          <w:b/>
                          <w:bCs/>
                          <w:sz w:val="24"/>
                          <w:szCs w:val="24"/>
                        </w:rPr>
                      </w:pPr>
                      <w:r w:rsidRPr="008A1C2D">
                        <w:rPr>
                          <w:rFonts w:ascii="Times New Roman" w:hAnsi="Times New Roman" w:cs="Times New Roman"/>
                          <w:b/>
                          <w:bCs/>
                          <w:sz w:val="24"/>
                          <w:szCs w:val="24"/>
                        </w:rPr>
                        <w:t>A</w:t>
                      </w:r>
                    </w:p>
                  </w:txbxContent>
                </v:textbox>
                <w10:wrap anchorx="margin"/>
              </v:shape>
            </w:pict>
          </mc:Fallback>
        </mc:AlternateContent>
      </w:r>
      <w:r>
        <w:rPr>
          <w:noProof/>
        </w:rPr>
        <w:drawing>
          <wp:anchor distT="0" distB="0" distL="114300" distR="114300" simplePos="0" relativeHeight="251664384" behindDoc="1" locked="0" layoutInCell="1" allowOverlap="1" wp14:anchorId="6EACD908" wp14:editId="780EE7E3">
            <wp:simplePos x="0" y="0"/>
            <wp:positionH relativeFrom="margin">
              <wp:posOffset>3216910</wp:posOffset>
            </wp:positionH>
            <wp:positionV relativeFrom="paragraph">
              <wp:posOffset>3395980</wp:posOffset>
            </wp:positionV>
            <wp:extent cx="2486025" cy="1905000"/>
            <wp:effectExtent l="19050" t="19050" r="28575" b="19050"/>
            <wp:wrapTight wrapText="bothSides">
              <wp:wrapPolygon edited="0">
                <wp:start x="-166" y="-216"/>
                <wp:lineTo x="-166" y="21600"/>
                <wp:lineTo x="21683" y="21600"/>
                <wp:lineTo x="21683" y="-216"/>
                <wp:lineTo x="-166" y="-2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905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67C5868A" w14:textId="77777777" w:rsidR="00E408FD" w:rsidRPr="00DD5FEA" w:rsidRDefault="00E408FD" w:rsidP="00E408FD">
      <w:pPr>
        <w:pStyle w:val="NormalWeb"/>
        <w:ind w:firstLine="720"/>
        <w:jc w:val="both"/>
        <w:rPr>
          <w:lang w:val="en-US"/>
        </w:rPr>
      </w:pPr>
    </w:p>
    <w:p w14:paraId="2B5D180D" w14:textId="77777777" w:rsidR="00B11BA4" w:rsidRDefault="00B11BA4" w:rsidP="00B11BA4">
      <w:pPr>
        <w:pStyle w:val="NormalWeb"/>
        <w:jc w:val="both"/>
      </w:pPr>
    </w:p>
    <w:p w14:paraId="6C03DE5C" w14:textId="3CA24577" w:rsidR="00B11BA4" w:rsidRDefault="00B11BA4" w:rsidP="00B11BA4">
      <w:pPr>
        <w:pStyle w:val="NormalWeb"/>
        <w:jc w:val="both"/>
      </w:pPr>
    </w:p>
    <w:p w14:paraId="73EE176A" w14:textId="6B764FB4" w:rsidR="002618A4" w:rsidRDefault="002618A4" w:rsidP="00B11BA4">
      <w:pPr>
        <w:jc w:val="both"/>
        <w:rPr>
          <w:rFonts w:ascii="Times New Roman" w:hAnsi="Times New Roman" w:cs="Times New Roman"/>
          <w:sz w:val="24"/>
          <w:szCs w:val="24"/>
        </w:rPr>
      </w:pPr>
    </w:p>
    <w:p w14:paraId="3CDC5897" w14:textId="77777777" w:rsidR="00DD5FEA" w:rsidRDefault="00DD5FEA" w:rsidP="00B11BA4">
      <w:pPr>
        <w:jc w:val="both"/>
        <w:rPr>
          <w:rFonts w:ascii="Times New Roman" w:hAnsi="Times New Roman" w:cs="Times New Roman"/>
          <w:sz w:val="24"/>
          <w:szCs w:val="24"/>
        </w:rPr>
      </w:pPr>
    </w:p>
    <w:p w14:paraId="230697B6" w14:textId="77777777" w:rsidR="00DD5FEA" w:rsidRDefault="00DD5FEA" w:rsidP="00B11BA4">
      <w:pPr>
        <w:jc w:val="both"/>
        <w:rPr>
          <w:rFonts w:ascii="Times New Roman" w:hAnsi="Times New Roman" w:cs="Times New Roman"/>
          <w:sz w:val="24"/>
          <w:szCs w:val="24"/>
        </w:rPr>
      </w:pPr>
    </w:p>
    <w:p w14:paraId="72293024" w14:textId="77777777" w:rsidR="00DD5FEA" w:rsidRDefault="00DD5FEA" w:rsidP="00B11BA4">
      <w:pPr>
        <w:jc w:val="both"/>
        <w:rPr>
          <w:rFonts w:ascii="Times New Roman" w:hAnsi="Times New Roman" w:cs="Times New Roman"/>
          <w:sz w:val="24"/>
          <w:szCs w:val="24"/>
        </w:rPr>
      </w:pPr>
    </w:p>
    <w:p w14:paraId="058288CE" w14:textId="77777777" w:rsidR="00DD5FEA" w:rsidRDefault="00DD5FEA" w:rsidP="00B11BA4">
      <w:pPr>
        <w:jc w:val="both"/>
        <w:rPr>
          <w:rFonts w:ascii="Times New Roman" w:hAnsi="Times New Roman" w:cs="Times New Roman"/>
          <w:sz w:val="24"/>
          <w:szCs w:val="24"/>
        </w:rPr>
      </w:pPr>
    </w:p>
    <w:p w14:paraId="1BCB3D3F" w14:textId="77777777" w:rsidR="00DD5FEA" w:rsidRDefault="00DD5FEA" w:rsidP="00B11BA4">
      <w:pPr>
        <w:jc w:val="both"/>
        <w:rPr>
          <w:rFonts w:ascii="Times New Roman" w:hAnsi="Times New Roman" w:cs="Times New Roman"/>
          <w:sz w:val="24"/>
          <w:szCs w:val="24"/>
        </w:rPr>
      </w:pPr>
    </w:p>
    <w:p w14:paraId="1D9DF483" w14:textId="77777777" w:rsidR="00DD5FEA" w:rsidRDefault="00DD5FEA" w:rsidP="00B11BA4">
      <w:pPr>
        <w:jc w:val="both"/>
        <w:rPr>
          <w:rFonts w:ascii="Times New Roman" w:hAnsi="Times New Roman" w:cs="Times New Roman"/>
          <w:sz w:val="24"/>
          <w:szCs w:val="24"/>
        </w:rPr>
      </w:pPr>
    </w:p>
    <w:p w14:paraId="0B212EC4" w14:textId="77777777" w:rsidR="00DD5FEA" w:rsidRDefault="00DD5FEA" w:rsidP="00B11BA4">
      <w:pPr>
        <w:jc w:val="both"/>
        <w:rPr>
          <w:rFonts w:ascii="Times New Roman" w:hAnsi="Times New Roman" w:cs="Times New Roman"/>
          <w:sz w:val="24"/>
          <w:szCs w:val="24"/>
        </w:rPr>
      </w:pPr>
    </w:p>
    <w:p w14:paraId="47521F0B" w14:textId="77777777" w:rsidR="00DD5FEA" w:rsidRDefault="00DD5FEA" w:rsidP="00B11BA4">
      <w:pPr>
        <w:jc w:val="both"/>
        <w:rPr>
          <w:rFonts w:ascii="Times New Roman" w:hAnsi="Times New Roman" w:cs="Times New Roman"/>
          <w:sz w:val="24"/>
          <w:szCs w:val="24"/>
        </w:rPr>
      </w:pPr>
    </w:p>
    <w:p w14:paraId="5A7F9CB1" w14:textId="77777777" w:rsidR="00DD5FEA" w:rsidRDefault="00DD5FEA" w:rsidP="00B11BA4">
      <w:pPr>
        <w:jc w:val="both"/>
        <w:rPr>
          <w:rFonts w:ascii="Times New Roman" w:hAnsi="Times New Roman" w:cs="Times New Roman"/>
          <w:sz w:val="24"/>
          <w:szCs w:val="24"/>
        </w:rPr>
      </w:pPr>
    </w:p>
    <w:p w14:paraId="7DA67D14" w14:textId="77777777" w:rsidR="00DD5FEA" w:rsidRDefault="00DD5FEA" w:rsidP="00B11BA4">
      <w:pPr>
        <w:jc w:val="both"/>
        <w:rPr>
          <w:rFonts w:ascii="Times New Roman" w:hAnsi="Times New Roman" w:cs="Times New Roman"/>
          <w:sz w:val="24"/>
          <w:szCs w:val="24"/>
        </w:rPr>
      </w:pPr>
    </w:p>
    <w:p w14:paraId="21657C66" w14:textId="77777777" w:rsidR="00DD5FEA" w:rsidRDefault="00DD5FEA" w:rsidP="00B11BA4">
      <w:pPr>
        <w:jc w:val="both"/>
        <w:rPr>
          <w:rFonts w:ascii="Times New Roman" w:hAnsi="Times New Roman" w:cs="Times New Roman"/>
          <w:sz w:val="24"/>
          <w:szCs w:val="24"/>
        </w:rPr>
      </w:pPr>
    </w:p>
    <w:p w14:paraId="4874B278" w14:textId="77777777" w:rsidR="00DD5FEA" w:rsidRDefault="00DD5FEA" w:rsidP="00B11BA4">
      <w:pPr>
        <w:jc w:val="both"/>
        <w:rPr>
          <w:rFonts w:ascii="Times New Roman" w:hAnsi="Times New Roman" w:cs="Times New Roman"/>
          <w:sz w:val="24"/>
          <w:szCs w:val="24"/>
        </w:rPr>
      </w:pPr>
    </w:p>
    <w:p w14:paraId="637405EC" w14:textId="4FC446AF" w:rsidR="00DD5FEA" w:rsidRDefault="000D3906" w:rsidP="00B11BA4">
      <w:pPr>
        <w:jc w:val="both"/>
        <w:rPr>
          <w:rFonts w:ascii="Times New Roman" w:hAnsi="Times New Roman" w:cs="Times New Roman"/>
          <w:sz w:val="24"/>
          <w:szCs w:val="24"/>
        </w:rPr>
      </w:pPr>
      <w:r>
        <w:rPr>
          <w:noProof/>
          <w:sz w:val="36"/>
          <w:szCs w:val="36"/>
        </w:rPr>
        <mc:AlternateContent>
          <mc:Choice Requires="wps">
            <w:drawing>
              <wp:anchor distT="0" distB="0" distL="114300" distR="114300" simplePos="0" relativeHeight="251672576" behindDoc="0" locked="0" layoutInCell="1" allowOverlap="1" wp14:anchorId="18146DC9" wp14:editId="5AA88554">
                <wp:simplePos x="0" y="0"/>
                <wp:positionH relativeFrom="column">
                  <wp:posOffset>3000375</wp:posOffset>
                </wp:positionH>
                <wp:positionV relativeFrom="paragraph">
                  <wp:posOffset>148590</wp:posOffset>
                </wp:positionV>
                <wp:extent cx="2762250" cy="857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762250" cy="857250"/>
                        </a:xfrm>
                        <a:prstGeom prst="rect">
                          <a:avLst/>
                        </a:prstGeom>
                        <a:solidFill>
                          <a:schemeClr val="lt1"/>
                        </a:solidFill>
                        <a:ln w="6350">
                          <a:solidFill>
                            <a:prstClr val="black"/>
                          </a:solidFill>
                        </a:ln>
                      </wps:spPr>
                      <wps:txbx>
                        <w:txbxContent>
                          <w:p w14:paraId="671605E7" w14:textId="64E8819A"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D</w:t>
                            </w:r>
                            <w:r w:rsidR="00DD5FEA" w:rsidRPr="007939C2">
                              <w:rPr>
                                <w:rFonts w:ascii="Arial" w:hAnsi="Arial" w:cs="Arial"/>
                              </w:rPr>
                              <w:t xml:space="preserve"> – Control </w:t>
                            </w:r>
                            <w:r w:rsidR="00DD5FEA">
                              <w:rPr>
                                <w:rFonts w:ascii="Arial" w:hAnsi="Arial" w:cs="Arial"/>
                              </w:rPr>
                              <w:t>Gill</w:t>
                            </w:r>
                            <w:r w:rsidR="00DD5FEA" w:rsidRPr="007939C2">
                              <w:rPr>
                                <w:rFonts w:ascii="Arial" w:hAnsi="Arial" w:cs="Arial"/>
                              </w:rPr>
                              <w:tab/>
                            </w:r>
                          </w:p>
                          <w:p w14:paraId="52ED4BC1" w14:textId="0FD714DC" w:rsidR="00DD5FEA" w:rsidRPr="000D3906" w:rsidRDefault="00794030" w:rsidP="00DD5FEA">
                            <w:pPr>
                              <w:rPr>
                                <w:rFonts w:ascii="Arial" w:hAnsi="Arial" w:cs="Arial"/>
                                <w:color w:val="FFFFFF" w:themeColor="background1"/>
                                <w14:textFill>
                                  <w14:noFill/>
                                </w14:textFill>
                              </w:rPr>
                            </w:pPr>
                            <w:r>
                              <w:rPr>
                                <w:rFonts w:ascii="Arial" w:hAnsi="Arial" w:cs="Arial"/>
                              </w:rPr>
                              <w:t xml:space="preserve">Fig </w:t>
                            </w:r>
                            <w:r w:rsidR="00DD5FEA">
                              <w:rPr>
                                <w:rFonts w:ascii="Arial" w:hAnsi="Arial" w:cs="Arial"/>
                              </w:rPr>
                              <w:t>E</w:t>
                            </w:r>
                            <w:r w:rsidR="00DD5FEA" w:rsidRPr="007939C2">
                              <w:rPr>
                                <w:rFonts w:ascii="Arial" w:hAnsi="Arial" w:cs="Arial"/>
                              </w:rPr>
                              <w:t xml:space="preserve"> – </w:t>
                            </w:r>
                            <w:r w:rsidR="00DD5FEA">
                              <w:rPr>
                                <w:rFonts w:ascii="Arial" w:hAnsi="Arial" w:cs="Arial"/>
                              </w:rPr>
                              <w:t>Low Conc. Fungicide-Treat</w:t>
                            </w:r>
                            <w:r w:rsidR="00DD5FEA" w:rsidRPr="007939C2">
                              <w:rPr>
                                <w:rFonts w:ascii="Arial" w:hAnsi="Arial" w:cs="Arial"/>
                              </w:rPr>
                              <w:t xml:space="preserve"> </w:t>
                            </w:r>
                            <w:r w:rsidR="00DD5FEA">
                              <w:rPr>
                                <w:rFonts w:ascii="Arial" w:hAnsi="Arial" w:cs="Arial"/>
                              </w:rPr>
                              <w:t>Gill</w:t>
                            </w:r>
                            <w:r w:rsidR="00DD5FEA" w:rsidRPr="007939C2">
                              <w:rPr>
                                <w:rFonts w:ascii="Arial" w:hAnsi="Arial" w:cs="Arial"/>
                              </w:rPr>
                              <w:t xml:space="preserve"> </w:t>
                            </w:r>
                          </w:p>
                          <w:p w14:paraId="748006F9" w14:textId="0DCD5BE3"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F</w:t>
                            </w:r>
                            <w:r w:rsidR="00DD5FEA" w:rsidRPr="007939C2">
                              <w:rPr>
                                <w:rFonts w:ascii="Arial" w:hAnsi="Arial" w:cs="Arial"/>
                              </w:rPr>
                              <w:t xml:space="preserve"> –</w:t>
                            </w:r>
                            <w:r w:rsidR="00DD5FEA">
                              <w:rPr>
                                <w:rFonts w:ascii="Arial" w:hAnsi="Arial" w:cs="Arial"/>
                              </w:rPr>
                              <w:t xml:space="preserve"> High Conc. Fungicide-Treated Gill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6DC9" id="Text Box 15" o:spid="_x0000_s1032" type="#_x0000_t202" style="position:absolute;left:0;text-align:left;margin-left:236.25pt;margin-top:11.7pt;width:217.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4WNwIAAIM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" fillcolor="white [3201]" strokeweight=".5pt">
                <v:textbox>
                  <w:txbxContent>
                    <w:p w14:paraId="671605E7" w14:textId="64E8819A"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D</w:t>
                      </w:r>
                      <w:r w:rsidR="00DD5FEA" w:rsidRPr="007939C2">
                        <w:rPr>
                          <w:rFonts w:ascii="Arial" w:hAnsi="Arial" w:cs="Arial"/>
                        </w:rPr>
                        <w:t xml:space="preserve"> – Control </w:t>
                      </w:r>
                      <w:r w:rsidR="00DD5FEA">
                        <w:rPr>
                          <w:rFonts w:ascii="Arial" w:hAnsi="Arial" w:cs="Arial"/>
                        </w:rPr>
                        <w:t>Gill</w:t>
                      </w:r>
                      <w:r w:rsidR="00DD5FEA" w:rsidRPr="007939C2">
                        <w:rPr>
                          <w:rFonts w:ascii="Arial" w:hAnsi="Arial" w:cs="Arial"/>
                        </w:rPr>
                        <w:tab/>
                      </w:r>
                    </w:p>
                    <w:p w14:paraId="52ED4BC1" w14:textId="0FD714DC" w:rsidR="00DD5FEA" w:rsidRPr="000D3906" w:rsidRDefault="00794030" w:rsidP="00DD5FEA">
                      <w:pPr>
                        <w:rPr>
                          <w:rFonts w:ascii="Arial" w:hAnsi="Arial" w:cs="Arial"/>
                          <w:color w:val="FFFFFF" w:themeColor="background1"/>
                          <w14:textFill>
                            <w14:noFill/>
                          </w14:textFill>
                        </w:rPr>
                      </w:pPr>
                      <w:r>
                        <w:rPr>
                          <w:rFonts w:ascii="Arial" w:hAnsi="Arial" w:cs="Arial"/>
                        </w:rPr>
                        <w:t xml:space="preserve">Fig </w:t>
                      </w:r>
                      <w:r w:rsidR="00DD5FEA">
                        <w:rPr>
                          <w:rFonts w:ascii="Arial" w:hAnsi="Arial" w:cs="Arial"/>
                        </w:rPr>
                        <w:t>E</w:t>
                      </w:r>
                      <w:r w:rsidR="00DD5FEA" w:rsidRPr="007939C2">
                        <w:rPr>
                          <w:rFonts w:ascii="Arial" w:hAnsi="Arial" w:cs="Arial"/>
                        </w:rPr>
                        <w:t xml:space="preserve"> – </w:t>
                      </w:r>
                      <w:r w:rsidR="00DD5FEA">
                        <w:rPr>
                          <w:rFonts w:ascii="Arial" w:hAnsi="Arial" w:cs="Arial"/>
                        </w:rPr>
                        <w:t>Low Conc. Fungicide-Treat</w:t>
                      </w:r>
                      <w:r w:rsidR="00DD5FEA" w:rsidRPr="007939C2">
                        <w:rPr>
                          <w:rFonts w:ascii="Arial" w:hAnsi="Arial" w:cs="Arial"/>
                        </w:rPr>
                        <w:t xml:space="preserve"> </w:t>
                      </w:r>
                      <w:r w:rsidR="00DD5FEA">
                        <w:rPr>
                          <w:rFonts w:ascii="Arial" w:hAnsi="Arial" w:cs="Arial"/>
                        </w:rPr>
                        <w:t>Gill</w:t>
                      </w:r>
                      <w:r w:rsidR="00DD5FEA" w:rsidRPr="007939C2">
                        <w:rPr>
                          <w:rFonts w:ascii="Arial" w:hAnsi="Arial" w:cs="Arial"/>
                        </w:rPr>
                        <w:t xml:space="preserve"> </w:t>
                      </w:r>
                    </w:p>
                    <w:p w14:paraId="748006F9" w14:textId="0DCD5BE3"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F</w:t>
                      </w:r>
                      <w:r w:rsidR="00DD5FEA" w:rsidRPr="007939C2">
                        <w:rPr>
                          <w:rFonts w:ascii="Arial" w:hAnsi="Arial" w:cs="Arial"/>
                        </w:rPr>
                        <w:t xml:space="preserve"> –</w:t>
                      </w:r>
                      <w:r w:rsidR="00DD5FEA">
                        <w:rPr>
                          <w:rFonts w:ascii="Arial" w:hAnsi="Arial" w:cs="Arial"/>
                        </w:rPr>
                        <w:t xml:space="preserve"> High Conc. Fungicide-Treated Gill</w:t>
                      </w:r>
                    </w:p>
                  </w:txbxContent>
                </v:textbox>
              </v:shape>
            </w:pict>
          </mc:Fallback>
        </mc:AlternateContent>
      </w:r>
      <w:r>
        <w:rPr>
          <w:noProof/>
          <w:sz w:val="36"/>
          <w:szCs w:val="36"/>
        </w:rPr>
        <mc:AlternateContent>
          <mc:Choice Requires="wps">
            <w:drawing>
              <wp:anchor distT="0" distB="0" distL="114300" distR="114300" simplePos="0" relativeHeight="251671552" behindDoc="0" locked="0" layoutInCell="1" allowOverlap="1" wp14:anchorId="275C4D49" wp14:editId="10FC5AE6">
                <wp:simplePos x="0" y="0"/>
                <wp:positionH relativeFrom="column">
                  <wp:posOffset>-47625</wp:posOffset>
                </wp:positionH>
                <wp:positionV relativeFrom="paragraph">
                  <wp:posOffset>148590</wp:posOffset>
                </wp:positionV>
                <wp:extent cx="3124200" cy="8572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124200" cy="857250"/>
                        </a:xfrm>
                        <a:prstGeom prst="rect">
                          <a:avLst/>
                        </a:prstGeom>
                        <a:solidFill>
                          <a:schemeClr val="lt1"/>
                        </a:solidFill>
                        <a:ln w="6350">
                          <a:solidFill>
                            <a:prstClr val="black"/>
                          </a:solidFill>
                        </a:ln>
                      </wps:spPr>
                      <wps:txbx>
                        <w:txbxContent>
                          <w:p w14:paraId="6979BF93" w14:textId="52816F0E"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A – Control Intestine</w:t>
                            </w:r>
                            <w:r w:rsidR="00DD5FEA" w:rsidRPr="007939C2">
                              <w:rPr>
                                <w:rFonts w:ascii="Arial" w:hAnsi="Arial" w:cs="Arial"/>
                              </w:rPr>
                              <w:tab/>
                            </w:r>
                          </w:p>
                          <w:p w14:paraId="7EB749C8" w14:textId="7620BD50"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 xml:space="preserve">B – </w:t>
                            </w:r>
                            <w:r w:rsidR="00DD5FEA">
                              <w:rPr>
                                <w:rFonts w:ascii="Arial" w:hAnsi="Arial" w:cs="Arial"/>
                              </w:rPr>
                              <w:t>Low Conc. Fungicide-Treated</w:t>
                            </w:r>
                            <w:r w:rsidR="00DD5FEA" w:rsidRPr="007939C2">
                              <w:rPr>
                                <w:rFonts w:ascii="Arial" w:hAnsi="Arial" w:cs="Arial"/>
                              </w:rPr>
                              <w:t xml:space="preserve"> Intestine </w:t>
                            </w:r>
                          </w:p>
                          <w:p w14:paraId="589686A0" w14:textId="1FED6669"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C –</w:t>
                            </w:r>
                            <w:r w:rsidR="00DD5FEA">
                              <w:rPr>
                                <w:rFonts w:ascii="Arial" w:hAnsi="Arial" w:cs="Arial"/>
                              </w:rPr>
                              <w:t xml:space="preserve"> High Conc. Fungicide-Treated</w:t>
                            </w:r>
                            <w:r w:rsidR="00DD5FEA" w:rsidRPr="007939C2">
                              <w:rPr>
                                <w:rFonts w:ascii="Arial" w:hAnsi="Arial" w:cs="Arial"/>
                              </w:rPr>
                              <w:t xml:space="preserve"> Intestine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4D49" id="Text Box 14" o:spid="_x0000_s1033" type="#_x0000_t202" style="position:absolute;left:0;text-align:left;margin-left:-3.75pt;margin-top:11.7pt;width:246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" fillcolor="white [3201]" strokeweight=".5pt">
                <v:textbox>
                  <w:txbxContent>
                    <w:p w14:paraId="6979BF93" w14:textId="52816F0E"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A – Control Intestine</w:t>
                      </w:r>
                      <w:r w:rsidR="00DD5FEA" w:rsidRPr="007939C2">
                        <w:rPr>
                          <w:rFonts w:ascii="Arial" w:hAnsi="Arial" w:cs="Arial"/>
                        </w:rPr>
                        <w:tab/>
                      </w:r>
                    </w:p>
                    <w:p w14:paraId="7EB749C8" w14:textId="7620BD50"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 xml:space="preserve">B – </w:t>
                      </w:r>
                      <w:r w:rsidR="00DD5FEA">
                        <w:rPr>
                          <w:rFonts w:ascii="Arial" w:hAnsi="Arial" w:cs="Arial"/>
                        </w:rPr>
                        <w:t>Low Conc. Fungicide-Treated</w:t>
                      </w:r>
                      <w:r w:rsidR="00DD5FEA" w:rsidRPr="007939C2">
                        <w:rPr>
                          <w:rFonts w:ascii="Arial" w:hAnsi="Arial" w:cs="Arial"/>
                        </w:rPr>
                        <w:t xml:space="preserve"> Intestine </w:t>
                      </w:r>
                    </w:p>
                    <w:p w14:paraId="589686A0" w14:textId="1FED6669"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C –</w:t>
                      </w:r>
                      <w:r w:rsidR="00DD5FEA">
                        <w:rPr>
                          <w:rFonts w:ascii="Arial" w:hAnsi="Arial" w:cs="Arial"/>
                        </w:rPr>
                        <w:t xml:space="preserve"> High Conc. Fungicide-Treated</w:t>
                      </w:r>
                      <w:r w:rsidR="00DD5FEA" w:rsidRPr="007939C2">
                        <w:rPr>
                          <w:rFonts w:ascii="Arial" w:hAnsi="Arial" w:cs="Arial"/>
                        </w:rPr>
                        <w:t xml:space="preserve"> Intestine</w:t>
                      </w:r>
                    </w:p>
                  </w:txbxContent>
                </v:textbox>
              </v:shape>
            </w:pict>
          </mc:Fallback>
        </mc:AlternateContent>
      </w:r>
    </w:p>
    <w:p w14:paraId="213FCB89" w14:textId="77777777" w:rsidR="00DD5FEA" w:rsidRDefault="00DD5FEA" w:rsidP="00B11BA4">
      <w:pPr>
        <w:jc w:val="both"/>
        <w:rPr>
          <w:rFonts w:ascii="Times New Roman" w:hAnsi="Times New Roman" w:cs="Times New Roman"/>
          <w:sz w:val="24"/>
          <w:szCs w:val="24"/>
        </w:rPr>
      </w:pPr>
    </w:p>
    <w:p w14:paraId="10D6F26B" w14:textId="77777777" w:rsidR="00DD5FEA" w:rsidRDefault="00DD5FEA" w:rsidP="00B11BA4">
      <w:pPr>
        <w:jc w:val="both"/>
        <w:rPr>
          <w:rFonts w:ascii="Times New Roman" w:hAnsi="Times New Roman" w:cs="Times New Roman"/>
          <w:sz w:val="24"/>
          <w:szCs w:val="24"/>
        </w:rPr>
      </w:pPr>
    </w:p>
    <w:p w14:paraId="337E0C5D" w14:textId="77777777" w:rsidR="00DD5FEA" w:rsidRDefault="00DD5FEA" w:rsidP="00B11BA4">
      <w:pPr>
        <w:jc w:val="both"/>
        <w:rPr>
          <w:rFonts w:ascii="Times New Roman" w:hAnsi="Times New Roman" w:cs="Times New Roman"/>
          <w:sz w:val="24"/>
          <w:szCs w:val="24"/>
        </w:rPr>
      </w:pPr>
    </w:p>
    <w:p w14:paraId="5B13E4A1" w14:textId="4E2A4363" w:rsidR="00DD5FEA" w:rsidRPr="00C76818" w:rsidRDefault="00C76818" w:rsidP="00B11BA4">
      <w:pPr>
        <w:jc w:val="both"/>
        <w:rPr>
          <w:rFonts w:ascii="Arial" w:hAnsi="Arial" w:cs="Arial"/>
          <w:b/>
          <w:bCs/>
          <w:sz w:val="24"/>
          <w:szCs w:val="24"/>
        </w:rPr>
      </w:pPr>
      <w:r w:rsidRPr="00C76818">
        <w:rPr>
          <w:rFonts w:ascii="Arial" w:hAnsi="Arial" w:cs="Arial"/>
          <w:b/>
          <w:bCs/>
          <w:sz w:val="24"/>
          <w:szCs w:val="24"/>
        </w:rPr>
        <w:lastRenderedPageBreak/>
        <w:t>DISCUSSION</w:t>
      </w:r>
    </w:p>
    <w:p w14:paraId="570F5230" w14:textId="0A48DFDC" w:rsidR="00DD5FEA" w:rsidRPr="00CE2D4B" w:rsidRDefault="00DD5FEA" w:rsidP="00CE2D4B">
      <w:pPr>
        <w:jc w:val="both"/>
        <w:rPr>
          <w:rFonts w:ascii="Arial" w:hAnsi="Arial" w:cs="Arial"/>
          <w:spacing w:val="1"/>
        </w:rPr>
      </w:pPr>
      <w:r w:rsidRPr="00CE2D4B">
        <w:rPr>
          <w:rFonts w:ascii="Arial" w:hAnsi="Arial" w:cs="Arial"/>
          <w:spacing w:val="1"/>
        </w:rPr>
        <w:t xml:space="preserve">In the present investigation, experimental fish were exposed to different concentrations of fungicide-treated water to evaluate behavioural changes and histopathological alterations. Under control conditions, individuals showed regular swimming, feeding, and breathing behaviour. However, as fungicide levels increased, opercular movements became irregular, indicating respiratory distress. The stress-related behaviours observed suggest impaired gill function, likely due to fungicide-induced physiological stress, supporting the findings of Ayoola (2008), and more recent studies by </w:t>
      </w:r>
      <w:proofErr w:type="spellStart"/>
      <w:r w:rsidR="00C91556">
        <w:rPr>
          <w:rFonts w:ascii="Arial" w:hAnsi="Arial" w:cs="Arial"/>
          <w:spacing w:val="1"/>
        </w:rPr>
        <w:t>Agbohessi</w:t>
      </w:r>
      <w:proofErr w:type="spellEnd"/>
      <w:r w:rsidRPr="00CE2D4B">
        <w:rPr>
          <w:rFonts w:ascii="Arial" w:hAnsi="Arial" w:cs="Arial"/>
          <w:spacing w:val="1"/>
        </w:rPr>
        <w:t xml:space="preserve"> </w:t>
      </w:r>
      <w:r w:rsidR="005E3B1B" w:rsidRPr="00CE2D4B">
        <w:rPr>
          <w:rFonts w:ascii="Arial" w:hAnsi="Arial" w:cs="Arial"/>
          <w:i/>
          <w:iCs/>
          <w:spacing w:val="1"/>
        </w:rPr>
        <w:t>et al</w:t>
      </w:r>
      <w:r w:rsidRPr="00CE2D4B">
        <w:rPr>
          <w:rFonts w:ascii="Arial" w:hAnsi="Arial" w:cs="Arial"/>
          <w:spacing w:val="1"/>
        </w:rPr>
        <w:t>. (202</w:t>
      </w:r>
      <w:r w:rsidR="00C91556">
        <w:rPr>
          <w:rFonts w:ascii="Arial" w:hAnsi="Arial" w:cs="Arial"/>
          <w:spacing w:val="1"/>
        </w:rPr>
        <w:t>3</w:t>
      </w:r>
      <w:r w:rsidRPr="00CE2D4B">
        <w:rPr>
          <w:rFonts w:ascii="Arial" w:hAnsi="Arial" w:cs="Arial"/>
          <w:spacing w:val="1"/>
        </w:rPr>
        <w:t xml:space="preserve">) and Singh </w:t>
      </w:r>
      <w:r w:rsidR="005E3B1B" w:rsidRPr="00CE2D4B">
        <w:rPr>
          <w:rFonts w:ascii="Arial" w:hAnsi="Arial" w:cs="Arial"/>
          <w:i/>
          <w:iCs/>
          <w:spacing w:val="1"/>
        </w:rPr>
        <w:t>et al</w:t>
      </w:r>
      <w:r w:rsidRPr="00CE2D4B">
        <w:rPr>
          <w:rFonts w:ascii="Arial" w:hAnsi="Arial" w:cs="Arial"/>
          <w:spacing w:val="1"/>
        </w:rPr>
        <w:t>. (202</w:t>
      </w:r>
      <w:r w:rsidR="00290664">
        <w:rPr>
          <w:rFonts w:ascii="Arial" w:hAnsi="Arial" w:cs="Arial"/>
          <w:spacing w:val="1"/>
        </w:rPr>
        <w:t>5</w:t>
      </w:r>
      <w:r w:rsidRPr="00CE2D4B">
        <w:rPr>
          <w:rFonts w:ascii="Arial" w:hAnsi="Arial" w:cs="Arial"/>
          <w:spacing w:val="1"/>
        </w:rPr>
        <w:t xml:space="preserve">), which reported similar respiratory issues in fish exposed to agrochemical contaminants. </w:t>
      </w:r>
      <w:r w:rsidRPr="00CE2D4B">
        <w:rPr>
          <w:rFonts w:ascii="Arial" w:hAnsi="Arial" w:cs="Arial"/>
        </w:rPr>
        <w:t xml:space="preserve">Hyperactivity of opercular movement in the treated groups may reflect disturbances in metabolic regulation. </w:t>
      </w:r>
      <w:r w:rsidR="0041200C">
        <w:rPr>
          <w:rFonts w:ascii="Arial" w:hAnsi="Arial" w:cs="Arial"/>
        </w:rPr>
        <w:t xml:space="preserve">Elevated metabolic rates under abiotic stress (heavy metals) are consistently linked to compensatory respiratory activity that induces oxidative stress, resulting in altered oxygen consumption and metabolic imbalance, as previously described by Menon </w:t>
      </w:r>
      <w:r w:rsidR="0041200C" w:rsidRPr="0041200C">
        <w:rPr>
          <w:rFonts w:ascii="Arial" w:hAnsi="Arial" w:cs="Arial"/>
          <w:i/>
          <w:iCs/>
        </w:rPr>
        <w:t>et al</w:t>
      </w:r>
      <w:r w:rsidR="0041200C">
        <w:rPr>
          <w:rFonts w:ascii="Arial" w:hAnsi="Arial" w:cs="Arial"/>
        </w:rPr>
        <w:t>. (2023) and further supported by Elia et al. (2018), who associated behavioural hyperactivity in fish with oxidative stress and changes in energy metabolism under pesticide stress.</w:t>
      </w:r>
    </w:p>
    <w:p w14:paraId="0795EA5D" w14:textId="1987ADA5" w:rsidR="005E1214" w:rsidRDefault="00DD5FEA" w:rsidP="00CE2D4B">
      <w:pPr>
        <w:jc w:val="both"/>
        <w:rPr>
          <w:rFonts w:ascii="Arial" w:hAnsi="Arial" w:cs="Arial"/>
        </w:rPr>
      </w:pPr>
      <w:r w:rsidRPr="00CE2D4B">
        <w:rPr>
          <w:rFonts w:ascii="Arial" w:hAnsi="Arial" w:cs="Arial"/>
        </w:rPr>
        <w:t xml:space="preserve">A progressive decline in oxygen consumption was observed </w:t>
      </w:r>
      <w:r w:rsidR="00CE2D4B">
        <w:rPr>
          <w:rFonts w:ascii="Arial" w:hAnsi="Arial" w:cs="Arial"/>
        </w:rPr>
        <w:t>with increasing fungicide concentration</w:t>
      </w:r>
      <w:r w:rsidRPr="00CE2D4B">
        <w:rPr>
          <w:rFonts w:ascii="Arial" w:hAnsi="Arial" w:cs="Arial"/>
        </w:rPr>
        <w:t xml:space="preserve">. Similar declines were reported by </w:t>
      </w:r>
      <w:proofErr w:type="spellStart"/>
      <w:r w:rsidRPr="00CE2D4B">
        <w:rPr>
          <w:rFonts w:ascii="Arial" w:hAnsi="Arial" w:cs="Arial"/>
        </w:rPr>
        <w:t>Haniffa</w:t>
      </w:r>
      <w:proofErr w:type="spellEnd"/>
      <w:r w:rsidRPr="00CE2D4B">
        <w:rPr>
          <w:rFonts w:ascii="Arial" w:hAnsi="Arial" w:cs="Arial"/>
        </w:rPr>
        <w:t xml:space="preserve"> and </w:t>
      </w:r>
      <w:proofErr w:type="spellStart"/>
      <w:r w:rsidRPr="00CE2D4B">
        <w:rPr>
          <w:rFonts w:ascii="Arial" w:hAnsi="Arial" w:cs="Arial"/>
        </w:rPr>
        <w:t>Porchelvi</w:t>
      </w:r>
      <w:proofErr w:type="spellEnd"/>
      <w:r w:rsidRPr="00CE2D4B">
        <w:rPr>
          <w:rFonts w:ascii="Arial" w:hAnsi="Arial" w:cs="Arial"/>
        </w:rPr>
        <w:t xml:space="preserve"> (1985) in </w:t>
      </w:r>
      <w:r w:rsidRPr="00CE2D4B">
        <w:rPr>
          <w:rFonts w:ascii="Arial" w:hAnsi="Arial" w:cs="Arial"/>
          <w:i/>
          <w:iCs/>
        </w:rPr>
        <w:t xml:space="preserve">Oreochromis </w:t>
      </w:r>
      <w:proofErr w:type="spellStart"/>
      <w:r w:rsidRPr="00CE2D4B">
        <w:rPr>
          <w:rFonts w:ascii="Arial" w:hAnsi="Arial" w:cs="Arial"/>
          <w:i/>
          <w:iCs/>
        </w:rPr>
        <w:t>mossambicus</w:t>
      </w:r>
      <w:proofErr w:type="spellEnd"/>
      <w:r w:rsidRPr="00CE2D4B">
        <w:rPr>
          <w:rFonts w:ascii="Arial" w:hAnsi="Arial" w:cs="Arial"/>
        </w:rPr>
        <w:t xml:space="preserve"> under sublethal exposure to industrial effluent. Comparable trends have been documented in </w:t>
      </w:r>
      <w:proofErr w:type="spellStart"/>
      <w:r w:rsidRPr="00CE2D4B">
        <w:rPr>
          <w:rFonts w:ascii="Arial" w:hAnsi="Arial" w:cs="Arial"/>
          <w:i/>
          <w:iCs/>
        </w:rPr>
        <w:t>Labeo</w:t>
      </w:r>
      <w:proofErr w:type="spellEnd"/>
      <w:r w:rsidRPr="00CE2D4B">
        <w:rPr>
          <w:rFonts w:ascii="Arial" w:hAnsi="Arial" w:cs="Arial"/>
          <w:i/>
          <w:iCs/>
        </w:rPr>
        <w:t xml:space="preserve"> </w:t>
      </w:r>
      <w:proofErr w:type="spellStart"/>
      <w:r w:rsidRPr="00CE2D4B">
        <w:rPr>
          <w:rFonts w:ascii="Arial" w:hAnsi="Arial" w:cs="Arial"/>
          <w:i/>
          <w:iCs/>
        </w:rPr>
        <w:t>rohita</w:t>
      </w:r>
      <w:proofErr w:type="spellEnd"/>
      <w:r w:rsidRPr="00CE2D4B">
        <w:rPr>
          <w:rFonts w:ascii="Arial" w:hAnsi="Arial" w:cs="Arial"/>
        </w:rPr>
        <w:t xml:space="preserve"> and </w:t>
      </w:r>
      <w:r w:rsidRPr="00CE2D4B">
        <w:rPr>
          <w:rFonts w:ascii="Arial" w:hAnsi="Arial" w:cs="Arial"/>
          <w:i/>
          <w:iCs/>
        </w:rPr>
        <w:t xml:space="preserve">Puntius </w:t>
      </w:r>
      <w:r w:rsidR="009023E6">
        <w:rPr>
          <w:rFonts w:ascii="Arial" w:hAnsi="Arial" w:cs="Arial"/>
          <w:i/>
          <w:iCs/>
        </w:rPr>
        <w:t>stigma</w:t>
      </w:r>
      <w:r w:rsidR="006123D2">
        <w:rPr>
          <w:rFonts w:ascii="Arial" w:hAnsi="Arial" w:cs="Arial"/>
          <w:i/>
          <w:iCs/>
        </w:rPr>
        <w:t xml:space="preserve"> (</w:t>
      </w:r>
      <w:proofErr w:type="spellStart"/>
      <w:r w:rsidR="009023E6">
        <w:rPr>
          <w:rFonts w:ascii="Arial" w:hAnsi="Arial" w:cs="Arial"/>
        </w:rPr>
        <w:t>Lonkar</w:t>
      </w:r>
      <w:proofErr w:type="spellEnd"/>
      <w:r w:rsidR="009023E6">
        <w:rPr>
          <w:rFonts w:ascii="Arial" w:hAnsi="Arial" w:cs="Arial"/>
        </w:rPr>
        <w:t>,</w:t>
      </w:r>
      <w:r w:rsidR="006123D2">
        <w:rPr>
          <w:rFonts w:ascii="Arial" w:hAnsi="Arial" w:cs="Arial"/>
          <w:i/>
          <w:iCs/>
        </w:rPr>
        <w:t xml:space="preserve"> </w:t>
      </w:r>
      <w:r w:rsidR="009023E6" w:rsidRPr="009023E6">
        <w:rPr>
          <w:rFonts w:ascii="Arial" w:hAnsi="Arial" w:cs="Arial"/>
        </w:rPr>
        <w:t>2012</w:t>
      </w:r>
      <w:r w:rsidR="009023E6">
        <w:rPr>
          <w:rFonts w:ascii="Arial" w:hAnsi="Arial" w:cs="Arial"/>
        </w:rPr>
        <w:t xml:space="preserve">; Kumara </w:t>
      </w:r>
      <w:r w:rsidR="009023E6" w:rsidRPr="009023E6">
        <w:rPr>
          <w:rFonts w:ascii="Arial" w:hAnsi="Arial" w:cs="Arial"/>
          <w:i/>
          <w:iCs/>
        </w:rPr>
        <w:t>et al</w:t>
      </w:r>
      <w:r w:rsidR="009023E6">
        <w:rPr>
          <w:rFonts w:ascii="Arial" w:hAnsi="Arial" w:cs="Arial"/>
        </w:rPr>
        <w:t>., 2021</w:t>
      </w:r>
      <w:r w:rsidR="006123D2">
        <w:rPr>
          <w:rFonts w:ascii="Arial" w:hAnsi="Arial" w:cs="Arial"/>
          <w:i/>
          <w:iCs/>
        </w:rPr>
        <w:t xml:space="preserve">), and </w:t>
      </w:r>
      <w:r w:rsidR="006123D2" w:rsidRPr="006123D2">
        <w:rPr>
          <w:rFonts w:ascii="Arial" w:hAnsi="Arial" w:cs="Arial"/>
        </w:rPr>
        <w:t>recent studies continue to report decreased oxygen uptake in response to</w:t>
      </w:r>
      <w:r w:rsidRPr="00CE2D4B">
        <w:rPr>
          <w:rFonts w:ascii="Arial" w:hAnsi="Arial" w:cs="Arial"/>
        </w:rPr>
        <w:t xml:space="preserve"> </w:t>
      </w:r>
      <w:r w:rsidR="006123D2">
        <w:rPr>
          <w:rFonts w:ascii="Arial" w:hAnsi="Arial" w:cs="Arial"/>
        </w:rPr>
        <w:t xml:space="preserve">organophosphate and </w:t>
      </w:r>
      <w:proofErr w:type="spellStart"/>
      <w:r w:rsidR="006123D2">
        <w:rPr>
          <w:rFonts w:ascii="Arial" w:hAnsi="Arial" w:cs="Arial"/>
        </w:rPr>
        <w:t>avermectin</w:t>
      </w:r>
      <w:proofErr w:type="spellEnd"/>
      <w:r w:rsidR="006123D2">
        <w:rPr>
          <w:rFonts w:ascii="Arial" w:hAnsi="Arial" w:cs="Arial"/>
        </w:rPr>
        <w:t xml:space="preserve"> stress </w:t>
      </w:r>
      <w:r w:rsidRPr="005063D5">
        <w:rPr>
          <w:rFonts w:ascii="Arial" w:hAnsi="Arial" w:cs="Arial"/>
        </w:rPr>
        <w:t>(</w:t>
      </w:r>
      <w:r w:rsidR="006123D2" w:rsidRPr="005063D5">
        <w:rPr>
          <w:rFonts w:ascii="Arial" w:hAnsi="Arial" w:cs="Arial"/>
        </w:rPr>
        <w:t>Fırat Ö &amp; Tutus</w:t>
      </w:r>
      <w:r w:rsidRPr="005063D5">
        <w:rPr>
          <w:rFonts w:ascii="Arial" w:hAnsi="Arial" w:cs="Arial"/>
        </w:rPr>
        <w:t xml:space="preserve">, 2020). </w:t>
      </w:r>
      <w:r w:rsidR="006C5E78">
        <w:rPr>
          <w:rFonts w:ascii="Arial" w:hAnsi="Arial" w:cs="Arial"/>
        </w:rPr>
        <w:t>Neelima et al.</w:t>
      </w:r>
      <w:r w:rsidR="005E1214" w:rsidRPr="00CE2D4B">
        <w:rPr>
          <w:rFonts w:ascii="Arial" w:hAnsi="Arial" w:cs="Arial"/>
        </w:rPr>
        <w:t xml:space="preserve"> (</w:t>
      </w:r>
      <w:r w:rsidR="006C5E78">
        <w:rPr>
          <w:rFonts w:ascii="Arial" w:hAnsi="Arial" w:cs="Arial"/>
        </w:rPr>
        <w:t>2016</w:t>
      </w:r>
      <w:r w:rsidR="005E1214" w:rsidRPr="00CE2D4B">
        <w:rPr>
          <w:rFonts w:ascii="Arial" w:hAnsi="Arial" w:cs="Arial"/>
        </w:rPr>
        <w:t xml:space="preserve">) also observed </w:t>
      </w:r>
      <w:r w:rsidR="006C5E78">
        <w:rPr>
          <w:rFonts w:ascii="Arial" w:hAnsi="Arial" w:cs="Arial"/>
        </w:rPr>
        <w:t>a gradual decrease in oxygen uptake in the freshwater edible fish, Cyprinus carpio, under acute exposure to the synthetic insecticide, a pattern confirmed in subsequent</w:t>
      </w:r>
      <w:r w:rsidR="005E1214" w:rsidRPr="00CE2D4B">
        <w:rPr>
          <w:rFonts w:ascii="Arial" w:hAnsi="Arial" w:cs="Arial"/>
        </w:rPr>
        <w:t xml:space="preserve"> research on sublethal </w:t>
      </w:r>
      <w:r w:rsidR="00F63381">
        <w:rPr>
          <w:rFonts w:ascii="Arial" w:hAnsi="Arial" w:cs="Arial"/>
        </w:rPr>
        <w:t>Ethion</w:t>
      </w:r>
      <w:r w:rsidR="005E1214" w:rsidRPr="00CE2D4B">
        <w:rPr>
          <w:rFonts w:ascii="Arial" w:hAnsi="Arial" w:cs="Arial"/>
        </w:rPr>
        <w:t xml:space="preserve"> exposure (</w:t>
      </w:r>
      <w:r w:rsidR="00F63381">
        <w:rPr>
          <w:rFonts w:ascii="Arial" w:hAnsi="Arial" w:cs="Arial"/>
        </w:rPr>
        <w:t>Prasanna</w:t>
      </w:r>
      <w:r w:rsidR="005E1214" w:rsidRPr="00CE2D4B">
        <w:rPr>
          <w:rFonts w:ascii="Arial" w:hAnsi="Arial" w:cs="Arial"/>
        </w:rPr>
        <w:t xml:space="preserve"> </w:t>
      </w:r>
      <w:r w:rsidR="005E1214" w:rsidRPr="00CE2D4B">
        <w:rPr>
          <w:rFonts w:ascii="Arial" w:hAnsi="Arial" w:cs="Arial"/>
          <w:i/>
          <w:iCs/>
        </w:rPr>
        <w:t>et al</w:t>
      </w:r>
      <w:r w:rsidR="005E1214" w:rsidRPr="00CE2D4B">
        <w:rPr>
          <w:rFonts w:ascii="Arial" w:hAnsi="Arial" w:cs="Arial"/>
        </w:rPr>
        <w:t>., 20</w:t>
      </w:r>
      <w:r w:rsidR="00F63381">
        <w:rPr>
          <w:rFonts w:ascii="Arial" w:hAnsi="Arial" w:cs="Arial"/>
        </w:rPr>
        <w:t>20</w:t>
      </w:r>
      <w:r w:rsidR="005E1214" w:rsidRPr="00CE2D4B">
        <w:rPr>
          <w:rFonts w:ascii="Arial" w:hAnsi="Arial" w:cs="Arial"/>
        </w:rPr>
        <w:t>).</w:t>
      </w:r>
      <w:r w:rsidR="00252469">
        <w:rPr>
          <w:rFonts w:ascii="Arial" w:hAnsi="Arial" w:cs="Arial"/>
        </w:rPr>
        <w:t xml:space="preserve"> The decreased oxygen consumption may be due to gill damage, oxidative stress, metabolic suppression, enzyme inhibition, and behavioural changes. </w:t>
      </w:r>
      <w:r w:rsidR="00252469" w:rsidRPr="00252469">
        <w:rPr>
          <w:rFonts w:ascii="Arial" w:hAnsi="Arial" w:cs="Arial"/>
        </w:rPr>
        <w:t xml:space="preserve">Recent studies confirm these mechanisms, demonstrating that heavy metals induce oxidative stress and histopathological changes in gills (Zahran et al., 2025; Wang et al., 2024), while organophosphate pesticides such as chlorpyrifos impair gill function and enzyme activity, leading to respiratory inhibition (Devi et al., 2024; Kumari, 2020). </w:t>
      </w:r>
    </w:p>
    <w:p w14:paraId="16A77174" w14:textId="0A1AD2E7" w:rsidR="00DD5FEA" w:rsidRPr="00CE2D4B" w:rsidRDefault="00A36FF0" w:rsidP="00CE2D4B">
      <w:pPr>
        <w:jc w:val="both"/>
        <w:rPr>
          <w:rFonts w:ascii="Arial" w:hAnsi="Arial" w:cs="Arial"/>
        </w:rPr>
      </w:pPr>
      <w:r>
        <w:rPr>
          <w:rFonts w:ascii="Arial" w:hAnsi="Arial" w:cs="Arial"/>
        </w:rPr>
        <w:t>H</w:t>
      </w:r>
      <w:r w:rsidRPr="00A36FF0">
        <w:rPr>
          <w:rFonts w:ascii="Arial" w:hAnsi="Arial" w:cs="Arial"/>
        </w:rPr>
        <w:t xml:space="preserve">istopathological changes in fish tissues are widely </w:t>
      </w:r>
      <w:r>
        <w:rPr>
          <w:rFonts w:ascii="Arial" w:hAnsi="Arial" w:cs="Arial"/>
        </w:rPr>
        <w:t>recognised</w:t>
      </w:r>
      <w:r w:rsidRPr="00A36FF0">
        <w:rPr>
          <w:rFonts w:ascii="Arial" w:hAnsi="Arial" w:cs="Arial"/>
        </w:rPr>
        <w:t xml:space="preserve"> as early, sensitive biomarkers of toxicant exposure. They often </w:t>
      </w:r>
      <w:r>
        <w:rPr>
          <w:rFonts w:ascii="Arial" w:hAnsi="Arial" w:cs="Arial"/>
        </w:rPr>
        <w:t>precede more obvious endpoints, such as</w:t>
      </w:r>
      <w:r w:rsidRPr="00A36FF0">
        <w:rPr>
          <w:rFonts w:ascii="Arial" w:hAnsi="Arial" w:cs="Arial"/>
        </w:rPr>
        <w:t xml:space="preserve"> impaired reproduction or growth, making them a </w:t>
      </w:r>
      <w:r>
        <w:rPr>
          <w:rFonts w:ascii="Arial" w:hAnsi="Arial" w:cs="Arial"/>
        </w:rPr>
        <w:t>robust</w:t>
      </w:r>
      <w:r w:rsidRPr="00A36FF0">
        <w:rPr>
          <w:rFonts w:ascii="Arial" w:hAnsi="Arial" w:cs="Arial"/>
        </w:rPr>
        <w:t xml:space="preserve"> measure of organismal health</w:t>
      </w:r>
      <w:r>
        <w:rPr>
          <w:rFonts w:ascii="Arial" w:hAnsi="Arial" w:cs="Arial"/>
        </w:rPr>
        <w:t xml:space="preserve"> (Shah </w:t>
      </w:r>
      <w:r w:rsidR="00213D54">
        <w:rPr>
          <w:rFonts w:ascii="Arial" w:hAnsi="Arial" w:cs="Arial"/>
        </w:rPr>
        <w:t>&amp;</w:t>
      </w:r>
      <w:r>
        <w:rPr>
          <w:rFonts w:ascii="Arial" w:hAnsi="Arial" w:cs="Arial"/>
        </w:rPr>
        <w:t xml:space="preserve"> Parveen, 2022; </w:t>
      </w:r>
      <w:r w:rsidR="00CA65E1">
        <w:rPr>
          <w:rFonts w:ascii="Arial" w:hAnsi="Arial" w:cs="Arial"/>
        </w:rPr>
        <w:t>Chavin, 1973)</w:t>
      </w:r>
      <w:r>
        <w:rPr>
          <w:rFonts w:ascii="Arial" w:hAnsi="Arial" w:cs="Arial"/>
        </w:rPr>
        <w:t>.</w:t>
      </w:r>
      <w:r w:rsidR="00DD5FEA" w:rsidRPr="00CE2D4B">
        <w:rPr>
          <w:rFonts w:ascii="Arial" w:hAnsi="Arial" w:cs="Arial"/>
        </w:rPr>
        <w:t xml:space="preserve"> In this study, structural deformities </w:t>
      </w:r>
      <w:r w:rsidR="00CE2D4B">
        <w:rPr>
          <w:rFonts w:ascii="Arial" w:hAnsi="Arial" w:cs="Arial"/>
        </w:rPr>
        <w:t>of the gills and pathologies such as</w:t>
      </w:r>
      <w:r w:rsidR="00DD5FEA" w:rsidRPr="00CE2D4B">
        <w:rPr>
          <w:rFonts w:ascii="Arial" w:hAnsi="Arial" w:cs="Arial"/>
        </w:rPr>
        <w:t xml:space="preserve"> lamellar necrosis, epithelial lifting, and increased mucus production were observed at higher fungicide doses. </w:t>
      </w:r>
      <w:r w:rsidR="00CE2D4B">
        <w:rPr>
          <w:rFonts w:ascii="Arial" w:hAnsi="Arial" w:cs="Arial"/>
        </w:rPr>
        <w:t>Abdel-Moneim et al. (201</w:t>
      </w:r>
      <w:r w:rsidR="00442AFB">
        <w:rPr>
          <w:rFonts w:ascii="Arial" w:hAnsi="Arial" w:cs="Arial"/>
        </w:rPr>
        <w:t>2</w:t>
      </w:r>
      <w:r w:rsidR="00CE2D4B">
        <w:rPr>
          <w:rFonts w:ascii="Arial" w:hAnsi="Arial" w:cs="Arial"/>
        </w:rPr>
        <w:t>) reported that increased mucus secretion may serve as a protective response mediated by mucins, glycoproteins that bind and neutralise</w:t>
      </w:r>
      <w:r w:rsidR="00DD5FEA" w:rsidRPr="00CE2D4B">
        <w:rPr>
          <w:rFonts w:ascii="Arial" w:hAnsi="Arial" w:cs="Arial"/>
        </w:rPr>
        <w:t xml:space="preserve"> toxic compounds. However, </w:t>
      </w:r>
      <w:r w:rsidR="00CE2D4B">
        <w:rPr>
          <w:rFonts w:ascii="Arial" w:hAnsi="Arial" w:cs="Arial"/>
        </w:rPr>
        <w:t>lamellar fusion indicates impaired gas-exchange</w:t>
      </w:r>
      <w:r w:rsidR="00DD5FEA" w:rsidRPr="00CE2D4B">
        <w:rPr>
          <w:rFonts w:ascii="Arial" w:hAnsi="Arial" w:cs="Arial"/>
        </w:rPr>
        <w:t xml:space="preserve"> surfaces. These lesions </w:t>
      </w:r>
      <w:r w:rsidR="00CE2D4B">
        <w:rPr>
          <w:rFonts w:ascii="Arial" w:hAnsi="Arial" w:cs="Arial"/>
        </w:rPr>
        <w:t xml:space="preserve">are consistent with typical gill responses to chemical pollutants (Mallatt, 1985; Laurent &amp; Perry, 1991; Au, 2004) and have been similarly reported in Channa punctatus exposed to chromium (Mishra &amp; Mohanty, 2008) and in </w:t>
      </w:r>
      <w:r w:rsidR="00DD5FEA" w:rsidRPr="00CE2D4B">
        <w:rPr>
          <w:rFonts w:ascii="Arial" w:hAnsi="Arial" w:cs="Arial"/>
        </w:rPr>
        <w:t xml:space="preserve">Danio rerio exposed to azoxystrobin (Zhao </w:t>
      </w:r>
      <w:r w:rsidR="005E3B1B" w:rsidRPr="00CE2D4B">
        <w:rPr>
          <w:rFonts w:ascii="Arial" w:hAnsi="Arial" w:cs="Arial"/>
          <w:i/>
          <w:iCs/>
        </w:rPr>
        <w:t>et al</w:t>
      </w:r>
      <w:r w:rsidR="00DD5FEA" w:rsidRPr="00CE2D4B">
        <w:rPr>
          <w:rFonts w:ascii="Arial" w:hAnsi="Arial" w:cs="Arial"/>
        </w:rPr>
        <w:t xml:space="preserve">., 2020). Vascular dilations and </w:t>
      </w:r>
      <w:proofErr w:type="spellStart"/>
      <w:r w:rsidR="00DD5FEA" w:rsidRPr="00CE2D4B">
        <w:rPr>
          <w:rFonts w:ascii="Arial" w:hAnsi="Arial" w:cs="Arial"/>
        </w:rPr>
        <w:t>hemorrhagic</w:t>
      </w:r>
      <w:proofErr w:type="spellEnd"/>
      <w:r w:rsidR="00DD5FEA" w:rsidRPr="00CE2D4B">
        <w:rPr>
          <w:rFonts w:ascii="Arial" w:hAnsi="Arial" w:cs="Arial"/>
        </w:rPr>
        <w:t xml:space="preserve"> lesions observed in our study resemble those described by </w:t>
      </w:r>
      <w:r w:rsidR="004E480B">
        <w:rPr>
          <w:rFonts w:ascii="Arial" w:hAnsi="Arial" w:cs="Arial"/>
        </w:rPr>
        <w:t>Stoyanova</w:t>
      </w:r>
      <w:r w:rsidR="00DD5FEA" w:rsidRPr="00CE2D4B">
        <w:rPr>
          <w:rFonts w:ascii="Arial" w:hAnsi="Arial" w:cs="Arial"/>
        </w:rPr>
        <w:t xml:space="preserve"> </w:t>
      </w:r>
      <w:r w:rsidR="005E3B1B" w:rsidRPr="00CE2D4B">
        <w:rPr>
          <w:rFonts w:ascii="Arial" w:hAnsi="Arial" w:cs="Arial"/>
          <w:i/>
          <w:iCs/>
        </w:rPr>
        <w:t>et al</w:t>
      </w:r>
      <w:r w:rsidR="00DD5FEA" w:rsidRPr="00CE2D4B">
        <w:rPr>
          <w:rFonts w:ascii="Arial" w:hAnsi="Arial" w:cs="Arial"/>
        </w:rPr>
        <w:t>. (</w:t>
      </w:r>
      <w:r w:rsidR="004E480B">
        <w:rPr>
          <w:rFonts w:ascii="Arial" w:hAnsi="Arial" w:cs="Arial"/>
        </w:rPr>
        <w:t>2015</w:t>
      </w:r>
      <w:r w:rsidR="00DD5FEA" w:rsidRPr="00CE2D4B">
        <w:rPr>
          <w:rFonts w:ascii="Arial" w:hAnsi="Arial" w:cs="Arial"/>
        </w:rPr>
        <w:t xml:space="preserve">), </w:t>
      </w:r>
      <w:r w:rsidR="005A6F5E">
        <w:rPr>
          <w:rFonts w:ascii="Arial" w:hAnsi="Arial" w:cs="Arial"/>
        </w:rPr>
        <w:t xml:space="preserve">suggesting that pillar cell breakdown and collapse of secondary lamellae occur </w:t>
      </w:r>
      <w:r w:rsidR="00DD5FEA" w:rsidRPr="00CE2D4B">
        <w:rPr>
          <w:rFonts w:ascii="Arial" w:hAnsi="Arial" w:cs="Arial"/>
        </w:rPr>
        <w:t>under toxic stress.</w:t>
      </w:r>
    </w:p>
    <w:p w14:paraId="52E7E120" w14:textId="06001640" w:rsidR="005E6BE8" w:rsidRDefault="00DD5FEA" w:rsidP="00CA4E9F">
      <w:pPr>
        <w:jc w:val="both"/>
        <w:rPr>
          <w:rFonts w:ascii="Arial" w:hAnsi="Arial" w:cs="Arial"/>
        </w:rPr>
      </w:pPr>
      <w:r w:rsidRPr="00CE2D4B">
        <w:rPr>
          <w:rFonts w:ascii="Arial" w:hAnsi="Arial" w:cs="Arial"/>
        </w:rPr>
        <w:t xml:space="preserve">The histoarchitecture of the intestine of control fish revealed normal tissue organisation, characterised by well-defined villi, intact epithelial linings, and compactly arranged circular and longitudinal muscle fibres. In contrast, exposure to fungicide-contaminated water </w:t>
      </w:r>
      <w:r w:rsidR="00CE2D4B">
        <w:rPr>
          <w:rFonts w:ascii="Arial" w:hAnsi="Arial" w:cs="Arial"/>
        </w:rPr>
        <w:t>led to progressive histopathological alterations that</w:t>
      </w:r>
      <w:r w:rsidRPr="00CE2D4B">
        <w:rPr>
          <w:rFonts w:ascii="Arial" w:hAnsi="Arial" w:cs="Arial"/>
        </w:rPr>
        <w:t xml:space="preserve"> intensified with increasing concentration. The </w:t>
      </w:r>
      <w:r w:rsidRPr="00CE2D4B">
        <w:rPr>
          <w:rFonts w:ascii="Arial" w:hAnsi="Arial" w:cs="Arial"/>
        </w:rPr>
        <w:lastRenderedPageBreak/>
        <w:t xml:space="preserve">initial signs of damage included </w:t>
      </w:r>
      <w:r w:rsidR="00CE2D4B">
        <w:rPr>
          <w:rFonts w:ascii="Arial" w:hAnsi="Arial" w:cs="Arial"/>
        </w:rPr>
        <w:t>villous broadening and flattening</w:t>
      </w:r>
      <w:r w:rsidRPr="00CE2D4B">
        <w:rPr>
          <w:rFonts w:ascii="Arial" w:hAnsi="Arial" w:cs="Arial"/>
        </w:rPr>
        <w:t xml:space="preserve">, epithelial cell disorganisation, and localised necrosis at the villar tips. Such morphological disruptions indicate impaired absorptive capacity due to reduced epithelial surface area. Similar epithelial degenerations and villar distortions have been reported in pesticide-exposed fish, suggesting that these structures are susceptible to xenobiotic stress (Mishra &amp; Mohanty, 2008; Abdel-Moneim </w:t>
      </w:r>
      <w:r w:rsidR="005E3B1B" w:rsidRPr="00CE2D4B">
        <w:rPr>
          <w:rFonts w:ascii="Arial" w:hAnsi="Arial" w:cs="Arial"/>
          <w:i/>
          <w:iCs/>
        </w:rPr>
        <w:t>et al</w:t>
      </w:r>
      <w:r w:rsidRPr="00CE2D4B">
        <w:rPr>
          <w:rFonts w:ascii="Arial" w:hAnsi="Arial" w:cs="Arial"/>
        </w:rPr>
        <w:t xml:space="preserve">., </w:t>
      </w:r>
      <w:r w:rsidR="009A71B2">
        <w:rPr>
          <w:rFonts w:ascii="Arial" w:hAnsi="Arial" w:cs="Arial"/>
        </w:rPr>
        <w:t>2012)</w:t>
      </w:r>
      <w:r w:rsidRPr="00CE2D4B">
        <w:rPr>
          <w:rFonts w:ascii="Arial" w:hAnsi="Arial" w:cs="Arial"/>
        </w:rPr>
        <w:t xml:space="preserve">. Similar degenerative effects of strobilurin fungicides on enteric tissues have been documented by </w:t>
      </w:r>
      <w:r w:rsidR="00213D54">
        <w:rPr>
          <w:rFonts w:ascii="Arial" w:hAnsi="Arial" w:cs="Arial"/>
        </w:rPr>
        <w:t>Wang</w:t>
      </w:r>
      <w:r w:rsidRPr="00CE2D4B">
        <w:rPr>
          <w:rFonts w:ascii="Arial" w:hAnsi="Arial" w:cs="Arial"/>
        </w:rPr>
        <w:t xml:space="preserve"> </w:t>
      </w:r>
      <w:r w:rsidR="005E3B1B" w:rsidRPr="00CE2D4B">
        <w:rPr>
          <w:rFonts w:ascii="Arial" w:hAnsi="Arial" w:cs="Arial"/>
          <w:i/>
          <w:iCs/>
        </w:rPr>
        <w:t>et al</w:t>
      </w:r>
      <w:r w:rsidRPr="00CE2D4B">
        <w:rPr>
          <w:rFonts w:ascii="Arial" w:hAnsi="Arial" w:cs="Arial"/>
        </w:rPr>
        <w:t>. (202</w:t>
      </w:r>
      <w:r w:rsidR="00213D54">
        <w:rPr>
          <w:rFonts w:ascii="Arial" w:hAnsi="Arial" w:cs="Arial"/>
        </w:rPr>
        <w:t>1</w:t>
      </w:r>
      <w:r w:rsidRPr="00CE2D4B">
        <w:rPr>
          <w:rFonts w:ascii="Arial" w:hAnsi="Arial" w:cs="Arial"/>
        </w:rPr>
        <w:t>)</w:t>
      </w:r>
      <w:r w:rsidR="00961F44">
        <w:rPr>
          <w:rFonts w:ascii="Arial" w:hAnsi="Arial" w:cs="Arial"/>
        </w:rPr>
        <w:t>.</w:t>
      </w:r>
      <w:r w:rsidRPr="00CE2D4B">
        <w:rPr>
          <w:rFonts w:ascii="Arial" w:hAnsi="Arial" w:cs="Arial"/>
        </w:rPr>
        <w:t xml:space="preserve"> </w:t>
      </w:r>
      <w:proofErr w:type="spellStart"/>
      <w:r w:rsidR="00961F44">
        <w:rPr>
          <w:rFonts w:ascii="Arial" w:hAnsi="Arial" w:cs="Arial"/>
        </w:rPr>
        <w:t>Rimply</w:t>
      </w:r>
      <w:proofErr w:type="spellEnd"/>
      <w:r w:rsidR="00961F44">
        <w:rPr>
          <w:rFonts w:ascii="Arial" w:hAnsi="Arial" w:cs="Arial"/>
        </w:rPr>
        <w:t xml:space="preserve"> and Sharma (2024)</w:t>
      </w:r>
      <w:r w:rsidRPr="00CE2D4B">
        <w:rPr>
          <w:rFonts w:ascii="Arial" w:hAnsi="Arial" w:cs="Arial"/>
        </w:rPr>
        <w:t xml:space="preserve"> found that </w:t>
      </w:r>
      <w:r w:rsidR="00961F44">
        <w:rPr>
          <w:rFonts w:ascii="Arial" w:hAnsi="Arial" w:cs="Arial"/>
        </w:rPr>
        <w:t xml:space="preserve">Tebuconazole (a broad-spectrum fungicide) </w:t>
      </w:r>
      <w:r w:rsidR="00213D54">
        <w:rPr>
          <w:rFonts w:ascii="Arial" w:hAnsi="Arial" w:cs="Arial"/>
        </w:rPr>
        <w:t>induced</w:t>
      </w:r>
      <w:r w:rsidR="00961F44">
        <w:rPr>
          <w:rFonts w:ascii="Arial" w:hAnsi="Arial" w:cs="Arial"/>
        </w:rPr>
        <w:t xml:space="preserve"> cytotoxicity</w:t>
      </w:r>
      <w:r w:rsidR="008850C9">
        <w:rPr>
          <w:rFonts w:ascii="Arial" w:hAnsi="Arial" w:cs="Arial"/>
        </w:rPr>
        <w:t>, which</w:t>
      </w:r>
      <w:r w:rsidR="00961F44">
        <w:rPr>
          <w:rFonts w:ascii="Arial" w:hAnsi="Arial" w:cs="Arial"/>
        </w:rPr>
        <w:t xml:space="preserve"> contributed to nuclear alterations, vacuolation,</w:t>
      </w:r>
      <w:r w:rsidR="00961F44" w:rsidRPr="00961F44">
        <w:rPr>
          <w:rFonts w:ascii="Arial" w:hAnsi="Arial" w:cs="Arial"/>
        </w:rPr>
        <w:t xml:space="preserve"> and cytoplasmic degeneration in hepatocytes and mucosal alterations in </w:t>
      </w:r>
      <w:r w:rsidR="00961F44">
        <w:rPr>
          <w:rFonts w:ascii="Arial" w:hAnsi="Arial" w:cs="Arial"/>
        </w:rPr>
        <w:t xml:space="preserve">the </w:t>
      </w:r>
      <w:r w:rsidR="00961F44" w:rsidRPr="00961F44">
        <w:rPr>
          <w:rFonts w:ascii="Arial" w:hAnsi="Arial" w:cs="Arial"/>
        </w:rPr>
        <w:t>intestine</w:t>
      </w:r>
      <w:r w:rsidRPr="00CE2D4B">
        <w:rPr>
          <w:rFonts w:ascii="Arial" w:hAnsi="Arial" w:cs="Arial"/>
        </w:rPr>
        <w:t>.</w:t>
      </w:r>
      <w:r w:rsidR="00CA4E9F">
        <w:rPr>
          <w:rFonts w:ascii="Arial" w:hAnsi="Arial" w:cs="Arial"/>
        </w:rPr>
        <w:t xml:space="preserve"> </w:t>
      </w:r>
      <w:r w:rsidR="005E6BE8" w:rsidRPr="00CE2D4B">
        <w:rPr>
          <w:rFonts w:ascii="Arial" w:hAnsi="Arial" w:cs="Arial"/>
        </w:rPr>
        <w:t xml:space="preserve">Overall, the behavioural, respiratory, and histopathological responses observed in this investigation underscore the detrimental effects of fungicide contamination in aquatic systems. The results support the growing body of evidence </w:t>
      </w:r>
      <w:r w:rsidR="000425C8" w:rsidRPr="00CE2D4B">
        <w:rPr>
          <w:rFonts w:ascii="Arial" w:hAnsi="Arial" w:cs="Arial"/>
        </w:rPr>
        <w:t>emphasising</w:t>
      </w:r>
      <w:r w:rsidR="005E6BE8" w:rsidRPr="00CE2D4B">
        <w:rPr>
          <w:rFonts w:ascii="Arial" w:hAnsi="Arial" w:cs="Arial"/>
        </w:rPr>
        <w:t xml:space="preserve"> gill architecture and oxygen consumption rate as reliable biomarkers for environmental toxicity evaluation in fish (</w:t>
      </w:r>
      <w:proofErr w:type="spellStart"/>
      <w:r w:rsidR="00961F44">
        <w:rPr>
          <w:rFonts w:ascii="Arial" w:hAnsi="Arial" w:cs="Arial"/>
        </w:rPr>
        <w:t>Rimply</w:t>
      </w:r>
      <w:proofErr w:type="spellEnd"/>
      <w:r w:rsidR="00961F44">
        <w:rPr>
          <w:rFonts w:ascii="Arial" w:hAnsi="Arial" w:cs="Arial"/>
        </w:rPr>
        <w:t xml:space="preserve"> &amp; Sharma, 2024</w:t>
      </w:r>
      <w:r w:rsidR="005E6BE8" w:rsidRPr="00CE2D4B">
        <w:rPr>
          <w:rFonts w:ascii="Arial" w:hAnsi="Arial" w:cs="Arial"/>
        </w:rPr>
        <w:t>).</w:t>
      </w:r>
    </w:p>
    <w:p w14:paraId="2C5B40E8" w14:textId="77777777" w:rsidR="00CE2D4B" w:rsidRDefault="00CE2D4B" w:rsidP="00CA4E9F">
      <w:pPr>
        <w:spacing w:line="240" w:lineRule="auto"/>
        <w:jc w:val="both"/>
        <w:rPr>
          <w:rFonts w:ascii="Arial" w:hAnsi="Arial" w:cs="Arial"/>
        </w:rPr>
      </w:pPr>
    </w:p>
    <w:p w14:paraId="7F32B75E" w14:textId="71483A89" w:rsidR="00CE2D4B" w:rsidRPr="00CE2D4B" w:rsidRDefault="00CE2D4B" w:rsidP="00CE2D4B">
      <w:pPr>
        <w:jc w:val="both"/>
        <w:rPr>
          <w:rFonts w:ascii="Arial" w:hAnsi="Arial" w:cs="Arial"/>
          <w:b/>
          <w:bCs/>
          <w:sz w:val="24"/>
          <w:szCs w:val="24"/>
        </w:rPr>
      </w:pPr>
      <w:r w:rsidRPr="00CE2D4B">
        <w:rPr>
          <w:rFonts w:ascii="Arial" w:hAnsi="Arial" w:cs="Arial"/>
          <w:b/>
          <w:bCs/>
          <w:sz w:val="24"/>
          <w:szCs w:val="24"/>
        </w:rPr>
        <w:t>5. CONCLUSION</w:t>
      </w:r>
    </w:p>
    <w:p w14:paraId="2CE1420F" w14:textId="6C90A837" w:rsidR="000425C8" w:rsidRDefault="00E712D0" w:rsidP="00E712D0">
      <w:pPr>
        <w:spacing w:after="0" w:line="240" w:lineRule="auto"/>
        <w:jc w:val="both"/>
        <w:rPr>
          <w:rFonts w:ascii="Arial" w:hAnsi="Arial" w:cs="Arial"/>
        </w:rPr>
      </w:pPr>
      <w:r>
        <w:rPr>
          <w:rFonts w:ascii="Arial" w:hAnsi="Arial" w:cs="Arial"/>
        </w:rPr>
        <w:t>In summary, exposure of juvenile tilapia to varying concentrations of the fungicide Picoxystrobin caused significant physiological and pathological changes compared to controls. Fish exposed to treatment showed reduced growth parameters, with notable decreases in mean body weight and length, along with concentration-dependent increases in mortality. Respiratory stress was indicated by higher opercular beat rates and a sharp decline in oxygen consumption, especially at higher concentrations, suggesting impaired gill function. Histopathological analysis revealed progressive damage in both intestinal and gill tissues, including villus degeneration, necrosis, epithelial lifting, lamellar fusion, and nuclear abnormalities, all of which worsened with higher exposure levels. Overall, these results demonstrate that Picoxystrobin is toxic to tilapia, impairing growth, survival, respiration, and tissue integrity, highlighting its potential ecological risk to aquatic life.</w:t>
      </w:r>
    </w:p>
    <w:p w14:paraId="3E41A091" w14:textId="77777777" w:rsidR="00E712D0" w:rsidRDefault="00E712D0" w:rsidP="00E712D0">
      <w:pPr>
        <w:spacing w:after="0" w:line="240" w:lineRule="auto"/>
        <w:jc w:val="both"/>
        <w:rPr>
          <w:rFonts w:ascii="Arial" w:hAnsi="Arial" w:cs="Arial"/>
        </w:rPr>
      </w:pPr>
    </w:p>
    <w:p w14:paraId="39B78C0B" w14:textId="77777777" w:rsidR="00E712D0" w:rsidRDefault="00E712D0" w:rsidP="00CA4E9F">
      <w:pPr>
        <w:spacing w:after="0" w:line="240" w:lineRule="auto"/>
        <w:jc w:val="both"/>
        <w:rPr>
          <w:rFonts w:ascii="Arial" w:hAnsi="Arial" w:cs="Arial"/>
        </w:rPr>
      </w:pPr>
    </w:p>
    <w:p w14:paraId="5FACE6FD" w14:textId="77777777" w:rsidR="00E712D0" w:rsidRPr="00E712D0" w:rsidRDefault="00E712D0" w:rsidP="00E712D0">
      <w:pPr>
        <w:shd w:val="clear" w:color="auto" w:fill="FFFFFF"/>
        <w:spacing w:after="120" w:line="240" w:lineRule="auto"/>
        <w:jc w:val="both"/>
        <w:rPr>
          <w:rFonts w:ascii="Arial" w:eastAsia="Times New Roman" w:hAnsi="Arial" w:cs="Arial"/>
          <w:b/>
          <w:bCs/>
          <w:kern w:val="0"/>
          <w:sz w:val="24"/>
          <w:szCs w:val="24"/>
          <w:lang w:eastAsia="en-IN" w:bidi="ta-IN"/>
          <w14:ligatures w14:val="none"/>
        </w:rPr>
      </w:pPr>
      <w:r w:rsidRPr="00E712D0">
        <w:rPr>
          <w:rFonts w:ascii="Arial" w:eastAsia="Times New Roman" w:hAnsi="Arial" w:cs="Arial"/>
          <w:b/>
          <w:bCs/>
          <w:kern w:val="0"/>
          <w:sz w:val="24"/>
          <w:szCs w:val="24"/>
          <w:lang w:eastAsia="en-IN" w:bidi="ta-IN"/>
          <w14:ligatures w14:val="none"/>
        </w:rPr>
        <w:t>DISCLAIMER (ARTIFICIAL INTELLIGENCE)</w:t>
      </w:r>
    </w:p>
    <w:p w14:paraId="0F827F25" w14:textId="39FB6424" w:rsidR="00E712D0" w:rsidRPr="00E712D0" w:rsidRDefault="00E712D0" w:rsidP="00E712D0">
      <w:pPr>
        <w:shd w:val="clear" w:color="auto" w:fill="FFFFFF"/>
        <w:spacing w:after="0" w:line="240" w:lineRule="auto"/>
        <w:jc w:val="both"/>
        <w:rPr>
          <w:rFonts w:ascii="Times New Roman" w:eastAsia="Times New Roman" w:hAnsi="Times New Roman" w:cs="Times New Roman"/>
          <w:kern w:val="0"/>
          <w:lang w:eastAsia="en-IN" w:bidi="ta-IN"/>
          <w14:ligatures w14:val="none"/>
        </w:rPr>
      </w:pPr>
      <w:r w:rsidRPr="00E712D0">
        <w:rPr>
          <w:rFonts w:ascii="Arial" w:eastAsia="Times New Roman" w:hAnsi="Arial" w:cs="Arial"/>
          <w:kern w:val="0"/>
          <w:lang w:eastAsia="en-IN" w:bidi="ta-IN"/>
          <w14:ligatures w14:val="none"/>
        </w:rPr>
        <w:t xml:space="preserve">The author (s) hereby declare that NO generative AI technologies such as Large Language Models (ChatGPT, COPILOT, etc.) and text-to-image generators have been used during the writing or editing of this manuscript. </w:t>
      </w:r>
    </w:p>
    <w:p w14:paraId="4E5468AB" w14:textId="5FC2E784" w:rsidR="00081BA2" w:rsidRDefault="00081BA2" w:rsidP="00081BA2">
      <w:pPr>
        <w:spacing w:after="0" w:line="240" w:lineRule="auto"/>
        <w:jc w:val="both"/>
        <w:rPr>
          <w:rFonts w:ascii="Arial" w:hAnsi="Arial" w:cs="Arial"/>
        </w:rPr>
      </w:pPr>
    </w:p>
    <w:p w14:paraId="53389C60" w14:textId="77777777" w:rsidR="00BE514F" w:rsidRDefault="00BE514F" w:rsidP="00081BA2">
      <w:pPr>
        <w:spacing w:after="0" w:line="240" w:lineRule="auto"/>
        <w:jc w:val="both"/>
        <w:rPr>
          <w:rFonts w:ascii="Times New Roman" w:hAnsi="Times New Roman" w:cs="Times New Roman"/>
          <w:sz w:val="24"/>
          <w:szCs w:val="24"/>
        </w:rPr>
      </w:pPr>
    </w:p>
    <w:p w14:paraId="323EDE06" w14:textId="0C3CB68A" w:rsidR="00081BA2" w:rsidRPr="00E712D0" w:rsidRDefault="00E712D0" w:rsidP="00081BA2">
      <w:pPr>
        <w:jc w:val="both"/>
        <w:rPr>
          <w:rFonts w:ascii="Arial" w:hAnsi="Arial" w:cs="Arial"/>
          <w:b/>
          <w:bCs/>
          <w:sz w:val="24"/>
          <w:szCs w:val="24"/>
        </w:rPr>
      </w:pPr>
      <w:r w:rsidRPr="00E712D0">
        <w:rPr>
          <w:rFonts w:ascii="Arial" w:hAnsi="Arial" w:cs="Arial"/>
          <w:b/>
          <w:bCs/>
          <w:sz w:val="24"/>
          <w:szCs w:val="24"/>
        </w:rPr>
        <w:t>REFERENCES</w:t>
      </w:r>
    </w:p>
    <w:tbl>
      <w:tblPr>
        <w:tblStyle w:val="TableGrid"/>
        <w:tblW w:w="927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F90B02" w:rsidRPr="00E712D0" w14:paraId="24F73A1D" w14:textId="77777777" w:rsidTr="005063D5">
        <w:tc>
          <w:tcPr>
            <w:tcW w:w="9275" w:type="dxa"/>
          </w:tcPr>
          <w:p w14:paraId="531D4545" w14:textId="77777777" w:rsidR="00F90B02" w:rsidRPr="00136CF1" w:rsidRDefault="00F90B02" w:rsidP="00136CF1">
            <w:pPr>
              <w:spacing w:before="120"/>
              <w:ind w:left="720" w:hanging="720"/>
              <w:jc w:val="both"/>
              <w:rPr>
                <w:rFonts w:ascii="Arial" w:hAnsi="Arial" w:cs="Arial"/>
              </w:rPr>
            </w:pPr>
            <w:r w:rsidRPr="00787277">
              <w:rPr>
                <w:rFonts w:ascii="Arial" w:hAnsi="Arial" w:cs="Arial"/>
                <w:lang w:val="it-IT"/>
              </w:rPr>
              <w:t xml:space="preserve">Abdel-Moneim, A. M., Al-Kahtani, M. A., &amp; Elmenshawy, O. M. (2012). </w:t>
            </w:r>
            <w:r w:rsidRPr="00136CF1">
              <w:rPr>
                <w:rFonts w:ascii="Arial" w:hAnsi="Arial" w:cs="Arial"/>
              </w:rPr>
              <w:t xml:space="preserve">Histopathological biomarkers in </w:t>
            </w:r>
            <w:r>
              <w:rPr>
                <w:rFonts w:ascii="Arial" w:hAnsi="Arial" w:cs="Arial"/>
              </w:rPr>
              <w:t xml:space="preserve">the gills and liver of </w:t>
            </w:r>
            <w:r w:rsidRPr="00E9023D">
              <w:rPr>
                <w:rFonts w:ascii="Arial" w:hAnsi="Arial" w:cs="Arial"/>
                <w:i/>
                <w:iCs/>
              </w:rPr>
              <w:t>Oreochromis niloticus</w:t>
            </w:r>
            <w:r>
              <w:rPr>
                <w:rFonts w:ascii="Arial" w:hAnsi="Arial" w:cs="Arial"/>
              </w:rPr>
              <w:t xml:space="preserve"> from polluted wetland environments in </w:t>
            </w:r>
            <w:r w:rsidRPr="00136CF1">
              <w:rPr>
                <w:rFonts w:ascii="Arial" w:hAnsi="Arial" w:cs="Arial"/>
              </w:rPr>
              <w:t xml:space="preserve">Saudi Arabia. Chemosphere, 88(8), 1028–1035. </w:t>
            </w:r>
            <w:hyperlink r:id="rId18" w:history="1">
              <w:r w:rsidRPr="00136CF1">
                <w:rPr>
                  <w:rStyle w:val="Hyperlink"/>
                  <w:rFonts w:ascii="Arial" w:hAnsi="Arial" w:cs="Arial"/>
                </w:rPr>
                <w:t>https://doi.org/10.1016/j.chemosphere.2012.04.001</w:t>
              </w:r>
            </w:hyperlink>
          </w:p>
        </w:tc>
      </w:tr>
      <w:tr w:rsidR="00F90B02" w:rsidRPr="00E712D0" w14:paraId="4F1C8F67" w14:textId="77777777" w:rsidTr="005063D5">
        <w:tc>
          <w:tcPr>
            <w:tcW w:w="9275" w:type="dxa"/>
          </w:tcPr>
          <w:p w14:paraId="3B7D4067" w14:textId="77777777" w:rsidR="00F90B02" w:rsidRPr="00E712D0" w:rsidRDefault="00F90B02" w:rsidP="00342FCB">
            <w:pPr>
              <w:spacing w:before="120"/>
              <w:ind w:left="720" w:hanging="720"/>
              <w:jc w:val="both"/>
              <w:rPr>
                <w:rFonts w:ascii="Arial" w:hAnsi="Arial" w:cs="Arial"/>
              </w:rPr>
            </w:pPr>
            <w:r w:rsidRPr="00C91556">
              <w:rPr>
                <w:rFonts w:ascii="Arial" w:hAnsi="Arial" w:cs="Arial"/>
                <w:lang w:val="it-IT"/>
              </w:rPr>
              <w:t xml:space="preserve">Agbohessi, P., Olowo, L., Degila, B., Houedjissi, G., Imorou Toko, I., Mandiki, S. N. M., &amp; Kestemont, P. (2023). </w:t>
            </w:r>
            <w:r w:rsidRPr="00C91556">
              <w:rPr>
                <w:rFonts w:ascii="Arial" w:hAnsi="Arial" w:cs="Arial"/>
              </w:rPr>
              <w:t xml:space="preserve">Comparative assessment of acute toxicity and histological changes in </w:t>
            </w:r>
            <w:r>
              <w:rPr>
                <w:rFonts w:ascii="Arial" w:hAnsi="Arial" w:cs="Arial"/>
              </w:rPr>
              <w:t xml:space="preserve">the </w:t>
            </w:r>
            <w:r w:rsidRPr="00C91556">
              <w:rPr>
                <w:rFonts w:ascii="Arial" w:hAnsi="Arial" w:cs="Arial"/>
              </w:rPr>
              <w:t xml:space="preserve">liver of African catfish </w:t>
            </w:r>
            <w:r w:rsidRPr="00C91556">
              <w:rPr>
                <w:rFonts w:ascii="Arial" w:hAnsi="Arial" w:cs="Arial"/>
                <w:i/>
                <w:iCs/>
              </w:rPr>
              <w:t xml:space="preserve">Clarias </w:t>
            </w:r>
            <w:proofErr w:type="spellStart"/>
            <w:r w:rsidRPr="00C91556">
              <w:rPr>
                <w:rFonts w:ascii="Arial" w:hAnsi="Arial" w:cs="Arial"/>
                <w:i/>
                <w:iCs/>
              </w:rPr>
              <w:t>gariepinus</w:t>
            </w:r>
            <w:proofErr w:type="spellEnd"/>
            <w:r w:rsidRPr="00C91556">
              <w:rPr>
                <w:rFonts w:ascii="Arial" w:hAnsi="Arial" w:cs="Arial"/>
              </w:rPr>
              <w:t xml:space="preserve"> exposed to cotton insecticides. Journal of Environmental Science and Health, Part B, 58(1), 31–44. </w:t>
            </w:r>
            <w:hyperlink r:id="rId19" w:history="1">
              <w:r w:rsidRPr="009A6741">
                <w:rPr>
                  <w:rStyle w:val="Hyperlink"/>
                  <w:rFonts w:ascii="Arial" w:hAnsi="Arial" w:cs="Arial"/>
                </w:rPr>
                <w:t>https://doi.org/10.1080/03601234.2023.2168445</w:t>
              </w:r>
            </w:hyperlink>
            <w:r w:rsidRPr="00E712D0">
              <w:rPr>
                <w:rFonts w:ascii="Arial" w:hAnsi="Arial" w:cs="Arial"/>
              </w:rPr>
              <w:t>.</w:t>
            </w:r>
            <w:r>
              <w:rPr>
                <w:rFonts w:ascii="Arial" w:hAnsi="Arial" w:cs="Arial"/>
              </w:rPr>
              <w:t xml:space="preserve"> </w:t>
            </w:r>
            <w:r w:rsidRPr="00E712D0">
              <w:rPr>
                <w:rFonts w:ascii="Arial" w:hAnsi="Arial" w:cs="Arial"/>
              </w:rPr>
              <w:t xml:space="preserve"> </w:t>
            </w:r>
          </w:p>
        </w:tc>
      </w:tr>
      <w:tr w:rsidR="00F90B02" w:rsidRPr="00E712D0" w14:paraId="095DF6BB" w14:textId="77777777" w:rsidTr="005063D5">
        <w:tc>
          <w:tcPr>
            <w:tcW w:w="9275" w:type="dxa"/>
          </w:tcPr>
          <w:p w14:paraId="15B6300C" w14:textId="77777777" w:rsidR="00F90B02" w:rsidRPr="00E712D0" w:rsidRDefault="00F90B02" w:rsidP="00342FCB">
            <w:pPr>
              <w:spacing w:before="120"/>
              <w:ind w:left="720" w:hanging="720"/>
              <w:jc w:val="both"/>
              <w:rPr>
                <w:rFonts w:ascii="Arial" w:hAnsi="Arial" w:cs="Arial"/>
              </w:rPr>
            </w:pPr>
            <w:r w:rsidRPr="00307BAB">
              <w:rPr>
                <w:rFonts w:ascii="Arial" w:hAnsi="Arial" w:cs="Arial"/>
                <w:lang w:val="pt-BR"/>
              </w:rPr>
              <w:t xml:space="preserve">Ajibare, A. O., &amp; Ayeku, P. O. (2024). Glyphosate toxicity: Effects on the behavioural and growth responses of juvenile </w:t>
            </w:r>
            <w:r w:rsidRPr="00556FAF">
              <w:rPr>
                <w:rFonts w:ascii="Arial" w:hAnsi="Arial" w:cs="Arial"/>
                <w:i/>
                <w:iCs/>
                <w:lang w:val="pt-BR"/>
              </w:rPr>
              <w:t>Clarias gariepinus</w:t>
            </w:r>
            <w:r w:rsidRPr="00307BAB">
              <w:rPr>
                <w:rFonts w:ascii="Arial" w:hAnsi="Arial" w:cs="Arial"/>
                <w:lang w:val="pt-BR"/>
              </w:rPr>
              <w:t>. Polytechnica, 7(5)</w:t>
            </w:r>
            <w:r w:rsidRPr="00E712D0">
              <w:rPr>
                <w:rFonts w:ascii="Arial" w:hAnsi="Arial" w:cs="Arial"/>
              </w:rPr>
              <w:t>.</w:t>
            </w:r>
            <w:r>
              <w:rPr>
                <w:rFonts w:ascii="Arial" w:hAnsi="Arial" w:cs="Arial"/>
              </w:rPr>
              <w:t xml:space="preserve"> </w:t>
            </w:r>
            <w:hyperlink r:id="rId20" w:history="1">
              <w:r w:rsidRPr="00F05004">
                <w:rPr>
                  <w:rStyle w:val="Hyperlink"/>
                  <w:rFonts w:ascii="Arial" w:hAnsi="Arial" w:cs="Arial"/>
                </w:rPr>
                <w:t>https://doi.org/10.1007/s41050-024-00046-2</w:t>
              </w:r>
            </w:hyperlink>
            <w:r>
              <w:rPr>
                <w:rFonts w:ascii="Arial" w:hAnsi="Arial" w:cs="Arial"/>
              </w:rPr>
              <w:t xml:space="preserve">    </w:t>
            </w:r>
          </w:p>
        </w:tc>
      </w:tr>
      <w:tr w:rsidR="00F90B02" w:rsidRPr="00E712D0" w14:paraId="4A9EE7D7" w14:textId="77777777" w:rsidTr="005063D5">
        <w:tc>
          <w:tcPr>
            <w:tcW w:w="9275" w:type="dxa"/>
          </w:tcPr>
          <w:p w14:paraId="74CF2A83" w14:textId="77777777" w:rsidR="00F90B02" w:rsidRPr="00E712D0" w:rsidRDefault="00F90B02" w:rsidP="00342FCB">
            <w:pPr>
              <w:spacing w:before="120"/>
              <w:ind w:left="720" w:hanging="720"/>
              <w:jc w:val="both"/>
              <w:rPr>
                <w:rFonts w:ascii="Arial" w:hAnsi="Arial" w:cs="Arial"/>
              </w:rPr>
            </w:pPr>
            <w:r>
              <w:rPr>
                <w:rFonts w:ascii="Arial" w:hAnsi="Arial" w:cs="Arial"/>
              </w:rPr>
              <w:lastRenderedPageBreak/>
              <w:t>Anwar</w:t>
            </w:r>
            <w:r w:rsidRPr="00E712D0">
              <w:rPr>
                <w:rFonts w:ascii="Arial" w:hAnsi="Arial" w:cs="Arial"/>
              </w:rPr>
              <w:t xml:space="preserve">, </w:t>
            </w:r>
            <w:r>
              <w:rPr>
                <w:rFonts w:ascii="Arial" w:hAnsi="Arial" w:cs="Arial"/>
              </w:rPr>
              <w:t>A</w:t>
            </w:r>
            <w:r w:rsidRPr="00E712D0">
              <w:rPr>
                <w:rFonts w:ascii="Arial" w:hAnsi="Arial" w:cs="Arial"/>
              </w:rPr>
              <w:t>. (</w:t>
            </w:r>
            <w:r>
              <w:rPr>
                <w:rFonts w:ascii="Arial" w:hAnsi="Arial" w:cs="Arial"/>
              </w:rPr>
              <w:t>2023</w:t>
            </w:r>
            <w:r w:rsidRPr="00E712D0">
              <w:rPr>
                <w:rFonts w:ascii="Arial" w:hAnsi="Arial" w:cs="Arial"/>
              </w:rPr>
              <w:t xml:space="preserve">). </w:t>
            </w:r>
            <w:r>
              <w:rPr>
                <w:rFonts w:ascii="Arial" w:hAnsi="Arial" w:cs="Arial"/>
              </w:rPr>
              <w:t>Physiological</w:t>
            </w:r>
            <w:r w:rsidRPr="00E712D0">
              <w:rPr>
                <w:rFonts w:ascii="Arial" w:hAnsi="Arial" w:cs="Arial"/>
              </w:rPr>
              <w:t xml:space="preserve"> changes in common carp exposed to pyrethroid</w:t>
            </w:r>
            <w:r>
              <w:rPr>
                <w:rFonts w:ascii="Arial" w:hAnsi="Arial" w:cs="Arial"/>
              </w:rPr>
              <w:t xml:space="preserve"> pesticides using well water</w:t>
            </w:r>
            <w:r w:rsidRPr="00E712D0">
              <w:rPr>
                <w:rFonts w:ascii="Arial" w:hAnsi="Arial" w:cs="Arial"/>
              </w:rPr>
              <w:t xml:space="preserve">. </w:t>
            </w:r>
            <w:r w:rsidRPr="00456C30">
              <w:rPr>
                <w:rFonts w:ascii="Arial" w:hAnsi="Arial" w:cs="Arial"/>
                <w:i/>
                <w:iCs/>
              </w:rPr>
              <w:t xml:space="preserve">Journal of </w:t>
            </w:r>
            <w:r>
              <w:rPr>
                <w:rFonts w:ascii="Arial" w:hAnsi="Arial" w:cs="Arial"/>
                <w:i/>
                <w:iCs/>
              </w:rPr>
              <w:t>Pure and Applied Sciences</w:t>
            </w:r>
            <w:r w:rsidRPr="00456C30">
              <w:rPr>
                <w:rFonts w:ascii="Arial" w:hAnsi="Arial" w:cs="Arial"/>
                <w:i/>
                <w:iCs/>
              </w:rPr>
              <w:t xml:space="preserve">, </w:t>
            </w:r>
            <w:r>
              <w:rPr>
                <w:rFonts w:ascii="Arial" w:hAnsi="Arial" w:cs="Arial"/>
                <w:i/>
                <w:iCs/>
              </w:rPr>
              <w:t>3</w:t>
            </w:r>
            <w:r w:rsidRPr="00456C30">
              <w:rPr>
                <w:rFonts w:ascii="Arial" w:hAnsi="Arial" w:cs="Arial"/>
                <w:i/>
                <w:iCs/>
              </w:rPr>
              <w:t>5</w:t>
            </w:r>
            <w:r w:rsidRPr="00E712D0">
              <w:rPr>
                <w:rFonts w:ascii="Arial" w:hAnsi="Arial" w:cs="Arial"/>
              </w:rPr>
              <w:t>(</w:t>
            </w:r>
            <w:r>
              <w:rPr>
                <w:rFonts w:ascii="Arial" w:hAnsi="Arial" w:cs="Arial"/>
              </w:rPr>
              <w:t>6</w:t>
            </w:r>
            <w:r w:rsidRPr="00E712D0">
              <w:rPr>
                <w:rFonts w:ascii="Arial" w:hAnsi="Arial" w:cs="Arial"/>
              </w:rPr>
              <w:t xml:space="preserve">), </w:t>
            </w:r>
            <w:r>
              <w:rPr>
                <w:rFonts w:ascii="Arial" w:hAnsi="Arial" w:cs="Arial"/>
              </w:rPr>
              <w:t>171</w:t>
            </w:r>
            <w:r w:rsidRPr="00E712D0">
              <w:rPr>
                <w:rFonts w:ascii="Arial" w:hAnsi="Arial" w:cs="Arial"/>
              </w:rPr>
              <w:t>–</w:t>
            </w:r>
            <w:r>
              <w:rPr>
                <w:rFonts w:ascii="Arial" w:hAnsi="Arial" w:cs="Arial"/>
              </w:rPr>
              <w:t>178</w:t>
            </w:r>
            <w:r w:rsidRPr="00E712D0">
              <w:rPr>
                <w:rFonts w:ascii="Arial" w:hAnsi="Arial" w:cs="Arial"/>
              </w:rPr>
              <w:t>.</w:t>
            </w:r>
            <w:r w:rsidRPr="008850C9">
              <w:rPr>
                <w:rFonts w:ascii="Arial" w:hAnsi="Arial" w:cs="Arial"/>
              </w:rPr>
              <w:t xml:space="preserve"> </w:t>
            </w:r>
            <w:hyperlink r:id="rId21" w:history="1">
              <w:r w:rsidRPr="00F05004">
                <w:rPr>
                  <w:rStyle w:val="Hyperlink"/>
                  <w:rFonts w:ascii="Arial" w:hAnsi="Arial" w:cs="Arial"/>
                </w:rPr>
                <w:t>http://dx.doi.org/10.21271/ZJPAS.35.6.17</w:t>
              </w:r>
            </w:hyperlink>
            <w:r>
              <w:rPr>
                <w:rFonts w:ascii="Arial" w:hAnsi="Arial" w:cs="Arial"/>
              </w:rPr>
              <w:t xml:space="preserve">. </w:t>
            </w:r>
          </w:p>
        </w:tc>
      </w:tr>
      <w:tr w:rsidR="00F90B02" w:rsidRPr="00E712D0" w14:paraId="69147C3A" w14:textId="77777777" w:rsidTr="005063D5">
        <w:tc>
          <w:tcPr>
            <w:tcW w:w="9275" w:type="dxa"/>
          </w:tcPr>
          <w:p w14:paraId="4D30ED82" w14:textId="77777777" w:rsidR="00F90B02" w:rsidRPr="00E712D0" w:rsidRDefault="00F90B02" w:rsidP="00136CF1">
            <w:pPr>
              <w:spacing w:before="120"/>
              <w:ind w:left="720" w:hanging="720"/>
              <w:jc w:val="both"/>
              <w:rPr>
                <w:rFonts w:ascii="Arial" w:hAnsi="Arial" w:cs="Arial"/>
              </w:rPr>
            </w:pPr>
            <w:r w:rsidRPr="00787277">
              <w:rPr>
                <w:rFonts w:ascii="Arial" w:hAnsi="Arial" w:cs="Arial"/>
              </w:rPr>
              <w:t xml:space="preserve">Au, D. W. T. (2004). The application of </w:t>
            </w:r>
            <w:proofErr w:type="spellStart"/>
            <w:r w:rsidRPr="00787277">
              <w:rPr>
                <w:rFonts w:ascii="Arial" w:hAnsi="Arial" w:cs="Arial"/>
              </w:rPr>
              <w:t>histo</w:t>
            </w:r>
            <w:proofErr w:type="spellEnd"/>
            <w:r w:rsidRPr="00787277">
              <w:rPr>
                <w:rFonts w:ascii="Arial" w:hAnsi="Arial" w:cs="Arial"/>
              </w:rPr>
              <w:t xml:space="preserve">-cytopathological biomarkers in marine pollution monitoring: A review. Marine Pollution Bulletin, 48(9–10), 817–834. </w:t>
            </w:r>
            <w:hyperlink r:id="rId22" w:history="1">
              <w:r w:rsidRPr="00C027F0">
                <w:rPr>
                  <w:rStyle w:val="Hyperlink"/>
                  <w:rFonts w:ascii="Arial" w:hAnsi="Arial" w:cs="Arial"/>
                </w:rPr>
                <w:t>https://doi.org/10.1016/j.marpolbul.2004.02.032</w:t>
              </w:r>
            </w:hyperlink>
          </w:p>
        </w:tc>
      </w:tr>
      <w:tr w:rsidR="00F90B02" w:rsidRPr="00E712D0" w14:paraId="49CCB28E" w14:textId="77777777" w:rsidTr="005063D5">
        <w:tc>
          <w:tcPr>
            <w:tcW w:w="9275" w:type="dxa"/>
          </w:tcPr>
          <w:p w14:paraId="51EE9B67" w14:textId="77777777" w:rsidR="00F90B02" w:rsidRPr="00E712D0" w:rsidRDefault="00F90B02" w:rsidP="00136CF1">
            <w:pPr>
              <w:spacing w:before="120"/>
              <w:ind w:left="720" w:hanging="720"/>
              <w:jc w:val="both"/>
              <w:rPr>
                <w:rFonts w:ascii="Arial" w:hAnsi="Arial" w:cs="Arial"/>
              </w:rPr>
            </w:pPr>
            <w:r w:rsidRPr="00787277">
              <w:rPr>
                <w:rFonts w:ascii="Arial" w:hAnsi="Arial" w:cs="Arial"/>
              </w:rPr>
              <w:t xml:space="preserve">Ayoola, S. O. (2008). Toxicity of glyphosate herbicide on Nile tilapia (Oreochromis niloticus) juvenile. African Journal of Agricultural Research. </w:t>
            </w:r>
            <w:hyperlink r:id="rId23" w:history="1">
              <w:r w:rsidRPr="00C027F0">
                <w:rPr>
                  <w:rStyle w:val="Hyperlink"/>
                  <w:rFonts w:ascii="Arial" w:hAnsi="Arial" w:cs="Arial"/>
                </w:rPr>
                <w:t>https://doi.org/10.5897/AJAR.9000744</w:t>
              </w:r>
            </w:hyperlink>
          </w:p>
        </w:tc>
      </w:tr>
      <w:tr w:rsidR="00F90B02" w:rsidRPr="00E712D0" w14:paraId="69AA0251" w14:textId="77777777" w:rsidTr="005063D5">
        <w:tc>
          <w:tcPr>
            <w:tcW w:w="9275" w:type="dxa"/>
          </w:tcPr>
          <w:p w14:paraId="4CEAE041"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Chavin, W. (1973). Physiological aspects of toxicology. American Zoologist, 13(2), 451–453. </w:t>
            </w:r>
            <w:hyperlink r:id="rId24" w:history="1">
              <w:r w:rsidRPr="00C027F0">
                <w:rPr>
                  <w:rStyle w:val="Hyperlink"/>
                  <w:rFonts w:ascii="Arial" w:hAnsi="Arial" w:cs="Arial"/>
                </w:rPr>
                <w:t>https://doi.org/10.1093/icb/13.2.451</w:t>
              </w:r>
            </w:hyperlink>
            <w:r>
              <w:rPr>
                <w:rFonts w:ascii="Arial" w:hAnsi="Arial" w:cs="Arial"/>
              </w:rPr>
              <w:t xml:space="preserve"> </w:t>
            </w:r>
          </w:p>
        </w:tc>
      </w:tr>
      <w:tr w:rsidR="00F90B02" w:rsidRPr="00E712D0" w14:paraId="2166751A" w14:textId="77777777" w:rsidTr="005063D5">
        <w:tc>
          <w:tcPr>
            <w:tcW w:w="9275" w:type="dxa"/>
          </w:tcPr>
          <w:p w14:paraId="3A27BC10" w14:textId="77777777" w:rsidR="00F90B02" w:rsidRPr="00E712D0" w:rsidRDefault="00F90B02" w:rsidP="00342FCB">
            <w:pPr>
              <w:spacing w:before="120"/>
              <w:ind w:left="720" w:hanging="720"/>
              <w:jc w:val="both"/>
              <w:rPr>
                <w:rFonts w:ascii="Arial" w:hAnsi="Arial" w:cs="Arial"/>
              </w:rPr>
            </w:pPr>
            <w:r w:rsidRPr="00252469">
              <w:rPr>
                <w:rFonts w:ascii="Arial" w:hAnsi="Arial" w:cs="Arial"/>
              </w:rPr>
              <w:t>Devi, N.</w:t>
            </w:r>
            <w:r>
              <w:rPr>
                <w:rFonts w:ascii="Arial" w:hAnsi="Arial" w:cs="Arial"/>
              </w:rPr>
              <w:t xml:space="preserve"> </w:t>
            </w:r>
            <w:r w:rsidRPr="00252469">
              <w:rPr>
                <w:rFonts w:ascii="Arial" w:hAnsi="Arial" w:cs="Arial"/>
              </w:rPr>
              <w:t xml:space="preserve">N., Sapana Devi, M., </w:t>
            </w:r>
            <w:proofErr w:type="spellStart"/>
            <w:r w:rsidRPr="00252469">
              <w:rPr>
                <w:rFonts w:ascii="Arial" w:hAnsi="Arial" w:cs="Arial"/>
              </w:rPr>
              <w:t>Thounaojam</w:t>
            </w:r>
            <w:proofErr w:type="spellEnd"/>
            <w:r w:rsidRPr="00252469">
              <w:rPr>
                <w:rFonts w:ascii="Arial" w:hAnsi="Arial" w:cs="Arial"/>
              </w:rPr>
              <w:t>, R.</w:t>
            </w:r>
            <w:r>
              <w:rPr>
                <w:rFonts w:ascii="Arial" w:hAnsi="Arial" w:cs="Arial"/>
              </w:rPr>
              <w:t xml:space="preserve"> </w:t>
            </w:r>
            <w:r w:rsidRPr="00252469">
              <w:rPr>
                <w:rFonts w:ascii="Arial" w:hAnsi="Arial" w:cs="Arial"/>
              </w:rPr>
              <w:t>S.</w:t>
            </w:r>
            <w:r>
              <w:rPr>
                <w:rFonts w:ascii="Arial" w:hAnsi="Arial" w:cs="Arial"/>
              </w:rPr>
              <w:t>, Singh, K. B., Singh, T. B., Chanu, L. B., &amp;</w:t>
            </w:r>
            <w:r w:rsidRPr="00252469">
              <w:rPr>
                <w:rFonts w:ascii="Arial" w:hAnsi="Arial" w:cs="Arial"/>
              </w:rPr>
              <w:t xml:space="preserve"> </w:t>
            </w:r>
            <w:r>
              <w:rPr>
                <w:rFonts w:ascii="Arial" w:hAnsi="Arial" w:cs="Arial"/>
              </w:rPr>
              <w:t>Gupta, A. (2024).</w:t>
            </w:r>
            <w:r w:rsidRPr="00252469">
              <w:rPr>
                <w:rFonts w:ascii="Arial" w:hAnsi="Arial" w:cs="Arial"/>
              </w:rPr>
              <w:t xml:space="preserve"> Toxic effects of chlorpyrifos on biochemical composition, enzyme activity and gill surface ultrastructure of three species of small fishes from India. Environ</w:t>
            </w:r>
            <w:r>
              <w:rPr>
                <w:rFonts w:ascii="Arial" w:hAnsi="Arial" w:cs="Arial"/>
              </w:rPr>
              <w:t>mental</w:t>
            </w:r>
            <w:r w:rsidRPr="00252469">
              <w:rPr>
                <w:rFonts w:ascii="Arial" w:hAnsi="Arial" w:cs="Arial"/>
              </w:rPr>
              <w:t xml:space="preserve"> Sci</w:t>
            </w:r>
            <w:r>
              <w:rPr>
                <w:rFonts w:ascii="Arial" w:hAnsi="Arial" w:cs="Arial"/>
              </w:rPr>
              <w:t>ence and</w:t>
            </w:r>
            <w:r w:rsidRPr="00252469">
              <w:rPr>
                <w:rFonts w:ascii="Arial" w:hAnsi="Arial" w:cs="Arial"/>
              </w:rPr>
              <w:t xml:space="preserve"> Pollut</w:t>
            </w:r>
            <w:r>
              <w:rPr>
                <w:rFonts w:ascii="Arial" w:hAnsi="Arial" w:cs="Arial"/>
              </w:rPr>
              <w:t>ion</w:t>
            </w:r>
            <w:r w:rsidRPr="00252469">
              <w:rPr>
                <w:rFonts w:ascii="Arial" w:hAnsi="Arial" w:cs="Arial"/>
              </w:rPr>
              <w:t xml:space="preserve"> Res</w:t>
            </w:r>
            <w:r>
              <w:rPr>
                <w:rFonts w:ascii="Arial" w:hAnsi="Arial" w:cs="Arial"/>
              </w:rPr>
              <w:t>earch, 31, 35498.</w:t>
            </w:r>
            <w:r w:rsidRPr="00252469">
              <w:rPr>
                <w:rFonts w:ascii="Arial" w:hAnsi="Arial" w:cs="Arial"/>
              </w:rPr>
              <w:t xml:space="preserve"> </w:t>
            </w:r>
            <w:hyperlink r:id="rId25" w:history="1">
              <w:r w:rsidRPr="00F05004">
                <w:rPr>
                  <w:rStyle w:val="Hyperlink"/>
                  <w:rFonts w:ascii="Arial" w:hAnsi="Arial" w:cs="Arial"/>
                </w:rPr>
                <w:t>https://doi.org/10.1007/s11356-024-35498-7</w:t>
              </w:r>
            </w:hyperlink>
            <w:r>
              <w:rPr>
                <w:rFonts w:ascii="Arial" w:hAnsi="Arial" w:cs="Arial"/>
              </w:rPr>
              <w:t xml:space="preserve"> </w:t>
            </w:r>
          </w:p>
        </w:tc>
      </w:tr>
      <w:tr w:rsidR="00F90B02" w:rsidRPr="00E712D0" w14:paraId="1040FCE9" w14:textId="77777777" w:rsidTr="005063D5">
        <w:tc>
          <w:tcPr>
            <w:tcW w:w="9275" w:type="dxa"/>
          </w:tcPr>
          <w:p w14:paraId="72A71E44" w14:textId="77777777" w:rsidR="00F90B02" w:rsidRPr="009A71B2" w:rsidRDefault="00F90B02" w:rsidP="00342FCB">
            <w:pPr>
              <w:spacing w:before="120"/>
              <w:ind w:left="720" w:hanging="720"/>
              <w:jc w:val="both"/>
              <w:rPr>
                <w:rFonts w:ascii="Arial" w:hAnsi="Arial" w:cs="Arial"/>
                <w:color w:val="EE0000"/>
              </w:rPr>
            </w:pPr>
            <w:r w:rsidRPr="009A71B2">
              <w:rPr>
                <w:rFonts w:ascii="Arial" w:hAnsi="Arial" w:cs="Arial"/>
              </w:rPr>
              <w:t xml:space="preserve">Fırat Ö, &amp; Tutus, R. (2020). Comparative acute toxicity assessment of organophosphate and </w:t>
            </w:r>
            <w:proofErr w:type="spellStart"/>
            <w:r w:rsidRPr="009A71B2">
              <w:rPr>
                <w:rFonts w:ascii="Arial" w:hAnsi="Arial" w:cs="Arial"/>
              </w:rPr>
              <w:t>avermectin</w:t>
            </w:r>
            <w:proofErr w:type="spellEnd"/>
            <w:r w:rsidRPr="009A71B2">
              <w:rPr>
                <w:rFonts w:ascii="Arial" w:hAnsi="Arial" w:cs="Arial"/>
              </w:rPr>
              <w:t xml:space="preserve"> insecticides on a freshwater fish, </w:t>
            </w:r>
            <w:r w:rsidRPr="009A71B2">
              <w:rPr>
                <w:rFonts w:ascii="Arial" w:hAnsi="Arial" w:cs="Arial"/>
                <w:i/>
                <w:iCs/>
              </w:rPr>
              <w:t>Oreochromis niloticus.</w:t>
            </w:r>
            <w:r w:rsidRPr="009A71B2">
              <w:rPr>
                <w:rFonts w:ascii="Arial" w:hAnsi="Arial" w:cs="Arial"/>
              </w:rPr>
              <w:t xml:space="preserve"> Bulletin of </w:t>
            </w:r>
            <w:r w:rsidRPr="009A71B2">
              <w:rPr>
                <w:rFonts w:ascii="Arial" w:hAnsi="Arial" w:cs="Arial"/>
                <w:i/>
                <w:iCs/>
              </w:rPr>
              <w:t>Environmental Contamination and Toxicology</w:t>
            </w:r>
            <w:r w:rsidRPr="009A71B2">
              <w:rPr>
                <w:rFonts w:ascii="Arial" w:hAnsi="Arial" w:cs="Arial"/>
              </w:rPr>
              <w:t xml:space="preserve">, </w:t>
            </w:r>
            <w:r w:rsidRPr="009A71B2">
              <w:rPr>
                <w:rFonts w:ascii="Arial" w:hAnsi="Arial" w:cs="Arial"/>
                <w:i/>
                <w:iCs/>
              </w:rPr>
              <w:t>105(4),</w:t>
            </w:r>
            <w:r w:rsidRPr="009A71B2">
              <w:rPr>
                <w:rFonts w:ascii="Arial" w:hAnsi="Arial" w:cs="Arial"/>
              </w:rPr>
              <w:t xml:space="preserve"> 582-587. </w:t>
            </w:r>
            <w:hyperlink r:id="rId26" w:history="1">
              <w:r w:rsidRPr="009A6741">
                <w:rPr>
                  <w:rStyle w:val="Hyperlink"/>
                  <w:rFonts w:ascii="Arial" w:hAnsi="Arial" w:cs="Arial"/>
                </w:rPr>
                <w:t>http://</w:t>
              </w:r>
              <w:r w:rsidRPr="009A6741">
                <w:rPr>
                  <w:rStyle w:val="Hyperlink"/>
                  <w:rFonts w:ascii="Segoe UI" w:hAnsi="Segoe UI" w:cs="Segoe UI"/>
                  <w:shd w:val="clear" w:color="auto" w:fill="FFFFFF"/>
                </w:rPr>
                <w:t>doi.org/10.1007/s00128-020-02990-y</w:t>
              </w:r>
            </w:hyperlink>
            <w:r>
              <w:rPr>
                <w:rFonts w:ascii="Segoe UI" w:hAnsi="Segoe UI" w:cs="Segoe UI"/>
                <w:color w:val="EE0000"/>
                <w:shd w:val="clear" w:color="auto" w:fill="FFFFFF"/>
              </w:rPr>
              <w:t xml:space="preserve">.  </w:t>
            </w:r>
            <w:r w:rsidRPr="009A71B2">
              <w:rPr>
                <w:rFonts w:ascii="Segoe UI" w:hAnsi="Segoe UI" w:cs="Segoe UI"/>
                <w:color w:val="EE0000"/>
                <w:shd w:val="clear" w:color="auto" w:fill="FFFFFF"/>
              </w:rPr>
              <w:t xml:space="preserve"> </w:t>
            </w:r>
          </w:p>
        </w:tc>
      </w:tr>
      <w:tr w:rsidR="00F90B02" w:rsidRPr="00E712D0" w14:paraId="4C7F48F8" w14:textId="77777777" w:rsidTr="005063D5">
        <w:tc>
          <w:tcPr>
            <w:tcW w:w="9275" w:type="dxa"/>
          </w:tcPr>
          <w:p w14:paraId="283320D5" w14:textId="77777777" w:rsidR="00F90B02" w:rsidRPr="00E712D0" w:rsidRDefault="00F90B02" w:rsidP="00342FCB">
            <w:pPr>
              <w:spacing w:before="120"/>
              <w:ind w:left="720" w:hanging="720"/>
              <w:jc w:val="both"/>
              <w:rPr>
                <w:rFonts w:ascii="Arial" w:hAnsi="Arial" w:cs="Arial"/>
              </w:rPr>
            </w:pPr>
            <w:r w:rsidRPr="00787277">
              <w:rPr>
                <w:rFonts w:ascii="Arial" w:hAnsi="Arial" w:cs="Arial"/>
                <w:lang w:val="it-IT"/>
              </w:rPr>
              <w:t xml:space="preserve">Haniffa, M. A., &amp; Porchelvi, M. (1985). </w:t>
            </w:r>
            <w:r w:rsidRPr="00136CF1">
              <w:rPr>
                <w:rFonts w:ascii="Arial" w:hAnsi="Arial" w:cs="Arial"/>
              </w:rPr>
              <w:t xml:space="preserve">Effect of distillery effluent on oxygen consumption of freshwater fish </w:t>
            </w:r>
            <w:proofErr w:type="spellStart"/>
            <w:r w:rsidRPr="000D3906">
              <w:rPr>
                <w:rFonts w:ascii="Arial" w:hAnsi="Arial" w:cs="Arial"/>
                <w:i/>
                <w:iCs/>
              </w:rPr>
              <w:t>Sarotherodon</w:t>
            </w:r>
            <w:proofErr w:type="spellEnd"/>
            <w:r w:rsidRPr="000D3906">
              <w:rPr>
                <w:rFonts w:ascii="Arial" w:hAnsi="Arial" w:cs="Arial"/>
                <w:i/>
                <w:iCs/>
              </w:rPr>
              <w:t xml:space="preserve"> </w:t>
            </w:r>
            <w:proofErr w:type="spellStart"/>
            <w:r w:rsidRPr="000D3906">
              <w:rPr>
                <w:rFonts w:ascii="Arial" w:hAnsi="Arial" w:cs="Arial"/>
                <w:i/>
                <w:iCs/>
              </w:rPr>
              <w:t>mossambicus</w:t>
            </w:r>
            <w:proofErr w:type="spellEnd"/>
            <w:r w:rsidRPr="00136CF1">
              <w:rPr>
                <w:rFonts w:ascii="Arial" w:hAnsi="Arial" w:cs="Arial"/>
              </w:rPr>
              <w:t xml:space="preserve">. </w:t>
            </w:r>
            <w:r w:rsidRPr="00787277">
              <w:rPr>
                <w:rFonts w:ascii="Arial" w:hAnsi="Arial" w:cs="Arial"/>
                <w:lang w:val="it-IT"/>
              </w:rPr>
              <w:t>Journal of Environmental Biology, 6(1), 17–23.</w:t>
            </w:r>
            <w:r>
              <w:rPr>
                <w:rFonts w:ascii="Arial" w:hAnsi="Arial" w:cs="Arial"/>
                <w:lang w:val="it-IT"/>
              </w:rPr>
              <w:t xml:space="preserve"> </w:t>
            </w:r>
          </w:p>
        </w:tc>
      </w:tr>
      <w:tr w:rsidR="00F90B02" w:rsidRPr="00E712D0" w14:paraId="2AAB6D10" w14:textId="77777777" w:rsidTr="005063D5">
        <w:tc>
          <w:tcPr>
            <w:tcW w:w="9275" w:type="dxa"/>
          </w:tcPr>
          <w:p w14:paraId="4A1F37C5"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Jia, W., Mao, L., Zhang, L., Zhang, Y., &amp; Jiang, H. (2018). Effects of Two Strobilurins (Azoxystrobin and Picoxystrobin) on Embryonic Development and Enzyme Activities in Juveniles and Adult Fish Livers of Zebrafish (Danio Rerio). Chemosphere, 207, 573–580. </w:t>
            </w:r>
            <w:hyperlink r:id="rId27" w:history="1">
              <w:r w:rsidRPr="00C027F0">
                <w:rPr>
                  <w:rStyle w:val="Hyperlink"/>
                  <w:rFonts w:ascii="Arial" w:hAnsi="Arial" w:cs="Arial"/>
                </w:rPr>
                <w:t>https://doi.org/10.1016/j.chemosphere.2018.05.138</w:t>
              </w:r>
            </w:hyperlink>
            <w:r>
              <w:rPr>
                <w:rFonts w:ascii="Arial" w:hAnsi="Arial" w:cs="Arial"/>
              </w:rPr>
              <w:t xml:space="preserve"> </w:t>
            </w:r>
          </w:p>
        </w:tc>
      </w:tr>
      <w:tr w:rsidR="00F90B02" w:rsidRPr="00E712D0" w14:paraId="16324F4F" w14:textId="77777777" w:rsidTr="005063D5">
        <w:tc>
          <w:tcPr>
            <w:tcW w:w="9275" w:type="dxa"/>
          </w:tcPr>
          <w:p w14:paraId="0D83D941"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Kataoka, C., Yoshino, K., Kashiwada, S., &amp; Yamamoto, M. (2021). Do Polystyrene Beads Contribute to Accumulation of Methylmercury in Oysters? Archives of Environmental Contamination and Toxicology, 81(1), 36–45. </w:t>
            </w:r>
            <w:hyperlink r:id="rId28" w:history="1">
              <w:r w:rsidRPr="00C027F0">
                <w:rPr>
                  <w:rStyle w:val="Hyperlink"/>
                  <w:rFonts w:ascii="Arial" w:hAnsi="Arial" w:cs="Arial"/>
                </w:rPr>
                <w:t>https://doi.org/10.1007/s00244-021-00848-w</w:t>
              </w:r>
            </w:hyperlink>
            <w:r>
              <w:rPr>
                <w:rFonts w:ascii="Arial" w:hAnsi="Arial" w:cs="Arial"/>
              </w:rPr>
              <w:t xml:space="preserve"> </w:t>
            </w:r>
          </w:p>
        </w:tc>
      </w:tr>
      <w:tr w:rsidR="00F90B02" w:rsidRPr="00E712D0" w14:paraId="1B0A707D" w14:textId="77777777" w:rsidTr="005063D5">
        <w:tc>
          <w:tcPr>
            <w:tcW w:w="9275" w:type="dxa"/>
          </w:tcPr>
          <w:p w14:paraId="2319421F" w14:textId="77777777" w:rsidR="00F90B02" w:rsidRPr="00787277" w:rsidRDefault="00F90B02" w:rsidP="009023E6">
            <w:pPr>
              <w:spacing w:before="120"/>
              <w:ind w:left="720" w:hanging="720"/>
              <w:jc w:val="both"/>
              <w:rPr>
                <w:rFonts w:ascii="Arial" w:hAnsi="Arial" w:cs="Arial"/>
              </w:rPr>
            </w:pPr>
            <w:r w:rsidRPr="009023E6">
              <w:rPr>
                <w:rFonts w:ascii="Arial" w:hAnsi="Arial" w:cs="Arial"/>
                <w:lang w:val="it-IT"/>
              </w:rPr>
              <w:t xml:space="preserve">Kumara, S., Salonia, S., &amp; Sahb, L. (2021). </w:t>
            </w:r>
            <w:r w:rsidRPr="009023E6">
              <w:rPr>
                <w:rFonts w:ascii="Arial" w:hAnsi="Arial" w:cs="Arial"/>
              </w:rPr>
              <w:t xml:space="preserve">Toxic effect of </w:t>
            </w:r>
            <w:proofErr w:type="spellStart"/>
            <w:r w:rsidRPr="009023E6">
              <w:rPr>
                <w:rFonts w:ascii="Arial" w:hAnsi="Arial" w:cs="Arial"/>
              </w:rPr>
              <w:t>profenofos</w:t>
            </w:r>
            <w:proofErr w:type="spellEnd"/>
            <w:r w:rsidRPr="009023E6">
              <w:rPr>
                <w:rFonts w:ascii="Arial" w:hAnsi="Arial" w:cs="Arial"/>
              </w:rPr>
              <w:t xml:space="preserve"> (Mardo) on bimodal oxygen uptake in </w:t>
            </w:r>
            <w:proofErr w:type="spellStart"/>
            <w:r w:rsidRPr="009023E6">
              <w:rPr>
                <w:rFonts w:ascii="Arial" w:hAnsi="Arial" w:cs="Arial"/>
                <w:i/>
                <w:iCs/>
              </w:rPr>
              <w:t>Labeo</w:t>
            </w:r>
            <w:proofErr w:type="spellEnd"/>
            <w:r w:rsidRPr="009023E6">
              <w:rPr>
                <w:rFonts w:ascii="Arial" w:hAnsi="Arial" w:cs="Arial"/>
                <w:i/>
                <w:iCs/>
              </w:rPr>
              <w:t xml:space="preserve"> </w:t>
            </w:r>
            <w:proofErr w:type="spellStart"/>
            <w:r w:rsidRPr="009023E6">
              <w:rPr>
                <w:rFonts w:ascii="Arial" w:hAnsi="Arial" w:cs="Arial"/>
                <w:i/>
                <w:iCs/>
              </w:rPr>
              <w:t>rohita</w:t>
            </w:r>
            <w:proofErr w:type="spellEnd"/>
            <w:r w:rsidRPr="009023E6">
              <w:rPr>
                <w:rFonts w:ascii="Arial" w:hAnsi="Arial" w:cs="Arial"/>
              </w:rPr>
              <w:t xml:space="preserve">. </w:t>
            </w:r>
            <w:proofErr w:type="spellStart"/>
            <w:r w:rsidRPr="009023E6">
              <w:rPr>
                <w:rFonts w:ascii="Arial" w:hAnsi="Arial" w:cs="Arial"/>
              </w:rPr>
              <w:t>Biospectra</w:t>
            </w:r>
            <w:proofErr w:type="spellEnd"/>
            <w:r w:rsidRPr="009023E6">
              <w:rPr>
                <w:rFonts w:ascii="Arial" w:hAnsi="Arial" w:cs="Arial"/>
              </w:rPr>
              <w:t>, 16(1), 215–218.</w:t>
            </w:r>
            <w:r>
              <w:rPr>
                <w:rFonts w:ascii="Arial" w:hAnsi="Arial" w:cs="Arial"/>
              </w:rPr>
              <w:t xml:space="preserve"> </w:t>
            </w:r>
            <w:hyperlink r:id="rId29" w:history="1">
              <w:r w:rsidRPr="00F05004">
                <w:rPr>
                  <w:rStyle w:val="Hyperlink"/>
                  <w:rFonts w:ascii="Arial" w:hAnsi="Arial" w:cs="Arial"/>
                </w:rPr>
                <w:t>http://www.https://mset-biospectra.org/wp-content/uploads/2021/09/215-218.pdf</w:t>
              </w:r>
            </w:hyperlink>
            <w:r>
              <w:rPr>
                <w:rFonts w:ascii="Arial" w:hAnsi="Arial" w:cs="Arial"/>
              </w:rPr>
              <w:t xml:space="preserve">. </w:t>
            </w:r>
          </w:p>
        </w:tc>
      </w:tr>
      <w:tr w:rsidR="00F90B02" w:rsidRPr="00E712D0" w14:paraId="1F3A42DD" w14:textId="77777777" w:rsidTr="005063D5">
        <w:tc>
          <w:tcPr>
            <w:tcW w:w="9275" w:type="dxa"/>
          </w:tcPr>
          <w:p w14:paraId="7A8A1AFD"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Kumari, K. (2020). Pesticides toxicity in fishes: A review. Journal of Entomology and Zoology Studies, 8(5), 1640–1642.</w:t>
            </w:r>
            <w:r>
              <w:rPr>
                <w:rFonts w:ascii="Arial" w:hAnsi="Arial" w:cs="Arial"/>
              </w:rPr>
              <w:t xml:space="preserve"> </w:t>
            </w:r>
            <w:hyperlink r:id="rId30" w:history="1">
              <w:r w:rsidRPr="00F05004">
                <w:rPr>
                  <w:rStyle w:val="Hyperlink"/>
                  <w:rFonts w:ascii="Arial" w:hAnsi="Arial" w:cs="Arial"/>
                </w:rPr>
                <w:t>https://www.entomoljournal.com/archives/2020/vol8issue5/PartZ/8-5-100-907.pdf</w:t>
              </w:r>
            </w:hyperlink>
            <w:r>
              <w:rPr>
                <w:rFonts w:ascii="Arial" w:hAnsi="Arial" w:cs="Arial"/>
              </w:rPr>
              <w:t xml:space="preserve"> </w:t>
            </w:r>
          </w:p>
        </w:tc>
      </w:tr>
      <w:tr w:rsidR="00F90B02" w:rsidRPr="00E712D0" w14:paraId="109FA33C" w14:textId="77777777" w:rsidTr="005063D5">
        <w:tc>
          <w:tcPr>
            <w:tcW w:w="9275" w:type="dxa"/>
          </w:tcPr>
          <w:p w14:paraId="1923E1F1" w14:textId="77777777" w:rsidR="00F90B02" w:rsidRPr="00E712D0" w:rsidRDefault="00F90B02" w:rsidP="000B359E">
            <w:pPr>
              <w:spacing w:before="120"/>
              <w:ind w:left="720" w:hanging="720"/>
              <w:jc w:val="both"/>
              <w:rPr>
                <w:rFonts w:ascii="Arial" w:hAnsi="Arial" w:cs="Arial"/>
              </w:rPr>
            </w:pPr>
            <w:r w:rsidRPr="000B359E">
              <w:rPr>
                <w:rFonts w:ascii="Arial" w:hAnsi="Arial" w:cs="Arial"/>
              </w:rPr>
              <w:t>Kumari, S. (2020). Impacts of chlorpyrifos (an organophosphate pesticide) in fish. International Journal of Fauna and Biological Studies, 7(4), 48–54.</w:t>
            </w:r>
            <w:r>
              <w:rPr>
                <w:rFonts w:ascii="Arial" w:hAnsi="Arial" w:cs="Arial"/>
              </w:rPr>
              <w:t xml:space="preserve"> </w:t>
            </w:r>
            <w:hyperlink r:id="rId31" w:history="1">
              <w:r w:rsidRPr="00F05004">
                <w:rPr>
                  <w:rStyle w:val="Hyperlink"/>
                  <w:rFonts w:ascii="Arial" w:hAnsi="Arial" w:cs="Arial"/>
                </w:rPr>
                <w:t>https://www.doi.org/10.22271/23940522</w:t>
              </w:r>
            </w:hyperlink>
            <w:r>
              <w:rPr>
                <w:rFonts w:ascii="Arial" w:hAnsi="Arial" w:cs="Arial"/>
              </w:rPr>
              <w:t xml:space="preserve"> </w:t>
            </w:r>
          </w:p>
        </w:tc>
      </w:tr>
      <w:tr w:rsidR="00F90B02" w:rsidRPr="00E712D0" w14:paraId="31064A6E" w14:textId="77777777" w:rsidTr="005063D5">
        <w:tc>
          <w:tcPr>
            <w:tcW w:w="9275" w:type="dxa"/>
          </w:tcPr>
          <w:p w14:paraId="5745EF9D" w14:textId="77777777" w:rsidR="00F90B02" w:rsidRPr="00456C30" w:rsidRDefault="00F90B02" w:rsidP="00342FCB">
            <w:pPr>
              <w:spacing w:before="120"/>
              <w:ind w:left="720" w:hanging="720"/>
              <w:jc w:val="both"/>
              <w:rPr>
                <w:rFonts w:ascii="Arial" w:hAnsi="Arial" w:cs="Arial"/>
                <w:i/>
                <w:iCs/>
              </w:rPr>
            </w:pPr>
            <w:r w:rsidRPr="00787277">
              <w:rPr>
                <w:rFonts w:ascii="Arial" w:hAnsi="Arial" w:cs="Arial"/>
              </w:rPr>
              <w:t xml:space="preserve">Landos, M., Lloyd-Smith, M., &amp; </w:t>
            </w:r>
            <w:proofErr w:type="spellStart"/>
            <w:r w:rsidRPr="00787277">
              <w:rPr>
                <w:rFonts w:ascii="Arial" w:hAnsi="Arial" w:cs="Arial"/>
              </w:rPr>
              <w:t>Immig</w:t>
            </w:r>
            <w:proofErr w:type="spellEnd"/>
            <w:r w:rsidRPr="00787277">
              <w:rPr>
                <w:rFonts w:ascii="Arial" w:hAnsi="Arial" w:cs="Arial"/>
              </w:rPr>
              <w:t>, J. (2021). Aquatic Pollutants in Oceans and Fisheries. International Pollutants Elimination Network (</w:t>
            </w:r>
            <w:proofErr w:type="spellStart"/>
            <w:r w:rsidRPr="00787277">
              <w:rPr>
                <w:rFonts w:ascii="Arial" w:hAnsi="Arial" w:cs="Arial"/>
              </w:rPr>
              <w:t>IPEN</w:t>
            </w:r>
            <w:proofErr w:type="spellEnd"/>
            <w:r w:rsidRPr="00787277">
              <w:rPr>
                <w:rFonts w:ascii="Arial" w:hAnsi="Arial" w:cs="Arial"/>
              </w:rPr>
              <w:t xml:space="preserve">). </w:t>
            </w:r>
            <w:hyperlink r:id="rId32" w:history="1">
              <w:r w:rsidRPr="00C027F0">
                <w:rPr>
                  <w:rStyle w:val="Hyperlink"/>
                  <w:rFonts w:ascii="Arial" w:hAnsi="Arial" w:cs="Arial"/>
                </w:rPr>
                <w:t>https://ipen.org/documents/aquatic-pollutants-oceans-and-fisheries</w:t>
              </w:r>
            </w:hyperlink>
            <w:r>
              <w:rPr>
                <w:rFonts w:ascii="Arial" w:hAnsi="Arial" w:cs="Arial"/>
              </w:rPr>
              <w:t xml:space="preserve"> </w:t>
            </w:r>
          </w:p>
        </w:tc>
      </w:tr>
      <w:tr w:rsidR="00F90B02" w:rsidRPr="00E712D0" w14:paraId="24EA28D7" w14:textId="77777777" w:rsidTr="005063D5">
        <w:tc>
          <w:tcPr>
            <w:tcW w:w="9275" w:type="dxa"/>
          </w:tcPr>
          <w:p w14:paraId="5962231E" w14:textId="77777777" w:rsidR="00F90B02" w:rsidRPr="00E712D0" w:rsidRDefault="00F90B02" w:rsidP="00342FCB">
            <w:pPr>
              <w:spacing w:before="120"/>
              <w:ind w:left="720" w:hanging="720"/>
              <w:jc w:val="both"/>
              <w:rPr>
                <w:rFonts w:ascii="Arial" w:hAnsi="Arial" w:cs="Arial"/>
              </w:rPr>
            </w:pPr>
            <w:r w:rsidRPr="00787277">
              <w:rPr>
                <w:rFonts w:ascii="Arial" w:hAnsi="Arial" w:cs="Arial"/>
                <w:lang w:val="fr-FR"/>
              </w:rPr>
              <w:t xml:space="preserve">Laurent, P., &amp; Perry, S. F. (1991). </w:t>
            </w:r>
            <w:r w:rsidRPr="00787277">
              <w:rPr>
                <w:rFonts w:ascii="Arial" w:hAnsi="Arial" w:cs="Arial"/>
              </w:rPr>
              <w:t xml:space="preserve">Environmental effects on fish gill morphology. </w:t>
            </w:r>
            <w:proofErr w:type="spellStart"/>
            <w:r w:rsidRPr="00787277">
              <w:rPr>
                <w:rFonts w:ascii="Arial" w:hAnsi="Arial" w:cs="Arial"/>
                <w:lang w:val="fr-FR"/>
              </w:rPr>
              <w:t>Physiological</w:t>
            </w:r>
            <w:proofErr w:type="spellEnd"/>
            <w:r w:rsidRPr="00787277">
              <w:rPr>
                <w:rFonts w:ascii="Arial" w:hAnsi="Arial" w:cs="Arial"/>
                <w:lang w:val="fr-FR"/>
              </w:rPr>
              <w:t xml:space="preserve"> </w:t>
            </w:r>
            <w:proofErr w:type="spellStart"/>
            <w:r w:rsidRPr="00787277">
              <w:rPr>
                <w:rFonts w:ascii="Arial" w:hAnsi="Arial" w:cs="Arial"/>
                <w:lang w:val="fr-FR"/>
              </w:rPr>
              <w:t>Zoology</w:t>
            </w:r>
            <w:proofErr w:type="spellEnd"/>
            <w:r w:rsidRPr="00787277">
              <w:rPr>
                <w:rFonts w:ascii="Arial" w:hAnsi="Arial" w:cs="Arial"/>
                <w:lang w:val="fr-FR"/>
              </w:rPr>
              <w:t xml:space="preserve">, 64(1), 4–25. </w:t>
            </w:r>
            <w:hyperlink r:id="rId33" w:history="1">
              <w:r w:rsidRPr="00C027F0">
                <w:rPr>
                  <w:rStyle w:val="Hyperlink"/>
                  <w:rFonts w:ascii="Arial" w:hAnsi="Arial" w:cs="Arial"/>
                  <w:lang w:val="fr-FR"/>
                </w:rPr>
                <w:t>https://doi.org/10.1086/physzool.64.1.30158511</w:t>
              </w:r>
            </w:hyperlink>
            <w:r>
              <w:rPr>
                <w:rFonts w:ascii="Arial" w:hAnsi="Arial" w:cs="Arial"/>
                <w:lang w:val="fr-FR"/>
              </w:rPr>
              <w:t xml:space="preserve"> </w:t>
            </w:r>
          </w:p>
        </w:tc>
      </w:tr>
      <w:tr w:rsidR="00F90B02" w:rsidRPr="00E712D0" w14:paraId="5C6102A4" w14:textId="77777777" w:rsidTr="005063D5">
        <w:tc>
          <w:tcPr>
            <w:tcW w:w="9275" w:type="dxa"/>
          </w:tcPr>
          <w:p w14:paraId="462D8C02" w14:textId="77777777" w:rsidR="00F90B02" w:rsidRPr="00E712D0" w:rsidRDefault="00F90B02" w:rsidP="00342FCB">
            <w:pPr>
              <w:spacing w:before="120"/>
              <w:ind w:left="720" w:hanging="720"/>
              <w:jc w:val="both"/>
              <w:rPr>
                <w:rFonts w:ascii="Arial" w:hAnsi="Arial" w:cs="Arial"/>
              </w:rPr>
            </w:pPr>
            <w:r w:rsidRPr="00833C9F">
              <w:rPr>
                <w:rFonts w:ascii="Arial" w:hAnsi="Arial" w:cs="Arial"/>
              </w:rPr>
              <w:t xml:space="preserve">Liu, L., Jiang, C., Wu, </w:t>
            </w:r>
            <w:r>
              <w:rPr>
                <w:rFonts w:ascii="Arial" w:hAnsi="Arial" w:cs="Arial"/>
              </w:rPr>
              <w:t>Z.-Q.</w:t>
            </w:r>
            <w:r w:rsidRPr="00833C9F">
              <w:rPr>
                <w:rFonts w:ascii="Arial" w:hAnsi="Arial" w:cs="Arial"/>
              </w:rPr>
              <w:t xml:space="preserve">, Gong, </w:t>
            </w:r>
            <w:r>
              <w:rPr>
                <w:rFonts w:ascii="Arial" w:hAnsi="Arial" w:cs="Arial"/>
              </w:rPr>
              <w:t>Y.-X.</w:t>
            </w:r>
            <w:r w:rsidRPr="00833C9F">
              <w:rPr>
                <w:rFonts w:ascii="Arial" w:hAnsi="Arial" w:cs="Arial"/>
              </w:rPr>
              <w:t>, &amp; Wang, G.-X. (2013). Toxic effects of three strobilurins (</w:t>
            </w:r>
            <w:proofErr w:type="spellStart"/>
            <w:r w:rsidRPr="00833C9F">
              <w:rPr>
                <w:rFonts w:ascii="Arial" w:hAnsi="Arial" w:cs="Arial"/>
              </w:rPr>
              <w:t>trifloxystrobin</w:t>
            </w:r>
            <w:proofErr w:type="spellEnd"/>
            <w:r w:rsidRPr="00833C9F">
              <w:rPr>
                <w:rFonts w:ascii="Arial" w:hAnsi="Arial" w:cs="Arial"/>
              </w:rPr>
              <w:t xml:space="preserve">, azoxystrobin and </w:t>
            </w:r>
            <w:proofErr w:type="spellStart"/>
            <w:r w:rsidRPr="00833C9F">
              <w:rPr>
                <w:rFonts w:ascii="Arial" w:hAnsi="Arial" w:cs="Arial"/>
              </w:rPr>
              <w:t>kresoxim</w:t>
            </w:r>
            <w:proofErr w:type="spellEnd"/>
            <w:r w:rsidRPr="00833C9F">
              <w:rPr>
                <w:rFonts w:ascii="Arial" w:hAnsi="Arial" w:cs="Arial"/>
              </w:rPr>
              <w:t xml:space="preserve">-methyl) on mRNA expression </w:t>
            </w:r>
            <w:r w:rsidRPr="00833C9F">
              <w:rPr>
                <w:rFonts w:ascii="Arial" w:hAnsi="Arial" w:cs="Arial"/>
              </w:rPr>
              <w:lastRenderedPageBreak/>
              <w:t>and antioxidant enzymes in grass carp (</w:t>
            </w:r>
            <w:proofErr w:type="spellStart"/>
            <w:r w:rsidRPr="00833C9F">
              <w:rPr>
                <w:rFonts w:ascii="Arial" w:hAnsi="Arial" w:cs="Arial"/>
                <w:i/>
                <w:iCs/>
              </w:rPr>
              <w:t>Ctenopharyngodon</w:t>
            </w:r>
            <w:proofErr w:type="spellEnd"/>
            <w:r w:rsidRPr="00833C9F">
              <w:rPr>
                <w:rFonts w:ascii="Arial" w:hAnsi="Arial" w:cs="Arial"/>
                <w:i/>
                <w:iCs/>
              </w:rPr>
              <w:t xml:space="preserve"> </w:t>
            </w:r>
            <w:proofErr w:type="spellStart"/>
            <w:r w:rsidRPr="00833C9F">
              <w:rPr>
                <w:rFonts w:ascii="Arial" w:hAnsi="Arial" w:cs="Arial"/>
                <w:i/>
                <w:iCs/>
              </w:rPr>
              <w:t>idella</w:t>
            </w:r>
            <w:proofErr w:type="spellEnd"/>
            <w:r w:rsidRPr="00833C9F">
              <w:rPr>
                <w:rFonts w:ascii="Arial" w:hAnsi="Arial" w:cs="Arial"/>
              </w:rPr>
              <w:t>) juveniles. Ecotoxicology and Environmental Safety, 98, 297–302.</w:t>
            </w:r>
            <w:r>
              <w:rPr>
                <w:rFonts w:ascii="Arial" w:hAnsi="Arial" w:cs="Arial"/>
              </w:rPr>
              <w:t xml:space="preserve"> </w:t>
            </w:r>
            <w:hyperlink r:id="rId34" w:history="1">
              <w:r w:rsidRPr="0088256E">
                <w:rPr>
                  <w:rStyle w:val="Hyperlink"/>
                  <w:rFonts w:ascii="Arial" w:hAnsi="Arial" w:cs="Arial"/>
                </w:rPr>
                <w:t>https://doi.org/10.1016/j.ecoenv.2013.10.011</w:t>
              </w:r>
            </w:hyperlink>
            <w:r>
              <w:rPr>
                <w:rFonts w:ascii="Arial" w:hAnsi="Arial" w:cs="Arial"/>
              </w:rPr>
              <w:t xml:space="preserve">. </w:t>
            </w:r>
          </w:p>
        </w:tc>
      </w:tr>
      <w:tr w:rsidR="00F90B02" w:rsidRPr="00E712D0" w14:paraId="2A5A079D" w14:textId="77777777" w:rsidTr="005063D5">
        <w:tc>
          <w:tcPr>
            <w:tcW w:w="9275" w:type="dxa"/>
          </w:tcPr>
          <w:p w14:paraId="10AF2639" w14:textId="77777777" w:rsidR="00F90B02" w:rsidRPr="00E712D0" w:rsidRDefault="00F90B02" w:rsidP="009023E6">
            <w:pPr>
              <w:spacing w:before="120"/>
              <w:ind w:left="720" w:hanging="720"/>
              <w:jc w:val="both"/>
              <w:rPr>
                <w:rFonts w:ascii="Arial" w:hAnsi="Arial" w:cs="Arial"/>
              </w:rPr>
            </w:pPr>
            <w:proofErr w:type="spellStart"/>
            <w:r w:rsidRPr="009023E6">
              <w:rPr>
                <w:rFonts w:ascii="Arial" w:hAnsi="Arial" w:cs="Arial"/>
              </w:rPr>
              <w:lastRenderedPageBreak/>
              <w:t>Lonkar</w:t>
            </w:r>
            <w:proofErr w:type="spellEnd"/>
            <w:r w:rsidRPr="009023E6">
              <w:rPr>
                <w:rFonts w:ascii="Arial" w:hAnsi="Arial" w:cs="Arial"/>
              </w:rPr>
              <w:t xml:space="preserve">, A. (2012). Alteration in oxygen consumption of fresh water fish Puntius stigma exposed to sublethal concentrations of insecticide </w:t>
            </w:r>
            <w:proofErr w:type="spellStart"/>
            <w:r w:rsidRPr="009023E6">
              <w:rPr>
                <w:rFonts w:ascii="Arial" w:hAnsi="Arial" w:cs="Arial"/>
              </w:rPr>
              <w:t>Phytofos</w:t>
            </w:r>
            <w:proofErr w:type="spellEnd"/>
            <w:r w:rsidRPr="009023E6">
              <w:rPr>
                <w:rFonts w:ascii="Arial" w:hAnsi="Arial" w:cs="Arial"/>
              </w:rPr>
              <w:t xml:space="preserve">. </w:t>
            </w:r>
            <w:r w:rsidRPr="009023E6">
              <w:rPr>
                <w:rFonts w:ascii="Arial" w:hAnsi="Arial" w:cs="Arial"/>
                <w:lang w:val="it-IT"/>
              </w:rPr>
              <w:t xml:space="preserve">Environment Conservation Journal, 13(3), 131–134. </w:t>
            </w:r>
            <w:hyperlink r:id="rId35" w:history="1">
              <w:r w:rsidRPr="00F05004">
                <w:rPr>
                  <w:rStyle w:val="Hyperlink"/>
                  <w:rFonts w:ascii="Arial" w:hAnsi="Arial" w:cs="Arial"/>
                  <w:lang w:val="it-IT"/>
                </w:rPr>
                <w:t>https://doi.org/10.36953/ECJ.2012.130321</w:t>
              </w:r>
            </w:hyperlink>
            <w:r w:rsidRPr="00E712D0">
              <w:rPr>
                <w:rFonts w:ascii="Arial" w:hAnsi="Arial" w:cs="Arial"/>
              </w:rPr>
              <w:t>.</w:t>
            </w:r>
            <w:r>
              <w:rPr>
                <w:rFonts w:ascii="Arial" w:hAnsi="Arial" w:cs="Arial"/>
              </w:rPr>
              <w:t xml:space="preserve"> </w:t>
            </w:r>
          </w:p>
        </w:tc>
      </w:tr>
      <w:tr w:rsidR="00F90B02" w:rsidRPr="00E712D0" w14:paraId="4CD09572" w14:textId="77777777" w:rsidTr="005063D5">
        <w:tc>
          <w:tcPr>
            <w:tcW w:w="9275" w:type="dxa"/>
          </w:tcPr>
          <w:p w14:paraId="5AE2E0A2"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Mallatt, J. (1985). Fish gill structural changes induced by toxicants and other irritants: A statistical review. Canadian Journal of Fisheries and Aquatic Sciences, 42(4), 630–648. </w:t>
            </w:r>
            <w:hyperlink r:id="rId36" w:history="1">
              <w:r w:rsidRPr="00C027F0">
                <w:rPr>
                  <w:rStyle w:val="Hyperlink"/>
                  <w:rFonts w:ascii="Arial" w:hAnsi="Arial" w:cs="Arial"/>
                </w:rPr>
                <w:t>https://doi.org/10.1139/f85-083</w:t>
              </w:r>
            </w:hyperlink>
            <w:r>
              <w:rPr>
                <w:rFonts w:ascii="Arial" w:hAnsi="Arial" w:cs="Arial"/>
              </w:rPr>
              <w:t xml:space="preserve"> </w:t>
            </w:r>
          </w:p>
        </w:tc>
      </w:tr>
      <w:tr w:rsidR="00F90B02" w:rsidRPr="00E712D0" w14:paraId="5FCBD88F" w14:textId="77777777" w:rsidTr="005063D5">
        <w:tc>
          <w:tcPr>
            <w:tcW w:w="9275" w:type="dxa"/>
          </w:tcPr>
          <w:p w14:paraId="79021425" w14:textId="77777777" w:rsidR="00F90B02" w:rsidRPr="00E712D0" w:rsidRDefault="00F90B02" w:rsidP="00342FCB">
            <w:pPr>
              <w:spacing w:before="120"/>
              <w:ind w:left="720" w:hanging="720"/>
              <w:jc w:val="both"/>
              <w:rPr>
                <w:rFonts w:ascii="Arial" w:hAnsi="Arial" w:cs="Arial"/>
              </w:rPr>
            </w:pPr>
            <w:proofErr w:type="spellStart"/>
            <w:r w:rsidRPr="00787277">
              <w:rPr>
                <w:rFonts w:ascii="Arial" w:hAnsi="Arial" w:cs="Arial"/>
              </w:rPr>
              <w:t>Mangalawede</w:t>
            </w:r>
            <w:proofErr w:type="spellEnd"/>
            <w:r w:rsidRPr="00787277">
              <w:rPr>
                <w:rFonts w:ascii="Arial" w:hAnsi="Arial" w:cs="Arial"/>
              </w:rPr>
              <w:t xml:space="preserve">, S.S. (2025). Pesticide toxicity in some fish species: A review. International Journal of Fisheries and Aquatic Studies, 13(2), 189–194. </w:t>
            </w:r>
            <w:hyperlink r:id="rId37" w:history="1">
              <w:r w:rsidRPr="00C027F0">
                <w:rPr>
                  <w:rStyle w:val="Hyperlink"/>
                  <w:rFonts w:ascii="Arial" w:hAnsi="Arial" w:cs="Arial"/>
                </w:rPr>
                <w:t>https://doi.org/10.22271/fish.2025.v13.i2c.3063</w:t>
              </w:r>
            </w:hyperlink>
            <w:r>
              <w:rPr>
                <w:rFonts w:ascii="Arial" w:hAnsi="Arial" w:cs="Arial"/>
              </w:rPr>
              <w:t xml:space="preserve"> </w:t>
            </w:r>
          </w:p>
        </w:tc>
      </w:tr>
      <w:tr w:rsidR="00F90B02" w:rsidRPr="00E712D0" w14:paraId="6D035F27" w14:textId="77777777" w:rsidTr="005063D5">
        <w:tc>
          <w:tcPr>
            <w:tcW w:w="9275" w:type="dxa"/>
          </w:tcPr>
          <w:p w14:paraId="2A3FCF60" w14:textId="77777777" w:rsidR="00F90B02" w:rsidRPr="00A3007A" w:rsidRDefault="00F90B02" w:rsidP="00342FCB">
            <w:pPr>
              <w:spacing w:before="120"/>
              <w:ind w:left="720" w:hanging="720"/>
              <w:jc w:val="both"/>
              <w:rPr>
                <w:rFonts w:ascii="Arial" w:hAnsi="Arial" w:cs="Arial"/>
              </w:rPr>
            </w:pPr>
            <w:r w:rsidRPr="00A3007A">
              <w:rPr>
                <w:rFonts w:ascii="Arial" w:hAnsi="Arial" w:cs="Arial"/>
              </w:rPr>
              <w:t xml:space="preserve">Menon, S. V., Kumar, A., Middha, S. K., </w:t>
            </w:r>
            <w:proofErr w:type="spellStart"/>
            <w:r w:rsidRPr="00A3007A">
              <w:rPr>
                <w:rFonts w:ascii="Arial" w:hAnsi="Arial" w:cs="Arial"/>
              </w:rPr>
              <w:t>Paital</w:t>
            </w:r>
            <w:proofErr w:type="spellEnd"/>
            <w:r w:rsidRPr="00A3007A">
              <w:rPr>
                <w:rFonts w:ascii="Arial" w:hAnsi="Arial" w:cs="Arial"/>
              </w:rPr>
              <w:t xml:space="preserve">, B., Mathur, S., Johnson, R., </w:t>
            </w:r>
            <w:proofErr w:type="spellStart"/>
            <w:r w:rsidRPr="00A3007A">
              <w:rPr>
                <w:rFonts w:ascii="Arial" w:hAnsi="Arial" w:cs="Arial"/>
              </w:rPr>
              <w:t>Kademan</w:t>
            </w:r>
            <w:proofErr w:type="spellEnd"/>
            <w:r w:rsidRPr="00A3007A">
              <w:rPr>
                <w:rFonts w:ascii="Arial" w:hAnsi="Arial" w:cs="Arial"/>
              </w:rPr>
              <w:t xml:space="preserve">, A., Usha, T., Hemavathi, K. N., Dayal, S., Ramalingam, N., </w:t>
            </w:r>
            <w:proofErr w:type="spellStart"/>
            <w:r w:rsidRPr="00A3007A">
              <w:rPr>
                <w:rFonts w:ascii="Arial" w:hAnsi="Arial" w:cs="Arial"/>
              </w:rPr>
              <w:t>Subramanaian</w:t>
            </w:r>
            <w:proofErr w:type="spellEnd"/>
            <w:r w:rsidRPr="00A3007A">
              <w:rPr>
                <w:rFonts w:ascii="Arial" w:hAnsi="Arial" w:cs="Arial"/>
              </w:rPr>
              <w:t xml:space="preserve">, U., Sahoo, D. K., &amp; Asthana, M. (2023). Water physicochemical factors and oxidative stress physiology in fish: A review. </w:t>
            </w:r>
            <w:r w:rsidRPr="00A3007A">
              <w:rPr>
                <w:rFonts w:ascii="Arial" w:hAnsi="Arial" w:cs="Arial"/>
                <w:i/>
                <w:iCs/>
              </w:rPr>
              <w:t xml:space="preserve">Frontiers in Environmental Science, 11, 1240813. </w:t>
            </w:r>
            <w:hyperlink r:id="rId38" w:history="1">
              <w:r w:rsidRPr="00A3007A">
                <w:rPr>
                  <w:rStyle w:val="Hyperlink"/>
                  <w:rFonts w:ascii="Helvetica" w:hAnsi="Helvetica" w:cs="Helvetica"/>
                  <w:shd w:val="clear" w:color="auto" w:fill="F7F7F7"/>
                </w:rPr>
                <w:t>https://doi.org/10.3389/fenvs.2023.1240813</w:t>
              </w:r>
            </w:hyperlink>
          </w:p>
        </w:tc>
      </w:tr>
      <w:tr w:rsidR="00F90B02" w:rsidRPr="00E712D0" w14:paraId="30C0F4CC" w14:textId="77777777" w:rsidTr="005063D5">
        <w:tc>
          <w:tcPr>
            <w:tcW w:w="9275" w:type="dxa"/>
          </w:tcPr>
          <w:p w14:paraId="35664DBC"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Mishra, A. K., &amp; Mohanty, B. (2008). Acute toxicity impacts of hexavalent chromium on </w:t>
            </w:r>
            <w:proofErr w:type="spellStart"/>
            <w:r w:rsidRPr="00787277">
              <w:rPr>
                <w:rFonts w:ascii="Arial" w:hAnsi="Arial" w:cs="Arial"/>
              </w:rPr>
              <w:t>behavior</w:t>
            </w:r>
            <w:proofErr w:type="spellEnd"/>
            <w:r w:rsidRPr="00787277">
              <w:rPr>
                <w:rFonts w:ascii="Arial" w:hAnsi="Arial" w:cs="Arial"/>
              </w:rPr>
              <w:t xml:space="preserve"> and histopathology of gill, kidney and liver of the freshwater fish, Channa punctatus (Bloch). Environmental Toxicology and Pharmacology, 26(2), 136–141. </w:t>
            </w:r>
            <w:hyperlink r:id="rId39" w:history="1">
              <w:r w:rsidRPr="00C027F0">
                <w:rPr>
                  <w:rStyle w:val="Hyperlink"/>
                  <w:rFonts w:ascii="Arial" w:hAnsi="Arial" w:cs="Arial"/>
                </w:rPr>
                <w:t>https://doi.org/10.1016/j.etap.2008.02.010</w:t>
              </w:r>
            </w:hyperlink>
            <w:r>
              <w:rPr>
                <w:rFonts w:ascii="Arial" w:hAnsi="Arial" w:cs="Arial"/>
              </w:rPr>
              <w:t xml:space="preserve"> </w:t>
            </w:r>
          </w:p>
        </w:tc>
      </w:tr>
      <w:tr w:rsidR="00F90B02" w:rsidRPr="00E712D0" w14:paraId="31E1A172" w14:textId="77777777" w:rsidTr="005063D5">
        <w:tc>
          <w:tcPr>
            <w:tcW w:w="9275" w:type="dxa"/>
          </w:tcPr>
          <w:p w14:paraId="757C053B" w14:textId="77777777" w:rsidR="00F90B02" w:rsidRPr="00F90B02" w:rsidRDefault="00F90B02" w:rsidP="00F90B02">
            <w:pPr>
              <w:pStyle w:val="NormalWeb"/>
              <w:spacing w:before="120" w:beforeAutospacing="0" w:after="0" w:afterAutospacing="0"/>
              <w:ind w:left="720" w:hanging="720"/>
              <w:jc w:val="both"/>
              <w:rPr>
                <w:rFonts w:ascii="Arial" w:hAnsi="Arial" w:cs="Arial"/>
                <w:sz w:val="22"/>
                <w:szCs w:val="22"/>
              </w:rPr>
            </w:pPr>
            <w:r w:rsidRPr="00F90B02">
              <w:rPr>
                <w:rFonts w:ascii="Arial" w:hAnsi="Arial" w:cs="Arial"/>
                <w:sz w:val="22"/>
                <w:szCs w:val="22"/>
              </w:rPr>
              <w:t xml:space="preserve">Neelima, P., Rao, N. G., Rao, G. S., &amp; Rao, J. C. S. (2016). A study on oxygen consumption in a freshwater fish </w:t>
            </w:r>
            <w:r w:rsidRPr="00F90B02">
              <w:rPr>
                <w:rStyle w:val="Emphasis"/>
                <w:rFonts w:ascii="Arial" w:eastAsiaTheme="majorEastAsia" w:hAnsi="Arial" w:cs="Arial"/>
                <w:sz w:val="22"/>
                <w:szCs w:val="22"/>
              </w:rPr>
              <w:t>Cyprinus carpio</w:t>
            </w:r>
            <w:r w:rsidRPr="00F90B02">
              <w:rPr>
                <w:rFonts w:ascii="Arial" w:hAnsi="Arial" w:cs="Arial"/>
                <w:sz w:val="22"/>
                <w:szCs w:val="22"/>
              </w:rPr>
              <w:t xml:space="preserve"> exposed to lethal and sublethal concentrations of cypermethrin (25% EC). International Journal of Current Microbiology and Applied Sciences, 5(4), 338-346. </w:t>
            </w:r>
            <w:hyperlink r:id="rId40" w:history="1">
              <w:r w:rsidRPr="00F90B02">
                <w:rPr>
                  <w:rStyle w:val="Hyperlink"/>
                  <w:rFonts w:ascii="Arial" w:eastAsiaTheme="majorEastAsia" w:hAnsi="Arial" w:cs="Arial"/>
                  <w:sz w:val="22"/>
                  <w:szCs w:val="22"/>
                </w:rPr>
                <w:t>http://dx.doi.org/10.20546/ijcmas.2016.504.040</w:t>
              </w:r>
            </w:hyperlink>
            <w:r>
              <w:rPr>
                <w:rStyle w:val="fontstyle01"/>
                <w:rFonts w:ascii="Arial" w:eastAsiaTheme="majorEastAsia" w:hAnsi="Arial" w:cs="Arial"/>
              </w:rPr>
              <w:t>.</w:t>
            </w:r>
            <w:r w:rsidRPr="00F90B02">
              <w:rPr>
                <w:rStyle w:val="fontstyle01"/>
                <w:rFonts w:ascii="Arial" w:hAnsi="Arial" w:cs="Arial"/>
              </w:rPr>
              <w:t xml:space="preserve"> </w:t>
            </w:r>
          </w:p>
        </w:tc>
      </w:tr>
      <w:tr w:rsidR="00F90B02" w:rsidRPr="00E712D0" w14:paraId="3FBA7639" w14:textId="77777777" w:rsidTr="005063D5">
        <w:tc>
          <w:tcPr>
            <w:tcW w:w="9275" w:type="dxa"/>
          </w:tcPr>
          <w:p w14:paraId="37FB5361"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Olsvik, P. A., Kroglund, F., Finstad, B., &amp; Kristensen, T. (2010). Effects of the fungicide azoxystrobin on Atlantic salmon (</w:t>
            </w:r>
            <w:r w:rsidRPr="006B1F4E">
              <w:rPr>
                <w:rFonts w:ascii="Arial" w:hAnsi="Arial" w:cs="Arial"/>
                <w:i/>
                <w:iCs/>
              </w:rPr>
              <w:t xml:space="preserve">Salmo </w:t>
            </w:r>
            <w:proofErr w:type="spellStart"/>
            <w:r w:rsidRPr="006B1F4E">
              <w:rPr>
                <w:rFonts w:ascii="Arial" w:hAnsi="Arial" w:cs="Arial"/>
                <w:i/>
                <w:iCs/>
              </w:rPr>
              <w:t>salar</w:t>
            </w:r>
            <w:proofErr w:type="spellEnd"/>
            <w:r w:rsidRPr="00787277">
              <w:rPr>
                <w:rFonts w:ascii="Arial" w:hAnsi="Arial" w:cs="Arial"/>
              </w:rPr>
              <w:t xml:space="preserve"> L.) smolt. Ecotoxicology and Environmental Safety. </w:t>
            </w:r>
            <w:hyperlink r:id="rId41" w:history="1">
              <w:r w:rsidRPr="00C027F0">
                <w:rPr>
                  <w:rStyle w:val="Hyperlink"/>
                  <w:rFonts w:ascii="Arial" w:hAnsi="Arial" w:cs="Arial"/>
                </w:rPr>
                <w:t>https://doi.org/10.1016/j.ecoenv.2010.07.017</w:t>
              </w:r>
            </w:hyperlink>
            <w:r>
              <w:rPr>
                <w:rFonts w:ascii="Arial" w:hAnsi="Arial" w:cs="Arial"/>
              </w:rPr>
              <w:t xml:space="preserve"> </w:t>
            </w:r>
          </w:p>
        </w:tc>
      </w:tr>
      <w:tr w:rsidR="00F90B02" w:rsidRPr="00E712D0" w14:paraId="59441D8D" w14:textId="77777777" w:rsidTr="005063D5">
        <w:tc>
          <w:tcPr>
            <w:tcW w:w="9275" w:type="dxa"/>
          </w:tcPr>
          <w:p w14:paraId="6F563535" w14:textId="77777777" w:rsidR="00F90B02" w:rsidRPr="00E712D0" w:rsidRDefault="00F90B02" w:rsidP="00342FCB">
            <w:pPr>
              <w:spacing w:before="120"/>
              <w:ind w:left="720" w:hanging="720"/>
              <w:jc w:val="both"/>
              <w:rPr>
                <w:rFonts w:ascii="Arial" w:hAnsi="Arial" w:cs="Arial"/>
              </w:rPr>
            </w:pPr>
            <w:proofErr w:type="spellStart"/>
            <w:r w:rsidRPr="00787277">
              <w:rPr>
                <w:rFonts w:ascii="Arial" w:hAnsi="Arial" w:cs="Arial"/>
              </w:rPr>
              <w:t>Pokale</w:t>
            </w:r>
            <w:proofErr w:type="spellEnd"/>
            <w:r w:rsidRPr="00787277">
              <w:rPr>
                <w:rFonts w:ascii="Arial" w:hAnsi="Arial" w:cs="Arial"/>
              </w:rPr>
              <w:t xml:space="preserve">, </w:t>
            </w:r>
            <w:proofErr w:type="spellStart"/>
            <w:r w:rsidRPr="00787277">
              <w:rPr>
                <w:rFonts w:ascii="Arial" w:hAnsi="Arial" w:cs="Arial"/>
              </w:rPr>
              <w:t>S.N</w:t>
            </w:r>
            <w:proofErr w:type="spellEnd"/>
            <w:r w:rsidRPr="00787277">
              <w:rPr>
                <w:rFonts w:ascii="Arial" w:hAnsi="Arial" w:cs="Arial"/>
              </w:rPr>
              <w:t xml:space="preserve">., &amp; </w:t>
            </w:r>
            <w:proofErr w:type="spellStart"/>
            <w:r w:rsidRPr="00787277">
              <w:rPr>
                <w:rFonts w:ascii="Arial" w:hAnsi="Arial" w:cs="Arial"/>
              </w:rPr>
              <w:t>Kawade</w:t>
            </w:r>
            <w:proofErr w:type="spellEnd"/>
            <w:r w:rsidRPr="00787277">
              <w:rPr>
                <w:rFonts w:ascii="Arial" w:hAnsi="Arial" w:cs="Arial"/>
              </w:rPr>
              <w:t xml:space="preserve">, S.A. (2021). Pesticides and heavy metals toxicity in fishes. International Journal of Entomology Research. </w:t>
            </w:r>
            <w:hyperlink r:id="rId42" w:history="1">
              <w:r w:rsidRPr="00C027F0">
                <w:rPr>
                  <w:rStyle w:val="Hyperlink"/>
                  <w:rFonts w:ascii="Arial" w:hAnsi="Arial" w:cs="Arial"/>
                </w:rPr>
                <w:t>https://www.entomologyjournals.com/archives/2021/vol6issue6/PartB/6-5-10-901.pdf</w:t>
              </w:r>
            </w:hyperlink>
            <w:r>
              <w:rPr>
                <w:rFonts w:ascii="Arial" w:hAnsi="Arial" w:cs="Arial"/>
              </w:rPr>
              <w:t xml:space="preserve"> </w:t>
            </w:r>
          </w:p>
        </w:tc>
      </w:tr>
      <w:tr w:rsidR="00F90B02" w:rsidRPr="00E712D0" w14:paraId="052E243F" w14:textId="77777777" w:rsidTr="005063D5">
        <w:tc>
          <w:tcPr>
            <w:tcW w:w="9275" w:type="dxa"/>
          </w:tcPr>
          <w:p w14:paraId="252E8842" w14:textId="77777777" w:rsidR="00F90B02" w:rsidRPr="00E712D0" w:rsidRDefault="00F90B02" w:rsidP="00342FCB">
            <w:pPr>
              <w:spacing w:before="120"/>
              <w:ind w:left="720" w:hanging="720"/>
              <w:jc w:val="both"/>
              <w:rPr>
                <w:rFonts w:ascii="Arial" w:hAnsi="Arial" w:cs="Arial"/>
              </w:rPr>
            </w:pPr>
            <w:r>
              <w:rPr>
                <w:rFonts w:ascii="Arial" w:hAnsi="Arial" w:cs="Arial"/>
                <w:lang w:val="it-IT"/>
              </w:rPr>
              <w:t>Prasanna, C., Anithasmruthi, C., &amp; Venkatarathnamma, V</w:t>
            </w:r>
            <w:r w:rsidRPr="00787277">
              <w:rPr>
                <w:rFonts w:ascii="Arial" w:hAnsi="Arial" w:cs="Arial"/>
                <w:lang w:val="it-IT"/>
              </w:rPr>
              <w:t>. (20</w:t>
            </w:r>
            <w:r>
              <w:rPr>
                <w:rFonts w:ascii="Arial" w:hAnsi="Arial" w:cs="Arial"/>
                <w:lang w:val="it-IT"/>
              </w:rPr>
              <w:t>20</w:t>
            </w:r>
            <w:r w:rsidRPr="00787277">
              <w:rPr>
                <w:rFonts w:ascii="Arial" w:hAnsi="Arial" w:cs="Arial"/>
                <w:lang w:val="it-IT"/>
              </w:rPr>
              <w:t xml:space="preserve">). </w:t>
            </w:r>
            <w:r w:rsidRPr="00A36FF0">
              <w:rPr>
                <w:rFonts w:ascii="Arial" w:hAnsi="Arial" w:cs="Arial"/>
              </w:rPr>
              <w:t xml:space="preserve">A Study on </w:t>
            </w:r>
            <w:r>
              <w:rPr>
                <w:rFonts w:ascii="Arial" w:hAnsi="Arial" w:cs="Arial"/>
              </w:rPr>
              <w:t>o</w:t>
            </w:r>
            <w:r w:rsidRPr="00A36FF0">
              <w:rPr>
                <w:rFonts w:ascii="Arial" w:hAnsi="Arial" w:cs="Arial"/>
              </w:rPr>
              <w:t xml:space="preserve">xygen </w:t>
            </w:r>
            <w:r>
              <w:rPr>
                <w:rFonts w:ascii="Arial" w:hAnsi="Arial" w:cs="Arial"/>
              </w:rPr>
              <w:t>c</w:t>
            </w:r>
            <w:r w:rsidRPr="00A36FF0">
              <w:rPr>
                <w:rFonts w:ascii="Arial" w:hAnsi="Arial" w:cs="Arial"/>
              </w:rPr>
              <w:t xml:space="preserve">onsumption in </w:t>
            </w:r>
            <w:r>
              <w:rPr>
                <w:rFonts w:ascii="Arial" w:hAnsi="Arial" w:cs="Arial"/>
              </w:rPr>
              <w:t>f</w:t>
            </w:r>
            <w:r w:rsidRPr="00A36FF0">
              <w:rPr>
                <w:rFonts w:ascii="Arial" w:hAnsi="Arial" w:cs="Arial"/>
              </w:rPr>
              <w:t xml:space="preserve">reshwater </w:t>
            </w:r>
            <w:r>
              <w:rPr>
                <w:rFonts w:ascii="Arial" w:hAnsi="Arial" w:cs="Arial"/>
              </w:rPr>
              <w:t>f</w:t>
            </w:r>
            <w:r w:rsidRPr="00A36FF0">
              <w:rPr>
                <w:rFonts w:ascii="Arial" w:hAnsi="Arial" w:cs="Arial"/>
              </w:rPr>
              <w:t xml:space="preserve">ish </w:t>
            </w:r>
            <w:proofErr w:type="spellStart"/>
            <w:r w:rsidRPr="00A36FF0">
              <w:rPr>
                <w:rFonts w:ascii="Arial" w:hAnsi="Arial" w:cs="Arial"/>
                <w:i/>
                <w:iCs/>
              </w:rPr>
              <w:t>Labeo</w:t>
            </w:r>
            <w:proofErr w:type="spellEnd"/>
            <w:r w:rsidRPr="00A36FF0">
              <w:rPr>
                <w:rFonts w:ascii="Arial" w:hAnsi="Arial" w:cs="Arial"/>
                <w:i/>
                <w:iCs/>
              </w:rPr>
              <w:t xml:space="preserve"> </w:t>
            </w:r>
            <w:proofErr w:type="spellStart"/>
            <w:r>
              <w:rPr>
                <w:rFonts w:ascii="Arial" w:hAnsi="Arial" w:cs="Arial"/>
                <w:i/>
                <w:iCs/>
              </w:rPr>
              <w:t>r</w:t>
            </w:r>
            <w:r w:rsidRPr="00A36FF0">
              <w:rPr>
                <w:rFonts w:ascii="Arial" w:hAnsi="Arial" w:cs="Arial"/>
                <w:i/>
                <w:iCs/>
              </w:rPr>
              <w:t>ohita</w:t>
            </w:r>
            <w:proofErr w:type="spellEnd"/>
            <w:r w:rsidRPr="00A36FF0">
              <w:rPr>
                <w:rFonts w:ascii="Arial" w:hAnsi="Arial" w:cs="Arial"/>
              </w:rPr>
              <w:t xml:space="preserve"> </w:t>
            </w:r>
            <w:r>
              <w:rPr>
                <w:rFonts w:ascii="Arial" w:hAnsi="Arial" w:cs="Arial"/>
              </w:rPr>
              <w:t>e</w:t>
            </w:r>
            <w:r w:rsidRPr="00A36FF0">
              <w:rPr>
                <w:rFonts w:ascii="Arial" w:hAnsi="Arial" w:cs="Arial"/>
              </w:rPr>
              <w:t xml:space="preserve">xposed to </w:t>
            </w:r>
            <w:r>
              <w:rPr>
                <w:rFonts w:ascii="Arial" w:hAnsi="Arial" w:cs="Arial"/>
              </w:rPr>
              <w:t>l</w:t>
            </w:r>
            <w:r w:rsidRPr="00A36FF0">
              <w:rPr>
                <w:rFonts w:ascii="Arial" w:hAnsi="Arial" w:cs="Arial"/>
              </w:rPr>
              <w:t xml:space="preserve">ethal and </w:t>
            </w:r>
            <w:r>
              <w:rPr>
                <w:rFonts w:ascii="Arial" w:hAnsi="Arial" w:cs="Arial"/>
              </w:rPr>
              <w:t>sub-lethal concentrations</w:t>
            </w:r>
            <w:r w:rsidRPr="00A36FF0">
              <w:rPr>
                <w:rFonts w:ascii="Arial" w:hAnsi="Arial" w:cs="Arial"/>
              </w:rPr>
              <w:t xml:space="preserve"> of Ethion 50%</w:t>
            </w:r>
            <w:r>
              <w:rPr>
                <w:rFonts w:ascii="Arial" w:hAnsi="Arial" w:cs="Arial"/>
              </w:rPr>
              <w:t xml:space="preserve"> </w:t>
            </w:r>
            <w:r w:rsidRPr="00A36FF0">
              <w:rPr>
                <w:rFonts w:ascii="Arial" w:hAnsi="Arial" w:cs="Arial"/>
              </w:rPr>
              <w:t>Ec</w:t>
            </w:r>
            <w:r w:rsidRPr="00136CF1">
              <w:rPr>
                <w:rFonts w:ascii="Arial" w:hAnsi="Arial" w:cs="Arial"/>
              </w:rPr>
              <w:t xml:space="preserve">. </w:t>
            </w:r>
            <w:r w:rsidRPr="00CA65E1">
              <w:rPr>
                <w:rFonts w:ascii="Arial" w:hAnsi="Arial" w:cs="Arial"/>
                <w:i/>
                <w:iCs/>
              </w:rPr>
              <w:t>Indian Journal of Forensic Medicine and Toxicology</w:t>
            </w:r>
            <w:r>
              <w:rPr>
                <w:rFonts w:ascii="Arial" w:hAnsi="Arial" w:cs="Arial"/>
              </w:rPr>
              <w:t xml:space="preserve">, 14(4), 122 – 127. </w:t>
            </w:r>
            <w:hyperlink r:id="rId43" w:history="1">
              <w:r w:rsidRPr="00F05004">
                <w:rPr>
                  <w:rStyle w:val="Hyperlink"/>
                  <w:rFonts w:ascii="Arial" w:hAnsi="Arial" w:cs="Arial"/>
                </w:rPr>
                <w:t>https://doi.org/10.37506/ijfmt.v14i4.11454</w:t>
              </w:r>
            </w:hyperlink>
            <w:r>
              <w:rPr>
                <w:rFonts w:ascii="Arial" w:hAnsi="Arial" w:cs="Arial"/>
              </w:rPr>
              <w:t xml:space="preserve">.   </w:t>
            </w:r>
          </w:p>
        </w:tc>
      </w:tr>
      <w:tr w:rsidR="00F90B02" w:rsidRPr="00E712D0" w14:paraId="3923DB45" w14:textId="77777777" w:rsidTr="005063D5">
        <w:tc>
          <w:tcPr>
            <w:tcW w:w="9275" w:type="dxa"/>
          </w:tcPr>
          <w:p w14:paraId="56313750" w14:textId="77777777" w:rsidR="00F90B02" w:rsidRPr="00E712D0" w:rsidRDefault="00F90B02" w:rsidP="00342FCB">
            <w:pPr>
              <w:pStyle w:val="NormalWeb"/>
              <w:spacing w:before="120" w:beforeAutospacing="0"/>
              <w:ind w:left="720" w:hanging="720"/>
              <w:jc w:val="both"/>
              <w:rPr>
                <w:rFonts w:ascii="Arial" w:hAnsi="Arial" w:cs="Arial"/>
                <w:sz w:val="22"/>
                <w:szCs w:val="22"/>
              </w:rPr>
            </w:pPr>
            <w:r w:rsidRPr="00E712D0">
              <w:rPr>
                <w:rFonts w:ascii="Arial" w:hAnsi="Arial" w:cs="Arial"/>
                <w:sz w:val="22"/>
                <w:szCs w:val="22"/>
              </w:rPr>
              <w:t xml:space="preserve">Rahman, </w:t>
            </w:r>
            <w:r>
              <w:rPr>
                <w:rFonts w:ascii="Arial" w:hAnsi="Arial" w:cs="Arial"/>
                <w:sz w:val="22"/>
                <w:szCs w:val="22"/>
              </w:rPr>
              <w:t>Q</w:t>
            </w:r>
            <w:r w:rsidRPr="00E712D0">
              <w:rPr>
                <w:rFonts w:ascii="Arial" w:hAnsi="Arial" w:cs="Arial"/>
                <w:sz w:val="22"/>
                <w:szCs w:val="22"/>
              </w:rPr>
              <w:t xml:space="preserve">., &amp; Sadhu, </w:t>
            </w:r>
            <w:r>
              <w:rPr>
                <w:rFonts w:ascii="Arial" w:hAnsi="Arial" w:cs="Arial"/>
                <w:sz w:val="22"/>
                <w:szCs w:val="22"/>
              </w:rPr>
              <w:t>D</w:t>
            </w:r>
            <w:r w:rsidRPr="00E712D0">
              <w:rPr>
                <w:rFonts w:ascii="Arial" w:hAnsi="Arial" w:cs="Arial"/>
                <w:sz w:val="22"/>
                <w:szCs w:val="22"/>
              </w:rPr>
              <w:t xml:space="preserve">. </w:t>
            </w:r>
            <w:r>
              <w:rPr>
                <w:rFonts w:ascii="Arial" w:hAnsi="Arial" w:cs="Arial"/>
                <w:sz w:val="22"/>
                <w:szCs w:val="22"/>
              </w:rPr>
              <w:t>N</w:t>
            </w:r>
            <w:r w:rsidRPr="00E712D0">
              <w:rPr>
                <w:rFonts w:ascii="Arial" w:hAnsi="Arial" w:cs="Arial"/>
                <w:sz w:val="22"/>
                <w:szCs w:val="22"/>
              </w:rPr>
              <w:t xml:space="preserve">. (2009). </w:t>
            </w:r>
            <w:r>
              <w:rPr>
                <w:rFonts w:ascii="Arial" w:hAnsi="Arial" w:cs="Arial"/>
                <w:sz w:val="22"/>
                <w:szCs w:val="22"/>
              </w:rPr>
              <w:t xml:space="preserve">Effect of pesticides on aquatic and aerial oxygen consumption in an air breathing </w:t>
            </w:r>
            <w:proofErr w:type="spellStart"/>
            <w:r>
              <w:rPr>
                <w:rFonts w:ascii="Arial" w:hAnsi="Arial" w:cs="Arial"/>
                <w:sz w:val="22"/>
                <w:szCs w:val="22"/>
              </w:rPr>
              <w:t>murrel</w:t>
            </w:r>
            <w:proofErr w:type="spellEnd"/>
            <w:r>
              <w:rPr>
                <w:rFonts w:ascii="Arial" w:hAnsi="Arial" w:cs="Arial"/>
                <w:sz w:val="22"/>
                <w:szCs w:val="22"/>
              </w:rPr>
              <w:t xml:space="preserve"> fish, </w:t>
            </w:r>
            <w:r w:rsidRPr="006676C6">
              <w:rPr>
                <w:rFonts w:ascii="Arial" w:hAnsi="Arial" w:cs="Arial"/>
                <w:i/>
                <w:iCs/>
                <w:sz w:val="22"/>
                <w:szCs w:val="22"/>
              </w:rPr>
              <w:t xml:space="preserve">Channa </w:t>
            </w:r>
            <w:proofErr w:type="spellStart"/>
            <w:r w:rsidRPr="006676C6">
              <w:rPr>
                <w:rFonts w:ascii="Arial" w:hAnsi="Arial" w:cs="Arial"/>
                <w:i/>
                <w:iCs/>
                <w:sz w:val="22"/>
                <w:szCs w:val="22"/>
              </w:rPr>
              <w:t>gachua</w:t>
            </w:r>
            <w:proofErr w:type="spellEnd"/>
            <w:r w:rsidRPr="00E712D0">
              <w:rPr>
                <w:rFonts w:ascii="Arial" w:hAnsi="Arial" w:cs="Arial"/>
                <w:sz w:val="22"/>
                <w:szCs w:val="22"/>
              </w:rPr>
              <w:t xml:space="preserve">. </w:t>
            </w:r>
            <w:r w:rsidRPr="006676C6">
              <w:rPr>
                <w:rFonts w:ascii="Arial" w:hAnsi="Arial" w:cs="Arial"/>
                <w:i/>
                <w:iCs/>
                <w:sz w:val="22"/>
                <w:szCs w:val="22"/>
              </w:rPr>
              <w:t>Nature Environment and Pollution Technology</w:t>
            </w:r>
            <w:r>
              <w:rPr>
                <w:rFonts w:ascii="Arial" w:hAnsi="Arial" w:cs="Arial"/>
                <w:sz w:val="22"/>
                <w:szCs w:val="22"/>
              </w:rPr>
              <w:t>,</w:t>
            </w:r>
            <w:r w:rsidRPr="00456C30">
              <w:rPr>
                <w:rFonts w:ascii="Arial" w:hAnsi="Arial" w:cs="Arial"/>
                <w:i/>
                <w:iCs/>
                <w:sz w:val="22"/>
                <w:szCs w:val="22"/>
              </w:rPr>
              <w:t xml:space="preserve"> </w:t>
            </w:r>
            <w:r>
              <w:rPr>
                <w:rFonts w:ascii="Arial" w:hAnsi="Arial" w:cs="Arial"/>
                <w:i/>
                <w:iCs/>
                <w:sz w:val="22"/>
                <w:szCs w:val="22"/>
              </w:rPr>
              <w:t>8</w:t>
            </w:r>
            <w:r w:rsidRPr="00E712D0">
              <w:rPr>
                <w:rFonts w:ascii="Arial" w:hAnsi="Arial" w:cs="Arial"/>
                <w:sz w:val="22"/>
                <w:szCs w:val="22"/>
              </w:rPr>
              <w:t>(</w:t>
            </w:r>
            <w:r>
              <w:rPr>
                <w:rFonts w:ascii="Arial" w:hAnsi="Arial" w:cs="Arial"/>
                <w:sz w:val="22"/>
                <w:szCs w:val="22"/>
              </w:rPr>
              <w:t>3</w:t>
            </w:r>
            <w:r w:rsidRPr="00E712D0">
              <w:rPr>
                <w:rFonts w:ascii="Arial" w:hAnsi="Arial" w:cs="Arial"/>
                <w:sz w:val="22"/>
                <w:szCs w:val="22"/>
              </w:rPr>
              <w:t xml:space="preserve">), </w:t>
            </w:r>
            <w:r>
              <w:rPr>
                <w:rFonts w:ascii="Arial" w:hAnsi="Arial" w:cs="Arial"/>
                <w:sz w:val="22"/>
                <w:szCs w:val="22"/>
              </w:rPr>
              <w:t xml:space="preserve">603 </w:t>
            </w:r>
            <w:r w:rsidRPr="00E712D0">
              <w:rPr>
                <w:rFonts w:ascii="Arial" w:hAnsi="Arial" w:cs="Arial"/>
                <w:sz w:val="22"/>
                <w:szCs w:val="22"/>
              </w:rPr>
              <w:t>–</w:t>
            </w:r>
            <w:r>
              <w:rPr>
                <w:rFonts w:ascii="Arial" w:hAnsi="Arial" w:cs="Arial"/>
                <w:sz w:val="22"/>
                <w:szCs w:val="22"/>
              </w:rPr>
              <w:t xml:space="preserve"> 6</w:t>
            </w:r>
            <w:r w:rsidRPr="00E712D0">
              <w:rPr>
                <w:rFonts w:ascii="Arial" w:hAnsi="Arial" w:cs="Arial"/>
                <w:sz w:val="22"/>
                <w:szCs w:val="22"/>
              </w:rPr>
              <w:t>08.</w:t>
            </w:r>
            <w:r>
              <w:rPr>
                <w:rFonts w:ascii="Arial" w:hAnsi="Arial" w:cs="Arial"/>
                <w:sz w:val="22"/>
                <w:szCs w:val="22"/>
              </w:rPr>
              <w:t xml:space="preserve"> </w:t>
            </w:r>
            <w:hyperlink r:id="rId44" w:history="1">
              <w:r w:rsidRPr="00F05004">
                <w:rPr>
                  <w:rStyle w:val="Hyperlink"/>
                  <w:rFonts w:ascii="Arial" w:hAnsi="Arial" w:cs="Arial"/>
                  <w:sz w:val="22"/>
                  <w:szCs w:val="22"/>
                </w:rPr>
                <w:t>https://www.neptjournal.com/upload-images/NL-5-34-%2834%29B-1404com.pdf</w:t>
              </w:r>
            </w:hyperlink>
            <w:r>
              <w:rPr>
                <w:rFonts w:ascii="Arial" w:hAnsi="Arial" w:cs="Arial"/>
                <w:sz w:val="22"/>
                <w:szCs w:val="22"/>
              </w:rPr>
              <w:t xml:space="preserve">   </w:t>
            </w:r>
          </w:p>
        </w:tc>
      </w:tr>
      <w:tr w:rsidR="00F90B02" w:rsidRPr="009023E6" w14:paraId="1BA69A95" w14:textId="77777777" w:rsidTr="005063D5">
        <w:tc>
          <w:tcPr>
            <w:tcW w:w="9275" w:type="dxa"/>
          </w:tcPr>
          <w:p w14:paraId="2F9FAC6D" w14:textId="387E7F24" w:rsidR="00F90B02" w:rsidRPr="00557349" w:rsidRDefault="00F90B02" w:rsidP="00342FCB">
            <w:pPr>
              <w:spacing w:before="120"/>
              <w:ind w:left="720" w:hanging="720"/>
              <w:jc w:val="both"/>
              <w:rPr>
                <w:rFonts w:ascii="Arial" w:hAnsi="Arial" w:cs="Arial"/>
              </w:rPr>
            </w:pPr>
            <w:proofErr w:type="spellStart"/>
            <w:r w:rsidRPr="00557349">
              <w:rPr>
                <w:rFonts w:ascii="Arial" w:hAnsi="Arial" w:cs="Arial"/>
              </w:rPr>
              <w:t>Rimply</w:t>
            </w:r>
            <w:proofErr w:type="spellEnd"/>
            <w:r w:rsidRPr="00557349">
              <w:rPr>
                <w:rFonts w:ascii="Arial" w:hAnsi="Arial" w:cs="Arial"/>
              </w:rPr>
              <w:t xml:space="preserve">, &amp; Sharma, S. (2024). Effects of Tebuconazole on liver and intestine of fresh water fish </w:t>
            </w:r>
            <w:r w:rsidRPr="00557349">
              <w:rPr>
                <w:rFonts w:ascii="Arial" w:hAnsi="Arial" w:cs="Arial"/>
                <w:i/>
                <w:iCs/>
              </w:rPr>
              <w:t>Cyprinus carpio</w:t>
            </w:r>
            <w:r w:rsidRPr="00557349">
              <w:rPr>
                <w:rFonts w:ascii="Arial" w:hAnsi="Arial" w:cs="Arial"/>
              </w:rPr>
              <w:t xml:space="preserve">. </w:t>
            </w:r>
            <w:r w:rsidRPr="00557349">
              <w:rPr>
                <w:rFonts w:ascii="Arial" w:hAnsi="Arial" w:cs="Arial"/>
                <w:i/>
                <w:iCs/>
              </w:rPr>
              <w:t>Applied Biological Research, 26(3)</w:t>
            </w:r>
            <w:r w:rsidRPr="00557349">
              <w:rPr>
                <w:rFonts w:ascii="Arial" w:hAnsi="Arial" w:cs="Arial"/>
              </w:rPr>
              <w:t xml:space="preserve">, 323–333.  </w:t>
            </w:r>
            <w:hyperlink r:id="rId45" w:history="1">
              <w:r w:rsidR="005063D5" w:rsidRPr="004970AB">
                <w:rPr>
                  <w:rStyle w:val="Hyperlink"/>
                  <w:rFonts w:ascii="Arial" w:hAnsi="Arial" w:cs="Arial"/>
                </w:rPr>
                <w:t>http://doi.org/10.48165/abr.2024.26.01.37</w:t>
              </w:r>
            </w:hyperlink>
            <w:r w:rsidR="005063D5">
              <w:rPr>
                <w:rFonts w:ascii="Arial" w:hAnsi="Arial" w:cs="Arial"/>
              </w:rPr>
              <w:t xml:space="preserve">. </w:t>
            </w:r>
          </w:p>
        </w:tc>
      </w:tr>
      <w:tr w:rsidR="00F90B02" w:rsidRPr="00E712D0" w14:paraId="44EFC66A" w14:textId="77777777" w:rsidTr="005063D5">
        <w:tc>
          <w:tcPr>
            <w:tcW w:w="9275" w:type="dxa"/>
          </w:tcPr>
          <w:p w14:paraId="6184F675" w14:textId="77777777" w:rsidR="00F90B02" w:rsidRPr="00E712D0" w:rsidRDefault="00F90B02" w:rsidP="00342FCB">
            <w:pPr>
              <w:spacing w:before="120"/>
              <w:ind w:left="720" w:hanging="720"/>
              <w:jc w:val="both"/>
              <w:rPr>
                <w:rFonts w:ascii="Arial" w:hAnsi="Arial" w:cs="Arial"/>
              </w:rPr>
            </w:pPr>
            <w:r>
              <w:rPr>
                <w:rFonts w:ascii="Arial" w:hAnsi="Arial" w:cs="Arial"/>
              </w:rPr>
              <w:t>Salve</w:t>
            </w:r>
            <w:r w:rsidRPr="00E712D0">
              <w:rPr>
                <w:rFonts w:ascii="Arial" w:hAnsi="Arial" w:cs="Arial"/>
              </w:rPr>
              <w:t xml:space="preserve">, </w:t>
            </w:r>
            <w:r>
              <w:rPr>
                <w:rFonts w:ascii="Arial" w:hAnsi="Arial" w:cs="Arial"/>
              </w:rPr>
              <w:t>B</w:t>
            </w:r>
            <w:r w:rsidRPr="00E712D0">
              <w:rPr>
                <w:rFonts w:ascii="Arial" w:hAnsi="Arial" w:cs="Arial"/>
              </w:rPr>
              <w:t>.</w:t>
            </w:r>
            <w:r>
              <w:rPr>
                <w:rFonts w:ascii="Arial" w:hAnsi="Arial" w:cs="Arial"/>
              </w:rPr>
              <w:t xml:space="preserve"> S.</w:t>
            </w:r>
            <w:r w:rsidRPr="00E712D0">
              <w:rPr>
                <w:rFonts w:ascii="Arial" w:hAnsi="Arial" w:cs="Arial"/>
              </w:rPr>
              <w:t xml:space="preserve"> (</w:t>
            </w:r>
            <w:r>
              <w:rPr>
                <w:rFonts w:ascii="Arial" w:hAnsi="Arial" w:cs="Arial"/>
              </w:rPr>
              <w:t>2023</w:t>
            </w:r>
            <w:r w:rsidRPr="00E712D0">
              <w:rPr>
                <w:rFonts w:ascii="Arial" w:hAnsi="Arial" w:cs="Arial"/>
              </w:rPr>
              <w:t xml:space="preserve">). Haematological alterations in </w:t>
            </w:r>
            <w:proofErr w:type="spellStart"/>
            <w:r w:rsidRPr="00596BC4">
              <w:rPr>
                <w:rFonts w:ascii="Arial" w:hAnsi="Arial" w:cs="Arial"/>
                <w:i/>
                <w:iCs/>
              </w:rPr>
              <w:t>Labeo</w:t>
            </w:r>
            <w:proofErr w:type="spellEnd"/>
            <w:r w:rsidRPr="00596BC4">
              <w:rPr>
                <w:rFonts w:ascii="Arial" w:hAnsi="Arial" w:cs="Arial"/>
                <w:i/>
                <w:iCs/>
              </w:rPr>
              <w:t xml:space="preserve"> </w:t>
            </w:r>
            <w:proofErr w:type="spellStart"/>
            <w:r w:rsidRPr="00596BC4">
              <w:rPr>
                <w:rFonts w:ascii="Arial" w:hAnsi="Arial" w:cs="Arial"/>
                <w:i/>
                <w:iCs/>
              </w:rPr>
              <w:t>rohita</w:t>
            </w:r>
            <w:proofErr w:type="spellEnd"/>
            <w:r>
              <w:rPr>
                <w:rFonts w:ascii="Arial" w:hAnsi="Arial" w:cs="Arial"/>
              </w:rPr>
              <w:t xml:space="preserve"> due</w:t>
            </w:r>
            <w:r w:rsidRPr="00E712D0">
              <w:rPr>
                <w:rFonts w:ascii="Arial" w:hAnsi="Arial" w:cs="Arial"/>
              </w:rPr>
              <w:t xml:space="preserve"> to </w:t>
            </w:r>
            <w:r>
              <w:rPr>
                <w:rFonts w:ascii="Arial" w:hAnsi="Arial" w:cs="Arial"/>
              </w:rPr>
              <w:t>heavy metal toxicity</w:t>
            </w:r>
            <w:r w:rsidRPr="00E712D0">
              <w:rPr>
                <w:rFonts w:ascii="Arial" w:hAnsi="Arial" w:cs="Arial"/>
              </w:rPr>
              <w:t xml:space="preserve">. </w:t>
            </w:r>
            <w:r>
              <w:rPr>
                <w:rFonts w:ascii="Arial" w:hAnsi="Arial" w:cs="Arial"/>
                <w:i/>
                <w:iCs/>
              </w:rPr>
              <w:t>Journal of Emerging Technologies and Innovative Research</w:t>
            </w:r>
            <w:r w:rsidRPr="00456C30">
              <w:rPr>
                <w:rFonts w:ascii="Arial" w:hAnsi="Arial" w:cs="Arial"/>
                <w:i/>
                <w:iCs/>
              </w:rPr>
              <w:t xml:space="preserve">, </w:t>
            </w:r>
            <w:r>
              <w:rPr>
                <w:rFonts w:ascii="Arial" w:hAnsi="Arial" w:cs="Arial"/>
                <w:i/>
                <w:iCs/>
              </w:rPr>
              <w:t>8</w:t>
            </w:r>
            <w:r w:rsidRPr="00E712D0">
              <w:rPr>
                <w:rFonts w:ascii="Arial" w:hAnsi="Arial" w:cs="Arial"/>
              </w:rPr>
              <w:t>(</w:t>
            </w:r>
            <w:r>
              <w:rPr>
                <w:rFonts w:ascii="Arial" w:hAnsi="Arial" w:cs="Arial"/>
              </w:rPr>
              <w:t>10</w:t>
            </w:r>
            <w:r w:rsidRPr="00E712D0">
              <w:rPr>
                <w:rFonts w:ascii="Arial" w:hAnsi="Arial" w:cs="Arial"/>
              </w:rPr>
              <w:t xml:space="preserve">), </w:t>
            </w:r>
            <w:r>
              <w:rPr>
                <w:rFonts w:ascii="Arial" w:hAnsi="Arial" w:cs="Arial"/>
              </w:rPr>
              <w:t>750</w:t>
            </w:r>
            <w:r w:rsidRPr="00E712D0">
              <w:rPr>
                <w:rFonts w:ascii="Arial" w:hAnsi="Arial" w:cs="Arial"/>
              </w:rPr>
              <w:t>–</w:t>
            </w:r>
            <w:r>
              <w:rPr>
                <w:rFonts w:ascii="Arial" w:hAnsi="Arial" w:cs="Arial"/>
              </w:rPr>
              <w:t>753</w:t>
            </w:r>
            <w:r w:rsidRPr="00E712D0">
              <w:rPr>
                <w:rFonts w:ascii="Arial" w:hAnsi="Arial" w:cs="Arial"/>
              </w:rPr>
              <w:t>.</w:t>
            </w:r>
            <w:r>
              <w:rPr>
                <w:rFonts w:ascii="Arial" w:hAnsi="Arial" w:cs="Arial"/>
              </w:rPr>
              <w:t xml:space="preserve"> </w:t>
            </w:r>
            <w:r w:rsidRPr="00596BC4">
              <w:rPr>
                <w:rFonts w:ascii="Arial" w:hAnsi="Arial" w:cs="Arial"/>
              </w:rPr>
              <w:t>https://doi.org/</w:t>
            </w:r>
            <w:hyperlink r:id="rId46" w:tgtFrame="_blank" w:history="1">
              <w:r>
                <w:rPr>
                  <w:rStyle w:val="Hyperlink"/>
                  <w:rFonts w:ascii="Roboto" w:hAnsi="Roboto"/>
                  <w:sz w:val="21"/>
                  <w:szCs w:val="21"/>
                  <w:bdr w:val="none" w:sz="0" w:space="0" w:color="auto" w:frame="1"/>
                  <w:shd w:val="clear" w:color="auto" w:fill="FFFFFF"/>
                </w:rPr>
                <w:t>10.13140/RG.2.2.20506.62401</w:t>
              </w:r>
            </w:hyperlink>
            <w:r>
              <w:t xml:space="preserve">  </w:t>
            </w:r>
          </w:p>
        </w:tc>
      </w:tr>
      <w:tr w:rsidR="00F90B02" w:rsidRPr="00E712D0" w14:paraId="15030B1D" w14:textId="77777777" w:rsidTr="005063D5">
        <w:trPr>
          <w:trHeight w:val="387"/>
        </w:trPr>
        <w:tc>
          <w:tcPr>
            <w:tcW w:w="9275" w:type="dxa"/>
          </w:tcPr>
          <w:p w14:paraId="3D9B972A" w14:textId="77777777" w:rsidR="00F90B02" w:rsidRPr="00712AA0" w:rsidRDefault="00F90B02" w:rsidP="00712AA0">
            <w:pPr>
              <w:spacing w:before="120"/>
              <w:ind w:left="720" w:hanging="720"/>
              <w:jc w:val="both"/>
            </w:pPr>
            <w:r>
              <w:rPr>
                <w:rFonts w:ascii="Arial" w:hAnsi="Arial" w:cs="Arial"/>
              </w:rPr>
              <w:t>Shah, R., &amp; Rani, A</w:t>
            </w:r>
            <w:r w:rsidRPr="00E712D0">
              <w:rPr>
                <w:rFonts w:ascii="Arial" w:hAnsi="Arial" w:cs="Arial"/>
              </w:rPr>
              <w:t>. (20</w:t>
            </w:r>
            <w:r>
              <w:rPr>
                <w:rFonts w:ascii="Arial" w:hAnsi="Arial" w:cs="Arial"/>
              </w:rPr>
              <w:t>25</w:t>
            </w:r>
            <w:r w:rsidRPr="00E712D0">
              <w:rPr>
                <w:rFonts w:ascii="Arial" w:hAnsi="Arial" w:cs="Arial"/>
              </w:rPr>
              <w:t xml:space="preserve">). </w:t>
            </w:r>
            <w:r w:rsidRPr="00712AA0">
              <w:rPr>
                <w:rFonts w:ascii="Arial" w:hAnsi="Arial" w:cs="Arial"/>
              </w:rPr>
              <w:t>Impact of pesticide exposure on respiratory</w:t>
            </w:r>
            <w:r>
              <w:rPr>
                <w:rFonts w:ascii="Arial" w:hAnsi="Arial" w:cs="Arial"/>
              </w:rPr>
              <w:t xml:space="preserve"> </w:t>
            </w:r>
            <w:r w:rsidRPr="00712AA0">
              <w:rPr>
                <w:rFonts w:ascii="Arial" w:hAnsi="Arial" w:cs="Arial"/>
              </w:rPr>
              <w:t xml:space="preserve">physiology in </w:t>
            </w:r>
            <w:r w:rsidRPr="00712AA0">
              <w:rPr>
                <w:rFonts w:ascii="Arial" w:hAnsi="Arial" w:cs="Arial"/>
                <w:i/>
                <w:iCs/>
              </w:rPr>
              <w:t>Channa</w:t>
            </w:r>
            <w:r w:rsidRPr="00712AA0">
              <w:rPr>
                <w:rFonts w:ascii="Arial" w:hAnsi="Arial" w:cs="Arial"/>
              </w:rPr>
              <w:t xml:space="preserve"> </w:t>
            </w:r>
            <w:proofErr w:type="spellStart"/>
            <w:r w:rsidRPr="00712AA0">
              <w:rPr>
                <w:rFonts w:ascii="Arial" w:hAnsi="Arial" w:cs="Arial"/>
                <w:i/>
                <w:iCs/>
              </w:rPr>
              <w:t>marulius</w:t>
            </w:r>
            <w:proofErr w:type="spellEnd"/>
            <w:r w:rsidRPr="00712AA0">
              <w:rPr>
                <w:rFonts w:ascii="Arial" w:hAnsi="Arial" w:cs="Arial"/>
              </w:rPr>
              <w:t>: A study of oxygen</w:t>
            </w:r>
            <w:r>
              <w:rPr>
                <w:rFonts w:ascii="Arial" w:hAnsi="Arial" w:cs="Arial"/>
              </w:rPr>
              <w:t xml:space="preserve"> </w:t>
            </w:r>
            <w:r w:rsidRPr="00712AA0">
              <w:rPr>
                <w:rFonts w:ascii="Arial" w:hAnsi="Arial" w:cs="Arial"/>
              </w:rPr>
              <w:t>consumption, ventilation frequency, and respiratory</w:t>
            </w:r>
            <w:r>
              <w:rPr>
                <w:rFonts w:ascii="Arial" w:hAnsi="Arial" w:cs="Arial"/>
              </w:rPr>
              <w:t xml:space="preserve"> </w:t>
            </w:r>
            <w:r w:rsidRPr="00712AA0">
              <w:rPr>
                <w:rFonts w:ascii="Arial" w:hAnsi="Arial" w:cs="Arial"/>
              </w:rPr>
              <w:lastRenderedPageBreak/>
              <w:t>efficiency</w:t>
            </w:r>
            <w:r w:rsidRPr="00E712D0">
              <w:rPr>
                <w:rFonts w:ascii="Arial" w:hAnsi="Arial" w:cs="Arial"/>
              </w:rPr>
              <w:t xml:space="preserve">. </w:t>
            </w:r>
            <w:r>
              <w:rPr>
                <w:rFonts w:ascii="Arial" w:hAnsi="Arial" w:cs="Arial"/>
                <w:i/>
                <w:iCs/>
              </w:rPr>
              <w:t>Acta Entomology and Zoology</w:t>
            </w:r>
            <w:r w:rsidRPr="00E712D0">
              <w:rPr>
                <w:rFonts w:ascii="Arial" w:hAnsi="Arial" w:cs="Arial"/>
                <w:i/>
                <w:iCs/>
              </w:rPr>
              <w:t xml:space="preserve">, </w:t>
            </w:r>
            <w:r w:rsidRPr="00712AA0">
              <w:rPr>
                <w:rFonts w:ascii="Arial" w:hAnsi="Arial" w:cs="Arial"/>
              </w:rPr>
              <w:t>6(2)</w:t>
            </w:r>
            <w:r w:rsidRPr="00E712D0">
              <w:rPr>
                <w:rFonts w:ascii="Arial" w:hAnsi="Arial" w:cs="Arial"/>
              </w:rPr>
              <w:t>, 1</w:t>
            </w:r>
            <w:r>
              <w:rPr>
                <w:rFonts w:ascii="Arial" w:hAnsi="Arial" w:cs="Arial"/>
              </w:rPr>
              <w:t>70</w:t>
            </w:r>
            <w:r w:rsidRPr="00E712D0">
              <w:rPr>
                <w:rFonts w:ascii="Arial" w:hAnsi="Arial" w:cs="Arial"/>
              </w:rPr>
              <w:t>–1</w:t>
            </w:r>
            <w:r>
              <w:rPr>
                <w:rFonts w:ascii="Arial" w:hAnsi="Arial" w:cs="Arial"/>
              </w:rPr>
              <w:t>77</w:t>
            </w:r>
            <w:r w:rsidRPr="00E712D0">
              <w:rPr>
                <w:rFonts w:ascii="Arial" w:hAnsi="Arial" w:cs="Arial"/>
              </w:rPr>
              <w:t>.</w:t>
            </w:r>
            <w:r>
              <w:rPr>
                <w:rFonts w:ascii="Arial" w:hAnsi="Arial" w:cs="Arial"/>
              </w:rPr>
              <w:t xml:space="preserve"> </w:t>
            </w:r>
            <w:hyperlink r:id="rId47" w:history="1">
              <w:r w:rsidRPr="0088256E">
                <w:rPr>
                  <w:rStyle w:val="Hyperlink"/>
                  <w:rFonts w:ascii="Arial" w:hAnsi="Arial" w:cs="Arial"/>
                </w:rPr>
                <w:t>https://doi.org/</w:t>
              </w:r>
              <w:r w:rsidRPr="0088256E">
                <w:rPr>
                  <w:rStyle w:val="Hyperlink"/>
                  <w:rFonts w:ascii="Arial" w:hAnsi="Arial" w:cs="Arial"/>
                  <w:sz w:val="20"/>
                  <w:szCs w:val="20"/>
                  <w:shd w:val="clear" w:color="auto" w:fill="FFFFFF"/>
                </w:rPr>
                <w:t>10.33545/27080013.2025.v6.i2c.248</w:t>
              </w:r>
            </w:hyperlink>
            <w:r>
              <w:t xml:space="preserve">.   </w:t>
            </w:r>
          </w:p>
        </w:tc>
      </w:tr>
      <w:tr w:rsidR="00F90B02" w:rsidRPr="00E712D0" w14:paraId="6E57E36D" w14:textId="77777777" w:rsidTr="005063D5">
        <w:tc>
          <w:tcPr>
            <w:tcW w:w="9275" w:type="dxa"/>
          </w:tcPr>
          <w:p w14:paraId="30CE1DBF" w14:textId="77777777" w:rsidR="00F90B02" w:rsidRPr="00E712D0" w:rsidRDefault="00F90B02" w:rsidP="00342FCB">
            <w:pPr>
              <w:spacing w:before="120"/>
              <w:ind w:left="720" w:hanging="720"/>
              <w:jc w:val="both"/>
              <w:rPr>
                <w:rFonts w:ascii="Arial" w:hAnsi="Arial" w:cs="Arial"/>
              </w:rPr>
            </w:pPr>
            <w:r w:rsidRPr="00CA65E1">
              <w:rPr>
                <w:rFonts w:ascii="Arial" w:hAnsi="Arial" w:cs="Arial"/>
              </w:rPr>
              <w:lastRenderedPageBreak/>
              <w:t>Shah</w:t>
            </w:r>
            <w:r>
              <w:rPr>
                <w:rFonts w:ascii="Arial" w:hAnsi="Arial" w:cs="Arial"/>
              </w:rPr>
              <w:t>,</w:t>
            </w:r>
            <w:r w:rsidRPr="00CA65E1">
              <w:rPr>
                <w:rFonts w:ascii="Arial" w:hAnsi="Arial" w:cs="Arial"/>
              </w:rPr>
              <w:t xml:space="preserve"> Z</w:t>
            </w:r>
            <w:r>
              <w:rPr>
                <w:rFonts w:ascii="Arial" w:hAnsi="Arial" w:cs="Arial"/>
              </w:rPr>
              <w:t xml:space="preserve">. </w:t>
            </w:r>
            <w:r w:rsidRPr="00CA65E1">
              <w:rPr>
                <w:rFonts w:ascii="Arial" w:hAnsi="Arial" w:cs="Arial"/>
              </w:rPr>
              <w:t>U</w:t>
            </w:r>
            <w:r>
              <w:rPr>
                <w:rFonts w:ascii="Arial" w:hAnsi="Arial" w:cs="Arial"/>
              </w:rPr>
              <w:t>., &amp;</w:t>
            </w:r>
            <w:r w:rsidRPr="00CA65E1">
              <w:rPr>
                <w:rFonts w:ascii="Arial" w:hAnsi="Arial" w:cs="Arial"/>
              </w:rPr>
              <w:t xml:space="preserve"> Parveen</w:t>
            </w:r>
            <w:r>
              <w:rPr>
                <w:rFonts w:ascii="Arial" w:hAnsi="Arial" w:cs="Arial"/>
              </w:rPr>
              <w:t>,</w:t>
            </w:r>
            <w:r w:rsidRPr="00CA65E1">
              <w:rPr>
                <w:rFonts w:ascii="Arial" w:hAnsi="Arial" w:cs="Arial"/>
              </w:rPr>
              <w:t xml:space="preserve"> S. </w:t>
            </w:r>
            <w:r>
              <w:rPr>
                <w:rFonts w:ascii="Arial" w:hAnsi="Arial" w:cs="Arial"/>
              </w:rPr>
              <w:t xml:space="preserve">(2022). </w:t>
            </w:r>
            <w:r w:rsidRPr="00CA65E1">
              <w:rPr>
                <w:rFonts w:ascii="Arial" w:hAnsi="Arial" w:cs="Arial"/>
              </w:rPr>
              <w:t xml:space="preserve">Oxidative, biochemical and histopathological alterations in fishes from </w:t>
            </w:r>
            <w:r>
              <w:rPr>
                <w:rFonts w:ascii="Arial" w:hAnsi="Arial" w:cs="Arial"/>
              </w:rPr>
              <w:t>pesticide-contaminated</w:t>
            </w:r>
            <w:r w:rsidRPr="00CA65E1">
              <w:rPr>
                <w:rFonts w:ascii="Arial" w:hAnsi="Arial" w:cs="Arial"/>
              </w:rPr>
              <w:t xml:space="preserve"> river Ganga, India. </w:t>
            </w:r>
            <w:r w:rsidRPr="00CA65E1">
              <w:rPr>
                <w:rFonts w:ascii="Arial" w:hAnsi="Arial" w:cs="Arial"/>
                <w:i/>
                <w:iCs/>
              </w:rPr>
              <w:t>Scientific Reports</w:t>
            </w:r>
            <w:r>
              <w:rPr>
                <w:rFonts w:ascii="Arial" w:hAnsi="Arial" w:cs="Arial"/>
              </w:rPr>
              <w:t xml:space="preserve">, </w:t>
            </w:r>
            <w:r w:rsidRPr="00CA65E1">
              <w:rPr>
                <w:rFonts w:ascii="Arial" w:hAnsi="Arial" w:cs="Arial"/>
              </w:rPr>
              <w:t>7;12(1)</w:t>
            </w:r>
            <w:r>
              <w:rPr>
                <w:rFonts w:ascii="Arial" w:hAnsi="Arial" w:cs="Arial"/>
              </w:rPr>
              <w:t xml:space="preserve">, </w:t>
            </w:r>
            <w:r w:rsidRPr="00CA65E1">
              <w:rPr>
                <w:rFonts w:ascii="Arial" w:hAnsi="Arial" w:cs="Arial"/>
              </w:rPr>
              <w:t xml:space="preserve">3628. </w:t>
            </w:r>
            <w:hyperlink r:id="rId48" w:history="1">
              <w:r w:rsidRPr="00F05004">
                <w:rPr>
                  <w:rStyle w:val="Hyperlink"/>
                  <w:rFonts w:ascii="Arial" w:hAnsi="Arial" w:cs="Arial"/>
                </w:rPr>
                <w:t>https://doi.org/10.1038/s41598-022-07506-8</w:t>
              </w:r>
            </w:hyperlink>
            <w:r>
              <w:rPr>
                <w:rFonts w:ascii="Arial" w:hAnsi="Arial" w:cs="Arial"/>
              </w:rPr>
              <w:t xml:space="preserve">. </w:t>
            </w:r>
            <w:r w:rsidRPr="00CA65E1">
              <w:rPr>
                <w:rFonts w:ascii="Arial" w:hAnsi="Arial" w:cs="Arial"/>
              </w:rPr>
              <w:t xml:space="preserve"> </w:t>
            </w:r>
          </w:p>
        </w:tc>
      </w:tr>
      <w:tr w:rsidR="00F90B02" w:rsidRPr="00E712D0" w14:paraId="32CD1D6D" w14:textId="77777777" w:rsidTr="005063D5">
        <w:tc>
          <w:tcPr>
            <w:tcW w:w="9275" w:type="dxa"/>
          </w:tcPr>
          <w:p w14:paraId="3CBCD1E5" w14:textId="77777777" w:rsidR="00F90B02" w:rsidRPr="00E712D0" w:rsidRDefault="00F90B02" w:rsidP="00136CF1">
            <w:pPr>
              <w:spacing w:before="120"/>
              <w:ind w:left="720" w:hanging="720"/>
              <w:jc w:val="both"/>
              <w:rPr>
                <w:rFonts w:ascii="Arial" w:hAnsi="Arial" w:cs="Arial"/>
              </w:rPr>
            </w:pPr>
            <w:r w:rsidRPr="00787277">
              <w:rPr>
                <w:rFonts w:ascii="Arial" w:hAnsi="Arial" w:cs="Arial"/>
              </w:rPr>
              <w:t xml:space="preserve">Sharma, H., Kalamkar, S. S., &amp; Swain, M. N. (2020). Assessment the Cost and Return in Marine Fish Production in Gujarat, India. International Journal of Current Microbiology and Applied Sciences. </w:t>
            </w:r>
            <w:hyperlink r:id="rId49" w:history="1">
              <w:r w:rsidRPr="00C027F0">
                <w:rPr>
                  <w:rStyle w:val="Hyperlink"/>
                  <w:rFonts w:ascii="Arial" w:hAnsi="Arial" w:cs="Arial"/>
                </w:rPr>
                <w:t>https://doi.org/10.20546/ijcmas.2020.902.021</w:t>
              </w:r>
            </w:hyperlink>
          </w:p>
        </w:tc>
      </w:tr>
      <w:tr w:rsidR="00F90B02" w:rsidRPr="00E712D0" w14:paraId="3D601B49" w14:textId="77777777" w:rsidTr="005063D5">
        <w:tc>
          <w:tcPr>
            <w:tcW w:w="9275" w:type="dxa"/>
          </w:tcPr>
          <w:p w14:paraId="01EEB345"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Singh, R. R., &amp; Yadav, M. (2025, June 13). *Inland Fisheries &amp; Aquaculture Meet 2025*. Ministry of Fisheries, Animal Husbandry &amp; Dairying, Government of India, Indore. </w:t>
            </w:r>
            <w:hyperlink r:id="rId50" w:history="1">
              <w:r w:rsidRPr="00C027F0">
                <w:rPr>
                  <w:rStyle w:val="Hyperlink"/>
                  <w:rFonts w:ascii="Arial" w:hAnsi="Arial" w:cs="Arial"/>
                </w:rPr>
                <w:t>https://www.drishtiias.com/daily-updates/daily-news-analysis/inland-fisheries-aquaculture-meet-2025</w:t>
              </w:r>
            </w:hyperlink>
            <w:r>
              <w:rPr>
                <w:rFonts w:ascii="Arial" w:hAnsi="Arial" w:cs="Arial"/>
              </w:rPr>
              <w:t xml:space="preserve"> </w:t>
            </w:r>
          </w:p>
        </w:tc>
      </w:tr>
      <w:tr w:rsidR="00F90B02" w:rsidRPr="00E712D0" w14:paraId="40ACCECD" w14:textId="77777777" w:rsidTr="005063D5">
        <w:tc>
          <w:tcPr>
            <w:tcW w:w="9275" w:type="dxa"/>
          </w:tcPr>
          <w:p w14:paraId="2B03825C" w14:textId="77777777" w:rsidR="00F90B02" w:rsidRPr="00E712D0" w:rsidRDefault="00F90B02" w:rsidP="00342FCB">
            <w:pPr>
              <w:spacing w:before="120"/>
              <w:ind w:left="720" w:hanging="720"/>
              <w:jc w:val="both"/>
              <w:rPr>
                <w:rFonts w:ascii="Arial" w:hAnsi="Arial" w:cs="Arial"/>
              </w:rPr>
            </w:pPr>
            <w:proofErr w:type="spellStart"/>
            <w:r>
              <w:rPr>
                <w:rFonts w:ascii="Arial" w:hAnsi="Arial" w:cs="Arial"/>
                <w:lang w:val="fr-FR"/>
              </w:rPr>
              <w:t>Stoyanova</w:t>
            </w:r>
            <w:proofErr w:type="spellEnd"/>
            <w:r w:rsidRPr="00787277">
              <w:rPr>
                <w:rFonts w:ascii="Arial" w:hAnsi="Arial" w:cs="Arial"/>
                <w:lang w:val="fr-FR"/>
              </w:rPr>
              <w:t xml:space="preserve">, </w:t>
            </w:r>
            <w:r>
              <w:rPr>
                <w:rFonts w:ascii="Arial" w:hAnsi="Arial" w:cs="Arial"/>
                <w:lang w:val="fr-FR"/>
              </w:rPr>
              <w:t>S</w:t>
            </w:r>
            <w:r w:rsidRPr="00787277">
              <w:rPr>
                <w:rFonts w:ascii="Arial" w:hAnsi="Arial" w:cs="Arial"/>
                <w:lang w:val="fr-FR"/>
              </w:rPr>
              <w:t xml:space="preserve">., </w:t>
            </w:r>
            <w:proofErr w:type="spellStart"/>
            <w:r>
              <w:rPr>
                <w:rFonts w:ascii="Arial" w:hAnsi="Arial" w:cs="Arial"/>
                <w:lang w:val="fr-FR"/>
              </w:rPr>
              <w:t>Yancheva</w:t>
            </w:r>
            <w:proofErr w:type="spellEnd"/>
            <w:r w:rsidRPr="00787277">
              <w:rPr>
                <w:rFonts w:ascii="Arial" w:hAnsi="Arial" w:cs="Arial"/>
                <w:lang w:val="fr-FR"/>
              </w:rPr>
              <w:t xml:space="preserve">, </w:t>
            </w:r>
            <w:r>
              <w:rPr>
                <w:rFonts w:ascii="Arial" w:hAnsi="Arial" w:cs="Arial"/>
                <w:lang w:val="fr-FR"/>
              </w:rPr>
              <w:t>V</w:t>
            </w:r>
            <w:r w:rsidRPr="00787277">
              <w:rPr>
                <w:rFonts w:ascii="Arial" w:hAnsi="Arial" w:cs="Arial"/>
                <w:lang w:val="fr-FR"/>
              </w:rPr>
              <w:t xml:space="preserve">., </w:t>
            </w:r>
            <w:proofErr w:type="spellStart"/>
            <w:r>
              <w:rPr>
                <w:rFonts w:ascii="Arial" w:hAnsi="Arial" w:cs="Arial"/>
                <w:lang w:val="fr-FR"/>
              </w:rPr>
              <w:t>Velcheva</w:t>
            </w:r>
            <w:proofErr w:type="spellEnd"/>
            <w:r>
              <w:rPr>
                <w:rFonts w:ascii="Arial" w:hAnsi="Arial" w:cs="Arial"/>
                <w:lang w:val="fr-FR"/>
              </w:rPr>
              <w:t xml:space="preserve">, I., </w:t>
            </w:r>
            <w:proofErr w:type="spellStart"/>
            <w:r>
              <w:rPr>
                <w:rFonts w:ascii="Arial" w:hAnsi="Arial" w:cs="Arial"/>
                <w:lang w:val="fr-FR"/>
              </w:rPr>
              <w:t>Uchikova</w:t>
            </w:r>
            <w:proofErr w:type="spellEnd"/>
            <w:r>
              <w:rPr>
                <w:rFonts w:ascii="Arial" w:hAnsi="Arial" w:cs="Arial"/>
                <w:lang w:val="fr-FR"/>
              </w:rPr>
              <w:t xml:space="preserve">, E., </w:t>
            </w:r>
            <w:r w:rsidRPr="00787277">
              <w:rPr>
                <w:rFonts w:ascii="Arial" w:hAnsi="Arial" w:cs="Arial"/>
                <w:lang w:val="fr-FR"/>
              </w:rPr>
              <w:t xml:space="preserve">&amp; </w:t>
            </w:r>
            <w:proofErr w:type="spellStart"/>
            <w:r>
              <w:rPr>
                <w:rFonts w:ascii="Arial" w:hAnsi="Arial" w:cs="Arial"/>
                <w:lang w:val="fr-FR"/>
              </w:rPr>
              <w:t>Georgieva</w:t>
            </w:r>
            <w:proofErr w:type="spellEnd"/>
            <w:r w:rsidRPr="00787277">
              <w:rPr>
                <w:rFonts w:ascii="Arial" w:hAnsi="Arial" w:cs="Arial"/>
                <w:lang w:val="fr-FR"/>
              </w:rPr>
              <w:t xml:space="preserve">, E. (1996). </w:t>
            </w:r>
            <w:r w:rsidRPr="004E480B">
              <w:rPr>
                <w:rFonts w:ascii="Arial" w:hAnsi="Arial" w:cs="Arial"/>
              </w:rPr>
              <w:t xml:space="preserve">Histological </w:t>
            </w:r>
            <w:r>
              <w:rPr>
                <w:rFonts w:ascii="Arial" w:hAnsi="Arial" w:cs="Arial"/>
              </w:rPr>
              <w:t>a</w:t>
            </w:r>
            <w:r w:rsidRPr="004E480B">
              <w:rPr>
                <w:rFonts w:ascii="Arial" w:hAnsi="Arial" w:cs="Arial"/>
              </w:rPr>
              <w:t xml:space="preserve">lterations in Common Carp (Cyprinus carpio Linnaeus, 1758) </w:t>
            </w:r>
            <w:r>
              <w:rPr>
                <w:rFonts w:ascii="Arial" w:hAnsi="Arial" w:cs="Arial"/>
              </w:rPr>
              <w:t>g</w:t>
            </w:r>
            <w:r w:rsidRPr="004E480B">
              <w:rPr>
                <w:rFonts w:ascii="Arial" w:hAnsi="Arial" w:cs="Arial"/>
              </w:rPr>
              <w:t xml:space="preserve">ills as </w:t>
            </w:r>
            <w:r>
              <w:rPr>
                <w:rFonts w:ascii="Arial" w:hAnsi="Arial" w:cs="Arial"/>
              </w:rPr>
              <w:t>p</w:t>
            </w:r>
            <w:r w:rsidRPr="004E480B">
              <w:rPr>
                <w:rFonts w:ascii="Arial" w:hAnsi="Arial" w:cs="Arial"/>
              </w:rPr>
              <w:t xml:space="preserve">otential </w:t>
            </w:r>
            <w:r>
              <w:rPr>
                <w:rFonts w:ascii="Arial" w:hAnsi="Arial" w:cs="Arial"/>
              </w:rPr>
              <w:t>biomarkers of fungicide contamination</w:t>
            </w:r>
            <w:r w:rsidRPr="00E712D0">
              <w:rPr>
                <w:rFonts w:ascii="Arial" w:hAnsi="Arial" w:cs="Arial"/>
              </w:rPr>
              <w:t xml:space="preserve">. </w:t>
            </w:r>
            <w:proofErr w:type="spellStart"/>
            <w:r>
              <w:rPr>
                <w:rFonts w:ascii="Arial" w:hAnsi="Arial" w:cs="Arial"/>
                <w:i/>
                <w:iCs/>
              </w:rPr>
              <w:t>Brazillian</w:t>
            </w:r>
            <w:proofErr w:type="spellEnd"/>
            <w:r>
              <w:rPr>
                <w:rFonts w:ascii="Arial" w:hAnsi="Arial" w:cs="Arial"/>
                <w:i/>
                <w:iCs/>
              </w:rPr>
              <w:t xml:space="preserve"> Archives of Biology and Technology</w:t>
            </w:r>
            <w:r w:rsidRPr="00E712D0">
              <w:rPr>
                <w:rFonts w:ascii="Arial" w:hAnsi="Arial" w:cs="Arial"/>
              </w:rPr>
              <w:t xml:space="preserve">, </w:t>
            </w:r>
            <w:r w:rsidRPr="00712AA0">
              <w:rPr>
                <w:rFonts w:ascii="Arial" w:hAnsi="Arial" w:cs="Arial"/>
              </w:rPr>
              <w:t>58(5)</w:t>
            </w:r>
            <w:r w:rsidRPr="00E712D0">
              <w:rPr>
                <w:rFonts w:ascii="Arial" w:hAnsi="Arial" w:cs="Arial"/>
              </w:rPr>
              <w:t xml:space="preserve">, </w:t>
            </w:r>
            <w:r>
              <w:rPr>
                <w:rFonts w:ascii="Arial" w:hAnsi="Arial" w:cs="Arial"/>
              </w:rPr>
              <w:t>757–764</w:t>
            </w:r>
            <w:r w:rsidRPr="00E712D0">
              <w:rPr>
                <w:rFonts w:ascii="Arial" w:hAnsi="Arial" w:cs="Arial"/>
              </w:rPr>
              <w:t xml:space="preserve">. </w:t>
            </w:r>
            <w:r w:rsidRPr="00C846EE">
              <w:rPr>
                <w:rFonts w:ascii="Arial" w:hAnsi="Arial" w:cs="Arial"/>
              </w:rPr>
              <w:t xml:space="preserve"> </w:t>
            </w:r>
            <w:hyperlink r:id="rId51" w:history="1">
              <w:r w:rsidRPr="009A6741">
                <w:rPr>
                  <w:rStyle w:val="Hyperlink"/>
                  <w:rFonts w:ascii="Arial" w:hAnsi="Arial" w:cs="Arial"/>
                </w:rPr>
                <w:t>https://doi.org/10.1590/S1516-89132015050151</w:t>
              </w:r>
            </w:hyperlink>
            <w:r>
              <w:rPr>
                <w:rFonts w:ascii="Arial" w:hAnsi="Arial" w:cs="Arial"/>
              </w:rPr>
              <w:t xml:space="preserve">. </w:t>
            </w:r>
          </w:p>
        </w:tc>
      </w:tr>
      <w:tr w:rsidR="00F90B02" w:rsidRPr="00E712D0" w14:paraId="7DCFE894" w14:textId="77777777" w:rsidTr="005063D5">
        <w:tc>
          <w:tcPr>
            <w:tcW w:w="9275" w:type="dxa"/>
          </w:tcPr>
          <w:p w14:paraId="40865DF9" w14:textId="77777777" w:rsidR="00F90B02" w:rsidRPr="00E712D0" w:rsidRDefault="00F90B02" w:rsidP="00342FCB">
            <w:pPr>
              <w:spacing w:before="120"/>
              <w:ind w:left="720" w:hanging="720"/>
              <w:jc w:val="both"/>
              <w:rPr>
                <w:rFonts w:ascii="Arial" w:hAnsi="Arial" w:cs="Arial"/>
              </w:rPr>
            </w:pPr>
            <w:r w:rsidRPr="00787277">
              <w:rPr>
                <w:rFonts w:ascii="Arial" w:hAnsi="Arial" w:cs="Arial"/>
              </w:rPr>
              <w:t xml:space="preserve">van Wijngaarden, R. P. A., </w:t>
            </w:r>
            <w:proofErr w:type="spellStart"/>
            <w:r w:rsidRPr="00787277">
              <w:rPr>
                <w:rFonts w:ascii="Arial" w:hAnsi="Arial" w:cs="Arial"/>
              </w:rPr>
              <w:t>Belgers</w:t>
            </w:r>
            <w:proofErr w:type="spellEnd"/>
            <w:r w:rsidRPr="00787277">
              <w:rPr>
                <w:rFonts w:ascii="Arial" w:hAnsi="Arial" w:cs="Arial"/>
              </w:rPr>
              <w:t xml:space="preserve">, J. D. M., Zafar, M. I., </w:t>
            </w:r>
            <w:proofErr w:type="spellStart"/>
            <w:r w:rsidRPr="00787277">
              <w:rPr>
                <w:rFonts w:ascii="Arial" w:hAnsi="Arial" w:cs="Arial"/>
              </w:rPr>
              <w:t>Matser</w:t>
            </w:r>
            <w:proofErr w:type="spellEnd"/>
            <w:r w:rsidRPr="00787277">
              <w:rPr>
                <w:rFonts w:ascii="Arial" w:hAnsi="Arial" w:cs="Arial"/>
              </w:rPr>
              <w:t xml:space="preserve">, A. M., Boerwinkel, M. C., &amp; Arts, G. H. P. (2014). Chronic aquatic effect assessment for the fungicide azoxystrobin. Environmental Toxicology and Chemistry, 33(12), 2775–2785. </w:t>
            </w:r>
            <w:hyperlink r:id="rId52" w:history="1">
              <w:r w:rsidRPr="00C027F0">
                <w:rPr>
                  <w:rStyle w:val="Hyperlink"/>
                  <w:rFonts w:ascii="Arial" w:hAnsi="Arial" w:cs="Arial"/>
                </w:rPr>
                <w:t>https://doi.org/10.1002/etc.2739</w:t>
              </w:r>
            </w:hyperlink>
            <w:r>
              <w:rPr>
                <w:rFonts w:ascii="Arial" w:hAnsi="Arial" w:cs="Arial"/>
              </w:rPr>
              <w:t xml:space="preserve"> </w:t>
            </w:r>
          </w:p>
        </w:tc>
      </w:tr>
      <w:tr w:rsidR="00F90B02" w:rsidRPr="00E712D0" w14:paraId="0D188942" w14:textId="77777777" w:rsidTr="005063D5">
        <w:tc>
          <w:tcPr>
            <w:tcW w:w="9275" w:type="dxa"/>
          </w:tcPr>
          <w:p w14:paraId="2C1A6EC7" w14:textId="77777777" w:rsidR="00F90B02" w:rsidRPr="00E712D0" w:rsidRDefault="00F90B02" w:rsidP="00342FCB">
            <w:pPr>
              <w:spacing w:before="120"/>
              <w:ind w:left="720" w:hanging="720"/>
              <w:jc w:val="both"/>
              <w:rPr>
                <w:rFonts w:ascii="Arial" w:hAnsi="Arial" w:cs="Arial"/>
              </w:rPr>
            </w:pPr>
            <w:r w:rsidRPr="00213D54">
              <w:rPr>
                <w:rFonts w:ascii="Arial" w:hAnsi="Arial" w:cs="Arial"/>
              </w:rPr>
              <w:t>Wang, X., Li, X., Wang, Y., Qin, Y., Yan, B., &amp; Martyniuk, C. J. (2021). A comprehensive review of strobilurin fungicide toxicity in aquatic species: Emphasis on mode of action from the zebrafish model. Environmental Pollution, 275, 116671.</w:t>
            </w:r>
            <w:r>
              <w:rPr>
                <w:rFonts w:ascii="Arial" w:hAnsi="Arial" w:cs="Arial"/>
              </w:rPr>
              <w:t xml:space="preserve"> </w:t>
            </w:r>
            <w:hyperlink r:id="rId53" w:history="1">
              <w:r w:rsidRPr="00F05004">
                <w:rPr>
                  <w:rStyle w:val="Hyperlink"/>
                  <w:rFonts w:ascii="Arial" w:hAnsi="Arial" w:cs="Arial"/>
                </w:rPr>
                <w:t>https://doi.org/10.1016/j.envpol.2021.116671</w:t>
              </w:r>
            </w:hyperlink>
            <w:r>
              <w:rPr>
                <w:rFonts w:ascii="Arial" w:hAnsi="Arial" w:cs="Arial"/>
              </w:rPr>
              <w:t xml:space="preserve">. </w:t>
            </w:r>
          </w:p>
        </w:tc>
      </w:tr>
      <w:tr w:rsidR="00F90B02" w:rsidRPr="00E712D0" w14:paraId="6BEB9FDE" w14:textId="77777777" w:rsidTr="005063D5">
        <w:tc>
          <w:tcPr>
            <w:tcW w:w="9275" w:type="dxa"/>
          </w:tcPr>
          <w:p w14:paraId="01566EF7" w14:textId="77777777" w:rsidR="00F90B02" w:rsidRPr="00F90B02" w:rsidRDefault="00F90B02" w:rsidP="00F90B02">
            <w:pPr>
              <w:spacing w:before="120"/>
              <w:ind w:left="720" w:hanging="720"/>
              <w:jc w:val="both"/>
              <w:rPr>
                <w:rFonts w:ascii="Arial" w:hAnsi="Arial" w:cs="Arial"/>
              </w:rPr>
            </w:pPr>
            <w:r w:rsidRPr="00F90B02">
              <w:rPr>
                <w:rFonts w:ascii="Arial" w:hAnsi="Arial" w:cs="Arial"/>
              </w:rPr>
              <w:t>Wang, Y., Noman, A., Zhang, C., Al</w:t>
            </w:r>
            <w:r w:rsidRPr="00F90B02">
              <w:rPr>
                <w:rFonts w:ascii="Cambria Math" w:hAnsi="Cambria Math" w:cs="Cambria Math"/>
              </w:rPr>
              <w:t>‑</w:t>
            </w:r>
            <w:proofErr w:type="spellStart"/>
            <w:r w:rsidRPr="00F90B02">
              <w:rPr>
                <w:rFonts w:ascii="Arial" w:hAnsi="Arial" w:cs="Arial"/>
              </w:rPr>
              <w:t>Bukhaiti</w:t>
            </w:r>
            <w:proofErr w:type="spellEnd"/>
            <w:r w:rsidRPr="00F90B02">
              <w:rPr>
                <w:rFonts w:ascii="Arial" w:hAnsi="Arial" w:cs="Arial"/>
              </w:rPr>
              <w:t xml:space="preserve">, W. Q., &amp; Abed, S. M. (2024). Effect of fish-heavy metals contamination on the generation of reactive oxygen species and its implications on human health: A review. </w:t>
            </w:r>
            <w:r w:rsidRPr="00F90B02">
              <w:rPr>
                <w:rFonts w:ascii="Arial" w:hAnsi="Arial" w:cs="Arial"/>
                <w:i/>
                <w:iCs/>
              </w:rPr>
              <w:t>Frontiers in Marine Science</w:t>
            </w:r>
            <w:r w:rsidRPr="00F90B02">
              <w:rPr>
                <w:rFonts w:ascii="Arial" w:hAnsi="Arial" w:cs="Arial"/>
              </w:rPr>
              <w:t xml:space="preserve">, 11, 1500870. </w:t>
            </w:r>
            <w:hyperlink r:id="rId54" w:history="1">
              <w:r w:rsidRPr="00B07FA8">
                <w:rPr>
                  <w:rStyle w:val="Hyperlink"/>
                  <w:rFonts w:ascii="Arial" w:hAnsi="Arial" w:cs="Arial"/>
                </w:rPr>
                <w:t>https://doi.org/10.3389/fmars.2024.1500870</w:t>
              </w:r>
            </w:hyperlink>
            <w:r>
              <w:rPr>
                <w:rFonts w:ascii="Arial" w:hAnsi="Arial" w:cs="Arial"/>
              </w:rPr>
              <w:t xml:space="preserve">. </w:t>
            </w:r>
          </w:p>
        </w:tc>
      </w:tr>
      <w:tr w:rsidR="00F90B02" w:rsidRPr="00E712D0" w14:paraId="2755177D" w14:textId="77777777" w:rsidTr="005063D5">
        <w:tc>
          <w:tcPr>
            <w:tcW w:w="9275" w:type="dxa"/>
          </w:tcPr>
          <w:p w14:paraId="4960F2F2" w14:textId="77777777" w:rsidR="00F90B02" w:rsidRPr="00213D54" w:rsidRDefault="00F90B02" w:rsidP="00F90B02">
            <w:pPr>
              <w:spacing w:before="120"/>
              <w:ind w:left="720" w:hanging="720"/>
              <w:jc w:val="both"/>
              <w:rPr>
                <w:rFonts w:ascii="Arial" w:hAnsi="Arial" w:cs="Arial"/>
              </w:rPr>
            </w:pPr>
            <w:r w:rsidRPr="00F90B02">
              <w:rPr>
                <w:rFonts w:ascii="Arial" w:hAnsi="Arial" w:cs="Arial"/>
              </w:rPr>
              <w:t xml:space="preserve">Zahran, E., Mamdouh, A., </w:t>
            </w:r>
            <w:proofErr w:type="spellStart"/>
            <w:r w:rsidRPr="00F90B02">
              <w:rPr>
                <w:rFonts w:ascii="Arial" w:hAnsi="Arial" w:cs="Arial"/>
              </w:rPr>
              <w:t>Elbahnaswy</w:t>
            </w:r>
            <w:proofErr w:type="spellEnd"/>
            <w:r w:rsidRPr="00F90B02">
              <w:rPr>
                <w:rFonts w:ascii="Arial" w:hAnsi="Arial" w:cs="Arial"/>
              </w:rPr>
              <w:t>, S., El</w:t>
            </w:r>
            <w:r w:rsidRPr="00F90B02">
              <w:rPr>
                <w:rFonts w:ascii="Cambria Math" w:hAnsi="Cambria Math" w:cs="Cambria Math"/>
              </w:rPr>
              <w:t>‑</w:t>
            </w:r>
            <w:r w:rsidRPr="00F90B02">
              <w:rPr>
                <w:rFonts w:ascii="Arial" w:hAnsi="Arial" w:cs="Arial"/>
              </w:rPr>
              <w:t xml:space="preserve">Son, M. M. A., Risha, E., ElSayed, A., El Barbary, M. I., &amp; El </w:t>
            </w:r>
            <w:proofErr w:type="spellStart"/>
            <w:r w:rsidRPr="00F90B02">
              <w:rPr>
                <w:rFonts w:ascii="Arial" w:hAnsi="Arial" w:cs="Arial"/>
              </w:rPr>
              <w:t>Sebaei</w:t>
            </w:r>
            <w:proofErr w:type="spellEnd"/>
            <w:r w:rsidRPr="00F90B02">
              <w:rPr>
                <w:rFonts w:ascii="Arial" w:hAnsi="Arial" w:cs="Arial"/>
              </w:rPr>
              <w:t xml:space="preserve">, M. G. (2025). The impact of heavy metal pollution: Bioaccumulation, oxidative stress, and histopathological alterations in fish across diverse habitats. </w:t>
            </w:r>
            <w:r w:rsidRPr="00F90B02">
              <w:rPr>
                <w:rFonts w:ascii="Arial" w:hAnsi="Arial" w:cs="Arial"/>
                <w:i/>
                <w:iCs/>
              </w:rPr>
              <w:t>Aquaculture International</w:t>
            </w:r>
            <w:r w:rsidRPr="00F90B02">
              <w:rPr>
                <w:rFonts w:ascii="Arial" w:hAnsi="Arial" w:cs="Arial"/>
              </w:rPr>
              <w:t xml:space="preserve">, 33(3), 371. </w:t>
            </w:r>
            <w:hyperlink r:id="rId55" w:history="1">
              <w:r w:rsidRPr="00B07FA8">
                <w:rPr>
                  <w:rStyle w:val="Hyperlink"/>
                  <w:rFonts w:ascii="Arial" w:hAnsi="Arial" w:cs="Arial"/>
                </w:rPr>
                <w:t>https://doi.org/10.1007/s10499-025-02045-1</w:t>
              </w:r>
            </w:hyperlink>
            <w:r>
              <w:rPr>
                <w:rFonts w:ascii="Arial" w:hAnsi="Arial" w:cs="Arial"/>
              </w:rPr>
              <w:t xml:space="preserve">. </w:t>
            </w:r>
          </w:p>
        </w:tc>
      </w:tr>
    </w:tbl>
    <w:p w14:paraId="48E66032" w14:textId="77777777" w:rsidR="00896571" w:rsidRPr="00081BA2" w:rsidRDefault="00896571" w:rsidP="00CA4E9F">
      <w:pPr>
        <w:jc w:val="both"/>
        <w:rPr>
          <w:rFonts w:ascii="Times New Roman" w:hAnsi="Times New Roman" w:cs="Times New Roman"/>
          <w:b/>
          <w:bCs/>
          <w:sz w:val="24"/>
          <w:szCs w:val="24"/>
        </w:rPr>
      </w:pPr>
    </w:p>
    <w:sectPr w:rsidR="00896571" w:rsidRPr="00081BA2">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F3520" w14:textId="77777777" w:rsidR="007A3833" w:rsidRDefault="007A3833" w:rsidP="005C2532">
      <w:pPr>
        <w:spacing w:after="0" w:line="240" w:lineRule="auto"/>
      </w:pPr>
      <w:r>
        <w:separator/>
      </w:r>
    </w:p>
  </w:endnote>
  <w:endnote w:type="continuationSeparator" w:id="0">
    <w:p w14:paraId="7F74E81D" w14:textId="77777777" w:rsidR="007A3833" w:rsidRDefault="007A3833" w:rsidP="005C2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BFB4" w14:textId="77777777" w:rsidR="005C2532" w:rsidRDefault="005C2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8B73" w14:textId="77777777" w:rsidR="005C2532" w:rsidRDefault="005C2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5D1E" w14:textId="77777777" w:rsidR="005C2532" w:rsidRDefault="005C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A383F" w14:textId="77777777" w:rsidR="007A3833" w:rsidRDefault="007A3833" w:rsidP="005C2532">
      <w:pPr>
        <w:spacing w:after="0" w:line="240" w:lineRule="auto"/>
      </w:pPr>
      <w:r>
        <w:separator/>
      </w:r>
    </w:p>
  </w:footnote>
  <w:footnote w:type="continuationSeparator" w:id="0">
    <w:p w14:paraId="7C08CC7A" w14:textId="77777777" w:rsidR="007A3833" w:rsidRDefault="007A3833" w:rsidP="005C2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52F8" w14:textId="7D9005B1" w:rsidR="005C2532" w:rsidRDefault="00000000">
    <w:pPr>
      <w:pStyle w:val="Header"/>
    </w:pPr>
    <w:r>
      <w:rPr>
        <w:noProof/>
      </w:rPr>
      <w:pict w14:anchorId="20266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D603" w14:textId="3EB50A1D" w:rsidR="005C2532" w:rsidRDefault="00000000">
    <w:pPr>
      <w:pStyle w:val="Header"/>
    </w:pPr>
    <w:r>
      <w:rPr>
        <w:noProof/>
      </w:rPr>
      <w:pict w14:anchorId="79795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39A6" w14:textId="31D6BF7B" w:rsidR="005C2532" w:rsidRDefault="00000000">
    <w:pPr>
      <w:pStyle w:val="Header"/>
    </w:pPr>
    <w:r>
      <w:rPr>
        <w:noProof/>
      </w:rPr>
      <w:pict w14:anchorId="082C9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22EF1"/>
    <w:multiLevelType w:val="hybridMultilevel"/>
    <w:tmpl w:val="233ADB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31897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wN7YwMjcwMzY3NLJU0lEKTi0uzszPAykwtKwFAGjXkMktAAAA"/>
  </w:docVars>
  <w:rsids>
    <w:rsidRoot w:val="00B11BA4"/>
    <w:rsid w:val="000062D4"/>
    <w:rsid w:val="0002178B"/>
    <w:rsid w:val="00032EF6"/>
    <w:rsid w:val="000425C8"/>
    <w:rsid w:val="00051A9E"/>
    <w:rsid w:val="00081BA2"/>
    <w:rsid w:val="000B359E"/>
    <w:rsid w:val="000D1BB2"/>
    <w:rsid w:val="000D3906"/>
    <w:rsid w:val="000E2E6D"/>
    <w:rsid w:val="00136CF1"/>
    <w:rsid w:val="001727A6"/>
    <w:rsid w:val="001B10D3"/>
    <w:rsid w:val="001D1E0C"/>
    <w:rsid w:val="001D4599"/>
    <w:rsid w:val="001E080D"/>
    <w:rsid w:val="00203651"/>
    <w:rsid w:val="00204B0C"/>
    <w:rsid w:val="00213D54"/>
    <w:rsid w:val="00252469"/>
    <w:rsid w:val="002618A4"/>
    <w:rsid w:val="00266ADB"/>
    <w:rsid w:val="00290664"/>
    <w:rsid w:val="002A54D2"/>
    <w:rsid w:val="002B2910"/>
    <w:rsid w:val="00301B9B"/>
    <w:rsid w:val="0030237C"/>
    <w:rsid w:val="003069B4"/>
    <w:rsid w:val="00307BAB"/>
    <w:rsid w:val="00331C36"/>
    <w:rsid w:val="00342FCB"/>
    <w:rsid w:val="003B35E9"/>
    <w:rsid w:val="003B7C8B"/>
    <w:rsid w:val="0041200C"/>
    <w:rsid w:val="00442AFB"/>
    <w:rsid w:val="00456C30"/>
    <w:rsid w:val="004631E6"/>
    <w:rsid w:val="00497B93"/>
    <w:rsid w:val="004E480B"/>
    <w:rsid w:val="004E7A49"/>
    <w:rsid w:val="004F0EF6"/>
    <w:rsid w:val="00505707"/>
    <w:rsid w:val="005063D5"/>
    <w:rsid w:val="00510E71"/>
    <w:rsid w:val="00520B88"/>
    <w:rsid w:val="00556FAF"/>
    <w:rsid w:val="00557349"/>
    <w:rsid w:val="005608D4"/>
    <w:rsid w:val="0057312B"/>
    <w:rsid w:val="00596BC4"/>
    <w:rsid w:val="005A6F5E"/>
    <w:rsid w:val="005B5F69"/>
    <w:rsid w:val="005B78DF"/>
    <w:rsid w:val="005C2532"/>
    <w:rsid w:val="005E1214"/>
    <w:rsid w:val="005E3B1B"/>
    <w:rsid w:val="005E6BE8"/>
    <w:rsid w:val="00605D65"/>
    <w:rsid w:val="006123D2"/>
    <w:rsid w:val="006676C6"/>
    <w:rsid w:val="006A46D4"/>
    <w:rsid w:val="006B1F4E"/>
    <w:rsid w:val="006B7373"/>
    <w:rsid w:val="006C5E78"/>
    <w:rsid w:val="006E0D4B"/>
    <w:rsid w:val="00700914"/>
    <w:rsid w:val="00712AA0"/>
    <w:rsid w:val="00766203"/>
    <w:rsid w:val="00766F9E"/>
    <w:rsid w:val="00787277"/>
    <w:rsid w:val="007925FA"/>
    <w:rsid w:val="00794030"/>
    <w:rsid w:val="007A3833"/>
    <w:rsid w:val="007E53D0"/>
    <w:rsid w:val="007F6966"/>
    <w:rsid w:val="00833C9F"/>
    <w:rsid w:val="00843950"/>
    <w:rsid w:val="008771C8"/>
    <w:rsid w:val="008850C9"/>
    <w:rsid w:val="00885934"/>
    <w:rsid w:val="00896571"/>
    <w:rsid w:val="008F24E3"/>
    <w:rsid w:val="008F413B"/>
    <w:rsid w:val="008F6797"/>
    <w:rsid w:val="009023E6"/>
    <w:rsid w:val="0091601D"/>
    <w:rsid w:val="00942657"/>
    <w:rsid w:val="00961F44"/>
    <w:rsid w:val="009756C2"/>
    <w:rsid w:val="00981819"/>
    <w:rsid w:val="009A71B2"/>
    <w:rsid w:val="009B0291"/>
    <w:rsid w:val="009D324A"/>
    <w:rsid w:val="009D6E9C"/>
    <w:rsid w:val="00A0088F"/>
    <w:rsid w:val="00A21AB8"/>
    <w:rsid w:val="00A3007A"/>
    <w:rsid w:val="00A33674"/>
    <w:rsid w:val="00A36FF0"/>
    <w:rsid w:val="00A506DD"/>
    <w:rsid w:val="00A96D5B"/>
    <w:rsid w:val="00AC4CF9"/>
    <w:rsid w:val="00AE6120"/>
    <w:rsid w:val="00B109F9"/>
    <w:rsid w:val="00B11BA4"/>
    <w:rsid w:val="00B6196F"/>
    <w:rsid w:val="00B66B16"/>
    <w:rsid w:val="00BA2CFF"/>
    <w:rsid w:val="00BC28B6"/>
    <w:rsid w:val="00BD0B11"/>
    <w:rsid w:val="00BE514F"/>
    <w:rsid w:val="00C16F3C"/>
    <w:rsid w:val="00C76818"/>
    <w:rsid w:val="00C771D5"/>
    <w:rsid w:val="00C846EE"/>
    <w:rsid w:val="00C87736"/>
    <w:rsid w:val="00C91556"/>
    <w:rsid w:val="00CA4E9F"/>
    <w:rsid w:val="00CA65E1"/>
    <w:rsid w:val="00CD2B39"/>
    <w:rsid w:val="00CD6A8D"/>
    <w:rsid w:val="00CE073D"/>
    <w:rsid w:val="00CE13EF"/>
    <w:rsid w:val="00CE2D4B"/>
    <w:rsid w:val="00CF2DE8"/>
    <w:rsid w:val="00CF6B67"/>
    <w:rsid w:val="00D04920"/>
    <w:rsid w:val="00D36209"/>
    <w:rsid w:val="00D417F4"/>
    <w:rsid w:val="00DB0862"/>
    <w:rsid w:val="00DC1BFA"/>
    <w:rsid w:val="00DD0393"/>
    <w:rsid w:val="00DD5FEA"/>
    <w:rsid w:val="00E112BA"/>
    <w:rsid w:val="00E408FD"/>
    <w:rsid w:val="00E51A37"/>
    <w:rsid w:val="00E712D0"/>
    <w:rsid w:val="00E9023D"/>
    <w:rsid w:val="00EA3B99"/>
    <w:rsid w:val="00EE58DA"/>
    <w:rsid w:val="00F059BA"/>
    <w:rsid w:val="00F31E79"/>
    <w:rsid w:val="00F61CFA"/>
    <w:rsid w:val="00F61DD0"/>
    <w:rsid w:val="00F63381"/>
    <w:rsid w:val="00F80E41"/>
    <w:rsid w:val="00F8240E"/>
    <w:rsid w:val="00F854F8"/>
    <w:rsid w:val="00F90B02"/>
    <w:rsid w:val="00F93E13"/>
    <w:rsid w:val="00FA734A"/>
    <w:rsid w:val="00FB7D13"/>
    <w:rsid w:val="00FF555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9D5B02"/>
  <w15:chartTrackingRefBased/>
  <w15:docId w15:val="{B3DF1890-7445-4A10-9DF3-C8B8FC5E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B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1B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1B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1B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1B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1B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B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B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B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B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1B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1B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1B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1B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1B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B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B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BA4"/>
    <w:rPr>
      <w:rFonts w:eastAsiaTheme="majorEastAsia" w:cstheme="majorBidi"/>
      <w:color w:val="272727" w:themeColor="text1" w:themeTint="D8"/>
    </w:rPr>
  </w:style>
  <w:style w:type="paragraph" w:styleId="Title">
    <w:name w:val="Title"/>
    <w:basedOn w:val="Normal"/>
    <w:next w:val="Normal"/>
    <w:link w:val="TitleChar"/>
    <w:uiPriority w:val="10"/>
    <w:qFormat/>
    <w:rsid w:val="00B11B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B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B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1B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BA4"/>
    <w:pPr>
      <w:spacing w:before="160"/>
      <w:jc w:val="center"/>
    </w:pPr>
    <w:rPr>
      <w:i/>
      <w:iCs/>
      <w:color w:val="404040" w:themeColor="text1" w:themeTint="BF"/>
    </w:rPr>
  </w:style>
  <w:style w:type="character" w:customStyle="1" w:styleId="QuoteChar">
    <w:name w:val="Quote Char"/>
    <w:basedOn w:val="DefaultParagraphFont"/>
    <w:link w:val="Quote"/>
    <w:uiPriority w:val="29"/>
    <w:rsid w:val="00B11BA4"/>
    <w:rPr>
      <w:i/>
      <w:iCs/>
      <w:color w:val="404040" w:themeColor="text1" w:themeTint="BF"/>
    </w:rPr>
  </w:style>
  <w:style w:type="paragraph" w:styleId="ListParagraph">
    <w:name w:val="List Paragraph"/>
    <w:basedOn w:val="Normal"/>
    <w:uiPriority w:val="34"/>
    <w:qFormat/>
    <w:rsid w:val="00B11BA4"/>
    <w:pPr>
      <w:ind w:left="720"/>
      <w:contextualSpacing/>
    </w:pPr>
  </w:style>
  <w:style w:type="character" w:styleId="IntenseEmphasis">
    <w:name w:val="Intense Emphasis"/>
    <w:basedOn w:val="DefaultParagraphFont"/>
    <w:uiPriority w:val="21"/>
    <w:qFormat/>
    <w:rsid w:val="00B11BA4"/>
    <w:rPr>
      <w:i/>
      <w:iCs/>
      <w:color w:val="2F5496" w:themeColor="accent1" w:themeShade="BF"/>
    </w:rPr>
  </w:style>
  <w:style w:type="paragraph" w:styleId="IntenseQuote">
    <w:name w:val="Intense Quote"/>
    <w:basedOn w:val="Normal"/>
    <w:next w:val="Normal"/>
    <w:link w:val="IntenseQuoteChar"/>
    <w:uiPriority w:val="30"/>
    <w:qFormat/>
    <w:rsid w:val="00B11B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1BA4"/>
    <w:rPr>
      <w:i/>
      <w:iCs/>
      <w:color w:val="2F5496" w:themeColor="accent1" w:themeShade="BF"/>
    </w:rPr>
  </w:style>
  <w:style w:type="character" w:styleId="IntenseReference">
    <w:name w:val="Intense Reference"/>
    <w:basedOn w:val="DefaultParagraphFont"/>
    <w:uiPriority w:val="32"/>
    <w:qFormat/>
    <w:rsid w:val="00B11BA4"/>
    <w:rPr>
      <w:b/>
      <w:bCs/>
      <w:smallCaps/>
      <w:color w:val="2F5496" w:themeColor="accent1" w:themeShade="BF"/>
      <w:spacing w:val="5"/>
    </w:rPr>
  </w:style>
  <w:style w:type="paragraph" w:styleId="NormalWeb">
    <w:name w:val="Normal (Web)"/>
    <w:basedOn w:val="Normal"/>
    <w:uiPriority w:val="99"/>
    <w:unhideWhenUsed/>
    <w:rsid w:val="00B11BA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Emphasis">
    <w:name w:val="Emphasis"/>
    <w:basedOn w:val="DefaultParagraphFont"/>
    <w:uiPriority w:val="20"/>
    <w:qFormat/>
    <w:rsid w:val="00B11BA4"/>
    <w:rPr>
      <w:i/>
      <w:iCs/>
    </w:rPr>
  </w:style>
  <w:style w:type="character" w:styleId="Hyperlink">
    <w:name w:val="Hyperlink"/>
    <w:basedOn w:val="DefaultParagraphFont"/>
    <w:uiPriority w:val="99"/>
    <w:unhideWhenUsed/>
    <w:rsid w:val="00C87736"/>
    <w:rPr>
      <w:color w:val="0563C1" w:themeColor="hyperlink"/>
      <w:u w:val="single"/>
    </w:rPr>
  </w:style>
  <w:style w:type="character" w:styleId="UnresolvedMention">
    <w:name w:val="Unresolved Mention"/>
    <w:basedOn w:val="DefaultParagraphFont"/>
    <w:uiPriority w:val="99"/>
    <w:semiHidden/>
    <w:unhideWhenUsed/>
    <w:rsid w:val="00C87736"/>
    <w:rPr>
      <w:color w:val="605E5C"/>
      <w:shd w:val="clear" w:color="auto" w:fill="E1DFDD"/>
    </w:rPr>
  </w:style>
  <w:style w:type="paragraph" w:styleId="NoSpacing">
    <w:name w:val="No Spacing"/>
    <w:uiPriority w:val="1"/>
    <w:qFormat/>
    <w:rsid w:val="001D1E0C"/>
    <w:pPr>
      <w:spacing w:after="0" w:line="240" w:lineRule="auto"/>
    </w:pPr>
    <w:rPr>
      <w:rFonts w:ascii="Times New Roman" w:hAnsi="Times New Roman"/>
      <w:kern w:val="0"/>
      <w:sz w:val="24"/>
      <w:lang w:val="en-US"/>
      <w14:ligatures w14:val="none"/>
    </w:rPr>
  </w:style>
  <w:style w:type="table" w:styleId="TableGrid">
    <w:name w:val="Table Grid"/>
    <w:basedOn w:val="TableNormal"/>
    <w:uiPriority w:val="39"/>
    <w:rsid w:val="001D1E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next w:val="Normal"/>
    <w:rsid w:val="00F059BA"/>
    <w:pPr>
      <w:spacing w:before="120"/>
    </w:pPr>
    <w:rPr>
      <w:i/>
      <w14:ligatures w14:val="none"/>
    </w:rPr>
  </w:style>
  <w:style w:type="paragraph" w:styleId="Header">
    <w:name w:val="header"/>
    <w:basedOn w:val="Normal"/>
    <w:link w:val="HeaderChar"/>
    <w:uiPriority w:val="99"/>
    <w:unhideWhenUsed/>
    <w:rsid w:val="005C2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532"/>
  </w:style>
  <w:style w:type="paragraph" w:styleId="Footer">
    <w:name w:val="footer"/>
    <w:basedOn w:val="Normal"/>
    <w:link w:val="FooterChar"/>
    <w:uiPriority w:val="99"/>
    <w:unhideWhenUsed/>
    <w:rsid w:val="005C2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532"/>
  </w:style>
  <w:style w:type="character" w:styleId="FollowedHyperlink">
    <w:name w:val="FollowedHyperlink"/>
    <w:basedOn w:val="DefaultParagraphFont"/>
    <w:uiPriority w:val="99"/>
    <w:semiHidden/>
    <w:unhideWhenUsed/>
    <w:rsid w:val="006676C6"/>
    <w:rPr>
      <w:color w:val="954F72" w:themeColor="followedHyperlink"/>
      <w:u w:val="single"/>
    </w:rPr>
  </w:style>
  <w:style w:type="character" w:customStyle="1" w:styleId="fontstyle01">
    <w:name w:val="fontstyle01"/>
    <w:basedOn w:val="DefaultParagraphFont"/>
    <w:rsid w:val="00F90B02"/>
    <w:rPr>
      <w:rFonts w:ascii="Times New Roman" w:hAnsi="Times New Roman" w:cs="Times New Roman" w:hint="default"/>
      <w:b w:val="0"/>
      <w:bCs w:val="0"/>
      <w:i w:val="0"/>
      <w:iCs w:val="0"/>
      <w:color w:val="0000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chemosphere.2012.04.001" TargetMode="External"/><Relationship Id="rId26" Type="http://schemas.openxmlformats.org/officeDocument/2006/relationships/hyperlink" Target="http://doi.org/10.1007/s00128-020-02990-y" TargetMode="External"/><Relationship Id="rId39" Type="http://schemas.openxmlformats.org/officeDocument/2006/relationships/hyperlink" Target="https://doi.org/10.1016/j.etap.2008.02.010" TargetMode="External"/><Relationship Id="rId21" Type="http://schemas.openxmlformats.org/officeDocument/2006/relationships/hyperlink" Target="http://dx.doi.org/10.21271/ZJPAS.35.6.17" TargetMode="External"/><Relationship Id="rId34" Type="http://schemas.openxmlformats.org/officeDocument/2006/relationships/hyperlink" Target="https://doi.org/10.1016/j.ecoenv.2013.10.011" TargetMode="External"/><Relationship Id="rId42" Type="http://schemas.openxmlformats.org/officeDocument/2006/relationships/hyperlink" Target="https://www.entomologyjournals.com/archives/2021/vol6issue6/PartB/6-5-10-901.pdf" TargetMode="External"/><Relationship Id="rId47" Type="http://schemas.openxmlformats.org/officeDocument/2006/relationships/hyperlink" Target="https://doi.org/10.33545/27080013.2025.v6.i2c.248" TargetMode="External"/><Relationship Id="rId50" Type="http://schemas.openxmlformats.org/officeDocument/2006/relationships/hyperlink" Target="https://www.drishtiias.com/daily-updates/daily-news-analysis/inland-fisheries-aquaculture-meet-2025" TargetMode="External"/><Relationship Id="rId55" Type="http://schemas.openxmlformats.org/officeDocument/2006/relationships/hyperlink" Target="https://doi.org/10.1007/s10499-025-02045-1"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https://mset-biospectra.org/wp-content/uploads/2021/09/215-218.pdf" TargetMode="External"/><Relationship Id="rId11" Type="http://schemas.microsoft.com/office/2007/relationships/hdphoto" Target="media/hdphoto1.wdp"/><Relationship Id="rId24" Type="http://schemas.openxmlformats.org/officeDocument/2006/relationships/hyperlink" Target="https://doi.org/10.1093/icb/13.2.451" TargetMode="External"/><Relationship Id="rId32" Type="http://schemas.openxmlformats.org/officeDocument/2006/relationships/hyperlink" Target="https://ipen.org/documents/aquatic-pollutants-oceans-and-fisheries" TargetMode="External"/><Relationship Id="rId37" Type="http://schemas.openxmlformats.org/officeDocument/2006/relationships/hyperlink" Target="https://doi.org/10.22271/fish.2025.v13.i2c.3063" TargetMode="External"/><Relationship Id="rId40" Type="http://schemas.openxmlformats.org/officeDocument/2006/relationships/hyperlink" Target="http://dx.doi.org/10.20546/ijcmas.2016.504.040" TargetMode="External"/><Relationship Id="rId45" Type="http://schemas.openxmlformats.org/officeDocument/2006/relationships/hyperlink" Target="http://doi.org/10.48165/abr.2024.26.01.37" TargetMode="External"/><Relationship Id="rId53" Type="http://schemas.openxmlformats.org/officeDocument/2006/relationships/hyperlink" Target="https://doi.org/10.1016/j.envpol.2021.116671"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1080/03601234.2023.2168445" TargetMode="External"/><Relationship Id="rId14" Type="http://schemas.openxmlformats.org/officeDocument/2006/relationships/image" Target="media/image7.png"/><Relationship Id="rId22" Type="http://schemas.openxmlformats.org/officeDocument/2006/relationships/hyperlink" Target="https://doi.org/10.1016/j.marpolbul.2004.02.032" TargetMode="External"/><Relationship Id="rId27" Type="http://schemas.openxmlformats.org/officeDocument/2006/relationships/hyperlink" Target="https://doi.org/10.1016/j.chemosphere.2018.05.138" TargetMode="External"/><Relationship Id="rId30" Type="http://schemas.openxmlformats.org/officeDocument/2006/relationships/hyperlink" Target="https://www.entomoljournal.com/archives/2020/vol8issue5/PartZ/8-5-100-907.pdf" TargetMode="External"/><Relationship Id="rId35" Type="http://schemas.openxmlformats.org/officeDocument/2006/relationships/hyperlink" Target="https://doi.org/10.36953/ECJ.2012.130321" TargetMode="External"/><Relationship Id="rId43" Type="http://schemas.openxmlformats.org/officeDocument/2006/relationships/hyperlink" Target="https://doi.org/10.37506/ijfmt.v14i4.11454" TargetMode="External"/><Relationship Id="rId48" Type="http://schemas.openxmlformats.org/officeDocument/2006/relationships/hyperlink" Target="https://doi.org/10.1038/s41598-022-07506-8"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590/S1516-89132015050151" TargetMode="External"/><Relationship Id="rId3" Type="http://schemas.openxmlformats.org/officeDocument/2006/relationships/settings" Target="settings.xml"/><Relationship Id="rId12" Type="http://schemas.openxmlformats.org/officeDocument/2006/relationships/image" Target="media/image5.jpeg"/><Relationship Id="rId17" Type="http://schemas.microsoft.com/office/2007/relationships/hdphoto" Target="media/hdphoto3.wdp"/><Relationship Id="rId25" Type="http://schemas.openxmlformats.org/officeDocument/2006/relationships/hyperlink" Target="https://doi.org/10.1007/s11356-024-35498-7" TargetMode="External"/><Relationship Id="rId33" Type="http://schemas.openxmlformats.org/officeDocument/2006/relationships/hyperlink" Target="https://doi.org/10.1086/physzool.64.1.30158511" TargetMode="External"/><Relationship Id="rId38" Type="http://schemas.openxmlformats.org/officeDocument/2006/relationships/hyperlink" Target="https://doi.org/10.3389/fenvs.2023.1240813" TargetMode="External"/><Relationship Id="rId46" Type="http://schemas.openxmlformats.org/officeDocument/2006/relationships/hyperlink" Target="https://doi.org/10.13140/RG.2.2.20506.62401" TargetMode="External"/><Relationship Id="rId59" Type="http://schemas.openxmlformats.org/officeDocument/2006/relationships/footer" Target="footer2.xml"/><Relationship Id="rId20" Type="http://schemas.openxmlformats.org/officeDocument/2006/relationships/hyperlink" Target="https://doi.org/10.1007/s41050-024-00046-2" TargetMode="External"/><Relationship Id="rId41" Type="http://schemas.openxmlformats.org/officeDocument/2006/relationships/hyperlink" Target="https://doi.org/10.1016/j.ecoenv.2010.07.017" TargetMode="External"/><Relationship Id="rId54" Type="http://schemas.openxmlformats.org/officeDocument/2006/relationships/hyperlink" Target="https://doi.org/10.3389/fmars.2024.150087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hyperlink" Target="https://doi.org/10.5897/AJAR.9000744" TargetMode="External"/><Relationship Id="rId28" Type="http://schemas.openxmlformats.org/officeDocument/2006/relationships/hyperlink" Target="https://doi.org/10.1007/s00244-021-00848-w" TargetMode="External"/><Relationship Id="rId36" Type="http://schemas.openxmlformats.org/officeDocument/2006/relationships/hyperlink" Target="https://doi.org/10.1139/f85-083" TargetMode="External"/><Relationship Id="rId49" Type="http://schemas.openxmlformats.org/officeDocument/2006/relationships/hyperlink" Target="https://doi.org/10.20546/ijcmas.2020.902.021"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hyperlink" Target="https://www.doi.org/10.22271/23940522" TargetMode="External"/><Relationship Id="rId44" Type="http://schemas.openxmlformats.org/officeDocument/2006/relationships/hyperlink" Target="https://www.neptjournal.com/upload-images/NL-5-34-%2834%29B-1404com.pdf" TargetMode="External"/><Relationship Id="rId52" Type="http://schemas.openxmlformats.org/officeDocument/2006/relationships/hyperlink" Target="https://doi.org/10.1002/etc.2739"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421</TotalTime>
  <Pages>13</Pages>
  <Words>5652</Words>
  <Characters>32217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 swamidoss</dc:creator>
  <cp:keywords/>
  <dc:description/>
  <cp:lastModifiedBy>dp swamidoss</cp:lastModifiedBy>
  <cp:revision>27</cp:revision>
  <dcterms:created xsi:type="dcterms:W3CDTF">2025-12-09T11:03:00Z</dcterms:created>
  <dcterms:modified xsi:type="dcterms:W3CDTF">2025-12-19T01:25:00Z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47c47356-357e-4066-9a9b-8db1dd9f75cc</vt:lpwstr>
  </property>
</Properties>
</file>